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0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070"/>
        <w:gridCol w:w="4991"/>
        <w:gridCol w:w="3544"/>
      </w:tblGrid>
      <w:tr w:rsidR="00441083" w:rsidRPr="005359C7" w14:paraId="66D36AD8" w14:textId="77777777">
        <w:trPr>
          <w:trHeight w:val="720"/>
        </w:trPr>
        <w:tc>
          <w:tcPr>
            <w:tcW w:w="7061" w:type="dxa"/>
            <w:gridSpan w:val="2"/>
            <w:tcBorders>
              <w:bottom w:val="single" w:sz="18" w:space="0" w:color="auto"/>
            </w:tcBorders>
          </w:tcPr>
          <w:p w14:paraId="5508FA21" w14:textId="77777777" w:rsidR="00441083" w:rsidRPr="005359C7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rFonts w:ascii="Univers" w:hAnsi="Univers"/>
                <w:b/>
                <w:sz w:val="28"/>
                <w:szCs w:val="28"/>
                <w:lang w:val="fr-CA"/>
              </w:rPr>
            </w:pPr>
            <w:r w:rsidRPr="005359C7">
              <w:rPr>
                <w:rFonts w:ascii="Univers" w:hAnsi="Univers"/>
                <w:b/>
                <w:sz w:val="28"/>
                <w:szCs w:val="28"/>
                <w:lang w:val="fr-CA"/>
              </w:rPr>
              <w:t>NATIONS</w:t>
            </w:r>
          </w:p>
          <w:p w14:paraId="5470A5B2" w14:textId="77777777" w:rsidR="00441083" w:rsidRPr="005359C7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sz w:val="28"/>
                <w:szCs w:val="28"/>
                <w:lang w:val="fr-CA"/>
              </w:rPr>
            </w:pPr>
            <w:r w:rsidRPr="005359C7">
              <w:rPr>
                <w:rFonts w:ascii="Univers" w:hAnsi="Univers"/>
                <w:b/>
                <w:sz w:val="28"/>
                <w:szCs w:val="28"/>
                <w:lang w:val="fr-CA"/>
              </w:rPr>
              <w:t xml:space="preserve">UNIES 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0091721D" w14:textId="77777777" w:rsidR="00441083" w:rsidRPr="005359C7" w:rsidRDefault="00E60D9C">
            <w:pPr>
              <w:tabs>
                <w:tab w:val="left" w:pos="3010"/>
              </w:tabs>
              <w:jc w:val="center"/>
              <w:rPr>
                <w:sz w:val="52"/>
                <w:szCs w:val="52"/>
                <w:lang w:val="fr-CA"/>
              </w:rPr>
            </w:pPr>
            <w:r w:rsidRPr="005359C7">
              <w:rPr>
                <w:rFonts w:ascii="Univers Bold" w:hAnsi="Univers Bold"/>
                <w:b/>
                <w:sz w:val="72"/>
                <w:lang w:val="fr-CA"/>
              </w:rPr>
              <w:t xml:space="preserve">          EP</w:t>
            </w:r>
          </w:p>
        </w:tc>
      </w:tr>
      <w:tr w:rsidR="00441083" w:rsidRPr="005359C7" w14:paraId="36D8957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8"/>
        </w:trPr>
        <w:tc>
          <w:tcPr>
            <w:tcW w:w="207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57B6D608" w14:textId="77777777" w:rsidR="00441083" w:rsidRPr="005359C7" w:rsidRDefault="00C6443E">
            <w:pPr>
              <w:spacing w:before="120"/>
              <w:rPr>
                <w:lang w:val="fr-CA"/>
              </w:rPr>
            </w:pPr>
            <w:r w:rsidRPr="005359C7"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6F3671B6" wp14:editId="1E69FC44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891540</wp:posOffset>
                  </wp:positionV>
                  <wp:extent cx="800100" cy="705485"/>
                  <wp:effectExtent l="0" t="0" r="0" b="0"/>
                  <wp:wrapNone/>
                  <wp:docPr id="2" name="Picture 2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05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C3D0C" w:rsidRPr="005359C7">
              <w:rPr>
                <w:noProof/>
                <w:lang w:val="en-US"/>
              </w:rPr>
              <w:drawing>
                <wp:anchor distT="0" distB="0" distL="114300" distR="114300" simplePos="0" relativeHeight="251661312" behindDoc="1" locked="0" layoutInCell="0" allowOverlap="1" wp14:anchorId="4247E532" wp14:editId="5B30876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112395</wp:posOffset>
                  </wp:positionV>
                  <wp:extent cx="760809" cy="676275"/>
                  <wp:effectExtent l="0" t="0" r="127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809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91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1C3DD5FD" w14:textId="77777777" w:rsidR="00441083" w:rsidRPr="005359C7" w:rsidRDefault="00441083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fr-CA"/>
              </w:rPr>
            </w:pPr>
          </w:p>
          <w:p w14:paraId="0B46FFAA" w14:textId="77777777" w:rsidR="00441083" w:rsidRPr="005359C7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fr-CA"/>
              </w:rPr>
            </w:pPr>
            <w:r w:rsidRPr="005359C7">
              <w:rPr>
                <w:rFonts w:ascii="Univers" w:hAnsi="Univers"/>
                <w:b/>
                <w:sz w:val="32"/>
                <w:lang w:val="fr-CA"/>
              </w:rPr>
              <w:t>Programme des</w:t>
            </w:r>
          </w:p>
          <w:p w14:paraId="3DCACB70" w14:textId="77777777" w:rsidR="00441083" w:rsidRPr="005359C7" w:rsidRDefault="00E60D9C">
            <w:pPr>
              <w:rPr>
                <w:rFonts w:ascii="Univers" w:hAnsi="Univers"/>
                <w:b/>
                <w:sz w:val="32"/>
                <w:lang w:val="fr-CA"/>
              </w:rPr>
            </w:pPr>
            <w:r w:rsidRPr="005359C7">
              <w:rPr>
                <w:rFonts w:ascii="Univers" w:hAnsi="Univers"/>
                <w:b/>
                <w:sz w:val="32"/>
                <w:lang w:val="fr-CA"/>
              </w:rPr>
              <w:t>Nations Unies pour</w:t>
            </w:r>
          </w:p>
          <w:p w14:paraId="27EB67BF" w14:textId="77777777" w:rsidR="00441083" w:rsidRPr="005359C7" w:rsidRDefault="00E60D9C">
            <w:pPr>
              <w:rPr>
                <w:rFonts w:ascii="Univers" w:hAnsi="Univers"/>
                <w:b/>
                <w:sz w:val="32"/>
                <w:lang w:val="fr-CA"/>
              </w:rPr>
            </w:pPr>
            <w:r w:rsidRPr="005359C7">
              <w:rPr>
                <w:rFonts w:ascii="Univers" w:hAnsi="Univers"/>
                <w:b/>
                <w:sz w:val="32"/>
                <w:lang w:val="fr-CA"/>
              </w:rPr>
              <w:t>l’environnement</w:t>
            </w:r>
          </w:p>
          <w:p w14:paraId="0CF7DEFC" w14:textId="77777777" w:rsidR="00441083" w:rsidRPr="005359C7" w:rsidRDefault="00E60D9C">
            <w:pPr>
              <w:spacing w:before="720"/>
              <w:ind w:left="158"/>
              <w:rPr>
                <w:lang w:val="fr-CA"/>
              </w:rPr>
            </w:pPr>
            <w:r w:rsidRPr="005359C7">
              <w:rPr>
                <w:lang w:val="fr-CA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1C321FCC" w14:textId="77777777" w:rsidR="00441083" w:rsidRPr="005359C7" w:rsidRDefault="00441083">
            <w:pPr>
              <w:rPr>
                <w:lang w:val="fr-CA"/>
              </w:rPr>
            </w:pPr>
          </w:p>
          <w:p w14:paraId="49FA9C11" w14:textId="77777777" w:rsidR="00441083" w:rsidRPr="005359C7" w:rsidRDefault="00E60D9C">
            <w:pPr>
              <w:rPr>
                <w:lang w:val="fr-CA"/>
              </w:rPr>
            </w:pPr>
            <w:proofErr w:type="spellStart"/>
            <w:r w:rsidRPr="005359C7">
              <w:rPr>
                <w:lang w:val="fr-CA"/>
              </w:rPr>
              <w:t>Distr</w:t>
            </w:r>
            <w:proofErr w:type="spellEnd"/>
            <w:r w:rsidRPr="005359C7">
              <w:rPr>
                <w:lang w:val="fr-CA"/>
              </w:rPr>
              <w:t>.</w:t>
            </w:r>
          </w:p>
          <w:p w14:paraId="2E42128A" w14:textId="77777777" w:rsidR="00441083" w:rsidRPr="005359C7" w:rsidRDefault="00E60D9C" w:rsidP="00DD3433">
            <w:pPr>
              <w:rPr>
                <w:lang w:val="fr-CA"/>
              </w:rPr>
            </w:pPr>
            <w:r w:rsidRPr="005359C7">
              <w:rPr>
                <w:lang w:val="fr-CA"/>
              </w:rPr>
              <w:t>G</w:t>
            </w:r>
            <w:r w:rsidR="00DD3433" w:rsidRPr="005359C7">
              <w:rPr>
                <w:lang w:val="fr-CA"/>
              </w:rPr>
              <w:t>É</w:t>
            </w:r>
            <w:r w:rsidRPr="005359C7">
              <w:rPr>
                <w:lang w:val="fr-CA"/>
              </w:rPr>
              <w:t>N</w:t>
            </w:r>
            <w:r w:rsidR="00DD3433" w:rsidRPr="005359C7">
              <w:rPr>
                <w:lang w:val="fr-CA"/>
              </w:rPr>
              <w:t>É</w:t>
            </w:r>
            <w:r w:rsidRPr="005359C7">
              <w:rPr>
                <w:lang w:val="fr-CA"/>
              </w:rPr>
              <w:t>RAL</w:t>
            </w:r>
            <w:r w:rsidR="00FF3CF1" w:rsidRPr="005359C7">
              <w:rPr>
                <w:lang w:val="fr-CA"/>
              </w:rPr>
              <w:t>E</w:t>
            </w:r>
          </w:p>
          <w:p w14:paraId="37CE1438" w14:textId="77777777" w:rsidR="00441083" w:rsidRPr="005359C7" w:rsidRDefault="00441083">
            <w:pPr>
              <w:rPr>
                <w:lang w:val="fr-CA"/>
              </w:rPr>
            </w:pPr>
          </w:p>
          <w:p w14:paraId="77EA8B3F" w14:textId="77777777" w:rsidR="00441083" w:rsidRPr="005359C7" w:rsidRDefault="00F00A12">
            <w:pPr>
              <w:rPr>
                <w:lang w:val="fr-CA"/>
              </w:rPr>
            </w:pPr>
            <w:r>
              <w:fldChar w:fldCharType="begin"/>
            </w:r>
            <w:r w:rsidRPr="00883403">
              <w:rPr>
                <w:lang w:val="fr-CA"/>
              </w:rPr>
              <w:instrText xml:space="preserve"> DOCPROPERTY "Document number"  \* MERGEFORMAT </w:instrText>
            </w:r>
            <w:r>
              <w:fldChar w:fldCharType="separate"/>
            </w:r>
            <w:r w:rsidR="00271707" w:rsidRPr="00271707">
              <w:rPr>
                <w:lang w:val="fr-CA"/>
              </w:rPr>
              <w:t>UNEP/</w:t>
            </w:r>
            <w:proofErr w:type="spellStart"/>
            <w:r w:rsidR="00271707" w:rsidRPr="00271707">
              <w:rPr>
                <w:lang w:val="fr-CA"/>
              </w:rPr>
              <w:t>OzL.Pro</w:t>
            </w:r>
            <w:proofErr w:type="spellEnd"/>
            <w:r w:rsidR="00271707" w:rsidRPr="00271707">
              <w:rPr>
                <w:lang w:val="fr-CA"/>
              </w:rPr>
              <w:t>/</w:t>
            </w:r>
            <w:proofErr w:type="spellStart"/>
            <w:r w:rsidR="00271707" w:rsidRPr="00271707">
              <w:rPr>
                <w:lang w:val="fr-CA"/>
              </w:rPr>
              <w:t>ExCom</w:t>
            </w:r>
            <w:proofErr w:type="spellEnd"/>
            <w:r w:rsidR="00271707" w:rsidRPr="00271707">
              <w:rPr>
                <w:lang w:val="fr-CA"/>
              </w:rPr>
              <w:t>/85/48</w:t>
            </w:r>
            <w:r>
              <w:rPr>
                <w:lang w:val="fr-CA"/>
              </w:rPr>
              <w:fldChar w:fldCharType="end"/>
            </w:r>
          </w:p>
          <w:p w14:paraId="7BECE718" w14:textId="77777777" w:rsidR="002F0B57" w:rsidRPr="005359C7" w:rsidRDefault="00523845" w:rsidP="000F6C8E">
            <w:pPr>
              <w:rPr>
                <w:lang w:val="fr-CA"/>
              </w:rPr>
            </w:pPr>
            <w:r w:rsidRPr="005359C7">
              <w:rPr>
                <w:lang w:val="fr-CA"/>
              </w:rPr>
              <w:fldChar w:fldCharType="begin"/>
            </w:r>
            <w:r w:rsidR="002F0B57" w:rsidRPr="005359C7">
              <w:rPr>
                <w:lang w:val="fr-CA"/>
              </w:rPr>
              <w:instrText xml:space="preserve"> DOCPROPERTY "Revision date" \@ "d MMMM YYYY"  \* MERGEFORMAT </w:instrText>
            </w:r>
            <w:r w:rsidRPr="005359C7">
              <w:rPr>
                <w:lang w:val="fr-CA"/>
              </w:rPr>
              <w:fldChar w:fldCharType="separate"/>
            </w:r>
            <w:r w:rsidR="00271707">
              <w:rPr>
                <w:lang w:val="fr-CA"/>
              </w:rPr>
              <w:t>1er mai 2020</w:t>
            </w:r>
            <w:r w:rsidRPr="005359C7">
              <w:rPr>
                <w:lang w:val="fr-CA"/>
              </w:rPr>
              <w:fldChar w:fldCharType="end"/>
            </w:r>
          </w:p>
          <w:p w14:paraId="4A6A839F" w14:textId="77777777" w:rsidR="00441083" w:rsidRPr="005359C7" w:rsidRDefault="00FC5578">
            <w:pPr>
              <w:rPr>
                <w:caps/>
                <w:lang w:val="fr-CA"/>
              </w:rPr>
            </w:pPr>
            <w:r w:rsidRPr="005359C7">
              <w:rPr>
                <w:caps/>
                <w:lang w:val="fr-CA"/>
              </w:rPr>
              <w:br/>
            </w:r>
            <w:r w:rsidR="00E60D9C" w:rsidRPr="005359C7">
              <w:rPr>
                <w:caps/>
                <w:lang w:val="fr-CA"/>
              </w:rPr>
              <w:t>FRANÇAIS</w:t>
            </w:r>
          </w:p>
          <w:p w14:paraId="734846FF" w14:textId="77777777" w:rsidR="00441083" w:rsidRPr="005359C7" w:rsidRDefault="00E60D9C">
            <w:pPr>
              <w:rPr>
                <w:lang w:val="fr-CA"/>
              </w:rPr>
            </w:pPr>
            <w:r w:rsidRPr="005359C7">
              <w:rPr>
                <w:lang w:val="fr-CA"/>
              </w:rPr>
              <w:t>ORIGINAL</w:t>
            </w:r>
            <w:r w:rsidR="003276F0" w:rsidRPr="005359C7">
              <w:rPr>
                <w:lang w:val="fr-CA"/>
              </w:rPr>
              <w:t> : </w:t>
            </w:r>
            <w:r w:rsidR="0091161A" w:rsidRPr="005359C7">
              <w:rPr>
                <w:lang w:val="fr-CA"/>
              </w:rPr>
              <w:t>ANGLAIS</w:t>
            </w:r>
          </w:p>
        </w:tc>
      </w:tr>
    </w:tbl>
    <w:p w14:paraId="2DEB5871" w14:textId="77777777" w:rsidR="00441083" w:rsidRPr="005359C7" w:rsidRDefault="00441083">
      <w:pPr>
        <w:jc w:val="left"/>
        <w:rPr>
          <w:lang w:val="fr-CA"/>
        </w:rPr>
      </w:pPr>
    </w:p>
    <w:p w14:paraId="38ACA8D7" w14:textId="77777777" w:rsidR="00441083" w:rsidRPr="005359C7" w:rsidRDefault="00E60D9C" w:rsidP="00DD3433">
      <w:pPr>
        <w:jc w:val="left"/>
        <w:rPr>
          <w:lang w:val="fr-CA"/>
        </w:rPr>
      </w:pPr>
      <w:r w:rsidRPr="005359C7">
        <w:rPr>
          <w:lang w:val="fr-CA"/>
        </w:rPr>
        <w:t>COMIT</w:t>
      </w:r>
      <w:r w:rsidR="00DD3433" w:rsidRPr="005359C7">
        <w:rPr>
          <w:lang w:val="fr-CA"/>
        </w:rPr>
        <w:t>É</w:t>
      </w:r>
      <w:r w:rsidRPr="005359C7">
        <w:rPr>
          <w:lang w:val="fr-CA"/>
        </w:rPr>
        <w:t xml:space="preserve"> EX</w:t>
      </w:r>
      <w:r w:rsidR="00DD3433" w:rsidRPr="005359C7">
        <w:rPr>
          <w:lang w:val="fr-CA"/>
        </w:rPr>
        <w:t xml:space="preserve">ÉCUTIF </w:t>
      </w:r>
      <w:r w:rsidR="00DD3433" w:rsidRPr="005359C7">
        <w:rPr>
          <w:lang w:val="fr-CA"/>
        </w:rPr>
        <w:br/>
        <w:t xml:space="preserve">  DU FONDS MULTILATÉ</w:t>
      </w:r>
      <w:r w:rsidRPr="005359C7">
        <w:rPr>
          <w:lang w:val="fr-CA"/>
        </w:rPr>
        <w:t xml:space="preserve">RAL AUX FINS </w:t>
      </w:r>
      <w:r w:rsidRPr="005359C7">
        <w:rPr>
          <w:lang w:val="fr-CA"/>
        </w:rPr>
        <w:br/>
        <w:t xml:space="preserve">  D’APPLICATION DU PROTOCOLE DE MONTR</w:t>
      </w:r>
      <w:r w:rsidR="00DD3433" w:rsidRPr="005359C7">
        <w:rPr>
          <w:lang w:val="fr-CA"/>
        </w:rPr>
        <w:t>É</w:t>
      </w:r>
      <w:r w:rsidRPr="005359C7">
        <w:rPr>
          <w:lang w:val="fr-CA"/>
        </w:rPr>
        <w:t>AL</w:t>
      </w:r>
      <w:r w:rsidRPr="005359C7">
        <w:rPr>
          <w:lang w:val="fr-CA"/>
        </w:rPr>
        <w:br/>
      </w:r>
      <w:r w:rsidR="00E54871" w:rsidRPr="005359C7">
        <w:rPr>
          <w:lang w:val="fr-CA"/>
        </w:rPr>
        <w:t>Quatre</w:t>
      </w:r>
      <w:r w:rsidRPr="005359C7">
        <w:rPr>
          <w:lang w:val="fr-CA"/>
        </w:rPr>
        <w:t>-</w:t>
      </w:r>
      <w:r w:rsidR="00E54871" w:rsidRPr="005359C7">
        <w:rPr>
          <w:lang w:val="fr-CA"/>
        </w:rPr>
        <w:t>vingt</w:t>
      </w:r>
      <w:r w:rsidR="009666A1" w:rsidRPr="005359C7">
        <w:rPr>
          <w:lang w:val="fr-CA"/>
        </w:rPr>
        <w:t>-cin</w:t>
      </w:r>
      <w:r w:rsidR="00AC013C" w:rsidRPr="005359C7">
        <w:rPr>
          <w:lang w:val="fr-CA"/>
        </w:rPr>
        <w:t>q</w:t>
      </w:r>
      <w:r w:rsidR="009666A1" w:rsidRPr="005359C7">
        <w:rPr>
          <w:lang w:val="fr-CA"/>
        </w:rPr>
        <w:t>u</w:t>
      </w:r>
      <w:r w:rsidR="004C2C87" w:rsidRPr="005359C7">
        <w:rPr>
          <w:lang w:val="fr-CA"/>
        </w:rPr>
        <w:t>i</w:t>
      </w:r>
      <w:r w:rsidR="00E54871" w:rsidRPr="005359C7">
        <w:rPr>
          <w:lang w:val="fr-CA"/>
        </w:rPr>
        <w:t>ème</w:t>
      </w:r>
      <w:r w:rsidR="00FC5578" w:rsidRPr="005359C7">
        <w:rPr>
          <w:lang w:val="fr-CA"/>
        </w:rPr>
        <w:t xml:space="preserve"> </w:t>
      </w:r>
      <w:r w:rsidRPr="005359C7">
        <w:rPr>
          <w:lang w:val="fr-CA"/>
        </w:rPr>
        <w:t>réunion</w:t>
      </w:r>
    </w:p>
    <w:p w14:paraId="52D60603" w14:textId="77777777" w:rsidR="00C27322" w:rsidRPr="005359C7" w:rsidRDefault="00C27322" w:rsidP="00C27322">
      <w:pPr>
        <w:jc w:val="left"/>
        <w:rPr>
          <w:lang w:val="fr-CA"/>
        </w:rPr>
      </w:pPr>
      <w:r w:rsidRPr="005359C7">
        <w:rPr>
          <w:lang w:val="fr-CA"/>
        </w:rPr>
        <w:t>Montréal, 25 – 29 mai 2020</w:t>
      </w:r>
    </w:p>
    <w:p w14:paraId="77B18CFC" w14:textId="77777777" w:rsidR="00441083" w:rsidRPr="005359C7" w:rsidRDefault="00C27322" w:rsidP="00AC013C">
      <w:pPr>
        <w:jc w:val="left"/>
        <w:rPr>
          <w:lang w:val="fr-CA"/>
        </w:rPr>
      </w:pPr>
      <w:r w:rsidRPr="005359C7">
        <w:rPr>
          <w:lang w:val="fr-CA"/>
        </w:rPr>
        <w:t>Reportée</w:t>
      </w:r>
      <w:r w:rsidR="003276F0" w:rsidRPr="005359C7">
        <w:rPr>
          <w:lang w:val="fr-CA"/>
        </w:rPr>
        <w:t> : </w:t>
      </w:r>
      <w:r w:rsidR="00AC013C" w:rsidRPr="005359C7">
        <w:rPr>
          <w:lang w:val="fr-CA"/>
        </w:rPr>
        <w:t>1</w:t>
      </w:r>
      <w:r w:rsidR="009666A1" w:rsidRPr="005359C7">
        <w:rPr>
          <w:lang w:val="fr-CA"/>
        </w:rPr>
        <w:t>9</w:t>
      </w:r>
      <w:r w:rsidR="00AC013C" w:rsidRPr="005359C7">
        <w:rPr>
          <w:lang w:val="fr-CA"/>
        </w:rPr>
        <w:t xml:space="preserve"> </w:t>
      </w:r>
      <w:r w:rsidR="00E60D9C" w:rsidRPr="005359C7">
        <w:rPr>
          <w:lang w:val="fr-CA"/>
        </w:rPr>
        <w:t xml:space="preserve">– </w:t>
      </w:r>
      <w:r w:rsidR="00AC013C" w:rsidRPr="005359C7">
        <w:rPr>
          <w:lang w:val="fr-CA"/>
        </w:rPr>
        <w:t>2</w:t>
      </w:r>
      <w:r w:rsidR="009666A1" w:rsidRPr="005359C7">
        <w:rPr>
          <w:lang w:val="fr-CA"/>
        </w:rPr>
        <w:t>2 juillet 2020</w:t>
      </w:r>
      <w:r w:rsidRPr="005359C7">
        <w:rPr>
          <w:lang w:val="fr-CA"/>
        </w:rPr>
        <w:t>*</w:t>
      </w:r>
    </w:p>
    <w:p w14:paraId="717A8EF6" w14:textId="77777777" w:rsidR="00441083" w:rsidRPr="005359C7" w:rsidRDefault="00441083">
      <w:pPr>
        <w:jc w:val="left"/>
        <w:rPr>
          <w:lang w:val="fr-CA"/>
        </w:rPr>
      </w:pPr>
    </w:p>
    <w:p w14:paraId="05CB7778" w14:textId="77777777" w:rsidR="00441083" w:rsidRPr="005359C7" w:rsidRDefault="00441083">
      <w:pPr>
        <w:pStyle w:val="Heading3"/>
        <w:numPr>
          <w:ilvl w:val="0"/>
          <w:numId w:val="0"/>
        </w:numPr>
        <w:spacing w:after="0"/>
        <w:rPr>
          <w:lang w:val="fr-CA"/>
        </w:rPr>
      </w:pPr>
    </w:p>
    <w:p w14:paraId="69B2F30F" w14:textId="77777777" w:rsidR="00441083" w:rsidRPr="005359C7" w:rsidRDefault="00441083">
      <w:pPr>
        <w:pStyle w:val="Title1"/>
        <w:rPr>
          <w:lang w:val="fr-CA"/>
        </w:rPr>
      </w:pPr>
    </w:p>
    <w:p w14:paraId="112376B2" w14:textId="77777777" w:rsidR="00441083" w:rsidRPr="005359C7" w:rsidRDefault="00441083">
      <w:pPr>
        <w:pStyle w:val="Title1"/>
        <w:rPr>
          <w:lang w:val="fr-CA"/>
        </w:rPr>
      </w:pPr>
    </w:p>
    <w:p w14:paraId="188D41E4" w14:textId="0D8C8846" w:rsidR="003276F0" w:rsidRDefault="00886766" w:rsidP="003276F0">
      <w:pPr>
        <w:jc w:val="center"/>
        <w:rPr>
          <w:b/>
          <w:lang w:val="fr-CA"/>
        </w:rPr>
      </w:pPr>
      <w:r w:rsidRPr="005359C7">
        <w:rPr>
          <w:b/>
          <w:bCs/>
          <w:lang w:val="fr-CA"/>
        </w:rPr>
        <w:t>PROPOSITION DE PROJET :</w:t>
      </w:r>
      <w:r w:rsidR="003276F0" w:rsidRPr="005359C7">
        <w:rPr>
          <w:b/>
          <w:lang w:val="fr-CA"/>
        </w:rPr>
        <w:t xml:space="preserve"> SRI LANKA</w:t>
      </w:r>
    </w:p>
    <w:p w14:paraId="63549D79" w14:textId="77777777" w:rsidR="00883403" w:rsidRPr="005359C7" w:rsidRDefault="00883403" w:rsidP="003276F0">
      <w:pPr>
        <w:jc w:val="center"/>
        <w:rPr>
          <w:b/>
          <w:lang w:val="fr-CA"/>
        </w:rPr>
      </w:pPr>
    </w:p>
    <w:p w14:paraId="7E257648" w14:textId="77777777" w:rsidR="003276F0" w:rsidRPr="005359C7" w:rsidRDefault="003276F0" w:rsidP="003276F0">
      <w:pPr>
        <w:rPr>
          <w:lang w:val="fr-CA"/>
        </w:rPr>
      </w:pPr>
    </w:p>
    <w:p w14:paraId="7E3799AB" w14:textId="77777777" w:rsidR="003276F0" w:rsidRPr="005359C7" w:rsidRDefault="003276F0" w:rsidP="003276F0">
      <w:pPr>
        <w:rPr>
          <w:lang w:val="fr-CA"/>
        </w:rPr>
      </w:pPr>
    </w:p>
    <w:p w14:paraId="360F3C84" w14:textId="77777777" w:rsidR="003276F0" w:rsidRPr="005359C7" w:rsidRDefault="00886766" w:rsidP="003276F0">
      <w:pPr>
        <w:ind w:firstLine="720"/>
        <w:rPr>
          <w:lang w:val="fr-CA"/>
        </w:rPr>
      </w:pPr>
      <w:r w:rsidRPr="005359C7">
        <w:rPr>
          <w:lang w:val="fr-CA"/>
        </w:rPr>
        <w:t>Le présent document comporte les observations et la recommandation du Secrétariat du Fonds sur la proposition de projet suivante </w:t>
      </w:r>
      <w:r w:rsidR="003276F0" w:rsidRPr="005359C7">
        <w:rPr>
          <w:lang w:val="fr-CA"/>
        </w:rPr>
        <w:t xml:space="preserve">: </w:t>
      </w:r>
    </w:p>
    <w:p w14:paraId="0191767D" w14:textId="77777777" w:rsidR="003276F0" w:rsidRPr="005359C7" w:rsidRDefault="003276F0" w:rsidP="003276F0">
      <w:pPr>
        <w:rPr>
          <w:lang w:val="fr-CA"/>
        </w:rPr>
      </w:pPr>
    </w:p>
    <w:p w14:paraId="447B476B" w14:textId="77777777" w:rsidR="003276F0" w:rsidRPr="005359C7" w:rsidRDefault="00886766" w:rsidP="003276F0">
      <w:pPr>
        <w:rPr>
          <w:u w:val="single"/>
          <w:lang w:val="fr-CA"/>
        </w:rPr>
      </w:pPr>
      <w:r w:rsidRPr="005359C7">
        <w:rPr>
          <w:u w:val="single"/>
          <w:lang w:val="fr-CA"/>
        </w:rPr>
        <w:t>Élimination</w:t>
      </w:r>
    </w:p>
    <w:p w14:paraId="486F9B94" w14:textId="77777777" w:rsidR="003276F0" w:rsidRPr="005359C7" w:rsidRDefault="003276F0" w:rsidP="003276F0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409"/>
      </w:tblGrid>
      <w:tr w:rsidR="003276F0" w:rsidRPr="005359C7" w14:paraId="7F05485A" w14:textId="77777777" w:rsidTr="006E3D1E">
        <w:tc>
          <w:tcPr>
            <w:tcW w:w="6941" w:type="dxa"/>
          </w:tcPr>
          <w:p w14:paraId="7CB05B8C" w14:textId="77777777" w:rsidR="003276F0" w:rsidRPr="005359C7" w:rsidRDefault="00886766" w:rsidP="00886766">
            <w:pPr>
              <w:pStyle w:val="ListParagraph"/>
              <w:numPr>
                <w:ilvl w:val="0"/>
                <w:numId w:val="24"/>
              </w:numPr>
              <w:ind w:hanging="830"/>
              <w:rPr>
                <w:lang w:val="fr-CA"/>
              </w:rPr>
            </w:pPr>
            <w:r w:rsidRPr="005359C7">
              <w:rPr>
                <w:lang w:val="fr-CA"/>
              </w:rPr>
              <w:t>Plan de gestion de l’élimination des HCFC (phase I, quatrième tranche</w:t>
            </w:r>
            <w:r w:rsidR="003276F0" w:rsidRPr="005359C7">
              <w:rPr>
                <w:lang w:val="fr-CA"/>
              </w:rPr>
              <w:t>)</w:t>
            </w:r>
          </w:p>
        </w:tc>
        <w:tc>
          <w:tcPr>
            <w:tcW w:w="2409" w:type="dxa"/>
          </w:tcPr>
          <w:p w14:paraId="14B50173" w14:textId="77777777" w:rsidR="003276F0" w:rsidRPr="005359C7" w:rsidRDefault="00886766" w:rsidP="006E3D1E">
            <w:pPr>
              <w:jc w:val="right"/>
              <w:rPr>
                <w:lang w:val="fr-CA"/>
              </w:rPr>
            </w:pPr>
            <w:r w:rsidRPr="005359C7">
              <w:rPr>
                <w:lang w:val="fr-CA"/>
              </w:rPr>
              <w:t>PNUD</w:t>
            </w:r>
            <w:r w:rsidR="006E3D1E" w:rsidRPr="005359C7">
              <w:rPr>
                <w:lang w:val="fr-CA"/>
              </w:rPr>
              <w:t xml:space="preserve"> et </w:t>
            </w:r>
            <w:r w:rsidRPr="005359C7">
              <w:rPr>
                <w:lang w:val="fr-CA"/>
              </w:rPr>
              <w:t>PNUE</w:t>
            </w:r>
          </w:p>
        </w:tc>
      </w:tr>
    </w:tbl>
    <w:p w14:paraId="08B5B204" w14:textId="77777777" w:rsidR="003276F0" w:rsidRPr="005359C7" w:rsidRDefault="003276F0" w:rsidP="003276F0">
      <w:pPr>
        <w:rPr>
          <w:lang w:val="fr-CA"/>
        </w:rPr>
      </w:pPr>
    </w:p>
    <w:p w14:paraId="3D7AE6BF" w14:textId="77777777" w:rsidR="00C27322" w:rsidRPr="005359C7" w:rsidRDefault="003276F0" w:rsidP="00C27322">
      <w:pPr>
        <w:pStyle w:val="StyleHeading1Para1Heading1CharHeading1Char3CharHeadin"/>
        <w:rPr>
          <w:lang w:val="fr-CA"/>
        </w:rPr>
      </w:pPr>
      <w:r w:rsidRPr="005359C7">
        <w:rPr>
          <w:lang w:val="fr-CA"/>
        </w:rPr>
        <w:t xml:space="preserve"> </w:t>
      </w:r>
    </w:p>
    <w:p w14:paraId="2EF2F612" w14:textId="77777777" w:rsidR="00C27322" w:rsidRPr="005359C7" w:rsidRDefault="00C27322" w:rsidP="00C27322">
      <w:pPr>
        <w:pStyle w:val="StyleHeading1Para1Heading1CharHeading1Char3CharHeadin"/>
        <w:rPr>
          <w:lang w:val="fr-CA"/>
        </w:rPr>
      </w:pPr>
    </w:p>
    <w:p w14:paraId="39D6CB5C" w14:textId="77777777" w:rsidR="00C27322" w:rsidRPr="005359C7" w:rsidRDefault="00C27322" w:rsidP="00C27322">
      <w:pPr>
        <w:pStyle w:val="StyleHeading1Para1Heading1CharHeading1Char3CharHeadin"/>
        <w:rPr>
          <w:lang w:val="fr-CA"/>
        </w:rPr>
      </w:pPr>
    </w:p>
    <w:p w14:paraId="00445275" w14:textId="77777777" w:rsidR="00C27322" w:rsidRPr="005359C7" w:rsidRDefault="00C27322" w:rsidP="00C27322">
      <w:pPr>
        <w:pStyle w:val="StyleHeading1Para1Heading1CharHeading1Char3CharHeadin"/>
        <w:rPr>
          <w:lang w:val="fr-CA"/>
        </w:rPr>
      </w:pPr>
    </w:p>
    <w:p w14:paraId="581BF14C" w14:textId="77777777" w:rsidR="00C27322" w:rsidRPr="005359C7" w:rsidRDefault="00C27322" w:rsidP="00C27322">
      <w:pPr>
        <w:pStyle w:val="StyleHeading1Para1Heading1CharHeading1Char3CharHeadin"/>
        <w:rPr>
          <w:lang w:val="fr-CA"/>
        </w:rPr>
      </w:pPr>
    </w:p>
    <w:p w14:paraId="4304E38D" w14:textId="560D6FFF" w:rsidR="00C27322" w:rsidRPr="005359C7" w:rsidRDefault="00C27322" w:rsidP="00C27322">
      <w:pPr>
        <w:pStyle w:val="StyleHeader4Para4Left0Firstline0"/>
        <w:numPr>
          <w:ilvl w:val="0"/>
          <w:numId w:val="0"/>
        </w:numPr>
        <w:ind w:left="360"/>
        <w:rPr>
          <w:lang w:val="fr-CA"/>
        </w:rPr>
      </w:pPr>
      <w:r w:rsidRPr="005359C7">
        <w:rPr>
          <w:lang w:val="fr-CA"/>
        </w:rPr>
        <w:t xml:space="preserve">* </w:t>
      </w:r>
      <w:r w:rsidR="00883403">
        <w:rPr>
          <w:lang w:val="fr-CA"/>
        </w:rPr>
        <w:t>A cause</w:t>
      </w:r>
      <w:r w:rsidRPr="005359C7">
        <w:rPr>
          <w:lang w:val="fr-CA"/>
        </w:rPr>
        <w:t xml:space="preserve"> du coronavirus (COVID-19)</w:t>
      </w:r>
      <w:r w:rsidRPr="005359C7">
        <w:rPr>
          <w:lang w:val="fr-CA"/>
        </w:rPr>
        <w:br w:type="page"/>
      </w:r>
    </w:p>
    <w:p w14:paraId="2D9A7283" w14:textId="77777777" w:rsidR="003276F0" w:rsidRPr="005359C7" w:rsidRDefault="00915C13" w:rsidP="003276F0">
      <w:pPr>
        <w:jc w:val="center"/>
        <w:rPr>
          <w:b/>
          <w:lang w:val="fr-CA"/>
        </w:rPr>
      </w:pPr>
      <w:r w:rsidRPr="005359C7">
        <w:rPr>
          <w:b/>
          <w:bCs/>
          <w:lang w:val="fr-CA"/>
        </w:rPr>
        <w:lastRenderedPageBreak/>
        <w:t>FICHE D’ÉVALUATION DE PROJET - PROJETS PLURIANNUELS</w:t>
      </w:r>
    </w:p>
    <w:p w14:paraId="1927E0B6" w14:textId="77777777" w:rsidR="003276F0" w:rsidRPr="005359C7" w:rsidRDefault="003276F0" w:rsidP="003276F0">
      <w:pPr>
        <w:jc w:val="center"/>
        <w:rPr>
          <w:lang w:val="fr-CA"/>
        </w:rPr>
      </w:pPr>
      <w:r w:rsidRPr="005359C7">
        <w:rPr>
          <w:b/>
          <w:lang w:val="fr-CA"/>
        </w:rPr>
        <w:t>Sri Lanka</w:t>
      </w:r>
    </w:p>
    <w:p w14:paraId="29E466C8" w14:textId="77777777" w:rsidR="003276F0" w:rsidRPr="005359C7" w:rsidRDefault="00915C13" w:rsidP="003276F0">
      <w:pPr>
        <w:spacing w:after="80"/>
        <w:jc w:val="center"/>
        <w:rPr>
          <w:lang w:val="fr-CA"/>
        </w:rPr>
      </w:pPr>
      <w:r w:rsidRPr="005359C7">
        <w:rPr>
          <w:lang w:val="fr-CA"/>
        </w:rPr>
        <w:t xml:space="preserve"> </w:t>
      </w:r>
    </w:p>
    <w:tbl>
      <w:tblPr>
        <w:tblStyle w:val="TableGrid"/>
        <w:tblW w:w="10206" w:type="dxa"/>
        <w:jc w:val="center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2537"/>
        <w:gridCol w:w="2832"/>
        <w:gridCol w:w="2425"/>
        <w:gridCol w:w="2412"/>
      </w:tblGrid>
      <w:tr w:rsidR="006E3D1E" w:rsidRPr="005359C7" w14:paraId="1B2C8642" w14:textId="77777777" w:rsidTr="00E41063">
        <w:trPr>
          <w:trHeight w:val="240"/>
          <w:jc w:val="center"/>
        </w:trPr>
        <w:tc>
          <w:tcPr>
            <w:tcW w:w="253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A47D721" w14:textId="77777777" w:rsidR="006E3D1E" w:rsidRPr="005359C7" w:rsidRDefault="006E3D1E" w:rsidP="006E3D1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fr-CA"/>
              </w:rPr>
            </w:pPr>
            <w:r w:rsidRPr="005359C7">
              <w:rPr>
                <w:b/>
                <w:bCs/>
                <w:sz w:val="18"/>
                <w:szCs w:val="18"/>
                <w:lang w:val="fr-CA"/>
              </w:rPr>
              <w:t xml:space="preserve">(I) TITRE DU PROJET </w:t>
            </w:r>
          </w:p>
        </w:tc>
        <w:tc>
          <w:tcPr>
            <w:tcW w:w="283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114E9F9" w14:textId="77777777" w:rsidR="006E3D1E" w:rsidRPr="005359C7" w:rsidRDefault="006E3D1E" w:rsidP="006E3D1E">
            <w:pPr>
              <w:jc w:val="center"/>
              <w:rPr>
                <w:b/>
                <w:sz w:val="18"/>
                <w:szCs w:val="18"/>
                <w:lang w:val="fr-CA"/>
              </w:rPr>
            </w:pPr>
            <w:r w:rsidRPr="005359C7">
              <w:rPr>
                <w:b/>
                <w:sz w:val="18"/>
                <w:szCs w:val="18"/>
                <w:lang w:val="fr-CA"/>
              </w:rPr>
              <w:t>AGENCE</w:t>
            </w:r>
          </w:p>
        </w:tc>
        <w:tc>
          <w:tcPr>
            <w:tcW w:w="242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A60DF41" w14:textId="77777777" w:rsidR="006E3D1E" w:rsidRPr="005359C7" w:rsidRDefault="006E3D1E" w:rsidP="006E3D1E">
            <w:pPr>
              <w:jc w:val="center"/>
              <w:rPr>
                <w:b/>
                <w:sz w:val="18"/>
                <w:szCs w:val="18"/>
                <w:lang w:val="fr-CA"/>
              </w:rPr>
            </w:pPr>
            <w:r w:rsidRPr="005359C7">
              <w:rPr>
                <w:b/>
                <w:sz w:val="18"/>
                <w:szCs w:val="18"/>
                <w:lang w:val="fr-CA"/>
              </w:rPr>
              <w:t>DATE D’APPROBATION</w:t>
            </w:r>
          </w:p>
        </w:tc>
        <w:tc>
          <w:tcPr>
            <w:tcW w:w="241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161ACBD" w14:textId="77777777" w:rsidR="006E3D1E" w:rsidRPr="005359C7" w:rsidRDefault="006E3D1E" w:rsidP="006E3D1E">
            <w:pPr>
              <w:jc w:val="center"/>
              <w:rPr>
                <w:b/>
                <w:sz w:val="18"/>
                <w:szCs w:val="18"/>
                <w:lang w:val="fr-CA"/>
              </w:rPr>
            </w:pPr>
            <w:r w:rsidRPr="005359C7">
              <w:rPr>
                <w:b/>
                <w:sz w:val="18"/>
                <w:szCs w:val="18"/>
                <w:lang w:val="fr-CA"/>
              </w:rPr>
              <w:t>MESURE DE RÉGLEMENTATION</w:t>
            </w:r>
          </w:p>
        </w:tc>
      </w:tr>
      <w:tr w:rsidR="003276F0" w:rsidRPr="005359C7" w14:paraId="5426A80F" w14:textId="77777777" w:rsidTr="00E41063">
        <w:trPr>
          <w:trHeight w:val="240"/>
          <w:jc w:val="center"/>
        </w:trPr>
        <w:tc>
          <w:tcPr>
            <w:tcW w:w="253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6276347" w14:textId="77777777" w:rsidR="003276F0" w:rsidRPr="005359C7" w:rsidRDefault="006E3D1E" w:rsidP="006E3D1E">
            <w:pPr>
              <w:autoSpaceDE w:val="0"/>
              <w:autoSpaceDN w:val="0"/>
              <w:adjustRightInd w:val="0"/>
              <w:jc w:val="left"/>
              <w:rPr>
                <w:sz w:val="18"/>
                <w:lang w:val="fr-CA"/>
              </w:rPr>
            </w:pPr>
            <w:r w:rsidRPr="005359C7">
              <w:rPr>
                <w:sz w:val="18"/>
                <w:szCs w:val="18"/>
                <w:lang w:val="fr-CA"/>
              </w:rPr>
              <w:t>Plan d’élimination des HCFC (phase I)</w:t>
            </w:r>
          </w:p>
        </w:tc>
        <w:tc>
          <w:tcPr>
            <w:tcW w:w="283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0185CD9" w14:textId="77777777" w:rsidR="003276F0" w:rsidRPr="005359C7" w:rsidRDefault="00886766" w:rsidP="00841F84">
            <w:pPr>
              <w:spacing w:after="80"/>
              <w:jc w:val="center"/>
              <w:rPr>
                <w:sz w:val="18"/>
                <w:lang w:val="fr-CA"/>
              </w:rPr>
            </w:pPr>
            <w:r w:rsidRPr="005359C7">
              <w:rPr>
                <w:sz w:val="18"/>
                <w:lang w:val="fr-CA"/>
              </w:rPr>
              <w:t>PNUD</w:t>
            </w:r>
            <w:r w:rsidR="003276F0" w:rsidRPr="005359C7">
              <w:rPr>
                <w:sz w:val="18"/>
                <w:lang w:val="fr-CA"/>
              </w:rPr>
              <w:t xml:space="preserve"> (</w:t>
            </w:r>
            <w:r w:rsidR="00841F84" w:rsidRPr="005359C7">
              <w:rPr>
                <w:sz w:val="18"/>
                <w:lang w:val="fr-CA"/>
              </w:rPr>
              <w:t>agence principale)</w:t>
            </w:r>
          </w:p>
        </w:tc>
        <w:tc>
          <w:tcPr>
            <w:tcW w:w="242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1AE9596" w14:textId="77777777" w:rsidR="003276F0" w:rsidRPr="005359C7" w:rsidRDefault="00841F84" w:rsidP="00841F84">
            <w:pPr>
              <w:spacing w:after="80"/>
              <w:jc w:val="center"/>
              <w:rPr>
                <w:sz w:val="18"/>
                <w:lang w:val="fr-CA"/>
              </w:rPr>
            </w:pPr>
            <w:r w:rsidRPr="005359C7">
              <w:rPr>
                <w:sz w:val="18"/>
                <w:lang w:val="fr-CA"/>
              </w:rPr>
              <w:t>6</w:t>
            </w:r>
            <w:r w:rsidR="003276F0" w:rsidRPr="005359C7">
              <w:rPr>
                <w:sz w:val="18"/>
                <w:lang w:val="fr-CA"/>
              </w:rPr>
              <w:t>2</w:t>
            </w:r>
            <w:r w:rsidRPr="005359C7">
              <w:rPr>
                <w:sz w:val="18"/>
                <w:vertAlign w:val="superscript"/>
                <w:lang w:val="fr-CA"/>
              </w:rPr>
              <w:t>e</w:t>
            </w:r>
            <w:r w:rsidRPr="005359C7">
              <w:rPr>
                <w:sz w:val="18"/>
                <w:lang w:val="fr-CA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61AD65C9" w14:textId="77777777" w:rsidR="003276F0" w:rsidRPr="005359C7" w:rsidRDefault="003276F0" w:rsidP="006E3D1E">
            <w:pPr>
              <w:spacing w:after="80"/>
              <w:jc w:val="center"/>
              <w:rPr>
                <w:sz w:val="18"/>
                <w:lang w:val="fr-CA"/>
              </w:rPr>
            </w:pPr>
            <w:r w:rsidRPr="005359C7">
              <w:rPr>
                <w:sz w:val="18"/>
                <w:lang w:val="fr-CA"/>
              </w:rPr>
              <w:t>35</w:t>
            </w:r>
            <w:r w:rsidR="006E3D1E" w:rsidRPr="005359C7">
              <w:rPr>
                <w:sz w:val="18"/>
                <w:lang w:val="fr-CA"/>
              </w:rPr>
              <w:t> %</w:t>
            </w:r>
            <w:r w:rsidRPr="005359C7">
              <w:rPr>
                <w:sz w:val="18"/>
                <w:lang w:val="fr-CA"/>
              </w:rPr>
              <w:t xml:space="preserve"> </w:t>
            </w:r>
            <w:r w:rsidR="006E3D1E" w:rsidRPr="005359C7">
              <w:rPr>
                <w:sz w:val="18"/>
                <w:lang w:val="fr-CA"/>
              </w:rPr>
              <w:t>d’ici 2020</w:t>
            </w:r>
          </w:p>
        </w:tc>
      </w:tr>
    </w:tbl>
    <w:p w14:paraId="6A0A31B2" w14:textId="77777777" w:rsidR="003276F0" w:rsidRPr="005359C7" w:rsidRDefault="003276F0" w:rsidP="003276F0">
      <w:pPr>
        <w:spacing w:after="60"/>
        <w:jc w:val="center"/>
        <w:rPr>
          <w:lang w:val="fr-CA"/>
        </w:rPr>
      </w:pPr>
    </w:p>
    <w:tbl>
      <w:tblPr>
        <w:tblStyle w:val="TableGrid"/>
        <w:tblW w:w="10206" w:type="dxa"/>
        <w:jc w:val="center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5385"/>
        <w:gridCol w:w="2409"/>
        <w:gridCol w:w="2412"/>
      </w:tblGrid>
      <w:tr w:rsidR="003276F0" w:rsidRPr="005359C7" w14:paraId="2FD67FEC" w14:textId="77777777" w:rsidTr="00E41063">
        <w:trPr>
          <w:trHeight w:val="240"/>
          <w:jc w:val="center"/>
        </w:trPr>
        <w:tc>
          <w:tcPr>
            <w:tcW w:w="538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2421693C" w14:textId="77777777" w:rsidR="003276F0" w:rsidRPr="005359C7" w:rsidRDefault="00F544DC" w:rsidP="006E3D1E">
            <w:pPr>
              <w:spacing w:after="60"/>
              <w:jc w:val="left"/>
              <w:rPr>
                <w:b/>
                <w:sz w:val="18"/>
                <w:lang w:val="fr-CA"/>
              </w:rPr>
            </w:pPr>
            <w:r w:rsidRPr="005359C7">
              <w:rPr>
                <w:b/>
                <w:sz w:val="18"/>
                <w:lang w:val="fr-CA"/>
              </w:rPr>
              <w:t>(II) DERNIÈRES DONNÉES DE L’ARTICLE 7 (Annexe C -  Groupe l)</w:t>
            </w:r>
          </w:p>
        </w:tc>
        <w:tc>
          <w:tcPr>
            <w:tcW w:w="2409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0CEE808" w14:textId="77777777" w:rsidR="003276F0" w:rsidRPr="005359C7" w:rsidRDefault="00F544DC" w:rsidP="006E3D1E">
            <w:pPr>
              <w:spacing w:after="60"/>
              <w:jc w:val="center"/>
              <w:rPr>
                <w:sz w:val="18"/>
                <w:lang w:val="fr-CA"/>
              </w:rPr>
            </w:pPr>
            <w:r w:rsidRPr="005359C7">
              <w:rPr>
                <w:sz w:val="18"/>
                <w:lang w:val="fr-CA"/>
              </w:rPr>
              <w:t>Année :</w:t>
            </w:r>
            <w:r w:rsidR="003276F0" w:rsidRPr="005359C7">
              <w:rPr>
                <w:sz w:val="18"/>
                <w:lang w:val="fr-CA"/>
              </w:rPr>
              <w:t xml:space="preserve"> 2018</w:t>
            </w:r>
          </w:p>
        </w:tc>
        <w:tc>
          <w:tcPr>
            <w:tcW w:w="241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CA84E74" w14:textId="77777777" w:rsidR="003276F0" w:rsidRPr="005359C7" w:rsidRDefault="003276F0" w:rsidP="006E3D1E">
            <w:pPr>
              <w:spacing w:after="60"/>
              <w:jc w:val="right"/>
              <w:rPr>
                <w:sz w:val="18"/>
                <w:lang w:val="fr-CA"/>
              </w:rPr>
            </w:pPr>
            <w:r w:rsidRPr="005359C7">
              <w:rPr>
                <w:sz w:val="18"/>
                <w:lang w:val="fr-CA"/>
              </w:rPr>
              <w:t>1</w:t>
            </w:r>
            <w:r w:rsidR="006E3D1E" w:rsidRPr="005359C7">
              <w:rPr>
                <w:sz w:val="18"/>
                <w:lang w:val="fr-CA"/>
              </w:rPr>
              <w:t>0,</w:t>
            </w:r>
            <w:r w:rsidRPr="005359C7">
              <w:rPr>
                <w:sz w:val="18"/>
                <w:lang w:val="fr-CA"/>
              </w:rPr>
              <w:t xml:space="preserve">31 </w:t>
            </w:r>
            <w:r w:rsidR="006E3D1E" w:rsidRPr="005359C7">
              <w:rPr>
                <w:sz w:val="18"/>
                <w:lang w:val="fr-CA"/>
              </w:rPr>
              <w:t>(tonnes PAO</w:t>
            </w:r>
            <w:r w:rsidRPr="005359C7">
              <w:rPr>
                <w:sz w:val="18"/>
                <w:lang w:val="fr-CA"/>
              </w:rPr>
              <w:t>)</w:t>
            </w:r>
          </w:p>
        </w:tc>
      </w:tr>
    </w:tbl>
    <w:p w14:paraId="52F65B06" w14:textId="77777777" w:rsidR="003276F0" w:rsidRPr="005359C7" w:rsidRDefault="003276F0" w:rsidP="003276F0">
      <w:pPr>
        <w:spacing w:after="60"/>
        <w:jc w:val="center"/>
        <w:rPr>
          <w:lang w:val="fr-CA"/>
        </w:rPr>
      </w:pPr>
    </w:p>
    <w:tbl>
      <w:tblPr>
        <w:tblStyle w:val="TableGrid"/>
        <w:tblW w:w="10213" w:type="dxa"/>
        <w:jc w:val="center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56"/>
        <w:gridCol w:w="856"/>
        <w:gridCol w:w="847"/>
        <w:gridCol w:w="1034"/>
        <w:gridCol w:w="1036"/>
        <w:gridCol w:w="876"/>
        <w:gridCol w:w="837"/>
        <w:gridCol w:w="1350"/>
        <w:gridCol w:w="1104"/>
        <w:gridCol w:w="1317"/>
      </w:tblGrid>
      <w:tr w:rsidR="003276F0" w:rsidRPr="005359C7" w14:paraId="0AB2B9B1" w14:textId="77777777" w:rsidTr="00A4276C">
        <w:trPr>
          <w:trHeight w:val="240"/>
          <w:jc w:val="center"/>
        </w:trPr>
        <w:tc>
          <w:tcPr>
            <w:tcW w:w="0" w:type="auto"/>
            <w:gridSpan w:val="8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500ECA4C" w14:textId="77777777" w:rsidR="003276F0" w:rsidRPr="005359C7" w:rsidRDefault="003276F0" w:rsidP="006E3D1E">
            <w:pPr>
              <w:spacing w:after="60"/>
              <w:jc w:val="left"/>
              <w:rPr>
                <w:b/>
                <w:sz w:val="18"/>
                <w:lang w:val="fr-CA"/>
              </w:rPr>
            </w:pPr>
            <w:r w:rsidRPr="005359C7">
              <w:rPr>
                <w:b/>
                <w:sz w:val="18"/>
                <w:lang w:val="fr-CA"/>
              </w:rPr>
              <w:t xml:space="preserve">(III) </w:t>
            </w:r>
            <w:r w:rsidR="00F544DC" w:rsidRPr="005359C7">
              <w:rPr>
                <w:b/>
                <w:bCs/>
                <w:sz w:val="18"/>
                <w:szCs w:val="18"/>
                <w:lang w:val="fr-CA"/>
              </w:rPr>
              <w:t>DERNIÈRES DONNÉES SECTORIELLES DU PROGRAMME DE PAYS</w:t>
            </w:r>
            <w:r w:rsidR="00F544DC" w:rsidRPr="005359C7">
              <w:rPr>
                <w:b/>
                <w:sz w:val="18"/>
                <w:lang w:val="fr-CA"/>
              </w:rPr>
              <w:t xml:space="preserve"> </w:t>
            </w:r>
            <w:r w:rsidR="006E3D1E" w:rsidRPr="005359C7">
              <w:rPr>
                <w:b/>
                <w:sz w:val="18"/>
                <w:lang w:val="fr-CA"/>
              </w:rPr>
              <w:t>(tonnes PAO</w:t>
            </w:r>
            <w:r w:rsidRPr="005359C7">
              <w:rPr>
                <w:b/>
                <w:sz w:val="18"/>
                <w:lang w:val="fr-CA"/>
              </w:rPr>
              <w:t>)</w:t>
            </w:r>
          </w:p>
        </w:tc>
        <w:tc>
          <w:tcPr>
            <w:tcW w:w="2313" w:type="dxa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6273ACA2" w14:textId="77777777" w:rsidR="003276F0" w:rsidRPr="005359C7" w:rsidRDefault="00F544DC" w:rsidP="006E3D1E">
            <w:pPr>
              <w:spacing w:after="60"/>
              <w:jc w:val="right"/>
              <w:rPr>
                <w:b/>
                <w:sz w:val="18"/>
                <w:lang w:val="fr-CA"/>
              </w:rPr>
            </w:pPr>
            <w:r w:rsidRPr="005359C7">
              <w:rPr>
                <w:b/>
                <w:sz w:val="18"/>
                <w:lang w:val="fr-CA"/>
              </w:rPr>
              <w:t>Année :</w:t>
            </w:r>
            <w:r w:rsidR="003276F0" w:rsidRPr="005359C7">
              <w:rPr>
                <w:b/>
                <w:sz w:val="18"/>
                <w:lang w:val="fr-CA"/>
              </w:rPr>
              <w:t xml:space="preserve"> 2018</w:t>
            </w:r>
          </w:p>
        </w:tc>
      </w:tr>
      <w:tr w:rsidR="00A4276C" w:rsidRPr="005359C7" w14:paraId="1D5936D1" w14:textId="77777777" w:rsidTr="00A4276C">
        <w:trPr>
          <w:trHeight w:val="240"/>
          <w:jc w:val="center"/>
        </w:trPr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58A71ED" w14:textId="77777777" w:rsidR="00A4276C" w:rsidRPr="005359C7" w:rsidRDefault="00A4276C" w:rsidP="00401DA7">
            <w:pPr>
              <w:spacing w:after="60"/>
              <w:jc w:val="center"/>
              <w:rPr>
                <w:sz w:val="18"/>
                <w:lang w:val="fr-CA"/>
              </w:rPr>
            </w:pPr>
            <w:r w:rsidRPr="005359C7">
              <w:rPr>
                <w:sz w:val="18"/>
                <w:lang w:val="fr-CA"/>
              </w:rPr>
              <w:t>Produits chimiques</w:t>
            </w: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2B415489" w14:textId="77777777" w:rsidR="00A4276C" w:rsidRPr="005359C7" w:rsidRDefault="00A4276C" w:rsidP="00401DA7">
            <w:pPr>
              <w:spacing w:after="60"/>
              <w:jc w:val="center"/>
              <w:rPr>
                <w:sz w:val="18"/>
                <w:lang w:val="fr-CA"/>
              </w:rPr>
            </w:pPr>
            <w:r w:rsidRPr="005359C7">
              <w:rPr>
                <w:sz w:val="18"/>
                <w:lang w:val="fr-CA"/>
              </w:rPr>
              <w:t>Aérosols</w:t>
            </w: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454D188" w14:textId="77777777" w:rsidR="00A4276C" w:rsidRPr="005359C7" w:rsidRDefault="00A4276C" w:rsidP="00401DA7">
            <w:pPr>
              <w:spacing w:after="60"/>
              <w:jc w:val="center"/>
              <w:rPr>
                <w:sz w:val="18"/>
                <w:lang w:val="fr-CA"/>
              </w:rPr>
            </w:pPr>
            <w:r w:rsidRPr="005359C7">
              <w:rPr>
                <w:sz w:val="18"/>
                <w:lang w:val="fr-CA"/>
              </w:rPr>
              <w:t>Mousses</w:t>
            </w: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4F70601" w14:textId="77777777" w:rsidR="00A4276C" w:rsidRPr="005359C7" w:rsidRDefault="00A4276C" w:rsidP="00401DA7">
            <w:pPr>
              <w:spacing w:after="60"/>
              <w:jc w:val="center"/>
              <w:rPr>
                <w:sz w:val="18"/>
                <w:lang w:val="fr-CA"/>
              </w:rPr>
            </w:pPr>
            <w:r w:rsidRPr="005359C7">
              <w:rPr>
                <w:sz w:val="18"/>
                <w:lang w:val="fr-CA"/>
              </w:rPr>
              <w:t>Lutte contre l’incendie</w:t>
            </w:r>
          </w:p>
        </w:tc>
        <w:tc>
          <w:tcPr>
            <w:tcW w:w="0" w:type="auto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53AE25A9" w14:textId="77777777" w:rsidR="00A4276C" w:rsidRPr="005359C7" w:rsidRDefault="00A4276C" w:rsidP="00401DA7">
            <w:pPr>
              <w:spacing w:after="60"/>
              <w:jc w:val="center"/>
              <w:rPr>
                <w:sz w:val="18"/>
                <w:lang w:val="fr-CA"/>
              </w:rPr>
            </w:pPr>
            <w:r w:rsidRPr="005359C7">
              <w:rPr>
                <w:sz w:val="18"/>
                <w:lang w:val="fr-CA"/>
              </w:rPr>
              <w:t>Réfrigération</w:t>
            </w: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5AE7A14E" w14:textId="77777777" w:rsidR="00A4276C" w:rsidRPr="005359C7" w:rsidRDefault="00A4276C" w:rsidP="00401DA7">
            <w:pPr>
              <w:spacing w:after="60"/>
              <w:jc w:val="center"/>
              <w:rPr>
                <w:sz w:val="18"/>
                <w:lang w:val="fr-CA"/>
              </w:rPr>
            </w:pPr>
            <w:r w:rsidRPr="005359C7">
              <w:rPr>
                <w:sz w:val="18"/>
                <w:lang w:val="fr-CA"/>
              </w:rPr>
              <w:t>Solvants</w:t>
            </w: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324102C" w14:textId="77777777" w:rsidR="00A4276C" w:rsidRPr="005359C7" w:rsidRDefault="00A4276C" w:rsidP="00401DA7">
            <w:pPr>
              <w:spacing w:after="60"/>
              <w:jc w:val="center"/>
              <w:rPr>
                <w:sz w:val="18"/>
                <w:lang w:val="fr-CA"/>
              </w:rPr>
            </w:pPr>
            <w:r w:rsidRPr="005359C7">
              <w:rPr>
                <w:sz w:val="18"/>
                <w:lang w:val="fr-CA"/>
              </w:rPr>
              <w:t>Agent de transformation</w:t>
            </w: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98D0B81" w14:textId="77777777" w:rsidR="00A4276C" w:rsidRPr="005359C7" w:rsidRDefault="00A4276C" w:rsidP="00401DA7">
            <w:pPr>
              <w:spacing w:after="60"/>
              <w:jc w:val="center"/>
              <w:rPr>
                <w:sz w:val="18"/>
                <w:lang w:val="fr-CA"/>
              </w:rPr>
            </w:pPr>
            <w:r w:rsidRPr="005359C7">
              <w:rPr>
                <w:sz w:val="18"/>
                <w:lang w:val="fr-CA"/>
              </w:rPr>
              <w:t>Utilisation en laboratoire</w:t>
            </w:r>
          </w:p>
        </w:tc>
        <w:tc>
          <w:tcPr>
            <w:tcW w:w="13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52FF0B16" w14:textId="77777777" w:rsidR="00A4276C" w:rsidRPr="005359C7" w:rsidRDefault="00A4276C" w:rsidP="00401DA7">
            <w:pPr>
              <w:spacing w:after="60"/>
              <w:jc w:val="center"/>
              <w:rPr>
                <w:sz w:val="18"/>
                <w:lang w:val="fr-CA"/>
              </w:rPr>
            </w:pPr>
            <w:r w:rsidRPr="005359C7">
              <w:rPr>
                <w:sz w:val="18"/>
                <w:lang w:val="fr-CA"/>
              </w:rPr>
              <w:t>Consommation totale                  du secteur</w:t>
            </w:r>
          </w:p>
        </w:tc>
      </w:tr>
      <w:tr w:rsidR="00A4276C" w:rsidRPr="005359C7" w14:paraId="0106AC31" w14:textId="77777777" w:rsidTr="00A4276C">
        <w:trPr>
          <w:trHeight w:val="240"/>
          <w:jc w:val="center"/>
        </w:trPr>
        <w:tc>
          <w:tcPr>
            <w:tcW w:w="0" w:type="auto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298B204" w14:textId="77777777" w:rsidR="00A4276C" w:rsidRPr="005359C7" w:rsidRDefault="00A4276C" w:rsidP="006E3D1E">
            <w:pPr>
              <w:spacing w:after="60"/>
              <w:jc w:val="center"/>
              <w:rPr>
                <w:sz w:val="18"/>
                <w:lang w:val="fr-CA"/>
              </w:rPr>
            </w:pPr>
            <w:r w:rsidRPr="005359C7">
              <w:rPr>
                <w:sz w:val="18"/>
                <w:lang w:val="fr-C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6F1FEDF" w14:textId="77777777" w:rsidR="00A4276C" w:rsidRPr="005359C7" w:rsidRDefault="00A4276C" w:rsidP="00401DA7">
            <w:pPr>
              <w:spacing w:after="60"/>
              <w:jc w:val="center"/>
              <w:rPr>
                <w:sz w:val="18"/>
                <w:lang w:val="fr-CA"/>
              </w:rPr>
            </w:pPr>
            <w:r w:rsidRPr="005359C7">
              <w:rPr>
                <w:sz w:val="18"/>
                <w:lang w:val="fr-CA"/>
              </w:rPr>
              <w:t>Fabrication</w:t>
            </w: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CCB8C6C" w14:textId="77777777" w:rsidR="00A4276C" w:rsidRPr="005359C7" w:rsidRDefault="00A4276C" w:rsidP="00401DA7">
            <w:pPr>
              <w:spacing w:after="60"/>
              <w:jc w:val="center"/>
              <w:rPr>
                <w:sz w:val="18"/>
                <w:lang w:val="fr-CA"/>
              </w:rPr>
            </w:pPr>
            <w:r w:rsidRPr="005359C7">
              <w:rPr>
                <w:sz w:val="18"/>
                <w:lang w:val="fr-CA"/>
              </w:rPr>
              <w:t>Entretien</w:t>
            </w:r>
          </w:p>
        </w:tc>
        <w:tc>
          <w:tcPr>
            <w:tcW w:w="4426" w:type="dxa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7D71328" w14:textId="77777777" w:rsidR="00A4276C" w:rsidRPr="005359C7" w:rsidRDefault="00A4276C" w:rsidP="006E3D1E">
            <w:pPr>
              <w:spacing w:after="60"/>
              <w:jc w:val="center"/>
              <w:rPr>
                <w:sz w:val="18"/>
                <w:lang w:val="fr-CA"/>
              </w:rPr>
            </w:pPr>
          </w:p>
        </w:tc>
      </w:tr>
      <w:tr w:rsidR="003276F0" w:rsidRPr="005359C7" w14:paraId="517E1772" w14:textId="77777777" w:rsidTr="00A4276C">
        <w:trPr>
          <w:trHeight w:val="240"/>
          <w:jc w:val="center"/>
        </w:trPr>
        <w:tc>
          <w:tcPr>
            <w:tcW w:w="95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808924A" w14:textId="77777777" w:rsidR="003276F0" w:rsidRPr="005359C7" w:rsidRDefault="003276F0" w:rsidP="006E3D1E">
            <w:pPr>
              <w:spacing w:after="60"/>
              <w:jc w:val="left"/>
              <w:rPr>
                <w:sz w:val="18"/>
                <w:lang w:val="fr-CA"/>
              </w:rPr>
            </w:pPr>
            <w:r w:rsidRPr="005359C7">
              <w:rPr>
                <w:sz w:val="18"/>
                <w:lang w:val="fr-CA"/>
              </w:rPr>
              <w:t>HCFC-22</w:t>
            </w: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BE10D74" w14:textId="77777777" w:rsidR="003276F0" w:rsidRPr="005359C7" w:rsidRDefault="003276F0" w:rsidP="006E3D1E">
            <w:pPr>
              <w:spacing w:after="60"/>
              <w:jc w:val="right"/>
              <w:rPr>
                <w:sz w:val="18"/>
                <w:lang w:val="fr-CA"/>
              </w:rPr>
            </w:pP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3CE082A" w14:textId="77777777" w:rsidR="003276F0" w:rsidRPr="005359C7" w:rsidRDefault="003276F0" w:rsidP="006E3D1E">
            <w:pPr>
              <w:spacing w:after="60"/>
              <w:jc w:val="right"/>
              <w:rPr>
                <w:sz w:val="18"/>
                <w:lang w:val="fr-CA"/>
              </w:rPr>
            </w:pP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21BF1D3" w14:textId="77777777" w:rsidR="003276F0" w:rsidRPr="005359C7" w:rsidRDefault="003276F0" w:rsidP="006E3D1E">
            <w:pPr>
              <w:spacing w:after="60"/>
              <w:jc w:val="right"/>
              <w:rPr>
                <w:sz w:val="18"/>
                <w:lang w:val="fr-CA"/>
              </w:rPr>
            </w:pP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518F8D4" w14:textId="77777777" w:rsidR="003276F0" w:rsidRPr="005359C7" w:rsidRDefault="003276F0" w:rsidP="006E3D1E">
            <w:pPr>
              <w:spacing w:after="60"/>
              <w:jc w:val="right"/>
              <w:rPr>
                <w:sz w:val="18"/>
                <w:lang w:val="fr-CA"/>
              </w:rPr>
            </w:pP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A0EBA4D" w14:textId="77777777" w:rsidR="003276F0" w:rsidRPr="005359C7" w:rsidRDefault="003276F0" w:rsidP="006E3D1E">
            <w:pPr>
              <w:spacing w:after="60"/>
              <w:jc w:val="right"/>
              <w:rPr>
                <w:sz w:val="18"/>
                <w:lang w:val="fr-CA"/>
              </w:rPr>
            </w:pPr>
            <w:r w:rsidRPr="005359C7">
              <w:rPr>
                <w:sz w:val="18"/>
                <w:lang w:val="fr-CA"/>
              </w:rPr>
              <w:t>1</w:t>
            </w:r>
            <w:r w:rsidR="006E3D1E" w:rsidRPr="005359C7">
              <w:rPr>
                <w:sz w:val="18"/>
                <w:lang w:val="fr-CA"/>
              </w:rPr>
              <w:t>0,</w:t>
            </w:r>
            <w:r w:rsidRPr="005359C7">
              <w:rPr>
                <w:sz w:val="18"/>
                <w:lang w:val="fr-CA"/>
              </w:rPr>
              <w:t>31</w:t>
            </w: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20DFB48" w14:textId="77777777" w:rsidR="003276F0" w:rsidRPr="005359C7" w:rsidRDefault="003276F0" w:rsidP="006E3D1E">
            <w:pPr>
              <w:spacing w:after="60"/>
              <w:jc w:val="right"/>
              <w:rPr>
                <w:sz w:val="18"/>
                <w:lang w:val="fr-CA"/>
              </w:rPr>
            </w:pP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D6DD4CB" w14:textId="77777777" w:rsidR="003276F0" w:rsidRPr="005359C7" w:rsidRDefault="003276F0" w:rsidP="006E3D1E">
            <w:pPr>
              <w:spacing w:after="60"/>
              <w:jc w:val="right"/>
              <w:rPr>
                <w:sz w:val="18"/>
                <w:lang w:val="fr-CA"/>
              </w:rPr>
            </w:pP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9894F35" w14:textId="77777777" w:rsidR="003276F0" w:rsidRPr="005359C7" w:rsidRDefault="003276F0" w:rsidP="006E3D1E">
            <w:pPr>
              <w:spacing w:after="60"/>
              <w:jc w:val="right"/>
              <w:rPr>
                <w:sz w:val="18"/>
                <w:lang w:val="fr-CA"/>
              </w:rPr>
            </w:pPr>
          </w:p>
        </w:tc>
        <w:tc>
          <w:tcPr>
            <w:tcW w:w="13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3B06776" w14:textId="77777777" w:rsidR="003276F0" w:rsidRPr="005359C7" w:rsidRDefault="003276F0" w:rsidP="006E3D1E">
            <w:pPr>
              <w:spacing w:after="60"/>
              <w:jc w:val="right"/>
              <w:rPr>
                <w:sz w:val="18"/>
                <w:lang w:val="fr-CA"/>
              </w:rPr>
            </w:pPr>
            <w:r w:rsidRPr="005359C7">
              <w:rPr>
                <w:sz w:val="18"/>
                <w:lang w:val="fr-CA"/>
              </w:rPr>
              <w:t>1</w:t>
            </w:r>
            <w:r w:rsidR="006E3D1E" w:rsidRPr="005359C7">
              <w:rPr>
                <w:sz w:val="18"/>
                <w:lang w:val="fr-CA"/>
              </w:rPr>
              <w:t>0,</w:t>
            </w:r>
            <w:r w:rsidRPr="005359C7">
              <w:rPr>
                <w:sz w:val="18"/>
                <w:lang w:val="fr-CA"/>
              </w:rPr>
              <w:t>31</w:t>
            </w:r>
          </w:p>
        </w:tc>
      </w:tr>
    </w:tbl>
    <w:p w14:paraId="6D565ABC" w14:textId="77777777" w:rsidR="003276F0" w:rsidRPr="005359C7" w:rsidRDefault="003276F0" w:rsidP="003276F0">
      <w:pPr>
        <w:spacing w:after="60"/>
        <w:jc w:val="center"/>
        <w:rPr>
          <w:lang w:val="fr-CA"/>
        </w:rPr>
      </w:pPr>
    </w:p>
    <w:tbl>
      <w:tblPr>
        <w:tblStyle w:val="TableGrid"/>
        <w:tblW w:w="10206" w:type="dxa"/>
        <w:jc w:val="center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2958"/>
        <w:gridCol w:w="630"/>
        <w:gridCol w:w="4483"/>
        <w:gridCol w:w="2135"/>
      </w:tblGrid>
      <w:tr w:rsidR="003276F0" w:rsidRPr="00883403" w14:paraId="5368D701" w14:textId="77777777" w:rsidTr="006E3D1E">
        <w:trPr>
          <w:trHeight w:val="240"/>
          <w:jc w:val="center"/>
        </w:trPr>
        <w:tc>
          <w:tcPr>
            <w:tcW w:w="10175" w:type="dxa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24E3D4D6" w14:textId="77777777" w:rsidR="003276F0" w:rsidRPr="005359C7" w:rsidRDefault="003276F0" w:rsidP="006E3D1E">
            <w:pPr>
              <w:spacing w:after="60"/>
              <w:jc w:val="left"/>
              <w:rPr>
                <w:b/>
                <w:sz w:val="18"/>
                <w:lang w:val="fr-CA"/>
              </w:rPr>
            </w:pPr>
            <w:r w:rsidRPr="005359C7">
              <w:rPr>
                <w:b/>
                <w:sz w:val="18"/>
                <w:lang w:val="fr-CA"/>
              </w:rPr>
              <w:t xml:space="preserve">(IV) </w:t>
            </w:r>
            <w:r w:rsidR="00F544DC" w:rsidRPr="005359C7">
              <w:rPr>
                <w:b/>
                <w:sz w:val="18"/>
                <w:lang w:val="fr-CA"/>
              </w:rPr>
              <w:t xml:space="preserve">DONNÉES SUR LA CONSOMMATION </w:t>
            </w:r>
            <w:r w:rsidR="006E3D1E" w:rsidRPr="005359C7">
              <w:rPr>
                <w:b/>
                <w:sz w:val="18"/>
                <w:lang w:val="fr-CA"/>
              </w:rPr>
              <w:t>(tonnes PAO</w:t>
            </w:r>
            <w:r w:rsidRPr="005359C7">
              <w:rPr>
                <w:b/>
                <w:sz w:val="18"/>
                <w:lang w:val="fr-CA"/>
              </w:rPr>
              <w:t>)</w:t>
            </w:r>
          </w:p>
        </w:tc>
      </w:tr>
      <w:tr w:rsidR="003276F0" w:rsidRPr="005359C7" w14:paraId="7CF9DE85" w14:textId="77777777" w:rsidTr="006E3D1E">
        <w:trPr>
          <w:trHeight w:val="240"/>
          <w:jc w:val="center"/>
        </w:trPr>
        <w:tc>
          <w:tcPr>
            <w:tcW w:w="251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80D2337" w14:textId="77777777" w:rsidR="003276F0" w:rsidRPr="005359C7" w:rsidRDefault="00F544DC" w:rsidP="00F544DC">
            <w:pPr>
              <w:spacing w:after="60"/>
              <w:jc w:val="center"/>
              <w:rPr>
                <w:sz w:val="18"/>
                <w:lang w:val="fr-CA"/>
              </w:rPr>
            </w:pPr>
            <w:r w:rsidRPr="005359C7">
              <w:rPr>
                <w:sz w:val="18"/>
                <w:lang w:val="fr-CA"/>
              </w:rPr>
              <w:t xml:space="preserve">Référence </w:t>
            </w:r>
            <w:r w:rsidR="003276F0" w:rsidRPr="005359C7">
              <w:rPr>
                <w:sz w:val="18"/>
                <w:lang w:val="fr-CA"/>
              </w:rPr>
              <w:t xml:space="preserve">2009 </w:t>
            </w:r>
            <w:r w:rsidRPr="005359C7">
              <w:rPr>
                <w:sz w:val="18"/>
                <w:lang w:val="fr-CA"/>
              </w:rPr>
              <w:t>–</w:t>
            </w:r>
            <w:r w:rsidR="003276F0" w:rsidRPr="005359C7">
              <w:rPr>
                <w:sz w:val="18"/>
                <w:lang w:val="fr-CA"/>
              </w:rPr>
              <w:t xml:space="preserve"> 2010</w:t>
            </w:r>
            <w:r w:rsidRPr="005359C7">
              <w:rPr>
                <w:sz w:val="18"/>
                <w:lang w:val="fr-CA"/>
              </w:rPr>
              <w:t xml:space="preserve"> </w:t>
            </w:r>
            <w:r w:rsidR="003276F0" w:rsidRPr="005359C7">
              <w:rPr>
                <w:sz w:val="18"/>
                <w:lang w:val="fr-CA"/>
              </w:rPr>
              <w:t>:</w:t>
            </w: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2B0CFDBA" w14:textId="77777777" w:rsidR="003276F0" w:rsidRPr="005359C7" w:rsidRDefault="003276F0" w:rsidP="006E3D1E">
            <w:pPr>
              <w:spacing w:after="60"/>
              <w:jc w:val="right"/>
              <w:rPr>
                <w:sz w:val="18"/>
                <w:lang w:val="fr-CA"/>
              </w:rPr>
            </w:pPr>
            <w:r w:rsidRPr="005359C7">
              <w:rPr>
                <w:sz w:val="18"/>
                <w:lang w:val="fr-CA"/>
              </w:rPr>
              <w:t>1</w:t>
            </w:r>
            <w:r w:rsidR="006E3D1E" w:rsidRPr="005359C7">
              <w:rPr>
                <w:sz w:val="18"/>
                <w:lang w:val="fr-CA"/>
              </w:rPr>
              <w:t>3,</w:t>
            </w:r>
            <w:r w:rsidRPr="005359C7">
              <w:rPr>
                <w:sz w:val="18"/>
                <w:lang w:val="fr-CA"/>
              </w:rPr>
              <w:t>9</w:t>
            </w: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2C6E8F14" w14:textId="77777777" w:rsidR="003276F0" w:rsidRPr="005359C7" w:rsidRDefault="00F544DC" w:rsidP="00F544DC">
            <w:pPr>
              <w:spacing w:after="60"/>
              <w:jc w:val="center"/>
              <w:rPr>
                <w:sz w:val="18"/>
                <w:lang w:val="fr-CA"/>
              </w:rPr>
            </w:pPr>
            <w:r w:rsidRPr="005359C7">
              <w:rPr>
                <w:sz w:val="18"/>
                <w:lang w:val="fr-CA"/>
              </w:rPr>
              <w:t>Point de départ des réductions globales durables </w:t>
            </w:r>
            <w:r w:rsidR="003276F0" w:rsidRPr="005359C7">
              <w:rPr>
                <w:sz w:val="18"/>
                <w:lang w:val="fr-CA"/>
              </w:rPr>
              <w:t>:</w:t>
            </w:r>
          </w:p>
        </w:tc>
        <w:tc>
          <w:tcPr>
            <w:tcW w:w="181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2873C92F" w14:textId="77777777" w:rsidR="003276F0" w:rsidRPr="005359C7" w:rsidRDefault="003276F0" w:rsidP="006E3D1E">
            <w:pPr>
              <w:spacing w:after="60"/>
              <w:jc w:val="right"/>
              <w:rPr>
                <w:sz w:val="18"/>
                <w:lang w:val="fr-CA"/>
              </w:rPr>
            </w:pPr>
            <w:r w:rsidRPr="005359C7">
              <w:rPr>
                <w:sz w:val="18"/>
                <w:lang w:val="fr-CA"/>
              </w:rPr>
              <w:t>1</w:t>
            </w:r>
            <w:r w:rsidR="006E3D1E" w:rsidRPr="005359C7">
              <w:rPr>
                <w:sz w:val="18"/>
                <w:lang w:val="fr-CA"/>
              </w:rPr>
              <w:t>4,</w:t>
            </w:r>
            <w:r w:rsidRPr="005359C7">
              <w:rPr>
                <w:sz w:val="18"/>
                <w:lang w:val="fr-CA"/>
              </w:rPr>
              <w:t>1</w:t>
            </w:r>
          </w:p>
        </w:tc>
      </w:tr>
      <w:tr w:rsidR="003276F0" w:rsidRPr="00883403" w14:paraId="1586185F" w14:textId="77777777" w:rsidTr="006E3D1E">
        <w:trPr>
          <w:trHeight w:val="240"/>
          <w:jc w:val="center"/>
        </w:trPr>
        <w:tc>
          <w:tcPr>
            <w:tcW w:w="10175" w:type="dxa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8DA9B57" w14:textId="77777777" w:rsidR="003276F0" w:rsidRPr="005359C7" w:rsidRDefault="00A4276C" w:rsidP="006E3D1E">
            <w:pPr>
              <w:spacing w:after="60"/>
              <w:jc w:val="center"/>
              <w:rPr>
                <w:b/>
                <w:sz w:val="18"/>
                <w:lang w:val="fr-CA"/>
              </w:rPr>
            </w:pPr>
            <w:r w:rsidRPr="005359C7">
              <w:rPr>
                <w:b/>
                <w:sz w:val="18"/>
                <w:lang w:val="fr-CA"/>
              </w:rPr>
              <w:t>CONSOMMATION ADMISSIBLE AU FINANCEMENT</w:t>
            </w:r>
            <w:r w:rsidR="003276F0" w:rsidRPr="005359C7">
              <w:rPr>
                <w:b/>
                <w:sz w:val="18"/>
                <w:lang w:val="fr-CA"/>
              </w:rPr>
              <w:t xml:space="preserve"> </w:t>
            </w:r>
            <w:r w:rsidR="006E3D1E" w:rsidRPr="005359C7">
              <w:rPr>
                <w:b/>
                <w:sz w:val="18"/>
                <w:lang w:val="fr-CA"/>
              </w:rPr>
              <w:t>(tonnes PAO</w:t>
            </w:r>
            <w:r w:rsidR="003276F0" w:rsidRPr="005359C7">
              <w:rPr>
                <w:b/>
                <w:sz w:val="18"/>
                <w:lang w:val="fr-CA"/>
              </w:rPr>
              <w:t>)</w:t>
            </w:r>
          </w:p>
        </w:tc>
      </w:tr>
      <w:tr w:rsidR="003276F0" w:rsidRPr="005359C7" w14:paraId="281D6D1B" w14:textId="77777777" w:rsidTr="006E3D1E">
        <w:trPr>
          <w:trHeight w:val="240"/>
          <w:jc w:val="center"/>
        </w:trPr>
        <w:tc>
          <w:tcPr>
            <w:tcW w:w="251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5461BE17" w14:textId="77777777" w:rsidR="003276F0" w:rsidRPr="005359C7" w:rsidRDefault="00A4276C" w:rsidP="006E3D1E">
            <w:pPr>
              <w:spacing w:after="60"/>
              <w:jc w:val="center"/>
              <w:rPr>
                <w:sz w:val="18"/>
                <w:lang w:val="fr-CA"/>
              </w:rPr>
            </w:pPr>
            <w:r w:rsidRPr="005359C7">
              <w:rPr>
                <w:sz w:val="18"/>
                <w:lang w:val="fr-CA"/>
              </w:rPr>
              <w:t>Déjà</w:t>
            </w:r>
            <w:r w:rsidR="003276F0" w:rsidRPr="005359C7">
              <w:rPr>
                <w:sz w:val="18"/>
                <w:lang w:val="fr-CA"/>
              </w:rPr>
              <w:t xml:space="preserve"> </w:t>
            </w:r>
            <w:r w:rsidRPr="005359C7">
              <w:rPr>
                <w:sz w:val="18"/>
                <w:lang w:val="fr-CA"/>
              </w:rPr>
              <w:t>approuvé</w:t>
            </w:r>
            <w:r w:rsidR="00F544DC" w:rsidRPr="005359C7">
              <w:rPr>
                <w:sz w:val="18"/>
                <w:lang w:val="fr-CA"/>
              </w:rPr>
              <w:t xml:space="preserve">e </w:t>
            </w:r>
            <w:r w:rsidR="003276F0" w:rsidRPr="005359C7">
              <w:rPr>
                <w:sz w:val="18"/>
                <w:lang w:val="fr-CA"/>
              </w:rPr>
              <w:t>:</w:t>
            </w: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4C6606E" w14:textId="77777777" w:rsidR="003276F0" w:rsidRPr="005359C7" w:rsidRDefault="006E3D1E" w:rsidP="006E3D1E">
            <w:pPr>
              <w:spacing w:after="60"/>
              <w:jc w:val="right"/>
              <w:rPr>
                <w:sz w:val="18"/>
                <w:lang w:val="fr-CA"/>
              </w:rPr>
            </w:pPr>
            <w:r w:rsidRPr="005359C7">
              <w:rPr>
                <w:sz w:val="18"/>
                <w:lang w:val="fr-CA"/>
              </w:rPr>
              <w:t>4,</w:t>
            </w:r>
            <w:r w:rsidR="003276F0" w:rsidRPr="005359C7">
              <w:rPr>
                <w:sz w:val="18"/>
                <w:lang w:val="fr-CA"/>
              </w:rPr>
              <w:t>76</w:t>
            </w: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96E4145" w14:textId="77777777" w:rsidR="003276F0" w:rsidRPr="005359C7" w:rsidRDefault="003276F0" w:rsidP="00F544DC">
            <w:pPr>
              <w:spacing w:after="60"/>
              <w:jc w:val="center"/>
              <w:rPr>
                <w:sz w:val="18"/>
                <w:lang w:val="fr-CA"/>
              </w:rPr>
            </w:pPr>
            <w:r w:rsidRPr="005359C7">
              <w:rPr>
                <w:sz w:val="18"/>
                <w:lang w:val="fr-CA"/>
              </w:rPr>
              <w:t>Re</w:t>
            </w:r>
            <w:r w:rsidR="00F544DC" w:rsidRPr="005359C7">
              <w:rPr>
                <w:sz w:val="18"/>
                <w:lang w:val="fr-CA"/>
              </w:rPr>
              <w:t xml:space="preserve">stante </w:t>
            </w:r>
            <w:r w:rsidRPr="005359C7">
              <w:rPr>
                <w:sz w:val="18"/>
                <w:lang w:val="fr-CA"/>
              </w:rPr>
              <w:t>:</w:t>
            </w:r>
          </w:p>
        </w:tc>
        <w:tc>
          <w:tcPr>
            <w:tcW w:w="181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5CA975B" w14:textId="77777777" w:rsidR="003276F0" w:rsidRPr="005359C7" w:rsidRDefault="006E3D1E" w:rsidP="006E3D1E">
            <w:pPr>
              <w:spacing w:after="60"/>
              <w:jc w:val="right"/>
              <w:rPr>
                <w:sz w:val="18"/>
                <w:lang w:val="fr-CA"/>
              </w:rPr>
            </w:pPr>
            <w:r w:rsidRPr="005359C7">
              <w:rPr>
                <w:sz w:val="18"/>
                <w:lang w:val="fr-CA"/>
              </w:rPr>
              <w:t>9,</w:t>
            </w:r>
            <w:r w:rsidR="003276F0" w:rsidRPr="005359C7">
              <w:rPr>
                <w:sz w:val="18"/>
                <w:lang w:val="fr-CA"/>
              </w:rPr>
              <w:t>14</w:t>
            </w:r>
          </w:p>
        </w:tc>
      </w:tr>
    </w:tbl>
    <w:p w14:paraId="0BEF5FA1" w14:textId="77777777" w:rsidR="003276F0" w:rsidRPr="005359C7" w:rsidRDefault="003276F0" w:rsidP="003276F0">
      <w:pPr>
        <w:spacing w:after="60"/>
        <w:jc w:val="center"/>
        <w:rPr>
          <w:lang w:val="fr-CA"/>
        </w:rPr>
      </w:pPr>
    </w:p>
    <w:tbl>
      <w:tblPr>
        <w:tblStyle w:val="TableGrid"/>
        <w:tblW w:w="5461" w:type="pct"/>
        <w:jc w:val="center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1468"/>
        <w:gridCol w:w="4399"/>
        <w:gridCol w:w="2297"/>
        <w:gridCol w:w="2295"/>
      </w:tblGrid>
      <w:tr w:rsidR="003276F0" w:rsidRPr="005359C7" w14:paraId="3A761367" w14:textId="77777777" w:rsidTr="006E3D1E">
        <w:trPr>
          <w:trHeight w:val="238"/>
          <w:jc w:val="center"/>
        </w:trPr>
        <w:tc>
          <w:tcPr>
            <w:tcW w:w="2805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hideMark/>
          </w:tcPr>
          <w:p w14:paraId="79346D84" w14:textId="77777777" w:rsidR="003276F0" w:rsidRPr="005359C7" w:rsidRDefault="003276F0" w:rsidP="00E41063">
            <w:pPr>
              <w:spacing w:after="60"/>
              <w:jc w:val="left"/>
              <w:rPr>
                <w:b/>
                <w:sz w:val="18"/>
                <w:lang w:val="fr-CA"/>
              </w:rPr>
            </w:pPr>
            <w:r w:rsidRPr="005359C7">
              <w:rPr>
                <w:b/>
                <w:sz w:val="18"/>
                <w:lang w:val="fr-CA"/>
              </w:rPr>
              <w:t xml:space="preserve">(V) </w:t>
            </w:r>
            <w:r w:rsidR="00E41063">
              <w:rPr>
                <w:b/>
                <w:sz w:val="18"/>
                <w:lang w:val="fr-CA"/>
              </w:rPr>
              <w:t>PLAN D’ACTIVITÉS</w:t>
            </w:r>
          </w:p>
        </w:tc>
        <w:tc>
          <w:tcPr>
            <w:tcW w:w="1098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hideMark/>
          </w:tcPr>
          <w:p w14:paraId="6B5A4C79" w14:textId="77777777" w:rsidR="003276F0" w:rsidRPr="005359C7" w:rsidRDefault="003276F0" w:rsidP="006E3D1E">
            <w:pPr>
              <w:spacing w:after="60"/>
              <w:jc w:val="center"/>
              <w:rPr>
                <w:b/>
                <w:sz w:val="18"/>
                <w:lang w:val="fr-CA"/>
              </w:rPr>
            </w:pPr>
            <w:r w:rsidRPr="005359C7">
              <w:rPr>
                <w:b/>
                <w:sz w:val="18"/>
                <w:lang w:val="fr-CA"/>
              </w:rPr>
              <w:t>2020</w:t>
            </w:r>
          </w:p>
        </w:tc>
        <w:tc>
          <w:tcPr>
            <w:tcW w:w="1098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hideMark/>
          </w:tcPr>
          <w:p w14:paraId="0234B0FA" w14:textId="77777777" w:rsidR="003276F0" w:rsidRPr="005359C7" w:rsidRDefault="003276F0" w:rsidP="006E3D1E">
            <w:pPr>
              <w:spacing w:after="60"/>
              <w:jc w:val="center"/>
              <w:rPr>
                <w:b/>
                <w:sz w:val="18"/>
                <w:lang w:val="fr-CA"/>
              </w:rPr>
            </w:pPr>
            <w:r w:rsidRPr="005359C7">
              <w:rPr>
                <w:b/>
                <w:sz w:val="18"/>
                <w:lang w:val="fr-CA"/>
              </w:rPr>
              <w:t>Total</w:t>
            </w:r>
          </w:p>
        </w:tc>
      </w:tr>
      <w:tr w:rsidR="003276F0" w:rsidRPr="005359C7" w14:paraId="536E4038" w14:textId="77777777" w:rsidTr="006E3D1E">
        <w:trPr>
          <w:trHeight w:val="238"/>
          <w:jc w:val="center"/>
        </w:trPr>
        <w:tc>
          <w:tcPr>
            <w:tcW w:w="702" w:type="pct"/>
            <w:vMerge w:val="restar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shd w:val="clear" w:color="auto" w:fill="auto"/>
            <w:hideMark/>
          </w:tcPr>
          <w:p w14:paraId="5ED3332E" w14:textId="77777777" w:rsidR="003276F0" w:rsidRPr="005359C7" w:rsidRDefault="00886766" w:rsidP="006E3D1E">
            <w:pPr>
              <w:spacing w:after="60"/>
              <w:jc w:val="left"/>
              <w:rPr>
                <w:sz w:val="18"/>
                <w:lang w:val="fr-CA"/>
              </w:rPr>
            </w:pPr>
            <w:r w:rsidRPr="005359C7">
              <w:rPr>
                <w:sz w:val="18"/>
                <w:lang w:val="fr-CA"/>
              </w:rPr>
              <w:t>PNUD</w:t>
            </w:r>
          </w:p>
        </w:tc>
        <w:tc>
          <w:tcPr>
            <w:tcW w:w="2102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hideMark/>
          </w:tcPr>
          <w:p w14:paraId="675F579B" w14:textId="77777777" w:rsidR="003276F0" w:rsidRPr="005359C7" w:rsidRDefault="007C0721" w:rsidP="006E3D1E">
            <w:pPr>
              <w:spacing w:after="60"/>
              <w:jc w:val="left"/>
              <w:rPr>
                <w:sz w:val="18"/>
                <w:lang w:val="fr-CA"/>
              </w:rPr>
            </w:pPr>
            <w:r w:rsidRPr="005359C7">
              <w:rPr>
                <w:sz w:val="18"/>
                <w:lang w:val="fr-CA"/>
              </w:rPr>
              <w:t>Élimination des SAO</w:t>
            </w:r>
            <w:r w:rsidR="003276F0" w:rsidRPr="005359C7">
              <w:rPr>
                <w:sz w:val="18"/>
                <w:lang w:val="fr-CA"/>
              </w:rPr>
              <w:t xml:space="preserve"> </w:t>
            </w:r>
            <w:r w:rsidR="006E3D1E" w:rsidRPr="005359C7">
              <w:rPr>
                <w:sz w:val="18"/>
                <w:lang w:val="fr-CA"/>
              </w:rPr>
              <w:t>(tonnes PAO</w:t>
            </w:r>
            <w:r w:rsidR="003276F0" w:rsidRPr="005359C7">
              <w:rPr>
                <w:sz w:val="18"/>
                <w:lang w:val="fr-CA"/>
              </w:rPr>
              <w:t>)</w:t>
            </w:r>
          </w:p>
        </w:tc>
        <w:tc>
          <w:tcPr>
            <w:tcW w:w="1098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4FB0C4BA" w14:textId="77777777" w:rsidR="003276F0" w:rsidRPr="005359C7" w:rsidRDefault="006E3D1E" w:rsidP="006E3D1E">
            <w:pPr>
              <w:spacing w:after="60"/>
              <w:jc w:val="right"/>
              <w:rPr>
                <w:sz w:val="18"/>
                <w:lang w:val="fr-CA"/>
              </w:rPr>
            </w:pPr>
            <w:r w:rsidRPr="005359C7">
              <w:rPr>
                <w:sz w:val="18"/>
                <w:lang w:val="fr-CA"/>
              </w:rPr>
              <w:t>0,</w:t>
            </w:r>
            <w:r w:rsidR="003276F0" w:rsidRPr="005359C7">
              <w:rPr>
                <w:sz w:val="18"/>
                <w:lang w:val="fr-CA"/>
              </w:rPr>
              <w:t>22</w:t>
            </w:r>
          </w:p>
        </w:tc>
        <w:tc>
          <w:tcPr>
            <w:tcW w:w="1098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4B77F13B" w14:textId="77777777" w:rsidR="003276F0" w:rsidRPr="005359C7" w:rsidRDefault="006E3D1E" w:rsidP="006E3D1E">
            <w:pPr>
              <w:spacing w:after="60"/>
              <w:jc w:val="right"/>
              <w:rPr>
                <w:sz w:val="18"/>
                <w:lang w:val="fr-CA"/>
              </w:rPr>
            </w:pPr>
            <w:r w:rsidRPr="005359C7">
              <w:rPr>
                <w:sz w:val="18"/>
                <w:lang w:val="fr-CA"/>
              </w:rPr>
              <w:t>0,</w:t>
            </w:r>
            <w:r w:rsidR="003276F0" w:rsidRPr="005359C7">
              <w:rPr>
                <w:sz w:val="18"/>
                <w:lang w:val="fr-CA"/>
              </w:rPr>
              <w:t>22</w:t>
            </w:r>
          </w:p>
        </w:tc>
      </w:tr>
      <w:tr w:rsidR="003276F0" w:rsidRPr="005359C7" w14:paraId="041DCF61" w14:textId="77777777" w:rsidTr="006E3D1E">
        <w:trPr>
          <w:trHeight w:val="238"/>
          <w:jc w:val="center"/>
        </w:trPr>
        <w:tc>
          <w:tcPr>
            <w:tcW w:w="702" w:type="pct"/>
            <w:vMerge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14:paraId="47A291BD" w14:textId="77777777" w:rsidR="003276F0" w:rsidRPr="005359C7" w:rsidRDefault="003276F0" w:rsidP="006E3D1E">
            <w:pPr>
              <w:jc w:val="left"/>
              <w:rPr>
                <w:sz w:val="18"/>
                <w:lang w:val="fr-CA"/>
              </w:rPr>
            </w:pPr>
          </w:p>
        </w:tc>
        <w:tc>
          <w:tcPr>
            <w:tcW w:w="2102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hideMark/>
          </w:tcPr>
          <w:p w14:paraId="42BDE0FE" w14:textId="77777777" w:rsidR="003276F0" w:rsidRPr="005359C7" w:rsidRDefault="00A4276C" w:rsidP="007C0721">
            <w:pPr>
              <w:spacing w:after="60"/>
              <w:jc w:val="left"/>
              <w:rPr>
                <w:sz w:val="18"/>
                <w:lang w:val="fr-CA"/>
              </w:rPr>
            </w:pPr>
            <w:r w:rsidRPr="005359C7">
              <w:rPr>
                <w:sz w:val="18"/>
                <w:lang w:val="fr-CA"/>
              </w:rPr>
              <w:t>Financement</w:t>
            </w:r>
            <w:r w:rsidR="003276F0" w:rsidRPr="005359C7">
              <w:rPr>
                <w:sz w:val="18"/>
                <w:lang w:val="fr-CA"/>
              </w:rPr>
              <w:t xml:space="preserve"> </w:t>
            </w:r>
            <w:r w:rsidR="007C0721" w:rsidRPr="005359C7">
              <w:rPr>
                <w:sz w:val="18"/>
                <w:lang w:val="fr-CA"/>
              </w:rPr>
              <w:t>($US)</w:t>
            </w:r>
          </w:p>
        </w:tc>
        <w:tc>
          <w:tcPr>
            <w:tcW w:w="1098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096D483E" w14:textId="77777777" w:rsidR="003276F0" w:rsidRPr="005359C7" w:rsidRDefault="003276F0" w:rsidP="006E3D1E">
            <w:pPr>
              <w:spacing w:after="60"/>
              <w:jc w:val="right"/>
              <w:rPr>
                <w:sz w:val="18"/>
                <w:lang w:val="fr-CA"/>
              </w:rPr>
            </w:pPr>
            <w:r w:rsidRPr="005359C7">
              <w:rPr>
                <w:sz w:val="18"/>
                <w:lang w:val="fr-CA"/>
              </w:rPr>
              <w:t>3</w:t>
            </w:r>
            <w:r w:rsidR="006E3D1E" w:rsidRPr="005359C7">
              <w:rPr>
                <w:sz w:val="18"/>
                <w:lang w:val="fr-CA"/>
              </w:rPr>
              <w:t>3 </w:t>
            </w:r>
            <w:r w:rsidRPr="005359C7">
              <w:rPr>
                <w:sz w:val="18"/>
                <w:lang w:val="fr-CA"/>
              </w:rPr>
              <w:t>433</w:t>
            </w:r>
          </w:p>
        </w:tc>
        <w:tc>
          <w:tcPr>
            <w:tcW w:w="1098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40792F71" w14:textId="77777777" w:rsidR="003276F0" w:rsidRPr="005359C7" w:rsidRDefault="003276F0" w:rsidP="006E3D1E">
            <w:pPr>
              <w:spacing w:after="60"/>
              <w:jc w:val="right"/>
              <w:rPr>
                <w:sz w:val="18"/>
                <w:lang w:val="fr-CA"/>
              </w:rPr>
            </w:pPr>
            <w:r w:rsidRPr="005359C7">
              <w:rPr>
                <w:sz w:val="18"/>
                <w:lang w:val="fr-CA"/>
              </w:rPr>
              <w:t>3</w:t>
            </w:r>
            <w:r w:rsidR="006E3D1E" w:rsidRPr="005359C7">
              <w:rPr>
                <w:sz w:val="18"/>
                <w:lang w:val="fr-CA"/>
              </w:rPr>
              <w:t>3 </w:t>
            </w:r>
            <w:r w:rsidRPr="005359C7">
              <w:rPr>
                <w:sz w:val="18"/>
                <w:lang w:val="fr-CA"/>
              </w:rPr>
              <w:t>433</w:t>
            </w:r>
          </w:p>
        </w:tc>
      </w:tr>
      <w:tr w:rsidR="003276F0" w:rsidRPr="005359C7" w14:paraId="38BE51B5" w14:textId="77777777" w:rsidTr="006E3D1E">
        <w:trPr>
          <w:trHeight w:val="238"/>
          <w:jc w:val="center"/>
        </w:trPr>
        <w:tc>
          <w:tcPr>
            <w:tcW w:w="702" w:type="pct"/>
            <w:vMerge w:val="restar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shd w:val="clear" w:color="auto" w:fill="auto"/>
          </w:tcPr>
          <w:p w14:paraId="06A9811A" w14:textId="77777777" w:rsidR="003276F0" w:rsidRPr="005359C7" w:rsidRDefault="00886766" w:rsidP="006E3D1E">
            <w:pPr>
              <w:jc w:val="left"/>
              <w:rPr>
                <w:sz w:val="18"/>
                <w:lang w:val="fr-CA"/>
              </w:rPr>
            </w:pPr>
            <w:r w:rsidRPr="005359C7">
              <w:rPr>
                <w:sz w:val="18"/>
                <w:lang w:val="fr-CA"/>
              </w:rPr>
              <w:t>PNUE</w:t>
            </w:r>
          </w:p>
        </w:tc>
        <w:tc>
          <w:tcPr>
            <w:tcW w:w="2102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2FCA7326" w14:textId="77777777" w:rsidR="003276F0" w:rsidRPr="005359C7" w:rsidRDefault="007C0721" w:rsidP="006E3D1E">
            <w:pPr>
              <w:spacing w:after="60"/>
              <w:jc w:val="left"/>
              <w:rPr>
                <w:sz w:val="18"/>
                <w:lang w:val="fr-CA"/>
              </w:rPr>
            </w:pPr>
            <w:r w:rsidRPr="005359C7">
              <w:rPr>
                <w:sz w:val="18"/>
                <w:lang w:val="fr-CA"/>
              </w:rPr>
              <w:t>Élimination des SAO</w:t>
            </w:r>
            <w:r w:rsidR="003276F0" w:rsidRPr="005359C7">
              <w:rPr>
                <w:sz w:val="18"/>
                <w:lang w:val="fr-CA"/>
              </w:rPr>
              <w:t xml:space="preserve"> </w:t>
            </w:r>
            <w:r w:rsidR="006E3D1E" w:rsidRPr="005359C7">
              <w:rPr>
                <w:sz w:val="18"/>
                <w:lang w:val="fr-CA"/>
              </w:rPr>
              <w:t>(tonnes PAO</w:t>
            </w:r>
            <w:r w:rsidR="003276F0" w:rsidRPr="005359C7">
              <w:rPr>
                <w:sz w:val="18"/>
                <w:lang w:val="fr-CA"/>
              </w:rPr>
              <w:t>)</w:t>
            </w:r>
          </w:p>
        </w:tc>
        <w:tc>
          <w:tcPr>
            <w:tcW w:w="1098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04B05532" w14:textId="77777777" w:rsidR="003276F0" w:rsidRPr="005359C7" w:rsidRDefault="006E3D1E" w:rsidP="006E3D1E">
            <w:pPr>
              <w:spacing w:after="60"/>
              <w:jc w:val="right"/>
              <w:rPr>
                <w:sz w:val="18"/>
                <w:lang w:val="fr-CA"/>
              </w:rPr>
            </w:pPr>
            <w:r w:rsidRPr="005359C7">
              <w:rPr>
                <w:sz w:val="18"/>
                <w:lang w:val="fr-CA"/>
              </w:rPr>
              <w:t>0,</w:t>
            </w:r>
            <w:r w:rsidR="003276F0" w:rsidRPr="005359C7">
              <w:rPr>
                <w:sz w:val="18"/>
                <w:lang w:val="fr-CA"/>
              </w:rPr>
              <w:t>18</w:t>
            </w:r>
          </w:p>
        </w:tc>
        <w:tc>
          <w:tcPr>
            <w:tcW w:w="1098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7BC11136" w14:textId="77777777" w:rsidR="003276F0" w:rsidRPr="005359C7" w:rsidRDefault="006E3D1E" w:rsidP="006E3D1E">
            <w:pPr>
              <w:spacing w:after="60"/>
              <w:jc w:val="right"/>
              <w:rPr>
                <w:sz w:val="18"/>
                <w:lang w:val="fr-CA"/>
              </w:rPr>
            </w:pPr>
            <w:r w:rsidRPr="005359C7">
              <w:rPr>
                <w:sz w:val="18"/>
                <w:lang w:val="fr-CA"/>
              </w:rPr>
              <w:t>0,</w:t>
            </w:r>
            <w:r w:rsidR="003276F0" w:rsidRPr="005359C7">
              <w:rPr>
                <w:sz w:val="18"/>
                <w:lang w:val="fr-CA"/>
              </w:rPr>
              <w:t>18</w:t>
            </w:r>
          </w:p>
        </w:tc>
      </w:tr>
      <w:tr w:rsidR="003276F0" w:rsidRPr="005359C7" w14:paraId="40AA827A" w14:textId="77777777" w:rsidTr="006E3D1E">
        <w:trPr>
          <w:trHeight w:val="238"/>
          <w:jc w:val="center"/>
        </w:trPr>
        <w:tc>
          <w:tcPr>
            <w:tcW w:w="702" w:type="pct"/>
            <w:vMerge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785167CA" w14:textId="77777777" w:rsidR="003276F0" w:rsidRPr="005359C7" w:rsidRDefault="003276F0" w:rsidP="006E3D1E">
            <w:pPr>
              <w:jc w:val="left"/>
              <w:rPr>
                <w:sz w:val="18"/>
                <w:lang w:val="fr-CA"/>
              </w:rPr>
            </w:pPr>
          </w:p>
        </w:tc>
        <w:tc>
          <w:tcPr>
            <w:tcW w:w="2102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6607A4D2" w14:textId="77777777" w:rsidR="003276F0" w:rsidRPr="005359C7" w:rsidRDefault="00A4276C" w:rsidP="006E3D1E">
            <w:pPr>
              <w:spacing w:after="60"/>
              <w:jc w:val="left"/>
              <w:rPr>
                <w:sz w:val="18"/>
                <w:lang w:val="fr-CA"/>
              </w:rPr>
            </w:pPr>
            <w:r w:rsidRPr="005359C7">
              <w:rPr>
                <w:sz w:val="18"/>
                <w:lang w:val="fr-CA"/>
              </w:rPr>
              <w:t>Financement</w:t>
            </w:r>
            <w:r w:rsidR="003276F0" w:rsidRPr="005359C7">
              <w:rPr>
                <w:sz w:val="18"/>
                <w:lang w:val="fr-CA"/>
              </w:rPr>
              <w:t xml:space="preserve"> </w:t>
            </w:r>
            <w:r w:rsidR="007C0721" w:rsidRPr="005359C7">
              <w:rPr>
                <w:sz w:val="18"/>
                <w:lang w:val="fr-CA"/>
              </w:rPr>
              <w:t>($US)</w:t>
            </w:r>
          </w:p>
        </w:tc>
        <w:tc>
          <w:tcPr>
            <w:tcW w:w="1098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4E4AF09E" w14:textId="77777777" w:rsidR="003276F0" w:rsidRPr="005359C7" w:rsidRDefault="003276F0" w:rsidP="006E3D1E">
            <w:pPr>
              <w:spacing w:after="60"/>
              <w:jc w:val="right"/>
              <w:rPr>
                <w:sz w:val="18"/>
                <w:lang w:val="fr-CA"/>
              </w:rPr>
            </w:pPr>
            <w:r w:rsidRPr="005359C7">
              <w:rPr>
                <w:sz w:val="18"/>
                <w:lang w:val="fr-CA"/>
              </w:rPr>
              <w:t>2</w:t>
            </w:r>
            <w:r w:rsidR="006E3D1E" w:rsidRPr="005359C7">
              <w:rPr>
                <w:sz w:val="18"/>
                <w:lang w:val="fr-CA"/>
              </w:rPr>
              <w:t>8 </w:t>
            </w:r>
            <w:r w:rsidRPr="005359C7">
              <w:rPr>
                <w:sz w:val="18"/>
                <w:lang w:val="fr-CA"/>
              </w:rPr>
              <w:t>137</w:t>
            </w:r>
          </w:p>
        </w:tc>
        <w:tc>
          <w:tcPr>
            <w:tcW w:w="1098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2BFDBF8E" w14:textId="77777777" w:rsidR="003276F0" w:rsidRPr="005359C7" w:rsidRDefault="003276F0" w:rsidP="006E3D1E">
            <w:pPr>
              <w:spacing w:after="60"/>
              <w:jc w:val="right"/>
              <w:rPr>
                <w:sz w:val="18"/>
                <w:lang w:val="fr-CA"/>
              </w:rPr>
            </w:pPr>
            <w:r w:rsidRPr="005359C7">
              <w:rPr>
                <w:sz w:val="18"/>
                <w:lang w:val="fr-CA"/>
              </w:rPr>
              <w:t>2</w:t>
            </w:r>
            <w:r w:rsidR="006E3D1E" w:rsidRPr="005359C7">
              <w:rPr>
                <w:sz w:val="18"/>
                <w:lang w:val="fr-CA"/>
              </w:rPr>
              <w:t>8 </w:t>
            </w:r>
            <w:r w:rsidRPr="005359C7">
              <w:rPr>
                <w:sz w:val="18"/>
                <w:lang w:val="fr-CA"/>
              </w:rPr>
              <w:t>137</w:t>
            </w:r>
          </w:p>
        </w:tc>
      </w:tr>
    </w:tbl>
    <w:p w14:paraId="685C5EA1" w14:textId="77777777" w:rsidR="003276F0" w:rsidRPr="005359C7" w:rsidRDefault="003276F0" w:rsidP="003276F0">
      <w:pPr>
        <w:spacing w:after="60"/>
        <w:jc w:val="center"/>
        <w:rPr>
          <w:sz w:val="16"/>
          <w:szCs w:val="16"/>
          <w:lang w:val="fr-CA"/>
        </w:rPr>
      </w:pPr>
    </w:p>
    <w:tbl>
      <w:tblPr>
        <w:tblStyle w:val="TableGrid"/>
        <w:tblW w:w="10206" w:type="dxa"/>
        <w:jc w:val="center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745"/>
        <w:gridCol w:w="800"/>
        <w:gridCol w:w="801"/>
        <w:gridCol w:w="573"/>
        <w:gridCol w:w="573"/>
        <w:gridCol w:w="738"/>
        <w:gridCol w:w="574"/>
        <w:gridCol w:w="574"/>
        <w:gridCol w:w="780"/>
        <w:gridCol w:w="574"/>
        <w:gridCol w:w="574"/>
        <w:gridCol w:w="574"/>
        <w:gridCol w:w="691"/>
        <w:gridCol w:w="786"/>
      </w:tblGrid>
      <w:tr w:rsidR="003276F0" w:rsidRPr="005359C7" w14:paraId="2166BD23" w14:textId="77777777" w:rsidTr="006E3D1E">
        <w:trPr>
          <w:jc w:val="center"/>
        </w:trPr>
        <w:tc>
          <w:tcPr>
            <w:tcW w:w="2394" w:type="dxa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AA73E4D" w14:textId="77777777" w:rsidR="003276F0" w:rsidRPr="005359C7" w:rsidRDefault="003276F0" w:rsidP="006E3D1E">
            <w:pPr>
              <w:spacing w:after="60"/>
              <w:jc w:val="left"/>
              <w:rPr>
                <w:b/>
                <w:sz w:val="16"/>
                <w:szCs w:val="16"/>
                <w:lang w:val="fr-CA"/>
              </w:rPr>
            </w:pPr>
            <w:r w:rsidRPr="005359C7">
              <w:rPr>
                <w:b/>
                <w:sz w:val="16"/>
                <w:szCs w:val="16"/>
                <w:lang w:val="fr-CA"/>
              </w:rPr>
              <w:t xml:space="preserve">(VI) </w:t>
            </w:r>
            <w:r w:rsidR="007C0721" w:rsidRPr="005359C7">
              <w:rPr>
                <w:b/>
                <w:sz w:val="16"/>
                <w:szCs w:val="16"/>
                <w:lang w:val="fr-CA"/>
              </w:rPr>
              <w:t>DONNÉES DU PROJET</w:t>
            </w:r>
          </w:p>
        </w:tc>
        <w:tc>
          <w:tcPr>
            <w:tcW w:w="80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D0DD475" w14:textId="77777777" w:rsidR="003276F0" w:rsidRPr="005359C7" w:rsidRDefault="003276F0" w:rsidP="006E3D1E">
            <w:pPr>
              <w:spacing w:after="60"/>
              <w:jc w:val="center"/>
              <w:rPr>
                <w:b/>
                <w:sz w:val="16"/>
                <w:szCs w:val="16"/>
                <w:lang w:val="fr-CA"/>
              </w:rPr>
            </w:pPr>
            <w:r w:rsidRPr="005359C7">
              <w:rPr>
                <w:b/>
                <w:sz w:val="16"/>
                <w:szCs w:val="16"/>
                <w:lang w:val="fr-CA"/>
              </w:rPr>
              <w:t>2010</w:t>
            </w:r>
          </w:p>
        </w:tc>
        <w:tc>
          <w:tcPr>
            <w:tcW w:w="57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569C6717" w14:textId="77777777" w:rsidR="003276F0" w:rsidRPr="005359C7" w:rsidRDefault="003276F0" w:rsidP="006E3D1E">
            <w:pPr>
              <w:spacing w:after="60"/>
              <w:jc w:val="center"/>
              <w:rPr>
                <w:b/>
                <w:sz w:val="16"/>
                <w:szCs w:val="16"/>
                <w:lang w:val="fr-CA"/>
              </w:rPr>
            </w:pPr>
            <w:r w:rsidRPr="005359C7">
              <w:rPr>
                <w:b/>
                <w:sz w:val="16"/>
                <w:szCs w:val="16"/>
                <w:lang w:val="fr-CA"/>
              </w:rPr>
              <w:t>2011</w:t>
            </w:r>
          </w:p>
        </w:tc>
        <w:tc>
          <w:tcPr>
            <w:tcW w:w="57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92BCE59" w14:textId="77777777" w:rsidR="003276F0" w:rsidRPr="005359C7" w:rsidRDefault="003276F0" w:rsidP="006E3D1E">
            <w:pPr>
              <w:spacing w:after="60"/>
              <w:jc w:val="center"/>
              <w:rPr>
                <w:b/>
                <w:sz w:val="16"/>
                <w:szCs w:val="16"/>
                <w:lang w:val="fr-CA"/>
              </w:rPr>
            </w:pPr>
            <w:r w:rsidRPr="005359C7">
              <w:rPr>
                <w:b/>
                <w:sz w:val="16"/>
                <w:szCs w:val="16"/>
                <w:lang w:val="fr-CA"/>
              </w:rPr>
              <w:t>2012</w:t>
            </w:r>
          </w:p>
        </w:tc>
        <w:tc>
          <w:tcPr>
            <w:tcW w:w="73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09802E0" w14:textId="77777777" w:rsidR="003276F0" w:rsidRPr="005359C7" w:rsidRDefault="003276F0" w:rsidP="006E3D1E">
            <w:pPr>
              <w:spacing w:after="60"/>
              <w:jc w:val="center"/>
              <w:rPr>
                <w:b/>
                <w:sz w:val="16"/>
                <w:szCs w:val="16"/>
                <w:lang w:val="fr-CA"/>
              </w:rPr>
            </w:pPr>
            <w:r w:rsidRPr="005359C7">
              <w:rPr>
                <w:b/>
                <w:sz w:val="16"/>
                <w:szCs w:val="16"/>
                <w:lang w:val="fr-CA"/>
              </w:rPr>
              <w:t>2013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52B31D59" w14:textId="77777777" w:rsidR="003276F0" w:rsidRPr="005359C7" w:rsidRDefault="003276F0" w:rsidP="006E3D1E">
            <w:pPr>
              <w:spacing w:after="60"/>
              <w:jc w:val="center"/>
              <w:rPr>
                <w:b/>
                <w:sz w:val="16"/>
                <w:szCs w:val="16"/>
                <w:lang w:val="fr-CA"/>
              </w:rPr>
            </w:pPr>
            <w:r w:rsidRPr="005359C7">
              <w:rPr>
                <w:b/>
                <w:sz w:val="16"/>
                <w:szCs w:val="16"/>
                <w:lang w:val="fr-CA"/>
              </w:rPr>
              <w:t>2014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C79AE3B" w14:textId="77777777" w:rsidR="003276F0" w:rsidRPr="005359C7" w:rsidRDefault="003276F0" w:rsidP="006E3D1E">
            <w:pPr>
              <w:spacing w:after="60"/>
              <w:jc w:val="center"/>
              <w:rPr>
                <w:b/>
                <w:sz w:val="16"/>
                <w:szCs w:val="16"/>
                <w:lang w:val="fr-CA"/>
              </w:rPr>
            </w:pPr>
            <w:r w:rsidRPr="005359C7">
              <w:rPr>
                <w:b/>
                <w:sz w:val="16"/>
                <w:szCs w:val="16"/>
                <w:lang w:val="fr-CA"/>
              </w:rPr>
              <w:t>2015</w:t>
            </w:r>
          </w:p>
        </w:tc>
        <w:tc>
          <w:tcPr>
            <w:tcW w:w="78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231DF18A" w14:textId="77777777" w:rsidR="003276F0" w:rsidRPr="005359C7" w:rsidRDefault="003276F0" w:rsidP="006E3D1E">
            <w:pPr>
              <w:spacing w:after="60"/>
              <w:jc w:val="center"/>
              <w:rPr>
                <w:b/>
                <w:sz w:val="16"/>
                <w:szCs w:val="16"/>
                <w:lang w:val="fr-CA"/>
              </w:rPr>
            </w:pPr>
            <w:r w:rsidRPr="005359C7">
              <w:rPr>
                <w:b/>
                <w:sz w:val="16"/>
                <w:szCs w:val="16"/>
                <w:lang w:val="fr-CA"/>
              </w:rPr>
              <w:t>2016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EC80862" w14:textId="77777777" w:rsidR="003276F0" w:rsidRPr="005359C7" w:rsidRDefault="003276F0" w:rsidP="006E3D1E">
            <w:pPr>
              <w:spacing w:after="60"/>
              <w:jc w:val="center"/>
              <w:rPr>
                <w:b/>
                <w:sz w:val="16"/>
                <w:szCs w:val="16"/>
                <w:lang w:val="fr-CA"/>
              </w:rPr>
            </w:pPr>
            <w:r w:rsidRPr="005359C7">
              <w:rPr>
                <w:b/>
                <w:sz w:val="16"/>
                <w:szCs w:val="16"/>
                <w:lang w:val="fr-CA"/>
              </w:rPr>
              <w:t>2017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6AF67BDA" w14:textId="77777777" w:rsidR="003276F0" w:rsidRPr="005359C7" w:rsidRDefault="003276F0" w:rsidP="006E3D1E">
            <w:pPr>
              <w:spacing w:after="60"/>
              <w:jc w:val="center"/>
              <w:rPr>
                <w:b/>
                <w:sz w:val="16"/>
                <w:szCs w:val="16"/>
                <w:lang w:val="fr-CA"/>
              </w:rPr>
            </w:pPr>
            <w:r w:rsidRPr="005359C7">
              <w:rPr>
                <w:b/>
                <w:sz w:val="16"/>
                <w:szCs w:val="16"/>
                <w:lang w:val="fr-CA"/>
              </w:rPr>
              <w:t>2018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CFA5BC0" w14:textId="77777777" w:rsidR="003276F0" w:rsidRPr="005359C7" w:rsidRDefault="003276F0" w:rsidP="006E3D1E">
            <w:pPr>
              <w:spacing w:after="60"/>
              <w:jc w:val="center"/>
              <w:rPr>
                <w:b/>
                <w:sz w:val="16"/>
                <w:szCs w:val="16"/>
                <w:lang w:val="fr-CA"/>
              </w:rPr>
            </w:pPr>
            <w:r w:rsidRPr="005359C7">
              <w:rPr>
                <w:b/>
                <w:sz w:val="16"/>
                <w:szCs w:val="16"/>
                <w:lang w:val="fr-CA"/>
              </w:rPr>
              <w:t>2019</w:t>
            </w:r>
          </w:p>
        </w:tc>
        <w:tc>
          <w:tcPr>
            <w:tcW w:w="69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B9E8A78" w14:textId="77777777" w:rsidR="003276F0" w:rsidRPr="005359C7" w:rsidRDefault="003276F0" w:rsidP="006E3D1E">
            <w:pPr>
              <w:spacing w:after="60"/>
              <w:jc w:val="center"/>
              <w:rPr>
                <w:b/>
                <w:sz w:val="16"/>
                <w:szCs w:val="16"/>
                <w:lang w:val="fr-CA"/>
              </w:rPr>
            </w:pPr>
            <w:r w:rsidRPr="005359C7">
              <w:rPr>
                <w:b/>
                <w:sz w:val="16"/>
                <w:szCs w:val="16"/>
                <w:lang w:val="fr-CA"/>
              </w:rPr>
              <w:t>2020</w:t>
            </w:r>
          </w:p>
        </w:tc>
        <w:tc>
          <w:tcPr>
            <w:tcW w:w="78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C3326DE" w14:textId="77777777" w:rsidR="003276F0" w:rsidRPr="005359C7" w:rsidRDefault="003276F0" w:rsidP="006E3D1E">
            <w:pPr>
              <w:spacing w:after="60"/>
              <w:jc w:val="center"/>
              <w:rPr>
                <w:b/>
                <w:sz w:val="16"/>
                <w:szCs w:val="16"/>
                <w:lang w:val="fr-CA"/>
              </w:rPr>
            </w:pPr>
            <w:r w:rsidRPr="005359C7">
              <w:rPr>
                <w:b/>
                <w:sz w:val="16"/>
                <w:szCs w:val="16"/>
                <w:lang w:val="fr-CA"/>
              </w:rPr>
              <w:t>Total</w:t>
            </w:r>
          </w:p>
        </w:tc>
      </w:tr>
      <w:tr w:rsidR="003276F0" w:rsidRPr="005359C7" w14:paraId="1CB06055" w14:textId="77777777" w:rsidTr="006E3D1E">
        <w:trPr>
          <w:jc w:val="center"/>
        </w:trPr>
        <w:tc>
          <w:tcPr>
            <w:tcW w:w="2394" w:type="dxa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D729AD0" w14:textId="77777777" w:rsidR="003276F0" w:rsidRPr="005359C7" w:rsidRDefault="004D7396" w:rsidP="004D7396">
            <w:pPr>
              <w:spacing w:after="60"/>
              <w:jc w:val="left"/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 xml:space="preserve">Limites de consommation du </w:t>
            </w:r>
            <w:r w:rsidR="007C0721" w:rsidRPr="005359C7">
              <w:rPr>
                <w:sz w:val="16"/>
                <w:szCs w:val="16"/>
                <w:lang w:val="fr-CA"/>
              </w:rPr>
              <w:t>Protocole de Montréal</w:t>
            </w:r>
            <w:r w:rsidR="003276F0" w:rsidRPr="005359C7">
              <w:rPr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0AA191F" w14:textId="77777777" w:rsidR="003276F0" w:rsidRPr="005359C7" w:rsidRDefault="007C0721" w:rsidP="006E3D1E">
            <w:pPr>
              <w:spacing w:after="60"/>
              <w:jc w:val="center"/>
              <w:rPr>
                <w:sz w:val="16"/>
                <w:szCs w:val="16"/>
                <w:lang w:val="fr-CA"/>
              </w:rPr>
            </w:pPr>
            <w:proofErr w:type="spellStart"/>
            <w:r w:rsidRPr="005359C7">
              <w:rPr>
                <w:sz w:val="16"/>
                <w:szCs w:val="16"/>
                <w:lang w:val="fr-CA"/>
              </w:rPr>
              <w:t>s.o</w:t>
            </w:r>
            <w:proofErr w:type="spellEnd"/>
            <w:r w:rsidRPr="005359C7">
              <w:rPr>
                <w:sz w:val="16"/>
                <w:szCs w:val="16"/>
                <w:lang w:val="fr-CA"/>
              </w:rPr>
              <w:t>.</w:t>
            </w:r>
          </w:p>
        </w:tc>
        <w:tc>
          <w:tcPr>
            <w:tcW w:w="57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89281F9" w14:textId="77777777" w:rsidR="003276F0" w:rsidRPr="005359C7" w:rsidRDefault="007C0721" w:rsidP="006E3D1E">
            <w:pPr>
              <w:spacing w:after="60"/>
              <w:jc w:val="center"/>
              <w:rPr>
                <w:sz w:val="16"/>
                <w:szCs w:val="16"/>
                <w:lang w:val="fr-CA"/>
              </w:rPr>
            </w:pPr>
            <w:proofErr w:type="spellStart"/>
            <w:r w:rsidRPr="005359C7">
              <w:rPr>
                <w:sz w:val="16"/>
                <w:szCs w:val="16"/>
                <w:lang w:val="fr-CA"/>
              </w:rPr>
              <w:t>s.o</w:t>
            </w:r>
            <w:proofErr w:type="spellEnd"/>
            <w:r w:rsidRPr="005359C7">
              <w:rPr>
                <w:sz w:val="16"/>
                <w:szCs w:val="16"/>
                <w:lang w:val="fr-CA"/>
              </w:rPr>
              <w:t>.</w:t>
            </w:r>
          </w:p>
        </w:tc>
        <w:tc>
          <w:tcPr>
            <w:tcW w:w="57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790DA69" w14:textId="77777777" w:rsidR="003276F0" w:rsidRPr="005359C7" w:rsidRDefault="007C0721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proofErr w:type="spellStart"/>
            <w:r w:rsidRPr="005359C7">
              <w:rPr>
                <w:sz w:val="16"/>
                <w:szCs w:val="16"/>
                <w:lang w:val="fr-CA"/>
              </w:rPr>
              <w:t>s.o</w:t>
            </w:r>
            <w:proofErr w:type="spellEnd"/>
            <w:r w:rsidRPr="005359C7">
              <w:rPr>
                <w:sz w:val="16"/>
                <w:szCs w:val="16"/>
                <w:lang w:val="fr-CA"/>
              </w:rPr>
              <w:t>.</w:t>
            </w:r>
          </w:p>
        </w:tc>
        <w:tc>
          <w:tcPr>
            <w:tcW w:w="73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B17EDC0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1</w:t>
            </w:r>
            <w:r w:rsidR="006E3D1E" w:rsidRPr="005359C7">
              <w:rPr>
                <w:sz w:val="16"/>
                <w:szCs w:val="16"/>
                <w:lang w:val="fr-CA"/>
              </w:rPr>
              <w:t>3,</w:t>
            </w:r>
            <w:r w:rsidRPr="005359C7">
              <w:rPr>
                <w:sz w:val="16"/>
                <w:szCs w:val="16"/>
                <w:lang w:val="fr-CA"/>
              </w:rPr>
              <w:t>9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0089F1D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1</w:t>
            </w:r>
            <w:r w:rsidR="006E3D1E" w:rsidRPr="005359C7">
              <w:rPr>
                <w:sz w:val="16"/>
                <w:szCs w:val="16"/>
                <w:lang w:val="fr-CA"/>
              </w:rPr>
              <w:t>3,</w:t>
            </w:r>
            <w:r w:rsidRPr="005359C7">
              <w:rPr>
                <w:sz w:val="16"/>
                <w:szCs w:val="16"/>
                <w:lang w:val="fr-CA"/>
              </w:rPr>
              <w:t>9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5CCF67F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1</w:t>
            </w:r>
            <w:r w:rsidR="006E3D1E" w:rsidRPr="005359C7">
              <w:rPr>
                <w:sz w:val="16"/>
                <w:szCs w:val="16"/>
                <w:lang w:val="fr-CA"/>
              </w:rPr>
              <w:t>2,</w:t>
            </w:r>
            <w:r w:rsidRPr="005359C7">
              <w:rPr>
                <w:sz w:val="16"/>
                <w:szCs w:val="16"/>
                <w:lang w:val="fr-CA"/>
              </w:rPr>
              <w:t>5</w:t>
            </w:r>
          </w:p>
        </w:tc>
        <w:tc>
          <w:tcPr>
            <w:tcW w:w="78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319539C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1</w:t>
            </w:r>
            <w:r w:rsidR="006E3D1E" w:rsidRPr="005359C7">
              <w:rPr>
                <w:sz w:val="16"/>
                <w:szCs w:val="16"/>
                <w:lang w:val="fr-CA"/>
              </w:rPr>
              <w:t>2,</w:t>
            </w:r>
            <w:r w:rsidRPr="005359C7">
              <w:rPr>
                <w:sz w:val="16"/>
                <w:szCs w:val="16"/>
                <w:lang w:val="fr-CA"/>
              </w:rPr>
              <w:t>5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DA9499B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1</w:t>
            </w:r>
            <w:r w:rsidR="006E3D1E" w:rsidRPr="005359C7">
              <w:rPr>
                <w:sz w:val="16"/>
                <w:szCs w:val="16"/>
                <w:lang w:val="fr-CA"/>
              </w:rPr>
              <w:t>2,</w:t>
            </w:r>
            <w:r w:rsidRPr="005359C7">
              <w:rPr>
                <w:sz w:val="16"/>
                <w:szCs w:val="16"/>
                <w:lang w:val="fr-CA"/>
              </w:rPr>
              <w:t>5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279B985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1</w:t>
            </w:r>
            <w:r w:rsidR="006E3D1E" w:rsidRPr="005359C7">
              <w:rPr>
                <w:sz w:val="16"/>
                <w:szCs w:val="16"/>
                <w:lang w:val="fr-CA"/>
              </w:rPr>
              <w:t>2,</w:t>
            </w:r>
            <w:r w:rsidRPr="005359C7">
              <w:rPr>
                <w:sz w:val="16"/>
                <w:szCs w:val="16"/>
                <w:lang w:val="fr-CA"/>
              </w:rPr>
              <w:t>5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2CEE0AE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1</w:t>
            </w:r>
            <w:r w:rsidR="006E3D1E" w:rsidRPr="005359C7">
              <w:rPr>
                <w:sz w:val="16"/>
                <w:szCs w:val="16"/>
                <w:lang w:val="fr-CA"/>
              </w:rPr>
              <w:t>2,</w:t>
            </w:r>
            <w:r w:rsidRPr="005359C7">
              <w:rPr>
                <w:sz w:val="16"/>
                <w:szCs w:val="16"/>
                <w:lang w:val="fr-CA"/>
              </w:rPr>
              <w:t>5</w:t>
            </w:r>
          </w:p>
        </w:tc>
        <w:tc>
          <w:tcPr>
            <w:tcW w:w="69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58E6A59" w14:textId="77777777" w:rsidR="003276F0" w:rsidRPr="005359C7" w:rsidRDefault="006E3D1E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9,</w:t>
            </w:r>
            <w:r w:rsidR="003276F0" w:rsidRPr="005359C7">
              <w:rPr>
                <w:sz w:val="16"/>
                <w:szCs w:val="16"/>
                <w:lang w:val="fr-CA"/>
              </w:rPr>
              <w:t>1</w:t>
            </w:r>
          </w:p>
        </w:tc>
        <w:tc>
          <w:tcPr>
            <w:tcW w:w="78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392AAD4" w14:textId="77777777" w:rsidR="003276F0" w:rsidRPr="005359C7" w:rsidRDefault="007C0721" w:rsidP="006E3D1E">
            <w:pPr>
              <w:spacing w:after="60"/>
              <w:jc w:val="center"/>
              <w:rPr>
                <w:sz w:val="16"/>
                <w:szCs w:val="16"/>
                <w:lang w:val="fr-CA"/>
              </w:rPr>
            </w:pPr>
            <w:proofErr w:type="spellStart"/>
            <w:r w:rsidRPr="005359C7">
              <w:rPr>
                <w:sz w:val="16"/>
                <w:szCs w:val="16"/>
                <w:lang w:val="fr-CA"/>
              </w:rPr>
              <w:t>s.o</w:t>
            </w:r>
            <w:proofErr w:type="spellEnd"/>
            <w:r w:rsidRPr="005359C7">
              <w:rPr>
                <w:sz w:val="16"/>
                <w:szCs w:val="16"/>
                <w:lang w:val="fr-CA"/>
              </w:rPr>
              <w:t>.</w:t>
            </w:r>
          </w:p>
        </w:tc>
      </w:tr>
      <w:tr w:rsidR="003276F0" w:rsidRPr="005359C7" w14:paraId="5CCFAD33" w14:textId="77777777" w:rsidTr="006E3D1E">
        <w:trPr>
          <w:jc w:val="center"/>
        </w:trPr>
        <w:tc>
          <w:tcPr>
            <w:tcW w:w="2394" w:type="dxa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56C6423" w14:textId="77777777" w:rsidR="003276F0" w:rsidRPr="005359C7" w:rsidRDefault="007C0721" w:rsidP="006E3D1E">
            <w:pPr>
              <w:spacing w:after="60"/>
              <w:jc w:val="lef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Consommation maximale admissible</w:t>
            </w:r>
            <w:r w:rsidR="003276F0" w:rsidRPr="005359C7">
              <w:rPr>
                <w:sz w:val="16"/>
                <w:szCs w:val="16"/>
                <w:lang w:val="fr-CA"/>
              </w:rPr>
              <w:t xml:space="preserve"> </w:t>
            </w:r>
            <w:r w:rsidR="006E3D1E" w:rsidRPr="005359C7">
              <w:rPr>
                <w:sz w:val="16"/>
                <w:szCs w:val="16"/>
                <w:lang w:val="fr-CA"/>
              </w:rPr>
              <w:t>(tonnes PAO</w:t>
            </w:r>
            <w:r w:rsidR="003276F0" w:rsidRPr="005359C7">
              <w:rPr>
                <w:sz w:val="16"/>
                <w:szCs w:val="16"/>
                <w:lang w:val="fr-CA"/>
              </w:rPr>
              <w:t>)</w:t>
            </w:r>
          </w:p>
        </w:tc>
        <w:tc>
          <w:tcPr>
            <w:tcW w:w="80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A4A6297" w14:textId="77777777" w:rsidR="003276F0" w:rsidRPr="005359C7" w:rsidRDefault="007C0721" w:rsidP="006E3D1E">
            <w:pPr>
              <w:spacing w:after="60"/>
              <w:jc w:val="center"/>
              <w:rPr>
                <w:sz w:val="16"/>
                <w:szCs w:val="16"/>
                <w:lang w:val="fr-CA"/>
              </w:rPr>
            </w:pPr>
            <w:proofErr w:type="spellStart"/>
            <w:r w:rsidRPr="005359C7">
              <w:rPr>
                <w:sz w:val="16"/>
                <w:szCs w:val="16"/>
                <w:lang w:val="fr-CA"/>
              </w:rPr>
              <w:t>s.o</w:t>
            </w:r>
            <w:proofErr w:type="spellEnd"/>
            <w:r w:rsidRPr="005359C7">
              <w:rPr>
                <w:sz w:val="16"/>
                <w:szCs w:val="16"/>
                <w:lang w:val="fr-CA"/>
              </w:rPr>
              <w:t>.</w:t>
            </w:r>
          </w:p>
        </w:tc>
        <w:tc>
          <w:tcPr>
            <w:tcW w:w="57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2B50676" w14:textId="77777777" w:rsidR="003276F0" w:rsidRPr="005359C7" w:rsidRDefault="007C0721" w:rsidP="006E3D1E">
            <w:pPr>
              <w:spacing w:after="60"/>
              <w:jc w:val="center"/>
              <w:rPr>
                <w:sz w:val="16"/>
                <w:szCs w:val="16"/>
                <w:lang w:val="fr-CA"/>
              </w:rPr>
            </w:pPr>
            <w:proofErr w:type="spellStart"/>
            <w:r w:rsidRPr="005359C7">
              <w:rPr>
                <w:sz w:val="16"/>
                <w:szCs w:val="16"/>
                <w:lang w:val="fr-CA"/>
              </w:rPr>
              <w:t>s.o</w:t>
            </w:r>
            <w:proofErr w:type="spellEnd"/>
            <w:r w:rsidRPr="005359C7">
              <w:rPr>
                <w:sz w:val="16"/>
                <w:szCs w:val="16"/>
                <w:lang w:val="fr-CA"/>
              </w:rPr>
              <w:t>.</w:t>
            </w:r>
          </w:p>
        </w:tc>
        <w:tc>
          <w:tcPr>
            <w:tcW w:w="57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5C59AE8" w14:textId="77777777" w:rsidR="003276F0" w:rsidRPr="005359C7" w:rsidRDefault="007C0721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proofErr w:type="spellStart"/>
            <w:r w:rsidRPr="005359C7">
              <w:rPr>
                <w:sz w:val="16"/>
                <w:szCs w:val="16"/>
                <w:lang w:val="fr-CA"/>
              </w:rPr>
              <w:t>s.o</w:t>
            </w:r>
            <w:proofErr w:type="spellEnd"/>
            <w:r w:rsidRPr="005359C7">
              <w:rPr>
                <w:sz w:val="16"/>
                <w:szCs w:val="16"/>
                <w:lang w:val="fr-CA"/>
              </w:rPr>
              <w:t>.</w:t>
            </w:r>
          </w:p>
        </w:tc>
        <w:tc>
          <w:tcPr>
            <w:tcW w:w="73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68D49F67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1</w:t>
            </w:r>
            <w:r w:rsidR="006E3D1E" w:rsidRPr="005359C7">
              <w:rPr>
                <w:sz w:val="16"/>
                <w:szCs w:val="16"/>
                <w:lang w:val="fr-CA"/>
              </w:rPr>
              <w:t>3,</w:t>
            </w:r>
            <w:r w:rsidRPr="005359C7">
              <w:rPr>
                <w:sz w:val="16"/>
                <w:szCs w:val="16"/>
                <w:lang w:val="fr-CA"/>
              </w:rPr>
              <w:t>9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FF42C8D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1</w:t>
            </w:r>
            <w:r w:rsidR="006E3D1E" w:rsidRPr="005359C7">
              <w:rPr>
                <w:sz w:val="16"/>
                <w:szCs w:val="16"/>
                <w:lang w:val="fr-CA"/>
              </w:rPr>
              <w:t>3,</w:t>
            </w:r>
            <w:r w:rsidRPr="005359C7">
              <w:rPr>
                <w:sz w:val="16"/>
                <w:szCs w:val="16"/>
                <w:lang w:val="fr-CA"/>
              </w:rPr>
              <w:t>9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55DF9E9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1</w:t>
            </w:r>
            <w:r w:rsidR="006E3D1E" w:rsidRPr="005359C7">
              <w:rPr>
                <w:sz w:val="16"/>
                <w:szCs w:val="16"/>
                <w:lang w:val="fr-CA"/>
              </w:rPr>
              <w:t>2,</w:t>
            </w:r>
            <w:r w:rsidRPr="005359C7">
              <w:rPr>
                <w:sz w:val="16"/>
                <w:szCs w:val="16"/>
                <w:lang w:val="fr-CA"/>
              </w:rPr>
              <w:t>5</w:t>
            </w:r>
          </w:p>
        </w:tc>
        <w:tc>
          <w:tcPr>
            <w:tcW w:w="78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1492D92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1</w:t>
            </w:r>
            <w:r w:rsidR="006E3D1E" w:rsidRPr="005359C7">
              <w:rPr>
                <w:sz w:val="16"/>
                <w:szCs w:val="16"/>
                <w:lang w:val="fr-CA"/>
              </w:rPr>
              <w:t>2,</w:t>
            </w:r>
            <w:r w:rsidRPr="005359C7">
              <w:rPr>
                <w:sz w:val="16"/>
                <w:szCs w:val="16"/>
                <w:lang w:val="fr-CA"/>
              </w:rPr>
              <w:t>5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F661047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1</w:t>
            </w:r>
            <w:r w:rsidR="006E3D1E" w:rsidRPr="005359C7">
              <w:rPr>
                <w:sz w:val="16"/>
                <w:szCs w:val="16"/>
                <w:lang w:val="fr-CA"/>
              </w:rPr>
              <w:t>2,</w:t>
            </w:r>
            <w:r w:rsidRPr="005359C7">
              <w:rPr>
                <w:sz w:val="16"/>
                <w:szCs w:val="16"/>
                <w:lang w:val="fr-CA"/>
              </w:rPr>
              <w:t>5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98B769F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1</w:t>
            </w:r>
            <w:r w:rsidR="006E3D1E" w:rsidRPr="005359C7">
              <w:rPr>
                <w:sz w:val="16"/>
                <w:szCs w:val="16"/>
                <w:lang w:val="fr-CA"/>
              </w:rPr>
              <w:t>2,</w:t>
            </w:r>
            <w:r w:rsidRPr="005359C7">
              <w:rPr>
                <w:sz w:val="16"/>
                <w:szCs w:val="16"/>
                <w:lang w:val="fr-CA"/>
              </w:rPr>
              <w:t>5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6526AEF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1</w:t>
            </w:r>
            <w:r w:rsidR="006E3D1E" w:rsidRPr="005359C7">
              <w:rPr>
                <w:sz w:val="16"/>
                <w:szCs w:val="16"/>
                <w:lang w:val="fr-CA"/>
              </w:rPr>
              <w:t>2,</w:t>
            </w:r>
            <w:r w:rsidRPr="005359C7">
              <w:rPr>
                <w:sz w:val="16"/>
                <w:szCs w:val="16"/>
                <w:lang w:val="fr-CA"/>
              </w:rPr>
              <w:t>5</w:t>
            </w:r>
          </w:p>
        </w:tc>
        <w:tc>
          <w:tcPr>
            <w:tcW w:w="69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2DD1D00" w14:textId="77777777" w:rsidR="003276F0" w:rsidRPr="005359C7" w:rsidRDefault="006E3D1E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9,</w:t>
            </w:r>
            <w:r w:rsidR="003276F0" w:rsidRPr="005359C7">
              <w:rPr>
                <w:sz w:val="16"/>
                <w:szCs w:val="16"/>
                <w:lang w:val="fr-CA"/>
              </w:rPr>
              <w:t>1</w:t>
            </w:r>
          </w:p>
        </w:tc>
        <w:tc>
          <w:tcPr>
            <w:tcW w:w="78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7AE8275" w14:textId="77777777" w:rsidR="003276F0" w:rsidRPr="005359C7" w:rsidRDefault="007C0721" w:rsidP="006E3D1E">
            <w:pPr>
              <w:spacing w:after="60"/>
              <w:jc w:val="center"/>
              <w:rPr>
                <w:sz w:val="16"/>
                <w:szCs w:val="16"/>
                <w:lang w:val="fr-CA"/>
              </w:rPr>
            </w:pPr>
            <w:proofErr w:type="spellStart"/>
            <w:r w:rsidRPr="005359C7">
              <w:rPr>
                <w:sz w:val="16"/>
                <w:szCs w:val="16"/>
                <w:lang w:val="fr-CA"/>
              </w:rPr>
              <w:t>s.o</w:t>
            </w:r>
            <w:proofErr w:type="spellEnd"/>
            <w:r w:rsidRPr="005359C7">
              <w:rPr>
                <w:sz w:val="16"/>
                <w:szCs w:val="16"/>
                <w:lang w:val="fr-CA"/>
              </w:rPr>
              <w:t>.</w:t>
            </w:r>
          </w:p>
        </w:tc>
      </w:tr>
      <w:tr w:rsidR="003276F0" w:rsidRPr="005359C7" w14:paraId="61D26AE9" w14:textId="77777777" w:rsidTr="004D7396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hideMark/>
          </w:tcPr>
          <w:p w14:paraId="2634708B" w14:textId="77777777" w:rsidR="003276F0" w:rsidRPr="005359C7" w:rsidRDefault="007C0721" w:rsidP="006E3D1E">
            <w:pPr>
              <w:spacing w:after="60"/>
              <w:jc w:val="left"/>
              <w:rPr>
                <w:sz w:val="16"/>
                <w:szCs w:val="16"/>
                <w:lang w:val="fr-CA"/>
              </w:rPr>
            </w:pPr>
            <w:proofErr w:type="spellStart"/>
            <w:r w:rsidRPr="005359C7">
              <w:rPr>
                <w:sz w:val="16"/>
                <w:szCs w:val="16"/>
                <w:lang w:val="fr-CA"/>
              </w:rPr>
              <w:t>Finance</w:t>
            </w:r>
            <w:r w:rsidR="004D7396">
              <w:rPr>
                <w:sz w:val="16"/>
                <w:szCs w:val="16"/>
                <w:lang w:val="fr-CA"/>
              </w:rPr>
              <w:t>-</w:t>
            </w:r>
            <w:r w:rsidRPr="005359C7">
              <w:rPr>
                <w:sz w:val="16"/>
                <w:szCs w:val="16"/>
                <w:lang w:val="fr-CA"/>
              </w:rPr>
              <w:t>ment</w:t>
            </w:r>
            <w:proofErr w:type="spellEnd"/>
            <w:r w:rsidRPr="005359C7">
              <w:rPr>
                <w:sz w:val="16"/>
                <w:szCs w:val="16"/>
                <w:lang w:val="fr-CA"/>
              </w:rPr>
              <w:t xml:space="preserve"> convenu</w:t>
            </w:r>
            <w:r w:rsidR="003276F0" w:rsidRPr="005359C7">
              <w:rPr>
                <w:sz w:val="16"/>
                <w:szCs w:val="16"/>
                <w:lang w:val="fr-CA"/>
              </w:rPr>
              <w:t xml:space="preserve"> </w:t>
            </w:r>
            <w:r w:rsidRPr="005359C7">
              <w:rPr>
                <w:sz w:val="16"/>
                <w:szCs w:val="16"/>
                <w:lang w:val="fr-CA"/>
              </w:rPr>
              <w:t>($US)</w:t>
            </w:r>
          </w:p>
        </w:tc>
        <w:tc>
          <w:tcPr>
            <w:tcW w:w="745" w:type="dxa"/>
            <w:vMerge w:val="restar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hideMark/>
          </w:tcPr>
          <w:p w14:paraId="44CE575E" w14:textId="77777777" w:rsidR="003276F0" w:rsidRPr="005359C7" w:rsidRDefault="00886766" w:rsidP="006E3D1E">
            <w:pPr>
              <w:spacing w:after="60"/>
              <w:jc w:val="center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PNUD</w:t>
            </w:r>
          </w:p>
        </w:tc>
        <w:tc>
          <w:tcPr>
            <w:tcW w:w="8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AFA86F1" w14:textId="77777777" w:rsidR="003276F0" w:rsidRPr="005359C7" w:rsidRDefault="00F544DC" w:rsidP="006E3D1E">
            <w:pPr>
              <w:spacing w:after="60"/>
              <w:jc w:val="lef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Coûts de projet</w:t>
            </w:r>
          </w:p>
        </w:tc>
        <w:tc>
          <w:tcPr>
            <w:tcW w:w="80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817A491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18</w:t>
            </w:r>
            <w:r w:rsidR="006E3D1E" w:rsidRPr="005359C7">
              <w:rPr>
                <w:sz w:val="16"/>
                <w:szCs w:val="16"/>
                <w:lang w:val="fr-CA"/>
              </w:rPr>
              <w:t>0 </w:t>
            </w:r>
            <w:r w:rsidRPr="005359C7">
              <w:rPr>
                <w:sz w:val="16"/>
                <w:szCs w:val="16"/>
                <w:lang w:val="fr-CA"/>
              </w:rPr>
              <w:t>000</w:t>
            </w:r>
          </w:p>
        </w:tc>
        <w:tc>
          <w:tcPr>
            <w:tcW w:w="57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E11206B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57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215AF97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73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4FE2479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6</w:t>
            </w:r>
            <w:r w:rsidR="006E3D1E" w:rsidRPr="005359C7">
              <w:rPr>
                <w:sz w:val="16"/>
                <w:szCs w:val="16"/>
                <w:lang w:val="fr-CA"/>
              </w:rPr>
              <w:t>0 </w:t>
            </w:r>
            <w:r w:rsidRPr="005359C7">
              <w:rPr>
                <w:sz w:val="16"/>
                <w:szCs w:val="16"/>
                <w:lang w:val="fr-CA"/>
              </w:rPr>
              <w:t>000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4CA1018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6D85644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78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472379C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12</w:t>
            </w:r>
            <w:r w:rsidR="006E3D1E" w:rsidRPr="005359C7">
              <w:rPr>
                <w:sz w:val="16"/>
                <w:szCs w:val="16"/>
                <w:lang w:val="fr-CA"/>
              </w:rPr>
              <w:t>7 </w:t>
            </w:r>
            <w:r w:rsidRPr="005359C7">
              <w:rPr>
                <w:sz w:val="16"/>
                <w:szCs w:val="16"/>
                <w:lang w:val="fr-CA"/>
              </w:rPr>
              <w:t>766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CCC2B65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FA9A5B8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A47707E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69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1B353C9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3</w:t>
            </w:r>
            <w:r w:rsidR="006E3D1E" w:rsidRPr="005359C7">
              <w:rPr>
                <w:sz w:val="16"/>
                <w:szCs w:val="16"/>
                <w:lang w:val="fr-CA"/>
              </w:rPr>
              <w:t>1 </w:t>
            </w:r>
            <w:r w:rsidRPr="005359C7">
              <w:rPr>
                <w:sz w:val="16"/>
                <w:szCs w:val="16"/>
                <w:lang w:val="fr-CA"/>
              </w:rPr>
              <w:t>100</w:t>
            </w:r>
          </w:p>
        </w:tc>
        <w:tc>
          <w:tcPr>
            <w:tcW w:w="78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7A220D5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39</w:t>
            </w:r>
            <w:r w:rsidR="006E3D1E" w:rsidRPr="005359C7">
              <w:rPr>
                <w:sz w:val="16"/>
                <w:szCs w:val="16"/>
                <w:lang w:val="fr-CA"/>
              </w:rPr>
              <w:t>8 </w:t>
            </w:r>
            <w:r w:rsidRPr="005359C7">
              <w:rPr>
                <w:sz w:val="16"/>
                <w:szCs w:val="16"/>
                <w:lang w:val="fr-CA"/>
              </w:rPr>
              <w:t>866</w:t>
            </w:r>
          </w:p>
        </w:tc>
      </w:tr>
      <w:tr w:rsidR="003276F0" w:rsidRPr="005359C7" w14:paraId="0925F548" w14:textId="77777777" w:rsidTr="004D7396">
        <w:trPr>
          <w:jc w:val="center"/>
        </w:trPr>
        <w:tc>
          <w:tcPr>
            <w:tcW w:w="849" w:type="dxa"/>
            <w:vMerge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605C5D2F" w14:textId="77777777" w:rsidR="003276F0" w:rsidRPr="005359C7" w:rsidRDefault="003276F0" w:rsidP="006E3D1E">
            <w:pPr>
              <w:jc w:val="left"/>
              <w:rPr>
                <w:sz w:val="16"/>
                <w:szCs w:val="16"/>
                <w:lang w:val="fr-CA"/>
              </w:rPr>
            </w:pPr>
          </w:p>
        </w:tc>
        <w:tc>
          <w:tcPr>
            <w:tcW w:w="745" w:type="dxa"/>
            <w:vMerge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526FCD88" w14:textId="77777777" w:rsidR="003276F0" w:rsidRPr="005359C7" w:rsidRDefault="003276F0" w:rsidP="006E3D1E">
            <w:pPr>
              <w:jc w:val="left"/>
              <w:rPr>
                <w:sz w:val="16"/>
                <w:szCs w:val="16"/>
                <w:lang w:val="fr-CA"/>
              </w:rPr>
            </w:pPr>
          </w:p>
        </w:tc>
        <w:tc>
          <w:tcPr>
            <w:tcW w:w="8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262CC51B" w14:textId="77777777" w:rsidR="003276F0" w:rsidRPr="005359C7" w:rsidRDefault="00F544DC" w:rsidP="006E3D1E">
            <w:pPr>
              <w:spacing w:after="60"/>
              <w:jc w:val="lef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Coûts d’appui</w:t>
            </w:r>
          </w:p>
        </w:tc>
        <w:tc>
          <w:tcPr>
            <w:tcW w:w="80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E926976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1</w:t>
            </w:r>
            <w:r w:rsidR="006E3D1E" w:rsidRPr="005359C7">
              <w:rPr>
                <w:sz w:val="16"/>
                <w:szCs w:val="16"/>
                <w:lang w:val="fr-CA"/>
              </w:rPr>
              <w:t>3 </w:t>
            </w:r>
            <w:r w:rsidRPr="005359C7">
              <w:rPr>
                <w:sz w:val="16"/>
                <w:szCs w:val="16"/>
                <w:lang w:val="fr-CA"/>
              </w:rPr>
              <w:t>500</w:t>
            </w:r>
          </w:p>
        </w:tc>
        <w:tc>
          <w:tcPr>
            <w:tcW w:w="57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1E4A6BC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57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BDD7673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73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A16193B" w14:textId="77777777" w:rsidR="003276F0" w:rsidRPr="005359C7" w:rsidRDefault="006E3D1E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4 </w:t>
            </w:r>
            <w:r w:rsidR="003276F0" w:rsidRPr="005359C7">
              <w:rPr>
                <w:sz w:val="16"/>
                <w:szCs w:val="16"/>
                <w:lang w:val="fr-CA"/>
              </w:rPr>
              <w:t>500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CD2C53A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CE4FEEA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78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8141D5D" w14:textId="77777777" w:rsidR="003276F0" w:rsidRPr="005359C7" w:rsidRDefault="006E3D1E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9 </w:t>
            </w:r>
            <w:r w:rsidR="003276F0" w:rsidRPr="005359C7">
              <w:rPr>
                <w:sz w:val="16"/>
                <w:szCs w:val="16"/>
                <w:lang w:val="fr-CA"/>
              </w:rPr>
              <w:t>582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6B76820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52290AF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A15431F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69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CBCC2EB" w14:textId="77777777" w:rsidR="003276F0" w:rsidRPr="005359C7" w:rsidRDefault="006E3D1E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2 </w:t>
            </w:r>
            <w:r w:rsidR="003276F0" w:rsidRPr="005359C7">
              <w:rPr>
                <w:sz w:val="16"/>
                <w:szCs w:val="16"/>
                <w:lang w:val="fr-CA"/>
              </w:rPr>
              <w:t>333</w:t>
            </w:r>
          </w:p>
        </w:tc>
        <w:tc>
          <w:tcPr>
            <w:tcW w:w="78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08E9639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2</w:t>
            </w:r>
            <w:r w:rsidR="006E3D1E" w:rsidRPr="005359C7">
              <w:rPr>
                <w:sz w:val="16"/>
                <w:szCs w:val="16"/>
                <w:lang w:val="fr-CA"/>
              </w:rPr>
              <w:t>9 </w:t>
            </w:r>
            <w:r w:rsidRPr="005359C7">
              <w:rPr>
                <w:sz w:val="16"/>
                <w:szCs w:val="16"/>
                <w:lang w:val="fr-CA"/>
              </w:rPr>
              <w:t>915</w:t>
            </w:r>
          </w:p>
        </w:tc>
      </w:tr>
      <w:tr w:rsidR="003276F0" w:rsidRPr="005359C7" w14:paraId="2D35BA46" w14:textId="77777777" w:rsidTr="004D7396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</w:tcPr>
          <w:p w14:paraId="103F8634" w14:textId="77777777" w:rsidR="003276F0" w:rsidRPr="005359C7" w:rsidRDefault="007C0721" w:rsidP="006E3D1E">
            <w:pPr>
              <w:jc w:val="left"/>
              <w:rPr>
                <w:sz w:val="16"/>
                <w:szCs w:val="16"/>
                <w:lang w:val="fr-CA"/>
              </w:rPr>
            </w:pPr>
            <w:proofErr w:type="spellStart"/>
            <w:r w:rsidRPr="005359C7">
              <w:rPr>
                <w:sz w:val="16"/>
                <w:szCs w:val="16"/>
                <w:lang w:val="fr-CA"/>
              </w:rPr>
              <w:t>Finance-ment</w:t>
            </w:r>
            <w:proofErr w:type="spellEnd"/>
            <w:r w:rsidRPr="005359C7">
              <w:rPr>
                <w:sz w:val="16"/>
                <w:szCs w:val="16"/>
                <w:lang w:val="fr-CA"/>
              </w:rPr>
              <w:t xml:space="preserve"> convenu</w:t>
            </w:r>
            <w:r w:rsidR="003276F0" w:rsidRPr="005359C7">
              <w:rPr>
                <w:sz w:val="16"/>
                <w:szCs w:val="16"/>
                <w:lang w:val="fr-CA"/>
              </w:rPr>
              <w:t xml:space="preserve"> </w:t>
            </w:r>
            <w:r w:rsidRPr="005359C7">
              <w:rPr>
                <w:sz w:val="16"/>
                <w:szCs w:val="16"/>
                <w:lang w:val="fr-CA"/>
              </w:rPr>
              <w:t>($US)</w:t>
            </w:r>
          </w:p>
        </w:tc>
        <w:tc>
          <w:tcPr>
            <w:tcW w:w="745" w:type="dxa"/>
            <w:vMerge w:val="restar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</w:tcPr>
          <w:p w14:paraId="700C3175" w14:textId="77777777" w:rsidR="003276F0" w:rsidRPr="005359C7" w:rsidRDefault="00886766" w:rsidP="006E3D1E">
            <w:pPr>
              <w:jc w:val="lef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PNUE</w:t>
            </w:r>
          </w:p>
        </w:tc>
        <w:tc>
          <w:tcPr>
            <w:tcW w:w="8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ED25B07" w14:textId="77777777" w:rsidR="003276F0" w:rsidRPr="005359C7" w:rsidRDefault="00F544DC" w:rsidP="006E3D1E">
            <w:pPr>
              <w:spacing w:after="60"/>
              <w:jc w:val="lef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Coûts de projet</w:t>
            </w:r>
          </w:p>
        </w:tc>
        <w:tc>
          <w:tcPr>
            <w:tcW w:w="80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6FAE966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12</w:t>
            </w:r>
            <w:r w:rsidR="006E3D1E" w:rsidRPr="005359C7">
              <w:rPr>
                <w:sz w:val="16"/>
                <w:szCs w:val="16"/>
                <w:lang w:val="fr-CA"/>
              </w:rPr>
              <w:t>5 </w:t>
            </w:r>
            <w:r w:rsidRPr="005359C7">
              <w:rPr>
                <w:sz w:val="16"/>
                <w:szCs w:val="16"/>
                <w:lang w:val="fr-CA"/>
              </w:rPr>
              <w:t>000</w:t>
            </w:r>
          </w:p>
        </w:tc>
        <w:tc>
          <w:tcPr>
            <w:tcW w:w="57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2D896F7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57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A246251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73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0DC7612" w14:textId="77777777" w:rsidR="003276F0" w:rsidRPr="005359C7" w:rsidRDefault="006E3D1E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4 </w:t>
            </w:r>
            <w:r w:rsidR="003276F0" w:rsidRPr="005359C7">
              <w:rPr>
                <w:sz w:val="16"/>
                <w:szCs w:val="16"/>
                <w:lang w:val="fr-CA"/>
              </w:rPr>
              <w:t>000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4AA76AB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A9747B4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78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8A6861A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7</w:t>
            </w:r>
            <w:r w:rsidR="006E3D1E" w:rsidRPr="005359C7">
              <w:rPr>
                <w:sz w:val="16"/>
                <w:szCs w:val="16"/>
                <w:lang w:val="fr-CA"/>
              </w:rPr>
              <w:t>5 </w:t>
            </w:r>
            <w:r w:rsidRPr="005359C7">
              <w:rPr>
                <w:sz w:val="16"/>
                <w:szCs w:val="16"/>
                <w:lang w:val="fr-CA"/>
              </w:rPr>
              <w:t>100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77378BF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3EC2769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5B08977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69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096550D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2</w:t>
            </w:r>
            <w:r w:rsidR="006E3D1E" w:rsidRPr="005359C7">
              <w:rPr>
                <w:sz w:val="16"/>
                <w:szCs w:val="16"/>
                <w:lang w:val="fr-CA"/>
              </w:rPr>
              <w:t>4 </w:t>
            </w:r>
            <w:r w:rsidRPr="005359C7">
              <w:rPr>
                <w:sz w:val="16"/>
                <w:szCs w:val="16"/>
                <w:lang w:val="fr-CA"/>
              </w:rPr>
              <w:t>900</w:t>
            </w:r>
          </w:p>
        </w:tc>
        <w:tc>
          <w:tcPr>
            <w:tcW w:w="78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2499DC1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24</w:t>
            </w:r>
            <w:r w:rsidR="006E3D1E" w:rsidRPr="005359C7">
              <w:rPr>
                <w:sz w:val="16"/>
                <w:szCs w:val="16"/>
                <w:lang w:val="fr-CA"/>
              </w:rPr>
              <w:t>9 </w:t>
            </w:r>
            <w:r w:rsidRPr="005359C7">
              <w:rPr>
                <w:sz w:val="16"/>
                <w:szCs w:val="16"/>
                <w:lang w:val="fr-CA"/>
              </w:rPr>
              <w:t>000</w:t>
            </w:r>
          </w:p>
        </w:tc>
      </w:tr>
      <w:tr w:rsidR="003276F0" w:rsidRPr="005359C7" w14:paraId="0A4E9954" w14:textId="77777777" w:rsidTr="004D7396">
        <w:trPr>
          <w:jc w:val="center"/>
        </w:trPr>
        <w:tc>
          <w:tcPr>
            <w:tcW w:w="849" w:type="dxa"/>
            <w:vMerge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14:paraId="0137DC03" w14:textId="77777777" w:rsidR="003276F0" w:rsidRPr="005359C7" w:rsidRDefault="003276F0" w:rsidP="006E3D1E">
            <w:pPr>
              <w:jc w:val="left"/>
              <w:rPr>
                <w:sz w:val="16"/>
                <w:szCs w:val="16"/>
                <w:lang w:val="fr-CA"/>
              </w:rPr>
            </w:pPr>
          </w:p>
        </w:tc>
        <w:tc>
          <w:tcPr>
            <w:tcW w:w="745" w:type="dxa"/>
            <w:vMerge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14:paraId="570004A1" w14:textId="77777777" w:rsidR="003276F0" w:rsidRPr="005359C7" w:rsidRDefault="003276F0" w:rsidP="006E3D1E">
            <w:pPr>
              <w:jc w:val="left"/>
              <w:rPr>
                <w:sz w:val="16"/>
                <w:szCs w:val="16"/>
                <w:lang w:val="fr-CA"/>
              </w:rPr>
            </w:pPr>
          </w:p>
        </w:tc>
        <w:tc>
          <w:tcPr>
            <w:tcW w:w="8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6BE6E67" w14:textId="77777777" w:rsidR="003276F0" w:rsidRPr="005359C7" w:rsidRDefault="00F544DC" w:rsidP="006E3D1E">
            <w:pPr>
              <w:spacing w:after="60"/>
              <w:jc w:val="lef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Coûts d’appui</w:t>
            </w:r>
          </w:p>
        </w:tc>
        <w:tc>
          <w:tcPr>
            <w:tcW w:w="80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29E4986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1</w:t>
            </w:r>
            <w:r w:rsidR="006E3D1E" w:rsidRPr="005359C7">
              <w:rPr>
                <w:sz w:val="16"/>
                <w:szCs w:val="16"/>
                <w:lang w:val="fr-CA"/>
              </w:rPr>
              <w:t>6 </w:t>
            </w:r>
            <w:r w:rsidRPr="005359C7">
              <w:rPr>
                <w:sz w:val="16"/>
                <w:szCs w:val="16"/>
                <w:lang w:val="fr-CA"/>
              </w:rPr>
              <w:t>250</w:t>
            </w:r>
          </w:p>
        </w:tc>
        <w:tc>
          <w:tcPr>
            <w:tcW w:w="57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D7766EE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57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8B49CB6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73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3ECF3AB" w14:textId="77777777" w:rsidR="003276F0" w:rsidRPr="005359C7" w:rsidRDefault="006E3D1E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3 </w:t>
            </w:r>
            <w:r w:rsidR="003276F0" w:rsidRPr="005359C7">
              <w:rPr>
                <w:sz w:val="16"/>
                <w:szCs w:val="16"/>
                <w:lang w:val="fr-CA"/>
              </w:rPr>
              <w:t>100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44CC335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FE9AB29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78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25814BF" w14:textId="77777777" w:rsidR="003276F0" w:rsidRPr="005359C7" w:rsidRDefault="006E3D1E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9 </w:t>
            </w:r>
            <w:r w:rsidR="003276F0" w:rsidRPr="005359C7">
              <w:rPr>
                <w:sz w:val="16"/>
                <w:szCs w:val="16"/>
                <w:lang w:val="fr-CA"/>
              </w:rPr>
              <w:t>763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820967E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53A0E9B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F4F2EEE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69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BC86131" w14:textId="77777777" w:rsidR="003276F0" w:rsidRPr="005359C7" w:rsidRDefault="006E3D1E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3 </w:t>
            </w:r>
            <w:r w:rsidR="003276F0" w:rsidRPr="005359C7">
              <w:rPr>
                <w:sz w:val="16"/>
                <w:szCs w:val="16"/>
                <w:lang w:val="fr-CA"/>
              </w:rPr>
              <w:t>237</w:t>
            </w:r>
          </w:p>
        </w:tc>
        <w:tc>
          <w:tcPr>
            <w:tcW w:w="78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1454AAC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3</w:t>
            </w:r>
            <w:r w:rsidR="006E3D1E" w:rsidRPr="005359C7">
              <w:rPr>
                <w:sz w:val="16"/>
                <w:szCs w:val="16"/>
                <w:lang w:val="fr-CA"/>
              </w:rPr>
              <w:t>2 </w:t>
            </w:r>
            <w:r w:rsidRPr="005359C7">
              <w:rPr>
                <w:sz w:val="16"/>
                <w:szCs w:val="16"/>
                <w:lang w:val="fr-CA"/>
              </w:rPr>
              <w:t>370</w:t>
            </w:r>
          </w:p>
        </w:tc>
      </w:tr>
      <w:tr w:rsidR="003276F0" w:rsidRPr="005359C7" w14:paraId="40DA3976" w14:textId="77777777" w:rsidTr="006E3D1E">
        <w:trPr>
          <w:jc w:val="center"/>
        </w:trPr>
        <w:tc>
          <w:tcPr>
            <w:tcW w:w="1594" w:type="dxa"/>
            <w:gridSpan w:val="2"/>
            <w:vMerge w:val="restar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45CF446" w14:textId="77777777" w:rsidR="003276F0" w:rsidRPr="005359C7" w:rsidRDefault="003276F0" w:rsidP="007C0721">
            <w:pPr>
              <w:spacing w:after="60"/>
              <w:jc w:val="lef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F</w:t>
            </w:r>
            <w:r w:rsidR="007C0721" w:rsidRPr="005359C7">
              <w:rPr>
                <w:sz w:val="16"/>
                <w:szCs w:val="16"/>
                <w:lang w:val="fr-CA"/>
              </w:rPr>
              <w:t xml:space="preserve">inancement </w:t>
            </w:r>
            <w:r w:rsidR="00A4276C" w:rsidRPr="005359C7">
              <w:rPr>
                <w:sz w:val="16"/>
                <w:szCs w:val="16"/>
                <w:lang w:val="fr-CA"/>
              </w:rPr>
              <w:t>approuvé</w:t>
            </w:r>
            <w:r w:rsidR="007C0721" w:rsidRPr="005359C7">
              <w:rPr>
                <w:sz w:val="16"/>
                <w:szCs w:val="16"/>
                <w:lang w:val="fr-CA"/>
              </w:rPr>
              <w:t xml:space="preserve"> par </w:t>
            </w:r>
            <w:r w:rsidRPr="005359C7">
              <w:rPr>
                <w:sz w:val="16"/>
                <w:szCs w:val="16"/>
                <w:lang w:val="fr-CA"/>
              </w:rPr>
              <w:t xml:space="preserve"> </w:t>
            </w:r>
            <w:proofErr w:type="spellStart"/>
            <w:r w:rsidRPr="005359C7">
              <w:rPr>
                <w:sz w:val="16"/>
                <w:szCs w:val="16"/>
                <w:lang w:val="fr-CA"/>
              </w:rPr>
              <w:t>ExCom</w:t>
            </w:r>
            <w:proofErr w:type="spellEnd"/>
            <w:r w:rsidRPr="005359C7">
              <w:rPr>
                <w:sz w:val="16"/>
                <w:szCs w:val="16"/>
                <w:lang w:val="fr-CA"/>
              </w:rPr>
              <w:t xml:space="preserve"> </w:t>
            </w:r>
            <w:r w:rsidR="007C0721" w:rsidRPr="005359C7">
              <w:rPr>
                <w:sz w:val="16"/>
                <w:szCs w:val="16"/>
                <w:lang w:val="fr-CA"/>
              </w:rPr>
              <w:t>($US)</w:t>
            </w:r>
          </w:p>
        </w:tc>
        <w:tc>
          <w:tcPr>
            <w:tcW w:w="8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D13E337" w14:textId="77777777" w:rsidR="003276F0" w:rsidRPr="005359C7" w:rsidRDefault="00F544DC" w:rsidP="006E3D1E">
            <w:pPr>
              <w:spacing w:after="60"/>
              <w:jc w:val="lef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Coûts de projet</w:t>
            </w:r>
          </w:p>
        </w:tc>
        <w:tc>
          <w:tcPr>
            <w:tcW w:w="80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F00A140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30</w:t>
            </w:r>
            <w:r w:rsidR="006E3D1E" w:rsidRPr="005359C7">
              <w:rPr>
                <w:sz w:val="16"/>
                <w:szCs w:val="16"/>
                <w:lang w:val="fr-CA"/>
              </w:rPr>
              <w:t>5 </w:t>
            </w:r>
            <w:r w:rsidRPr="005359C7">
              <w:rPr>
                <w:sz w:val="16"/>
                <w:szCs w:val="16"/>
                <w:lang w:val="fr-CA"/>
              </w:rPr>
              <w:t>000</w:t>
            </w:r>
          </w:p>
        </w:tc>
        <w:tc>
          <w:tcPr>
            <w:tcW w:w="57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6370038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57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7105ACF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73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9787157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8</w:t>
            </w:r>
            <w:r w:rsidR="006E3D1E" w:rsidRPr="005359C7">
              <w:rPr>
                <w:sz w:val="16"/>
                <w:szCs w:val="16"/>
                <w:lang w:val="fr-CA"/>
              </w:rPr>
              <w:t>4 </w:t>
            </w:r>
            <w:r w:rsidRPr="005359C7">
              <w:rPr>
                <w:sz w:val="16"/>
                <w:szCs w:val="16"/>
                <w:lang w:val="fr-CA"/>
              </w:rPr>
              <w:t>000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CA11502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AAFD7F9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78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6FD5B07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20</w:t>
            </w:r>
            <w:r w:rsidR="006E3D1E" w:rsidRPr="005359C7">
              <w:rPr>
                <w:sz w:val="16"/>
                <w:szCs w:val="16"/>
                <w:lang w:val="fr-CA"/>
              </w:rPr>
              <w:t>2 </w:t>
            </w:r>
            <w:r w:rsidRPr="005359C7">
              <w:rPr>
                <w:sz w:val="16"/>
                <w:szCs w:val="16"/>
                <w:lang w:val="fr-CA"/>
              </w:rPr>
              <w:t>866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099E0C6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A5105D7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159D0E3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69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DAF6EC1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78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5E38B73B" w14:textId="77777777" w:rsidR="003276F0" w:rsidRPr="005359C7" w:rsidRDefault="003276F0" w:rsidP="006E3D1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59</w:t>
            </w:r>
            <w:r w:rsidR="006E3D1E" w:rsidRPr="005359C7">
              <w:rPr>
                <w:sz w:val="16"/>
                <w:szCs w:val="16"/>
                <w:lang w:val="fr-CA"/>
              </w:rPr>
              <w:t>1 </w:t>
            </w:r>
            <w:r w:rsidRPr="005359C7">
              <w:rPr>
                <w:sz w:val="16"/>
                <w:szCs w:val="16"/>
                <w:lang w:val="fr-CA"/>
              </w:rPr>
              <w:t>866</w:t>
            </w:r>
          </w:p>
        </w:tc>
      </w:tr>
      <w:tr w:rsidR="003276F0" w:rsidRPr="005359C7" w14:paraId="72227C9D" w14:textId="77777777" w:rsidTr="006E3D1E">
        <w:trPr>
          <w:jc w:val="center"/>
        </w:trPr>
        <w:tc>
          <w:tcPr>
            <w:tcW w:w="1594" w:type="dxa"/>
            <w:gridSpan w:val="2"/>
            <w:vMerge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0EDB3458" w14:textId="77777777" w:rsidR="003276F0" w:rsidRPr="005359C7" w:rsidRDefault="003276F0" w:rsidP="006E3D1E">
            <w:pPr>
              <w:jc w:val="left"/>
              <w:rPr>
                <w:sz w:val="16"/>
                <w:szCs w:val="16"/>
                <w:lang w:val="fr-CA"/>
              </w:rPr>
            </w:pPr>
          </w:p>
        </w:tc>
        <w:tc>
          <w:tcPr>
            <w:tcW w:w="8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A73CA98" w14:textId="77777777" w:rsidR="003276F0" w:rsidRPr="005359C7" w:rsidRDefault="00F544DC" w:rsidP="006E3D1E">
            <w:pPr>
              <w:spacing w:after="60"/>
              <w:jc w:val="lef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Coûts d’appui</w:t>
            </w:r>
          </w:p>
        </w:tc>
        <w:tc>
          <w:tcPr>
            <w:tcW w:w="80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72FECA8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2</w:t>
            </w:r>
            <w:r w:rsidR="006E3D1E" w:rsidRPr="005359C7">
              <w:rPr>
                <w:sz w:val="16"/>
                <w:szCs w:val="16"/>
                <w:lang w:val="fr-CA"/>
              </w:rPr>
              <w:t>9 </w:t>
            </w:r>
            <w:r w:rsidRPr="005359C7">
              <w:rPr>
                <w:sz w:val="16"/>
                <w:szCs w:val="16"/>
                <w:lang w:val="fr-CA"/>
              </w:rPr>
              <w:t>750</w:t>
            </w:r>
          </w:p>
        </w:tc>
        <w:tc>
          <w:tcPr>
            <w:tcW w:w="57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496AECB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57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3BC5958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73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BBC5644" w14:textId="77777777" w:rsidR="003276F0" w:rsidRPr="005359C7" w:rsidRDefault="006E3D1E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7 </w:t>
            </w:r>
            <w:r w:rsidR="003276F0" w:rsidRPr="005359C7">
              <w:rPr>
                <w:sz w:val="16"/>
                <w:szCs w:val="16"/>
                <w:lang w:val="fr-CA"/>
              </w:rPr>
              <w:t>620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3464B9D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ACFA8DD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78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B8E169A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1</w:t>
            </w:r>
            <w:r w:rsidR="006E3D1E" w:rsidRPr="005359C7">
              <w:rPr>
                <w:sz w:val="16"/>
                <w:szCs w:val="16"/>
                <w:lang w:val="fr-CA"/>
              </w:rPr>
              <w:t>9 </w:t>
            </w:r>
            <w:r w:rsidRPr="005359C7">
              <w:rPr>
                <w:sz w:val="16"/>
                <w:szCs w:val="16"/>
                <w:lang w:val="fr-CA"/>
              </w:rPr>
              <w:t>345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505F693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0D13D11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620A2F2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69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D17FBBA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78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C20D1EE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5</w:t>
            </w:r>
            <w:r w:rsidR="006E3D1E" w:rsidRPr="005359C7">
              <w:rPr>
                <w:sz w:val="16"/>
                <w:szCs w:val="16"/>
                <w:lang w:val="fr-CA"/>
              </w:rPr>
              <w:t>6 </w:t>
            </w:r>
            <w:r w:rsidRPr="005359C7">
              <w:rPr>
                <w:sz w:val="16"/>
                <w:szCs w:val="16"/>
                <w:lang w:val="fr-CA"/>
              </w:rPr>
              <w:t>715</w:t>
            </w:r>
          </w:p>
        </w:tc>
      </w:tr>
      <w:tr w:rsidR="003276F0" w:rsidRPr="005359C7" w14:paraId="2436ECF3" w14:textId="77777777" w:rsidTr="006E3D1E">
        <w:trPr>
          <w:jc w:val="center"/>
        </w:trPr>
        <w:tc>
          <w:tcPr>
            <w:tcW w:w="1594" w:type="dxa"/>
            <w:gridSpan w:val="2"/>
            <w:vMerge w:val="restar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013751E" w14:textId="77777777" w:rsidR="003276F0" w:rsidRPr="005359C7" w:rsidRDefault="007C0721" w:rsidP="007C0721">
            <w:pPr>
              <w:spacing w:after="60"/>
              <w:jc w:val="lef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Financement total demandé pour approbation à la présente réunion</w:t>
            </w:r>
            <w:r w:rsidR="003276F0" w:rsidRPr="005359C7">
              <w:rPr>
                <w:sz w:val="16"/>
                <w:szCs w:val="16"/>
                <w:lang w:val="fr-CA"/>
              </w:rPr>
              <w:t xml:space="preserve"> </w:t>
            </w:r>
            <w:r w:rsidRPr="005359C7">
              <w:rPr>
                <w:sz w:val="16"/>
                <w:szCs w:val="16"/>
                <w:lang w:val="fr-CA"/>
              </w:rPr>
              <w:t>($US)</w:t>
            </w:r>
          </w:p>
        </w:tc>
        <w:tc>
          <w:tcPr>
            <w:tcW w:w="8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580D0E5" w14:textId="77777777" w:rsidR="003276F0" w:rsidRPr="005359C7" w:rsidRDefault="00F544DC" w:rsidP="006E3D1E">
            <w:pPr>
              <w:spacing w:after="60"/>
              <w:jc w:val="lef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Coûts de projet</w:t>
            </w:r>
          </w:p>
        </w:tc>
        <w:tc>
          <w:tcPr>
            <w:tcW w:w="80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9DAC897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57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94E3C2C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57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9672C5E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73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61DD776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1DF7E04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5F2497A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78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AF9A7FC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6AE4024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5DF9DDD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EB7F9A2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69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2F0873A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5</w:t>
            </w:r>
            <w:r w:rsidR="006E3D1E" w:rsidRPr="005359C7">
              <w:rPr>
                <w:sz w:val="16"/>
                <w:szCs w:val="16"/>
                <w:lang w:val="fr-CA"/>
              </w:rPr>
              <w:t>6 </w:t>
            </w:r>
            <w:r w:rsidRPr="005359C7">
              <w:rPr>
                <w:sz w:val="16"/>
                <w:szCs w:val="16"/>
                <w:lang w:val="fr-CA"/>
              </w:rPr>
              <w:t>000</w:t>
            </w:r>
          </w:p>
        </w:tc>
        <w:tc>
          <w:tcPr>
            <w:tcW w:w="78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080B1EF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5</w:t>
            </w:r>
            <w:r w:rsidR="006E3D1E" w:rsidRPr="005359C7">
              <w:rPr>
                <w:sz w:val="16"/>
                <w:szCs w:val="16"/>
                <w:lang w:val="fr-CA"/>
              </w:rPr>
              <w:t>6 </w:t>
            </w:r>
            <w:r w:rsidRPr="005359C7">
              <w:rPr>
                <w:sz w:val="16"/>
                <w:szCs w:val="16"/>
                <w:lang w:val="fr-CA"/>
              </w:rPr>
              <w:t>000</w:t>
            </w:r>
          </w:p>
        </w:tc>
      </w:tr>
      <w:tr w:rsidR="003276F0" w:rsidRPr="005359C7" w14:paraId="31483904" w14:textId="77777777" w:rsidTr="006E3D1E">
        <w:trPr>
          <w:jc w:val="center"/>
        </w:trPr>
        <w:tc>
          <w:tcPr>
            <w:tcW w:w="1594" w:type="dxa"/>
            <w:gridSpan w:val="2"/>
            <w:vMerge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6A2CF8EC" w14:textId="77777777" w:rsidR="003276F0" w:rsidRPr="005359C7" w:rsidRDefault="003276F0" w:rsidP="006E3D1E">
            <w:pPr>
              <w:jc w:val="left"/>
              <w:rPr>
                <w:sz w:val="16"/>
                <w:szCs w:val="16"/>
                <w:lang w:val="fr-CA"/>
              </w:rPr>
            </w:pPr>
          </w:p>
        </w:tc>
        <w:tc>
          <w:tcPr>
            <w:tcW w:w="8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5A565CFC" w14:textId="77777777" w:rsidR="003276F0" w:rsidRPr="005359C7" w:rsidRDefault="00F544DC" w:rsidP="006E3D1E">
            <w:pPr>
              <w:spacing w:after="60"/>
              <w:jc w:val="lef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Coûts d’appui</w:t>
            </w:r>
          </w:p>
        </w:tc>
        <w:tc>
          <w:tcPr>
            <w:tcW w:w="80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E3A14ED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57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54198B8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57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08CB5C4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73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12601C3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A1E5C58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9C99940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78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608FAB3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18685B0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0C3708D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4C1B33B" w14:textId="77777777" w:rsidR="003276F0" w:rsidRPr="005359C7" w:rsidRDefault="003276F0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0</w:t>
            </w:r>
          </w:p>
        </w:tc>
        <w:tc>
          <w:tcPr>
            <w:tcW w:w="69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605A863" w14:textId="77777777" w:rsidR="003276F0" w:rsidRPr="005359C7" w:rsidRDefault="006E3D1E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5 </w:t>
            </w:r>
            <w:r w:rsidR="003276F0" w:rsidRPr="005359C7">
              <w:rPr>
                <w:sz w:val="16"/>
                <w:szCs w:val="16"/>
                <w:lang w:val="fr-CA"/>
              </w:rPr>
              <w:t>570</w:t>
            </w:r>
          </w:p>
        </w:tc>
        <w:tc>
          <w:tcPr>
            <w:tcW w:w="78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219C286" w14:textId="77777777" w:rsidR="003276F0" w:rsidRPr="005359C7" w:rsidRDefault="006E3D1E" w:rsidP="006E3D1E">
            <w:pPr>
              <w:spacing w:after="60"/>
              <w:jc w:val="right"/>
              <w:rPr>
                <w:sz w:val="16"/>
                <w:szCs w:val="16"/>
                <w:lang w:val="fr-CA"/>
              </w:rPr>
            </w:pPr>
            <w:r w:rsidRPr="005359C7">
              <w:rPr>
                <w:sz w:val="16"/>
                <w:szCs w:val="16"/>
                <w:lang w:val="fr-CA"/>
              </w:rPr>
              <w:t>5 </w:t>
            </w:r>
            <w:r w:rsidR="003276F0" w:rsidRPr="005359C7">
              <w:rPr>
                <w:sz w:val="16"/>
                <w:szCs w:val="16"/>
                <w:lang w:val="fr-CA"/>
              </w:rPr>
              <w:t>570</w:t>
            </w:r>
          </w:p>
        </w:tc>
      </w:tr>
    </w:tbl>
    <w:p w14:paraId="3AC019FC" w14:textId="77777777" w:rsidR="003276F0" w:rsidRPr="005359C7" w:rsidRDefault="003276F0" w:rsidP="003276F0">
      <w:pPr>
        <w:spacing w:after="60"/>
        <w:jc w:val="center"/>
        <w:rPr>
          <w:lang w:val="fr-CA"/>
        </w:rPr>
      </w:pPr>
    </w:p>
    <w:tbl>
      <w:tblPr>
        <w:tblStyle w:val="TableGrid"/>
        <w:tblW w:w="10206" w:type="dxa"/>
        <w:jc w:val="center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2944"/>
        <w:gridCol w:w="7262"/>
      </w:tblGrid>
      <w:tr w:rsidR="007C0721" w:rsidRPr="005359C7" w14:paraId="1DBAC2D9" w14:textId="77777777" w:rsidTr="007C0721">
        <w:trPr>
          <w:trHeight w:val="240"/>
          <w:jc w:val="center"/>
        </w:trPr>
        <w:tc>
          <w:tcPr>
            <w:tcW w:w="294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6B1A69F" w14:textId="77777777" w:rsidR="007C0721" w:rsidRPr="005359C7" w:rsidRDefault="007C0721" w:rsidP="00E41063">
            <w:pPr>
              <w:spacing w:after="60"/>
              <w:jc w:val="left"/>
              <w:rPr>
                <w:b/>
                <w:sz w:val="18"/>
                <w:lang w:val="fr-CA"/>
              </w:rPr>
            </w:pPr>
            <w:r w:rsidRPr="005359C7">
              <w:rPr>
                <w:b/>
                <w:sz w:val="18"/>
                <w:lang w:val="fr-CA"/>
              </w:rPr>
              <w:t>Recommandation du Secrétariat</w:t>
            </w:r>
            <w:r w:rsidR="00E41063">
              <w:rPr>
                <w:b/>
                <w:sz w:val="18"/>
                <w:lang w:val="fr-CA"/>
              </w:rPr>
              <w:t xml:space="preserve"> </w:t>
            </w:r>
            <w:r w:rsidRPr="005359C7">
              <w:rPr>
                <w:b/>
                <w:sz w:val="18"/>
                <w:lang w:val="fr-CA"/>
              </w:rPr>
              <w:t>:</w:t>
            </w:r>
          </w:p>
        </w:tc>
        <w:tc>
          <w:tcPr>
            <w:tcW w:w="726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85205F2" w14:textId="77777777" w:rsidR="007C0721" w:rsidRPr="005359C7" w:rsidRDefault="007C0721" w:rsidP="00401DA7">
            <w:pPr>
              <w:spacing w:after="60"/>
              <w:jc w:val="center"/>
              <w:rPr>
                <w:sz w:val="18"/>
                <w:lang w:val="fr-CA"/>
              </w:rPr>
            </w:pPr>
            <w:r w:rsidRPr="005359C7">
              <w:rPr>
                <w:sz w:val="18"/>
                <w:lang w:val="fr-CA"/>
              </w:rPr>
              <w:t>Pour approbation globale</w:t>
            </w:r>
          </w:p>
        </w:tc>
      </w:tr>
    </w:tbl>
    <w:p w14:paraId="20D1BF93" w14:textId="77777777" w:rsidR="003276F0" w:rsidRPr="005359C7" w:rsidRDefault="003276F0" w:rsidP="003276F0">
      <w:pPr>
        <w:spacing w:after="60"/>
        <w:jc w:val="center"/>
        <w:rPr>
          <w:lang w:val="fr-CA"/>
        </w:rPr>
      </w:pPr>
    </w:p>
    <w:p w14:paraId="29AF1B7B" w14:textId="77777777" w:rsidR="00CF1303" w:rsidRPr="005359C7" w:rsidRDefault="00CF1303" w:rsidP="00271707">
      <w:pPr>
        <w:jc w:val="center"/>
        <w:rPr>
          <w:b/>
          <w:lang w:val="fr-CA"/>
        </w:rPr>
      </w:pPr>
      <w:r w:rsidRPr="005359C7">
        <w:rPr>
          <w:b/>
          <w:lang w:val="fr-CA"/>
        </w:rPr>
        <w:lastRenderedPageBreak/>
        <w:t>DESCRIPTION</w:t>
      </w:r>
      <w:r w:rsidR="00841F84" w:rsidRPr="005359C7">
        <w:rPr>
          <w:b/>
          <w:lang w:val="fr-CA"/>
        </w:rPr>
        <w:t xml:space="preserve"> DU PROJET</w:t>
      </w:r>
    </w:p>
    <w:p w14:paraId="3DBE168D" w14:textId="77777777" w:rsidR="00CF1303" w:rsidRPr="005359C7" w:rsidRDefault="00CF1303" w:rsidP="00CF1303">
      <w:pPr>
        <w:rPr>
          <w:b/>
          <w:lang w:val="fr-CA"/>
        </w:rPr>
      </w:pPr>
    </w:p>
    <w:p w14:paraId="4073E308" w14:textId="77777777" w:rsidR="00CF1303" w:rsidRPr="005359C7" w:rsidRDefault="00EC17BA" w:rsidP="00CF1303">
      <w:pPr>
        <w:pStyle w:val="Heading1"/>
        <w:rPr>
          <w:lang w:val="fr-CA"/>
        </w:rPr>
      </w:pPr>
      <w:r w:rsidRPr="005359C7">
        <w:rPr>
          <w:lang w:val="fr-CA"/>
        </w:rPr>
        <w:t xml:space="preserve">Au nom du gouvernement de l’Éthiopie, le PNUD, à titre d’agence d’exécution principale, a présenté une demande de financement pour la quatrième et dernière tranche de la phase I du plan de gestion de l’élimination des HCFC (PGEH), pour un montant total de </w:t>
      </w:r>
      <w:r w:rsidR="00CF1303" w:rsidRPr="005359C7">
        <w:rPr>
          <w:lang w:val="fr-CA"/>
        </w:rPr>
        <w:t>6</w:t>
      </w:r>
      <w:r w:rsidR="006E3D1E" w:rsidRPr="005359C7">
        <w:rPr>
          <w:lang w:val="fr-CA"/>
        </w:rPr>
        <w:t>1 </w:t>
      </w:r>
      <w:r w:rsidR="00CF1303" w:rsidRPr="005359C7">
        <w:rPr>
          <w:lang w:val="fr-CA"/>
        </w:rPr>
        <w:t>57</w:t>
      </w:r>
      <w:r w:rsidR="006E3D1E" w:rsidRPr="005359C7">
        <w:rPr>
          <w:lang w:val="fr-CA"/>
        </w:rPr>
        <w:t>0</w:t>
      </w:r>
      <w:r w:rsidRPr="005359C7">
        <w:rPr>
          <w:lang w:val="fr-CA"/>
        </w:rPr>
        <w:t> $US</w:t>
      </w:r>
      <w:r w:rsidR="00891E3C" w:rsidRPr="005359C7">
        <w:rPr>
          <w:lang w:val="fr-CA"/>
        </w:rPr>
        <w:t>,</w:t>
      </w:r>
      <w:r w:rsidR="006E3D1E" w:rsidRPr="005359C7">
        <w:rPr>
          <w:lang w:val="fr-CA"/>
        </w:rPr>
        <w:t> </w:t>
      </w:r>
      <w:r w:rsidR="00891E3C" w:rsidRPr="005359C7">
        <w:rPr>
          <w:lang w:val="fr-CA"/>
        </w:rPr>
        <w:t xml:space="preserve">soit </w:t>
      </w:r>
      <w:r w:rsidR="00CF1303" w:rsidRPr="005359C7">
        <w:rPr>
          <w:lang w:val="fr-CA"/>
        </w:rPr>
        <w:t>3</w:t>
      </w:r>
      <w:r w:rsidR="006E3D1E" w:rsidRPr="005359C7">
        <w:rPr>
          <w:lang w:val="fr-CA"/>
        </w:rPr>
        <w:t>1 </w:t>
      </w:r>
      <w:r w:rsidR="00CF1303" w:rsidRPr="005359C7">
        <w:rPr>
          <w:lang w:val="fr-CA"/>
        </w:rPr>
        <w:t>10</w:t>
      </w:r>
      <w:r w:rsidR="006E3D1E" w:rsidRPr="005359C7">
        <w:rPr>
          <w:lang w:val="fr-CA"/>
        </w:rPr>
        <w:t>0</w:t>
      </w:r>
      <w:r w:rsidR="00891E3C" w:rsidRPr="005359C7">
        <w:rPr>
          <w:lang w:val="fr-CA"/>
        </w:rPr>
        <w:t> $US</w:t>
      </w:r>
      <w:r w:rsidR="006E3D1E" w:rsidRPr="005359C7">
        <w:rPr>
          <w:lang w:val="fr-CA"/>
        </w:rPr>
        <w:t> </w:t>
      </w:r>
      <w:r w:rsidR="00CF1303" w:rsidRPr="005359C7">
        <w:rPr>
          <w:lang w:val="fr-CA"/>
        </w:rPr>
        <w:t xml:space="preserve"> </w:t>
      </w:r>
      <w:r w:rsidR="00891E3C" w:rsidRPr="005359C7">
        <w:rPr>
          <w:lang w:val="fr-CA"/>
        </w:rPr>
        <w:t xml:space="preserve">plus des coûts d’appui d’agence de </w:t>
      </w:r>
      <w:r w:rsidR="006E3D1E" w:rsidRPr="005359C7">
        <w:rPr>
          <w:lang w:val="fr-CA"/>
        </w:rPr>
        <w:t>2 </w:t>
      </w:r>
      <w:r w:rsidR="00CF1303" w:rsidRPr="005359C7">
        <w:rPr>
          <w:lang w:val="fr-CA"/>
        </w:rPr>
        <w:t>333</w:t>
      </w:r>
      <w:r w:rsidR="00891E3C" w:rsidRPr="005359C7">
        <w:rPr>
          <w:lang w:val="fr-CA"/>
        </w:rPr>
        <w:t> $US</w:t>
      </w:r>
      <w:r w:rsidR="00CF1303" w:rsidRPr="005359C7">
        <w:rPr>
          <w:lang w:val="fr-CA"/>
        </w:rPr>
        <w:t xml:space="preserve"> </w:t>
      </w:r>
      <w:r w:rsidR="00891E3C" w:rsidRPr="005359C7">
        <w:rPr>
          <w:lang w:val="fr-CA"/>
        </w:rPr>
        <w:t>pour le</w:t>
      </w:r>
      <w:r w:rsidR="006E3D1E" w:rsidRPr="005359C7">
        <w:rPr>
          <w:lang w:val="fr-CA"/>
        </w:rPr>
        <w:t xml:space="preserve"> PNUD</w:t>
      </w:r>
      <w:r w:rsidR="00CF1303" w:rsidRPr="005359C7">
        <w:rPr>
          <w:lang w:val="fr-CA"/>
        </w:rPr>
        <w:t>,</w:t>
      </w:r>
      <w:r w:rsidR="006E3D1E" w:rsidRPr="005359C7">
        <w:rPr>
          <w:lang w:val="fr-CA"/>
        </w:rPr>
        <w:t xml:space="preserve"> et </w:t>
      </w:r>
      <w:r w:rsidR="00CF1303" w:rsidRPr="005359C7">
        <w:rPr>
          <w:lang w:val="fr-CA"/>
        </w:rPr>
        <w:t>2</w:t>
      </w:r>
      <w:r w:rsidR="006E3D1E" w:rsidRPr="005359C7">
        <w:rPr>
          <w:lang w:val="fr-CA"/>
        </w:rPr>
        <w:t>4 </w:t>
      </w:r>
      <w:r w:rsidR="00CF1303" w:rsidRPr="005359C7">
        <w:rPr>
          <w:lang w:val="fr-CA"/>
        </w:rPr>
        <w:t>90</w:t>
      </w:r>
      <w:r w:rsidR="006E3D1E" w:rsidRPr="005359C7">
        <w:rPr>
          <w:lang w:val="fr-CA"/>
        </w:rPr>
        <w:t>0</w:t>
      </w:r>
      <w:r w:rsidR="00891E3C" w:rsidRPr="005359C7">
        <w:rPr>
          <w:lang w:val="fr-CA"/>
        </w:rPr>
        <w:t> $US</w:t>
      </w:r>
      <w:r w:rsidR="00CF1303" w:rsidRPr="005359C7">
        <w:rPr>
          <w:lang w:val="fr-CA"/>
        </w:rPr>
        <w:t xml:space="preserve"> </w:t>
      </w:r>
      <w:r w:rsidR="00891E3C" w:rsidRPr="005359C7">
        <w:rPr>
          <w:lang w:val="fr-CA"/>
        </w:rPr>
        <w:t xml:space="preserve">plus des coûts d’appui d’agence de </w:t>
      </w:r>
      <w:r w:rsidR="006E3D1E" w:rsidRPr="005359C7">
        <w:rPr>
          <w:lang w:val="fr-CA"/>
        </w:rPr>
        <w:t>3 </w:t>
      </w:r>
      <w:r w:rsidR="00CF1303" w:rsidRPr="005359C7">
        <w:rPr>
          <w:lang w:val="fr-CA"/>
        </w:rPr>
        <w:t>237</w:t>
      </w:r>
      <w:r w:rsidR="00891E3C" w:rsidRPr="005359C7">
        <w:rPr>
          <w:lang w:val="fr-CA"/>
        </w:rPr>
        <w:t> $US</w:t>
      </w:r>
      <w:r w:rsidR="00CF1303" w:rsidRPr="005359C7">
        <w:rPr>
          <w:lang w:val="fr-CA"/>
        </w:rPr>
        <w:t xml:space="preserve"> </w:t>
      </w:r>
      <w:r w:rsidR="00891E3C" w:rsidRPr="005359C7">
        <w:rPr>
          <w:lang w:val="fr-CA"/>
        </w:rPr>
        <w:t>pour le</w:t>
      </w:r>
      <w:r w:rsidR="00CF1303" w:rsidRPr="005359C7">
        <w:rPr>
          <w:lang w:val="fr-CA"/>
        </w:rPr>
        <w:t xml:space="preserve"> </w:t>
      </w:r>
      <w:r w:rsidR="00886766" w:rsidRPr="005359C7">
        <w:rPr>
          <w:lang w:val="fr-CA"/>
        </w:rPr>
        <w:t>PNUE</w:t>
      </w:r>
      <w:r w:rsidR="00CF1303" w:rsidRPr="005359C7">
        <w:rPr>
          <w:lang w:val="fr-CA"/>
        </w:rPr>
        <w:t>.</w:t>
      </w:r>
      <w:r w:rsidR="00CF1303" w:rsidRPr="005359C7">
        <w:rPr>
          <w:rStyle w:val="FootnoteReference"/>
          <w:lang w:val="fr-CA"/>
        </w:rPr>
        <w:footnoteReference w:id="1"/>
      </w:r>
      <w:r w:rsidR="00CF1303" w:rsidRPr="005359C7">
        <w:rPr>
          <w:lang w:val="fr-CA"/>
        </w:rPr>
        <w:t xml:space="preserve"> </w:t>
      </w:r>
      <w:r w:rsidR="00891E3C" w:rsidRPr="005359C7">
        <w:rPr>
          <w:lang w:val="fr-CA"/>
        </w:rPr>
        <w:t>Cette présentation comprend un rapport périodique sur la mise en</w:t>
      </w:r>
      <w:r w:rsidR="00D64484">
        <w:rPr>
          <w:lang w:val="fr-CA"/>
        </w:rPr>
        <w:t> </w:t>
      </w:r>
      <w:proofErr w:type="spellStart"/>
      <w:r w:rsidR="00891E3C" w:rsidRPr="005359C7">
        <w:rPr>
          <w:lang w:val="fr-CA"/>
        </w:rPr>
        <w:t>oeuvre</w:t>
      </w:r>
      <w:proofErr w:type="spellEnd"/>
      <w:r w:rsidR="00891E3C" w:rsidRPr="005359C7">
        <w:rPr>
          <w:lang w:val="fr-CA"/>
        </w:rPr>
        <w:t xml:space="preserve"> de la troisième</w:t>
      </w:r>
      <w:r w:rsidR="00CF1303" w:rsidRPr="005359C7">
        <w:rPr>
          <w:lang w:val="fr-CA"/>
        </w:rPr>
        <w:t xml:space="preserve"> tranche,</w:t>
      </w:r>
      <w:r w:rsidR="006E3D1E" w:rsidRPr="005359C7">
        <w:rPr>
          <w:lang w:val="fr-CA"/>
        </w:rPr>
        <w:t xml:space="preserve"> et </w:t>
      </w:r>
      <w:r w:rsidR="00891E3C" w:rsidRPr="005359C7">
        <w:rPr>
          <w:lang w:val="fr-CA"/>
        </w:rPr>
        <w:t xml:space="preserve">le plan de mise en </w:t>
      </w:r>
      <w:proofErr w:type="spellStart"/>
      <w:r w:rsidR="00891E3C" w:rsidRPr="005359C7">
        <w:rPr>
          <w:lang w:val="fr-CA"/>
        </w:rPr>
        <w:t>oeuvre</w:t>
      </w:r>
      <w:proofErr w:type="spellEnd"/>
      <w:r w:rsidR="00891E3C" w:rsidRPr="005359C7">
        <w:rPr>
          <w:lang w:val="fr-CA"/>
        </w:rPr>
        <w:t xml:space="preserve"> de la tranche 2020-2021.</w:t>
      </w:r>
    </w:p>
    <w:p w14:paraId="38D99282" w14:textId="77777777" w:rsidR="00CF1303" w:rsidRPr="005359C7" w:rsidRDefault="00891E3C" w:rsidP="00CF1303">
      <w:pPr>
        <w:spacing w:after="240"/>
        <w:rPr>
          <w:u w:val="single"/>
          <w:lang w:val="fr-CA"/>
        </w:rPr>
      </w:pPr>
      <w:r w:rsidRPr="005359C7">
        <w:rPr>
          <w:u w:val="single"/>
          <w:lang w:val="fr-CA"/>
        </w:rPr>
        <w:t xml:space="preserve">Rapport sur la consommation de HCFC </w:t>
      </w:r>
    </w:p>
    <w:p w14:paraId="0DD64E96" w14:textId="77777777" w:rsidR="00CF1303" w:rsidRPr="005359C7" w:rsidRDefault="00EC17BA" w:rsidP="00CF1303">
      <w:pPr>
        <w:pStyle w:val="Heading1"/>
        <w:rPr>
          <w:lang w:val="fr-CA"/>
        </w:rPr>
      </w:pPr>
      <w:r w:rsidRPr="005359C7">
        <w:rPr>
          <w:lang w:val="fr-CA"/>
        </w:rPr>
        <w:t>Le gouvernement</w:t>
      </w:r>
      <w:r w:rsidR="00CF1303" w:rsidRPr="005359C7">
        <w:rPr>
          <w:lang w:val="fr-CA"/>
        </w:rPr>
        <w:t xml:space="preserve"> </w:t>
      </w:r>
      <w:r w:rsidRPr="005359C7">
        <w:rPr>
          <w:lang w:val="fr-CA"/>
        </w:rPr>
        <w:t>du Sri Lanka</w:t>
      </w:r>
      <w:r w:rsidR="00CF1303" w:rsidRPr="005359C7">
        <w:rPr>
          <w:lang w:val="fr-CA"/>
        </w:rPr>
        <w:t xml:space="preserve"> </w:t>
      </w:r>
      <w:r w:rsidR="00891E3C" w:rsidRPr="005359C7">
        <w:rPr>
          <w:lang w:val="fr-CA"/>
        </w:rPr>
        <w:t>a estimé avoir consommé</w:t>
      </w:r>
      <w:r w:rsidR="00CF1303" w:rsidRPr="005359C7">
        <w:rPr>
          <w:lang w:val="fr-CA"/>
        </w:rPr>
        <w:t xml:space="preserve"> 1</w:t>
      </w:r>
      <w:r w:rsidR="006E3D1E" w:rsidRPr="005359C7">
        <w:rPr>
          <w:lang w:val="fr-CA"/>
        </w:rPr>
        <w:t>0,</w:t>
      </w:r>
      <w:r w:rsidR="00CF1303" w:rsidRPr="005359C7">
        <w:rPr>
          <w:lang w:val="fr-CA"/>
        </w:rPr>
        <w:t>00</w:t>
      </w:r>
      <w:r w:rsidR="00564122" w:rsidRPr="005359C7">
        <w:rPr>
          <w:lang w:val="fr-CA"/>
        </w:rPr>
        <w:t xml:space="preserve"> tonnes PAO</w:t>
      </w:r>
      <w:r w:rsidR="00CF1303" w:rsidRPr="005359C7">
        <w:rPr>
          <w:lang w:val="fr-CA"/>
        </w:rPr>
        <w:t xml:space="preserve"> </w:t>
      </w:r>
      <w:r w:rsidR="00891E3C" w:rsidRPr="005359C7">
        <w:rPr>
          <w:lang w:val="fr-CA"/>
        </w:rPr>
        <w:t>de</w:t>
      </w:r>
      <w:r w:rsidR="00CF1303" w:rsidRPr="005359C7">
        <w:rPr>
          <w:lang w:val="fr-CA"/>
        </w:rPr>
        <w:t xml:space="preserve"> HCFC </w:t>
      </w:r>
      <w:r w:rsidR="00891E3C" w:rsidRPr="005359C7">
        <w:rPr>
          <w:lang w:val="fr-CA"/>
        </w:rPr>
        <w:t>e</w:t>
      </w:r>
      <w:r w:rsidR="00CF1303" w:rsidRPr="005359C7">
        <w:rPr>
          <w:lang w:val="fr-CA"/>
        </w:rPr>
        <w:t>n 201</w:t>
      </w:r>
      <w:r w:rsidR="006E3D1E" w:rsidRPr="005359C7">
        <w:rPr>
          <w:lang w:val="fr-CA"/>
        </w:rPr>
        <w:t>9</w:t>
      </w:r>
      <w:r w:rsidR="00891E3C" w:rsidRPr="005359C7">
        <w:rPr>
          <w:lang w:val="fr-CA"/>
        </w:rPr>
        <w:t>,</w:t>
      </w:r>
      <w:r w:rsidR="00D64484">
        <w:rPr>
          <w:lang w:val="fr-CA"/>
        </w:rPr>
        <w:t xml:space="preserve"> </w:t>
      </w:r>
      <w:r w:rsidR="00891E3C" w:rsidRPr="005359C7">
        <w:rPr>
          <w:lang w:val="fr-CA"/>
        </w:rPr>
        <w:t xml:space="preserve"> ce qui est inférieur de </w:t>
      </w:r>
      <w:r w:rsidR="00CF1303" w:rsidRPr="005359C7">
        <w:rPr>
          <w:lang w:val="fr-CA"/>
        </w:rPr>
        <w:t>28</w:t>
      </w:r>
      <w:r w:rsidR="00891E3C" w:rsidRPr="005359C7">
        <w:rPr>
          <w:lang w:val="fr-CA"/>
        </w:rPr>
        <w:t xml:space="preserve"> pour cent</w:t>
      </w:r>
      <w:r w:rsidR="00CF1303" w:rsidRPr="005359C7">
        <w:rPr>
          <w:lang w:val="fr-CA"/>
        </w:rPr>
        <w:t xml:space="preserve"> </w:t>
      </w:r>
      <w:r w:rsidR="00891E3C" w:rsidRPr="005359C7">
        <w:rPr>
          <w:lang w:val="fr-CA"/>
        </w:rPr>
        <w:t>à l’objectif de référence du HCFC pour la conformité</w:t>
      </w:r>
      <w:r w:rsidR="00CF1303" w:rsidRPr="005359C7">
        <w:rPr>
          <w:lang w:val="fr-CA"/>
        </w:rPr>
        <w:t xml:space="preserve">. </w:t>
      </w:r>
      <w:r w:rsidR="00891E3C" w:rsidRPr="005359C7">
        <w:rPr>
          <w:lang w:val="fr-CA"/>
        </w:rPr>
        <w:t>La consommation de HCFC pour  2015</w:t>
      </w:r>
      <w:r w:rsidR="00891E3C" w:rsidRPr="005359C7">
        <w:rPr>
          <w:lang w:val="fr-CA"/>
        </w:rPr>
        <w:noBreakHyphen/>
        <w:t>2019 est montrée au tableau 1.</w:t>
      </w:r>
    </w:p>
    <w:p w14:paraId="71917D4C" w14:textId="77777777" w:rsidR="00CF1303" w:rsidRPr="005359C7" w:rsidRDefault="0074648A" w:rsidP="00CF1303">
      <w:pPr>
        <w:rPr>
          <w:b/>
          <w:lang w:val="fr-CA"/>
        </w:rPr>
      </w:pPr>
      <w:r w:rsidRPr="005359C7">
        <w:rPr>
          <w:b/>
          <w:lang w:val="fr-CA"/>
        </w:rPr>
        <w:t xml:space="preserve">Tableau </w:t>
      </w:r>
      <w:r w:rsidR="006E3D1E" w:rsidRPr="005359C7">
        <w:rPr>
          <w:b/>
          <w:lang w:val="fr-CA"/>
        </w:rPr>
        <w:t>1</w:t>
      </w:r>
      <w:r w:rsidRPr="005359C7">
        <w:rPr>
          <w:b/>
          <w:lang w:val="fr-CA"/>
        </w:rPr>
        <w:t>.</w:t>
      </w:r>
      <w:r w:rsidR="00CF1303" w:rsidRPr="005359C7">
        <w:rPr>
          <w:b/>
          <w:lang w:val="fr-CA"/>
        </w:rPr>
        <w:t xml:space="preserve"> </w:t>
      </w:r>
      <w:r w:rsidRPr="005359C7">
        <w:rPr>
          <w:b/>
          <w:lang w:val="fr-CA"/>
        </w:rPr>
        <w:t>Consommation de HCFC au Sri Lanka (2015-2019 – Données de l’</w:t>
      </w:r>
      <w:r w:rsidR="00CF1303" w:rsidRPr="005359C7">
        <w:rPr>
          <w:b/>
          <w:lang w:val="fr-CA"/>
        </w:rPr>
        <w:t>Article 7)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1"/>
        <w:gridCol w:w="1241"/>
        <w:gridCol w:w="1241"/>
        <w:gridCol w:w="1241"/>
        <w:gridCol w:w="1241"/>
        <w:gridCol w:w="1241"/>
        <w:gridCol w:w="1241"/>
      </w:tblGrid>
      <w:tr w:rsidR="00CF1303" w:rsidRPr="005359C7" w14:paraId="564F2285" w14:textId="77777777" w:rsidTr="006E3D1E">
        <w:trPr>
          <w:tblHeader/>
        </w:trPr>
        <w:tc>
          <w:tcPr>
            <w:tcW w:w="1153" w:type="pct"/>
            <w:shd w:val="clear" w:color="auto" w:fill="auto"/>
            <w:noWrap/>
            <w:tcMar>
              <w:left w:w="115" w:type="dxa"/>
              <w:right w:w="43" w:type="dxa"/>
            </w:tcMar>
            <w:vAlign w:val="center"/>
            <w:hideMark/>
          </w:tcPr>
          <w:p w14:paraId="7580BE46" w14:textId="77777777" w:rsidR="00CF1303" w:rsidRPr="005359C7" w:rsidRDefault="00CF1303" w:rsidP="006E3D1E">
            <w:pPr>
              <w:widowControl w:val="0"/>
              <w:jc w:val="left"/>
              <w:rPr>
                <w:b/>
                <w:bCs/>
                <w:sz w:val="21"/>
                <w:szCs w:val="21"/>
                <w:lang w:val="fr-CA"/>
              </w:rPr>
            </w:pPr>
            <w:r w:rsidRPr="005359C7">
              <w:rPr>
                <w:b/>
                <w:bCs/>
                <w:sz w:val="21"/>
                <w:szCs w:val="21"/>
                <w:lang w:val="fr-CA"/>
              </w:rPr>
              <w:t>HCFC</w:t>
            </w:r>
          </w:p>
        </w:tc>
        <w:tc>
          <w:tcPr>
            <w:tcW w:w="641" w:type="pct"/>
            <w:shd w:val="clear" w:color="auto" w:fill="auto"/>
            <w:noWrap/>
            <w:tcMar>
              <w:left w:w="115" w:type="dxa"/>
              <w:right w:w="202" w:type="dxa"/>
            </w:tcMar>
            <w:vAlign w:val="center"/>
            <w:hideMark/>
          </w:tcPr>
          <w:p w14:paraId="67107265" w14:textId="77777777" w:rsidR="00CF1303" w:rsidRPr="005359C7" w:rsidRDefault="00CF1303" w:rsidP="006E3D1E">
            <w:pPr>
              <w:widowControl w:val="0"/>
              <w:jc w:val="center"/>
              <w:rPr>
                <w:b/>
                <w:bCs/>
                <w:sz w:val="21"/>
                <w:szCs w:val="21"/>
                <w:lang w:val="fr-CA"/>
              </w:rPr>
            </w:pPr>
            <w:r w:rsidRPr="005359C7">
              <w:rPr>
                <w:b/>
                <w:bCs/>
                <w:sz w:val="21"/>
                <w:szCs w:val="21"/>
                <w:lang w:val="fr-CA"/>
              </w:rPr>
              <w:t>2015</w:t>
            </w:r>
          </w:p>
        </w:tc>
        <w:tc>
          <w:tcPr>
            <w:tcW w:w="641" w:type="pct"/>
            <w:shd w:val="clear" w:color="auto" w:fill="auto"/>
            <w:noWrap/>
            <w:tcMar>
              <w:left w:w="115" w:type="dxa"/>
              <w:right w:w="202" w:type="dxa"/>
            </w:tcMar>
            <w:vAlign w:val="center"/>
            <w:hideMark/>
          </w:tcPr>
          <w:p w14:paraId="7D018D57" w14:textId="77777777" w:rsidR="00CF1303" w:rsidRPr="005359C7" w:rsidRDefault="00CF1303" w:rsidP="006E3D1E">
            <w:pPr>
              <w:widowControl w:val="0"/>
              <w:jc w:val="center"/>
              <w:rPr>
                <w:b/>
                <w:bCs/>
                <w:sz w:val="21"/>
                <w:szCs w:val="21"/>
                <w:lang w:val="fr-CA"/>
              </w:rPr>
            </w:pPr>
            <w:r w:rsidRPr="005359C7">
              <w:rPr>
                <w:b/>
                <w:bCs/>
                <w:sz w:val="21"/>
                <w:szCs w:val="21"/>
                <w:lang w:val="fr-CA"/>
              </w:rPr>
              <w:t>2016</w:t>
            </w:r>
          </w:p>
        </w:tc>
        <w:tc>
          <w:tcPr>
            <w:tcW w:w="641" w:type="pct"/>
            <w:shd w:val="clear" w:color="auto" w:fill="auto"/>
            <w:noWrap/>
            <w:tcMar>
              <w:left w:w="115" w:type="dxa"/>
              <w:right w:w="202" w:type="dxa"/>
            </w:tcMar>
            <w:vAlign w:val="center"/>
            <w:hideMark/>
          </w:tcPr>
          <w:p w14:paraId="3F983E16" w14:textId="77777777" w:rsidR="00CF1303" w:rsidRPr="005359C7" w:rsidRDefault="00CF1303" w:rsidP="006E3D1E">
            <w:pPr>
              <w:widowControl w:val="0"/>
              <w:jc w:val="center"/>
              <w:rPr>
                <w:b/>
                <w:bCs/>
                <w:sz w:val="21"/>
                <w:szCs w:val="21"/>
                <w:lang w:val="fr-CA"/>
              </w:rPr>
            </w:pPr>
            <w:r w:rsidRPr="005359C7">
              <w:rPr>
                <w:b/>
                <w:bCs/>
                <w:sz w:val="21"/>
                <w:szCs w:val="21"/>
                <w:lang w:val="fr-CA"/>
              </w:rPr>
              <w:t>2017</w:t>
            </w:r>
          </w:p>
        </w:tc>
        <w:tc>
          <w:tcPr>
            <w:tcW w:w="641" w:type="pct"/>
            <w:tcMar>
              <w:left w:w="115" w:type="dxa"/>
              <w:right w:w="202" w:type="dxa"/>
            </w:tcMar>
          </w:tcPr>
          <w:p w14:paraId="4E92B905" w14:textId="77777777" w:rsidR="00CF1303" w:rsidRPr="005359C7" w:rsidRDefault="00CF1303" w:rsidP="006E3D1E">
            <w:pPr>
              <w:widowControl w:val="0"/>
              <w:jc w:val="center"/>
              <w:rPr>
                <w:b/>
                <w:bCs/>
                <w:sz w:val="21"/>
                <w:szCs w:val="21"/>
                <w:lang w:val="fr-CA"/>
              </w:rPr>
            </w:pPr>
            <w:r w:rsidRPr="005359C7">
              <w:rPr>
                <w:b/>
                <w:bCs/>
                <w:sz w:val="21"/>
                <w:szCs w:val="21"/>
                <w:lang w:val="fr-CA"/>
              </w:rPr>
              <w:t>2018</w:t>
            </w:r>
          </w:p>
        </w:tc>
        <w:tc>
          <w:tcPr>
            <w:tcW w:w="641" w:type="pct"/>
            <w:tcMar>
              <w:left w:w="115" w:type="dxa"/>
              <w:right w:w="202" w:type="dxa"/>
            </w:tcMar>
          </w:tcPr>
          <w:p w14:paraId="6DD0C549" w14:textId="77777777" w:rsidR="00CF1303" w:rsidRPr="005359C7" w:rsidRDefault="00CF1303" w:rsidP="006E3D1E">
            <w:pPr>
              <w:widowControl w:val="0"/>
              <w:jc w:val="center"/>
              <w:rPr>
                <w:b/>
                <w:bCs/>
                <w:sz w:val="21"/>
                <w:szCs w:val="21"/>
                <w:lang w:val="fr-CA"/>
              </w:rPr>
            </w:pPr>
            <w:r w:rsidRPr="005359C7">
              <w:rPr>
                <w:b/>
                <w:bCs/>
                <w:sz w:val="21"/>
                <w:szCs w:val="21"/>
                <w:lang w:val="fr-CA"/>
              </w:rPr>
              <w:t>2019*</w:t>
            </w:r>
          </w:p>
        </w:tc>
        <w:tc>
          <w:tcPr>
            <w:tcW w:w="641" w:type="pct"/>
            <w:shd w:val="clear" w:color="auto" w:fill="auto"/>
            <w:noWrap/>
            <w:tcMar>
              <w:left w:w="115" w:type="dxa"/>
              <w:right w:w="202" w:type="dxa"/>
            </w:tcMar>
            <w:vAlign w:val="center"/>
            <w:hideMark/>
          </w:tcPr>
          <w:p w14:paraId="7D2D84DE" w14:textId="77777777" w:rsidR="00CF1303" w:rsidRPr="005359C7" w:rsidRDefault="00564122" w:rsidP="006E3D1E">
            <w:pPr>
              <w:widowControl w:val="0"/>
              <w:jc w:val="center"/>
              <w:rPr>
                <w:b/>
                <w:bCs/>
                <w:sz w:val="21"/>
                <w:szCs w:val="21"/>
                <w:lang w:val="fr-CA"/>
              </w:rPr>
            </w:pPr>
            <w:r w:rsidRPr="005359C7">
              <w:rPr>
                <w:b/>
                <w:bCs/>
                <w:sz w:val="21"/>
                <w:szCs w:val="21"/>
                <w:lang w:val="fr-CA"/>
              </w:rPr>
              <w:t>Référence</w:t>
            </w:r>
          </w:p>
        </w:tc>
      </w:tr>
      <w:tr w:rsidR="00CF1303" w:rsidRPr="005359C7" w14:paraId="268BA2B3" w14:textId="77777777" w:rsidTr="006E3D1E">
        <w:tc>
          <w:tcPr>
            <w:tcW w:w="1153" w:type="pct"/>
            <w:shd w:val="clear" w:color="auto" w:fill="auto"/>
            <w:noWrap/>
            <w:tcMar>
              <w:left w:w="115" w:type="dxa"/>
              <w:right w:w="43" w:type="dxa"/>
            </w:tcMar>
            <w:vAlign w:val="center"/>
            <w:hideMark/>
          </w:tcPr>
          <w:p w14:paraId="34EC3B7B" w14:textId="77777777" w:rsidR="00CF1303" w:rsidRPr="005359C7" w:rsidRDefault="0074648A" w:rsidP="006E3D1E">
            <w:pPr>
              <w:widowControl w:val="0"/>
              <w:jc w:val="left"/>
              <w:rPr>
                <w:b/>
                <w:bCs/>
                <w:sz w:val="21"/>
                <w:szCs w:val="21"/>
                <w:lang w:val="fr-CA"/>
              </w:rPr>
            </w:pPr>
            <w:r w:rsidRPr="005359C7">
              <w:rPr>
                <w:b/>
                <w:bCs/>
                <w:sz w:val="21"/>
                <w:szCs w:val="21"/>
                <w:lang w:val="fr-CA"/>
              </w:rPr>
              <w:t>Tonnes métriques</w:t>
            </w:r>
          </w:p>
        </w:tc>
        <w:tc>
          <w:tcPr>
            <w:tcW w:w="641" w:type="pct"/>
            <w:shd w:val="clear" w:color="auto" w:fill="auto"/>
            <w:noWrap/>
            <w:tcMar>
              <w:left w:w="115" w:type="dxa"/>
              <w:right w:w="202" w:type="dxa"/>
            </w:tcMar>
            <w:vAlign w:val="center"/>
            <w:hideMark/>
          </w:tcPr>
          <w:p w14:paraId="65B2BE7D" w14:textId="77777777" w:rsidR="00CF1303" w:rsidRPr="005359C7" w:rsidRDefault="00CF1303" w:rsidP="006E3D1E">
            <w:pPr>
              <w:widowControl w:val="0"/>
              <w:jc w:val="center"/>
              <w:rPr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641" w:type="pct"/>
            <w:shd w:val="clear" w:color="auto" w:fill="auto"/>
            <w:noWrap/>
            <w:tcMar>
              <w:left w:w="115" w:type="dxa"/>
              <w:right w:w="202" w:type="dxa"/>
            </w:tcMar>
            <w:vAlign w:val="center"/>
            <w:hideMark/>
          </w:tcPr>
          <w:p w14:paraId="1542B554" w14:textId="77777777" w:rsidR="00CF1303" w:rsidRPr="005359C7" w:rsidRDefault="00CF1303" w:rsidP="006E3D1E">
            <w:pPr>
              <w:widowControl w:val="0"/>
              <w:jc w:val="center"/>
              <w:rPr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641" w:type="pct"/>
            <w:shd w:val="clear" w:color="auto" w:fill="auto"/>
            <w:noWrap/>
            <w:tcMar>
              <w:left w:w="115" w:type="dxa"/>
              <w:right w:w="202" w:type="dxa"/>
            </w:tcMar>
            <w:vAlign w:val="center"/>
            <w:hideMark/>
          </w:tcPr>
          <w:p w14:paraId="3B330AEB" w14:textId="77777777" w:rsidR="00CF1303" w:rsidRPr="005359C7" w:rsidRDefault="00CF1303" w:rsidP="006E3D1E">
            <w:pPr>
              <w:widowControl w:val="0"/>
              <w:jc w:val="center"/>
              <w:rPr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641" w:type="pct"/>
            <w:tcMar>
              <w:left w:w="115" w:type="dxa"/>
              <w:right w:w="202" w:type="dxa"/>
            </w:tcMar>
          </w:tcPr>
          <w:p w14:paraId="3036A413" w14:textId="77777777" w:rsidR="00CF1303" w:rsidRPr="005359C7" w:rsidRDefault="00CF1303" w:rsidP="006E3D1E">
            <w:pPr>
              <w:widowControl w:val="0"/>
              <w:jc w:val="center"/>
              <w:rPr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641" w:type="pct"/>
            <w:tcMar>
              <w:left w:w="115" w:type="dxa"/>
              <w:right w:w="202" w:type="dxa"/>
            </w:tcMar>
          </w:tcPr>
          <w:p w14:paraId="3B414A6A" w14:textId="77777777" w:rsidR="00CF1303" w:rsidRPr="005359C7" w:rsidRDefault="00CF1303" w:rsidP="006E3D1E">
            <w:pPr>
              <w:widowControl w:val="0"/>
              <w:jc w:val="center"/>
              <w:rPr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641" w:type="pct"/>
            <w:shd w:val="clear" w:color="auto" w:fill="auto"/>
            <w:noWrap/>
            <w:tcMar>
              <w:left w:w="115" w:type="dxa"/>
              <w:right w:w="202" w:type="dxa"/>
            </w:tcMar>
            <w:vAlign w:val="center"/>
            <w:hideMark/>
          </w:tcPr>
          <w:p w14:paraId="52D0925C" w14:textId="77777777" w:rsidR="00CF1303" w:rsidRPr="005359C7" w:rsidRDefault="00CF1303" w:rsidP="006E3D1E">
            <w:pPr>
              <w:widowControl w:val="0"/>
              <w:jc w:val="center"/>
              <w:rPr>
                <w:bCs/>
                <w:sz w:val="21"/>
                <w:szCs w:val="21"/>
                <w:lang w:val="fr-CA"/>
              </w:rPr>
            </w:pPr>
          </w:p>
        </w:tc>
      </w:tr>
      <w:tr w:rsidR="00CF1303" w:rsidRPr="005359C7" w14:paraId="7433B210" w14:textId="77777777" w:rsidTr="006E3D1E">
        <w:tc>
          <w:tcPr>
            <w:tcW w:w="1153" w:type="pct"/>
            <w:shd w:val="clear" w:color="auto" w:fill="auto"/>
            <w:noWrap/>
            <w:tcMar>
              <w:left w:w="115" w:type="dxa"/>
              <w:right w:w="43" w:type="dxa"/>
            </w:tcMar>
            <w:vAlign w:val="center"/>
            <w:hideMark/>
          </w:tcPr>
          <w:p w14:paraId="55ED673F" w14:textId="77777777" w:rsidR="00CF1303" w:rsidRPr="005359C7" w:rsidRDefault="00CF1303" w:rsidP="006E3D1E">
            <w:pPr>
              <w:widowControl w:val="0"/>
              <w:jc w:val="left"/>
              <w:rPr>
                <w:sz w:val="21"/>
                <w:szCs w:val="21"/>
                <w:lang w:val="fr-CA"/>
              </w:rPr>
            </w:pPr>
            <w:r w:rsidRPr="005359C7">
              <w:rPr>
                <w:sz w:val="21"/>
                <w:szCs w:val="21"/>
                <w:lang w:val="fr-CA"/>
              </w:rPr>
              <w:t>HCFC-22</w:t>
            </w:r>
          </w:p>
        </w:tc>
        <w:tc>
          <w:tcPr>
            <w:tcW w:w="641" w:type="pct"/>
            <w:shd w:val="clear" w:color="auto" w:fill="auto"/>
            <w:noWrap/>
            <w:tcMar>
              <w:left w:w="115" w:type="dxa"/>
              <w:right w:w="202" w:type="dxa"/>
            </w:tcMar>
          </w:tcPr>
          <w:p w14:paraId="0F9EBAE6" w14:textId="77777777" w:rsidR="00CF1303" w:rsidRPr="005359C7" w:rsidRDefault="00CF1303" w:rsidP="006E3D1E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  <w:r w:rsidRPr="005359C7">
              <w:rPr>
                <w:sz w:val="21"/>
                <w:szCs w:val="21"/>
                <w:lang w:val="fr-CA"/>
              </w:rPr>
              <w:t>18</w:t>
            </w:r>
            <w:r w:rsidR="006E3D1E" w:rsidRPr="005359C7">
              <w:rPr>
                <w:sz w:val="21"/>
                <w:szCs w:val="21"/>
                <w:lang w:val="fr-CA"/>
              </w:rPr>
              <w:t>7,</w:t>
            </w:r>
            <w:r w:rsidRPr="005359C7">
              <w:rPr>
                <w:sz w:val="21"/>
                <w:szCs w:val="21"/>
                <w:lang w:val="fr-CA"/>
              </w:rPr>
              <w:t>45</w:t>
            </w:r>
          </w:p>
        </w:tc>
        <w:tc>
          <w:tcPr>
            <w:tcW w:w="641" w:type="pct"/>
            <w:shd w:val="clear" w:color="auto" w:fill="auto"/>
            <w:noWrap/>
            <w:tcMar>
              <w:left w:w="115" w:type="dxa"/>
              <w:right w:w="202" w:type="dxa"/>
            </w:tcMar>
          </w:tcPr>
          <w:p w14:paraId="5774C951" w14:textId="77777777" w:rsidR="00CF1303" w:rsidRPr="005359C7" w:rsidRDefault="00CF1303" w:rsidP="006E3D1E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  <w:r w:rsidRPr="005359C7">
              <w:rPr>
                <w:sz w:val="21"/>
                <w:szCs w:val="21"/>
                <w:lang w:val="fr-CA"/>
              </w:rPr>
              <w:t>19</w:t>
            </w:r>
            <w:r w:rsidR="006E3D1E" w:rsidRPr="005359C7">
              <w:rPr>
                <w:sz w:val="21"/>
                <w:szCs w:val="21"/>
                <w:lang w:val="fr-CA"/>
              </w:rPr>
              <w:t>1,</w:t>
            </w:r>
            <w:r w:rsidRPr="005359C7">
              <w:rPr>
                <w:sz w:val="21"/>
                <w:szCs w:val="21"/>
                <w:lang w:val="fr-CA"/>
              </w:rPr>
              <w:t>68</w:t>
            </w:r>
          </w:p>
        </w:tc>
        <w:tc>
          <w:tcPr>
            <w:tcW w:w="641" w:type="pct"/>
            <w:shd w:val="clear" w:color="auto" w:fill="auto"/>
            <w:noWrap/>
            <w:tcMar>
              <w:left w:w="115" w:type="dxa"/>
              <w:right w:w="202" w:type="dxa"/>
            </w:tcMar>
          </w:tcPr>
          <w:p w14:paraId="365C185F" w14:textId="77777777" w:rsidR="00CF1303" w:rsidRPr="005359C7" w:rsidRDefault="00CF1303" w:rsidP="006E3D1E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  <w:r w:rsidRPr="005359C7">
              <w:rPr>
                <w:sz w:val="21"/>
                <w:szCs w:val="21"/>
                <w:lang w:val="fr-CA"/>
              </w:rPr>
              <w:t>16</w:t>
            </w:r>
            <w:r w:rsidR="006E3D1E" w:rsidRPr="005359C7">
              <w:rPr>
                <w:sz w:val="21"/>
                <w:szCs w:val="21"/>
                <w:lang w:val="fr-CA"/>
              </w:rPr>
              <w:t>4,</w:t>
            </w:r>
            <w:r w:rsidRPr="005359C7">
              <w:rPr>
                <w:sz w:val="21"/>
                <w:szCs w:val="21"/>
                <w:lang w:val="fr-CA"/>
              </w:rPr>
              <w:t>97</w:t>
            </w:r>
          </w:p>
        </w:tc>
        <w:tc>
          <w:tcPr>
            <w:tcW w:w="641" w:type="pct"/>
            <w:tcMar>
              <w:left w:w="115" w:type="dxa"/>
              <w:right w:w="202" w:type="dxa"/>
            </w:tcMar>
          </w:tcPr>
          <w:p w14:paraId="061FB63A" w14:textId="77777777" w:rsidR="00CF1303" w:rsidRPr="005359C7" w:rsidRDefault="00CF1303" w:rsidP="006E3D1E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  <w:r w:rsidRPr="005359C7">
              <w:rPr>
                <w:sz w:val="21"/>
                <w:szCs w:val="21"/>
                <w:lang w:val="fr-CA"/>
              </w:rPr>
              <w:t>18</w:t>
            </w:r>
            <w:r w:rsidR="006E3D1E" w:rsidRPr="005359C7">
              <w:rPr>
                <w:sz w:val="21"/>
                <w:szCs w:val="21"/>
                <w:lang w:val="fr-CA"/>
              </w:rPr>
              <w:t>7,</w:t>
            </w:r>
            <w:r w:rsidRPr="005359C7">
              <w:rPr>
                <w:sz w:val="21"/>
                <w:szCs w:val="21"/>
                <w:lang w:val="fr-CA"/>
              </w:rPr>
              <w:t>46</w:t>
            </w:r>
          </w:p>
        </w:tc>
        <w:tc>
          <w:tcPr>
            <w:tcW w:w="641" w:type="pct"/>
            <w:tcMar>
              <w:left w:w="115" w:type="dxa"/>
              <w:right w:w="202" w:type="dxa"/>
            </w:tcMar>
          </w:tcPr>
          <w:p w14:paraId="099E8E04" w14:textId="77777777" w:rsidR="00CF1303" w:rsidRPr="005359C7" w:rsidRDefault="00CF1303" w:rsidP="006E3D1E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  <w:r w:rsidRPr="005359C7">
              <w:rPr>
                <w:sz w:val="21"/>
                <w:szCs w:val="21"/>
                <w:lang w:val="fr-CA"/>
              </w:rPr>
              <w:t>18</w:t>
            </w:r>
            <w:r w:rsidR="006E3D1E" w:rsidRPr="005359C7">
              <w:rPr>
                <w:sz w:val="21"/>
                <w:szCs w:val="21"/>
                <w:lang w:val="fr-CA"/>
              </w:rPr>
              <w:t>1,</w:t>
            </w:r>
            <w:r w:rsidRPr="005359C7">
              <w:rPr>
                <w:sz w:val="21"/>
                <w:szCs w:val="21"/>
                <w:lang w:val="fr-CA"/>
              </w:rPr>
              <w:t xml:space="preserve">81 </w:t>
            </w:r>
          </w:p>
        </w:tc>
        <w:tc>
          <w:tcPr>
            <w:tcW w:w="641" w:type="pct"/>
            <w:shd w:val="clear" w:color="auto" w:fill="auto"/>
            <w:noWrap/>
            <w:tcMar>
              <w:left w:w="115" w:type="dxa"/>
              <w:right w:w="202" w:type="dxa"/>
            </w:tcMar>
            <w:vAlign w:val="center"/>
          </w:tcPr>
          <w:p w14:paraId="22BAD2BF" w14:textId="77777777" w:rsidR="00CF1303" w:rsidRPr="005359C7" w:rsidRDefault="00CF1303" w:rsidP="006E3D1E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  <w:r w:rsidRPr="005359C7">
              <w:rPr>
                <w:sz w:val="21"/>
                <w:szCs w:val="21"/>
                <w:lang w:val="fr-CA"/>
              </w:rPr>
              <w:t>21</w:t>
            </w:r>
            <w:r w:rsidR="006E3D1E" w:rsidRPr="005359C7">
              <w:rPr>
                <w:sz w:val="21"/>
                <w:szCs w:val="21"/>
                <w:lang w:val="fr-CA"/>
              </w:rPr>
              <w:t>8,</w:t>
            </w:r>
            <w:r w:rsidRPr="005359C7">
              <w:rPr>
                <w:sz w:val="21"/>
                <w:szCs w:val="21"/>
                <w:lang w:val="fr-CA"/>
              </w:rPr>
              <w:t>40</w:t>
            </w:r>
          </w:p>
        </w:tc>
      </w:tr>
      <w:tr w:rsidR="00CF1303" w:rsidRPr="005359C7" w14:paraId="137DC6A2" w14:textId="77777777" w:rsidTr="006E3D1E">
        <w:tc>
          <w:tcPr>
            <w:tcW w:w="1153" w:type="pct"/>
            <w:shd w:val="clear" w:color="auto" w:fill="auto"/>
            <w:noWrap/>
            <w:tcMar>
              <w:left w:w="115" w:type="dxa"/>
              <w:right w:w="43" w:type="dxa"/>
            </w:tcMar>
            <w:vAlign w:val="center"/>
            <w:hideMark/>
          </w:tcPr>
          <w:p w14:paraId="7E43175B" w14:textId="77777777" w:rsidR="00CF1303" w:rsidRPr="005359C7" w:rsidRDefault="00CF1303" w:rsidP="006E3D1E">
            <w:pPr>
              <w:widowControl w:val="0"/>
              <w:jc w:val="left"/>
              <w:rPr>
                <w:sz w:val="21"/>
                <w:szCs w:val="21"/>
                <w:lang w:val="fr-CA"/>
              </w:rPr>
            </w:pPr>
            <w:r w:rsidRPr="005359C7">
              <w:rPr>
                <w:sz w:val="21"/>
                <w:szCs w:val="21"/>
                <w:lang w:val="fr-CA"/>
              </w:rPr>
              <w:t>HCFC-123</w:t>
            </w:r>
          </w:p>
        </w:tc>
        <w:tc>
          <w:tcPr>
            <w:tcW w:w="641" w:type="pct"/>
            <w:shd w:val="clear" w:color="auto" w:fill="auto"/>
            <w:noWrap/>
            <w:tcMar>
              <w:left w:w="115" w:type="dxa"/>
              <w:right w:w="202" w:type="dxa"/>
            </w:tcMar>
          </w:tcPr>
          <w:p w14:paraId="6EE3EE86" w14:textId="77777777" w:rsidR="00CF1303" w:rsidRPr="005359C7" w:rsidRDefault="006E3D1E" w:rsidP="006E3D1E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  <w:r w:rsidRPr="005359C7">
              <w:rPr>
                <w:sz w:val="21"/>
                <w:szCs w:val="21"/>
                <w:lang w:val="fr-CA"/>
              </w:rPr>
              <w:t>0,</w:t>
            </w:r>
            <w:r w:rsidR="00CF1303" w:rsidRPr="005359C7">
              <w:rPr>
                <w:sz w:val="21"/>
                <w:szCs w:val="21"/>
                <w:lang w:val="fr-CA"/>
              </w:rPr>
              <w:t>00</w:t>
            </w:r>
          </w:p>
        </w:tc>
        <w:tc>
          <w:tcPr>
            <w:tcW w:w="641" w:type="pct"/>
            <w:shd w:val="clear" w:color="auto" w:fill="auto"/>
            <w:noWrap/>
            <w:tcMar>
              <w:left w:w="115" w:type="dxa"/>
              <w:right w:w="202" w:type="dxa"/>
            </w:tcMar>
          </w:tcPr>
          <w:p w14:paraId="39427D3F" w14:textId="77777777" w:rsidR="00CF1303" w:rsidRPr="005359C7" w:rsidRDefault="006E3D1E" w:rsidP="006E3D1E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  <w:r w:rsidRPr="005359C7">
              <w:rPr>
                <w:sz w:val="21"/>
                <w:szCs w:val="21"/>
                <w:lang w:val="fr-CA"/>
              </w:rPr>
              <w:t>0,</w:t>
            </w:r>
            <w:r w:rsidR="00CF1303" w:rsidRPr="005359C7">
              <w:rPr>
                <w:sz w:val="21"/>
                <w:szCs w:val="21"/>
                <w:lang w:val="fr-CA"/>
              </w:rPr>
              <w:t>00</w:t>
            </w:r>
          </w:p>
        </w:tc>
        <w:tc>
          <w:tcPr>
            <w:tcW w:w="641" w:type="pct"/>
            <w:shd w:val="clear" w:color="auto" w:fill="auto"/>
            <w:noWrap/>
            <w:tcMar>
              <w:left w:w="115" w:type="dxa"/>
              <w:right w:w="202" w:type="dxa"/>
            </w:tcMar>
          </w:tcPr>
          <w:p w14:paraId="46CBA963" w14:textId="77777777" w:rsidR="00CF1303" w:rsidRPr="005359C7" w:rsidRDefault="006E3D1E" w:rsidP="006E3D1E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  <w:r w:rsidRPr="005359C7">
              <w:rPr>
                <w:sz w:val="21"/>
                <w:szCs w:val="21"/>
                <w:lang w:val="fr-CA"/>
              </w:rPr>
              <w:t>1,</w:t>
            </w:r>
            <w:r w:rsidR="00CF1303" w:rsidRPr="005359C7">
              <w:rPr>
                <w:sz w:val="21"/>
                <w:szCs w:val="21"/>
                <w:lang w:val="fr-CA"/>
              </w:rPr>
              <w:t>98</w:t>
            </w:r>
          </w:p>
        </w:tc>
        <w:tc>
          <w:tcPr>
            <w:tcW w:w="641" w:type="pct"/>
            <w:tcMar>
              <w:left w:w="115" w:type="dxa"/>
              <w:right w:w="202" w:type="dxa"/>
            </w:tcMar>
          </w:tcPr>
          <w:p w14:paraId="0E2E0A18" w14:textId="77777777" w:rsidR="00CF1303" w:rsidRPr="005359C7" w:rsidRDefault="006E3D1E" w:rsidP="006E3D1E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  <w:r w:rsidRPr="005359C7">
              <w:rPr>
                <w:sz w:val="21"/>
                <w:szCs w:val="21"/>
                <w:lang w:val="fr-CA"/>
              </w:rPr>
              <w:t>0,</w:t>
            </w:r>
            <w:r w:rsidR="00CF1303" w:rsidRPr="005359C7">
              <w:rPr>
                <w:sz w:val="21"/>
                <w:szCs w:val="21"/>
                <w:lang w:val="fr-CA"/>
              </w:rPr>
              <w:t>00</w:t>
            </w:r>
          </w:p>
        </w:tc>
        <w:tc>
          <w:tcPr>
            <w:tcW w:w="641" w:type="pct"/>
            <w:tcMar>
              <w:left w:w="115" w:type="dxa"/>
              <w:right w:w="202" w:type="dxa"/>
            </w:tcMar>
          </w:tcPr>
          <w:p w14:paraId="1745E701" w14:textId="77777777" w:rsidR="00CF1303" w:rsidRPr="005359C7" w:rsidRDefault="006E3D1E" w:rsidP="006E3D1E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  <w:r w:rsidRPr="005359C7">
              <w:rPr>
                <w:sz w:val="21"/>
                <w:szCs w:val="21"/>
                <w:lang w:val="fr-CA"/>
              </w:rPr>
              <w:t>0,</w:t>
            </w:r>
            <w:r w:rsidR="00CF1303" w:rsidRPr="005359C7">
              <w:rPr>
                <w:sz w:val="21"/>
                <w:szCs w:val="21"/>
                <w:lang w:val="fr-CA"/>
              </w:rPr>
              <w:t>00</w:t>
            </w:r>
          </w:p>
        </w:tc>
        <w:tc>
          <w:tcPr>
            <w:tcW w:w="641" w:type="pct"/>
            <w:shd w:val="clear" w:color="auto" w:fill="auto"/>
            <w:noWrap/>
            <w:tcMar>
              <w:left w:w="115" w:type="dxa"/>
              <w:right w:w="202" w:type="dxa"/>
            </w:tcMar>
            <w:vAlign w:val="center"/>
          </w:tcPr>
          <w:p w14:paraId="6FBBD240" w14:textId="77777777" w:rsidR="00CF1303" w:rsidRPr="005359C7" w:rsidRDefault="006E3D1E" w:rsidP="006E3D1E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  <w:r w:rsidRPr="005359C7">
              <w:rPr>
                <w:sz w:val="21"/>
                <w:szCs w:val="21"/>
                <w:lang w:val="fr-CA"/>
              </w:rPr>
              <w:t>0,</w:t>
            </w:r>
            <w:r w:rsidR="00CF1303" w:rsidRPr="005359C7">
              <w:rPr>
                <w:sz w:val="21"/>
                <w:szCs w:val="21"/>
                <w:lang w:val="fr-CA"/>
              </w:rPr>
              <w:t>00</w:t>
            </w:r>
          </w:p>
        </w:tc>
      </w:tr>
      <w:tr w:rsidR="00CF1303" w:rsidRPr="005359C7" w14:paraId="0CE9BFAE" w14:textId="77777777" w:rsidTr="006E3D1E">
        <w:tc>
          <w:tcPr>
            <w:tcW w:w="1153" w:type="pct"/>
            <w:shd w:val="clear" w:color="auto" w:fill="auto"/>
            <w:noWrap/>
            <w:tcMar>
              <w:left w:w="115" w:type="dxa"/>
              <w:right w:w="43" w:type="dxa"/>
            </w:tcMar>
            <w:vAlign w:val="center"/>
            <w:hideMark/>
          </w:tcPr>
          <w:p w14:paraId="5B39DF2F" w14:textId="77777777" w:rsidR="00CF1303" w:rsidRPr="005359C7" w:rsidRDefault="00CF1303" w:rsidP="006E3D1E">
            <w:pPr>
              <w:widowControl w:val="0"/>
              <w:jc w:val="left"/>
              <w:rPr>
                <w:sz w:val="21"/>
                <w:szCs w:val="21"/>
                <w:lang w:val="fr-CA"/>
              </w:rPr>
            </w:pPr>
            <w:r w:rsidRPr="005359C7">
              <w:rPr>
                <w:sz w:val="21"/>
                <w:szCs w:val="21"/>
                <w:lang w:val="fr-CA"/>
              </w:rPr>
              <w:t>HCFC-141b</w:t>
            </w:r>
          </w:p>
        </w:tc>
        <w:tc>
          <w:tcPr>
            <w:tcW w:w="641" w:type="pct"/>
            <w:shd w:val="clear" w:color="auto" w:fill="auto"/>
            <w:noWrap/>
            <w:tcMar>
              <w:left w:w="115" w:type="dxa"/>
              <w:right w:w="202" w:type="dxa"/>
            </w:tcMar>
          </w:tcPr>
          <w:p w14:paraId="5633FFF7" w14:textId="77777777" w:rsidR="00CF1303" w:rsidRPr="005359C7" w:rsidRDefault="006E3D1E" w:rsidP="006E3D1E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  <w:r w:rsidRPr="005359C7">
              <w:rPr>
                <w:sz w:val="21"/>
                <w:szCs w:val="21"/>
                <w:lang w:val="fr-CA"/>
              </w:rPr>
              <w:t>0,</w:t>
            </w:r>
            <w:r w:rsidR="00CF1303" w:rsidRPr="005359C7">
              <w:rPr>
                <w:sz w:val="21"/>
                <w:szCs w:val="21"/>
                <w:lang w:val="fr-CA"/>
              </w:rPr>
              <w:t>00</w:t>
            </w:r>
          </w:p>
        </w:tc>
        <w:tc>
          <w:tcPr>
            <w:tcW w:w="641" w:type="pct"/>
            <w:shd w:val="clear" w:color="auto" w:fill="auto"/>
            <w:noWrap/>
            <w:tcMar>
              <w:left w:w="115" w:type="dxa"/>
              <w:right w:w="202" w:type="dxa"/>
            </w:tcMar>
          </w:tcPr>
          <w:p w14:paraId="23EF842B" w14:textId="77777777" w:rsidR="00CF1303" w:rsidRPr="005359C7" w:rsidRDefault="006E3D1E" w:rsidP="006E3D1E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  <w:r w:rsidRPr="005359C7">
              <w:rPr>
                <w:sz w:val="21"/>
                <w:szCs w:val="21"/>
                <w:lang w:val="fr-CA"/>
              </w:rPr>
              <w:t>0,</w:t>
            </w:r>
            <w:r w:rsidR="00CF1303" w:rsidRPr="005359C7">
              <w:rPr>
                <w:sz w:val="21"/>
                <w:szCs w:val="21"/>
                <w:lang w:val="fr-CA"/>
              </w:rPr>
              <w:t>00</w:t>
            </w:r>
          </w:p>
        </w:tc>
        <w:tc>
          <w:tcPr>
            <w:tcW w:w="641" w:type="pct"/>
            <w:shd w:val="clear" w:color="auto" w:fill="auto"/>
            <w:noWrap/>
            <w:tcMar>
              <w:left w:w="115" w:type="dxa"/>
              <w:right w:w="202" w:type="dxa"/>
            </w:tcMar>
            <w:vAlign w:val="center"/>
          </w:tcPr>
          <w:p w14:paraId="36AE2C81" w14:textId="77777777" w:rsidR="00CF1303" w:rsidRPr="005359C7" w:rsidRDefault="006E3D1E" w:rsidP="006E3D1E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  <w:r w:rsidRPr="005359C7">
              <w:rPr>
                <w:sz w:val="21"/>
                <w:szCs w:val="21"/>
                <w:lang w:val="fr-CA"/>
              </w:rPr>
              <w:t>0,</w:t>
            </w:r>
            <w:r w:rsidR="00CF1303" w:rsidRPr="005359C7">
              <w:rPr>
                <w:sz w:val="21"/>
                <w:szCs w:val="21"/>
                <w:lang w:val="fr-CA"/>
              </w:rPr>
              <w:t>00</w:t>
            </w:r>
          </w:p>
        </w:tc>
        <w:tc>
          <w:tcPr>
            <w:tcW w:w="641" w:type="pct"/>
            <w:tcMar>
              <w:left w:w="115" w:type="dxa"/>
              <w:right w:w="202" w:type="dxa"/>
            </w:tcMar>
          </w:tcPr>
          <w:p w14:paraId="52EE2442" w14:textId="77777777" w:rsidR="00CF1303" w:rsidRPr="005359C7" w:rsidRDefault="006E3D1E" w:rsidP="006E3D1E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  <w:r w:rsidRPr="005359C7">
              <w:rPr>
                <w:sz w:val="21"/>
                <w:szCs w:val="21"/>
                <w:lang w:val="fr-CA"/>
              </w:rPr>
              <w:t>0,</w:t>
            </w:r>
            <w:r w:rsidR="00CF1303" w:rsidRPr="005359C7">
              <w:rPr>
                <w:sz w:val="21"/>
                <w:szCs w:val="21"/>
                <w:lang w:val="fr-CA"/>
              </w:rPr>
              <w:t>00</w:t>
            </w:r>
          </w:p>
        </w:tc>
        <w:tc>
          <w:tcPr>
            <w:tcW w:w="641" w:type="pct"/>
            <w:tcMar>
              <w:left w:w="115" w:type="dxa"/>
              <w:right w:w="202" w:type="dxa"/>
            </w:tcMar>
          </w:tcPr>
          <w:p w14:paraId="14F1D830" w14:textId="77777777" w:rsidR="00CF1303" w:rsidRPr="005359C7" w:rsidRDefault="006E3D1E" w:rsidP="006E3D1E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  <w:r w:rsidRPr="005359C7">
              <w:rPr>
                <w:sz w:val="21"/>
                <w:szCs w:val="21"/>
                <w:lang w:val="fr-CA"/>
              </w:rPr>
              <w:t>0,</w:t>
            </w:r>
            <w:r w:rsidR="00CF1303" w:rsidRPr="005359C7">
              <w:rPr>
                <w:sz w:val="21"/>
                <w:szCs w:val="21"/>
                <w:lang w:val="fr-CA"/>
              </w:rPr>
              <w:t>00</w:t>
            </w:r>
          </w:p>
        </w:tc>
        <w:tc>
          <w:tcPr>
            <w:tcW w:w="641" w:type="pct"/>
            <w:shd w:val="clear" w:color="auto" w:fill="auto"/>
            <w:noWrap/>
            <w:tcMar>
              <w:left w:w="115" w:type="dxa"/>
              <w:right w:w="202" w:type="dxa"/>
            </w:tcMar>
            <w:vAlign w:val="center"/>
          </w:tcPr>
          <w:p w14:paraId="1CFF659B" w14:textId="77777777" w:rsidR="00CF1303" w:rsidRPr="005359C7" w:rsidRDefault="00CF1303" w:rsidP="006E3D1E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  <w:r w:rsidRPr="005359C7">
              <w:rPr>
                <w:sz w:val="21"/>
                <w:szCs w:val="21"/>
                <w:lang w:val="fr-CA"/>
              </w:rPr>
              <w:t>1</w:t>
            </w:r>
            <w:r w:rsidR="006E3D1E" w:rsidRPr="005359C7">
              <w:rPr>
                <w:sz w:val="21"/>
                <w:szCs w:val="21"/>
                <w:lang w:val="fr-CA"/>
              </w:rPr>
              <w:t>6,</w:t>
            </w:r>
            <w:r w:rsidRPr="005359C7">
              <w:rPr>
                <w:sz w:val="21"/>
                <w:szCs w:val="21"/>
                <w:lang w:val="fr-CA"/>
              </w:rPr>
              <w:t>80</w:t>
            </w:r>
          </w:p>
        </w:tc>
      </w:tr>
      <w:tr w:rsidR="00CF1303" w:rsidRPr="005359C7" w14:paraId="03C40153" w14:textId="77777777" w:rsidTr="006E3D1E">
        <w:tc>
          <w:tcPr>
            <w:tcW w:w="1153" w:type="pct"/>
            <w:shd w:val="clear" w:color="auto" w:fill="auto"/>
            <w:noWrap/>
            <w:tcMar>
              <w:left w:w="115" w:type="dxa"/>
              <w:right w:w="43" w:type="dxa"/>
            </w:tcMar>
            <w:hideMark/>
          </w:tcPr>
          <w:p w14:paraId="7E6B3DEA" w14:textId="77777777" w:rsidR="00CF1303" w:rsidRPr="005359C7" w:rsidRDefault="00CF1303" w:rsidP="006E3D1E">
            <w:pPr>
              <w:jc w:val="left"/>
              <w:rPr>
                <w:rFonts w:eastAsiaTheme="minorHAnsi"/>
                <w:b/>
                <w:sz w:val="21"/>
                <w:szCs w:val="21"/>
                <w:lang w:val="fr-CA"/>
              </w:rPr>
            </w:pPr>
            <w:r w:rsidRPr="005359C7">
              <w:rPr>
                <w:b/>
                <w:sz w:val="21"/>
                <w:szCs w:val="21"/>
                <w:lang w:val="fr-CA"/>
              </w:rPr>
              <w:t xml:space="preserve">Total </w:t>
            </w:r>
            <w:r w:rsidR="00564122" w:rsidRPr="005359C7">
              <w:rPr>
                <w:b/>
                <w:sz w:val="21"/>
                <w:szCs w:val="21"/>
                <w:lang w:val="fr-CA"/>
              </w:rPr>
              <w:t>(</w:t>
            </w:r>
            <w:proofErr w:type="spellStart"/>
            <w:r w:rsidR="00564122" w:rsidRPr="005359C7">
              <w:rPr>
                <w:b/>
                <w:sz w:val="21"/>
                <w:szCs w:val="21"/>
                <w:lang w:val="fr-CA"/>
              </w:rPr>
              <w:t>tm</w:t>
            </w:r>
            <w:proofErr w:type="spellEnd"/>
            <w:r w:rsidR="00564122" w:rsidRPr="005359C7">
              <w:rPr>
                <w:b/>
                <w:sz w:val="21"/>
                <w:szCs w:val="21"/>
                <w:lang w:val="fr-CA"/>
              </w:rPr>
              <w:t>)</w:t>
            </w:r>
          </w:p>
        </w:tc>
        <w:tc>
          <w:tcPr>
            <w:tcW w:w="641" w:type="pct"/>
            <w:shd w:val="clear" w:color="auto" w:fill="auto"/>
            <w:noWrap/>
            <w:tcMar>
              <w:left w:w="115" w:type="dxa"/>
              <w:right w:w="202" w:type="dxa"/>
            </w:tcMar>
          </w:tcPr>
          <w:p w14:paraId="733333B0" w14:textId="77777777" w:rsidR="00CF1303" w:rsidRPr="005359C7" w:rsidRDefault="00CF1303" w:rsidP="006E3D1E">
            <w:pPr>
              <w:widowControl w:val="0"/>
              <w:jc w:val="right"/>
              <w:rPr>
                <w:b/>
                <w:sz w:val="21"/>
                <w:szCs w:val="21"/>
                <w:lang w:val="fr-CA"/>
              </w:rPr>
            </w:pPr>
            <w:r w:rsidRPr="005359C7">
              <w:rPr>
                <w:b/>
                <w:sz w:val="21"/>
                <w:szCs w:val="21"/>
                <w:lang w:val="fr-CA"/>
              </w:rPr>
              <w:t>18</w:t>
            </w:r>
            <w:r w:rsidR="006E3D1E" w:rsidRPr="005359C7">
              <w:rPr>
                <w:b/>
                <w:sz w:val="21"/>
                <w:szCs w:val="21"/>
                <w:lang w:val="fr-CA"/>
              </w:rPr>
              <w:t>7,</w:t>
            </w:r>
            <w:r w:rsidRPr="005359C7">
              <w:rPr>
                <w:b/>
                <w:sz w:val="21"/>
                <w:szCs w:val="21"/>
                <w:lang w:val="fr-CA"/>
              </w:rPr>
              <w:t>45</w:t>
            </w:r>
          </w:p>
        </w:tc>
        <w:tc>
          <w:tcPr>
            <w:tcW w:w="641" w:type="pct"/>
            <w:shd w:val="clear" w:color="auto" w:fill="auto"/>
            <w:noWrap/>
            <w:tcMar>
              <w:left w:w="115" w:type="dxa"/>
              <w:right w:w="202" w:type="dxa"/>
            </w:tcMar>
          </w:tcPr>
          <w:p w14:paraId="0E52E68B" w14:textId="77777777" w:rsidR="00CF1303" w:rsidRPr="005359C7" w:rsidRDefault="00CF1303" w:rsidP="006E3D1E">
            <w:pPr>
              <w:widowControl w:val="0"/>
              <w:jc w:val="right"/>
              <w:rPr>
                <w:b/>
                <w:sz w:val="21"/>
                <w:szCs w:val="21"/>
                <w:lang w:val="fr-CA"/>
              </w:rPr>
            </w:pPr>
            <w:r w:rsidRPr="005359C7">
              <w:rPr>
                <w:b/>
                <w:sz w:val="21"/>
                <w:szCs w:val="21"/>
                <w:lang w:val="fr-CA"/>
              </w:rPr>
              <w:t>19</w:t>
            </w:r>
            <w:r w:rsidR="006E3D1E" w:rsidRPr="005359C7">
              <w:rPr>
                <w:b/>
                <w:sz w:val="21"/>
                <w:szCs w:val="21"/>
                <w:lang w:val="fr-CA"/>
              </w:rPr>
              <w:t>1,</w:t>
            </w:r>
            <w:r w:rsidRPr="005359C7">
              <w:rPr>
                <w:b/>
                <w:sz w:val="21"/>
                <w:szCs w:val="21"/>
                <w:lang w:val="fr-CA"/>
              </w:rPr>
              <w:t>68</w:t>
            </w:r>
          </w:p>
        </w:tc>
        <w:tc>
          <w:tcPr>
            <w:tcW w:w="641" w:type="pct"/>
            <w:shd w:val="clear" w:color="auto" w:fill="auto"/>
            <w:noWrap/>
            <w:tcMar>
              <w:left w:w="115" w:type="dxa"/>
              <w:right w:w="202" w:type="dxa"/>
            </w:tcMar>
          </w:tcPr>
          <w:p w14:paraId="1D6322DD" w14:textId="77777777" w:rsidR="00CF1303" w:rsidRPr="005359C7" w:rsidRDefault="00CF1303" w:rsidP="006E3D1E">
            <w:pPr>
              <w:widowControl w:val="0"/>
              <w:jc w:val="right"/>
              <w:rPr>
                <w:b/>
                <w:sz w:val="21"/>
                <w:szCs w:val="21"/>
                <w:lang w:val="fr-CA"/>
              </w:rPr>
            </w:pPr>
            <w:r w:rsidRPr="005359C7">
              <w:rPr>
                <w:b/>
                <w:sz w:val="21"/>
                <w:szCs w:val="21"/>
                <w:lang w:val="fr-CA"/>
              </w:rPr>
              <w:t>16</w:t>
            </w:r>
            <w:r w:rsidR="006E3D1E" w:rsidRPr="005359C7">
              <w:rPr>
                <w:b/>
                <w:sz w:val="21"/>
                <w:szCs w:val="21"/>
                <w:lang w:val="fr-CA"/>
              </w:rPr>
              <w:t>6,</w:t>
            </w:r>
            <w:r w:rsidRPr="005359C7">
              <w:rPr>
                <w:b/>
                <w:sz w:val="21"/>
                <w:szCs w:val="21"/>
                <w:lang w:val="fr-CA"/>
              </w:rPr>
              <w:t>95</w:t>
            </w:r>
          </w:p>
        </w:tc>
        <w:tc>
          <w:tcPr>
            <w:tcW w:w="641" w:type="pct"/>
            <w:tcMar>
              <w:left w:w="115" w:type="dxa"/>
              <w:right w:w="202" w:type="dxa"/>
            </w:tcMar>
          </w:tcPr>
          <w:p w14:paraId="7F3D2CE2" w14:textId="77777777" w:rsidR="00CF1303" w:rsidRPr="005359C7" w:rsidRDefault="00CF1303" w:rsidP="006E3D1E">
            <w:pPr>
              <w:widowControl w:val="0"/>
              <w:jc w:val="right"/>
              <w:rPr>
                <w:b/>
                <w:sz w:val="21"/>
                <w:szCs w:val="21"/>
                <w:lang w:val="fr-CA"/>
              </w:rPr>
            </w:pPr>
            <w:r w:rsidRPr="005359C7">
              <w:rPr>
                <w:b/>
                <w:sz w:val="21"/>
                <w:szCs w:val="21"/>
                <w:lang w:val="fr-CA"/>
              </w:rPr>
              <w:t>18</w:t>
            </w:r>
            <w:r w:rsidR="006E3D1E" w:rsidRPr="005359C7">
              <w:rPr>
                <w:b/>
                <w:sz w:val="21"/>
                <w:szCs w:val="21"/>
                <w:lang w:val="fr-CA"/>
              </w:rPr>
              <w:t>7,</w:t>
            </w:r>
            <w:r w:rsidRPr="005359C7">
              <w:rPr>
                <w:b/>
                <w:sz w:val="21"/>
                <w:szCs w:val="21"/>
                <w:lang w:val="fr-CA"/>
              </w:rPr>
              <w:t>46</w:t>
            </w:r>
          </w:p>
        </w:tc>
        <w:tc>
          <w:tcPr>
            <w:tcW w:w="641" w:type="pct"/>
            <w:tcMar>
              <w:left w:w="115" w:type="dxa"/>
              <w:right w:w="202" w:type="dxa"/>
            </w:tcMar>
          </w:tcPr>
          <w:p w14:paraId="68EFC792" w14:textId="77777777" w:rsidR="00CF1303" w:rsidRPr="005359C7" w:rsidRDefault="00CF1303" w:rsidP="006E3D1E">
            <w:pPr>
              <w:widowControl w:val="0"/>
              <w:jc w:val="right"/>
              <w:rPr>
                <w:b/>
                <w:sz w:val="21"/>
                <w:szCs w:val="21"/>
                <w:lang w:val="fr-CA"/>
              </w:rPr>
            </w:pPr>
            <w:r w:rsidRPr="005359C7">
              <w:rPr>
                <w:b/>
                <w:sz w:val="21"/>
                <w:szCs w:val="21"/>
                <w:lang w:val="fr-CA"/>
              </w:rPr>
              <w:t>18</w:t>
            </w:r>
            <w:r w:rsidR="006E3D1E" w:rsidRPr="005359C7">
              <w:rPr>
                <w:b/>
                <w:sz w:val="21"/>
                <w:szCs w:val="21"/>
                <w:lang w:val="fr-CA"/>
              </w:rPr>
              <w:t>1,</w:t>
            </w:r>
            <w:r w:rsidRPr="005359C7">
              <w:rPr>
                <w:b/>
                <w:sz w:val="21"/>
                <w:szCs w:val="21"/>
                <w:lang w:val="fr-CA"/>
              </w:rPr>
              <w:t xml:space="preserve">81 </w:t>
            </w:r>
          </w:p>
        </w:tc>
        <w:tc>
          <w:tcPr>
            <w:tcW w:w="641" w:type="pct"/>
            <w:shd w:val="clear" w:color="auto" w:fill="auto"/>
            <w:noWrap/>
            <w:tcMar>
              <w:left w:w="115" w:type="dxa"/>
              <w:right w:w="202" w:type="dxa"/>
            </w:tcMar>
            <w:vAlign w:val="center"/>
          </w:tcPr>
          <w:p w14:paraId="51C8146A" w14:textId="77777777" w:rsidR="00CF1303" w:rsidRPr="005359C7" w:rsidRDefault="00CF1303" w:rsidP="006E3D1E">
            <w:pPr>
              <w:widowControl w:val="0"/>
              <w:jc w:val="right"/>
              <w:rPr>
                <w:b/>
                <w:sz w:val="21"/>
                <w:szCs w:val="21"/>
                <w:lang w:val="fr-CA"/>
              </w:rPr>
            </w:pPr>
            <w:r w:rsidRPr="005359C7">
              <w:rPr>
                <w:b/>
                <w:sz w:val="21"/>
                <w:szCs w:val="21"/>
                <w:lang w:val="fr-CA"/>
              </w:rPr>
              <w:t>23</w:t>
            </w:r>
            <w:r w:rsidR="006E3D1E" w:rsidRPr="005359C7">
              <w:rPr>
                <w:b/>
                <w:sz w:val="21"/>
                <w:szCs w:val="21"/>
                <w:lang w:val="fr-CA"/>
              </w:rPr>
              <w:t>5,</w:t>
            </w:r>
            <w:r w:rsidRPr="005359C7">
              <w:rPr>
                <w:b/>
                <w:sz w:val="21"/>
                <w:szCs w:val="21"/>
                <w:lang w:val="fr-CA"/>
              </w:rPr>
              <w:t>20</w:t>
            </w:r>
          </w:p>
        </w:tc>
      </w:tr>
      <w:tr w:rsidR="00CF1303" w:rsidRPr="005359C7" w14:paraId="3D8929A9" w14:textId="77777777" w:rsidTr="006E3D1E">
        <w:tc>
          <w:tcPr>
            <w:tcW w:w="1153" w:type="pct"/>
            <w:shd w:val="clear" w:color="auto" w:fill="auto"/>
            <w:noWrap/>
            <w:tcMar>
              <w:left w:w="115" w:type="dxa"/>
              <w:right w:w="43" w:type="dxa"/>
            </w:tcMar>
            <w:hideMark/>
          </w:tcPr>
          <w:p w14:paraId="11738653" w14:textId="77777777" w:rsidR="00CF1303" w:rsidRPr="005359C7" w:rsidRDefault="006E3D1E" w:rsidP="006E3D1E">
            <w:pPr>
              <w:jc w:val="left"/>
              <w:rPr>
                <w:b/>
                <w:sz w:val="21"/>
                <w:szCs w:val="21"/>
                <w:lang w:val="fr-CA"/>
              </w:rPr>
            </w:pPr>
            <w:r w:rsidRPr="005359C7">
              <w:rPr>
                <w:b/>
                <w:sz w:val="21"/>
                <w:szCs w:val="21"/>
                <w:lang w:val="fr-CA"/>
              </w:rPr>
              <w:t>Tonnes PAO</w:t>
            </w:r>
          </w:p>
        </w:tc>
        <w:tc>
          <w:tcPr>
            <w:tcW w:w="641" w:type="pct"/>
            <w:shd w:val="clear" w:color="auto" w:fill="auto"/>
            <w:noWrap/>
            <w:tcMar>
              <w:left w:w="115" w:type="dxa"/>
              <w:right w:w="202" w:type="dxa"/>
            </w:tcMar>
            <w:vAlign w:val="center"/>
          </w:tcPr>
          <w:p w14:paraId="17F4E856" w14:textId="77777777" w:rsidR="00CF1303" w:rsidRPr="005359C7" w:rsidRDefault="00CF1303" w:rsidP="006E3D1E">
            <w:pPr>
              <w:widowControl w:val="0"/>
              <w:jc w:val="right"/>
              <w:rPr>
                <w:b/>
                <w:sz w:val="21"/>
                <w:szCs w:val="21"/>
                <w:lang w:val="fr-CA"/>
              </w:rPr>
            </w:pPr>
          </w:p>
        </w:tc>
        <w:tc>
          <w:tcPr>
            <w:tcW w:w="641" w:type="pct"/>
            <w:shd w:val="clear" w:color="auto" w:fill="auto"/>
            <w:noWrap/>
            <w:tcMar>
              <w:left w:w="115" w:type="dxa"/>
              <w:right w:w="202" w:type="dxa"/>
            </w:tcMar>
            <w:vAlign w:val="center"/>
          </w:tcPr>
          <w:p w14:paraId="2981D7FA" w14:textId="77777777" w:rsidR="00CF1303" w:rsidRPr="005359C7" w:rsidRDefault="00CF1303" w:rsidP="006E3D1E">
            <w:pPr>
              <w:widowControl w:val="0"/>
              <w:jc w:val="right"/>
              <w:rPr>
                <w:b/>
                <w:sz w:val="21"/>
                <w:szCs w:val="21"/>
                <w:lang w:val="fr-CA"/>
              </w:rPr>
            </w:pPr>
          </w:p>
        </w:tc>
        <w:tc>
          <w:tcPr>
            <w:tcW w:w="641" w:type="pct"/>
            <w:shd w:val="clear" w:color="auto" w:fill="auto"/>
            <w:noWrap/>
            <w:tcMar>
              <w:left w:w="115" w:type="dxa"/>
              <w:right w:w="202" w:type="dxa"/>
            </w:tcMar>
            <w:vAlign w:val="center"/>
          </w:tcPr>
          <w:p w14:paraId="75475627" w14:textId="77777777" w:rsidR="00CF1303" w:rsidRPr="005359C7" w:rsidRDefault="00CF1303" w:rsidP="006E3D1E">
            <w:pPr>
              <w:widowControl w:val="0"/>
              <w:jc w:val="right"/>
              <w:rPr>
                <w:b/>
                <w:sz w:val="21"/>
                <w:szCs w:val="21"/>
                <w:lang w:val="fr-CA"/>
              </w:rPr>
            </w:pPr>
          </w:p>
        </w:tc>
        <w:tc>
          <w:tcPr>
            <w:tcW w:w="641" w:type="pct"/>
            <w:tcMar>
              <w:left w:w="115" w:type="dxa"/>
              <w:right w:w="202" w:type="dxa"/>
            </w:tcMar>
          </w:tcPr>
          <w:p w14:paraId="4CC1092F" w14:textId="77777777" w:rsidR="00CF1303" w:rsidRPr="005359C7" w:rsidRDefault="00CF1303" w:rsidP="006E3D1E">
            <w:pPr>
              <w:widowControl w:val="0"/>
              <w:jc w:val="right"/>
              <w:rPr>
                <w:b/>
                <w:sz w:val="21"/>
                <w:szCs w:val="21"/>
                <w:lang w:val="fr-CA"/>
              </w:rPr>
            </w:pPr>
          </w:p>
        </w:tc>
        <w:tc>
          <w:tcPr>
            <w:tcW w:w="641" w:type="pct"/>
            <w:tcMar>
              <w:left w:w="115" w:type="dxa"/>
              <w:right w:w="202" w:type="dxa"/>
            </w:tcMar>
          </w:tcPr>
          <w:p w14:paraId="248A2306" w14:textId="77777777" w:rsidR="00CF1303" w:rsidRPr="005359C7" w:rsidRDefault="00CF1303" w:rsidP="006E3D1E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</w:p>
        </w:tc>
        <w:tc>
          <w:tcPr>
            <w:tcW w:w="641" w:type="pct"/>
            <w:shd w:val="clear" w:color="auto" w:fill="auto"/>
            <w:noWrap/>
            <w:tcMar>
              <w:left w:w="115" w:type="dxa"/>
              <w:right w:w="202" w:type="dxa"/>
            </w:tcMar>
            <w:vAlign w:val="center"/>
          </w:tcPr>
          <w:p w14:paraId="626E5393" w14:textId="77777777" w:rsidR="00CF1303" w:rsidRPr="005359C7" w:rsidRDefault="00CF1303" w:rsidP="006E3D1E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</w:p>
        </w:tc>
      </w:tr>
      <w:tr w:rsidR="00CF1303" w:rsidRPr="005359C7" w14:paraId="1506158C" w14:textId="77777777" w:rsidTr="006E3D1E">
        <w:tc>
          <w:tcPr>
            <w:tcW w:w="1153" w:type="pct"/>
            <w:shd w:val="clear" w:color="auto" w:fill="auto"/>
            <w:noWrap/>
            <w:tcMar>
              <w:left w:w="115" w:type="dxa"/>
              <w:right w:w="43" w:type="dxa"/>
            </w:tcMar>
            <w:hideMark/>
          </w:tcPr>
          <w:p w14:paraId="52100A84" w14:textId="77777777" w:rsidR="00CF1303" w:rsidRPr="005359C7" w:rsidRDefault="00CF1303" w:rsidP="006E3D1E">
            <w:pPr>
              <w:jc w:val="left"/>
              <w:rPr>
                <w:sz w:val="21"/>
                <w:szCs w:val="21"/>
                <w:lang w:val="fr-CA"/>
              </w:rPr>
            </w:pPr>
            <w:r w:rsidRPr="005359C7">
              <w:rPr>
                <w:sz w:val="21"/>
                <w:szCs w:val="21"/>
                <w:lang w:val="fr-CA"/>
              </w:rPr>
              <w:t>HCFC-22</w:t>
            </w:r>
          </w:p>
        </w:tc>
        <w:tc>
          <w:tcPr>
            <w:tcW w:w="641" w:type="pct"/>
            <w:shd w:val="clear" w:color="auto" w:fill="auto"/>
            <w:noWrap/>
            <w:tcMar>
              <w:left w:w="115" w:type="dxa"/>
              <w:right w:w="202" w:type="dxa"/>
            </w:tcMar>
            <w:vAlign w:val="center"/>
          </w:tcPr>
          <w:p w14:paraId="4C7046CA" w14:textId="77777777" w:rsidR="00CF1303" w:rsidRPr="005359C7" w:rsidRDefault="00CF1303" w:rsidP="006E3D1E">
            <w:pPr>
              <w:widowControl w:val="0"/>
              <w:jc w:val="right"/>
              <w:rPr>
                <w:b/>
                <w:sz w:val="21"/>
                <w:szCs w:val="21"/>
                <w:lang w:val="fr-CA"/>
              </w:rPr>
            </w:pPr>
            <w:r w:rsidRPr="005359C7">
              <w:rPr>
                <w:sz w:val="21"/>
                <w:szCs w:val="21"/>
                <w:lang w:val="fr-CA"/>
              </w:rPr>
              <w:t>1</w:t>
            </w:r>
            <w:r w:rsidR="006E3D1E" w:rsidRPr="005359C7">
              <w:rPr>
                <w:sz w:val="21"/>
                <w:szCs w:val="21"/>
                <w:lang w:val="fr-CA"/>
              </w:rPr>
              <w:t>0,</w:t>
            </w:r>
            <w:r w:rsidRPr="005359C7">
              <w:rPr>
                <w:sz w:val="21"/>
                <w:szCs w:val="21"/>
                <w:lang w:val="fr-CA"/>
              </w:rPr>
              <w:t>31</w:t>
            </w:r>
          </w:p>
        </w:tc>
        <w:tc>
          <w:tcPr>
            <w:tcW w:w="641" w:type="pct"/>
            <w:shd w:val="clear" w:color="auto" w:fill="auto"/>
            <w:noWrap/>
            <w:tcMar>
              <w:left w:w="115" w:type="dxa"/>
              <w:right w:w="202" w:type="dxa"/>
            </w:tcMar>
            <w:vAlign w:val="center"/>
          </w:tcPr>
          <w:p w14:paraId="0A588F40" w14:textId="77777777" w:rsidR="00CF1303" w:rsidRPr="005359C7" w:rsidRDefault="00CF1303" w:rsidP="006E3D1E">
            <w:pPr>
              <w:widowControl w:val="0"/>
              <w:jc w:val="right"/>
              <w:rPr>
                <w:b/>
                <w:sz w:val="21"/>
                <w:szCs w:val="21"/>
                <w:lang w:val="fr-CA"/>
              </w:rPr>
            </w:pPr>
            <w:r w:rsidRPr="005359C7">
              <w:rPr>
                <w:sz w:val="21"/>
                <w:szCs w:val="21"/>
                <w:lang w:val="fr-CA"/>
              </w:rPr>
              <w:t>1</w:t>
            </w:r>
            <w:r w:rsidR="006E3D1E" w:rsidRPr="005359C7">
              <w:rPr>
                <w:sz w:val="21"/>
                <w:szCs w:val="21"/>
                <w:lang w:val="fr-CA"/>
              </w:rPr>
              <w:t>0,</w:t>
            </w:r>
            <w:r w:rsidRPr="005359C7">
              <w:rPr>
                <w:sz w:val="21"/>
                <w:szCs w:val="21"/>
                <w:lang w:val="fr-CA"/>
              </w:rPr>
              <w:t>54</w:t>
            </w:r>
          </w:p>
        </w:tc>
        <w:tc>
          <w:tcPr>
            <w:tcW w:w="641" w:type="pct"/>
            <w:shd w:val="clear" w:color="auto" w:fill="auto"/>
            <w:noWrap/>
            <w:tcMar>
              <w:left w:w="115" w:type="dxa"/>
              <w:right w:w="202" w:type="dxa"/>
            </w:tcMar>
            <w:vAlign w:val="center"/>
          </w:tcPr>
          <w:p w14:paraId="027C31E4" w14:textId="77777777" w:rsidR="00CF1303" w:rsidRPr="005359C7" w:rsidRDefault="006E3D1E" w:rsidP="006E3D1E">
            <w:pPr>
              <w:widowControl w:val="0"/>
              <w:jc w:val="right"/>
              <w:rPr>
                <w:b/>
                <w:sz w:val="21"/>
                <w:szCs w:val="21"/>
                <w:lang w:val="fr-CA"/>
              </w:rPr>
            </w:pPr>
            <w:r w:rsidRPr="005359C7">
              <w:rPr>
                <w:sz w:val="21"/>
                <w:szCs w:val="21"/>
                <w:lang w:val="fr-CA"/>
              </w:rPr>
              <w:t>9,</w:t>
            </w:r>
            <w:r w:rsidR="00CF1303" w:rsidRPr="005359C7">
              <w:rPr>
                <w:sz w:val="21"/>
                <w:szCs w:val="21"/>
                <w:lang w:val="fr-CA"/>
              </w:rPr>
              <w:t>07</w:t>
            </w:r>
          </w:p>
        </w:tc>
        <w:tc>
          <w:tcPr>
            <w:tcW w:w="641" w:type="pct"/>
            <w:tcMar>
              <w:left w:w="115" w:type="dxa"/>
              <w:right w:w="202" w:type="dxa"/>
            </w:tcMar>
            <w:vAlign w:val="center"/>
          </w:tcPr>
          <w:p w14:paraId="7192AEAC" w14:textId="77777777" w:rsidR="00CF1303" w:rsidRPr="005359C7" w:rsidRDefault="00CF1303" w:rsidP="006E3D1E">
            <w:pPr>
              <w:widowControl w:val="0"/>
              <w:jc w:val="right"/>
              <w:rPr>
                <w:b/>
                <w:sz w:val="21"/>
                <w:szCs w:val="21"/>
                <w:lang w:val="fr-CA"/>
              </w:rPr>
            </w:pPr>
            <w:r w:rsidRPr="005359C7">
              <w:rPr>
                <w:sz w:val="21"/>
                <w:szCs w:val="21"/>
                <w:lang w:val="fr-CA"/>
              </w:rPr>
              <w:t>1</w:t>
            </w:r>
            <w:r w:rsidR="006E3D1E" w:rsidRPr="005359C7">
              <w:rPr>
                <w:sz w:val="21"/>
                <w:szCs w:val="21"/>
                <w:lang w:val="fr-CA"/>
              </w:rPr>
              <w:t>0,</w:t>
            </w:r>
            <w:r w:rsidRPr="005359C7">
              <w:rPr>
                <w:sz w:val="21"/>
                <w:szCs w:val="21"/>
                <w:lang w:val="fr-CA"/>
              </w:rPr>
              <w:t>31</w:t>
            </w:r>
          </w:p>
        </w:tc>
        <w:tc>
          <w:tcPr>
            <w:tcW w:w="641" w:type="pct"/>
            <w:tcMar>
              <w:left w:w="115" w:type="dxa"/>
              <w:right w:w="202" w:type="dxa"/>
            </w:tcMar>
          </w:tcPr>
          <w:p w14:paraId="2343FB31" w14:textId="77777777" w:rsidR="00CF1303" w:rsidRPr="005359C7" w:rsidRDefault="00CF1303" w:rsidP="006E3D1E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  <w:r w:rsidRPr="005359C7">
              <w:rPr>
                <w:sz w:val="21"/>
                <w:szCs w:val="21"/>
                <w:lang w:val="fr-CA"/>
              </w:rPr>
              <w:t>1</w:t>
            </w:r>
            <w:r w:rsidR="006E3D1E" w:rsidRPr="005359C7">
              <w:rPr>
                <w:sz w:val="21"/>
                <w:szCs w:val="21"/>
                <w:lang w:val="fr-CA"/>
              </w:rPr>
              <w:t>0,</w:t>
            </w:r>
            <w:r w:rsidRPr="005359C7">
              <w:rPr>
                <w:sz w:val="21"/>
                <w:szCs w:val="21"/>
                <w:lang w:val="fr-CA"/>
              </w:rPr>
              <w:t>00</w:t>
            </w:r>
          </w:p>
        </w:tc>
        <w:tc>
          <w:tcPr>
            <w:tcW w:w="641" w:type="pct"/>
            <w:shd w:val="clear" w:color="auto" w:fill="auto"/>
            <w:noWrap/>
            <w:tcMar>
              <w:left w:w="115" w:type="dxa"/>
              <w:right w:w="202" w:type="dxa"/>
            </w:tcMar>
            <w:vAlign w:val="center"/>
          </w:tcPr>
          <w:p w14:paraId="02085734" w14:textId="77777777" w:rsidR="00CF1303" w:rsidRPr="005359C7" w:rsidRDefault="00CF1303" w:rsidP="006E3D1E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  <w:r w:rsidRPr="005359C7">
              <w:rPr>
                <w:sz w:val="21"/>
                <w:szCs w:val="21"/>
                <w:lang w:val="fr-CA"/>
              </w:rPr>
              <w:t>1</w:t>
            </w:r>
            <w:r w:rsidR="006E3D1E" w:rsidRPr="005359C7">
              <w:rPr>
                <w:sz w:val="21"/>
                <w:szCs w:val="21"/>
                <w:lang w:val="fr-CA"/>
              </w:rPr>
              <w:t>2,</w:t>
            </w:r>
            <w:r w:rsidRPr="005359C7">
              <w:rPr>
                <w:sz w:val="21"/>
                <w:szCs w:val="21"/>
                <w:lang w:val="fr-CA"/>
              </w:rPr>
              <w:t>00</w:t>
            </w:r>
          </w:p>
        </w:tc>
      </w:tr>
      <w:tr w:rsidR="00CF1303" w:rsidRPr="005359C7" w14:paraId="3F599024" w14:textId="77777777" w:rsidTr="006E3D1E">
        <w:tc>
          <w:tcPr>
            <w:tcW w:w="1153" w:type="pct"/>
            <w:shd w:val="clear" w:color="auto" w:fill="auto"/>
            <w:noWrap/>
            <w:tcMar>
              <w:left w:w="115" w:type="dxa"/>
              <w:right w:w="43" w:type="dxa"/>
            </w:tcMar>
            <w:hideMark/>
          </w:tcPr>
          <w:p w14:paraId="2575636C" w14:textId="77777777" w:rsidR="00CF1303" w:rsidRPr="005359C7" w:rsidRDefault="00CF1303" w:rsidP="006E3D1E">
            <w:pPr>
              <w:jc w:val="left"/>
              <w:rPr>
                <w:sz w:val="21"/>
                <w:szCs w:val="21"/>
                <w:lang w:val="fr-CA"/>
              </w:rPr>
            </w:pPr>
            <w:r w:rsidRPr="005359C7">
              <w:rPr>
                <w:sz w:val="21"/>
                <w:szCs w:val="21"/>
                <w:lang w:val="fr-CA"/>
              </w:rPr>
              <w:t>HCFC-123</w:t>
            </w:r>
          </w:p>
        </w:tc>
        <w:tc>
          <w:tcPr>
            <w:tcW w:w="641" w:type="pct"/>
            <w:shd w:val="clear" w:color="auto" w:fill="auto"/>
            <w:noWrap/>
            <w:tcMar>
              <w:left w:w="115" w:type="dxa"/>
              <w:right w:w="202" w:type="dxa"/>
            </w:tcMar>
            <w:vAlign w:val="center"/>
          </w:tcPr>
          <w:p w14:paraId="2373DC42" w14:textId="77777777" w:rsidR="00CF1303" w:rsidRPr="005359C7" w:rsidRDefault="006E3D1E" w:rsidP="006E3D1E">
            <w:pPr>
              <w:widowControl w:val="0"/>
              <w:jc w:val="right"/>
              <w:rPr>
                <w:b/>
                <w:sz w:val="21"/>
                <w:szCs w:val="21"/>
                <w:lang w:val="fr-CA"/>
              </w:rPr>
            </w:pPr>
            <w:r w:rsidRPr="005359C7">
              <w:rPr>
                <w:sz w:val="21"/>
                <w:szCs w:val="21"/>
                <w:lang w:val="fr-CA"/>
              </w:rPr>
              <w:t>0,</w:t>
            </w:r>
            <w:r w:rsidR="00CF1303" w:rsidRPr="005359C7">
              <w:rPr>
                <w:sz w:val="21"/>
                <w:szCs w:val="21"/>
                <w:lang w:val="fr-CA"/>
              </w:rPr>
              <w:t>00</w:t>
            </w:r>
          </w:p>
        </w:tc>
        <w:tc>
          <w:tcPr>
            <w:tcW w:w="641" w:type="pct"/>
            <w:shd w:val="clear" w:color="auto" w:fill="auto"/>
            <w:noWrap/>
            <w:tcMar>
              <w:left w:w="115" w:type="dxa"/>
              <w:right w:w="202" w:type="dxa"/>
            </w:tcMar>
            <w:vAlign w:val="center"/>
          </w:tcPr>
          <w:p w14:paraId="2ED5A865" w14:textId="77777777" w:rsidR="00CF1303" w:rsidRPr="005359C7" w:rsidRDefault="006E3D1E" w:rsidP="006E3D1E">
            <w:pPr>
              <w:widowControl w:val="0"/>
              <w:jc w:val="right"/>
              <w:rPr>
                <w:b/>
                <w:sz w:val="21"/>
                <w:szCs w:val="21"/>
                <w:lang w:val="fr-CA"/>
              </w:rPr>
            </w:pPr>
            <w:r w:rsidRPr="005359C7">
              <w:rPr>
                <w:sz w:val="21"/>
                <w:szCs w:val="21"/>
                <w:lang w:val="fr-CA"/>
              </w:rPr>
              <w:t>0,</w:t>
            </w:r>
            <w:r w:rsidR="00CF1303" w:rsidRPr="005359C7">
              <w:rPr>
                <w:sz w:val="21"/>
                <w:szCs w:val="21"/>
                <w:lang w:val="fr-CA"/>
              </w:rPr>
              <w:t>00</w:t>
            </w:r>
          </w:p>
        </w:tc>
        <w:tc>
          <w:tcPr>
            <w:tcW w:w="641" w:type="pct"/>
            <w:shd w:val="clear" w:color="auto" w:fill="auto"/>
            <w:noWrap/>
            <w:tcMar>
              <w:left w:w="115" w:type="dxa"/>
              <w:right w:w="202" w:type="dxa"/>
            </w:tcMar>
            <w:vAlign w:val="center"/>
          </w:tcPr>
          <w:p w14:paraId="55A9EB0E" w14:textId="77777777" w:rsidR="00CF1303" w:rsidRPr="005359C7" w:rsidRDefault="006E3D1E" w:rsidP="006E3D1E">
            <w:pPr>
              <w:widowControl w:val="0"/>
              <w:jc w:val="right"/>
              <w:rPr>
                <w:b/>
                <w:sz w:val="21"/>
                <w:szCs w:val="21"/>
                <w:lang w:val="fr-CA"/>
              </w:rPr>
            </w:pPr>
            <w:r w:rsidRPr="005359C7">
              <w:rPr>
                <w:sz w:val="21"/>
                <w:szCs w:val="21"/>
                <w:lang w:val="fr-CA"/>
              </w:rPr>
              <w:t>0,</w:t>
            </w:r>
            <w:r w:rsidR="00CF1303" w:rsidRPr="005359C7">
              <w:rPr>
                <w:sz w:val="21"/>
                <w:szCs w:val="21"/>
                <w:lang w:val="fr-CA"/>
              </w:rPr>
              <w:t>04</w:t>
            </w:r>
          </w:p>
        </w:tc>
        <w:tc>
          <w:tcPr>
            <w:tcW w:w="641" w:type="pct"/>
            <w:tcMar>
              <w:left w:w="115" w:type="dxa"/>
              <w:right w:w="202" w:type="dxa"/>
            </w:tcMar>
            <w:vAlign w:val="center"/>
          </w:tcPr>
          <w:p w14:paraId="72AB530C" w14:textId="77777777" w:rsidR="00CF1303" w:rsidRPr="005359C7" w:rsidRDefault="006E3D1E" w:rsidP="006E3D1E">
            <w:pPr>
              <w:widowControl w:val="0"/>
              <w:jc w:val="right"/>
              <w:rPr>
                <w:b/>
                <w:sz w:val="21"/>
                <w:szCs w:val="21"/>
                <w:lang w:val="fr-CA"/>
              </w:rPr>
            </w:pPr>
            <w:r w:rsidRPr="005359C7">
              <w:rPr>
                <w:sz w:val="21"/>
                <w:szCs w:val="21"/>
                <w:lang w:val="fr-CA"/>
              </w:rPr>
              <w:t>0,</w:t>
            </w:r>
            <w:r w:rsidR="00CF1303" w:rsidRPr="005359C7">
              <w:rPr>
                <w:sz w:val="21"/>
                <w:szCs w:val="21"/>
                <w:lang w:val="fr-CA"/>
              </w:rPr>
              <w:t>00</w:t>
            </w:r>
          </w:p>
        </w:tc>
        <w:tc>
          <w:tcPr>
            <w:tcW w:w="641" w:type="pct"/>
            <w:tcMar>
              <w:left w:w="115" w:type="dxa"/>
              <w:right w:w="202" w:type="dxa"/>
            </w:tcMar>
          </w:tcPr>
          <w:p w14:paraId="319DE0D5" w14:textId="77777777" w:rsidR="00CF1303" w:rsidRPr="005359C7" w:rsidRDefault="006E3D1E" w:rsidP="006E3D1E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  <w:r w:rsidRPr="005359C7">
              <w:rPr>
                <w:sz w:val="21"/>
                <w:szCs w:val="21"/>
                <w:lang w:val="fr-CA"/>
              </w:rPr>
              <w:t>0,</w:t>
            </w:r>
            <w:r w:rsidR="00CF1303" w:rsidRPr="005359C7">
              <w:rPr>
                <w:sz w:val="21"/>
                <w:szCs w:val="21"/>
                <w:lang w:val="fr-CA"/>
              </w:rPr>
              <w:t>00</w:t>
            </w:r>
          </w:p>
        </w:tc>
        <w:tc>
          <w:tcPr>
            <w:tcW w:w="641" w:type="pct"/>
            <w:shd w:val="clear" w:color="auto" w:fill="auto"/>
            <w:noWrap/>
            <w:tcMar>
              <w:left w:w="115" w:type="dxa"/>
              <w:right w:w="202" w:type="dxa"/>
            </w:tcMar>
            <w:vAlign w:val="center"/>
          </w:tcPr>
          <w:p w14:paraId="10C70D65" w14:textId="77777777" w:rsidR="00CF1303" w:rsidRPr="005359C7" w:rsidRDefault="006E3D1E" w:rsidP="006E3D1E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  <w:r w:rsidRPr="005359C7">
              <w:rPr>
                <w:sz w:val="21"/>
                <w:szCs w:val="21"/>
                <w:lang w:val="fr-CA"/>
              </w:rPr>
              <w:t>0,</w:t>
            </w:r>
            <w:r w:rsidR="00CF1303" w:rsidRPr="005359C7">
              <w:rPr>
                <w:sz w:val="21"/>
                <w:szCs w:val="21"/>
                <w:lang w:val="fr-CA"/>
              </w:rPr>
              <w:t>00</w:t>
            </w:r>
          </w:p>
        </w:tc>
      </w:tr>
      <w:tr w:rsidR="00CF1303" w:rsidRPr="005359C7" w14:paraId="1475995C" w14:textId="77777777" w:rsidTr="006E3D1E">
        <w:tc>
          <w:tcPr>
            <w:tcW w:w="1153" w:type="pct"/>
            <w:shd w:val="clear" w:color="auto" w:fill="auto"/>
            <w:noWrap/>
            <w:tcMar>
              <w:left w:w="115" w:type="dxa"/>
              <w:right w:w="43" w:type="dxa"/>
            </w:tcMar>
            <w:hideMark/>
          </w:tcPr>
          <w:p w14:paraId="69FB949C" w14:textId="77777777" w:rsidR="00CF1303" w:rsidRPr="005359C7" w:rsidRDefault="00CF1303" w:rsidP="006E3D1E">
            <w:pPr>
              <w:jc w:val="left"/>
              <w:rPr>
                <w:sz w:val="21"/>
                <w:szCs w:val="21"/>
                <w:lang w:val="fr-CA"/>
              </w:rPr>
            </w:pPr>
            <w:r w:rsidRPr="005359C7">
              <w:rPr>
                <w:sz w:val="21"/>
                <w:szCs w:val="21"/>
                <w:lang w:val="fr-CA"/>
              </w:rPr>
              <w:t>HCFC-141b</w:t>
            </w:r>
          </w:p>
        </w:tc>
        <w:tc>
          <w:tcPr>
            <w:tcW w:w="641" w:type="pct"/>
            <w:shd w:val="clear" w:color="auto" w:fill="auto"/>
            <w:noWrap/>
            <w:tcMar>
              <w:left w:w="115" w:type="dxa"/>
              <w:right w:w="202" w:type="dxa"/>
            </w:tcMar>
          </w:tcPr>
          <w:p w14:paraId="73811536" w14:textId="77777777" w:rsidR="00CF1303" w:rsidRPr="005359C7" w:rsidRDefault="006E3D1E" w:rsidP="006E3D1E">
            <w:pPr>
              <w:widowControl w:val="0"/>
              <w:jc w:val="right"/>
              <w:rPr>
                <w:b/>
                <w:sz w:val="21"/>
                <w:szCs w:val="21"/>
                <w:lang w:val="fr-CA"/>
              </w:rPr>
            </w:pPr>
            <w:r w:rsidRPr="005359C7">
              <w:rPr>
                <w:sz w:val="21"/>
                <w:szCs w:val="21"/>
                <w:lang w:val="fr-CA"/>
              </w:rPr>
              <w:t>0,</w:t>
            </w:r>
            <w:r w:rsidR="00CF1303" w:rsidRPr="005359C7">
              <w:rPr>
                <w:sz w:val="21"/>
                <w:szCs w:val="21"/>
                <w:lang w:val="fr-CA"/>
              </w:rPr>
              <w:t>00</w:t>
            </w:r>
          </w:p>
        </w:tc>
        <w:tc>
          <w:tcPr>
            <w:tcW w:w="641" w:type="pct"/>
            <w:shd w:val="clear" w:color="auto" w:fill="auto"/>
            <w:noWrap/>
            <w:tcMar>
              <w:left w:w="115" w:type="dxa"/>
              <w:right w:w="202" w:type="dxa"/>
            </w:tcMar>
          </w:tcPr>
          <w:p w14:paraId="3A17B214" w14:textId="77777777" w:rsidR="00CF1303" w:rsidRPr="005359C7" w:rsidRDefault="006E3D1E" w:rsidP="006E3D1E">
            <w:pPr>
              <w:widowControl w:val="0"/>
              <w:jc w:val="right"/>
              <w:rPr>
                <w:b/>
                <w:sz w:val="21"/>
                <w:szCs w:val="21"/>
                <w:lang w:val="fr-CA"/>
              </w:rPr>
            </w:pPr>
            <w:r w:rsidRPr="005359C7">
              <w:rPr>
                <w:sz w:val="21"/>
                <w:szCs w:val="21"/>
                <w:lang w:val="fr-CA"/>
              </w:rPr>
              <w:t>0,</w:t>
            </w:r>
            <w:r w:rsidR="00CF1303" w:rsidRPr="005359C7">
              <w:rPr>
                <w:sz w:val="21"/>
                <w:szCs w:val="21"/>
                <w:lang w:val="fr-CA"/>
              </w:rPr>
              <w:t>00</w:t>
            </w:r>
          </w:p>
        </w:tc>
        <w:tc>
          <w:tcPr>
            <w:tcW w:w="641" w:type="pct"/>
            <w:shd w:val="clear" w:color="auto" w:fill="auto"/>
            <w:noWrap/>
            <w:tcMar>
              <w:left w:w="115" w:type="dxa"/>
              <w:right w:w="202" w:type="dxa"/>
            </w:tcMar>
          </w:tcPr>
          <w:p w14:paraId="3A176DAD" w14:textId="77777777" w:rsidR="00CF1303" w:rsidRPr="005359C7" w:rsidRDefault="006E3D1E" w:rsidP="006E3D1E">
            <w:pPr>
              <w:widowControl w:val="0"/>
              <w:jc w:val="right"/>
              <w:rPr>
                <w:b/>
                <w:sz w:val="21"/>
                <w:szCs w:val="21"/>
                <w:lang w:val="fr-CA"/>
              </w:rPr>
            </w:pPr>
            <w:r w:rsidRPr="005359C7">
              <w:rPr>
                <w:sz w:val="21"/>
                <w:szCs w:val="21"/>
                <w:lang w:val="fr-CA"/>
              </w:rPr>
              <w:t>0,</w:t>
            </w:r>
            <w:r w:rsidR="00CF1303" w:rsidRPr="005359C7">
              <w:rPr>
                <w:sz w:val="21"/>
                <w:szCs w:val="21"/>
                <w:lang w:val="fr-CA"/>
              </w:rPr>
              <w:t>00</w:t>
            </w:r>
          </w:p>
        </w:tc>
        <w:tc>
          <w:tcPr>
            <w:tcW w:w="641" w:type="pct"/>
            <w:tcMar>
              <w:left w:w="115" w:type="dxa"/>
              <w:right w:w="202" w:type="dxa"/>
            </w:tcMar>
          </w:tcPr>
          <w:p w14:paraId="2FD75978" w14:textId="77777777" w:rsidR="00CF1303" w:rsidRPr="005359C7" w:rsidRDefault="006E3D1E" w:rsidP="006E3D1E">
            <w:pPr>
              <w:widowControl w:val="0"/>
              <w:jc w:val="right"/>
              <w:rPr>
                <w:b/>
                <w:sz w:val="21"/>
                <w:szCs w:val="21"/>
                <w:lang w:val="fr-CA"/>
              </w:rPr>
            </w:pPr>
            <w:r w:rsidRPr="005359C7">
              <w:rPr>
                <w:sz w:val="21"/>
                <w:szCs w:val="21"/>
                <w:lang w:val="fr-CA"/>
              </w:rPr>
              <w:t>0,</w:t>
            </w:r>
            <w:r w:rsidR="00CF1303" w:rsidRPr="005359C7">
              <w:rPr>
                <w:sz w:val="21"/>
                <w:szCs w:val="21"/>
                <w:lang w:val="fr-CA"/>
              </w:rPr>
              <w:t>00</w:t>
            </w:r>
          </w:p>
        </w:tc>
        <w:tc>
          <w:tcPr>
            <w:tcW w:w="641" w:type="pct"/>
            <w:tcMar>
              <w:left w:w="115" w:type="dxa"/>
              <w:right w:w="202" w:type="dxa"/>
            </w:tcMar>
          </w:tcPr>
          <w:p w14:paraId="73901F57" w14:textId="77777777" w:rsidR="00CF1303" w:rsidRPr="005359C7" w:rsidRDefault="006E3D1E" w:rsidP="006E3D1E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  <w:r w:rsidRPr="005359C7">
              <w:rPr>
                <w:sz w:val="21"/>
                <w:szCs w:val="21"/>
                <w:lang w:val="fr-CA"/>
              </w:rPr>
              <w:t>0,</w:t>
            </w:r>
            <w:r w:rsidR="00CF1303" w:rsidRPr="005359C7">
              <w:rPr>
                <w:sz w:val="21"/>
                <w:szCs w:val="21"/>
                <w:lang w:val="fr-CA"/>
              </w:rPr>
              <w:t>00</w:t>
            </w:r>
          </w:p>
        </w:tc>
        <w:tc>
          <w:tcPr>
            <w:tcW w:w="641" w:type="pct"/>
            <w:shd w:val="clear" w:color="auto" w:fill="auto"/>
            <w:noWrap/>
            <w:tcMar>
              <w:left w:w="115" w:type="dxa"/>
              <w:right w:w="202" w:type="dxa"/>
            </w:tcMar>
            <w:vAlign w:val="center"/>
          </w:tcPr>
          <w:p w14:paraId="7B0F4922" w14:textId="77777777" w:rsidR="00CF1303" w:rsidRPr="005359C7" w:rsidRDefault="006E3D1E" w:rsidP="006E3D1E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  <w:r w:rsidRPr="005359C7">
              <w:rPr>
                <w:sz w:val="21"/>
                <w:szCs w:val="21"/>
                <w:lang w:val="fr-CA"/>
              </w:rPr>
              <w:t>1,</w:t>
            </w:r>
            <w:r w:rsidR="00CF1303" w:rsidRPr="005359C7">
              <w:rPr>
                <w:sz w:val="21"/>
                <w:szCs w:val="21"/>
                <w:lang w:val="fr-CA"/>
              </w:rPr>
              <w:t>90</w:t>
            </w:r>
          </w:p>
        </w:tc>
      </w:tr>
      <w:tr w:rsidR="00CF1303" w:rsidRPr="005359C7" w14:paraId="6C0843EF" w14:textId="77777777" w:rsidTr="006E3D1E">
        <w:tc>
          <w:tcPr>
            <w:tcW w:w="1153" w:type="pct"/>
            <w:shd w:val="clear" w:color="auto" w:fill="auto"/>
            <w:noWrap/>
            <w:tcMar>
              <w:left w:w="115" w:type="dxa"/>
              <w:right w:w="43" w:type="dxa"/>
            </w:tcMar>
            <w:hideMark/>
          </w:tcPr>
          <w:p w14:paraId="7E892992" w14:textId="77777777" w:rsidR="00CF1303" w:rsidRPr="005359C7" w:rsidRDefault="00CF1303" w:rsidP="006E3D1E">
            <w:pPr>
              <w:jc w:val="left"/>
              <w:rPr>
                <w:b/>
                <w:sz w:val="21"/>
                <w:szCs w:val="21"/>
                <w:lang w:val="fr-CA"/>
              </w:rPr>
            </w:pPr>
            <w:r w:rsidRPr="005359C7">
              <w:rPr>
                <w:b/>
                <w:sz w:val="21"/>
                <w:szCs w:val="21"/>
                <w:lang w:val="fr-CA"/>
              </w:rPr>
              <w:t xml:space="preserve">Total </w:t>
            </w:r>
            <w:r w:rsidR="006E3D1E" w:rsidRPr="005359C7">
              <w:rPr>
                <w:b/>
                <w:sz w:val="21"/>
                <w:szCs w:val="21"/>
                <w:lang w:val="fr-CA"/>
              </w:rPr>
              <w:t>(tonnes PAO</w:t>
            </w:r>
            <w:r w:rsidRPr="005359C7">
              <w:rPr>
                <w:b/>
                <w:sz w:val="21"/>
                <w:szCs w:val="21"/>
                <w:lang w:val="fr-CA"/>
              </w:rPr>
              <w:t>)</w:t>
            </w:r>
          </w:p>
        </w:tc>
        <w:tc>
          <w:tcPr>
            <w:tcW w:w="641" w:type="pct"/>
            <w:shd w:val="clear" w:color="auto" w:fill="auto"/>
            <w:noWrap/>
            <w:tcMar>
              <w:left w:w="115" w:type="dxa"/>
              <w:right w:w="202" w:type="dxa"/>
            </w:tcMar>
            <w:vAlign w:val="center"/>
          </w:tcPr>
          <w:p w14:paraId="6F0CCD5B" w14:textId="77777777" w:rsidR="00CF1303" w:rsidRPr="005359C7" w:rsidRDefault="00CF1303" w:rsidP="006E3D1E">
            <w:pPr>
              <w:widowControl w:val="0"/>
              <w:jc w:val="right"/>
              <w:rPr>
                <w:b/>
                <w:sz w:val="21"/>
                <w:szCs w:val="21"/>
                <w:lang w:val="fr-CA"/>
              </w:rPr>
            </w:pPr>
            <w:r w:rsidRPr="005359C7">
              <w:rPr>
                <w:b/>
                <w:sz w:val="21"/>
                <w:szCs w:val="21"/>
                <w:lang w:val="fr-CA"/>
              </w:rPr>
              <w:t>1</w:t>
            </w:r>
            <w:r w:rsidR="006E3D1E" w:rsidRPr="005359C7">
              <w:rPr>
                <w:b/>
                <w:sz w:val="21"/>
                <w:szCs w:val="21"/>
                <w:lang w:val="fr-CA"/>
              </w:rPr>
              <w:t>0,</w:t>
            </w:r>
            <w:r w:rsidRPr="005359C7">
              <w:rPr>
                <w:b/>
                <w:sz w:val="21"/>
                <w:szCs w:val="21"/>
                <w:lang w:val="fr-CA"/>
              </w:rPr>
              <w:t>31</w:t>
            </w:r>
          </w:p>
        </w:tc>
        <w:tc>
          <w:tcPr>
            <w:tcW w:w="641" w:type="pct"/>
            <w:shd w:val="clear" w:color="auto" w:fill="auto"/>
            <w:noWrap/>
            <w:tcMar>
              <w:left w:w="115" w:type="dxa"/>
              <w:right w:w="202" w:type="dxa"/>
            </w:tcMar>
            <w:vAlign w:val="center"/>
          </w:tcPr>
          <w:p w14:paraId="592F1E0F" w14:textId="77777777" w:rsidR="00CF1303" w:rsidRPr="005359C7" w:rsidRDefault="00CF1303" w:rsidP="006E3D1E">
            <w:pPr>
              <w:widowControl w:val="0"/>
              <w:jc w:val="right"/>
              <w:rPr>
                <w:b/>
                <w:sz w:val="21"/>
                <w:szCs w:val="21"/>
                <w:lang w:val="fr-CA"/>
              </w:rPr>
            </w:pPr>
            <w:r w:rsidRPr="005359C7">
              <w:rPr>
                <w:b/>
                <w:sz w:val="21"/>
                <w:szCs w:val="21"/>
                <w:lang w:val="fr-CA"/>
              </w:rPr>
              <w:t>1</w:t>
            </w:r>
            <w:r w:rsidR="006E3D1E" w:rsidRPr="005359C7">
              <w:rPr>
                <w:b/>
                <w:sz w:val="21"/>
                <w:szCs w:val="21"/>
                <w:lang w:val="fr-CA"/>
              </w:rPr>
              <w:t>0,</w:t>
            </w:r>
            <w:r w:rsidRPr="005359C7">
              <w:rPr>
                <w:b/>
                <w:sz w:val="21"/>
                <w:szCs w:val="21"/>
                <w:lang w:val="fr-CA"/>
              </w:rPr>
              <w:t>54</w:t>
            </w:r>
          </w:p>
        </w:tc>
        <w:tc>
          <w:tcPr>
            <w:tcW w:w="641" w:type="pct"/>
            <w:shd w:val="clear" w:color="auto" w:fill="auto"/>
            <w:noWrap/>
            <w:tcMar>
              <w:left w:w="115" w:type="dxa"/>
              <w:right w:w="202" w:type="dxa"/>
            </w:tcMar>
            <w:vAlign w:val="center"/>
          </w:tcPr>
          <w:p w14:paraId="7FA104FB" w14:textId="77777777" w:rsidR="00CF1303" w:rsidRPr="005359C7" w:rsidRDefault="006E3D1E" w:rsidP="006E3D1E">
            <w:pPr>
              <w:widowControl w:val="0"/>
              <w:jc w:val="right"/>
              <w:rPr>
                <w:b/>
                <w:sz w:val="21"/>
                <w:szCs w:val="21"/>
                <w:lang w:val="fr-CA"/>
              </w:rPr>
            </w:pPr>
            <w:r w:rsidRPr="005359C7">
              <w:rPr>
                <w:b/>
                <w:sz w:val="21"/>
                <w:szCs w:val="21"/>
                <w:lang w:val="fr-CA"/>
              </w:rPr>
              <w:t>9,</w:t>
            </w:r>
            <w:r w:rsidR="00CF1303" w:rsidRPr="005359C7">
              <w:rPr>
                <w:b/>
                <w:sz w:val="21"/>
                <w:szCs w:val="21"/>
                <w:lang w:val="fr-CA"/>
              </w:rPr>
              <w:t>11</w:t>
            </w:r>
          </w:p>
        </w:tc>
        <w:tc>
          <w:tcPr>
            <w:tcW w:w="641" w:type="pct"/>
            <w:tcMar>
              <w:left w:w="115" w:type="dxa"/>
              <w:right w:w="202" w:type="dxa"/>
            </w:tcMar>
            <w:vAlign w:val="center"/>
          </w:tcPr>
          <w:p w14:paraId="5F4901B9" w14:textId="77777777" w:rsidR="00CF1303" w:rsidRPr="005359C7" w:rsidRDefault="00CF1303" w:rsidP="006E3D1E">
            <w:pPr>
              <w:widowControl w:val="0"/>
              <w:jc w:val="right"/>
              <w:rPr>
                <w:b/>
                <w:sz w:val="21"/>
                <w:szCs w:val="21"/>
                <w:lang w:val="fr-CA"/>
              </w:rPr>
            </w:pPr>
            <w:r w:rsidRPr="005359C7">
              <w:rPr>
                <w:b/>
                <w:sz w:val="21"/>
                <w:szCs w:val="21"/>
                <w:lang w:val="fr-CA"/>
              </w:rPr>
              <w:t>1</w:t>
            </w:r>
            <w:r w:rsidR="006E3D1E" w:rsidRPr="005359C7">
              <w:rPr>
                <w:b/>
                <w:sz w:val="21"/>
                <w:szCs w:val="21"/>
                <w:lang w:val="fr-CA"/>
              </w:rPr>
              <w:t>0,</w:t>
            </w:r>
            <w:r w:rsidRPr="005359C7">
              <w:rPr>
                <w:b/>
                <w:sz w:val="21"/>
                <w:szCs w:val="21"/>
                <w:lang w:val="fr-CA"/>
              </w:rPr>
              <w:t>31</w:t>
            </w:r>
          </w:p>
        </w:tc>
        <w:tc>
          <w:tcPr>
            <w:tcW w:w="641" w:type="pct"/>
            <w:tcMar>
              <w:left w:w="115" w:type="dxa"/>
              <w:right w:w="202" w:type="dxa"/>
            </w:tcMar>
          </w:tcPr>
          <w:p w14:paraId="0ED40FD2" w14:textId="77777777" w:rsidR="00CF1303" w:rsidRPr="005359C7" w:rsidRDefault="00CF1303" w:rsidP="006E3D1E">
            <w:pPr>
              <w:widowControl w:val="0"/>
              <w:jc w:val="right"/>
              <w:rPr>
                <w:b/>
                <w:sz w:val="21"/>
                <w:szCs w:val="21"/>
                <w:lang w:val="fr-CA"/>
              </w:rPr>
            </w:pPr>
            <w:r w:rsidRPr="005359C7">
              <w:rPr>
                <w:b/>
                <w:sz w:val="21"/>
                <w:szCs w:val="21"/>
                <w:lang w:val="fr-CA"/>
              </w:rPr>
              <w:t>1</w:t>
            </w:r>
            <w:r w:rsidR="006E3D1E" w:rsidRPr="005359C7">
              <w:rPr>
                <w:b/>
                <w:sz w:val="21"/>
                <w:szCs w:val="21"/>
                <w:lang w:val="fr-CA"/>
              </w:rPr>
              <w:t>0,</w:t>
            </w:r>
            <w:r w:rsidRPr="005359C7">
              <w:rPr>
                <w:b/>
                <w:sz w:val="21"/>
                <w:szCs w:val="21"/>
                <w:lang w:val="fr-CA"/>
              </w:rPr>
              <w:t>00</w:t>
            </w:r>
          </w:p>
        </w:tc>
        <w:tc>
          <w:tcPr>
            <w:tcW w:w="641" w:type="pct"/>
            <w:shd w:val="clear" w:color="auto" w:fill="auto"/>
            <w:noWrap/>
            <w:tcMar>
              <w:left w:w="115" w:type="dxa"/>
              <w:right w:w="202" w:type="dxa"/>
            </w:tcMar>
            <w:vAlign w:val="center"/>
          </w:tcPr>
          <w:p w14:paraId="786F9732" w14:textId="77777777" w:rsidR="00CF1303" w:rsidRPr="005359C7" w:rsidRDefault="00CF1303" w:rsidP="006E3D1E">
            <w:pPr>
              <w:widowControl w:val="0"/>
              <w:jc w:val="right"/>
              <w:rPr>
                <w:b/>
                <w:sz w:val="21"/>
                <w:szCs w:val="21"/>
                <w:lang w:val="fr-CA"/>
              </w:rPr>
            </w:pPr>
            <w:r w:rsidRPr="005359C7">
              <w:rPr>
                <w:b/>
                <w:sz w:val="21"/>
                <w:szCs w:val="21"/>
                <w:lang w:val="fr-CA"/>
              </w:rPr>
              <w:t>1</w:t>
            </w:r>
            <w:r w:rsidR="006E3D1E" w:rsidRPr="005359C7">
              <w:rPr>
                <w:b/>
                <w:sz w:val="21"/>
                <w:szCs w:val="21"/>
                <w:lang w:val="fr-CA"/>
              </w:rPr>
              <w:t>3,</w:t>
            </w:r>
            <w:r w:rsidRPr="005359C7">
              <w:rPr>
                <w:b/>
                <w:sz w:val="21"/>
                <w:szCs w:val="21"/>
                <w:lang w:val="fr-CA"/>
              </w:rPr>
              <w:t>90</w:t>
            </w:r>
          </w:p>
        </w:tc>
      </w:tr>
    </w:tbl>
    <w:p w14:paraId="142321E3" w14:textId="77777777" w:rsidR="00CF1303" w:rsidRPr="005359C7" w:rsidRDefault="00CF1303" w:rsidP="00CF1303">
      <w:pPr>
        <w:spacing w:after="240"/>
        <w:rPr>
          <w:sz w:val="20"/>
          <w:szCs w:val="20"/>
          <w:lang w:val="fr-CA"/>
        </w:rPr>
      </w:pPr>
      <w:r w:rsidRPr="005359C7">
        <w:rPr>
          <w:sz w:val="20"/>
          <w:szCs w:val="20"/>
          <w:lang w:val="fr-CA"/>
        </w:rPr>
        <w:t>* Estimat</w:t>
      </w:r>
      <w:r w:rsidR="00564122" w:rsidRPr="005359C7">
        <w:rPr>
          <w:sz w:val="20"/>
          <w:szCs w:val="20"/>
          <w:lang w:val="fr-CA"/>
        </w:rPr>
        <w:t xml:space="preserve">ion fournie par le </w:t>
      </w:r>
      <w:r w:rsidR="006E3D1E" w:rsidRPr="005359C7">
        <w:rPr>
          <w:sz w:val="20"/>
          <w:szCs w:val="20"/>
          <w:lang w:val="fr-CA"/>
        </w:rPr>
        <w:t>PNUD</w:t>
      </w:r>
      <w:r w:rsidRPr="005359C7">
        <w:rPr>
          <w:sz w:val="20"/>
          <w:szCs w:val="20"/>
          <w:lang w:val="fr-CA"/>
        </w:rPr>
        <w:t>.</w:t>
      </w:r>
    </w:p>
    <w:p w14:paraId="22D7B0E6" w14:textId="77777777" w:rsidR="00CF1303" w:rsidRPr="005359C7" w:rsidRDefault="00564122" w:rsidP="00CF1303">
      <w:pPr>
        <w:pStyle w:val="Heading1"/>
        <w:rPr>
          <w:i/>
          <w:lang w:val="fr-CA"/>
        </w:rPr>
      </w:pPr>
      <w:r w:rsidRPr="005359C7">
        <w:rPr>
          <w:lang w:val="fr-CA"/>
        </w:rPr>
        <w:t>Depuis 2</w:t>
      </w:r>
      <w:r w:rsidR="00CF1303" w:rsidRPr="005359C7">
        <w:rPr>
          <w:lang w:val="fr-CA"/>
        </w:rPr>
        <w:t>01</w:t>
      </w:r>
      <w:r w:rsidR="006E3D1E" w:rsidRPr="005359C7">
        <w:rPr>
          <w:lang w:val="fr-CA"/>
        </w:rPr>
        <w:t>5</w:t>
      </w:r>
      <w:r w:rsidRPr="005359C7">
        <w:rPr>
          <w:lang w:val="fr-CA"/>
        </w:rPr>
        <w:t xml:space="preserve">, la </w:t>
      </w:r>
      <w:r w:rsidR="004D7396" w:rsidRPr="005359C7">
        <w:rPr>
          <w:lang w:val="fr-CA"/>
        </w:rPr>
        <w:t>consommation</w:t>
      </w:r>
      <w:r w:rsidRPr="005359C7">
        <w:rPr>
          <w:lang w:val="fr-CA"/>
        </w:rPr>
        <w:t xml:space="preserve"> globale de HCFC a </w:t>
      </w:r>
      <w:r w:rsidR="004D7396" w:rsidRPr="005359C7">
        <w:rPr>
          <w:lang w:val="fr-CA"/>
        </w:rPr>
        <w:t>été</w:t>
      </w:r>
      <w:r w:rsidRPr="005359C7">
        <w:rPr>
          <w:lang w:val="fr-CA"/>
        </w:rPr>
        <w:t xml:space="preserve"> inférieure à la  consommation maximale admissible de</w:t>
      </w:r>
      <w:r w:rsidR="00CF1303" w:rsidRPr="005359C7">
        <w:rPr>
          <w:lang w:val="fr-CA"/>
        </w:rPr>
        <w:t xml:space="preserve"> 1</w:t>
      </w:r>
      <w:r w:rsidR="006E3D1E" w:rsidRPr="005359C7">
        <w:rPr>
          <w:lang w:val="fr-CA"/>
        </w:rPr>
        <w:t>2,</w:t>
      </w:r>
      <w:r w:rsidR="00CF1303" w:rsidRPr="005359C7">
        <w:rPr>
          <w:lang w:val="fr-CA"/>
        </w:rPr>
        <w:t>5</w:t>
      </w:r>
      <w:r w:rsidRPr="005359C7">
        <w:rPr>
          <w:lang w:val="fr-CA"/>
        </w:rPr>
        <w:t xml:space="preserve"> tonnes PAO</w:t>
      </w:r>
      <w:r w:rsidR="00CF1303" w:rsidRPr="005359C7">
        <w:rPr>
          <w:lang w:val="fr-CA"/>
        </w:rPr>
        <w:t xml:space="preserve"> </w:t>
      </w:r>
      <w:r w:rsidRPr="005359C7">
        <w:rPr>
          <w:lang w:val="fr-CA"/>
        </w:rPr>
        <w:t xml:space="preserve">en vertu du </w:t>
      </w:r>
      <w:r w:rsidR="007C0721" w:rsidRPr="005359C7">
        <w:rPr>
          <w:lang w:val="fr-CA"/>
        </w:rPr>
        <w:t>Protocole de Montréal</w:t>
      </w:r>
      <w:r w:rsidR="006E3D1E" w:rsidRPr="005359C7">
        <w:rPr>
          <w:lang w:val="fr-CA"/>
        </w:rPr>
        <w:t xml:space="preserve"> et </w:t>
      </w:r>
      <w:r w:rsidRPr="005359C7">
        <w:rPr>
          <w:lang w:val="fr-CA"/>
        </w:rPr>
        <w:t xml:space="preserve">de l’accord entre </w:t>
      </w:r>
      <w:r w:rsidR="00EC17BA" w:rsidRPr="005359C7">
        <w:rPr>
          <w:lang w:val="fr-CA"/>
        </w:rPr>
        <w:t>le gouvernement</w:t>
      </w:r>
      <w:r w:rsidR="00D64484">
        <w:rPr>
          <w:lang w:val="fr-CA"/>
        </w:rPr>
        <w:t xml:space="preserve"> </w:t>
      </w:r>
      <w:r w:rsidR="006E3D1E" w:rsidRPr="005359C7">
        <w:rPr>
          <w:lang w:val="fr-CA"/>
        </w:rPr>
        <w:t>et</w:t>
      </w:r>
      <w:r w:rsidR="00D64484">
        <w:rPr>
          <w:lang w:val="fr-CA"/>
        </w:rPr>
        <w:t xml:space="preserve"> </w:t>
      </w:r>
      <w:r w:rsidRPr="005359C7">
        <w:rPr>
          <w:lang w:val="fr-CA"/>
        </w:rPr>
        <w:t>le Comité exécutif</w:t>
      </w:r>
      <w:r w:rsidR="00CF1303" w:rsidRPr="005359C7">
        <w:rPr>
          <w:lang w:val="fr-CA"/>
        </w:rPr>
        <w:t xml:space="preserve">, </w:t>
      </w:r>
      <w:r w:rsidRPr="005359C7">
        <w:rPr>
          <w:lang w:val="fr-CA"/>
        </w:rPr>
        <w:t>en raison de</w:t>
      </w:r>
      <w:r w:rsidR="00CF1303" w:rsidRPr="005359C7">
        <w:rPr>
          <w:lang w:val="fr-CA"/>
        </w:rPr>
        <w:t xml:space="preserve"> </w:t>
      </w:r>
      <w:r w:rsidRPr="005359C7">
        <w:rPr>
          <w:lang w:val="fr-CA"/>
        </w:rPr>
        <w:t xml:space="preserve">la mise en </w:t>
      </w:r>
      <w:proofErr w:type="spellStart"/>
      <w:r w:rsidRPr="005359C7">
        <w:rPr>
          <w:lang w:val="fr-CA"/>
        </w:rPr>
        <w:t>oeuvre</w:t>
      </w:r>
      <w:proofErr w:type="spellEnd"/>
      <w:r w:rsidR="00CF1303" w:rsidRPr="005359C7">
        <w:rPr>
          <w:lang w:val="fr-CA"/>
        </w:rPr>
        <w:t xml:space="preserve"> </w:t>
      </w:r>
      <w:r w:rsidRPr="005359C7">
        <w:rPr>
          <w:lang w:val="fr-CA"/>
        </w:rPr>
        <w:t>des activités du PGEH, notamment la mise à exécution du système d’autorisation et de contingentement</w:t>
      </w:r>
      <w:r w:rsidR="00CF1303" w:rsidRPr="005359C7">
        <w:rPr>
          <w:rFonts w:eastAsia="SimSun"/>
          <w:lang w:val="fr-CA"/>
        </w:rPr>
        <w:t xml:space="preserve">, </w:t>
      </w:r>
      <w:r w:rsidRPr="005359C7">
        <w:rPr>
          <w:rFonts w:eastAsia="SimSun"/>
          <w:lang w:val="fr-CA"/>
        </w:rPr>
        <w:t>l’assistance technique</w:t>
      </w:r>
      <w:r w:rsidR="00CF1303" w:rsidRPr="005359C7">
        <w:rPr>
          <w:rFonts w:eastAsia="SimSun"/>
          <w:lang w:val="fr-CA"/>
        </w:rPr>
        <w:t xml:space="preserve"> </w:t>
      </w:r>
      <w:r w:rsidRPr="005359C7">
        <w:rPr>
          <w:rFonts w:eastAsia="SimSun"/>
          <w:lang w:val="fr-CA"/>
        </w:rPr>
        <w:t>dans le</w:t>
      </w:r>
      <w:r w:rsidR="00CF1303" w:rsidRPr="005359C7">
        <w:rPr>
          <w:rFonts w:eastAsia="SimSun"/>
          <w:lang w:val="fr-CA"/>
        </w:rPr>
        <w:t xml:space="preserve"> </w:t>
      </w:r>
      <w:r w:rsidRPr="005359C7">
        <w:rPr>
          <w:rFonts w:eastAsia="SimSun"/>
          <w:lang w:val="fr-CA"/>
        </w:rPr>
        <w:t>secteur de l’assemblage</w:t>
      </w:r>
      <w:r w:rsidR="00CF1303" w:rsidRPr="005359C7">
        <w:rPr>
          <w:rFonts w:eastAsia="SimSun"/>
          <w:lang w:val="fr-CA"/>
        </w:rPr>
        <w:t xml:space="preserve">, </w:t>
      </w:r>
      <w:r w:rsidRPr="005359C7">
        <w:rPr>
          <w:rFonts w:eastAsia="SimSun"/>
          <w:lang w:val="fr-CA"/>
        </w:rPr>
        <w:t>la formation de techniciens et d’agents des douanes</w:t>
      </w:r>
      <w:r w:rsidR="00CF1303" w:rsidRPr="005359C7">
        <w:rPr>
          <w:rFonts w:eastAsia="SimSun"/>
          <w:lang w:val="fr-CA"/>
        </w:rPr>
        <w:t>,</w:t>
      </w:r>
      <w:r w:rsidR="006E3D1E" w:rsidRPr="005359C7">
        <w:rPr>
          <w:rFonts w:eastAsia="SimSun"/>
          <w:lang w:val="fr-CA"/>
        </w:rPr>
        <w:t xml:space="preserve"> et </w:t>
      </w:r>
      <w:r w:rsidRPr="005359C7">
        <w:rPr>
          <w:rFonts w:eastAsia="SimSun"/>
          <w:lang w:val="fr-CA"/>
        </w:rPr>
        <w:t>la sensibilisation du public</w:t>
      </w:r>
      <w:r w:rsidR="00CF1303" w:rsidRPr="005359C7">
        <w:rPr>
          <w:rFonts w:eastAsia="SimSun"/>
          <w:lang w:val="fr-CA"/>
        </w:rPr>
        <w:t xml:space="preserve"> </w:t>
      </w:r>
      <w:r w:rsidRPr="005359C7">
        <w:rPr>
          <w:rFonts w:eastAsia="SimSun"/>
          <w:lang w:val="fr-CA"/>
        </w:rPr>
        <w:t>en ce qui a trait au</w:t>
      </w:r>
      <w:r w:rsidR="00D64484">
        <w:rPr>
          <w:rFonts w:eastAsia="SimSun"/>
          <w:lang w:val="fr-CA"/>
        </w:rPr>
        <w:t> </w:t>
      </w:r>
      <w:r w:rsidRPr="005359C7">
        <w:rPr>
          <w:rFonts w:eastAsia="SimSun"/>
          <w:lang w:val="fr-CA"/>
        </w:rPr>
        <w:t>secteur de l’entretien des appareils de réfrigération et de climatisation résidentiels (RAC)</w:t>
      </w:r>
      <w:r w:rsidR="00CF1303" w:rsidRPr="005359C7">
        <w:rPr>
          <w:lang w:val="fr-CA"/>
        </w:rPr>
        <w:t xml:space="preserve">. </w:t>
      </w:r>
      <w:r w:rsidRPr="005359C7">
        <w:rPr>
          <w:lang w:val="fr-CA"/>
        </w:rPr>
        <w:t xml:space="preserve">La réduction de la </w:t>
      </w:r>
      <w:r w:rsidR="00891E3C" w:rsidRPr="005359C7">
        <w:rPr>
          <w:lang w:val="fr-CA"/>
        </w:rPr>
        <w:t>consommation</w:t>
      </w:r>
      <w:r w:rsidR="00CF1303" w:rsidRPr="005359C7">
        <w:rPr>
          <w:lang w:val="fr-CA"/>
        </w:rPr>
        <w:t xml:space="preserve"> </w:t>
      </w:r>
      <w:r w:rsidRPr="005359C7">
        <w:rPr>
          <w:lang w:val="fr-CA"/>
        </w:rPr>
        <w:t>est aussi attribuable à l’</w:t>
      </w:r>
      <w:r w:rsidR="00CF1303" w:rsidRPr="005359C7">
        <w:rPr>
          <w:lang w:val="fr-CA"/>
        </w:rPr>
        <w:t xml:space="preserve">introduction </w:t>
      </w:r>
      <w:r w:rsidRPr="005359C7">
        <w:rPr>
          <w:lang w:val="fr-CA"/>
        </w:rPr>
        <w:t xml:space="preserve">d’équipements RAC sans </w:t>
      </w:r>
      <w:r w:rsidR="00CF1303" w:rsidRPr="005359C7">
        <w:rPr>
          <w:lang w:val="fr-CA"/>
        </w:rPr>
        <w:t xml:space="preserve">HCFC-22. </w:t>
      </w:r>
    </w:p>
    <w:p w14:paraId="47AA1A35" w14:textId="77777777" w:rsidR="00CF1303" w:rsidRPr="005359C7" w:rsidRDefault="00B62AAB" w:rsidP="00CF1303">
      <w:pPr>
        <w:pStyle w:val="Heading1"/>
        <w:numPr>
          <w:ilvl w:val="0"/>
          <w:numId w:val="0"/>
        </w:numPr>
        <w:spacing w:after="120"/>
        <w:rPr>
          <w:lang w:val="fr-CA"/>
        </w:rPr>
      </w:pPr>
      <w:r w:rsidRPr="005359C7">
        <w:rPr>
          <w:i/>
          <w:lang w:val="fr-CA"/>
        </w:rPr>
        <w:t xml:space="preserve">Rapport de mise en </w:t>
      </w:r>
      <w:proofErr w:type="spellStart"/>
      <w:r w:rsidRPr="005359C7">
        <w:rPr>
          <w:i/>
          <w:lang w:val="fr-CA"/>
        </w:rPr>
        <w:t>oeuvre</w:t>
      </w:r>
      <w:proofErr w:type="spellEnd"/>
      <w:r w:rsidRPr="005359C7">
        <w:rPr>
          <w:i/>
          <w:lang w:val="fr-CA"/>
        </w:rPr>
        <w:t xml:space="preserve"> du programme de pays</w:t>
      </w:r>
      <w:r w:rsidRPr="005359C7">
        <w:rPr>
          <w:lang w:val="fr-CA"/>
        </w:rPr>
        <w:t xml:space="preserve"> </w:t>
      </w:r>
    </w:p>
    <w:p w14:paraId="63BC3500" w14:textId="77777777" w:rsidR="00CF1303" w:rsidRPr="005359C7" w:rsidRDefault="00EC17BA" w:rsidP="00CF1303">
      <w:pPr>
        <w:pStyle w:val="Heading1"/>
        <w:rPr>
          <w:lang w:val="fr-CA"/>
        </w:rPr>
      </w:pPr>
      <w:r w:rsidRPr="005359C7">
        <w:rPr>
          <w:lang w:val="fr-CA"/>
        </w:rPr>
        <w:t>Le gouvernement</w:t>
      </w:r>
      <w:r w:rsidR="00CF1303" w:rsidRPr="005359C7">
        <w:rPr>
          <w:lang w:val="fr-CA"/>
        </w:rPr>
        <w:t xml:space="preserve"> </w:t>
      </w:r>
      <w:r w:rsidRPr="005359C7">
        <w:rPr>
          <w:lang w:val="fr-CA"/>
        </w:rPr>
        <w:t>du Sri Lanka</w:t>
      </w:r>
      <w:r w:rsidR="00CF1303" w:rsidRPr="005359C7">
        <w:rPr>
          <w:lang w:val="fr-CA"/>
        </w:rPr>
        <w:t xml:space="preserve"> </w:t>
      </w:r>
      <w:r w:rsidR="006F56B3" w:rsidRPr="005359C7">
        <w:rPr>
          <w:lang w:val="fr-CA"/>
        </w:rPr>
        <w:t xml:space="preserve">a déclaré, dans son rapport de mise en </w:t>
      </w:r>
      <w:proofErr w:type="spellStart"/>
      <w:r w:rsidR="006F56B3" w:rsidRPr="005359C7">
        <w:rPr>
          <w:lang w:val="fr-CA"/>
        </w:rPr>
        <w:t>oeuvre</w:t>
      </w:r>
      <w:proofErr w:type="spellEnd"/>
      <w:r w:rsidR="006F56B3" w:rsidRPr="005359C7">
        <w:rPr>
          <w:lang w:val="fr-CA"/>
        </w:rPr>
        <w:t xml:space="preserve"> du programme de</w:t>
      </w:r>
      <w:r w:rsidR="00D64484">
        <w:rPr>
          <w:lang w:val="fr-CA"/>
        </w:rPr>
        <w:t> </w:t>
      </w:r>
      <w:r w:rsidR="006F56B3" w:rsidRPr="005359C7">
        <w:rPr>
          <w:lang w:val="fr-CA"/>
        </w:rPr>
        <w:t>pays 2018, des données de consommation de HCFC sectorielles qui sont conformes aux données communiquées au titre de l’article 7 du Protocole de Montréal</w:t>
      </w:r>
      <w:r w:rsidR="007F1E2D" w:rsidRPr="005359C7">
        <w:rPr>
          <w:lang w:val="fr-CA"/>
        </w:rPr>
        <w:t>. Le</w:t>
      </w:r>
      <w:r w:rsidR="006F56B3" w:rsidRPr="005359C7">
        <w:rPr>
          <w:lang w:val="fr-CA"/>
        </w:rPr>
        <w:t xml:space="preserve"> rapport de mise en </w:t>
      </w:r>
      <w:proofErr w:type="spellStart"/>
      <w:r w:rsidR="006F56B3" w:rsidRPr="005359C7">
        <w:rPr>
          <w:lang w:val="fr-CA"/>
        </w:rPr>
        <w:t>oeuvre</w:t>
      </w:r>
      <w:proofErr w:type="spellEnd"/>
      <w:r w:rsidR="006F56B3" w:rsidRPr="005359C7">
        <w:rPr>
          <w:lang w:val="fr-CA"/>
        </w:rPr>
        <w:t xml:space="preserve"> du programme de pays de </w:t>
      </w:r>
      <w:r w:rsidR="00CF1303" w:rsidRPr="005359C7">
        <w:rPr>
          <w:lang w:val="fr-CA"/>
        </w:rPr>
        <w:t xml:space="preserve">2019 </w:t>
      </w:r>
      <w:r w:rsidR="006F56B3" w:rsidRPr="005359C7">
        <w:rPr>
          <w:lang w:val="fr-CA"/>
        </w:rPr>
        <w:t>sera présenté d’ici le 1</w:t>
      </w:r>
      <w:r w:rsidR="006F56B3" w:rsidRPr="005359C7">
        <w:rPr>
          <w:vertAlign w:val="superscript"/>
          <w:lang w:val="fr-CA"/>
        </w:rPr>
        <w:t>er</w:t>
      </w:r>
      <w:r w:rsidR="006F56B3" w:rsidRPr="005359C7">
        <w:rPr>
          <w:lang w:val="fr-CA"/>
        </w:rPr>
        <w:t xml:space="preserve"> mai </w:t>
      </w:r>
      <w:r w:rsidR="00CF1303" w:rsidRPr="005359C7">
        <w:rPr>
          <w:lang w:val="fr-CA"/>
        </w:rPr>
        <w:t>202</w:t>
      </w:r>
      <w:r w:rsidR="006E3D1E" w:rsidRPr="005359C7">
        <w:rPr>
          <w:lang w:val="fr-CA"/>
        </w:rPr>
        <w:t>0</w:t>
      </w:r>
      <w:r w:rsidR="006F56B3" w:rsidRPr="005359C7">
        <w:rPr>
          <w:lang w:val="fr-CA"/>
        </w:rPr>
        <w:t>.</w:t>
      </w:r>
      <w:r w:rsidR="00CF1303" w:rsidRPr="005359C7">
        <w:rPr>
          <w:lang w:val="fr-CA"/>
        </w:rPr>
        <w:t xml:space="preserve"> </w:t>
      </w:r>
    </w:p>
    <w:p w14:paraId="464A215C" w14:textId="77777777" w:rsidR="00CF1303" w:rsidRPr="005359C7" w:rsidRDefault="00841F84" w:rsidP="00CF1303">
      <w:pPr>
        <w:spacing w:after="120"/>
        <w:rPr>
          <w:lang w:val="fr-CA"/>
        </w:rPr>
      </w:pPr>
      <w:r w:rsidRPr="005359C7">
        <w:rPr>
          <w:i/>
          <w:lang w:val="fr-CA"/>
        </w:rPr>
        <w:t>Rapport de vé</w:t>
      </w:r>
      <w:r w:rsidR="00CF1303" w:rsidRPr="005359C7">
        <w:rPr>
          <w:i/>
          <w:lang w:val="fr-CA"/>
        </w:rPr>
        <w:t xml:space="preserve">rification </w:t>
      </w:r>
    </w:p>
    <w:p w14:paraId="24EE9087" w14:textId="77777777" w:rsidR="00CF1303" w:rsidRPr="005359C7" w:rsidRDefault="00D64484" w:rsidP="00CF1303">
      <w:pPr>
        <w:pStyle w:val="Heading1"/>
        <w:rPr>
          <w:lang w:val="fr-CA"/>
        </w:rPr>
      </w:pPr>
      <w:r>
        <w:rPr>
          <w:lang w:val="fr-CA"/>
        </w:rPr>
        <w:t xml:space="preserve">On était à vérifier </w:t>
      </w:r>
      <w:r w:rsidR="006F56B3" w:rsidRPr="005359C7">
        <w:rPr>
          <w:lang w:val="fr-CA"/>
        </w:rPr>
        <w:t>la consommation de HCF</w:t>
      </w:r>
      <w:r w:rsidR="007F1E2D" w:rsidRPr="005359C7">
        <w:rPr>
          <w:lang w:val="fr-CA"/>
        </w:rPr>
        <w:t>C</w:t>
      </w:r>
      <w:r w:rsidR="006F56B3" w:rsidRPr="005359C7">
        <w:rPr>
          <w:lang w:val="fr-CA"/>
        </w:rPr>
        <w:t xml:space="preserve"> </w:t>
      </w:r>
      <w:r w:rsidR="007F1E2D" w:rsidRPr="005359C7">
        <w:rPr>
          <w:lang w:val="fr-CA"/>
        </w:rPr>
        <w:t xml:space="preserve">de 2016 à 2019 avant sa présentation à la quatrième tranche de financement du PGEH. Toutefois, en raison des imprévus associés à la pandémie du </w:t>
      </w:r>
      <w:r w:rsidR="00CF1303" w:rsidRPr="005359C7">
        <w:rPr>
          <w:lang w:val="fr-CA"/>
        </w:rPr>
        <w:t>COVID</w:t>
      </w:r>
      <w:r>
        <w:rPr>
          <w:lang w:val="fr-CA"/>
        </w:rPr>
        <w:noBreakHyphen/>
      </w:r>
      <w:r w:rsidR="00CF1303" w:rsidRPr="005359C7">
        <w:rPr>
          <w:lang w:val="fr-CA"/>
        </w:rPr>
        <w:t xml:space="preserve">19, </w:t>
      </w:r>
      <w:r w:rsidR="007F1E2D" w:rsidRPr="005359C7">
        <w:rPr>
          <w:lang w:val="fr-CA"/>
        </w:rPr>
        <w:t>le rapport n’avait pas encore été présenté lors de l’émission du présent document. Le</w:t>
      </w:r>
      <w:r w:rsidR="006E3D1E" w:rsidRPr="005359C7">
        <w:rPr>
          <w:lang w:val="fr-CA"/>
        </w:rPr>
        <w:t xml:space="preserve"> PNUD</w:t>
      </w:r>
      <w:r w:rsidR="00CF1303" w:rsidRPr="005359C7">
        <w:rPr>
          <w:lang w:val="fr-CA"/>
        </w:rPr>
        <w:t xml:space="preserve"> </w:t>
      </w:r>
      <w:r w:rsidR="007F1E2D" w:rsidRPr="005359C7">
        <w:rPr>
          <w:lang w:val="fr-CA"/>
        </w:rPr>
        <w:t xml:space="preserve">prévoit que le rapport de vérification sera présenté d’ici la fin de juillet </w:t>
      </w:r>
      <w:r w:rsidR="00CF1303" w:rsidRPr="005359C7">
        <w:rPr>
          <w:lang w:val="fr-CA"/>
        </w:rPr>
        <w:t>202</w:t>
      </w:r>
      <w:r w:rsidR="006E3D1E" w:rsidRPr="005359C7">
        <w:rPr>
          <w:lang w:val="fr-CA"/>
        </w:rPr>
        <w:t>0</w:t>
      </w:r>
      <w:r w:rsidR="007F1E2D" w:rsidRPr="005359C7">
        <w:rPr>
          <w:lang w:val="fr-CA"/>
        </w:rPr>
        <w:t>, et au plus tard 12 semaines avant la 86</w:t>
      </w:r>
      <w:r w:rsidR="007F1E2D" w:rsidRPr="005359C7">
        <w:rPr>
          <w:vertAlign w:val="superscript"/>
          <w:lang w:val="fr-CA"/>
        </w:rPr>
        <w:t>e</w:t>
      </w:r>
      <w:r w:rsidR="007F1E2D" w:rsidRPr="005359C7">
        <w:rPr>
          <w:lang w:val="fr-CA"/>
        </w:rPr>
        <w:t xml:space="preserve"> réunion, peu importe la situation</w:t>
      </w:r>
      <w:r w:rsidR="00CF1303" w:rsidRPr="005359C7">
        <w:rPr>
          <w:lang w:val="fr-CA"/>
        </w:rPr>
        <w:t xml:space="preserve">. </w:t>
      </w:r>
    </w:p>
    <w:p w14:paraId="6F2B572B" w14:textId="77777777" w:rsidR="00CF1303" w:rsidRPr="005359C7" w:rsidRDefault="00461FD4" w:rsidP="00CF1303">
      <w:pPr>
        <w:pStyle w:val="Heading1"/>
        <w:keepNext/>
        <w:numPr>
          <w:ilvl w:val="0"/>
          <w:numId w:val="0"/>
        </w:numPr>
        <w:rPr>
          <w:u w:val="single"/>
          <w:lang w:val="fr-CA"/>
        </w:rPr>
      </w:pPr>
      <w:r w:rsidRPr="005359C7">
        <w:rPr>
          <w:u w:val="single"/>
          <w:lang w:val="fr-CA"/>
        </w:rPr>
        <w:lastRenderedPageBreak/>
        <w:t xml:space="preserve">Rapport périodique sur la mise en </w:t>
      </w:r>
      <w:proofErr w:type="spellStart"/>
      <w:r w:rsidRPr="005359C7">
        <w:rPr>
          <w:u w:val="single"/>
          <w:lang w:val="fr-CA"/>
        </w:rPr>
        <w:t>oeuvre</w:t>
      </w:r>
      <w:proofErr w:type="spellEnd"/>
      <w:r w:rsidRPr="005359C7">
        <w:rPr>
          <w:u w:val="single"/>
          <w:lang w:val="fr-CA"/>
        </w:rPr>
        <w:t xml:space="preserve"> de la troisième tranche du PGEH</w:t>
      </w:r>
    </w:p>
    <w:p w14:paraId="6CBBFB70" w14:textId="77777777" w:rsidR="00461FD4" w:rsidRPr="005359C7" w:rsidRDefault="00461FD4" w:rsidP="00461FD4">
      <w:pPr>
        <w:rPr>
          <w:iCs/>
          <w:lang w:val="fr-CA"/>
        </w:rPr>
      </w:pPr>
      <w:r w:rsidRPr="005359C7">
        <w:rPr>
          <w:i/>
          <w:iCs/>
          <w:lang w:val="fr-CA"/>
        </w:rPr>
        <w:t xml:space="preserve">Cadre juridique </w:t>
      </w:r>
    </w:p>
    <w:p w14:paraId="02A9EA68" w14:textId="77777777" w:rsidR="00461FD4" w:rsidRPr="005359C7" w:rsidRDefault="00461FD4" w:rsidP="00461FD4">
      <w:pPr>
        <w:rPr>
          <w:lang w:val="fr-CA"/>
        </w:rPr>
      </w:pPr>
    </w:p>
    <w:p w14:paraId="4B924EDA" w14:textId="77777777" w:rsidR="00CF1303" w:rsidRPr="005359C7" w:rsidRDefault="00461FD4" w:rsidP="00CF1303">
      <w:pPr>
        <w:pStyle w:val="Heading1"/>
        <w:rPr>
          <w:lang w:val="fr-CA"/>
        </w:rPr>
      </w:pPr>
      <w:r w:rsidRPr="005359C7">
        <w:rPr>
          <w:lang w:val="fr-CA"/>
        </w:rPr>
        <w:t xml:space="preserve">En plus de l’ajout de la mise en </w:t>
      </w:r>
      <w:proofErr w:type="spellStart"/>
      <w:r w:rsidRPr="005359C7">
        <w:rPr>
          <w:lang w:val="fr-CA"/>
        </w:rPr>
        <w:t>oeuvre</w:t>
      </w:r>
      <w:proofErr w:type="spellEnd"/>
      <w:r w:rsidRPr="005359C7">
        <w:rPr>
          <w:lang w:val="fr-CA"/>
        </w:rPr>
        <w:t xml:space="preserve"> du </w:t>
      </w:r>
      <w:r w:rsidR="00564122" w:rsidRPr="005359C7">
        <w:rPr>
          <w:lang w:val="fr-CA"/>
        </w:rPr>
        <w:t>système d’autorisation et de contingentement</w:t>
      </w:r>
      <w:r w:rsidR="00CF1303" w:rsidRPr="005359C7">
        <w:rPr>
          <w:lang w:val="fr-CA"/>
        </w:rPr>
        <w:t xml:space="preserve"> </w:t>
      </w:r>
      <w:r w:rsidRPr="005359C7">
        <w:rPr>
          <w:lang w:val="fr-CA"/>
        </w:rPr>
        <w:t xml:space="preserve">des importations et exportations de </w:t>
      </w:r>
      <w:r w:rsidR="00CF1303" w:rsidRPr="005359C7">
        <w:rPr>
          <w:lang w:val="fr-CA"/>
        </w:rPr>
        <w:t xml:space="preserve">HCFC, </w:t>
      </w:r>
      <w:r w:rsidR="00EC17BA" w:rsidRPr="005359C7">
        <w:rPr>
          <w:lang w:val="fr-CA"/>
        </w:rPr>
        <w:t>le gouvernement</w:t>
      </w:r>
      <w:r w:rsidR="00CF1303" w:rsidRPr="005359C7">
        <w:rPr>
          <w:lang w:val="fr-CA"/>
        </w:rPr>
        <w:t xml:space="preserve"> </w:t>
      </w:r>
      <w:r w:rsidRPr="005359C7">
        <w:rPr>
          <w:lang w:val="fr-CA"/>
        </w:rPr>
        <w:t xml:space="preserve">a instauré des interdictions en ce qui a trait aux importations de </w:t>
      </w:r>
      <w:r w:rsidR="00CF1303" w:rsidRPr="005359C7">
        <w:rPr>
          <w:lang w:val="fr-CA"/>
        </w:rPr>
        <w:t>HCFC-141b</w:t>
      </w:r>
      <w:r w:rsidR="006E3D1E" w:rsidRPr="005359C7">
        <w:rPr>
          <w:lang w:val="fr-CA"/>
        </w:rPr>
        <w:t xml:space="preserve"> et </w:t>
      </w:r>
      <w:r w:rsidRPr="005359C7">
        <w:rPr>
          <w:lang w:val="fr-CA"/>
        </w:rPr>
        <w:t xml:space="preserve">de polyols </w:t>
      </w:r>
      <w:proofErr w:type="spellStart"/>
      <w:r w:rsidRPr="005359C7">
        <w:rPr>
          <w:lang w:val="fr-CA"/>
        </w:rPr>
        <w:t>prémélangés</w:t>
      </w:r>
      <w:proofErr w:type="spellEnd"/>
      <w:r w:rsidRPr="005359C7">
        <w:rPr>
          <w:lang w:val="fr-CA"/>
        </w:rPr>
        <w:t xml:space="preserve"> avec </w:t>
      </w:r>
      <w:r w:rsidR="00CF1303" w:rsidRPr="005359C7">
        <w:rPr>
          <w:lang w:val="fr-CA"/>
        </w:rPr>
        <w:t>HCFC-141b</w:t>
      </w:r>
      <w:r w:rsidRPr="005359C7">
        <w:rPr>
          <w:lang w:val="fr-CA"/>
        </w:rPr>
        <w:t xml:space="preserve">, lesquelles sont respectivement en place depuis janvier </w:t>
      </w:r>
      <w:r w:rsidR="00CF1303" w:rsidRPr="005359C7">
        <w:rPr>
          <w:lang w:val="fr-CA"/>
        </w:rPr>
        <w:t>2015</w:t>
      </w:r>
      <w:r w:rsidR="006E3D1E" w:rsidRPr="005359C7">
        <w:rPr>
          <w:lang w:val="fr-CA"/>
        </w:rPr>
        <w:t xml:space="preserve"> et </w:t>
      </w:r>
      <w:r w:rsidRPr="005359C7">
        <w:rPr>
          <w:lang w:val="fr-CA"/>
        </w:rPr>
        <w:t>décembre</w:t>
      </w:r>
      <w:r w:rsidR="00CF1303" w:rsidRPr="005359C7">
        <w:rPr>
          <w:lang w:val="fr-CA"/>
        </w:rPr>
        <w:t> 201</w:t>
      </w:r>
      <w:r w:rsidR="006E3D1E" w:rsidRPr="005359C7">
        <w:rPr>
          <w:lang w:val="fr-CA"/>
        </w:rPr>
        <w:t>5</w:t>
      </w:r>
      <w:r w:rsidR="00CF1303" w:rsidRPr="005359C7">
        <w:rPr>
          <w:lang w:val="fr-CA"/>
        </w:rPr>
        <w:t xml:space="preserve">. </w:t>
      </w:r>
      <w:r w:rsidRPr="005359C7">
        <w:rPr>
          <w:lang w:val="fr-CA"/>
        </w:rPr>
        <w:t>E</w:t>
      </w:r>
      <w:r w:rsidR="00CF1303" w:rsidRPr="005359C7">
        <w:rPr>
          <w:lang w:val="fr-CA"/>
        </w:rPr>
        <w:t>n 201</w:t>
      </w:r>
      <w:r w:rsidR="006E3D1E" w:rsidRPr="005359C7">
        <w:rPr>
          <w:lang w:val="fr-CA"/>
        </w:rPr>
        <w:t>7</w:t>
      </w:r>
      <w:r w:rsidRPr="005359C7">
        <w:rPr>
          <w:lang w:val="fr-CA"/>
        </w:rPr>
        <w:t>,</w:t>
      </w:r>
      <w:r w:rsidR="006E3D1E" w:rsidRPr="005359C7">
        <w:rPr>
          <w:lang w:val="fr-CA"/>
        </w:rPr>
        <w:t> </w:t>
      </w:r>
      <w:r w:rsidRPr="005359C7">
        <w:rPr>
          <w:lang w:val="fr-CA"/>
        </w:rPr>
        <w:t>la méthodologie visant l’attribution de</w:t>
      </w:r>
      <w:r w:rsidR="00D64484">
        <w:rPr>
          <w:lang w:val="fr-CA"/>
        </w:rPr>
        <w:t> </w:t>
      </w:r>
      <w:r w:rsidRPr="005359C7">
        <w:rPr>
          <w:lang w:val="fr-CA"/>
        </w:rPr>
        <w:t xml:space="preserve">contingents de </w:t>
      </w:r>
      <w:r w:rsidR="00CF1303" w:rsidRPr="005359C7">
        <w:rPr>
          <w:lang w:val="fr-CA"/>
        </w:rPr>
        <w:t xml:space="preserve">HCFC </w:t>
      </w:r>
      <w:r w:rsidRPr="005359C7">
        <w:rPr>
          <w:lang w:val="fr-CA"/>
        </w:rPr>
        <w:t>aux importateurs a été mise à jour, et on l’utilise depuis ce temps</w:t>
      </w:r>
      <w:r w:rsidR="00CF1303" w:rsidRPr="005359C7">
        <w:rPr>
          <w:lang w:val="fr-CA"/>
        </w:rPr>
        <w:t>.</w:t>
      </w:r>
      <w:r w:rsidR="00CF1303" w:rsidRPr="005359C7">
        <w:rPr>
          <w:rStyle w:val="FootnoteReference"/>
          <w:lang w:val="fr-CA"/>
        </w:rPr>
        <w:footnoteReference w:id="2"/>
      </w:r>
      <w:r w:rsidR="002F51F3" w:rsidRPr="005359C7">
        <w:rPr>
          <w:lang w:val="fr-CA"/>
        </w:rPr>
        <w:t xml:space="preserve"> L’interdiction d’importer et d’utiliser des équipements avec </w:t>
      </w:r>
      <w:r w:rsidR="00CF1303" w:rsidRPr="005359C7">
        <w:rPr>
          <w:lang w:val="fr-CA"/>
        </w:rPr>
        <w:t>HCFC</w:t>
      </w:r>
      <w:r w:rsidR="002F51F3" w:rsidRPr="005359C7">
        <w:rPr>
          <w:lang w:val="fr-CA"/>
        </w:rPr>
        <w:t xml:space="preserve"> est en place depuis janvier </w:t>
      </w:r>
      <w:r w:rsidR="00CF1303" w:rsidRPr="005359C7">
        <w:rPr>
          <w:lang w:val="fr-CA"/>
        </w:rPr>
        <w:t>201</w:t>
      </w:r>
      <w:r w:rsidR="006E3D1E" w:rsidRPr="005359C7">
        <w:rPr>
          <w:lang w:val="fr-CA"/>
        </w:rPr>
        <w:t>8</w:t>
      </w:r>
      <w:r w:rsidR="002F51F3" w:rsidRPr="005359C7">
        <w:rPr>
          <w:lang w:val="fr-CA"/>
        </w:rPr>
        <w:t xml:space="preserve">, et une proposition d’interdire l’importation de nouveaux équipements avec </w:t>
      </w:r>
      <w:r w:rsidR="00CF1303" w:rsidRPr="005359C7">
        <w:rPr>
          <w:lang w:val="fr-CA"/>
        </w:rPr>
        <w:t xml:space="preserve">HCFC </w:t>
      </w:r>
      <w:r w:rsidR="006E3D1E" w:rsidRPr="005359C7">
        <w:rPr>
          <w:lang w:val="fr-CA"/>
        </w:rPr>
        <w:t>d’ici 2020</w:t>
      </w:r>
      <w:r w:rsidR="00CF1303" w:rsidRPr="005359C7">
        <w:rPr>
          <w:lang w:val="fr-CA"/>
        </w:rPr>
        <w:t xml:space="preserve"> </w:t>
      </w:r>
      <w:r w:rsidR="002F51F3" w:rsidRPr="005359C7">
        <w:rPr>
          <w:lang w:val="fr-CA"/>
        </w:rPr>
        <w:t xml:space="preserve">fait actuellement l’objet de </w:t>
      </w:r>
      <w:r w:rsidR="00CF1303" w:rsidRPr="005359C7">
        <w:rPr>
          <w:lang w:val="fr-CA"/>
        </w:rPr>
        <w:t xml:space="preserve">discussion. </w:t>
      </w:r>
      <w:r w:rsidR="002F51F3" w:rsidRPr="005359C7">
        <w:rPr>
          <w:lang w:val="fr-CA"/>
        </w:rPr>
        <w:t>Depuis le 1</w:t>
      </w:r>
      <w:r w:rsidR="002F51F3" w:rsidRPr="005359C7">
        <w:rPr>
          <w:vertAlign w:val="superscript"/>
          <w:lang w:val="fr-CA"/>
        </w:rPr>
        <w:t>er</w:t>
      </w:r>
      <w:r w:rsidR="002F51F3" w:rsidRPr="005359C7">
        <w:rPr>
          <w:lang w:val="fr-CA"/>
        </w:rPr>
        <w:t xml:space="preserve"> janvier</w:t>
      </w:r>
      <w:r w:rsidR="00CF1303" w:rsidRPr="005359C7">
        <w:rPr>
          <w:lang w:val="fr-CA"/>
        </w:rPr>
        <w:t xml:space="preserve"> 201</w:t>
      </w:r>
      <w:r w:rsidR="006E3D1E" w:rsidRPr="005359C7">
        <w:rPr>
          <w:lang w:val="fr-CA"/>
        </w:rPr>
        <w:t>9</w:t>
      </w:r>
      <w:r w:rsidR="002F51F3" w:rsidRPr="005359C7">
        <w:rPr>
          <w:lang w:val="fr-CA"/>
        </w:rPr>
        <w:t>, l’utilisation d’un appareil de récupération des frigorigènes est</w:t>
      </w:r>
      <w:r w:rsidR="00D64484">
        <w:rPr>
          <w:lang w:val="fr-CA"/>
        </w:rPr>
        <w:t> </w:t>
      </w:r>
      <w:r w:rsidR="002F51F3" w:rsidRPr="005359C7">
        <w:rPr>
          <w:lang w:val="fr-CA"/>
        </w:rPr>
        <w:t xml:space="preserve">obligatoire dans tous les ateliers d’entretien des appareils </w:t>
      </w:r>
      <w:r w:rsidR="00CF1303" w:rsidRPr="005359C7">
        <w:rPr>
          <w:lang w:val="fr-CA"/>
        </w:rPr>
        <w:t xml:space="preserve">RAC, </w:t>
      </w:r>
      <w:r w:rsidR="002F51F3" w:rsidRPr="005359C7">
        <w:rPr>
          <w:lang w:val="fr-CA"/>
        </w:rPr>
        <w:t xml:space="preserve">et </w:t>
      </w:r>
      <w:r w:rsidR="006C07C3" w:rsidRPr="005359C7">
        <w:rPr>
          <w:lang w:val="fr-CA"/>
        </w:rPr>
        <w:t xml:space="preserve">elle est obligatoire en vue de </w:t>
      </w:r>
      <w:r w:rsidR="002F51F3" w:rsidRPr="005359C7">
        <w:rPr>
          <w:lang w:val="fr-CA"/>
        </w:rPr>
        <w:t xml:space="preserve">l’obtention d’un </w:t>
      </w:r>
      <w:r w:rsidR="006C07C3" w:rsidRPr="005359C7">
        <w:rPr>
          <w:lang w:val="fr-CA"/>
        </w:rPr>
        <w:t xml:space="preserve">permis </w:t>
      </w:r>
      <w:r w:rsidR="00D64484">
        <w:rPr>
          <w:lang w:val="fr-CA"/>
        </w:rPr>
        <w:t>sur la</w:t>
      </w:r>
      <w:r w:rsidR="006C07C3" w:rsidRPr="005359C7">
        <w:rPr>
          <w:lang w:val="fr-CA"/>
        </w:rPr>
        <w:t xml:space="preserve"> protection de l’environnement (</w:t>
      </w:r>
      <w:proofErr w:type="spellStart"/>
      <w:r w:rsidR="0024708A" w:rsidRPr="005359C7">
        <w:rPr>
          <w:lang w:val="fr-CA"/>
        </w:rPr>
        <w:t>Environment</w:t>
      </w:r>
      <w:proofErr w:type="spellEnd"/>
      <w:r w:rsidR="00CF1303" w:rsidRPr="005359C7">
        <w:rPr>
          <w:lang w:val="fr-CA"/>
        </w:rPr>
        <w:t xml:space="preserve"> Protection Licence</w:t>
      </w:r>
      <w:r w:rsidR="006C07C3" w:rsidRPr="005359C7">
        <w:rPr>
          <w:lang w:val="fr-CA"/>
        </w:rPr>
        <w:t>)</w:t>
      </w:r>
      <w:r w:rsidR="00CF1303" w:rsidRPr="005359C7">
        <w:rPr>
          <w:lang w:val="fr-CA"/>
        </w:rPr>
        <w:t xml:space="preserve">. </w:t>
      </w:r>
      <w:r w:rsidR="006C07C3" w:rsidRPr="005359C7">
        <w:rPr>
          <w:lang w:val="fr-CA"/>
        </w:rPr>
        <w:t>Le</w:t>
      </w:r>
      <w:r w:rsidR="00D64484">
        <w:rPr>
          <w:lang w:val="fr-CA"/>
        </w:rPr>
        <w:t> </w:t>
      </w:r>
      <w:r w:rsidR="00CF1303" w:rsidRPr="005359C7">
        <w:rPr>
          <w:lang w:val="fr-CA"/>
        </w:rPr>
        <w:t>Sri</w:t>
      </w:r>
      <w:r w:rsidR="00D64484">
        <w:rPr>
          <w:lang w:val="fr-CA"/>
        </w:rPr>
        <w:t> </w:t>
      </w:r>
      <w:r w:rsidR="00CF1303" w:rsidRPr="005359C7">
        <w:rPr>
          <w:lang w:val="fr-CA"/>
        </w:rPr>
        <w:t xml:space="preserve">Lanka </w:t>
      </w:r>
      <w:r w:rsidR="006C07C3" w:rsidRPr="005359C7">
        <w:rPr>
          <w:lang w:val="fr-CA"/>
        </w:rPr>
        <w:t xml:space="preserve">a ratifié l’amendement de </w:t>
      </w:r>
      <w:r w:rsidR="00CF1303" w:rsidRPr="005359C7">
        <w:rPr>
          <w:lang w:val="fr-CA"/>
        </w:rPr>
        <w:t xml:space="preserve">Kigali </w:t>
      </w:r>
      <w:r w:rsidR="006C07C3" w:rsidRPr="005359C7">
        <w:rPr>
          <w:lang w:val="fr-CA"/>
        </w:rPr>
        <w:t>en septembre</w:t>
      </w:r>
      <w:r w:rsidR="00CF1303" w:rsidRPr="005359C7">
        <w:rPr>
          <w:lang w:val="fr-CA"/>
        </w:rPr>
        <w:t xml:space="preserve"> 201</w:t>
      </w:r>
      <w:r w:rsidR="006E3D1E" w:rsidRPr="005359C7">
        <w:rPr>
          <w:lang w:val="fr-CA"/>
        </w:rPr>
        <w:t>9</w:t>
      </w:r>
      <w:r w:rsidR="006C07C3" w:rsidRPr="005359C7">
        <w:rPr>
          <w:lang w:val="fr-CA"/>
        </w:rPr>
        <w:t>.</w:t>
      </w:r>
    </w:p>
    <w:p w14:paraId="46E7EE71" w14:textId="77777777" w:rsidR="00CF1303" w:rsidRPr="005359C7" w:rsidRDefault="00EC17BA" w:rsidP="00CF1303">
      <w:pPr>
        <w:pStyle w:val="Heading1"/>
        <w:rPr>
          <w:lang w:val="fr-CA"/>
        </w:rPr>
      </w:pPr>
      <w:r w:rsidRPr="005359C7">
        <w:rPr>
          <w:lang w:val="fr-CA"/>
        </w:rPr>
        <w:t>Le gouvernement</w:t>
      </w:r>
      <w:r w:rsidR="00CF1303" w:rsidRPr="005359C7">
        <w:rPr>
          <w:lang w:val="fr-CA"/>
        </w:rPr>
        <w:t xml:space="preserve"> </w:t>
      </w:r>
      <w:r w:rsidRPr="005359C7">
        <w:rPr>
          <w:lang w:val="fr-CA"/>
        </w:rPr>
        <w:t>du Sri Lanka</w:t>
      </w:r>
      <w:r w:rsidR="00CF1303" w:rsidRPr="005359C7">
        <w:rPr>
          <w:lang w:val="fr-CA"/>
        </w:rPr>
        <w:t xml:space="preserve"> </w:t>
      </w:r>
      <w:r w:rsidR="006C07C3" w:rsidRPr="005359C7">
        <w:rPr>
          <w:lang w:val="fr-CA"/>
        </w:rPr>
        <w:t xml:space="preserve">a confirmé que le règlement de </w:t>
      </w:r>
      <w:r w:rsidR="00CF1303" w:rsidRPr="005359C7">
        <w:rPr>
          <w:lang w:val="fr-CA"/>
        </w:rPr>
        <w:t xml:space="preserve">2004 </w:t>
      </w:r>
      <w:r w:rsidR="006C07C3" w:rsidRPr="005359C7">
        <w:rPr>
          <w:lang w:val="fr-CA"/>
        </w:rPr>
        <w:t>interdisant l’importation de</w:t>
      </w:r>
      <w:r w:rsidR="00D64484">
        <w:rPr>
          <w:lang w:val="fr-CA"/>
        </w:rPr>
        <w:t> </w:t>
      </w:r>
      <w:r w:rsidR="006C07C3" w:rsidRPr="005359C7">
        <w:rPr>
          <w:lang w:val="fr-CA"/>
        </w:rPr>
        <w:t xml:space="preserve">substances réglementées déjà éliminées est en vigueur et que l’administration des douanes </w:t>
      </w:r>
      <w:r w:rsidR="00CF1303" w:rsidRPr="005359C7">
        <w:rPr>
          <w:lang w:val="fr-CA"/>
        </w:rPr>
        <w:t xml:space="preserve">continue </w:t>
      </w:r>
      <w:r w:rsidR="006C07C3" w:rsidRPr="005359C7">
        <w:rPr>
          <w:lang w:val="fr-CA"/>
        </w:rPr>
        <w:t>d’assurer le suivi de tous les SAO réglementés</w:t>
      </w:r>
      <w:r w:rsidR="00CF1303" w:rsidRPr="005359C7">
        <w:rPr>
          <w:lang w:val="fr-CA"/>
        </w:rPr>
        <w:t xml:space="preserve">. </w:t>
      </w:r>
      <w:r w:rsidR="006C07C3" w:rsidRPr="005359C7">
        <w:rPr>
          <w:lang w:val="fr-CA"/>
        </w:rPr>
        <w:t>Deux tentatives de commerce illic</w:t>
      </w:r>
      <w:r w:rsidR="004D7396">
        <w:rPr>
          <w:lang w:val="fr-CA"/>
        </w:rPr>
        <w:t>it</w:t>
      </w:r>
      <w:r w:rsidR="006C07C3" w:rsidRPr="005359C7">
        <w:rPr>
          <w:lang w:val="fr-CA"/>
        </w:rPr>
        <w:t xml:space="preserve">e de </w:t>
      </w:r>
      <w:r w:rsidR="00CF1303" w:rsidRPr="005359C7">
        <w:rPr>
          <w:lang w:val="fr-CA"/>
        </w:rPr>
        <w:t xml:space="preserve">HCFC </w:t>
      </w:r>
      <w:r w:rsidR="006C07C3" w:rsidRPr="005359C7">
        <w:rPr>
          <w:lang w:val="fr-CA"/>
        </w:rPr>
        <w:t>ont été décelées, et les expéditions ont été retournées au pays d’origine.</w:t>
      </w:r>
      <w:r w:rsidR="006E3D1E" w:rsidRPr="005359C7">
        <w:rPr>
          <w:lang w:val="fr-CA"/>
        </w:rPr>
        <w:t xml:space="preserve"> </w:t>
      </w:r>
      <w:r w:rsidR="00D64484">
        <w:rPr>
          <w:lang w:val="fr-CA"/>
        </w:rPr>
        <w:t>L</w:t>
      </w:r>
      <w:r w:rsidRPr="005359C7">
        <w:rPr>
          <w:lang w:val="fr-CA"/>
        </w:rPr>
        <w:t>e gouvernement</w:t>
      </w:r>
      <w:r w:rsidR="00CF1303" w:rsidRPr="005359C7">
        <w:rPr>
          <w:lang w:val="fr-CA"/>
        </w:rPr>
        <w:t xml:space="preserve"> </w:t>
      </w:r>
      <w:r w:rsidR="006C07C3" w:rsidRPr="005359C7">
        <w:rPr>
          <w:lang w:val="fr-CA"/>
        </w:rPr>
        <w:t>n’est pas au courant de</w:t>
      </w:r>
      <w:r w:rsidR="00D64484">
        <w:rPr>
          <w:lang w:val="fr-CA"/>
        </w:rPr>
        <w:t> l’</w:t>
      </w:r>
      <w:r w:rsidR="006C07C3" w:rsidRPr="005359C7">
        <w:rPr>
          <w:lang w:val="fr-CA"/>
        </w:rPr>
        <w:t xml:space="preserve">utilisation ou </w:t>
      </w:r>
      <w:r w:rsidR="00D64484">
        <w:rPr>
          <w:lang w:val="fr-CA"/>
        </w:rPr>
        <w:t xml:space="preserve">des </w:t>
      </w:r>
      <w:r w:rsidR="00853AB0" w:rsidRPr="005359C7">
        <w:rPr>
          <w:lang w:val="fr-CA"/>
        </w:rPr>
        <w:t>réserve</w:t>
      </w:r>
      <w:r w:rsidR="00D64484">
        <w:rPr>
          <w:lang w:val="fr-CA"/>
        </w:rPr>
        <w:t>s</w:t>
      </w:r>
      <w:r w:rsidR="00853AB0" w:rsidRPr="005359C7">
        <w:rPr>
          <w:lang w:val="fr-CA"/>
        </w:rPr>
        <w:t xml:space="preserve"> de SAO éliminées au pays</w:t>
      </w:r>
      <w:r w:rsidR="00CF1303" w:rsidRPr="005359C7">
        <w:rPr>
          <w:lang w:val="fr-CA"/>
        </w:rPr>
        <w:t>.</w:t>
      </w:r>
    </w:p>
    <w:p w14:paraId="4AB34F73" w14:textId="77777777" w:rsidR="00CF1303" w:rsidRPr="005359C7" w:rsidRDefault="00853AB0" w:rsidP="00CF1303">
      <w:pPr>
        <w:pStyle w:val="Heading1"/>
        <w:rPr>
          <w:lang w:val="fr-CA"/>
        </w:rPr>
      </w:pPr>
      <w:r w:rsidRPr="005359C7">
        <w:rPr>
          <w:lang w:val="fr-CA"/>
        </w:rPr>
        <w:t xml:space="preserve">En tout, </w:t>
      </w:r>
      <w:r w:rsidR="00CF1303" w:rsidRPr="005359C7">
        <w:rPr>
          <w:lang w:val="fr-CA"/>
        </w:rPr>
        <w:t xml:space="preserve">243 </w:t>
      </w:r>
      <w:r w:rsidR="00564122" w:rsidRPr="005359C7">
        <w:rPr>
          <w:lang w:val="fr-CA"/>
        </w:rPr>
        <w:t>agents des douanes</w:t>
      </w:r>
      <w:r w:rsidR="00CF1303" w:rsidRPr="005359C7">
        <w:rPr>
          <w:lang w:val="fr-CA"/>
        </w:rPr>
        <w:t xml:space="preserve"> </w:t>
      </w:r>
      <w:r w:rsidRPr="005359C7">
        <w:rPr>
          <w:lang w:val="fr-CA"/>
        </w:rPr>
        <w:t>ont reçu une formation sur les toutes dernières méthodes de suivi et de prévention d</w:t>
      </w:r>
      <w:r w:rsidR="00D64484">
        <w:rPr>
          <w:lang w:val="fr-CA"/>
        </w:rPr>
        <w:t>u</w:t>
      </w:r>
      <w:r w:rsidRPr="005359C7">
        <w:rPr>
          <w:lang w:val="fr-CA"/>
        </w:rPr>
        <w:t xml:space="preserve"> commerce illicite de substances réglementées, surtout les </w:t>
      </w:r>
      <w:r w:rsidR="00CF1303" w:rsidRPr="005359C7">
        <w:rPr>
          <w:lang w:val="fr-CA"/>
        </w:rPr>
        <w:t xml:space="preserve">HCFC. </w:t>
      </w:r>
      <w:r w:rsidRPr="005359C7">
        <w:rPr>
          <w:lang w:val="fr-CA"/>
        </w:rPr>
        <w:t>L’Unité nationale</w:t>
      </w:r>
      <w:r w:rsidR="00D64484">
        <w:rPr>
          <w:lang w:val="fr-CA"/>
        </w:rPr>
        <w:t xml:space="preserve"> d’ozone</w:t>
      </w:r>
      <w:r w:rsidRPr="005359C7">
        <w:rPr>
          <w:lang w:val="fr-CA"/>
        </w:rPr>
        <w:t xml:space="preserve"> </w:t>
      </w:r>
      <w:r w:rsidR="00CF1303" w:rsidRPr="005359C7">
        <w:rPr>
          <w:lang w:val="fr-CA"/>
        </w:rPr>
        <w:t>(</w:t>
      </w:r>
      <w:r w:rsidRPr="005359C7">
        <w:rPr>
          <w:lang w:val="fr-CA"/>
        </w:rPr>
        <w:t>U</w:t>
      </w:r>
      <w:r w:rsidR="00CF1303" w:rsidRPr="005359C7">
        <w:rPr>
          <w:lang w:val="fr-CA"/>
        </w:rPr>
        <w:t xml:space="preserve">NO) </w:t>
      </w:r>
      <w:r w:rsidRPr="005359C7">
        <w:rPr>
          <w:lang w:val="fr-CA"/>
        </w:rPr>
        <w:t xml:space="preserve">a publié un guide sur les codes du </w:t>
      </w:r>
      <w:r w:rsidR="004D7396" w:rsidRPr="005359C7">
        <w:rPr>
          <w:lang w:val="fr-CA"/>
        </w:rPr>
        <w:t>système</w:t>
      </w:r>
      <w:r w:rsidRPr="005359C7">
        <w:rPr>
          <w:lang w:val="fr-CA"/>
        </w:rPr>
        <w:t xml:space="preserve"> harmonisé </w:t>
      </w:r>
      <w:r w:rsidR="004D7396">
        <w:rPr>
          <w:lang w:val="fr-CA"/>
        </w:rPr>
        <w:t>(</w:t>
      </w:r>
      <w:proofErr w:type="spellStart"/>
      <w:r w:rsidR="00CF1303" w:rsidRPr="005359C7">
        <w:rPr>
          <w:lang w:val="fr-CA"/>
        </w:rPr>
        <w:t>Harmonized</w:t>
      </w:r>
      <w:proofErr w:type="spellEnd"/>
      <w:r w:rsidR="00CF1303" w:rsidRPr="005359C7">
        <w:rPr>
          <w:lang w:val="fr-CA"/>
        </w:rPr>
        <w:t xml:space="preserve"> System</w:t>
      </w:r>
      <w:r w:rsidR="004D7396">
        <w:rPr>
          <w:lang w:val="fr-CA"/>
        </w:rPr>
        <w:t>)</w:t>
      </w:r>
      <w:r w:rsidR="00CF1303" w:rsidRPr="005359C7">
        <w:rPr>
          <w:rStyle w:val="FootnoteReference"/>
          <w:lang w:val="fr-CA"/>
        </w:rPr>
        <w:footnoteReference w:id="3"/>
      </w:r>
      <w:r w:rsidR="00CF1303" w:rsidRPr="005359C7">
        <w:rPr>
          <w:lang w:val="fr-CA"/>
        </w:rPr>
        <w:t xml:space="preserve"> </w:t>
      </w:r>
      <w:r w:rsidR="006E3D1E" w:rsidRPr="005359C7">
        <w:rPr>
          <w:lang w:val="fr-CA"/>
        </w:rPr>
        <w:t xml:space="preserve">et </w:t>
      </w:r>
      <w:r w:rsidRPr="005359C7">
        <w:rPr>
          <w:lang w:val="fr-CA"/>
        </w:rPr>
        <w:t xml:space="preserve">la </w:t>
      </w:r>
      <w:r w:rsidR="00CF1303" w:rsidRPr="005359C7">
        <w:rPr>
          <w:lang w:val="fr-CA"/>
        </w:rPr>
        <w:t xml:space="preserve">nomenclature </w:t>
      </w:r>
      <w:r w:rsidRPr="005359C7">
        <w:rPr>
          <w:lang w:val="fr-CA"/>
        </w:rPr>
        <w:t xml:space="preserve">des substances contrôlées en </w:t>
      </w:r>
      <w:r w:rsidR="004D7396" w:rsidRPr="005359C7">
        <w:rPr>
          <w:lang w:val="fr-CA"/>
        </w:rPr>
        <w:t>vertu</w:t>
      </w:r>
      <w:r w:rsidRPr="005359C7">
        <w:rPr>
          <w:lang w:val="fr-CA"/>
        </w:rPr>
        <w:t xml:space="preserve"> du </w:t>
      </w:r>
      <w:r w:rsidR="00CF1303" w:rsidRPr="005359C7">
        <w:rPr>
          <w:lang w:val="fr-CA"/>
        </w:rPr>
        <w:t>Protocol</w:t>
      </w:r>
      <w:r w:rsidRPr="005359C7">
        <w:rPr>
          <w:lang w:val="fr-CA"/>
        </w:rPr>
        <w:t>e</w:t>
      </w:r>
      <w:r w:rsidR="00CF1303" w:rsidRPr="005359C7">
        <w:rPr>
          <w:lang w:val="fr-CA"/>
        </w:rPr>
        <w:t xml:space="preserve">, </w:t>
      </w:r>
      <w:r w:rsidRPr="005359C7">
        <w:rPr>
          <w:lang w:val="fr-CA"/>
        </w:rPr>
        <w:t xml:space="preserve">le calendrier d’élimination des </w:t>
      </w:r>
      <w:r w:rsidR="00CF1303" w:rsidRPr="005359C7">
        <w:rPr>
          <w:lang w:val="fr-CA"/>
        </w:rPr>
        <w:t>HCFC</w:t>
      </w:r>
      <w:r w:rsidRPr="005359C7">
        <w:rPr>
          <w:lang w:val="fr-CA"/>
        </w:rPr>
        <w:t>,</w:t>
      </w:r>
      <w:r w:rsidR="006E3D1E" w:rsidRPr="005359C7">
        <w:rPr>
          <w:lang w:val="fr-CA"/>
        </w:rPr>
        <w:t xml:space="preserve"> et</w:t>
      </w:r>
      <w:r w:rsidR="00D64484">
        <w:rPr>
          <w:lang w:val="fr-CA"/>
        </w:rPr>
        <w:t> </w:t>
      </w:r>
      <w:r w:rsidRPr="005359C7">
        <w:rPr>
          <w:lang w:val="fr-CA"/>
        </w:rPr>
        <w:t>les règlements à l’intention des agents d’exécution et des importateurs</w:t>
      </w:r>
      <w:r w:rsidR="00CF1303" w:rsidRPr="005359C7">
        <w:rPr>
          <w:lang w:val="fr-CA"/>
        </w:rPr>
        <w:t xml:space="preserve">. </w:t>
      </w:r>
      <w:r w:rsidRPr="005359C7">
        <w:rPr>
          <w:lang w:val="fr-CA"/>
        </w:rPr>
        <w:t>L’UNO a aussi fourni deux identificateurs de multiples frigorigènes aux autorités douanières</w:t>
      </w:r>
      <w:r w:rsidR="00CF1303" w:rsidRPr="005359C7">
        <w:rPr>
          <w:lang w:val="fr-CA"/>
        </w:rPr>
        <w:t xml:space="preserve">. </w:t>
      </w:r>
    </w:p>
    <w:p w14:paraId="5BFBC5EB" w14:textId="77777777" w:rsidR="00853AB0" w:rsidRPr="005359C7" w:rsidRDefault="00853AB0" w:rsidP="00853AB0">
      <w:pPr>
        <w:pStyle w:val="Heading1"/>
        <w:numPr>
          <w:ilvl w:val="0"/>
          <w:numId w:val="0"/>
        </w:numPr>
        <w:rPr>
          <w:lang w:val="fr-CA"/>
        </w:rPr>
      </w:pPr>
      <w:r w:rsidRPr="005359C7">
        <w:rPr>
          <w:i/>
          <w:lang w:val="fr-CA"/>
        </w:rPr>
        <w:t>Secteur de l’entretien en réfrigération</w:t>
      </w:r>
    </w:p>
    <w:p w14:paraId="64E4ABB9" w14:textId="77777777" w:rsidR="00CF1303" w:rsidRPr="005359C7" w:rsidRDefault="00853AB0" w:rsidP="00CF1303">
      <w:pPr>
        <w:pStyle w:val="Heading1"/>
        <w:rPr>
          <w:lang w:val="fr-CA"/>
        </w:rPr>
      </w:pPr>
      <w:r w:rsidRPr="005359C7">
        <w:rPr>
          <w:lang w:val="fr-CA"/>
        </w:rPr>
        <w:t xml:space="preserve">Les principales activités mises en </w:t>
      </w:r>
      <w:proofErr w:type="spellStart"/>
      <w:r w:rsidRPr="005359C7">
        <w:rPr>
          <w:lang w:val="fr-CA"/>
        </w:rPr>
        <w:t>oeuvre</w:t>
      </w:r>
      <w:proofErr w:type="spellEnd"/>
      <w:r w:rsidRPr="005359C7">
        <w:rPr>
          <w:lang w:val="fr-CA"/>
        </w:rPr>
        <w:t xml:space="preserve"> comprenaient les suivantes </w:t>
      </w:r>
      <w:r w:rsidR="00CF1303" w:rsidRPr="005359C7">
        <w:rPr>
          <w:lang w:val="fr-CA"/>
        </w:rPr>
        <w:t>:</w:t>
      </w:r>
    </w:p>
    <w:p w14:paraId="339CD2DE" w14:textId="77777777" w:rsidR="00CF1303" w:rsidRPr="005359C7" w:rsidRDefault="00BA5114" w:rsidP="00CF1303">
      <w:pPr>
        <w:pStyle w:val="Heading2"/>
        <w:numPr>
          <w:ilvl w:val="1"/>
          <w:numId w:val="1"/>
        </w:numPr>
        <w:rPr>
          <w:lang w:val="fr-CA"/>
        </w:rPr>
      </w:pPr>
      <w:r>
        <w:rPr>
          <w:lang w:val="fr-CA"/>
        </w:rPr>
        <w:t>Mise à jour, par l</w:t>
      </w:r>
      <w:r w:rsidR="00853AB0" w:rsidRPr="005359C7">
        <w:rPr>
          <w:lang w:val="fr-CA"/>
        </w:rPr>
        <w:t>a Commission de l’éducation professionnelle et technique (</w:t>
      </w:r>
      <w:proofErr w:type="spellStart"/>
      <w:r w:rsidR="00CF1303" w:rsidRPr="005359C7">
        <w:rPr>
          <w:lang w:val="fr-CA"/>
        </w:rPr>
        <w:t>Technical</w:t>
      </w:r>
      <w:proofErr w:type="spellEnd"/>
      <w:r w:rsidR="006E3D1E" w:rsidRPr="005359C7">
        <w:rPr>
          <w:lang w:val="fr-CA"/>
        </w:rPr>
        <w:t xml:space="preserve"> </w:t>
      </w:r>
      <w:r w:rsidR="00853AB0" w:rsidRPr="005359C7">
        <w:rPr>
          <w:lang w:val="fr-CA"/>
        </w:rPr>
        <w:t>and</w:t>
      </w:r>
      <w:r w:rsidR="006E3D1E" w:rsidRPr="005359C7">
        <w:rPr>
          <w:lang w:val="fr-CA"/>
        </w:rPr>
        <w:t xml:space="preserve"> </w:t>
      </w:r>
      <w:proofErr w:type="spellStart"/>
      <w:r w:rsidR="00CF1303" w:rsidRPr="005359C7">
        <w:rPr>
          <w:lang w:val="fr-CA"/>
        </w:rPr>
        <w:t>Vocational</w:t>
      </w:r>
      <w:proofErr w:type="spellEnd"/>
      <w:r w:rsidR="00CF1303" w:rsidRPr="005359C7">
        <w:rPr>
          <w:lang w:val="fr-CA"/>
        </w:rPr>
        <w:t xml:space="preserve"> </w:t>
      </w:r>
      <w:proofErr w:type="spellStart"/>
      <w:r w:rsidR="00CF1303" w:rsidRPr="005359C7">
        <w:rPr>
          <w:lang w:val="fr-CA"/>
        </w:rPr>
        <w:t>Education</w:t>
      </w:r>
      <w:proofErr w:type="spellEnd"/>
      <w:r w:rsidR="00CF1303" w:rsidRPr="005359C7">
        <w:rPr>
          <w:lang w:val="fr-CA"/>
        </w:rPr>
        <w:t xml:space="preserve"> Commission</w:t>
      </w:r>
      <w:r w:rsidR="00853AB0" w:rsidRPr="005359C7">
        <w:rPr>
          <w:lang w:val="fr-CA"/>
        </w:rPr>
        <w:t>)</w:t>
      </w:r>
      <w:r>
        <w:rPr>
          <w:lang w:val="fr-CA"/>
        </w:rPr>
        <w:t>,</w:t>
      </w:r>
      <w:r w:rsidR="00CF1303" w:rsidRPr="005359C7">
        <w:rPr>
          <w:lang w:val="fr-CA"/>
        </w:rPr>
        <w:t xml:space="preserve"> </w:t>
      </w:r>
      <w:r>
        <w:rPr>
          <w:lang w:val="fr-CA"/>
        </w:rPr>
        <w:t xml:space="preserve">du </w:t>
      </w:r>
      <w:r w:rsidR="009C0A59" w:rsidRPr="005359C7">
        <w:rPr>
          <w:lang w:val="fr-CA"/>
        </w:rPr>
        <w:t>plan de cours du</w:t>
      </w:r>
      <w:r w:rsidR="00CF1303" w:rsidRPr="005359C7">
        <w:rPr>
          <w:lang w:val="fr-CA"/>
        </w:rPr>
        <w:t xml:space="preserve"> RAC </w:t>
      </w:r>
      <w:r w:rsidR="009C0A59" w:rsidRPr="005359C7">
        <w:rPr>
          <w:lang w:val="fr-CA"/>
        </w:rPr>
        <w:t xml:space="preserve">dans les </w:t>
      </w:r>
      <w:r w:rsidR="004D7396" w:rsidRPr="005359C7">
        <w:rPr>
          <w:lang w:val="fr-CA"/>
        </w:rPr>
        <w:t>institutions</w:t>
      </w:r>
      <w:r w:rsidR="009C0A59" w:rsidRPr="005359C7">
        <w:rPr>
          <w:lang w:val="fr-CA"/>
        </w:rPr>
        <w:t xml:space="preserve"> techniques, afin d’inclure une </w:t>
      </w:r>
      <w:r w:rsidR="00CF1303" w:rsidRPr="005359C7">
        <w:rPr>
          <w:lang w:val="fr-CA"/>
        </w:rPr>
        <w:t xml:space="preserve">introduction </w:t>
      </w:r>
      <w:r w:rsidR="009C0A59" w:rsidRPr="005359C7">
        <w:rPr>
          <w:lang w:val="fr-CA"/>
        </w:rPr>
        <w:t>au</w:t>
      </w:r>
      <w:r w:rsidR="00CF1303" w:rsidRPr="005359C7">
        <w:rPr>
          <w:lang w:val="fr-CA"/>
        </w:rPr>
        <w:t xml:space="preserve"> </w:t>
      </w:r>
      <w:r w:rsidR="007C0721" w:rsidRPr="005359C7">
        <w:rPr>
          <w:lang w:val="fr-CA"/>
        </w:rPr>
        <w:t>Protocole de Montréal</w:t>
      </w:r>
      <w:r w:rsidR="006E3D1E" w:rsidRPr="005359C7">
        <w:rPr>
          <w:lang w:val="fr-CA"/>
        </w:rPr>
        <w:t xml:space="preserve"> et </w:t>
      </w:r>
      <w:r w:rsidR="00D64484">
        <w:rPr>
          <w:lang w:val="fr-CA"/>
        </w:rPr>
        <w:t>aux</w:t>
      </w:r>
      <w:r w:rsidR="009C0A59" w:rsidRPr="005359C7">
        <w:rPr>
          <w:lang w:val="fr-CA"/>
        </w:rPr>
        <w:t xml:space="preserve"> pratiques de</w:t>
      </w:r>
      <w:r w:rsidR="00D64484">
        <w:rPr>
          <w:lang w:val="fr-CA"/>
        </w:rPr>
        <w:t> </w:t>
      </w:r>
      <w:r w:rsidR="009C0A59" w:rsidRPr="005359C7">
        <w:rPr>
          <w:lang w:val="fr-CA"/>
        </w:rPr>
        <w:t>récupération, recyclage et régénération</w:t>
      </w:r>
      <w:r w:rsidR="00CF1303" w:rsidRPr="005359C7">
        <w:rPr>
          <w:lang w:val="fr-CA"/>
        </w:rPr>
        <w:t>;</w:t>
      </w:r>
    </w:p>
    <w:p w14:paraId="22524F63" w14:textId="77777777" w:rsidR="00CF1303" w:rsidRPr="005359C7" w:rsidRDefault="009C0A59" w:rsidP="00CF1303">
      <w:pPr>
        <w:pStyle w:val="Heading2"/>
        <w:numPr>
          <w:ilvl w:val="1"/>
          <w:numId w:val="1"/>
        </w:numPr>
        <w:rPr>
          <w:lang w:val="fr-CA"/>
        </w:rPr>
      </w:pPr>
      <w:r w:rsidRPr="005359C7">
        <w:rPr>
          <w:lang w:val="fr-CA"/>
        </w:rPr>
        <w:t>Cinq</w:t>
      </w:r>
      <w:r w:rsidR="00CF1303" w:rsidRPr="005359C7">
        <w:rPr>
          <w:lang w:val="fr-CA"/>
        </w:rPr>
        <w:t xml:space="preserve"> </w:t>
      </w:r>
      <w:r w:rsidRPr="005359C7">
        <w:rPr>
          <w:lang w:val="fr-CA"/>
        </w:rPr>
        <w:t>ateliers de formation</w:t>
      </w:r>
      <w:r w:rsidR="00CF1303" w:rsidRPr="005359C7">
        <w:rPr>
          <w:lang w:val="fr-CA"/>
        </w:rPr>
        <w:t xml:space="preserve"> </w:t>
      </w:r>
      <w:r w:rsidRPr="005359C7">
        <w:rPr>
          <w:lang w:val="fr-CA"/>
        </w:rPr>
        <w:t xml:space="preserve">sur les bonnes pratiques d’entretien pour </w:t>
      </w:r>
      <w:r w:rsidR="00CF1303" w:rsidRPr="005359C7">
        <w:rPr>
          <w:lang w:val="fr-CA"/>
        </w:rPr>
        <w:t xml:space="preserve">238 </w:t>
      </w:r>
      <w:r w:rsidR="00564122" w:rsidRPr="005359C7">
        <w:rPr>
          <w:lang w:val="fr-CA"/>
        </w:rPr>
        <w:t>technicien</w:t>
      </w:r>
      <w:r w:rsidR="00CF1303" w:rsidRPr="005359C7">
        <w:rPr>
          <w:lang w:val="fr-CA"/>
        </w:rPr>
        <w:t xml:space="preserve">s </w:t>
      </w:r>
      <w:r w:rsidRPr="005359C7">
        <w:rPr>
          <w:lang w:val="fr-CA"/>
        </w:rPr>
        <w:t>du</w:t>
      </w:r>
      <w:r w:rsidR="00D64484">
        <w:rPr>
          <w:lang w:val="fr-CA"/>
        </w:rPr>
        <w:t> </w:t>
      </w:r>
      <w:r w:rsidRPr="005359C7">
        <w:rPr>
          <w:lang w:val="fr-CA"/>
        </w:rPr>
        <w:t>secteur de l’entretien, de l’installation et de l’assemblage des</w:t>
      </w:r>
      <w:r w:rsidR="00CF1303" w:rsidRPr="005359C7">
        <w:rPr>
          <w:lang w:val="fr-CA"/>
        </w:rPr>
        <w:t xml:space="preserve"> RAC;</w:t>
      </w:r>
      <w:r w:rsidR="006E3D1E" w:rsidRPr="005359C7">
        <w:rPr>
          <w:lang w:val="fr-CA"/>
        </w:rPr>
        <w:t xml:space="preserve"> et </w:t>
      </w:r>
      <w:r w:rsidR="00CF1303" w:rsidRPr="005359C7">
        <w:rPr>
          <w:lang w:val="fr-CA"/>
        </w:rPr>
        <w:t>30 </w:t>
      </w:r>
      <w:r w:rsidRPr="005359C7">
        <w:rPr>
          <w:lang w:val="fr-CA"/>
        </w:rPr>
        <w:t>ateliers de</w:t>
      </w:r>
      <w:r w:rsidR="00D64484">
        <w:rPr>
          <w:lang w:val="fr-CA"/>
        </w:rPr>
        <w:t> </w:t>
      </w:r>
      <w:r w:rsidRPr="005359C7">
        <w:rPr>
          <w:lang w:val="fr-CA"/>
        </w:rPr>
        <w:t>formation</w:t>
      </w:r>
      <w:r w:rsidR="00CF1303" w:rsidRPr="005359C7">
        <w:rPr>
          <w:lang w:val="fr-CA"/>
        </w:rPr>
        <w:t xml:space="preserve"> </w:t>
      </w:r>
      <w:r w:rsidRPr="005359C7">
        <w:rPr>
          <w:lang w:val="fr-CA"/>
        </w:rPr>
        <w:t>de</w:t>
      </w:r>
      <w:r w:rsidR="00CF1303" w:rsidRPr="005359C7">
        <w:rPr>
          <w:lang w:val="fr-CA"/>
        </w:rPr>
        <w:t xml:space="preserve"> </w:t>
      </w:r>
      <w:r w:rsidR="006E3D1E" w:rsidRPr="005359C7">
        <w:rPr>
          <w:lang w:val="fr-CA"/>
        </w:rPr>
        <w:t>1 </w:t>
      </w:r>
      <w:r w:rsidR="00CF1303" w:rsidRPr="005359C7">
        <w:rPr>
          <w:lang w:val="fr-CA"/>
        </w:rPr>
        <w:t>261 </w:t>
      </w:r>
      <w:r w:rsidR="00564122" w:rsidRPr="005359C7">
        <w:rPr>
          <w:lang w:val="fr-CA"/>
        </w:rPr>
        <w:t>technicien</w:t>
      </w:r>
      <w:r w:rsidR="00CF1303" w:rsidRPr="005359C7">
        <w:rPr>
          <w:lang w:val="fr-CA"/>
        </w:rPr>
        <w:t xml:space="preserve">s </w:t>
      </w:r>
      <w:r w:rsidRPr="005359C7">
        <w:rPr>
          <w:lang w:val="fr-CA"/>
        </w:rPr>
        <w:t>du secteur informel</w:t>
      </w:r>
      <w:r w:rsidR="00CF1303" w:rsidRPr="005359C7">
        <w:rPr>
          <w:lang w:val="fr-CA"/>
        </w:rPr>
        <w:t>;</w:t>
      </w:r>
    </w:p>
    <w:p w14:paraId="4ABC6068" w14:textId="77777777" w:rsidR="00CF1303" w:rsidRPr="005359C7" w:rsidRDefault="00BA5114" w:rsidP="00CF1303">
      <w:pPr>
        <w:pStyle w:val="Heading2"/>
        <w:numPr>
          <w:ilvl w:val="1"/>
          <w:numId w:val="1"/>
        </w:numPr>
        <w:rPr>
          <w:lang w:val="fr-CA"/>
        </w:rPr>
      </w:pPr>
      <w:r>
        <w:rPr>
          <w:lang w:val="fr-CA"/>
        </w:rPr>
        <w:t>Au total</w:t>
      </w:r>
      <w:r w:rsidR="009C0A59" w:rsidRPr="005359C7">
        <w:rPr>
          <w:lang w:val="fr-CA"/>
        </w:rPr>
        <w:t xml:space="preserve">, </w:t>
      </w:r>
      <w:r w:rsidR="00CF1303" w:rsidRPr="005359C7">
        <w:rPr>
          <w:lang w:val="fr-CA"/>
        </w:rPr>
        <w:t xml:space="preserve">199 </w:t>
      </w:r>
      <w:r w:rsidR="009C0A59" w:rsidRPr="005359C7">
        <w:rPr>
          <w:lang w:val="fr-CA"/>
        </w:rPr>
        <w:t xml:space="preserve">unités de climatisation résidentielle, d’une charge totale de </w:t>
      </w:r>
      <w:r w:rsidR="00CF1303" w:rsidRPr="005359C7">
        <w:rPr>
          <w:lang w:val="fr-CA"/>
        </w:rPr>
        <w:t xml:space="preserve">520 kg </w:t>
      </w:r>
      <w:r w:rsidR="009C0A59" w:rsidRPr="005359C7">
        <w:rPr>
          <w:lang w:val="fr-CA"/>
        </w:rPr>
        <w:t>de</w:t>
      </w:r>
      <w:r>
        <w:rPr>
          <w:lang w:val="fr-CA"/>
        </w:rPr>
        <w:t> </w:t>
      </w:r>
      <w:r w:rsidR="00CF1303" w:rsidRPr="005359C7">
        <w:rPr>
          <w:lang w:val="fr-CA"/>
        </w:rPr>
        <w:t>HCFC</w:t>
      </w:r>
      <w:r w:rsidR="009C0A59" w:rsidRPr="005359C7">
        <w:rPr>
          <w:lang w:val="fr-CA"/>
        </w:rPr>
        <w:noBreakHyphen/>
      </w:r>
      <w:r w:rsidR="00CF1303" w:rsidRPr="005359C7">
        <w:rPr>
          <w:lang w:val="fr-CA"/>
        </w:rPr>
        <w:t>2</w:t>
      </w:r>
      <w:r w:rsidR="006E3D1E" w:rsidRPr="005359C7">
        <w:rPr>
          <w:lang w:val="fr-CA"/>
        </w:rPr>
        <w:t>2</w:t>
      </w:r>
      <w:r w:rsidR="009C0A59" w:rsidRPr="005359C7">
        <w:rPr>
          <w:lang w:val="fr-CA"/>
        </w:rPr>
        <w:t xml:space="preserve">, ont été remplacées par de nouveaux climatiseurs avec </w:t>
      </w:r>
      <w:r w:rsidR="00CF1303" w:rsidRPr="005359C7">
        <w:rPr>
          <w:lang w:val="fr-CA"/>
        </w:rPr>
        <w:t>HFC-32</w:t>
      </w:r>
      <w:r w:rsidR="009C0A59" w:rsidRPr="005359C7">
        <w:rPr>
          <w:lang w:val="fr-CA"/>
        </w:rPr>
        <w:t xml:space="preserve">, dotés d’une capacité de refroidissement allant de </w:t>
      </w:r>
      <w:r w:rsidR="006E3D1E" w:rsidRPr="005359C7">
        <w:rPr>
          <w:lang w:val="fr-CA"/>
        </w:rPr>
        <w:t>9 </w:t>
      </w:r>
      <w:r w:rsidR="00CF1303" w:rsidRPr="005359C7">
        <w:rPr>
          <w:lang w:val="fr-CA"/>
        </w:rPr>
        <w:t xml:space="preserve">000 </w:t>
      </w:r>
      <w:r w:rsidR="009C0A59" w:rsidRPr="005359C7">
        <w:rPr>
          <w:lang w:val="fr-CA"/>
        </w:rPr>
        <w:t>à</w:t>
      </w:r>
      <w:r w:rsidR="00CF1303" w:rsidRPr="005359C7">
        <w:rPr>
          <w:lang w:val="fr-CA"/>
        </w:rPr>
        <w:t xml:space="preserve"> 2</w:t>
      </w:r>
      <w:r w:rsidR="006E3D1E" w:rsidRPr="005359C7">
        <w:rPr>
          <w:lang w:val="fr-CA"/>
        </w:rPr>
        <w:t>4 </w:t>
      </w:r>
      <w:r w:rsidR="00CF1303" w:rsidRPr="005359C7">
        <w:rPr>
          <w:lang w:val="fr-CA"/>
        </w:rPr>
        <w:t>000 B</w:t>
      </w:r>
      <w:r w:rsidR="009C0A59" w:rsidRPr="005359C7">
        <w:rPr>
          <w:lang w:val="fr-CA"/>
        </w:rPr>
        <w:t>TU</w:t>
      </w:r>
      <w:r w:rsidR="00CF1303" w:rsidRPr="005359C7">
        <w:rPr>
          <w:lang w:val="fr-CA"/>
        </w:rPr>
        <w:t>/h</w:t>
      </w:r>
      <w:r w:rsidR="00CF1303" w:rsidRPr="005359C7">
        <w:rPr>
          <w:rStyle w:val="FootnoteReference"/>
          <w:lang w:val="fr-CA"/>
        </w:rPr>
        <w:footnoteReference w:id="4"/>
      </w:r>
      <w:r w:rsidR="009C0A59" w:rsidRPr="005359C7">
        <w:rPr>
          <w:lang w:val="fr-CA"/>
        </w:rPr>
        <w:t>. La plus grande partie du</w:t>
      </w:r>
      <w:r>
        <w:rPr>
          <w:lang w:val="fr-CA"/>
        </w:rPr>
        <w:t> </w:t>
      </w:r>
      <w:r w:rsidR="00CF1303" w:rsidRPr="005359C7">
        <w:rPr>
          <w:lang w:val="fr-CA"/>
        </w:rPr>
        <w:t xml:space="preserve">HCFC-22 </w:t>
      </w:r>
      <w:r w:rsidR="009C0A59" w:rsidRPr="005359C7">
        <w:rPr>
          <w:lang w:val="fr-CA"/>
        </w:rPr>
        <w:t>a été récupérée et régénérée par l</w:t>
      </w:r>
      <w:r w:rsidR="000A4D88" w:rsidRPr="005359C7">
        <w:rPr>
          <w:lang w:val="fr-CA"/>
        </w:rPr>
        <w:t>’entrepreneur en entretien, à titre de condition préalable à l’attribution de l’incitatif</w:t>
      </w:r>
      <w:r w:rsidR="00CF1303" w:rsidRPr="005359C7">
        <w:rPr>
          <w:lang w:val="fr-CA"/>
        </w:rPr>
        <w:t>;</w:t>
      </w:r>
    </w:p>
    <w:p w14:paraId="37CB4EA6" w14:textId="77777777" w:rsidR="00CF1303" w:rsidRPr="005359C7" w:rsidRDefault="000A4D88" w:rsidP="00CF1303">
      <w:pPr>
        <w:pStyle w:val="Heading2"/>
        <w:numPr>
          <w:ilvl w:val="1"/>
          <w:numId w:val="1"/>
        </w:numPr>
        <w:rPr>
          <w:sz w:val="21"/>
          <w:szCs w:val="21"/>
          <w:lang w:val="fr-CA"/>
        </w:rPr>
      </w:pPr>
      <w:r w:rsidRPr="005359C7">
        <w:rPr>
          <w:sz w:val="21"/>
          <w:szCs w:val="21"/>
          <w:lang w:val="fr-CA"/>
        </w:rPr>
        <w:t xml:space="preserve">Un centre de récupération a été établi en juin </w:t>
      </w:r>
      <w:r w:rsidR="00CF1303" w:rsidRPr="005359C7">
        <w:rPr>
          <w:sz w:val="21"/>
          <w:szCs w:val="21"/>
          <w:lang w:val="fr-CA"/>
        </w:rPr>
        <w:t>201</w:t>
      </w:r>
      <w:r w:rsidR="006E3D1E" w:rsidRPr="005359C7">
        <w:rPr>
          <w:sz w:val="21"/>
          <w:szCs w:val="21"/>
          <w:lang w:val="fr-CA"/>
        </w:rPr>
        <w:t>8</w:t>
      </w:r>
      <w:r w:rsidRPr="005359C7">
        <w:rPr>
          <w:sz w:val="21"/>
          <w:szCs w:val="21"/>
          <w:lang w:val="fr-CA"/>
        </w:rPr>
        <w:t xml:space="preserve">, le premier d’un total de neuf centres </w:t>
      </w:r>
      <w:r w:rsidRPr="005359C7">
        <w:rPr>
          <w:sz w:val="21"/>
          <w:szCs w:val="21"/>
          <w:lang w:val="fr-CA"/>
        </w:rPr>
        <w:lastRenderedPageBreak/>
        <w:t xml:space="preserve">établis à la suite de l’établissement du </w:t>
      </w:r>
      <w:r w:rsidR="00564122" w:rsidRPr="005359C7">
        <w:rPr>
          <w:sz w:val="21"/>
          <w:szCs w:val="21"/>
          <w:lang w:val="fr-CA"/>
        </w:rPr>
        <w:t>PGEH</w:t>
      </w:r>
      <w:r w:rsidRPr="005359C7">
        <w:rPr>
          <w:sz w:val="21"/>
          <w:szCs w:val="21"/>
          <w:lang w:val="fr-CA"/>
        </w:rPr>
        <w:t>. Des jeux de machine de réclamation et de</w:t>
      </w:r>
      <w:r w:rsidR="00BA5114">
        <w:rPr>
          <w:sz w:val="21"/>
          <w:szCs w:val="21"/>
          <w:lang w:val="fr-CA"/>
        </w:rPr>
        <w:t> </w:t>
      </w:r>
      <w:r w:rsidRPr="005359C7">
        <w:rPr>
          <w:sz w:val="21"/>
          <w:szCs w:val="21"/>
          <w:lang w:val="fr-CA"/>
        </w:rPr>
        <w:t xml:space="preserve">récupération ont été achetés et distribués. Et </w:t>
      </w:r>
      <w:r w:rsidR="00BA5114">
        <w:rPr>
          <w:sz w:val="21"/>
          <w:szCs w:val="21"/>
          <w:lang w:val="fr-CA"/>
        </w:rPr>
        <w:t xml:space="preserve">l’on a réuni les </w:t>
      </w:r>
      <w:r w:rsidRPr="005359C7">
        <w:rPr>
          <w:sz w:val="21"/>
          <w:szCs w:val="21"/>
          <w:lang w:val="fr-CA"/>
        </w:rPr>
        <w:t>intéressés afin de promouvoir la récupération et la régénération</w:t>
      </w:r>
      <w:r w:rsidR="00CF1303" w:rsidRPr="005359C7">
        <w:rPr>
          <w:sz w:val="21"/>
          <w:szCs w:val="21"/>
          <w:lang w:val="fr-CA"/>
        </w:rPr>
        <w:t xml:space="preserve"> </w:t>
      </w:r>
      <w:r w:rsidRPr="005359C7">
        <w:rPr>
          <w:sz w:val="21"/>
          <w:szCs w:val="21"/>
          <w:lang w:val="fr-CA"/>
        </w:rPr>
        <w:t>des</w:t>
      </w:r>
      <w:r w:rsidR="00CF1303" w:rsidRPr="005359C7">
        <w:rPr>
          <w:sz w:val="21"/>
          <w:szCs w:val="21"/>
          <w:lang w:val="fr-CA"/>
        </w:rPr>
        <w:t xml:space="preserve"> </w:t>
      </w:r>
      <w:r w:rsidRPr="005359C7">
        <w:rPr>
          <w:sz w:val="21"/>
          <w:szCs w:val="21"/>
          <w:lang w:val="fr-CA"/>
        </w:rPr>
        <w:t>frigorigène</w:t>
      </w:r>
      <w:r w:rsidR="00CF1303" w:rsidRPr="005359C7">
        <w:rPr>
          <w:sz w:val="21"/>
          <w:szCs w:val="21"/>
          <w:lang w:val="fr-CA"/>
        </w:rPr>
        <w:t xml:space="preserve">s. </w:t>
      </w:r>
      <w:r w:rsidRPr="005359C7">
        <w:rPr>
          <w:sz w:val="21"/>
          <w:szCs w:val="21"/>
          <w:lang w:val="fr-CA"/>
        </w:rPr>
        <w:t>Cette activité</w:t>
      </w:r>
      <w:r w:rsidR="00CF1303" w:rsidRPr="005359C7">
        <w:rPr>
          <w:lang w:val="fr-CA"/>
        </w:rPr>
        <w:t xml:space="preserve"> </w:t>
      </w:r>
      <w:r w:rsidR="004D7396" w:rsidRPr="005359C7">
        <w:rPr>
          <w:lang w:val="fr-CA"/>
        </w:rPr>
        <w:t>permet</w:t>
      </w:r>
      <w:r w:rsidRPr="005359C7">
        <w:rPr>
          <w:lang w:val="fr-CA"/>
        </w:rPr>
        <w:t xml:space="preserve"> </w:t>
      </w:r>
      <w:r w:rsidRPr="005359C7">
        <w:rPr>
          <w:sz w:val="21"/>
          <w:szCs w:val="21"/>
          <w:lang w:val="fr-CA"/>
        </w:rPr>
        <w:t xml:space="preserve">d’épargner une </w:t>
      </w:r>
      <w:r w:rsidR="00CF1303" w:rsidRPr="005359C7">
        <w:rPr>
          <w:sz w:val="21"/>
          <w:szCs w:val="21"/>
          <w:lang w:val="fr-CA"/>
        </w:rPr>
        <w:t xml:space="preserve">tonne </w:t>
      </w:r>
      <w:r w:rsidRPr="005359C7">
        <w:rPr>
          <w:sz w:val="21"/>
          <w:szCs w:val="21"/>
          <w:lang w:val="fr-CA"/>
        </w:rPr>
        <w:t>de</w:t>
      </w:r>
      <w:r w:rsidR="00CF1303" w:rsidRPr="005359C7">
        <w:rPr>
          <w:sz w:val="21"/>
          <w:szCs w:val="21"/>
          <w:lang w:val="fr-CA"/>
        </w:rPr>
        <w:t xml:space="preserve"> HCFC p</w:t>
      </w:r>
      <w:r w:rsidRPr="005359C7">
        <w:rPr>
          <w:sz w:val="21"/>
          <w:szCs w:val="21"/>
          <w:lang w:val="fr-CA"/>
        </w:rPr>
        <w:t>a</w:t>
      </w:r>
      <w:r w:rsidR="00CF1303" w:rsidRPr="005359C7">
        <w:rPr>
          <w:sz w:val="21"/>
          <w:szCs w:val="21"/>
          <w:lang w:val="fr-CA"/>
        </w:rPr>
        <w:t xml:space="preserve">r </w:t>
      </w:r>
      <w:r w:rsidR="006E3D1E" w:rsidRPr="005359C7">
        <w:rPr>
          <w:sz w:val="21"/>
          <w:szCs w:val="21"/>
          <w:lang w:val="fr-CA"/>
        </w:rPr>
        <w:t>année</w:t>
      </w:r>
      <w:r w:rsidR="00CF1303" w:rsidRPr="005359C7">
        <w:rPr>
          <w:sz w:val="21"/>
          <w:szCs w:val="21"/>
          <w:lang w:val="fr-CA"/>
        </w:rPr>
        <w:t>;</w:t>
      </w:r>
      <w:r w:rsidR="00F00A12">
        <w:rPr>
          <w:sz w:val="21"/>
          <w:szCs w:val="21"/>
          <w:lang w:val="fr-CA"/>
        </w:rPr>
        <w:t xml:space="preserve"> et</w:t>
      </w:r>
    </w:p>
    <w:p w14:paraId="0D94FA1E" w14:textId="77777777" w:rsidR="00CF1303" w:rsidRPr="005359C7" w:rsidRDefault="001059BF" w:rsidP="00CF1303">
      <w:pPr>
        <w:pStyle w:val="Heading2"/>
        <w:keepNext/>
        <w:keepLines/>
        <w:numPr>
          <w:ilvl w:val="1"/>
          <w:numId w:val="1"/>
        </w:numPr>
        <w:rPr>
          <w:lang w:val="fr-CA"/>
        </w:rPr>
      </w:pPr>
      <w:r w:rsidRPr="005359C7">
        <w:rPr>
          <w:lang w:val="fr-CA"/>
        </w:rPr>
        <w:t>Ateliers sur l’accroissement de la sensibilisation aux obligations d’élimination des</w:t>
      </w:r>
      <w:r w:rsidR="00C60B51" w:rsidRPr="005359C7">
        <w:rPr>
          <w:lang w:val="fr-CA"/>
        </w:rPr>
        <w:t> </w:t>
      </w:r>
      <w:r w:rsidR="00CF1303" w:rsidRPr="005359C7">
        <w:rPr>
          <w:lang w:val="fr-CA"/>
        </w:rPr>
        <w:t xml:space="preserve">HCFC, </w:t>
      </w:r>
      <w:r w:rsidRPr="005359C7">
        <w:rPr>
          <w:lang w:val="fr-CA"/>
        </w:rPr>
        <w:t xml:space="preserve">règlements du pays, et technologie sans SAO et à faible potentiel de réchauffement de la planète </w:t>
      </w:r>
      <w:r w:rsidR="00CF1303" w:rsidRPr="005359C7">
        <w:rPr>
          <w:lang w:val="fr-CA"/>
        </w:rPr>
        <w:t xml:space="preserve">(GWP), </w:t>
      </w:r>
      <w:r w:rsidRPr="005359C7">
        <w:rPr>
          <w:lang w:val="fr-CA"/>
        </w:rPr>
        <w:t>pour les importateurs, ingénieurs, et utilisateurs finals</w:t>
      </w:r>
      <w:r w:rsidR="00CF1303" w:rsidRPr="005359C7">
        <w:rPr>
          <w:lang w:val="fr-CA"/>
        </w:rPr>
        <w:t xml:space="preserve">. </w:t>
      </w:r>
    </w:p>
    <w:p w14:paraId="274C1323" w14:textId="77777777" w:rsidR="00CF1303" w:rsidRPr="00BA5114" w:rsidRDefault="00813FBF" w:rsidP="00CF1303">
      <w:pPr>
        <w:spacing w:after="240"/>
        <w:rPr>
          <w:lang w:val="fr-CA"/>
        </w:rPr>
      </w:pPr>
      <w:r w:rsidRPr="005359C7">
        <w:rPr>
          <w:i/>
          <w:lang w:val="fr-CA"/>
        </w:rPr>
        <w:t>Bureau de gestion des p</w:t>
      </w:r>
      <w:r w:rsidR="00A4276C" w:rsidRPr="005359C7">
        <w:rPr>
          <w:i/>
          <w:lang w:val="fr-CA"/>
        </w:rPr>
        <w:t>rojet</w:t>
      </w:r>
      <w:r w:rsidRPr="005359C7">
        <w:rPr>
          <w:i/>
          <w:lang w:val="fr-CA"/>
        </w:rPr>
        <w:t>s</w:t>
      </w:r>
    </w:p>
    <w:p w14:paraId="2C86EF12" w14:textId="77777777" w:rsidR="00CF1303" w:rsidRPr="005359C7" w:rsidRDefault="00813FBF" w:rsidP="00CF1303">
      <w:pPr>
        <w:pStyle w:val="Heading1"/>
        <w:rPr>
          <w:b/>
          <w:lang w:val="fr-CA"/>
        </w:rPr>
      </w:pPr>
      <w:r w:rsidRPr="005359C7">
        <w:rPr>
          <w:lang w:val="fr-CA"/>
        </w:rPr>
        <w:t>Un bureau de gestion des projets</w:t>
      </w:r>
      <w:r w:rsidR="00CF1303" w:rsidRPr="005359C7">
        <w:rPr>
          <w:lang w:val="fr-CA"/>
        </w:rPr>
        <w:t xml:space="preserve"> </w:t>
      </w:r>
      <w:r w:rsidRPr="005359C7">
        <w:rPr>
          <w:lang w:val="fr-CA"/>
        </w:rPr>
        <w:t>a été formé dans le cadre de l’</w:t>
      </w:r>
      <w:r w:rsidR="00BA5114">
        <w:rPr>
          <w:lang w:val="fr-CA"/>
        </w:rPr>
        <w:t>U</w:t>
      </w:r>
      <w:r w:rsidRPr="005359C7">
        <w:rPr>
          <w:lang w:val="fr-CA"/>
        </w:rPr>
        <w:t>nité nationale d’ozone (</w:t>
      </w:r>
      <w:r w:rsidR="00853AB0" w:rsidRPr="005359C7">
        <w:rPr>
          <w:lang w:val="fr-CA"/>
        </w:rPr>
        <w:t>UNO</w:t>
      </w:r>
      <w:r w:rsidRPr="005359C7">
        <w:rPr>
          <w:lang w:val="fr-CA"/>
        </w:rPr>
        <w:t>)</w:t>
      </w:r>
      <w:r w:rsidR="00853AB0" w:rsidRPr="005359C7">
        <w:rPr>
          <w:lang w:val="fr-CA"/>
        </w:rPr>
        <w:t xml:space="preserve"> </w:t>
      </w:r>
      <w:r w:rsidRPr="005359C7">
        <w:rPr>
          <w:lang w:val="fr-CA"/>
        </w:rPr>
        <w:t>à</w:t>
      </w:r>
      <w:r w:rsidR="00BA5114">
        <w:rPr>
          <w:lang w:val="fr-CA"/>
        </w:rPr>
        <w:t> </w:t>
      </w:r>
      <w:r w:rsidRPr="005359C7">
        <w:rPr>
          <w:lang w:val="fr-CA"/>
        </w:rPr>
        <w:t xml:space="preserve">titre d’instrument de mise en </w:t>
      </w:r>
      <w:proofErr w:type="spellStart"/>
      <w:r w:rsidRPr="005359C7">
        <w:rPr>
          <w:lang w:val="fr-CA"/>
        </w:rPr>
        <w:t>oeuvre</w:t>
      </w:r>
      <w:proofErr w:type="spellEnd"/>
      <w:r w:rsidRPr="005359C7">
        <w:rPr>
          <w:lang w:val="fr-CA"/>
        </w:rPr>
        <w:t xml:space="preserve"> du projet</w:t>
      </w:r>
      <w:r w:rsidR="00CF1303" w:rsidRPr="005359C7">
        <w:rPr>
          <w:lang w:val="fr-CA"/>
        </w:rPr>
        <w:t xml:space="preserve">. </w:t>
      </w:r>
      <w:r w:rsidRPr="005359C7">
        <w:rPr>
          <w:lang w:val="fr-CA"/>
        </w:rPr>
        <w:t>Le bureau de gestion des projets</w:t>
      </w:r>
      <w:r w:rsidR="00CF1303" w:rsidRPr="005359C7">
        <w:rPr>
          <w:lang w:val="fr-CA"/>
        </w:rPr>
        <w:t xml:space="preserve"> </w:t>
      </w:r>
      <w:r w:rsidRPr="005359C7">
        <w:rPr>
          <w:lang w:val="fr-CA"/>
        </w:rPr>
        <w:t xml:space="preserve">a fourni du soutien </w:t>
      </w:r>
      <w:r w:rsidR="00382AE2" w:rsidRPr="005359C7">
        <w:rPr>
          <w:lang w:val="fr-CA"/>
        </w:rPr>
        <w:t xml:space="preserve">par l’entremise de stratégies de développement dans le cadre de chaque sous-élément du </w:t>
      </w:r>
      <w:r w:rsidR="00564122" w:rsidRPr="005359C7">
        <w:rPr>
          <w:lang w:val="fr-CA"/>
        </w:rPr>
        <w:t>PGEH</w:t>
      </w:r>
      <w:r w:rsidR="00CF1303" w:rsidRPr="005359C7">
        <w:rPr>
          <w:lang w:val="fr-CA"/>
        </w:rPr>
        <w:t xml:space="preserve">; </w:t>
      </w:r>
      <w:r w:rsidR="00382AE2" w:rsidRPr="005359C7">
        <w:rPr>
          <w:lang w:val="fr-CA"/>
        </w:rPr>
        <w:t>la</w:t>
      </w:r>
      <w:r w:rsidR="00BA5114">
        <w:rPr>
          <w:lang w:val="fr-CA"/>
        </w:rPr>
        <w:t> </w:t>
      </w:r>
      <w:r w:rsidR="00382AE2" w:rsidRPr="005359C7">
        <w:rPr>
          <w:lang w:val="fr-CA"/>
        </w:rPr>
        <w:t xml:space="preserve">coordination avec les parties intéressées et les agences d’exécution pour les activités de mise en </w:t>
      </w:r>
      <w:proofErr w:type="spellStart"/>
      <w:r w:rsidR="00382AE2" w:rsidRPr="005359C7">
        <w:rPr>
          <w:lang w:val="fr-CA"/>
        </w:rPr>
        <w:t>oeuvre</w:t>
      </w:r>
      <w:proofErr w:type="spellEnd"/>
      <w:r w:rsidR="00CF1303" w:rsidRPr="005359C7">
        <w:rPr>
          <w:lang w:val="fr-CA"/>
        </w:rPr>
        <w:t xml:space="preserve">; </w:t>
      </w:r>
      <w:r w:rsidR="00382AE2" w:rsidRPr="005359C7">
        <w:rPr>
          <w:lang w:val="fr-CA"/>
        </w:rPr>
        <w:t xml:space="preserve">l’élaboration et le maintien d’une base de données des fournitures de </w:t>
      </w:r>
      <w:r w:rsidR="00CF1303" w:rsidRPr="005359C7">
        <w:rPr>
          <w:lang w:val="fr-CA"/>
        </w:rPr>
        <w:t xml:space="preserve">HCFC </w:t>
      </w:r>
      <w:r w:rsidR="00382AE2" w:rsidRPr="005359C7">
        <w:rPr>
          <w:lang w:val="fr-CA"/>
        </w:rPr>
        <w:t>et de leurs utilisateurs</w:t>
      </w:r>
      <w:r w:rsidR="00CF1303" w:rsidRPr="005359C7">
        <w:rPr>
          <w:lang w:val="fr-CA"/>
        </w:rPr>
        <w:t>;</w:t>
      </w:r>
      <w:r w:rsidR="006E3D1E" w:rsidRPr="005359C7">
        <w:rPr>
          <w:lang w:val="fr-CA"/>
        </w:rPr>
        <w:t xml:space="preserve"> et </w:t>
      </w:r>
      <w:r w:rsidR="00382AE2" w:rsidRPr="005359C7">
        <w:rPr>
          <w:lang w:val="fr-CA"/>
        </w:rPr>
        <w:t>la</w:t>
      </w:r>
      <w:r w:rsidR="00BA5114">
        <w:rPr>
          <w:lang w:val="fr-CA"/>
        </w:rPr>
        <w:t> </w:t>
      </w:r>
      <w:r w:rsidR="00382AE2" w:rsidRPr="005359C7">
        <w:rPr>
          <w:lang w:val="fr-CA"/>
        </w:rPr>
        <w:t xml:space="preserve">collaboration étroite avec des spécialistes techniques et des agences de mise en </w:t>
      </w:r>
      <w:proofErr w:type="spellStart"/>
      <w:r w:rsidR="00382AE2" w:rsidRPr="005359C7">
        <w:rPr>
          <w:lang w:val="fr-CA"/>
        </w:rPr>
        <w:t>oeuvre</w:t>
      </w:r>
      <w:proofErr w:type="spellEnd"/>
      <w:r w:rsidR="00382AE2" w:rsidRPr="005359C7">
        <w:rPr>
          <w:lang w:val="fr-CA"/>
        </w:rPr>
        <w:t xml:space="preserve"> en ce qui a trait aux questions de mise en </w:t>
      </w:r>
      <w:proofErr w:type="spellStart"/>
      <w:r w:rsidR="00382AE2" w:rsidRPr="005359C7">
        <w:rPr>
          <w:lang w:val="fr-CA"/>
        </w:rPr>
        <w:t>oeuvre</w:t>
      </w:r>
      <w:proofErr w:type="spellEnd"/>
      <w:r w:rsidR="00CF1303" w:rsidRPr="005359C7">
        <w:rPr>
          <w:lang w:val="fr-CA"/>
        </w:rPr>
        <w:t xml:space="preserve">. </w:t>
      </w:r>
      <w:r w:rsidR="00382AE2" w:rsidRPr="005359C7">
        <w:rPr>
          <w:lang w:val="fr-CA"/>
        </w:rPr>
        <w:t xml:space="preserve">Le </w:t>
      </w:r>
      <w:r w:rsidR="00CF1303" w:rsidRPr="005359C7">
        <w:rPr>
          <w:lang w:val="fr-CA"/>
        </w:rPr>
        <w:t xml:space="preserve">budget </w:t>
      </w:r>
      <w:r w:rsidR="00382AE2" w:rsidRPr="005359C7">
        <w:rPr>
          <w:lang w:val="fr-CA"/>
        </w:rPr>
        <w:t>du</w:t>
      </w:r>
      <w:r w:rsidRPr="005359C7">
        <w:rPr>
          <w:lang w:val="fr-CA"/>
        </w:rPr>
        <w:t xml:space="preserve"> bureau de gestion des projets</w:t>
      </w:r>
      <w:r w:rsidR="00CF1303" w:rsidRPr="005359C7">
        <w:rPr>
          <w:lang w:val="fr-CA"/>
        </w:rPr>
        <w:t xml:space="preserve"> </w:t>
      </w:r>
      <w:r w:rsidR="00382AE2" w:rsidRPr="005359C7">
        <w:rPr>
          <w:lang w:val="fr-CA"/>
        </w:rPr>
        <w:t xml:space="preserve">au montant de </w:t>
      </w:r>
      <w:r w:rsidR="00CF1303" w:rsidRPr="005359C7">
        <w:rPr>
          <w:lang w:val="fr-CA"/>
        </w:rPr>
        <w:t>2</w:t>
      </w:r>
      <w:r w:rsidR="006E3D1E" w:rsidRPr="005359C7">
        <w:rPr>
          <w:lang w:val="fr-CA"/>
        </w:rPr>
        <w:t>7 </w:t>
      </w:r>
      <w:r w:rsidR="00CF1303" w:rsidRPr="005359C7">
        <w:rPr>
          <w:lang w:val="fr-CA"/>
        </w:rPr>
        <w:t>766</w:t>
      </w:r>
      <w:r w:rsidR="00382AE2" w:rsidRPr="005359C7">
        <w:rPr>
          <w:lang w:val="fr-CA"/>
        </w:rPr>
        <w:t xml:space="preserve"> $US pour la </w:t>
      </w:r>
      <w:r w:rsidR="00891E3C" w:rsidRPr="005359C7">
        <w:rPr>
          <w:lang w:val="fr-CA"/>
        </w:rPr>
        <w:t>troisième</w:t>
      </w:r>
      <w:r w:rsidR="00CF1303" w:rsidRPr="005359C7">
        <w:rPr>
          <w:lang w:val="fr-CA"/>
        </w:rPr>
        <w:t xml:space="preserve"> tranche </w:t>
      </w:r>
      <w:r w:rsidR="00382AE2" w:rsidRPr="005359C7">
        <w:rPr>
          <w:lang w:val="fr-CA"/>
        </w:rPr>
        <w:t xml:space="preserve">a été déboursé pour le personnel et les </w:t>
      </w:r>
      <w:r w:rsidR="00CF1303" w:rsidRPr="005359C7">
        <w:rPr>
          <w:lang w:val="fr-CA"/>
        </w:rPr>
        <w:t>consultants (1</w:t>
      </w:r>
      <w:r w:rsidR="006E3D1E" w:rsidRPr="005359C7">
        <w:rPr>
          <w:lang w:val="fr-CA"/>
        </w:rPr>
        <w:t>6 </w:t>
      </w:r>
      <w:r w:rsidR="00CF1303" w:rsidRPr="005359C7">
        <w:rPr>
          <w:lang w:val="fr-CA"/>
        </w:rPr>
        <w:t>000</w:t>
      </w:r>
      <w:r w:rsidR="00382AE2" w:rsidRPr="005359C7">
        <w:rPr>
          <w:lang w:val="fr-CA"/>
        </w:rPr>
        <w:t> $US</w:t>
      </w:r>
      <w:r w:rsidR="00CF1303" w:rsidRPr="005359C7">
        <w:rPr>
          <w:lang w:val="fr-CA"/>
        </w:rPr>
        <w:t>)</w:t>
      </w:r>
      <w:r w:rsidR="00BA5114">
        <w:rPr>
          <w:lang w:val="fr-CA"/>
        </w:rPr>
        <w:t xml:space="preserve">,  </w:t>
      </w:r>
      <w:r w:rsidR="00382AE2" w:rsidRPr="005359C7">
        <w:rPr>
          <w:lang w:val="fr-CA"/>
        </w:rPr>
        <w:t>les</w:t>
      </w:r>
      <w:r w:rsidR="00BA5114">
        <w:rPr>
          <w:lang w:val="fr-CA"/>
        </w:rPr>
        <w:t> </w:t>
      </w:r>
      <w:r w:rsidR="00382AE2" w:rsidRPr="005359C7">
        <w:rPr>
          <w:lang w:val="fr-CA"/>
        </w:rPr>
        <w:t xml:space="preserve">déplacements, les ateliers et les réunions </w:t>
      </w:r>
      <w:r w:rsidR="00CF1303" w:rsidRPr="005359C7">
        <w:rPr>
          <w:lang w:val="fr-CA"/>
        </w:rPr>
        <w:t>(</w:t>
      </w:r>
      <w:r w:rsidR="006E3D1E" w:rsidRPr="005359C7">
        <w:rPr>
          <w:lang w:val="fr-CA"/>
        </w:rPr>
        <w:t>5 </w:t>
      </w:r>
      <w:r w:rsidR="00CF1303" w:rsidRPr="005359C7">
        <w:rPr>
          <w:lang w:val="fr-CA"/>
        </w:rPr>
        <w:t>500</w:t>
      </w:r>
      <w:r w:rsidR="00382AE2" w:rsidRPr="005359C7">
        <w:rPr>
          <w:lang w:val="fr-CA"/>
        </w:rPr>
        <w:t> $US</w:t>
      </w:r>
      <w:r w:rsidR="00CF1303" w:rsidRPr="005359C7">
        <w:rPr>
          <w:lang w:val="fr-CA"/>
        </w:rPr>
        <w:t>)</w:t>
      </w:r>
      <w:r w:rsidR="00BA5114">
        <w:rPr>
          <w:lang w:val="fr-CA"/>
        </w:rPr>
        <w:t xml:space="preserve">, </w:t>
      </w:r>
      <w:r w:rsidR="006E3D1E" w:rsidRPr="005359C7">
        <w:rPr>
          <w:lang w:val="fr-CA"/>
        </w:rPr>
        <w:t xml:space="preserve">et </w:t>
      </w:r>
      <w:r w:rsidR="00382AE2" w:rsidRPr="005359C7">
        <w:rPr>
          <w:lang w:val="fr-CA"/>
        </w:rPr>
        <w:t xml:space="preserve">diverses autres dépenses de bureau </w:t>
      </w:r>
      <w:r w:rsidR="00CF1303" w:rsidRPr="005359C7">
        <w:rPr>
          <w:lang w:val="fr-CA"/>
        </w:rPr>
        <w:t>(</w:t>
      </w:r>
      <w:r w:rsidR="006E3D1E" w:rsidRPr="005359C7">
        <w:rPr>
          <w:lang w:val="fr-CA"/>
        </w:rPr>
        <w:t>6 </w:t>
      </w:r>
      <w:r w:rsidR="00CF1303" w:rsidRPr="005359C7">
        <w:rPr>
          <w:lang w:val="fr-CA"/>
        </w:rPr>
        <w:t>266</w:t>
      </w:r>
      <w:r w:rsidR="00382AE2" w:rsidRPr="005359C7">
        <w:rPr>
          <w:lang w:val="fr-CA"/>
        </w:rPr>
        <w:t> $US</w:t>
      </w:r>
      <w:r w:rsidR="00CF1303" w:rsidRPr="005359C7">
        <w:rPr>
          <w:lang w:val="fr-CA"/>
        </w:rPr>
        <w:t xml:space="preserve">). </w:t>
      </w:r>
    </w:p>
    <w:p w14:paraId="4F8E58B5" w14:textId="77777777" w:rsidR="00CF1303" w:rsidRPr="005359C7" w:rsidRDefault="00813FBF" w:rsidP="00CF1303">
      <w:pPr>
        <w:spacing w:after="240"/>
        <w:rPr>
          <w:u w:val="single"/>
          <w:lang w:val="fr-CA"/>
        </w:rPr>
      </w:pPr>
      <w:r w:rsidRPr="005359C7">
        <w:rPr>
          <w:u w:val="single"/>
          <w:lang w:val="fr-CA"/>
        </w:rPr>
        <w:t>Niveau</w:t>
      </w:r>
      <w:r w:rsidR="003764B8" w:rsidRPr="005359C7">
        <w:rPr>
          <w:u w:val="single"/>
          <w:lang w:val="fr-CA"/>
        </w:rPr>
        <w:t xml:space="preserve"> de décaissement des fonds</w:t>
      </w:r>
    </w:p>
    <w:p w14:paraId="22EE096C" w14:textId="77777777" w:rsidR="00CF1303" w:rsidRPr="005359C7" w:rsidRDefault="003764B8" w:rsidP="00CF1303">
      <w:pPr>
        <w:pStyle w:val="Heading1"/>
        <w:rPr>
          <w:lang w:val="fr-CA"/>
        </w:rPr>
      </w:pPr>
      <w:r w:rsidRPr="005359C7">
        <w:rPr>
          <w:lang w:val="fr-CA"/>
        </w:rPr>
        <w:t xml:space="preserve">Au </w:t>
      </w:r>
      <w:r w:rsidR="00CF1303" w:rsidRPr="005359C7">
        <w:rPr>
          <w:lang w:val="fr-CA"/>
        </w:rPr>
        <w:t xml:space="preserve">29 </w:t>
      </w:r>
      <w:r w:rsidRPr="005359C7">
        <w:rPr>
          <w:lang w:val="fr-CA"/>
        </w:rPr>
        <w:t>février</w:t>
      </w:r>
      <w:r w:rsidR="00CF1303" w:rsidRPr="005359C7">
        <w:rPr>
          <w:lang w:val="fr-CA"/>
        </w:rPr>
        <w:t xml:space="preserve"> 202</w:t>
      </w:r>
      <w:r w:rsidR="006E3D1E" w:rsidRPr="005359C7">
        <w:rPr>
          <w:lang w:val="fr-CA"/>
        </w:rPr>
        <w:t>0</w:t>
      </w:r>
      <w:r w:rsidRPr="005359C7">
        <w:rPr>
          <w:lang w:val="fr-CA"/>
        </w:rPr>
        <w:t xml:space="preserve">, </w:t>
      </w:r>
      <w:r w:rsidR="00382AE2" w:rsidRPr="005359C7">
        <w:rPr>
          <w:lang w:val="fr-CA"/>
        </w:rPr>
        <w:t>la totalité du</w:t>
      </w:r>
      <w:r w:rsidRPr="005359C7">
        <w:rPr>
          <w:lang w:val="fr-CA"/>
        </w:rPr>
        <w:t xml:space="preserve"> financement approuvé jusqu’à maintenant</w:t>
      </w:r>
      <w:r w:rsidR="00CF1303" w:rsidRPr="005359C7">
        <w:rPr>
          <w:lang w:val="fr-CA"/>
        </w:rPr>
        <w:t xml:space="preserve"> (59</w:t>
      </w:r>
      <w:r w:rsidR="006E3D1E" w:rsidRPr="005359C7">
        <w:rPr>
          <w:lang w:val="fr-CA"/>
        </w:rPr>
        <w:t>1 </w:t>
      </w:r>
      <w:r w:rsidR="00CF1303" w:rsidRPr="005359C7">
        <w:rPr>
          <w:lang w:val="fr-CA"/>
        </w:rPr>
        <w:t>866</w:t>
      </w:r>
      <w:r w:rsidRPr="005359C7">
        <w:rPr>
          <w:lang w:val="fr-CA"/>
        </w:rPr>
        <w:t> $US</w:t>
      </w:r>
      <w:r w:rsidR="00CF1303" w:rsidRPr="005359C7">
        <w:rPr>
          <w:lang w:val="fr-CA"/>
        </w:rPr>
        <w:t xml:space="preserve">), </w:t>
      </w:r>
      <w:r w:rsidRPr="005359C7">
        <w:rPr>
          <w:lang w:val="fr-CA"/>
        </w:rPr>
        <w:t>avait été déboursé</w:t>
      </w:r>
      <w:r w:rsidR="00CF1303" w:rsidRPr="005359C7">
        <w:rPr>
          <w:lang w:val="fr-CA"/>
        </w:rPr>
        <w:t xml:space="preserve">. </w:t>
      </w:r>
    </w:p>
    <w:p w14:paraId="20EC3CC4" w14:textId="77777777" w:rsidR="00CF1303" w:rsidRPr="005359C7" w:rsidRDefault="007B171B" w:rsidP="00CF1303">
      <w:pPr>
        <w:spacing w:after="240"/>
        <w:rPr>
          <w:u w:val="single"/>
          <w:lang w:val="fr-CA"/>
        </w:rPr>
      </w:pPr>
      <w:r w:rsidRPr="005359C7">
        <w:rPr>
          <w:u w:val="single"/>
          <w:lang w:val="fr-CA"/>
        </w:rPr>
        <w:t xml:space="preserve">Plan de mise en </w:t>
      </w:r>
      <w:proofErr w:type="spellStart"/>
      <w:r w:rsidRPr="005359C7">
        <w:rPr>
          <w:u w:val="single"/>
          <w:lang w:val="fr-CA"/>
        </w:rPr>
        <w:t>oeuvre</w:t>
      </w:r>
      <w:proofErr w:type="spellEnd"/>
      <w:r w:rsidRPr="005359C7">
        <w:rPr>
          <w:u w:val="single"/>
          <w:lang w:val="fr-CA"/>
        </w:rPr>
        <w:t xml:space="preserve"> de la </w:t>
      </w:r>
      <w:r w:rsidR="00891E3C" w:rsidRPr="005359C7">
        <w:rPr>
          <w:u w:val="single"/>
          <w:lang w:val="fr-CA"/>
        </w:rPr>
        <w:t>quatrième</w:t>
      </w:r>
      <w:r w:rsidR="006E3D1E" w:rsidRPr="005359C7">
        <w:rPr>
          <w:u w:val="single"/>
          <w:lang w:val="fr-CA"/>
        </w:rPr>
        <w:t xml:space="preserve"> et </w:t>
      </w:r>
      <w:r w:rsidRPr="005359C7">
        <w:rPr>
          <w:u w:val="single"/>
          <w:lang w:val="fr-CA"/>
        </w:rPr>
        <w:t>dernière</w:t>
      </w:r>
      <w:r w:rsidR="00CF1303" w:rsidRPr="005359C7">
        <w:rPr>
          <w:u w:val="single"/>
          <w:lang w:val="fr-CA"/>
        </w:rPr>
        <w:t xml:space="preserve"> tranche </w:t>
      </w:r>
      <w:r w:rsidRPr="005359C7">
        <w:rPr>
          <w:u w:val="single"/>
          <w:lang w:val="fr-CA"/>
        </w:rPr>
        <w:t>du</w:t>
      </w:r>
      <w:r w:rsidR="00CF1303" w:rsidRPr="005359C7">
        <w:rPr>
          <w:u w:val="single"/>
          <w:lang w:val="fr-CA"/>
        </w:rPr>
        <w:t xml:space="preserve"> </w:t>
      </w:r>
      <w:r w:rsidR="00564122" w:rsidRPr="005359C7">
        <w:rPr>
          <w:u w:val="single"/>
          <w:lang w:val="fr-CA"/>
        </w:rPr>
        <w:t>PGEH</w:t>
      </w:r>
    </w:p>
    <w:p w14:paraId="21E3FE73" w14:textId="77777777" w:rsidR="00CF1303" w:rsidRPr="005359C7" w:rsidRDefault="007B171B" w:rsidP="00CF1303">
      <w:pPr>
        <w:pStyle w:val="Heading1"/>
        <w:rPr>
          <w:lang w:val="fr-CA"/>
        </w:rPr>
      </w:pPr>
      <w:r w:rsidRPr="005359C7">
        <w:rPr>
          <w:lang w:val="fr-CA"/>
        </w:rPr>
        <w:t xml:space="preserve">Les activités suivantes seront mises en </w:t>
      </w:r>
      <w:proofErr w:type="spellStart"/>
      <w:r w:rsidRPr="005359C7">
        <w:rPr>
          <w:lang w:val="fr-CA"/>
        </w:rPr>
        <w:t>oeuvre</w:t>
      </w:r>
      <w:proofErr w:type="spellEnd"/>
      <w:r w:rsidRPr="005359C7">
        <w:rPr>
          <w:lang w:val="fr-CA"/>
        </w:rPr>
        <w:t xml:space="preserve"> entre juillet</w:t>
      </w:r>
      <w:r w:rsidR="00CF1303" w:rsidRPr="005359C7">
        <w:rPr>
          <w:lang w:val="fr-CA"/>
        </w:rPr>
        <w:t xml:space="preserve"> 2020</w:t>
      </w:r>
      <w:r w:rsidR="006E3D1E" w:rsidRPr="005359C7">
        <w:rPr>
          <w:lang w:val="fr-CA"/>
        </w:rPr>
        <w:t xml:space="preserve"> et </w:t>
      </w:r>
      <w:r w:rsidRPr="005359C7">
        <w:rPr>
          <w:lang w:val="fr-CA"/>
        </w:rPr>
        <w:t>décembre</w:t>
      </w:r>
      <w:r w:rsidR="00CF1303" w:rsidRPr="005359C7">
        <w:rPr>
          <w:lang w:val="fr-CA"/>
        </w:rPr>
        <w:t xml:space="preserve"> 2021</w:t>
      </w:r>
      <w:r w:rsidRPr="005359C7">
        <w:rPr>
          <w:lang w:val="fr-CA"/>
        </w:rPr>
        <w:t> </w:t>
      </w:r>
      <w:r w:rsidR="00CF1303" w:rsidRPr="005359C7">
        <w:rPr>
          <w:lang w:val="fr-CA"/>
        </w:rPr>
        <w:t>:</w:t>
      </w:r>
    </w:p>
    <w:p w14:paraId="42A5540C" w14:textId="77777777" w:rsidR="00CF1303" w:rsidRPr="005359C7" w:rsidRDefault="00CF1303" w:rsidP="00CF1303">
      <w:pPr>
        <w:pStyle w:val="Heading2"/>
        <w:numPr>
          <w:ilvl w:val="1"/>
          <w:numId w:val="1"/>
        </w:numPr>
        <w:rPr>
          <w:lang w:val="fr-CA"/>
        </w:rPr>
      </w:pPr>
      <w:r w:rsidRPr="005359C7">
        <w:rPr>
          <w:lang w:val="fr-CA"/>
        </w:rPr>
        <w:t>Finali</w:t>
      </w:r>
      <w:r w:rsidR="007C6926" w:rsidRPr="005359C7">
        <w:rPr>
          <w:lang w:val="fr-CA"/>
        </w:rPr>
        <w:t>s</w:t>
      </w:r>
      <w:r w:rsidRPr="005359C7">
        <w:rPr>
          <w:lang w:val="fr-CA"/>
        </w:rPr>
        <w:t>ation</w:t>
      </w:r>
      <w:r w:rsidR="006E3D1E" w:rsidRPr="005359C7">
        <w:rPr>
          <w:lang w:val="fr-CA"/>
        </w:rPr>
        <w:t xml:space="preserve"> et </w:t>
      </w:r>
      <w:r w:rsidRPr="005359C7">
        <w:rPr>
          <w:lang w:val="fr-CA"/>
        </w:rPr>
        <w:t xml:space="preserve">publication </w:t>
      </w:r>
      <w:r w:rsidR="007C6926" w:rsidRPr="005359C7">
        <w:rPr>
          <w:lang w:val="fr-CA"/>
        </w:rPr>
        <w:t xml:space="preserve">dans la </w:t>
      </w:r>
      <w:r w:rsidR="006D1D0A" w:rsidRPr="005359C7">
        <w:rPr>
          <w:lang w:val="fr-CA"/>
        </w:rPr>
        <w:t>National Gazette (</w:t>
      </w:r>
      <w:r w:rsidR="007C6926" w:rsidRPr="005359C7">
        <w:rPr>
          <w:lang w:val="fr-CA"/>
        </w:rPr>
        <w:t>Gazette Nationale</w:t>
      </w:r>
      <w:r w:rsidR="006D1D0A" w:rsidRPr="005359C7">
        <w:rPr>
          <w:lang w:val="fr-CA"/>
        </w:rPr>
        <w:t>)</w:t>
      </w:r>
      <w:r w:rsidR="007C6926" w:rsidRPr="005359C7">
        <w:rPr>
          <w:lang w:val="fr-CA"/>
        </w:rPr>
        <w:t xml:space="preserve"> </w:t>
      </w:r>
      <w:r w:rsidR="006D1D0A" w:rsidRPr="005359C7">
        <w:rPr>
          <w:lang w:val="fr-CA"/>
        </w:rPr>
        <w:t xml:space="preserve">des règlements visant à bannir les importations de nouveaux équipements avec </w:t>
      </w:r>
      <w:r w:rsidRPr="005359C7">
        <w:rPr>
          <w:lang w:val="fr-CA"/>
        </w:rPr>
        <w:t xml:space="preserve">HCFC; </w:t>
      </w:r>
      <w:r w:rsidR="009C0A59" w:rsidRPr="005359C7">
        <w:rPr>
          <w:lang w:val="fr-CA"/>
        </w:rPr>
        <w:t>ateliers de</w:t>
      </w:r>
      <w:r w:rsidR="00BA5114">
        <w:rPr>
          <w:lang w:val="fr-CA"/>
        </w:rPr>
        <w:t> </w:t>
      </w:r>
      <w:r w:rsidR="009C0A59" w:rsidRPr="005359C7">
        <w:rPr>
          <w:lang w:val="fr-CA"/>
        </w:rPr>
        <w:t>formation</w:t>
      </w:r>
      <w:r w:rsidRPr="005359C7">
        <w:rPr>
          <w:lang w:val="fr-CA"/>
        </w:rPr>
        <w:t xml:space="preserve"> </w:t>
      </w:r>
      <w:r w:rsidR="006D1D0A" w:rsidRPr="005359C7">
        <w:rPr>
          <w:lang w:val="fr-CA"/>
        </w:rPr>
        <w:t xml:space="preserve">destinés à 20 agents de douanes et agents d’exécution sur les règlements existants et nouveaux des équipements avec </w:t>
      </w:r>
      <w:r w:rsidRPr="005359C7">
        <w:rPr>
          <w:lang w:val="fr-CA"/>
        </w:rPr>
        <w:t>HCFC</w:t>
      </w:r>
      <w:r w:rsidR="006E3D1E" w:rsidRPr="005359C7">
        <w:rPr>
          <w:lang w:val="fr-CA"/>
        </w:rPr>
        <w:t xml:space="preserve"> et </w:t>
      </w:r>
      <w:r w:rsidRPr="005359C7">
        <w:rPr>
          <w:lang w:val="fr-CA"/>
        </w:rPr>
        <w:t>RAC (</w:t>
      </w:r>
      <w:r w:rsidR="00886766" w:rsidRPr="005359C7">
        <w:rPr>
          <w:lang w:val="fr-CA"/>
        </w:rPr>
        <w:t>PNUE</w:t>
      </w:r>
      <w:r w:rsidRPr="005359C7">
        <w:rPr>
          <w:lang w:val="fr-CA"/>
        </w:rPr>
        <w:t>) (</w:t>
      </w:r>
      <w:r w:rsidR="006E3D1E" w:rsidRPr="005359C7">
        <w:rPr>
          <w:lang w:val="fr-CA"/>
        </w:rPr>
        <w:t>2 </w:t>
      </w:r>
      <w:r w:rsidRPr="005359C7">
        <w:rPr>
          <w:lang w:val="fr-CA"/>
        </w:rPr>
        <w:t>000</w:t>
      </w:r>
      <w:r w:rsidR="006D1D0A" w:rsidRPr="005359C7">
        <w:rPr>
          <w:lang w:val="fr-CA"/>
        </w:rPr>
        <w:t> $US</w:t>
      </w:r>
      <w:r w:rsidRPr="005359C7">
        <w:rPr>
          <w:lang w:val="fr-CA"/>
        </w:rPr>
        <w:t>);</w:t>
      </w:r>
    </w:p>
    <w:p w14:paraId="5B963B21" w14:textId="77777777" w:rsidR="00CF1303" w:rsidRPr="005359C7" w:rsidRDefault="009C0A59" w:rsidP="00CF1303">
      <w:pPr>
        <w:pStyle w:val="Heading2"/>
        <w:numPr>
          <w:ilvl w:val="1"/>
          <w:numId w:val="1"/>
        </w:numPr>
        <w:rPr>
          <w:lang w:val="fr-CA"/>
        </w:rPr>
      </w:pPr>
      <w:r w:rsidRPr="005359C7">
        <w:rPr>
          <w:lang w:val="fr-CA"/>
        </w:rPr>
        <w:t xml:space="preserve">Ateliers </w:t>
      </w:r>
      <w:r w:rsidR="005A1B0D" w:rsidRPr="005359C7">
        <w:rPr>
          <w:lang w:val="fr-CA"/>
        </w:rPr>
        <w:t>e</w:t>
      </w:r>
      <w:r w:rsidR="00CF1303" w:rsidRPr="005359C7">
        <w:rPr>
          <w:lang w:val="fr-CA"/>
        </w:rPr>
        <w:t xml:space="preserve">n </w:t>
      </w:r>
      <w:r w:rsidR="006D1D0A" w:rsidRPr="005359C7">
        <w:rPr>
          <w:lang w:val="fr-CA"/>
        </w:rPr>
        <w:t>bonnes pratiques d’entretien</w:t>
      </w:r>
      <w:r w:rsidR="00CF1303" w:rsidRPr="005359C7">
        <w:rPr>
          <w:lang w:val="fr-CA"/>
        </w:rPr>
        <w:t xml:space="preserve"> </w:t>
      </w:r>
      <w:r w:rsidR="005A1B0D" w:rsidRPr="005359C7">
        <w:rPr>
          <w:lang w:val="fr-CA"/>
        </w:rPr>
        <w:t xml:space="preserve">destinés à </w:t>
      </w:r>
      <w:r w:rsidR="00CF1303" w:rsidRPr="005359C7">
        <w:rPr>
          <w:lang w:val="fr-CA"/>
        </w:rPr>
        <w:t xml:space="preserve">160 </w:t>
      </w:r>
      <w:r w:rsidR="005A1B0D" w:rsidRPr="005359C7">
        <w:rPr>
          <w:lang w:val="fr-CA"/>
        </w:rPr>
        <w:t>techniciens en équipements de</w:t>
      </w:r>
      <w:r w:rsidR="00BA5114">
        <w:rPr>
          <w:lang w:val="fr-CA"/>
        </w:rPr>
        <w:t> </w:t>
      </w:r>
      <w:r w:rsidR="005A1B0D" w:rsidRPr="005359C7">
        <w:rPr>
          <w:lang w:val="fr-CA"/>
        </w:rPr>
        <w:t>climatisation individuels (</w:t>
      </w:r>
      <w:r w:rsidR="00CF1303" w:rsidRPr="005359C7">
        <w:rPr>
          <w:lang w:val="fr-CA"/>
        </w:rPr>
        <w:t>RAC</w:t>
      </w:r>
      <w:r w:rsidR="005A1B0D" w:rsidRPr="005359C7">
        <w:rPr>
          <w:lang w:val="fr-CA"/>
        </w:rPr>
        <w:t>)</w:t>
      </w:r>
      <w:r w:rsidR="00CF1303" w:rsidRPr="005359C7">
        <w:rPr>
          <w:lang w:val="fr-CA"/>
        </w:rPr>
        <w:t>;</w:t>
      </w:r>
      <w:r w:rsidR="006E3D1E" w:rsidRPr="005359C7">
        <w:rPr>
          <w:lang w:val="fr-CA"/>
        </w:rPr>
        <w:t xml:space="preserve"> et </w:t>
      </w:r>
      <w:r w:rsidR="005A1B0D" w:rsidRPr="005359C7">
        <w:rPr>
          <w:lang w:val="fr-CA"/>
        </w:rPr>
        <w:t xml:space="preserve">programmes de sensibilisation aux nouvelles technologies </w:t>
      </w:r>
      <w:r w:rsidR="00CF1303" w:rsidRPr="005359C7">
        <w:rPr>
          <w:lang w:val="fr-CA"/>
        </w:rPr>
        <w:t xml:space="preserve">RAC </w:t>
      </w:r>
      <w:r w:rsidR="005A1B0D" w:rsidRPr="005359C7">
        <w:rPr>
          <w:lang w:val="fr-CA"/>
        </w:rPr>
        <w:t>pour les ateliers d’entretien</w:t>
      </w:r>
      <w:r w:rsidR="00CF1303" w:rsidRPr="005359C7">
        <w:rPr>
          <w:lang w:val="fr-CA"/>
        </w:rPr>
        <w:t xml:space="preserve"> (</w:t>
      </w:r>
      <w:r w:rsidR="00886766" w:rsidRPr="005359C7">
        <w:rPr>
          <w:lang w:val="fr-CA"/>
        </w:rPr>
        <w:t>PNUE</w:t>
      </w:r>
      <w:r w:rsidR="00CF1303" w:rsidRPr="005359C7">
        <w:rPr>
          <w:lang w:val="fr-CA"/>
        </w:rPr>
        <w:t>) (1</w:t>
      </w:r>
      <w:r w:rsidR="006E3D1E" w:rsidRPr="005359C7">
        <w:rPr>
          <w:lang w:val="fr-CA"/>
        </w:rPr>
        <w:t>4 </w:t>
      </w:r>
      <w:r w:rsidR="00CF1303" w:rsidRPr="005359C7">
        <w:rPr>
          <w:lang w:val="fr-CA"/>
        </w:rPr>
        <w:t>000</w:t>
      </w:r>
      <w:r w:rsidR="005A1B0D" w:rsidRPr="005359C7">
        <w:rPr>
          <w:lang w:val="fr-CA"/>
        </w:rPr>
        <w:t> $US</w:t>
      </w:r>
      <w:r w:rsidR="00CF1303" w:rsidRPr="005359C7">
        <w:rPr>
          <w:lang w:val="fr-CA"/>
        </w:rPr>
        <w:t>);</w:t>
      </w:r>
    </w:p>
    <w:p w14:paraId="2D675AF9" w14:textId="77777777" w:rsidR="00CF1303" w:rsidRPr="005359C7" w:rsidRDefault="005A1B0D" w:rsidP="00CF1303">
      <w:pPr>
        <w:pStyle w:val="Heading2"/>
        <w:numPr>
          <w:ilvl w:val="1"/>
          <w:numId w:val="1"/>
        </w:numPr>
        <w:rPr>
          <w:lang w:val="fr-CA"/>
        </w:rPr>
      </w:pPr>
      <w:r w:rsidRPr="005359C7">
        <w:rPr>
          <w:lang w:val="fr-CA"/>
        </w:rPr>
        <w:t xml:space="preserve">Achat de deux unités de récupération pour les centres de formation </w:t>
      </w:r>
      <w:r w:rsidR="006E3D1E" w:rsidRPr="005359C7">
        <w:rPr>
          <w:lang w:val="fr-CA"/>
        </w:rPr>
        <w:t xml:space="preserve">et </w:t>
      </w:r>
      <w:r w:rsidRPr="005359C7">
        <w:rPr>
          <w:lang w:val="fr-CA"/>
        </w:rPr>
        <w:t>poursuite du</w:t>
      </w:r>
      <w:r w:rsidR="00BA5114">
        <w:rPr>
          <w:lang w:val="fr-CA"/>
        </w:rPr>
        <w:t> </w:t>
      </w:r>
      <w:r w:rsidRPr="005359C7">
        <w:rPr>
          <w:lang w:val="fr-CA"/>
        </w:rPr>
        <w:t xml:space="preserve">programme incitatif visant à remplacer 41 unités supplémentaires de climatiseurs résidentiels avec </w:t>
      </w:r>
      <w:r w:rsidR="00CF1303" w:rsidRPr="005359C7">
        <w:rPr>
          <w:lang w:val="fr-CA"/>
        </w:rPr>
        <w:t>HCFC-22 (</w:t>
      </w:r>
      <w:r w:rsidR="00886766" w:rsidRPr="005359C7">
        <w:rPr>
          <w:lang w:val="fr-CA"/>
        </w:rPr>
        <w:t>PNUD</w:t>
      </w:r>
      <w:r w:rsidR="00CF1303" w:rsidRPr="005359C7">
        <w:rPr>
          <w:lang w:val="fr-CA"/>
        </w:rPr>
        <w:t>) (1</w:t>
      </w:r>
      <w:r w:rsidR="006E3D1E" w:rsidRPr="005359C7">
        <w:rPr>
          <w:lang w:val="fr-CA"/>
        </w:rPr>
        <w:t>8 </w:t>
      </w:r>
      <w:r w:rsidR="00CF1303" w:rsidRPr="005359C7">
        <w:rPr>
          <w:lang w:val="fr-CA"/>
        </w:rPr>
        <w:t>866</w:t>
      </w:r>
      <w:r w:rsidRPr="005359C7">
        <w:rPr>
          <w:lang w:val="fr-CA"/>
        </w:rPr>
        <w:t> $US</w:t>
      </w:r>
      <w:r w:rsidR="00CF1303" w:rsidRPr="005359C7">
        <w:rPr>
          <w:lang w:val="fr-CA"/>
        </w:rPr>
        <w:t>);</w:t>
      </w:r>
    </w:p>
    <w:p w14:paraId="7119D134" w14:textId="77777777" w:rsidR="00CF1303" w:rsidRPr="005359C7" w:rsidRDefault="005A1B0D" w:rsidP="00CF1303">
      <w:pPr>
        <w:pStyle w:val="Heading2"/>
        <w:numPr>
          <w:ilvl w:val="1"/>
          <w:numId w:val="1"/>
        </w:numPr>
        <w:rPr>
          <w:lang w:val="fr-CA"/>
        </w:rPr>
      </w:pPr>
      <w:r w:rsidRPr="005359C7">
        <w:rPr>
          <w:lang w:val="fr-CA"/>
        </w:rPr>
        <w:t xml:space="preserve">Ateliers de sensibilisation et de formation pour les importateurs et les utilisateurs finals sur les plus récentes politiques et les plus récents règlements </w:t>
      </w:r>
      <w:r w:rsidR="00887129">
        <w:rPr>
          <w:lang w:val="fr-CA"/>
        </w:rPr>
        <w:t>en matière d</w:t>
      </w:r>
      <w:r w:rsidRPr="005359C7">
        <w:rPr>
          <w:lang w:val="fr-CA"/>
        </w:rPr>
        <w:t>’élimination des</w:t>
      </w:r>
      <w:r w:rsidR="00887129">
        <w:rPr>
          <w:lang w:val="fr-CA"/>
        </w:rPr>
        <w:t> </w:t>
      </w:r>
      <w:r w:rsidR="00CF1303" w:rsidRPr="005359C7">
        <w:rPr>
          <w:lang w:val="fr-CA"/>
        </w:rPr>
        <w:t xml:space="preserve">HCFC, </w:t>
      </w:r>
      <w:r w:rsidRPr="005359C7">
        <w:rPr>
          <w:lang w:val="fr-CA"/>
        </w:rPr>
        <w:t xml:space="preserve">le programme de récupération et de </w:t>
      </w:r>
      <w:r w:rsidR="000A4D88" w:rsidRPr="005359C7">
        <w:rPr>
          <w:lang w:val="fr-CA"/>
        </w:rPr>
        <w:t>régénération</w:t>
      </w:r>
      <w:r w:rsidR="00CF1303" w:rsidRPr="005359C7">
        <w:rPr>
          <w:lang w:val="fr-CA"/>
        </w:rPr>
        <w:t>,</w:t>
      </w:r>
      <w:r w:rsidR="006E3D1E" w:rsidRPr="005359C7">
        <w:rPr>
          <w:lang w:val="fr-CA"/>
        </w:rPr>
        <w:t xml:space="preserve"> et </w:t>
      </w:r>
      <w:r w:rsidRPr="005359C7">
        <w:rPr>
          <w:lang w:val="fr-CA"/>
        </w:rPr>
        <w:t xml:space="preserve">le programme incitatif visant à remplacer les unités de climatisation résidentielles </w:t>
      </w:r>
      <w:r w:rsidR="00CF1303" w:rsidRPr="005359C7">
        <w:rPr>
          <w:lang w:val="fr-CA"/>
        </w:rPr>
        <w:t>(</w:t>
      </w:r>
      <w:r w:rsidR="00886766" w:rsidRPr="005359C7">
        <w:rPr>
          <w:lang w:val="fr-CA"/>
        </w:rPr>
        <w:t>PNUE</w:t>
      </w:r>
      <w:r w:rsidR="00CF1303" w:rsidRPr="005359C7">
        <w:rPr>
          <w:lang w:val="fr-CA"/>
        </w:rPr>
        <w:t>) (</w:t>
      </w:r>
      <w:r w:rsidR="006E3D1E" w:rsidRPr="005359C7">
        <w:rPr>
          <w:lang w:val="fr-CA"/>
        </w:rPr>
        <w:t>8 </w:t>
      </w:r>
      <w:r w:rsidR="00CF1303" w:rsidRPr="005359C7">
        <w:rPr>
          <w:lang w:val="fr-CA"/>
        </w:rPr>
        <w:t>900</w:t>
      </w:r>
      <w:r w:rsidRPr="005359C7">
        <w:rPr>
          <w:lang w:val="fr-CA"/>
        </w:rPr>
        <w:t> $US</w:t>
      </w:r>
      <w:r w:rsidR="00CF1303" w:rsidRPr="005359C7">
        <w:rPr>
          <w:lang w:val="fr-CA"/>
        </w:rPr>
        <w:t xml:space="preserve">); </w:t>
      </w:r>
      <w:r w:rsidRPr="005359C7">
        <w:rPr>
          <w:lang w:val="fr-CA"/>
        </w:rPr>
        <w:t>et</w:t>
      </w:r>
      <w:r w:rsidR="00887129">
        <w:rPr>
          <w:lang w:val="fr-CA"/>
        </w:rPr>
        <w:t xml:space="preserve"> </w:t>
      </w:r>
    </w:p>
    <w:p w14:paraId="067BB46D" w14:textId="77777777" w:rsidR="00CF1303" w:rsidRPr="005359C7" w:rsidRDefault="005A1B0D" w:rsidP="00CF1303">
      <w:pPr>
        <w:pStyle w:val="Heading2"/>
        <w:numPr>
          <w:ilvl w:val="1"/>
          <w:numId w:val="1"/>
        </w:numPr>
        <w:rPr>
          <w:lang w:val="fr-CA" w:eastAsia="ru-RU"/>
        </w:rPr>
      </w:pPr>
      <w:r w:rsidRPr="005359C7">
        <w:rPr>
          <w:lang w:val="fr-CA"/>
        </w:rPr>
        <w:t xml:space="preserve">Suivi des activités de projet du </w:t>
      </w:r>
      <w:r w:rsidR="00564122" w:rsidRPr="005359C7">
        <w:rPr>
          <w:lang w:val="fr-CA"/>
        </w:rPr>
        <w:t>PGEH</w:t>
      </w:r>
      <w:r w:rsidR="00CF1303" w:rsidRPr="005359C7">
        <w:rPr>
          <w:lang w:val="fr-CA"/>
        </w:rPr>
        <w:t xml:space="preserve"> (</w:t>
      </w:r>
      <w:r w:rsidRPr="005359C7">
        <w:rPr>
          <w:lang w:val="fr-CA"/>
        </w:rPr>
        <w:t xml:space="preserve">personnel et </w:t>
      </w:r>
      <w:r w:rsidR="00CF1303" w:rsidRPr="005359C7">
        <w:rPr>
          <w:lang w:val="fr-CA"/>
        </w:rPr>
        <w:t xml:space="preserve">consultants </w:t>
      </w:r>
      <w:r w:rsidR="006E3D1E" w:rsidRPr="005359C7">
        <w:rPr>
          <w:lang w:val="fr-CA"/>
        </w:rPr>
        <w:t>7 </w:t>
      </w:r>
      <w:r w:rsidR="00CF1303" w:rsidRPr="005359C7">
        <w:rPr>
          <w:lang w:val="fr-CA"/>
        </w:rPr>
        <w:t>00</w:t>
      </w:r>
      <w:r w:rsidR="006E3D1E" w:rsidRPr="005359C7">
        <w:rPr>
          <w:lang w:val="fr-CA"/>
        </w:rPr>
        <w:t>0</w:t>
      </w:r>
      <w:r w:rsidRPr="005359C7">
        <w:rPr>
          <w:lang w:val="fr-CA"/>
        </w:rPr>
        <w:t> US, déplacement et</w:t>
      </w:r>
      <w:r w:rsidR="00F43613" w:rsidRPr="005359C7">
        <w:rPr>
          <w:lang w:val="fr-CA"/>
        </w:rPr>
        <w:t> </w:t>
      </w:r>
      <w:r w:rsidRPr="005359C7">
        <w:rPr>
          <w:lang w:val="fr-CA"/>
        </w:rPr>
        <w:t xml:space="preserve">réunions </w:t>
      </w:r>
      <w:r w:rsidR="006E3D1E" w:rsidRPr="005359C7">
        <w:rPr>
          <w:lang w:val="fr-CA"/>
        </w:rPr>
        <w:t>2 </w:t>
      </w:r>
      <w:r w:rsidR="00CF1303" w:rsidRPr="005359C7">
        <w:rPr>
          <w:lang w:val="fr-CA"/>
        </w:rPr>
        <w:t>00</w:t>
      </w:r>
      <w:r w:rsidR="006E3D1E" w:rsidRPr="005359C7">
        <w:rPr>
          <w:lang w:val="fr-CA"/>
        </w:rPr>
        <w:t>0</w:t>
      </w:r>
      <w:r w:rsidRPr="005359C7">
        <w:rPr>
          <w:lang w:val="fr-CA"/>
        </w:rPr>
        <w:t xml:space="preserve"> $US, dépenses de bureau </w:t>
      </w:r>
      <w:r w:rsidR="006E3D1E" w:rsidRPr="005359C7">
        <w:rPr>
          <w:lang w:val="fr-CA"/>
        </w:rPr>
        <w:t>3 </w:t>
      </w:r>
      <w:r w:rsidR="00CF1303" w:rsidRPr="005359C7">
        <w:rPr>
          <w:lang w:val="fr-CA"/>
        </w:rPr>
        <w:t>234</w:t>
      </w:r>
      <w:r w:rsidRPr="005359C7">
        <w:rPr>
          <w:lang w:val="fr-CA"/>
        </w:rPr>
        <w:t> $US</w:t>
      </w:r>
      <w:r w:rsidR="00CF1303" w:rsidRPr="005359C7">
        <w:rPr>
          <w:lang w:val="fr-CA"/>
        </w:rPr>
        <w:t>)</w:t>
      </w:r>
      <w:r w:rsidR="00887129">
        <w:rPr>
          <w:lang w:val="fr-CA"/>
        </w:rPr>
        <w:t xml:space="preserve">, </w:t>
      </w:r>
      <w:r w:rsidR="00886766" w:rsidRPr="005359C7">
        <w:rPr>
          <w:lang w:val="fr-CA" w:eastAsia="ru-RU"/>
        </w:rPr>
        <w:t>PNUD</w:t>
      </w:r>
      <w:r w:rsidR="00CF1303" w:rsidRPr="005359C7">
        <w:rPr>
          <w:lang w:val="fr-CA" w:eastAsia="ru-RU"/>
        </w:rPr>
        <w:t xml:space="preserve"> (</w:t>
      </w:r>
      <w:r w:rsidR="00CF1303" w:rsidRPr="005359C7">
        <w:rPr>
          <w:lang w:val="fr-CA"/>
        </w:rPr>
        <w:t>1</w:t>
      </w:r>
      <w:r w:rsidR="006E3D1E" w:rsidRPr="005359C7">
        <w:rPr>
          <w:lang w:val="fr-CA"/>
        </w:rPr>
        <w:t>2 </w:t>
      </w:r>
      <w:r w:rsidR="00CF1303" w:rsidRPr="005359C7">
        <w:rPr>
          <w:lang w:val="fr-CA"/>
        </w:rPr>
        <w:t>234</w:t>
      </w:r>
      <w:r w:rsidRPr="005359C7">
        <w:rPr>
          <w:lang w:val="fr-CA"/>
        </w:rPr>
        <w:t> $US</w:t>
      </w:r>
      <w:r w:rsidR="00CF1303" w:rsidRPr="005359C7">
        <w:rPr>
          <w:lang w:val="fr-CA" w:eastAsia="ru-RU"/>
        </w:rPr>
        <w:t>).</w:t>
      </w:r>
    </w:p>
    <w:p w14:paraId="60766F5E" w14:textId="77777777" w:rsidR="00883403" w:rsidRDefault="00883403">
      <w:pPr>
        <w:jc w:val="left"/>
        <w:rPr>
          <w:b/>
          <w:bCs/>
          <w:lang w:val="fr-CA"/>
        </w:rPr>
      </w:pPr>
      <w:r>
        <w:rPr>
          <w:b/>
          <w:bCs/>
          <w:lang w:val="fr-CA"/>
        </w:rPr>
        <w:br w:type="page"/>
      </w:r>
    </w:p>
    <w:p w14:paraId="52C568E0" w14:textId="5C8E76F5" w:rsidR="00CF1303" w:rsidRPr="005359C7" w:rsidRDefault="00F43613" w:rsidP="00CD764D">
      <w:pPr>
        <w:spacing w:after="240"/>
        <w:jc w:val="center"/>
        <w:rPr>
          <w:b/>
          <w:lang w:val="fr-CA"/>
        </w:rPr>
      </w:pPr>
      <w:r w:rsidRPr="005359C7">
        <w:rPr>
          <w:b/>
          <w:bCs/>
          <w:lang w:val="fr-CA"/>
        </w:rPr>
        <w:lastRenderedPageBreak/>
        <w:t>OBSERVATIONS ET RECOMMANDATION DU SECRÉTARIAT</w:t>
      </w:r>
    </w:p>
    <w:p w14:paraId="7A554AD0" w14:textId="77777777" w:rsidR="00CF1303" w:rsidRPr="005359C7" w:rsidRDefault="00F43613" w:rsidP="00CF1303">
      <w:pPr>
        <w:rPr>
          <w:b/>
          <w:lang w:val="fr-CA"/>
        </w:rPr>
      </w:pPr>
      <w:r w:rsidRPr="005359C7">
        <w:rPr>
          <w:b/>
          <w:lang w:val="fr-CA"/>
        </w:rPr>
        <w:t>OBSERVATIONS</w:t>
      </w:r>
    </w:p>
    <w:p w14:paraId="35240DEA" w14:textId="77777777" w:rsidR="00CF1303" w:rsidRPr="005359C7" w:rsidRDefault="00CF1303" w:rsidP="00CF1303">
      <w:pPr>
        <w:rPr>
          <w:b/>
          <w:lang w:val="fr-CA"/>
        </w:rPr>
      </w:pPr>
    </w:p>
    <w:p w14:paraId="4336A9B1" w14:textId="77777777" w:rsidR="00CF1303" w:rsidRPr="005359C7" w:rsidRDefault="00CF1303" w:rsidP="00CF1303">
      <w:pPr>
        <w:rPr>
          <w:u w:val="single"/>
          <w:lang w:val="fr-CA"/>
        </w:rPr>
      </w:pPr>
      <w:r w:rsidRPr="005359C7">
        <w:rPr>
          <w:u w:val="single"/>
          <w:lang w:val="fr-CA"/>
        </w:rPr>
        <w:t>R</w:t>
      </w:r>
      <w:r w:rsidR="00F43613" w:rsidRPr="005359C7">
        <w:rPr>
          <w:u w:val="single"/>
          <w:lang w:val="fr-CA"/>
        </w:rPr>
        <w:t>app</w:t>
      </w:r>
      <w:r w:rsidRPr="005359C7">
        <w:rPr>
          <w:u w:val="single"/>
          <w:lang w:val="fr-CA"/>
        </w:rPr>
        <w:t>ort</w:t>
      </w:r>
      <w:r w:rsidR="00F43613" w:rsidRPr="005359C7">
        <w:rPr>
          <w:u w:val="single"/>
          <w:lang w:val="fr-CA"/>
        </w:rPr>
        <w:t xml:space="preserve"> sur la</w:t>
      </w:r>
      <w:r w:rsidR="00564122" w:rsidRPr="005359C7">
        <w:rPr>
          <w:u w:val="single"/>
          <w:lang w:val="fr-CA"/>
        </w:rPr>
        <w:t xml:space="preserve"> consommation de HCFC</w:t>
      </w:r>
    </w:p>
    <w:p w14:paraId="2318C36B" w14:textId="77777777" w:rsidR="00CF1303" w:rsidRPr="005359C7" w:rsidRDefault="00CF1303" w:rsidP="00CF1303">
      <w:pPr>
        <w:rPr>
          <w:u w:val="single"/>
          <w:lang w:val="fr-CA"/>
        </w:rPr>
      </w:pPr>
    </w:p>
    <w:p w14:paraId="080DAABA" w14:textId="77777777" w:rsidR="00CF1303" w:rsidRPr="005359C7" w:rsidRDefault="00F43613" w:rsidP="00CF1303">
      <w:pPr>
        <w:pStyle w:val="Heading1"/>
        <w:rPr>
          <w:lang w:val="fr-CA"/>
        </w:rPr>
      </w:pPr>
      <w:r w:rsidRPr="005359C7">
        <w:rPr>
          <w:lang w:val="fr-CA"/>
        </w:rPr>
        <w:t xml:space="preserve"> La </w:t>
      </w:r>
      <w:r w:rsidR="00891E3C" w:rsidRPr="005359C7">
        <w:rPr>
          <w:lang w:val="fr-CA"/>
        </w:rPr>
        <w:t>quatrième</w:t>
      </w:r>
      <w:r w:rsidR="00CF1303" w:rsidRPr="005359C7">
        <w:rPr>
          <w:lang w:val="fr-CA"/>
        </w:rPr>
        <w:t xml:space="preserve"> tranche </w:t>
      </w:r>
      <w:r w:rsidRPr="005359C7">
        <w:rPr>
          <w:lang w:val="fr-CA"/>
        </w:rPr>
        <w:t xml:space="preserve">de la phase </w:t>
      </w:r>
      <w:r w:rsidR="00CF1303" w:rsidRPr="005359C7">
        <w:rPr>
          <w:lang w:val="fr-CA"/>
        </w:rPr>
        <w:t xml:space="preserve">I </w:t>
      </w:r>
      <w:r w:rsidRPr="005359C7">
        <w:rPr>
          <w:lang w:val="fr-CA"/>
        </w:rPr>
        <w:t>du</w:t>
      </w:r>
      <w:r w:rsidR="00CF1303" w:rsidRPr="005359C7">
        <w:rPr>
          <w:lang w:val="fr-CA"/>
        </w:rPr>
        <w:t xml:space="preserve"> </w:t>
      </w:r>
      <w:r w:rsidR="00564122" w:rsidRPr="005359C7">
        <w:rPr>
          <w:lang w:val="fr-CA"/>
        </w:rPr>
        <w:t>PGEH</w:t>
      </w:r>
      <w:r w:rsidR="00CF1303" w:rsidRPr="005359C7">
        <w:rPr>
          <w:lang w:val="fr-CA"/>
        </w:rPr>
        <w:t xml:space="preserve"> </w:t>
      </w:r>
      <w:r w:rsidRPr="005359C7">
        <w:rPr>
          <w:lang w:val="fr-CA"/>
        </w:rPr>
        <w:t xml:space="preserve">exige </w:t>
      </w:r>
      <w:r w:rsidR="00887129">
        <w:rPr>
          <w:lang w:val="fr-CA"/>
        </w:rPr>
        <w:t>la présentation d’</w:t>
      </w:r>
      <w:r w:rsidRPr="005359C7">
        <w:rPr>
          <w:lang w:val="fr-CA"/>
        </w:rPr>
        <w:t>un rapport de vérification.</w:t>
      </w:r>
      <w:r w:rsidR="00CF1303" w:rsidRPr="005359C7">
        <w:rPr>
          <w:lang w:val="fr-CA"/>
        </w:rPr>
        <w:t xml:space="preserve"> </w:t>
      </w:r>
      <w:r w:rsidRPr="005359C7">
        <w:rPr>
          <w:lang w:val="fr-CA"/>
        </w:rPr>
        <w:t>En</w:t>
      </w:r>
      <w:r w:rsidR="00887129">
        <w:rPr>
          <w:lang w:val="fr-CA"/>
        </w:rPr>
        <w:t> </w:t>
      </w:r>
      <w:r w:rsidRPr="005359C7">
        <w:rPr>
          <w:lang w:val="fr-CA"/>
        </w:rPr>
        <w:t>soulignant que l’achèvement de ce rapport serait reporté étant donné les entraves découlant de la</w:t>
      </w:r>
      <w:r w:rsidR="00887129">
        <w:rPr>
          <w:lang w:val="fr-CA"/>
        </w:rPr>
        <w:t> </w:t>
      </w:r>
      <w:r w:rsidRPr="005359C7">
        <w:rPr>
          <w:lang w:val="fr-CA"/>
        </w:rPr>
        <w:t xml:space="preserve">pandémie du </w:t>
      </w:r>
      <w:r w:rsidR="00CF1303" w:rsidRPr="005359C7">
        <w:rPr>
          <w:lang w:val="fr-CA"/>
        </w:rPr>
        <w:t>COVID-19,</w:t>
      </w:r>
      <w:r w:rsidR="006E3D1E" w:rsidRPr="005359C7">
        <w:rPr>
          <w:lang w:val="fr-CA"/>
        </w:rPr>
        <w:t xml:space="preserve"> et </w:t>
      </w:r>
      <w:r w:rsidRPr="005359C7">
        <w:rPr>
          <w:lang w:val="fr-CA"/>
        </w:rPr>
        <w:t xml:space="preserve">que la consommation estimative de HCFC en </w:t>
      </w:r>
      <w:r w:rsidR="00CF1303" w:rsidRPr="005359C7">
        <w:rPr>
          <w:lang w:val="fr-CA"/>
        </w:rPr>
        <w:t>2019</w:t>
      </w:r>
      <w:r w:rsidR="00564122" w:rsidRPr="005359C7">
        <w:rPr>
          <w:lang w:val="fr-CA"/>
        </w:rPr>
        <w:t xml:space="preserve"> </w:t>
      </w:r>
      <w:r w:rsidRPr="005359C7">
        <w:rPr>
          <w:lang w:val="fr-CA"/>
        </w:rPr>
        <w:t>était de</w:t>
      </w:r>
      <w:r w:rsidR="00CF1303" w:rsidRPr="005359C7">
        <w:rPr>
          <w:lang w:val="fr-CA"/>
        </w:rPr>
        <w:t xml:space="preserve"> 28</w:t>
      </w:r>
      <w:r w:rsidR="00891E3C" w:rsidRPr="005359C7">
        <w:rPr>
          <w:lang w:val="fr-CA"/>
        </w:rPr>
        <w:t xml:space="preserve"> pour cent</w:t>
      </w:r>
      <w:r w:rsidRPr="005359C7">
        <w:rPr>
          <w:lang w:val="fr-CA"/>
        </w:rPr>
        <w:t xml:space="preserve"> inférieure à la valeur de </w:t>
      </w:r>
      <w:r w:rsidR="00564122" w:rsidRPr="005359C7">
        <w:rPr>
          <w:lang w:val="fr-CA"/>
        </w:rPr>
        <w:t>référence</w:t>
      </w:r>
      <w:r w:rsidR="00CF1303" w:rsidRPr="005359C7">
        <w:rPr>
          <w:lang w:val="fr-CA"/>
        </w:rPr>
        <w:t xml:space="preserve">, </w:t>
      </w:r>
      <w:r w:rsidRPr="005359C7">
        <w:rPr>
          <w:lang w:val="fr-CA"/>
        </w:rPr>
        <w:t>le</w:t>
      </w:r>
      <w:r w:rsidR="00CF1303" w:rsidRPr="005359C7">
        <w:rPr>
          <w:lang w:val="fr-CA"/>
        </w:rPr>
        <w:t xml:space="preserve"> </w:t>
      </w:r>
      <w:r w:rsidRPr="005359C7">
        <w:rPr>
          <w:lang w:val="fr-CA"/>
        </w:rPr>
        <w:t>Secrétariat</w:t>
      </w:r>
      <w:r w:rsidR="00CF1303" w:rsidRPr="005359C7">
        <w:rPr>
          <w:lang w:val="fr-CA"/>
        </w:rPr>
        <w:t xml:space="preserve"> </w:t>
      </w:r>
      <w:r w:rsidRPr="005359C7">
        <w:rPr>
          <w:lang w:val="fr-CA"/>
        </w:rPr>
        <w:t xml:space="preserve">recommande, pour examen par le Comité exécutif, l’approbation de cette demande de tranche de </w:t>
      </w:r>
      <w:r w:rsidR="00A4276C" w:rsidRPr="005359C7">
        <w:rPr>
          <w:lang w:val="fr-CA"/>
        </w:rPr>
        <w:t>financement</w:t>
      </w:r>
      <w:r w:rsidR="00CF1303" w:rsidRPr="005359C7">
        <w:rPr>
          <w:lang w:val="fr-CA"/>
        </w:rPr>
        <w:t xml:space="preserve">, </w:t>
      </w:r>
      <w:r w:rsidRPr="005359C7">
        <w:rPr>
          <w:lang w:val="fr-CA"/>
        </w:rPr>
        <w:t>sur une base exceptionnelle et sans établir de</w:t>
      </w:r>
      <w:r w:rsidR="00887129">
        <w:rPr>
          <w:lang w:val="fr-CA"/>
        </w:rPr>
        <w:t> </w:t>
      </w:r>
      <w:r w:rsidRPr="005359C7">
        <w:rPr>
          <w:lang w:val="fr-CA"/>
        </w:rPr>
        <w:t>précédent</w:t>
      </w:r>
      <w:r w:rsidR="00CF1303" w:rsidRPr="005359C7">
        <w:rPr>
          <w:lang w:val="fr-CA"/>
        </w:rPr>
        <w:t xml:space="preserve">, </w:t>
      </w:r>
      <w:r w:rsidRPr="005359C7">
        <w:rPr>
          <w:lang w:val="fr-CA"/>
        </w:rPr>
        <w:t xml:space="preserve">en étant entendu que </w:t>
      </w:r>
      <w:r w:rsidR="00CF1303" w:rsidRPr="005359C7">
        <w:rPr>
          <w:lang w:val="fr-CA"/>
        </w:rPr>
        <w:t>:</w:t>
      </w:r>
    </w:p>
    <w:p w14:paraId="0F5B66A8" w14:textId="77777777" w:rsidR="00CF1303" w:rsidRPr="005359C7" w:rsidRDefault="00F43613" w:rsidP="00CF1303">
      <w:pPr>
        <w:pStyle w:val="Heading2"/>
        <w:numPr>
          <w:ilvl w:val="1"/>
          <w:numId w:val="1"/>
        </w:numPr>
        <w:rPr>
          <w:lang w:val="fr-CA"/>
        </w:rPr>
      </w:pPr>
      <w:r w:rsidRPr="005359C7">
        <w:rPr>
          <w:lang w:val="fr-CA"/>
        </w:rPr>
        <w:t>On demandera au trésorier de transférer le financement approuvé au</w:t>
      </w:r>
      <w:r w:rsidR="006E3D1E" w:rsidRPr="005359C7">
        <w:rPr>
          <w:lang w:val="fr-CA"/>
        </w:rPr>
        <w:t xml:space="preserve"> PNUD et </w:t>
      </w:r>
      <w:r w:rsidRPr="005359C7">
        <w:rPr>
          <w:lang w:val="fr-CA"/>
        </w:rPr>
        <w:t xml:space="preserve">au </w:t>
      </w:r>
      <w:r w:rsidR="00886766" w:rsidRPr="005359C7">
        <w:rPr>
          <w:lang w:val="fr-CA"/>
        </w:rPr>
        <w:t>PNUE</w:t>
      </w:r>
      <w:r w:rsidR="00CF1303" w:rsidRPr="005359C7">
        <w:rPr>
          <w:lang w:val="fr-CA"/>
        </w:rPr>
        <w:t>;</w:t>
      </w:r>
      <w:r w:rsidR="00CF1303" w:rsidRPr="005359C7">
        <w:rPr>
          <w:rStyle w:val="FootnoteReference"/>
          <w:lang w:val="fr-CA"/>
        </w:rPr>
        <w:footnoteReference w:id="5"/>
      </w:r>
      <w:r w:rsidR="00CF1303" w:rsidRPr="005359C7">
        <w:rPr>
          <w:lang w:val="fr-CA"/>
        </w:rPr>
        <w:t xml:space="preserve"> </w:t>
      </w:r>
    </w:p>
    <w:p w14:paraId="407E00A4" w14:textId="77777777" w:rsidR="00CF1303" w:rsidRPr="005359C7" w:rsidRDefault="00F43613" w:rsidP="00CF1303">
      <w:pPr>
        <w:pStyle w:val="Heading2"/>
        <w:numPr>
          <w:ilvl w:val="1"/>
          <w:numId w:val="1"/>
        </w:numPr>
        <w:rPr>
          <w:lang w:val="fr-CA"/>
        </w:rPr>
      </w:pPr>
      <w:r w:rsidRPr="005359C7">
        <w:rPr>
          <w:lang w:val="fr-CA"/>
        </w:rPr>
        <w:t xml:space="preserve">Le </w:t>
      </w:r>
      <w:r w:rsidR="00886766" w:rsidRPr="005359C7">
        <w:rPr>
          <w:lang w:val="fr-CA"/>
        </w:rPr>
        <w:t>PNUD</w:t>
      </w:r>
      <w:r w:rsidR="00CF1303" w:rsidRPr="005359C7">
        <w:rPr>
          <w:lang w:val="fr-CA"/>
        </w:rPr>
        <w:t xml:space="preserve"> </w:t>
      </w:r>
      <w:r w:rsidRPr="005359C7">
        <w:rPr>
          <w:lang w:val="fr-CA"/>
        </w:rPr>
        <w:t xml:space="preserve">s’était engagé à présenter le rapport de vérification au plus tard </w:t>
      </w:r>
      <w:r w:rsidR="00CF1303" w:rsidRPr="005359C7">
        <w:rPr>
          <w:lang w:val="fr-CA"/>
        </w:rPr>
        <w:t xml:space="preserve">12 </w:t>
      </w:r>
      <w:r w:rsidRPr="005359C7">
        <w:rPr>
          <w:lang w:val="fr-CA"/>
        </w:rPr>
        <w:t>semaines avant la 8</w:t>
      </w:r>
      <w:r w:rsidR="00CF1303" w:rsidRPr="005359C7">
        <w:rPr>
          <w:lang w:val="fr-CA"/>
        </w:rPr>
        <w:t>6</w:t>
      </w:r>
      <w:r w:rsidRPr="005359C7">
        <w:rPr>
          <w:vertAlign w:val="superscript"/>
          <w:lang w:val="fr-CA"/>
        </w:rPr>
        <w:t>e</w:t>
      </w:r>
      <w:r w:rsidRPr="005359C7">
        <w:rPr>
          <w:lang w:val="fr-CA"/>
        </w:rPr>
        <w:t xml:space="preserve"> réunion</w:t>
      </w:r>
      <w:r w:rsidR="00CF1303" w:rsidRPr="005359C7">
        <w:rPr>
          <w:lang w:val="fr-CA"/>
        </w:rPr>
        <w:t xml:space="preserve">; </w:t>
      </w:r>
    </w:p>
    <w:p w14:paraId="3CEB639A" w14:textId="77777777" w:rsidR="00CF1303" w:rsidRPr="005359C7" w:rsidRDefault="00F43613" w:rsidP="00CF1303">
      <w:pPr>
        <w:pStyle w:val="Heading2"/>
        <w:numPr>
          <w:ilvl w:val="1"/>
          <w:numId w:val="1"/>
        </w:numPr>
        <w:rPr>
          <w:lang w:val="fr-CA"/>
        </w:rPr>
      </w:pPr>
      <w:r w:rsidRPr="005359C7">
        <w:rPr>
          <w:lang w:val="fr-CA"/>
        </w:rPr>
        <w:t xml:space="preserve">La recommandation comprise dans le rapport de vérification serait </w:t>
      </w:r>
      <w:r w:rsidR="007751C6" w:rsidRPr="005359C7">
        <w:rPr>
          <w:lang w:val="fr-CA"/>
        </w:rPr>
        <w:t xml:space="preserve">traitée lors de la  </w:t>
      </w:r>
      <w:r w:rsidR="00564122" w:rsidRPr="005359C7">
        <w:rPr>
          <w:lang w:val="fr-CA"/>
        </w:rPr>
        <w:t xml:space="preserve">mise en </w:t>
      </w:r>
      <w:proofErr w:type="spellStart"/>
      <w:r w:rsidR="00564122" w:rsidRPr="005359C7">
        <w:rPr>
          <w:lang w:val="fr-CA"/>
        </w:rPr>
        <w:t>oeuvre</w:t>
      </w:r>
      <w:proofErr w:type="spellEnd"/>
      <w:r w:rsidR="00CF1303" w:rsidRPr="005359C7">
        <w:rPr>
          <w:lang w:val="fr-CA"/>
        </w:rPr>
        <w:t xml:space="preserve"> </w:t>
      </w:r>
      <w:r w:rsidR="007751C6" w:rsidRPr="005359C7">
        <w:rPr>
          <w:lang w:val="fr-CA"/>
        </w:rPr>
        <w:t>de la</w:t>
      </w:r>
      <w:r w:rsidR="00CF1303" w:rsidRPr="005359C7">
        <w:rPr>
          <w:lang w:val="fr-CA"/>
        </w:rPr>
        <w:t xml:space="preserve"> </w:t>
      </w:r>
      <w:r w:rsidR="00891E3C" w:rsidRPr="005359C7">
        <w:rPr>
          <w:lang w:val="fr-CA"/>
        </w:rPr>
        <w:t>quatrième</w:t>
      </w:r>
      <w:r w:rsidR="00CF1303" w:rsidRPr="005359C7">
        <w:rPr>
          <w:lang w:val="fr-CA"/>
        </w:rPr>
        <w:t xml:space="preserve"> tranche</w:t>
      </w:r>
      <w:r w:rsidR="006E3D1E" w:rsidRPr="005359C7">
        <w:rPr>
          <w:lang w:val="fr-CA"/>
        </w:rPr>
        <w:t xml:space="preserve"> et </w:t>
      </w:r>
      <w:r w:rsidR="007751C6" w:rsidRPr="005359C7">
        <w:rPr>
          <w:lang w:val="fr-CA"/>
        </w:rPr>
        <w:t xml:space="preserve">que les mesures mises en </w:t>
      </w:r>
      <w:proofErr w:type="spellStart"/>
      <w:r w:rsidR="007751C6" w:rsidRPr="005359C7">
        <w:rPr>
          <w:lang w:val="fr-CA"/>
        </w:rPr>
        <w:t>oeuvre</w:t>
      </w:r>
      <w:proofErr w:type="spellEnd"/>
      <w:r w:rsidR="007751C6" w:rsidRPr="005359C7">
        <w:rPr>
          <w:lang w:val="fr-CA"/>
        </w:rPr>
        <w:t xml:space="preserve"> à cette fin </w:t>
      </w:r>
      <w:r w:rsidR="004D7396" w:rsidRPr="005359C7">
        <w:rPr>
          <w:lang w:val="fr-CA"/>
        </w:rPr>
        <w:t>seraient</w:t>
      </w:r>
      <w:r w:rsidR="007751C6" w:rsidRPr="005359C7">
        <w:rPr>
          <w:lang w:val="fr-CA"/>
        </w:rPr>
        <w:t xml:space="preserve"> incluses dans le rapport périodique de la phase </w:t>
      </w:r>
      <w:r w:rsidR="00CF1303" w:rsidRPr="005359C7">
        <w:rPr>
          <w:lang w:val="fr-CA"/>
        </w:rPr>
        <w:t xml:space="preserve">I </w:t>
      </w:r>
      <w:r w:rsidR="007751C6" w:rsidRPr="005359C7">
        <w:rPr>
          <w:lang w:val="fr-CA"/>
        </w:rPr>
        <w:t>du</w:t>
      </w:r>
      <w:r w:rsidR="00CF1303" w:rsidRPr="005359C7">
        <w:rPr>
          <w:lang w:val="fr-CA"/>
        </w:rPr>
        <w:t xml:space="preserve"> </w:t>
      </w:r>
      <w:r w:rsidR="00564122" w:rsidRPr="005359C7">
        <w:rPr>
          <w:lang w:val="fr-CA"/>
        </w:rPr>
        <w:t>PGEH</w:t>
      </w:r>
      <w:r w:rsidR="00CF1303" w:rsidRPr="005359C7">
        <w:rPr>
          <w:lang w:val="fr-CA"/>
        </w:rPr>
        <w:t xml:space="preserve"> </w:t>
      </w:r>
      <w:r w:rsidR="007751C6" w:rsidRPr="005359C7">
        <w:rPr>
          <w:lang w:val="fr-CA"/>
        </w:rPr>
        <w:t xml:space="preserve">à présenter avec la demande du pays pour son étape </w:t>
      </w:r>
      <w:r w:rsidR="00CF1303" w:rsidRPr="005359C7">
        <w:rPr>
          <w:lang w:val="fr-CA"/>
        </w:rPr>
        <w:t xml:space="preserve">II </w:t>
      </w:r>
      <w:r w:rsidR="007751C6" w:rsidRPr="005359C7">
        <w:rPr>
          <w:lang w:val="fr-CA"/>
        </w:rPr>
        <w:t>du</w:t>
      </w:r>
      <w:r w:rsidR="00CF1303" w:rsidRPr="005359C7">
        <w:rPr>
          <w:lang w:val="fr-CA"/>
        </w:rPr>
        <w:t xml:space="preserve"> </w:t>
      </w:r>
      <w:r w:rsidR="00564122" w:rsidRPr="005359C7">
        <w:rPr>
          <w:lang w:val="fr-CA"/>
        </w:rPr>
        <w:t>PGEH</w:t>
      </w:r>
      <w:r w:rsidR="00CF1303" w:rsidRPr="005359C7">
        <w:rPr>
          <w:lang w:val="fr-CA"/>
        </w:rPr>
        <w:t xml:space="preserve">; </w:t>
      </w:r>
      <w:r w:rsidR="007751C6" w:rsidRPr="005359C7">
        <w:rPr>
          <w:lang w:val="fr-CA"/>
        </w:rPr>
        <w:t>et</w:t>
      </w:r>
    </w:p>
    <w:p w14:paraId="2D58E47C" w14:textId="77777777" w:rsidR="00CF1303" w:rsidRPr="005359C7" w:rsidRDefault="007751C6" w:rsidP="00CF1303">
      <w:pPr>
        <w:pStyle w:val="Heading2"/>
        <w:numPr>
          <w:ilvl w:val="1"/>
          <w:numId w:val="1"/>
        </w:numPr>
        <w:rPr>
          <w:lang w:val="fr-CA"/>
        </w:rPr>
      </w:pPr>
      <w:r w:rsidRPr="005359C7">
        <w:rPr>
          <w:lang w:val="fr-CA"/>
        </w:rPr>
        <w:t>Si le gouvernement du Sri Lanka ne se conformait pas à son accord avec le Comité exécutif, des mesures pertinentes seraient prises par le Comité exécutif</w:t>
      </w:r>
      <w:r w:rsidR="00CF1303" w:rsidRPr="005359C7">
        <w:rPr>
          <w:lang w:val="fr-CA"/>
        </w:rPr>
        <w:t>.</w:t>
      </w:r>
    </w:p>
    <w:p w14:paraId="46424535" w14:textId="77777777" w:rsidR="00CF1303" w:rsidRPr="005359C7" w:rsidRDefault="00F36C3F" w:rsidP="00CF1303">
      <w:pPr>
        <w:rPr>
          <w:u w:val="single"/>
          <w:lang w:val="fr-CA"/>
        </w:rPr>
      </w:pPr>
      <w:r w:rsidRPr="00633B3A">
        <w:rPr>
          <w:u w:val="single"/>
          <w:lang w:val="fr-CA"/>
        </w:rPr>
        <w:t xml:space="preserve">Rapport périodique sur la mise en </w:t>
      </w:r>
      <w:proofErr w:type="spellStart"/>
      <w:r w:rsidRPr="00633B3A">
        <w:rPr>
          <w:u w:val="single"/>
          <w:lang w:val="fr-CA"/>
        </w:rPr>
        <w:t>oeuvre</w:t>
      </w:r>
      <w:proofErr w:type="spellEnd"/>
      <w:r w:rsidRPr="00633B3A">
        <w:rPr>
          <w:u w:val="single"/>
          <w:lang w:val="fr-CA"/>
        </w:rPr>
        <w:t xml:space="preserve"> de la </w:t>
      </w:r>
      <w:r w:rsidR="00891E3C" w:rsidRPr="005359C7">
        <w:rPr>
          <w:u w:val="single"/>
          <w:lang w:val="fr-CA"/>
        </w:rPr>
        <w:t>troisième</w:t>
      </w:r>
      <w:r w:rsidR="00CF1303" w:rsidRPr="005359C7">
        <w:rPr>
          <w:u w:val="single"/>
          <w:lang w:val="fr-CA"/>
        </w:rPr>
        <w:t xml:space="preserve"> tranche </w:t>
      </w:r>
      <w:r>
        <w:rPr>
          <w:u w:val="single"/>
          <w:lang w:val="fr-CA"/>
        </w:rPr>
        <w:t>du</w:t>
      </w:r>
      <w:r w:rsidR="00CF1303" w:rsidRPr="005359C7">
        <w:rPr>
          <w:u w:val="single"/>
          <w:lang w:val="fr-CA"/>
        </w:rPr>
        <w:t xml:space="preserve"> </w:t>
      </w:r>
      <w:r w:rsidR="00564122" w:rsidRPr="005359C7">
        <w:rPr>
          <w:u w:val="single"/>
          <w:lang w:val="fr-CA"/>
        </w:rPr>
        <w:t>PGEH</w:t>
      </w:r>
    </w:p>
    <w:p w14:paraId="7765EC20" w14:textId="77777777" w:rsidR="00F36C3F" w:rsidRPr="00887129" w:rsidRDefault="00F36C3F" w:rsidP="00CF1303">
      <w:pPr>
        <w:rPr>
          <w:lang w:val="fr-CA"/>
        </w:rPr>
      </w:pPr>
    </w:p>
    <w:p w14:paraId="1C207AB8" w14:textId="77777777" w:rsidR="00CF1303" w:rsidRPr="00887129" w:rsidRDefault="007751C6" w:rsidP="00CF1303">
      <w:pPr>
        <w:rPr>
          <w:lang w:val="fr-CA"/>
        </w:rPr>
      </w:pPr>
      <w:r w:rsidRPr="005359C7">
        <w:rPr>
          <w:i/>
          <w:lang w:val="fr-CA"/>
        </w:rPr>
        <w:t>Cadre juri</w:t>
      </w:r>
      <w:r w:rsidR="00F36C3F">
        <w:rPr>
          <w:i/>
          <w:lang w:val="fr-CA"/>
        </w:rPr>
        <w:t>d</w:t>
      </w:r>
      <w:r w:rsidRPr="005359C7">
        <w:rPr>
          <w:i/>
          <w:lang w:val="fr-CA"/>
        </w:rPr>
        <w:t>ique</w:t>
      </w:r>
    </w:p>
    <w:p w14:paraId="25109852" w14:textId="77777777" w:rsidR="00CF1303" w:rsidRPr="005359C7" w:rsidRDefault="00CF1303" w:rsidP="00CF1303">
      <w:pPr>
        <w:rPr>
          <w:i/>
          <w:lang w:val="fr-CA"/>
        </w:rPr>
      </w:pPr>
    </w:p>
    <w:p w14:paraId="08B05377" w14:textId="77777777" w:rsidR="00CF1303" w:rsidRPr="005359C7" w:rsidRDefault="00EC17BA" w:rsidP="00CF1303">
      <w:pPr>
        <w:pStyle w:val="Heading1"/>
        <w:rPr>
          <w:lang w:val="fr-CA"/>
        </w:rPr>
      </w:pPr>
      <w:r w:rsidRPr="005359C7">
        <w:rPr>
          <w:lang w:val="fr-CA"/>
        </w:rPr>
        <w:t>Le gouvernement</w:t>
      </w:r>
      <w:r w:rsidR="00CF1303" w:rsidRPr="005359C7">
        <w:rPr>
          <w:lang w:val="fr-CA"/>
        </w:rPr>
        <w:t xml:space="preserve"> </w:t>
      </w:r>
      <w:r w:rsidRPr="005359C7">
        <w:rPr>
          <w:lang w:val="fr-CA"/>
        </w:rPr>
        <w:t>du Sri Lanka</w:t>
      </w:r>
      <w:r w:rsidR="00CF1303" w:rsidRPr="005359C7">
        <w:rPr>
          <w:lang w:val="fr-CA"/>
        </w:rPr>
        <w:t xml:space="preserve"> </w:t>
      </w:r>
      <w:r w:rsidR="007751C6" w:rsidRPr="005359C7">
        <w:rPr>
          <w:lang w:val="fr-CA"/>
        </w:rPr>
        <w:t>a émis un contingent d’importation de 9,14 tonnes PAO de HCFC pour</w:t>
      </w:r>
      <w:r w:rsidR="00CF1303" w:rsidRPr="005359C7">
        <w:rPr>
          <w:lang w:val="fr-CA"/>
        </w:rPr>
        <w:t xml:space="preserve"> 2020</w:t>
      </w:r>
      <w:r w:rsidR="007751C6" w:rsidRPr="005359C7">
        <w:rPr>
          <w:lang w:val="fr-CA"/>
        </w:rPr>
        <w:t>, ce qui est conforme aux objectifs du</w:t>
      </w:r>
      <w:r w:rsidR="00CF1303" w:rsidRPr="005359C7">
        <w:rPr>
          <w:lang w:val="fr-CA"/>
        </w:rPr>
        <w:t xml:space="preserve"> </w:t>
      </w:r>
      <w:r w:rsidR="007C0721" w:rsidRPr="005359C7">
        <w:rPr>
          <w:lang w:val="fr-CA"/>
        </w:rPr>
        <w:t>Protocole de Montréal</w:t>
      </w:r>
      <w:r w:rsidR="007F1E2D" w:rsidRPr="005359C7">
        <w:rPr>
          <w:lang w:val="fr-CA"/>
        </w:rPr>
        <w:t>. Le</w:t>
      </w:r>
      <w:r w:rsidRPr="005359C7">
        <w:rPr>
          <w:lang w:val="fr-CA"/>
        </w:rPr>
        <w:t xml:space="preserve"> gouvernement</w:t>
      </w:r>
      <w:r w:rsidR="00CF1303" w:rsidRPr="005359C7">
        <w:rPr>
          <w:lang w:val="fr-CA"/>
        </w:rPr>
        <w:t xml:space="preserve"> </w:t>
      </w:r>
      <w:r w:rsidR="007751C6" w:rsidRPr="005359C7">
        <w:rPr>
          <w:lang w:val="fr-CA"/>
        </w:rPr>
        <w:t xml:space="preserve">conservera environ </w:t>
      </w:r>
      <w:r w:rsidR="006E3D1E" w:rsidRPr="005359C7">
        <w:rPr>
          <w:lang w:val="fr-CA"/>
        </w:rPr>
        <w:t>0,</w:t>
      </w:r>
      <w:r w:rsidR="00CF1303" w:rsidRPr="005359C7">
        <w:rPr>
          <w:lang w:val="fr-CA"/>
        </w:rPr>
        <w:t>5</w:t>
      </w:r>
      <w:r w:rsidR="00564122" w:rsidRPr="005359C7">
        <w:rPr>
          <w:lang w:val="fr-CA"/>
        </w:rPr>
        <w:t xml:space="preserve"> tonne PAO</w:t>
      </w:r>
      <w:r w:rsidR="00CF1303" w:rsidRPr="005359C7">
        <w:rPr>
          <w:lang w:val="fr-CA"/>
        </w:rPr>
        <w:t xml:space="preserve"> (</w:t>
      </w:r>
      <w:r w:rsidR="007751C6" w:rsidRPr="005359C7">
        <w:rPr>
          <w:lang w:val="fr-CA"/>
        </w:rPr>
        <w:t xml:space="preserve">soit </w:t>
      </w:r>
      <w:r w:rsidR="00CF1303" w:rsidRPr="005359C7">
        <w:rPr>
          <w:lang w:val="fr-CA"/>
        </w:rPr>
        <w:t>5</w:t>
      </w:r>
      <w:r w:rsidR="00891E3C" w:rsidRPr="005359C7">
        <w:rPr>
          <w:lang w:val="fr-CA"/>
        </w:rPr>
        <w:t xml:space="preserve"> pour cent</w:t>
      </w:r>
      <w:r w:rsidR="00CF1303" w:rsidRPr="005359C7">
        <w:rPr>
          <w:lang w:val="fr-CA"/>
        </w:rPr>
        <w:t xml:space="preserve"> </w:t>
      </w:r>
      <w:r w:rsidR="007751C6" w:rsidRPr="005359C7">
        <w:rPr>
          <w:lang w:val="fr-CA"/>
        </w:rPr>
        <w:t>du contingent</w:t>
      </w:r>
      <w:r w:rsidR="00CF1303" w:rsidRPr="005359C7">
        <w:rPr>
          <w:lang w:val="fr-CA"/>
        </w:rPr>
        <w:t xml:space="preserve">) </w:t>
      </w:r>
      <w:r w:rsidR="007751C6" w:rsidRPr="005359C7">
        <w:rPr>
          <w:lang w:val="fr-CA"/>
        </w:rPr>
        <w:t>à des fins d’imprévus</w:t>
      </w:r>
      <w:r w:rsidR="00CF1303" w:rsidRPr="005359C7">
        <w:rPr>
          <w:lang w:val="fr-CA"/>
        </w:rPr>
        <w:t xml:space="preserve">. </w:t>
      </w:r>
    </w:p>
    <w:p w14:paraId="6F7EAF41" w14:textId="77777777" w:rsidR="00CF1303" w:rsidRPr="00887129" w:rsidRDefault="007751C6" w:rsidP="00CF1303">
      <w:pPr>
        <w:rPr>
          <w:lang w:val="fr-CA"/>
        </w:rPr>
      </w:pPr>
      <w:r w:rsidRPr="005359C7">
        <w:rPr>
          <w:i/>
          <w:lang w:val="fr-CA"/>
        </w:rPr>
        <w:t>Secteur de l’entretien en r</w:t>
      </w:r>
      <w:r w:rsidR="00564122" w:rsidRPr="005359C7">
        <w:rPr>
          <w:i/>
          <w:lang w:val="fr-CA"/>
        </w:rPr>
        <w:t>éfrigération</w:t>
      </w:r>
    </w:p>
    <w:p w14:paraId="6A164533" w14:textId="77777777" w:rsidR="00CF1303" w:rsidRPr="005359C7" w:rsidRDefault="00CF1303" w:rsidP="00CF1303">
      <w:pPr>
        <w:rPr>
          <w:i/>
          <w:lang w:val="fr-CA"/>
        </w:rPr>
      </w:pPr>
    </w:p>
    <w:p w14:paraId="7369A7A4" w14:textId="77777777" w:rsidR="00CF1303" w:rsidRPr="005359C7" w:rsidRDefault="007751C6" w:rsidP="00CF1303">
      <w:pPr>
        <w:pStyle w:val="Heading1"/>
        <w:rPr>
          <w:lang w:val="fr-CA"/>
        </w:rPr>
      </w:pPr>
      <w:r w:rsidRPr="005359C7">
        <w:rPr>
          <w:lang w:val="fr-CA"/>
        </w:rPr>
        <w:t>Le</w:t>
      </w:r>
      <w:r w:rsidR="00CF1303" w:rsidRPr="005359C7">
        <w:rPr>
          <w:lang w:val="fr-CA"/>
        </w:rPr>
        <w:t xml:space="preserve"> </w:t>
      </w:r>
      <w:r w:rsidR="00F43613" w:rsidRPr="005359C7">
        <w:rPr>
          <w:lang w:val="fr-CA"/>
        </w:rPr>
        <w:t>Secrétariat</w:t>
      </w:r>
      <w:r w:rsidR="00CF1303" w:rsidRPr="005359C7">
        <w:rPr>
          <w:lang w:val="fr-CA"/>
        </w:rPr>
        <w:t xml:space="preserve"> </w:t>
      </w:r>
      <w:r w:rsidRPr="005359C7">
        <w:rPr>
          <w:lang w:val="fr-CA"/>
        </w:rPr>
        <w:t>a demandé des explications sur l’</w:t>
      </w:r>
      <w:r w:rsidR="004D7396" w:rsidRPr="005359C7">
        <w:rPr>
          <w:lang w:val="fr-CA"/>
        </w:rPr>
        <w:t>utilisation</w:t>
      </w:r>
      <w:r w:rsidRPr="005359C7">
        <w:rPr>
          <w:lang w:val="fr-CA"/>
        </w:rPr>
        <w:t xml:space="preserve"> obligatoire d’une unité de récupération des </w:t>
      </w:r>
      <w:r w:rsidR="000A4D88" w:rsidRPr="005359C7">
        <w:rPr>
          <w:lang w:val="fr-CA"/>
        </w:rPr>
        <w:t>frigorigène</w:t>
      </w:r>
      <w:r w:rsidRPr="005359C7">
        <w:rPr>
          <w:lang w:val="fr-CA"/>
        </w:rPr>
        <w:t>s</w:t>
      </w:r>
      <w:r w:rsidR="00CF1303" w:rsidRPr="005359C7">
        <w:rPr>
          <w:lang w:val="fr-CA"/>
        </w:rPr>
        <w:t xml:space="preserve"> </w:t>
      </w:r>
      <w:r w:rsidRPr="005359C7">
        <w:rPr>
          <w:lang w:val="fr-CA"/>
        </w:rPr>
        <w:t>dans tous les ateliers d’entretien</w:t>
      </w:r>
      <w:r w:rsidR="007F1E2D" w:rsidRPr="005359C7">
        <w:rPr>
          <w:lang w:val="fr-CA"/>
        </w:rPr>
        <w:t>. Le</w:t>
      </w:r>
      <w:r w:rsidR="006E3D1E" w:rsidRPr="005359C7">
        <w:rPr>
          <w:lang w:val="fr-CA"/>
        </w:rPr>
        <w:t xml:space="preserve"> PNUD</w:t>
      </w:r>
      <w:r w:rsidR="00CF1303" w:rsidRPr="005359C7">
        <w:rPr>
          <w:lang w:val="fr-CA"/>
        </w:rPr>
        <w:t xml:space="preserve"> </w:t>
      </w:r>
      <w:r w:rsidRPr="005359C7">
        <w:rPr>
          <w:lang w:val="fr-CA"/>
        </w:rPr>
        <w:t xml:space="preserve">a indiqué que </w:t>
      </w:r>
      <w:r w:rsidR="00EC17BA" w:rsidRPr="005359C7">
        <w:rPr>
          <w:lang w:val="fr-CA"/>
        </w:rPr>
        <w:t>le gouvernement</w:t>
      </w:r>
      <w:r w:rsidR="00CF1303" w:rsidRPr="005359C7">
        <w:rPr>
          <w:lang w:val="fr-CA"/>
        </w:rPr>
        <w:t xml:space="preserve"> </w:t>
      </w:r>
      <w:r w:rsidRPr="005359C7">
        <w:rPr>
          <w:lang w:val="fr-CA"/>
        </w:rPr>
        <w:t xml:space="preserve">exige que tous les grands ateliers obtiennent un </w:t>
      </w:r>
      <w:r w:rsidR="0024708A" w:rsidRPr="005359C7">
        <w:rPr>
          <w:lang w:val="fr-CA"/>
        </w:rPr>
        <w:t>Permis de protection de l’environnement (Environnement</w:t>
      </w:r>
      <w:r w:rsidR="00CF1303" w:rsidRPr="005359C7">
        <w:rPr>
          <w:lang w:val="fr-CA"/>
        </w:rPr>
        <w:t xml:space="preserve"> Protection License</w:t>
      </w:r>
      <w:r w:rsidR="0024708A" w:rsidRPr="005359C7">
        <w:rPr>
          <w:lang w:val="fr-CA"/>
        </w:rPr>
        <w:t>)</w:t>
      </w:r>
      <w:r w:rsidR="00CF1303" w:rsidRPr="005359C7">
        <w:rPr>
          <w:lang w:val="fr-CA"/>
        </w:rPr>
        <w:t xml:space="preserve">, </w:t>
      </w:r>
      <w:r w:rsidR="0024708A" w:rsidRPr="005359C7">
        <w:rPr>
          <w:lang w:val="fr-CA"/>
        </w:rPr>
        <w:t xml:space="preserve">qui exige la récupération et le recyclage obligatoires des </w:t>
      </w:r>
      <w:r w:rsidR="000A4D88" w:rsidRPr="005359C7">
        <w:rPr>
          <w:lang w:val="fr-CA"/>
        </w:rPr>
        <w:t>frigorigène</w:t>
      </w:r>
      <w:r w:rsidR="00CF1303" w:rsidRPr="005359C7">
        <w:rPr>
          <w:lang w:val="fr-CA"/>
        </w:rPr>
        <w:t xml:space="preserve">s </w:t>
      </w:r>
      <w:r w:rsidR="0024708A" w:rsidRPr="005359C7">
        <w:rPr>
          <w:lang w:val="fr-CA"/>
        </w:rPr>
        <w:t>lors de l’entretien des</w:t>
      </w:r>
      <w:r w:rsidR="00887129">
        <w:rPr>
          <w:lang w:val="fr-CA"/>
        </w:rPr>
        <w:t> </w:t>
      </w:r>
      <w:r w:rsidR="0024708A" w:rsidRPr="005359C7">
        <w:rPr>
          <w:lang w:val="fr-CA"/>
        </w:rPr>
        <w:t>équipements</w:t>
      </w:r>
      <w:r w:rsidR="00CF1303" w:rsidRPr="005359C7">
        <w:rPr>
          <w:lang w:val="fr-CA"/>
        </w:rPr>
        <w:t xml:space="preserve">. </w:t>
      </w:r>
      <w:r w:rsidR="0024708A" w:rsidRPr="005359C7">
        <w:rPr>
          <w:lang w:val="fr-CA"/>
        </w:rPr>
        <w:t>Le Ministère des Industries, en</w:t>
      </w:r>
      <w:r w:rsidR="00CF1303" w:rsidRPr="005359C7">
        <w:rPr>
          <w:lang w:val="fr-CA"/>
        </w:rPr>
        <w:t xml:space="preserve"> collaboration </w:t>
      </w:r>
      <w:r w:rsidR="0024708A" w:rsidRPr="005359C7">
        <w:rPr>
          <w:lang w:val="fr-CA"/>
        </w:rPr>
        <w:t>avec le Ministère de l’Environnement</w:t>
      </w:r>
      <w:r w:rsidR="00CF1303" w:rsidRPr="005359C7">
        <w:rPr>
          <w:lang w:val="fr-CA"/>
        </w:rPr>
        <w:t xml:space="preserve">, </w:t>
      </w:r>
      <w:r w:rsidR="0024708A" w:rsidRPr="005359C7">
        <w:rPr>
          <w:lang w:val="fr-CA"/>
        </w:rPr>
        <w:t>a</w:t>
      </w:r>
      <w:r w:rsidR="00887129">
        <w:rPr>
          <w:lang w:val="fr-CA"/>
        </w:rPr>
        <w:t> </w:t>
      </w:r>
      <w:r w:rsidR="0024708A" w:rsidRPr="005359C7">
        <w:rPr>
          <w:lang w:val="fr-CA"/>
        </w:rPr>
        <w:t>présenté un programme de prêts pour les petites et moyennes entreprises engagées dans des entreprises respectueuses de l’environnement. L’</w:t>
      </w:r>
      <w:r w:rsidR="00853AB0" w:rsidRPr="005359C7">
        <w:rPr>
          <w:lang w:val="fr-CA"/>
        </w:rPr>
        <w:t xml:space="preserve">UNO </w:t>
      </w:r>
      <w:r w:rsidR="0024708A" w:rsidRPr="005359C7">
        <w:rPr>
          <w:lang w:val="fr-CA"/>
        </w:rPr>
        <w:t>pourrait ainsi aider les ateliers de service à obtenir des prêts afin de se procurer les équipements de récupération et de recyclage obligatoires</w:t>
      </w:r>
      <w:r w:rsidR="00CF1303" w:rsidRPr="005359C7">
        <w:rPr>
          <w:lang w:val="fr-CA"/>
        </w:rPr>
        <w:t xml:space="preserve">. </w:t>
      </w:r>
      <w:r w:rsidR="0024708A" w:rsidRPr="005359C7">
        <w:rPr>
          <w:lang w:val="fr-CA"/>
        </w:rPr>
        <w:t xml:space="preserve">Ainsi, </w:t>
      </w:r>
      <w:r w:rsidR="00EC17BA" w:rsidRPr="005359C7">
        <w:rPr>
          <w:lang w:val="fr-CA"/>
        </w:rPr>
        <w:t>le gouvernement</w:t>
      </w:r>
      <w:r w:rsidR="00CF1303" w:rsidRPr="005359C7">
        <w:rPr>
          <w:lang w:val="fr-CA"/>
        </w:rPr>
        <w:t xml:space="preserve"> </w:t>
      </w:r>
      <w:r w:rsidR="0024708A" w:rsidRPr="005359C7">
        <w:rPr>
          <w:lang w:val="fr-CA"/>
        </w:rPr>
        <w:t xml:space="preserve">fait en sorte que chaque atelier d’entretien, qui procède à la formation de </w:t>
      </w:r>
      <w:r w:rsidR="00564122" w:rsidRPr="005359C7">
        <w:rPr>
          <w:lang w:val="fr-CA"/>
        </w:rPr>
        <w:t>technicien</w:t>
      </w:r>
      <w:r w:rsidR="00CF1303" w:rsidRPr="005359C7">
        <w:rPr>
          <w:lang w:val="fr-CA"/>
        </w:rPr>
        <w:t xml:space="preserve">s, </w:t>
      </w:r>
      <w:r w:rsidR="0024708A" w:rsidRPr="005359C7">
        <w:rPr>
          <w:lang w:val="fr-CA"/>
        </w:rPr>
        <w:t>pourra gérer la</w:t>
      </w:r>
      <w:r w:rsidR="00887129">
        <w:rPr>
          <w:lang w:val="fr-CA"/>
        </w:rPr>
        <w:t xml:space="preserve">  </w:t>
      </w:r>
      <w:r w:rsidR="0024708A" w:rsidRPr="005359C7">
        <w:rPr>
          <w:lang w:val="fr-CA"/>
        </w:rPr>
        <w:t xml:space="preserve">demande de </w:t>
      </w:r>
      <w:r w:rsidR="00CF1303" w:rsidRPr="005359C7">
        <w:rPr>
          <w:lang w:val="fr-CA"/>
        </w:rPr>
        <w:t xml:space="preserve">HCFC </w:t>
      </w:r>
      <w:r w:rsidR="0024708A" w:rsidRPr="005359C7">
        <w:rPr>
          <w:lang w:val="fr-CA"/>
        </w:rPr>
        <w:t>pour l’</w:t>
      </w:r>
      <w:r w:rsidR="004D7396" w:rsidRPr="005359C7">
        <w:rPr>
          <w:lang w:val="fr-CA"/>
        </w:rPr>
        <w:t>entretien</w:t>
      </w:r>
      <w:r w:rsidR="0024708A" w:rsidRPr="005359C7">
        <w:rPr>
          <w:lang w:val="fr-CA"/>
        </w:rPr>
        <w:t xml:space="preserve"> et assurer la conformité aux engagements du</w:t>
      </w:r>
      <w:r w:rsidR="00CF1303" w:rsidRPr="005359C7">
        <w:rPr>
          <w:lang w:val="fr-CA"/>
        </w:rPr>
        <w:t xml:space="preserve"> </w:t>
      </w:r>
      <w:r w:rsidR="007C0721" w:rsidRPr="005359C7">
        <w:rPr>
          <w:lang w:val="fr-CA"/>
        </w:rPr>
        <w:t>Protocole de Montréal</w:t>
      </w:r>
      <w:r w:rsidR="00CF1303" w:rsidRPr="005359C7">
        <w:rPr>
          <w:lang w:val="fr-CA"/>
        </w:rPr>
        <w:t>.</w:t>
      </w:r>
    </w:p>
    <w:p w14:paraId="375130EB" w14:textId="77777777" w:rsidR="00CF1303" w:rsidRPr="005359C7" w:rsidRDefault="0024708A" w:rsidP="00CF1303">
      <w:pPr>
        <w:pStyle w:val="Heading1"/>
        <w:rPr>
          <w:lang w:val="fr-CA" w:eastAsia="ru-RU"/>
        </w:rPr>
      </w:pPr>
      <w:r w:rsidRPr="005359C7">
        <w:rPr>
          <w:lang w:val="fr-CA" w:eastAsia="ru-RU"/>
        </w:rPr>
        <w:t>À la 8</w:t>
      </w:r>
      <w:r w:rsidR="00CF1303" w:rsidRPr="005359C7">
        <w:rPr>
          <w:lang w:val="fr-CA" w:eastAsia="ru-RU"/>
        </w:rPr>
        <w:t>4</w:t>
      </w:r>
      <w:r w:rsidRPr="005359C7">
        <w:rPr>
          <w:vertAlign w:val="superscript"/>
          <w:lang w:val="fr-CA" w:eastAsia="ru-RU"/>
        </w:rPr>
        <w:t>e</w:t>
      </w:r>
      <w:r w:rsidRPr="005359C7">
        <w:rPr>
          <w:lang w:val="fr-CA" w:eastAsia="ru-RU"/>
        </w:rPr>
        <w:t xml:space="preserve"> réunion</w:t>
      </w:r>
      <w:r w:rsidR="00CF1303" w:rsidRPr="005359C7">
        <w:rPr>
          <w:lang w:val="fr-CA" w:eastAsia="ru-RU"/>
        </w:rPr>
        <w:t>,</w:t>
      </w:r>
      <w:r w:rsidR="006E3D1E" w:rsidRPr="005359C7">
        <w:rPr>
          <w:lang w:val="fr-CA" w:eastAsia="ru-RU"/>
        </w:rPr>
        <w:t xml:space="preserve"> le PNUD</w:t>
      </w:r>
      <w:r w:rsidR="00CF1303" w:rsidRPr="005359C7">
        <w:rPr>
          <w:lang w:val="fr-CA" w:eastAsia="ru-RU"/>
        </w:rPr>
        <w:t xml:space="preserve"> </w:t>
      </w:r>
      <w:r w:rsidRPr="005359C7">
        <w:rPr>
          <w:lang w:val="fr-CA" w:eastAsia="ru-RU"/>
        </w:rPr>
        <w:t xml:space="preserve">a présenté un rapport sur la </w:t>
      </w:r>
      <w:r w:rsidR="00564122" w:rsidRPr="005359C7">
        <w:rPr>
          <w:lang w:val="fr-CA" w:eastAsia="ru-RU"/>
        </w:rPr>
        <w:t xml:space="preserve">mise en </w:t>
      </w:r>
      <w:proofErr w:type="spellStart"/>
      <w:r w:rsidR="00564122" w:rsidRPr="005359C7">
        <w:rPr>
          <w:lang w:val="fr-CA" w:eastAsia="ru-RU"/>
        </w:rPr>
        <w:t>oeuvre</w:t>
      </w:r>
      <w:proofErr w:type="spellEnd"/>
      <w:r w:rsidR="00CF1303" w:rsidRPr="005359C7">
        <w:rPr>
          <w:lang w:val="fr-CA" w:eastAsia="ru-RU"/>
        </w:rPr>
        <w:t xml:space="preserve"> </w:t>
      </w:r>
      <w:r w:rsidRPr="005359C7">
        <w:rPr>
          <w:lang w:val="fr-CA" w:eastAsia="ru-RU"/>
        </w:rPr>
        <w:t>du programme incitatif</w:t>
      </w:r>
      <w:r w:rsidR="00CF1303" w:rsidRPr="005359C7">
        <w:rPr>
          <w:lang w:val="fr-CA" w:eastAsia="ru-RU"/>
        </w:rPr>
        <w:t xml:space="preserve"> </w:t>
      </w:r>
      <w:r w:rsidR="0074648A" w:rsidRPr="005359C7">
        <w:rPr>
          <w:lang w:val="fr-CA" w:eastAsia="ru-RU"/>
        </w:rPr>
        <w:t>au</w:t>
      </w:r>
      <w:r w:rsidR="00887129">
        <w:rPr>
          <w:lang w:val="fr-CA" w:eastAsia="ru-RU"/>
        </w:rPr>
        <w:t> </w:t>
      </w:r>
      <w:r w:rsidR="0074648A" w:rsidRPr="005359C7">
        <w:rPr>
          <w:lang w:val="fr-CA" w:eastAsia="ru-RU"/>
        </w:rPr>
        <w:t>Sri</w:t>
      </w:r>
      <w:r w:rsidR="00CF1303" w:rsidRPr="005359C7">
        <w:rPr>
          <w:lang w:val="fr-CA" w:eastAsia="ru-RU"/>
        </w:rPr>
        <w:t xml:space="preserve"> Lanka,</w:t>
      </w:r>
      <w:r w:rsidR="00CF1303" w:rsidRPr="005359C7">
        <w:rPr>
          <w:rStyle w:val="FootnoteReference"/>
          <w:kern w:val="36"/>
          <w:lang w:val="fr-CA" w:eastAsia="ru-RU"/>
        </w:rPr>
        <w:footnoteReference w:id="6"/>
      </w:r>
      <w:r w:rsidR="00CF1303" w:rsidRPr="005359C7">
        <w:rPr>
          <w:lang w:val="fr-CA" w:eastAsia="ru-RU"/>
        </w:rPr>
        <w:t xml:space="preserve"> </w:t>
      </w:r>
      <w:r w:rsidRPr="005359C7">
        <w:rPr>
          <w:lang w:val="fr-CA" w:eastAsia="ru-RU"/>
        </w:rPr>
        <w:t xml:space="preserve">résumé ci-dessous </w:t>
      </w:r>
      <w:r w:rsidR="00CF1303" w:rsidRPr="005359C7">
        <w:rPr>
          <w:lang w:val="fr-CA" w:eastAsia="ru-RU"/>
        </w:rPr>
        <w:t>:</w:t>
      </w:r>
    </w:p>
    <w:p w14:paraId="40CE8867" w14:textId="77777777" w:rsidR="00887129" w:rsidRPr="00F00A12" w:rsidRDefault="0018254E" w:rsidP="00887129">
      <w:pPr>
        <w:pStyle w:val="Heading2"/>
        <w:numPr>
          <w:ilvl w:val="1"/>
          <w:numId w:val="1"/>
        </w:numPr>
        <w:rPr>
          <w:lang w:val="fr-CA" w:eastAsia="ru-RU"/>
        </w:rPr>
      </w:pPr>
      <w:r>
        <w:rPr>
          <w:lang w:val="fr-CA" w:eastAsia="ru-RU"/>
        </w:rPr>
        <w:lastRenderedPageBreak/>
        <w:t xml:space="preserve">Sur la base des résultats préliminaires, </w:t>
      </w:r>
      <w:r w:rsidR="00EC17BA" w:rsidRPr="005359C7">
        <w:rPr>
          <w:lang w:val="fr-CA" w:eastAsia="ru-RU"/>
        </w:rPr>
        <w:t>le gouvernement</w:t>
      </w:r>
      <w:r w:rsidR="00CF1303" w:rsidRPr="005359C7">
        <w:rPr>
          <w:lang w:val="fr-CA" w:eastAsia="ru-RU"/>
        </w:rPr>
        <w:t xml:space="preserve"> </w:t>
      </w:r>
      <w:r>
        <w:rPr>
          <w:lang w:val="fr-CA" w:eastAsia="ru-RU"/>
        </w:rPr>
        <w:t xml:space="preserve">peut promouvoir l’utilisation d’équipements avec </w:t>
      </w:r>
      <w:r w:rsidR="00CF1303" w:rsidRPr="005359C7">
        <w:rPr>
          <w:lang w:val="fr-CA" w:eastAsia="ru-RU"/>
        </w:rPr>
        <w:t xml:space="preserve">HFC-32 </w:t>
      </w:r>
      <w:r>
        <w:rPr>
          <w:lang w:val="fr-CA" w:eastAsia="ru-RU"/>
        </w:rPr>
        <w:t>comme remplacement approprié aux équipements avec </w:t>
      </w:r>
      <w:r w:rsidR="00CF1303" w:rsidRPr="005359C7">
        <w:rPr>
          <w:lang w:val="fr-CA" w:eastAsia="ru-RU"/>
        </w:rPr>
        <w:t xml:space="preserve">HCFC-22; </w:t>
      </w:r>
      <w:r>
        <w:rPr>
          <w:lang w:val="fr-CA" w:eastAsia="ru-RU"/>
        </w:rPr>
        <w:t xml:space="preserve">un programme </w:t>
      </w:r>
      <w:r w:rsidR="00887129">
        <w:rPr>
          <w:lang w:val="fr-CA" w:eastAsia="ru-RU"/>
        </w:rPr>
        <w:t>solide</w:t>
      </w:r>
      <w:r>
        <w:rPr>
          <w:lang w:val="fr-CA" w:eastAsia="ru-RU"/>
        </w:rPr>
        <w:t xml:space="preserve"> de sensibilisation a été mis en place; pour le</w:t>
      </w:r>
      <w:r w:rsidR="00887129">
        <w:rPr>
          <w:lang w:val="fr-CA" w:eastAsia="ru-RU"/>
        </w:rPr>
        <w:t> </w:t>
      </w:r>
      <w:r>
        <w:rPr>
          <w:lang w:val="fr-CA" w:eastAsia="ru-RU"/>
        </w:rPr>
        <w:t>moment, les importateurs d’équipements RAC sont au courant de l’</w:t>
      </w:r>
      <w:r w:rsidR="00CF1303" w:rsidRPr="005359C7">
        <w:rPr>
          <w:lang w:val="fr-CA" w:eastAsia="ru-RU"/>
        </w:rPr>
        <w:t>existence</w:t>
      </w:r>
      <w:r w:rsidR="006E3D1E" w:rsidRPr="005359C7">
        <w:rPr>
          <w:lang w:val="fr-CA" w:eastAsia="ru-RU"/>
        </w:rPr>
        <w:t xml:space="preserve"> et </w:t>
      </w:r>
      <w:r w:rsidR="00887129">
        <w:rPr>
          <w:lang w:val="fr-CA" w:eastAsia="ru-RU"/>
        </w:rPr>
        <w:t>d</w:t>
      </w:r>
      <w:r>
        <w:rPr>
          <w:lang w:val="fr-CA" w:eastAsia="ru-RU"/>
        </w:rPr>
        <w:t>es</w:t>
      </w:r>
      <w:r w:rsidR="00887129">
        <w:rPr>
          <w:lang w:val="fr-CA" w:eastAsia="ru-RU"/>
        </w:rPr>
        <w:t xml:space="preserve"> </w:t>
      </w:r>
      <w:r>
        <w:rPr>
          <w:lang w:val="fr-CA" w:eastAsia="ru-RU"/>
        </w:rPr>
        <w:t xml:space="preserve">caractéristiques techniques des équipements avec </w:t>
      </w:r>
      <w:r w:rsidR="00CF1303" w:rsidRPr="005359C7">
        <w:rPr>
          <w:lang w:val="fr-CA" w:eastAsia="ru-RU"/>
        </w:rPr>
        <w:t>HFC-32</w:t>
      </w:r>
      <w:r w:rsidR="006E3D1E" w:rsidRPr="005359C7">
        <w:rPr>
          <w:lang w:val="fr-CA" w:eastAsia="ru-RU"/>
        </w:rPr>
        <w:t xml:space="preserve"> et</w:t>
      </w:r>
      <w:r>
        <w:rPr>
          <w:lang w:val="fr-CA" w:eastAsia="ru-RU"/>
        </w:rPr>
        <w:t xml:space="preserve"> ils ont accès aux</w:t>
      </w:r>
      <w:r w:rsidR="00887129">
        <w:rPr>
          <w:lang w:val="fr-CA" w:eastAsia="ru-RU"/>
        </w:rPr>
        <w:t> </w:t>
      </w:r>
      <w:r>
        <w:rPr>
          <w:lang w:val="fr-CA" w:eastAsia="ru-RU"/>
        </w:rPr>
        <w:t>principaux fournisseurs dans le monde</w:t>
      </w:r>
      <w:r w:rsidR="00CF1303" w:rsidRPr="005359C7">
        <w:rPr>
          <w:lang w:val="fr-CA" w:eastAsia="ru-RU"/>
        </w:rPr>
        <w:t>;</w:t>
      </w:r>
    </w:p>
    <w:p w14:paraId="4E53B9E0" w14:textId="77777777" w:rsidR="00CF1303" w:rsidRPr="005359C7" w:rsidRDefault="0018254E" w:rsidP="00CF1303">
      <w:pPr>
        <w:pStyle w:val="Heading2"/>
        <w:numPr>
          <w:ilvl w:val="1"/>
          <w:numId w:val="1"/>
        </w:numPr>
        <w:rPr>
          <w:lang w:val="fr-CA" w:eastAsia="ru-RU"/>
        </w:rPr>
      </w:pPr>
      <w:r>
        <w:rPr>
          <w:lang w:val="fr-CA" w:eastAsia="ru-RU"/>
        </w:rPr>
        <w:t>On a recommandé d’inclure une clause aux lignes directrices d’approvisionnement du</w:t>
      </w:r>
      <w:r w:rsidR="00887129">
        <w:rPr>
          <w:lang w:val="fr-CA" w:eastAsia="ru-RU"/>
        </w:rPr>
        <w:t> </w:t>
      </w:r>
      <w:r>
        <w:rPr>
          <w:lang w:val="fr-CA" w:eastAsia="ru-RU"/>
        </w:rPr>
        <w:t>gouvernement afin de prioriser l’achat de climatiseurs individuels (</w:t>
      </w:r>
      <w:r w:rsidR="00CF1303" w:rsidRPr="005359C7">
        <w:rPr>
          <w:lang w:val="fr-CA" w:eastAsia="ru-RU"/>
        </w:rPr>
        <w:t>RAC</w:t>
      </w:r>
      <w:r>
        <w:rPr>
          <w:lang w:val="fr-CA" w:eastAsia="ru-RU"/>
        </w:rPr>
        <w:t>)</w:t>
      </w:r>
      <w:r w:rsidR="00CF1303" w:rsidRPr="005359C7">
        <w:rPr>
          <w:lang w:val="fr-CA" w:eastAsia="ru-RU"/>
        </w:rPr>
        <w:t xml:space="preserve"> </w:t>
      </w:r>
      <w:r>
        <w:rPr>
          <w:lang w:val="fr-CA" w:eastAsia="ru-RU"/>
        </w:rPr>
        <w:t>avec frigorigènes à faible potentiel de réchauffement de la planète</w:t>
      </w:r>
      <w:r w:rsidR="00CF1303" w:rsidRPr="005359C7">
        <w:rPr>
          <w:lang w:val="fr-CA" w:eastAsia="ru-RU"/>
        </w:rPr>
        <w:t xml:space="preserve">; </w:t>
      </w:r>
      <w:r>
        <w:rPr>
          <w:lang w:val="fr-CA" w:eastAsia="ru-RU"/>
        </w:rPr>
        <w:t>en outre</w:t>
      </w:r>
      <w:r w:rsidR="00CF1303" w:rsidRPr="005359C7">
        <w:rPr>
          <w:lang w:val="fr-CA" w:eastAsia="ru-RU"/>
        </w:rPr>
        <w:t xml:space="preserve">, </w:t>
      </w:r>
      <w:r>
        <w:rPr>
          <w:lang w:val="fr-CA" w:eastAsia="ru-RU"/>
        </w:rPr>
        <w:t>l’utilisation de</w:t>
      </w:r>
      <w:r w:rsidR="00887129">
        <w:rPr>
          <w:lang w:val="fr-CA" w:eastAsia="ru-RU"/>
        </w:rPr>
        <w:t> </w:t>
      </w:r>
      <w:r>
        <w:rPr>
          <w:lang w:val="fr-CA" w:eastAsia="ru-RU"/>
        </w:rPr>
        <w:t>technologies à faible réchauffement de la planète</w:t>
      </w:r>
      <w:r w:rsidR="005E7F46">
        <w:rPr>
          <w:lang w:val="fr-CA" w:eastAsia="ru-RU"/>
        </w:rPr>
        <w:t xml:space="preserve"> avait été intégrée au Conseil</w:t>
      </w:r>
      <w:r w:rsidR="00887129">
        <w:rPr>
          <w:lang w:val="fr-CA" w:eastAsia="ru-RU"/>
        </w:rPr>
        <w:t xml:space="preserve"> </w:t>
      </w:r>
      <w:r w:rsidR="005E7F46">
        <w:rPr>
          <w:lang w:val="fr-CA" w:eastAsia="ru-RU"/>
        </w:rPr>
        <w:t>du</w:t>
      </w:r>
      <w:r w:rsidR="00887129">
        <w:rPr>
          <w:lang w:val="fr-CA" w:eastAsia="ru-RU"/>
        </w:rPr>
        <w:t xml:space="preserve">  </w:t>
      </w:r>
      <w:r w:rsidR="005E7F46">
        <w:rPr>
          <w:lang w:val="fr-CA" w:eastAsia="ru-RU"/>
        </w:rPr>
        <w:t>bâtiment durable du Canada (</w:t>
      </w:r>
      <w:r w:rsidR="00CF1303" w:rsidRPr="005359C7">
        <w:rPr>
          <w:lang w:val="fr-CA" w:eastAsia="ru-RU"/>
        </w:rPr>
        <w:t>Green Building Guidelines</w:t>
      </w:r>
      <w:r w:rsidR="005E7F46">
        <w:rPr>
          <w:lang w:val="fr-CA" w:eastAsia="ru-RU"/>
        </w:rPr>
        <w:t>)</w:t>
      </w:r>
      <w:r w:rsidR="00CF1303" w:rsidRPr="005359C7">
        <w:rPr>
          <w:lang w:val="fr-CA" w:eastAsia="ru-RU"/>
        </w:rPr>
        <w:t xml:space="preserve">; </w:t>
      </w:r>
    </w:p>
    <w:p w14:paraId="7D0E93C6" w14:textId="77777777" w:rsidR="00CF1303" w:rsidRPr="005359C7" w:rsidRDefault="009A729E" w:rsidP="00CF1303">
      <w:pPr>
        <w:pStyle w:val="Heading2"/>
        <w:numPr>
          <w:ilvl w:val="1"/>
          <w:numId w:val="1"/>
        </w:numPr>
        <w:rPr>
          <w:lang w:val="fr-CA" w:eastAsia="ru-RU"/>
        </w:rPr>
      </w:pPr>
      <w:r>
        <w:rPr>
          <w:lang w:val="fr-CA" w:eastAsia="ru-RU"/>
        </w:rPr>
        <w:t>L’Unité nationale d’ozone (</w:t>
      </w:r>
      <w:r w:rsidR="00853AB0" w:rsidRPr="005359C7">
        <w:rPr>
          <w:lang w:val="fr-CA" w:eastAsia="ru-RU"/>
        </w:rPr>
        <w:t>UNO</w:t>
      </w:r>
      <w:r>
        <w:rPr>
          <w:lang w:val="fr-CA" w:eastAsia="ru-RU"/>
        </w:rPr>
        <w:t>)</w:t>
      </w:r>
      <w:r w:rsidR="00853AB0" w:rsidRPr="005359C7">
        <w:rPr>
          <w:lang w:val="fr-CA" w:eastAsia="ru-RU"/>
        </w:rPr>
        <w:t xml:space="preserve"> </w:t>
      </w:r>
      <w:r>
        <w:rPr>
          <w:lang w:val="fr-CA" w:eastAsia="ru-RU"/>
        </w:rPr>
        <w:t>a fourni à des techniciens en climatisation individuelle (RAC) une formation sur la manutention des frigorigènes inflammables</w:t>
      </w:r>
      <w:r w:rsidR="00CF1303" w:rsidRPr="005359C7">
        <w:rPr>
          <w:lang w:val="fr-CA" w:eastAsia="ru-RU"/>
        </w:rPr>
        <w:t>;</w:t>
      </w:r>
    </w:p>
    <w:p w14:paraId="3348051F" w14:textId="77777777" w:rsidR="009A729E" w:rsidRDefault="009A729E" w:rsidP="00CF1303">
      <w:pPr>
        <w:pStyle w:val="Heading2"/>
        <w:numPr>
          <w:ilvl w:val="1"/>
          <w:numId w:val="1"/>
        </w:numPr>
        <w:rPr>
          <w:lang w:val="fr-CA" w:eastAsia="ru-RU"/>
        </w:rPr>
      </w:pPr>
      <w:r w:rsidRPr="009A729E">
        <w:rPr>
          <w:lang w:val="fr-CA" w:eastAsia="ru-RU"/>
        </w:rPr>
        <w:t>Actuellement il n’existe aucun suivi du programme. Toutefois, on croit que les clients sont ouverts à l’adoption de nouvelles technologies</w:t>
      </w:r>
      <w:r w:rsidR="00CF1303" w:rsidRPr="009A729E">
        <w:rPr>
          <w:lang w:val="fr-CA" w:eastAsia="ru-RU"/>
        </w:rPr>
        <w:t xml:space="preserve"> (HFC-3</w:t>
      </w:r>
      <w:r w:rsidR="006E3D1E" w:rsidRPr="009A729E">
        <w:rPr>
          <w:lang w:val="fr-CA" w:eastAsia="ru-RU"/>
        </w:rPr>
        <w:t>2 </w:t>
      </w:r>
      <w:r w:rsidR="00CF1303" w:rsidRPr="009A729E">
        <w:rPr>
          <w:lang w:val="fr-CA" w:eastAsia="ru-RU"/>
        </w:rPr>
        <w:t xml:space="preserve"> R-290)</w:t>
      </w:r>
      <w:r w:rsidRPr="009A729E">
        <w:rPr>
          <w:lang w:val="fr-CA" w:eastAsia="ru-RU"/>
        </w:rPr>
        <w:t>. L’</w:t>
      </w:r>
      <w:r w:rsidR="00853AB0" w:rsidRPr="009A729E">
        <w:rPr>
          <w:lang w:val="fr-CA" w:eastAsia="ru-RU"/>
        </w:rPr>
        <w:t xml:space="preserve">UNO </w:t>
      </w:r>
      <w:r w:rsidRPr="009A729E">
        <w:rPr>
          <w:lang w:val="fr-CA" w:eastAsia="ru-RU"/>
        </w:rPr>
        <w:t xml:space="preserve">continue de suivre les tendances des marchés; et </w:t>
      </w:r>
    </w:p>
    <w:p w14:paraId="6CF94934" w14:textId="77777777" w:rsidR="00CF1303" w:rsidRPr="009A729E" w:rsidRDefault="009A729E" w:rsidP="00CF1303">
      <w:pPr>
        <w:pStyle w:val="Heading2"/>
        <w:numPr>
          <w:ilvl w:val="1"/>
          <w:numId w:val="1"/>
        </w:numPr>
        <w:rPr>
          <w:lang w:val="fr-CA" w:eastAsia="ru-RU"/>
        </w:rPr>
      </w:pPr>
      <w:r>
        <w:rPr>
          <w:lang w:val="fr-CA" w:eastAsia="ru-RU"/>
        </w:rPr>
        <w:t xml:space="preserve">Au début du </w:t>
      </w:r>
      <w:r w:rsidR="00CF1303" w:rsidRPr="009A729E">
        <w:rPr>
          <w:lang w:val="fr-CA"/>
        </w:rPr>
        <w:t xml:space="preserve">programme, </w:t>
      </w:r>
      <w:r>
        <w:rPr>
          <w:lang w:val="fr-CA"/>
        </w:rPr>
        <w:t>l’utilisation de frigorigènes in</w:t>
      </w:r>
      <w:r w:rsidR="00CF1303" w:rsidRPr="009A729E">
        <w:rPr>
          <w:lang w:val="fr-CA"/>
        </w:rPr>
        <w:t xml:space="preserve">flammables </w:t>
      </w:r>
      <w:r>
        <w:rPr>
          <w:lang w:val="fr-CA"/>
        </w:rPr>
        <w:t>représentait une barrière à la pénétration des marchés, et elle demeure un frein important à l’</w:t>
      </w:r>
      <w:r w:rsidR="00CF1303" w:rsidRPr="009A729E">
        <w:rPr>
          <w:lang w:val="fr-CA"/>
        </w:rPr>
        <w:t xml:space="preserve">introduction </w:t>
      </w:r>
      <w:r>
        <w:rPr>
          <w:lang w:val="fr-CA"/>
        </w:rPr>
        <w:t>d’unités avec</w:t>
      </w:r>
      <w:r w:rsidR="00CF1303" w:rsidRPr="009A729E">
        <w:rPr>
          <w:lang w:val="fr-CA"/>
        </w:rPr>
        <w:t xml:space="preserve"> R-290</w:t>
      </w:r>
      <w:r>
        <w:rPr>
          <w:lang w:val="fr-CA"/>
        </w:rPr>
        <w:t xml:space="preserve">. Toutefois, le programme incitatif a été d’une importance critique au soutien de la pénétration du marché de la technologie </w:t>
      </w:r>
      <w:r w:rsidR="00CF1303" w:rsidRPr="009A729E">
        <w:rPr>
          <w:lang w:val="fr-CA"/>
        </w:rPr>
        <w:t xml:space="preserve">HFC-32, </w:t>
      </w:r>
      <w:r>
        <w:rPr>
          <w:lang w:val="fr-CA"/>
        </w:rPr>
        <w:t xml:space="preserve">où des paiements incitatifs aux utilisateurs finals aidaient à faire le pont de la différence de coût des équipements avec </w:t>
      </w:r>
      <w:r w:rsidR="00CF1303" w:rsidRPr="009A729E">
        <w:rPr>
          <w:lang w:val="fr-CA"/>
        </w:rPr>
        <w:t>HFC-32</w:t>
      </w:r>
      <w:r w:rsidR="007F1E2D" w:rsidRPr="009A729E">
        <w:rPr>
          <w:lang w:val="fr-CA"/>
        </w:rPr>
        <w:t>. Le</w:t>
      </w:r>
      <w:r w:rsidR="00EC17BA" w:rsidRPr="009A729E">
        <w:rPr>
          <w:lang w:val="fr-CA"/>
        </w:rPr>
        <w:t xml:space="preserve"> gouvernement</w:t>
      </w:r>
      <w:r w:rsidR="00CF1303" w:rsidRPr="009A729E">
        <w:rPr>
          <w:lang w:val="fr-CA"/>
        </w:rPr>
        <w:t xml:space="preserve"> </w:t>
      </w:r>
      <w:r>
        <w:rPr>
          <w:lang w:val="fr-CA"/>
        </w:rPr>
        <w:t>recommande fortement de poursuivre l’utilisation d’incitatifs similaires dans le cadre de la phase</w:t>
      </w:r>
      <w:r w:rsidR="00CF1303" w:rsidRPr="009A729E">
        <w:rPr>
          <w:lang w:val="fr-CA"/>
        </w:rPr>
        <w:t xml:space="preserve"> II </w:t>
      </w:r>
      <w:r>
        <w:rPr>
          <w:lang w:val="fr-CA"/>
        </w:rPr>
        <w:t>du</w:t>
      </w:r>
      <w:r w:rsidR="00CF1303" w:rsidRPr="009A729E">
        <w:rPr>
          <w:lang w:val="fr-CA"/>
        </w:rPr>
        <w:t xml:space="preserve"> </w:t>
      </w:r>
      <w:r w:rsidR="00564122" w:rsidRPr="009A729E">
        <w:rPr>
          <w:lang w:val="fr-CA"/>
        </w:rPr>
        <w:t>PGEH</w:t>
      </w:r>
      <w:r w:rsidR="00CF1303" w:rsidRPr="009A729E">
        <w:rPr>
          <w:lang w:val="fr-CA"/>
        </w:rPr>
        <w:t>.</w:t>
      </w:r>
    </w:p>
    <w:p w14:paraId="327A5304" w14:textId="77777777" w:rsidR="00CF1303" w:rsidRPr="005359C7" w:rsidRDefault="009A729E" w:rsidP="00CF1303">
      <w:pPr>
        <w:pStyle w:val="Heading1"/>
        <w:rPr>
          <w:lang w:val="fr-CA"/>
        </w:rPr>
      </w:pPr>
      <w:r>
        <w:rPr>
          <w:lang w:val="fr-CA"/>
        </w:rPr>
        <w:t xml:space="preserve">Le </w:t>
      </w:r>
      <w:r w:rsidR="00886766" w:rsidRPr="005359C7">
        <w:rPr>
          <w:lang w:val="fr-CA"/>
        </w:rPr>
        <w:t>PNUD</w:t>
      </w:r>
      <w:r w:rsidR="00CF1303" w:rsidRPr="005359C7">
        <w:rPr>
          <w:lang w:val="fr-CA"/>
        </w:rPr>
        <w:t xml:space="preserve"> </w:t>
      </w:r>
      <w:r>
        <w:rPr>
          <w:lang w:val="fr-CA"/>
        </w:rPr>
        <w:t>a indiqué que la phase</w:t>
      </w:r>
      <w:r w:rsidR="00CF1303" w:rsidRPr="005359C7">
        <w:rPr>
          <w:lang w:val="fr-CA"/>
        </w:rPr>
        <w:t xml:space="preserve"> I </w:t>
      </w:r>
      <w:r>
        <w:rPr>
          <w:lang w:val="fr-CA"/>
        </w:rPr>
        <w:t xml:space="preserve">du </w:t>
      </w:r>
      <w:r w:rsidR="00564122" w:rsidRPr="005359C7">
        <w:rPr>
          <w:lang w:val="fr-CA"/>
        </w:rPr>
        <w:t>PGEH</w:t>
      </w:r>
      <w:r w:rsidR="00CF1303" w:rsidRPr="005359C7">
        <w:rPr>
          <w:lang w:val="fr-CA"/>
        </w:rPr>
        <w:t xml:space="preserve"> </w:t>
      </w:r>
      <w:r>
        <w:rPr>
          <w:lang w:val="fr-CA"/>
        </w:rPr>
        <w:t>du</w:t>
      </w:r>
      <w:r w:rsidR="00CF1303" w:rsidRPr="005359C7">
        <w:rPr>
          <w:lang w:val="fr-CA"/>
        </w:rPr>
        <w:t xml:space="preserve"> Sri Lanka </w:t>
      </w:r>
      <w:r>
        <w:rPr>
          <w:lang w:val="fr-CA"/>
        </w:rPr>
        <w:t xml:space="preserve">sera terminée d’ici le </w:t>
      </w:r>
      <w:r w:rsidR="00CF1303" w:rsidRPr="005359C7">
        <w:rPr>
          <w:lang w:val="fr-CA"/>
        </w:rPr>
        <w:t xml:space="preserve">31 </w:t>
      </w:r>
      <w:r>
        <w:rPr>
          <w:lang w:val="fr-CA"/>
        </w:rPr>
        <w:t xml:space="preserve">décembre </w:t>
      </w:r>
      <w:r w:rsidR="00887129">
        <w:rPr>
          <w:lang w:val="fr-CA"/>
        </w:rPr>
        <w:tab/>
      </w:r>
      <w:r w:rsidR="00CF1303" w:rsidRPr="005359C7">
        <w:rPr>
          <w:lang w:val="fr-CA"/>
        </w:rPr>
        <w:t>202</w:t>
      </w:r>
      <w:r w:rsidR="006E3D1E" w:rsidRPr="005359C7">
        <w:rPr>
          <w:lang w:val="fr-CA"/>
        </w:rPr>
        <w:t>1</w:t>
      </w:r>
      <w:r>
        <w:rPr>
          <w:lang w:val="fr-CA"/>
        </w:rPr>
        <w:t xml:space="preserve">, tel que l’indique le </w:t>
      </w:r>
      <w:r w:rsidR="00CF1303" w:rsidRPr="005359C7">
        <w:rPr>
          <w:lang w:val="fr-CA"/>
        </w:rPr>
        <w:t>paragraph</w:t>
      </w:r>
      <w:r>
        <w:rPr>
          <w:lang w:val="fr-CA"/>
        </w:rPr>
        <w:t>e</w:t>
      </w:r>
      <w:r w:rsidR="00CF1303" w:rsidRPr="005359C7">
        <w:rPr>
          <w:lang w:val="fr-CA"/>
        </w:rPr>
        <w:t xml:space="preserve"> 14 </w:t>
      </w:r>
      <w:r>
        <w:rPr>
          <w:lang w:val="fr-CA"/>
        </w:rPr>
        <w:t>de l’accord</w:t>
      </w:r>
      <w:r w:rsidR="00CF1303" w:rsidRPr="005359C7">
        <w:rPr>
          <w:lang w:val="fr-CA"/>
        </w:rPr>
        <w:t xml:space="preserve">. </w:t>
      </w:r>
    </w:p>
    <w:p w14:paraId="19CF9580" w14:textId="77777777" w:rsidR="00CF1303" w:rsidRPr="005359C7" w:rsidRDefault="00AE190E" w:rsidP="00CF1303">
      <w:pPr>
        <w:keepNext/>
        <w:rPr>
          <w:u w:val="single"/>
          <w:lang w:val="fr-CA"/>
        </w:rPr>
      </w:pPr>
      <w:r>
        <w:rPr>
          <w:u w:val="single"/>
          <w:lang w:val="fr-CA"/>
        </w:rPr>
        <w:t xml:space="preserve">Mise en </w:t>
      </w:r>
      <w:proofErr w:type="spellStart"/>
      <w:r>
        <w:rPr>
          <w:u w:val="single"/>
          <w:lang w:val="fr-CA"/>
        </w:rPr>
        <w:t>oeuvre</w:t>
      </w:r>
      <w:proofErr w:type="spellEnd"/>
      <w:r>
        <w:rPr>
          <w:u w:val="single"/>
          <w:lang w:val="fr-CA"/>
        </w:rPr>
        <w:t xml:space="preserve"> d’une politique sur l’égalité des sexes</w:t>
      </w:r>
      <w:r w:rsidR="00CF1303" w:rsidRPr="00AE190E">
        <w:rPr>
          <w:rStyle w:val="FootnoteReference"/>
          <w:lang w:val="fr-CA"/>
        </w:rPr>
        <w:footnoteReference w:id="7"/>
      </w:r>
    </w:p>
    <w:p w14:paraId="4BA70932" w14:textId="77777777" w:rsidR="00CF1303" w:rsidRPr="005359C7" w:rsidRDefault="00CF1303" w:rsidP="00CF1303">
      <w:pPr>
        <w:keepNext/>
        <w:rPr>
          <w:u w:val="single"/>
          <w:lang w:val="fr-CA"/>
        </w:rPr>
      </w:pPr>
    </w:p>
    <w:p w14:paraId="621897C2" w14:textId="77777777" w:rsidR="00CF1303" w:rsidRPr="005359C7" w:rsidRDefault="008C6F8D" w:rsidP="00CF1303">
      <w:pPr>
        <w:pStyle w:val="Heading1"/>
        <w:rPr>
          <w:rFonts w:eastAsia="SimSun"/>
          <w:lang w:val="fr-CA" w:eastAsia="zh-CN"/>
        </w:rPr>
      </w:pPr>
      <w:r>
        <w:rPr>
          <w:lang w:val="fr-CA"/>
        </w:rPr>
        <w:t>Le</w:t>
      </w:r>
      <w:r w:rsidR="00CF1303" w:rsidRPr="005359C7">
        <w:rPr>
          <w:lang w:val="fr-CA"/>
        </w:rPr>
        <w:t xml:space="preserve"> </w:t>
      </w:r>
      <w:r w:rsidR="00F43613" w:rsidRPr="005359C7">
        <w:rPr>
          <w:lang w:val="fr-CA"/>
        </w:rPr>
        <w:t>Secrétariat</w:t>
      </w:r>
      <w:r w:rsidR="00CF1303" w:rsidRPr="005359C7">
        <w:rPr>
          <w:lang w:val="fr-CA"/>
        </w:rPr>
        <w:t xml:space="preserve"> </w:t>
      </w:r>
      <w:r w:rsidR="004D7396">
        <w:rPr>
          <w:lang w:val="fr-CA"/>
        </w:rPr>
        <w:t xml:space="preserve">a pris note que </w:t>
      </w:r>
      <w:r w:rsidR="00EC17BA" w:rsidRPr="005359C7">
        <w:rPr>
          <w:lang w:val="fr-CA"/>
        </w:rPr>
        <w:t>le gouvernement</w:t>
      </w:r>
      <w:r w:rsidR="00CF1303" w:rsidRPr="005359C7">
        <w:rPr>
          <w:lang w:val="fr-CA"/>
        </w:rPr>
        <w:t xml:space="preserve"> </w:t>
      </w:r>
      <w:r w:rsidR="00EC17BA" w:rsidRPr="005359C7">
        <w:rPr>
          <w:lang w:val="fr-CA"/>
        </w:rPr>
        <w:t>du Sri Lanka</w:t>
      </w:r>
      <w:r w:rsidR="00CF1303" w:rsidRPr="005359C7">
        <w:rPr>
          <w:lang w:val="fr-CA"/>
        </w:rPr>
        <w:t xml:space="preserve"> </w:t>
      </w:r>
      <w:r w:rsidR="004D7396">
        <w:rPr>
          <w:lang w:val="fr-CA"/>
        </w:rPr>
        <w:t xml:space="preserve">s’était engagé à respecter la politique d’égalité des sexes durant la mise en </w:t>
      </w:r>
      <w:proofErr w:type="spellStart"/>
      <w:r w:rsidR="004D7396">
        <w:rPr>
          <w:lang w:val="fr-CA"/>
        </w:rPr>
        <w:t>oeuvre</w:t>
      </w:r>
      <w:proofErr w:type="spellEnd"/>
      <w:r w:rsidR="004D7396">
        <w:rPr>
          <w:lang w:val="fr-CA"/>
        </w:rPr>
        <w:t xml:space="preserve"> du </w:t>
      </w:r>
      <w:r w:rsidR="00564122" w:rsidRPr="005359C7">
        <w:rPr>
          <w:lang w:val="fr-CA"/>
        </w:rPr>
        <w:t>PGEH</w:t>
      </w:r>
      <w:r w:rsidR="00CF1303" w:rsidRPr="005359C7">
        <w:rPr>
          <w:lang w:val="fr-CA"/>
        </w:rPr>
        <w:t xml:space="preserve">. </w:t>
      </w:r>
      <w:r w:rsidR="00123F91">
        <w:rPr>
          <w:lang w:val="fr-CA"/>
        </w:rPr>
        <w:t xml:space="preserve">Durant la </w:t>
      </w:r>
      <w:r w:rsidR="00891E3C" w:rsidRPr="005359C7">
        <w:rPr>
          <w:lang w:val="fr-CA"/>
        </w:rPr>
        <w:t>quatrième</w:t>
      </w:r>
      <w:r w:rsidR="00CF1303" w:rsidRPr="005359C7">
        <w:rPr>
          <w:lang w:val="fr-CA"/>
        </w:rPr>
        <w:t xml:space="preserve"> tranche, </w:t>
      </w:r>
      <w:r w:rsidR="00123F91">
        <w:rPr>
          <w:lang w:val="fr-CA"/>
        </w:rPr>
        <w:t>on fera la promotion de la participation des femmes lors de l’organisation du programme de formation et de renforcement des capacités</w:t>
      </w:r>
      <w:r w:rsidR="00CF1303" w:rsidRPr="005359C7">
        <w:rPr>
          <w:rFonts w:eastAsia="SimSun"/>
          <w:lang w:val="fr-CA" w:eastAsia="zh-CN"/>
        </w:rPr>
        <w:t xml:space="preserve">, </w:t>
      </w:r>
      <w:r w:rsidR="00123F91">
        <w:rPr>
          <w:rFonts w:eastAsia="SimSun"/>
          <w:lang w:val="fr-CA" w:eastAsia="zh-CN"/>
        </w:rPr>
        <w:t xml:space="preserve">dans des activités de vulgarisation et la </w:t>
      </w:r>
      <w:r w:rsidR="00CF1303" w:rsidRPr="005359C7">
        <w:rPr>
          <w:rFonts w:eastAsia="SimSun"/>
          <w:lang w:val="fr-CA" w:eastAsia="zh-CN"/>
        </w:rPr>
        <w:t xml:space="preserve">distribution </w:t>
      </w:r>
      <w:r w:rsidR="00123F91">
        <w:rPr>
          <w:rFonts w:eastAsia="SimSun"/>
          <w:lang w:val="fr-CA" w:eastAsia="zh-CN"/>
        </w:rPr>
        <w:t>d’</w:t>
      </w:r>
      <w:r w:rsidR="00A4407A">
        <w:rPr>
          <w:rFonts w:eastAsia="SimSun"/>
          <w:lang w:val="fr-CA" w:eastAsia="zh-CN"/>
        </w:rPr>
        <w:t>outils</w:t>
      </w:r>
      <w:r w:rsidR="00123F91">
        <w:rPr>
          <w:rFonts w:eastAsia="SimSun"/>
          <w:lang w:val="fr-CA" w:eastAsia="zh-CN"/>
        </w:rPr>
        <w:t xml:space="preserve"> et d’</w:t>
      </w:r>
      <w:r w:rsidR="0024708A" w:rsidRPr="005359C7">
        <w:rPr>
          <w:rFonts w:eastAsia="SimSun"/>
          <w:lang w:val="fr-CA" w:eastAsia="zh-CN"/>
        </w:rPr>
        <w:t>équipements</w:t>
      </w:r>
      <w:r w:rsidR="00CF1303" w:rsidRPr="005359C7">
        <w:rPr>
          <w:rFonts w:eastAsia="SimSun"/>
          <w:lang w:val="fr-CA" w:eastAsia="zh-CN"/>
        </w:rPr>
        <w:t>.</w:t>
      </w:r>
    </w:p>
    <w:p w14:paraId="6482CA16" w14:textId="77777777" w:rsidR="00CF1303" w:rsidRPr="005359C7" w:rsidRDefault="00123F91" w:rsidP="00CF1303">
      <w:pPr>
        <w:keepNext/>
        <w:keepLines/>
        <w:spacing w:after="240"/>
        <w:rPr>
          <w:u w:val="single"/>
          <w:lang w:val="fr-CA"/>
        </w:rPr>
      </w:pPr>
      <w:r>
        <w:rPr>
          <w:u w:val="single"/>
          <w:lang w:val="fr-CA"/>
        </w:rPr>
        <w:t xml:space="preserve">Durabilité de l’élimination des </w:t>
      </w:r>
      <w:r w:rsidR="00CF1303" w:rsidRPr="005359C7">
        <w:rPr>
          <w:u w:val="single"/>
          <w:lang w:val="fr-CA"/>
        </w:rPr>
        <w:t xml:space="preserve">HCFC </w:t>
      </w:r>
    </w:p>
    <w:p w14:paraId="088F9B51" w14:textId="77777777" w:rsidR="00CF1303" w:rsidRPr="005359C7" w:rsidRDefault="00EC17BA" w:rsidP="00CF1303">
      <w:pPr>
        <w:pStyle w:val="Heading1"/>
        <w:rPr>
          <w:noProof/>
          <w:lang w:val="fr-CA"/>
        </w:rPr>
      </w:pPr>
      <w:r w:rsidRPr="005359C7">
        <w:rPr>
          <w:lang w:val="fr-CA"/>
        </w:rPr>
        <w:t>Le gouvernement</w:t>
      </w:r>
      <w:r w:rsidR="00CF1303" w:rsidRPr="005359C7">
        <w:rPr>
          <w:lang w:val="fr-CA"/>
        </w:rPr>
        <w:t xml:space="preserve"> </w:t>
      </w:r>
      <w:r w:rsidRPr="005359C7">
        <w:rPr>
          <w:lang w:val="fr-CA"/>
        </w:rPr>
        <w:t>du Sri Lanka</w:t>
      </w:r>
      <w:r w:rsidR="00CF1303" w:rsidRPr="005359C7">
        <w:rPr>
          <w:lang w:val="fr-CA"/>
        </w:rPr>
        <w:t xml:space="preserve"> </w:t>
      </w:r>
      <w:r w:rsidR="00123F91">
        <w:rPr>
          <w:lang w:val="fr-CA"/>
        </w:rPr>
        <w:t xml:space="preserve">est doté de solides mesures légales visant à contrôler l’importation de </w:t>
      </w:r>
      <w:r w:rsidR="00CF1303" w:rsidRPr="005359C7">
        <w:rPr>
          <w:lang w:val="fr-CA"/>
        </w:rPr>
        <w:t>HCFC</w:t>
      </w:r>
      <w:r w:rsidR="006E3D1E" w:rsidRPr="005359C7">
        <w:rPr>
          <w:lang w:val="fr-CA"/>
        </w:rPr>
        <w:t xml:space="preserve"> et </w:t>
      </w:r>
      <w:r w:rsidR="00123F91">
        <w:rPr>
          <w:lang w:val="fr-CA"/>
        </w:rPr>
        <w:t xml:space="preserve">d’équipements avec </w:t>
      </w:r>
      <w:r w:rsidR="00CF1303" w:rsidRPr="005359C7">
        <w:rPr>
          <w:lang w:val="fr-CA"/>
        </w:rPr>
        <w:t xml:space="preserve">HCFC. </w:t>
      </w:r>
      <w:r w:rsidR="00123F91">
        <w:rPr>
          <w:lang w:val="fr-CA"/>
        </w:rPr>
        <w:t xml:space="preserve">Les activités d’optimisation des ressources des douanes pour l’élimination des </w:t>
      </w:r>
      <w:r w:rsidR="00CF1303" w:rsidRPr="005359C7">
        <w:rPr>
          <w:lang w:val="fr-CA"/>
        </w:rPr>
        <w:t xml:space="preserve">HCFC </w:t>
      </w:r>
      <w:r w:rsidR="00123F91">
        <w:rPr>
          <w:lang w:val="fr-CA"/>
        </w:rPr>
        <w:t>relèvent du Bureau des douanes</w:t>
      </w:r>
      <w:r w:rsidR="007F1E2D" w:rsidRPr="005359C7">
        <w:rPr>
          <w:lang w:val="fr-CA"/>
        </w:rPr>
        <w:t>. Le</w:t>
      </w:r>
      <w:r w:rsidRPr="005359C7">
        <w:rPr>
          <w:lang w:val="fr-CA"/>
        </w:rPr>
        <w:t xml:space="preserve"> gouvernement</w:t>
      </w:r>
      <w:r w:rsidR="00CF1303" w:rsidRPr="005359C7">
        <w:rPr>
          <w:lang w:val="fr-CA"/>
        </w:rPr>
        <w:t xml:space="preserve"> </w:t>
      </w:r>
      <w:r w:rsidR="00123F91">
        <w:rPr>
          <w:lang w:val="fr-CA"/>
        </w:rPr>
        <w:t xml:space="preserve">met en </w:t>
      </w:r>
      <w:proofErr w:type="spellStart"/>
      <w:r w:rsidR="00123F91">
        <w:rPr>
          <w:lang w:val="fr-CA"/>
        </w:rPr>
        <w:t>oeuvre</w:t>
      </w:r>
      <w:proofErr w:type="spellEnd"/>
      <w:r w:rsidR="00123F91">
        <w:rPr>
          <w:lang w:val="fr-CA"/>
        </w:rPr>
        <w:t xml:space="preserve"> un prêt écologique visant à aider les ateliers d’entretien en </w:t>
      </w:r>
      <w:r w:rsidR="00564122" w:rsidRPr="005359C7">
        <w:rPr>
          <w:lang w:val="fr-CA"/>
        </w:rPr>
        <w:t>réfrigération</w:t>
      </w:r>
      <w:r w:rsidR="00CF1303" w:rsidRPr="005359C7">
        <w:rPr>
          <w:lang w:val="fr-CA"/>
        </w:rPr>
        <w:t xml:space="preserve"> </w:t>
      </w:r>
      <w:r w:rsidR="00123F91">
        <w:rPr>
          <w:lang w:val="fr-CA"/>
        </w:rPr>
        <w:t>à se procurer les équipements obligatoires de recyclage et de récupération</w:t>
      </w:r>
      <w:r w:rsidR="00CF1303" w:rsidRPr="005359C7">
        <w:rPr>
          <w:lang w:val="fr-CA"/>
        </w:rPr>
        <w:t xml:space="preserve">. </w:t>
      </w:r>
      <w:r w:rsidR="008F2614">
        <w:rPr>
          <w:lang w:val="fr-CA"/>
        </w:rPr>
        <w:t xml:space="preserve">On offre aux </w:t>
      </w:r>
      <w:r w:rsidR="00123F91">
        <w:rPr>
          <w:lang w:val="fr-CA"/>
        </w:rPr>
        <w:t xml:space="preserve">techniciens d’entretien </w:t>
      </w:r>
      <w:r w:rsidR="008F2614">
        <w:rPr>
          <w:lang w:val="fr-CA"/>
        </w:rPr>
        <w:t>des cours de formation leur permettant de conserver à jour leurs compétences et leurs renseignements</w:t>
      </w:r>
      <w:r w:rsidR="00CF1303" w:rsidRPr="005359C7">
        <w:rPr>
          <w:lang w:val="fr-CA"/>
        </w:rPr>
        <w:t xml:space="preserve">. </w:t>
      </w:r>
      <w:r w:rsidR="008F2614">
        <w:rPr>
          <w:lang w:val="fr-CA"/>
        </w:rPr>
        <w:t>On est à élaborer la</w:t>
      </w:r>
      <w:r w:rsidR="00B0528A">
        <w:rPr>
          <w:lang w:val="fr-CA"/>
        </w:rPr>
        <w:t> </w:t>
      </w:r>
      <w:r w:rsidR="008F2614">
        <w:rPr>
          <w:lang w:val="fr-CA"/>
        </w:rPr>
        <w:t xml:space="preserve">certification officielle des </w:t>
      </w:r>
      <w:r w:rsidR="00564122" w:rsidRPr="005359C7">
        <w:rPr>
          <w:noProof/>
          <w:lang w:val="fr-CA"/>
        </w:rPr>
        <w:t>technicien</w:t>
      </w:r>
      <w:r w:rsidR="00CF1303" w:rsidRPr="005359C7">
        <w:rPr>
          <w:noProof/>
          <w:lang w:val="fr-CA"/>
        </w:rPr>
        <w:t>s</w:t>
      </w:r>
      <w:r w:rsidR="008F2614">
        <w:rPr>
          <w:noProof/>
          <w:lang w:val="fr-CA"/>
        </w:rPr>
        <w:t>, et elle sera mis</w:t>
      </w:r>
      <w:r w:rsidR="00B0528A">
        <w:rPr>
          <w:noProof/>
          <w:lang w:val="fr-CA"/>
        </w:rPr>
        <w:t>e</w:t>
      </w:r>
      <w:r w:rsidR="008F2614">
        <w:rPr>
          <w:noProof/>
          <w:lang w:val="fr-CA"/>
        </w:rPr>
        <w:t xml:space="preserve"> en oeuvre pendant la phase </w:t>
      </w:r>
      <w:r w:rsidR="00CF1303" w:rsidRPr="005359C7">
        <w:rPr>
          <w:noProof/>
          <w:lang w:val="fr-CA"/>
        </w:rPr>
        <w:t xml:space="preserve">II </w:t>
      </w:r>
      <w:r w:rsidR="008F2614">
        <w:rPr>
          <w:noProof/>
          <w:lang w:val="fr-CA"/>
        </w:rPr>
        <w:t>du</w:t>
      </w:r>
      <w:r w:rsidR="00CF1303" w:rsidRPr="005359C7">
        <w:rPr>
          <w:noProof/>
          <w:lang w:val="fr-CA"/>
        </w:rPr>
        <w:t xml:space="preserve"> </w:t>
      </w:r>
      <w:r w:rsidR="00564122" w:rsidRPr="005359C7">
        <w:rPr>
          <w:noProof/>
          <w:lang w:val="fr-CA"/>
        </w:rPr>
        <w:t>PGEH</w:t>
      </w:r>
      <w:r w:rsidR="00CF1303" w:rsidRPr="005359C7">
        <w:rPr>
          <w:noProof/>
          <w:lang w:val="fr-CA"/>
        </w:rPr>
        <w:t>.</w:t>
      </w:r>
      <w:r w:rsidR="00CF1303" w:rsidRPr="005359C7">
        <w:rPr>
          <w:lang w:val="fr-CA"/>
        </w:rPr>
        <w:t xml:space="preserve"> </w:t>
      </w:r>
      <w:r w:rsidR="008F2614">
        <w:rPr>
          <w:lang w:val="fr-CA"/>
        </w:rPr>
        <w:t>Le</w:t>
      </w:r>
      <w:r w:rsidR="00B0528A">
        <w:rPr>
          <w:lang w:val="fr-CA"/>
        </w:rPr>
        <w:t> </w:t>
      </w:r>
      <w:r w:rsidR="008F2614">
        <w:rPr>
          <w:lang w:val="fr-CA"/>
        </w:rPr>
        <w:t>programme incitatif permettant de remplacer les équipements de climati</w:t>
      </w:r>
      <w:r w:rsidR="00A4407A">
        <w:rPr>
          <w:lang w:val="fr-CA"/>
        </w:rPr>
        <w:t>sati</w:t>
      </w:r>
      <w:r w:rsidR="008F2614">
        <w:rPr>
          <w:lang w:val="fr-CA"/>
        </w:rPr>
        <w:t>on résidentielle favorise et</w:t>
      </w:r>
      <w:r w:rsidR="00B0528A">
        <w:rPr>
          <w:lang w:val="fr-CA"/>
        </w:rPr>
        <w:t> </w:t>
      </w:r>
      <w:r w:rsidR="00A4407A">
        <w:rPr>
          <w:lang w:val="fr-CA"/>
        </w:rPr>
        <w:t>accroît</w:t>
      </w:r>
      <w:r w:rsidR="008F2614">
        <w:rPr>
          <w:lang w:val="fr-CA"/>
        </w:rPr>
        <w:t xml:space="preserve"> la sensibilisation à l’utilisation d’équipements à faible potentiel de réchauffement de la planète</w:t>
      </w:r>
      <w:r w:rsidR="00CF1303" w:rsidRPr="005359C7">
        <w:rPr>
          <w:lang w:val="fr-CA"/>
        </w:rPr>
        <w:t xml:space="preserve">. </w:t>
      </w:r>
      <w:r w:rsidR="008F2614">
        <w:rPr>
          <w:lang w:val="fr-CA"/>
        </w:rPr>
        <w:t xml:space="preserve">Toutes ces mesures assureront la durabilité de l’élimination des </w:t>
      </w:r>
      <w:r w:rsidR="00CF1303" w:rsidRPr="005359C7">
        <w:rPr>
          <w:lang w:val="fr-CA"/>
        </w:rPr>
        <w:t xml:space="preserve">HCFC </w:t>
      </w:r>
      <w:r w:rsidR="008F2614">
        <w:rPr>
          <w:lang w:val="fr-CA"/>
        </w:rPr>
        <w:t>au pays</w:t>
      </w:r>
      <w:r w:rsidR="00CF1303" w:rsidRPr="005359C7">
        <w:rPr>
          <w:lang w:val="fr-CA"/>
        </w:rPr>
        <w:t>.</w:t>
      </w:r>
    </w:p>
    <w:p w14:paraId="0846266E" w14:textId="77777777" w:rsidR="00CF1303" w:rsidRPr="005359C7" w:rsidRDefault="00CF1303" w:rsidP="00CF1303">
      <w:pPr>
        <w:keepNext/>
        <w:spacing w:after="240"/>
        <w:rPr>
          <w:u w:val="single"/>
          <w:lang w:val="fr-CA"/>
        </w:rPr>
      </w:pPr>
      <w:r w:rsidRPr="005359C7">
        <w:rPr>
          <w:u w:val="single"/>
          <w:lang w:val="fr-CA"/>
        </w:rPr>
        <w:lastRenderedPageBreak/>
        <w:t xml:space="preserve">Conclusion </w:t>
      </w:r>
    </w:p>
    <w:p w14:paraId="063CFFB0" w14:textId="77777777" w:rsidR="00CF1303" w:rsidRPr="005359C7" w:rsidRDefault="00EC17BA" w:rsidP="00CF1303">
      <w:pPr>
        <w:pStyle w:val="Heading1"/>
        <w:rPr>
          <w:lang w:val="fr-CA"/>
        </w:rPr>
      </w:pPr>
      <w:r w:rsidRPr="005359C7">
        <w:rPr>
          <w:lang w:val="fr-CA"/>
        </w:rPr>
        <w:t>Le gouvernement</w:t>
      </w:r>
      <w:r w:rsidR="00CF1303" w:rsidRPr="005359C7">
        <w:rPr>
          <w:lang w:val="fr-CA"/>
        </w:rPr>
        <w:t xml:space="preserve"> </w:t>
      </w:r>
      <w:r w:rsidRPr="005359C7">
        <w:rPr>
          <w:lang w:val="fr-CA"/>
        </w:rPr>
        <w:t>du Sri Lanka</w:t>
      </w:r>
      <w:r w:rsidR="00CF1303" w:rsidRPr="005359C7">
        <w:rPr>
          <w:lang w:val="fr-CA"/>
        </w:rPr>
        <w:t xml:space="preserve"> continue </w:t>
      </w:r>
      <w:r w:rsidR="000C575A">
        <w:rPr>
          <w:lang w:val="fr-CA"/>
        </w:rPr>
        <w:t xml:space="preserve">d’être en conformité avec les objectifs du </w:t>
      </w:r>
      <w:r w:rsidR="007C0721" w:rsidRPr="005359C7">
        <w:rPr>
          <w:lang w:val="fr-CA"/>
        </w:rPr>
        <w:t>Protocole de</w:t>
      </w:r>
      <w:r w:rsidR="00B0528A">
        <w:rPr>
          <w:lang w:val="fr-CA"/>
        </w:rPr>
        <w:t> </w:t>
      </w:r>
      <w:r w:rsidR="007C0721" w:rsidRPr="005359C7">
        <w:rPr>
          <w:lang w:val="fr-CA"/>
        </w:rPr>
        <w:t>Montréal</w:t>
      </w:r>
      <w:r w:rsidR="006E3D1E" w:rsidRPr="005359C7">
        <w:rPr>
          <w:lang w:val="fr-CA"/>
        </w:rPr>
        <w:t xml:space="preserve"> et </w:t>
      </w:r>
      <w:r w:rsidR="000C575A">
        <w:rPr>
          <w:lang w:val="fr-CA"/>
        </w:rPr>
        <w:t>son accord avec le Comité exécutif</w:t>
      </w:r>
      <w:r w:rsidR="00CF1303" w:rsidRPr="005359C7">
        <w:rPr>
          <w:lang w:val="fr-CA"/>
        </w:rPr>
        <w:t xml:space="preserve">. </w:t>
      </w:r>
      <w:r w:rsidR="000C575A">
        <w:rPr>
          <w:lang w:val="fr-CA"/>
        </w:rPr>
        <w:t xml:space="preserve">Le </w:t>
      </w:r>
      <w:r w:rsidR="00564122" w:rsidRPr="005359C7">
        <w:rPr>
          <w:lang w:val="fr-CA"/>
        </w:rPr>
        <w:t>système d’autorisation et de contingentement</w:t>
      </w:r>
      <w:r w:rsidR="00CF1303" w:rsidRPr="005359C7">
        <w:rPr>
          <w:lang w:val="fr-CA"/>
        </w:rPr>
        <w:t xml:space="preserve"> </w:t>
      </w:r>
      <w:r w:rsidR="000C575A">
        <w:rPr>
          <w:lang w:val="fr-CA"/>
        </w:rPr>
        <w:t>est</w:t>
      </w:r>
      <w:r w:rsidR="00B0528A">
        <w:rPr>
          <w:lang w:val="fr-CA"/>
        </w:rPr>
        <w:t> </w:t>
      </w:r>
      <w:r w:rsidR="000C575A">
        <w:rPr>
          <w:lang w:val="fr-CA"/>
        </w:rPr>
        <w:t xml:space="preserve">opérationnel. Une interdiction d’importer des équipements </w:t>
      </w:r>
      <w:r w:rsidR="006E4625">
        <w:rPr>
          <w:lang w:val="fr-CA"/>
        </w:rPr>
        <w:t xml:space="preserve">usagés avec </w:t>
      </w:r>
      <w:r w:rsidR="00CF1303" w:rsidRPr="005359C7">
        <w:rPr>
          <w:lang w:val="fr-CA"/>
        </w:rPr>
        <w:t>HCFC</w:t>
      </w:r>
      <w:r w:rsidR="006E4625">
        <w:rPr>
          <w:lang w:val="fr-CA"/>
        </w:rPr>
        <w:t xml:space="preserve"> est en vigueur et les importations de nouveaux équipements avec </w:t>
      </w:r>
      <w:r w:rsidR="00CF1303" w:rsidRPr="005359C7">
        <w:rPr>
          <w:lang w:val="fr-CA"/>
        </w:rPr>
        <w:t>HCFC</w:t>
      </w:r>
      <w:r w:rsidR="006E4625">
        <w:rPr>
          <w:lang w:val="fr-CA"/>
        </w:rPr>
        <w:t xml:space="preserve"> </w:t>
      </w:r>
      <w:r w:rsidR="00B0528A">
        <w:rPr>
          <w:lang w:val="fr-CA"/>
        </w:rPr>
        <w:t>sont</w:t>
      </w:r>
      <w:r w:rsidR="006E4625">
        <w:rPr>
          <w:lang w:val="fr-CA"/>
        </w:rPr>
        <w:t xml:space="preserve"> en cours de discussion et prévu</w:t>
      </w:r>
      <w:r w:rsidR="00B0528A">
        <w:rPr>
          <w:lang w:val="fr-CA"/>
        </w:rPr>
        <w:t>es</w:t>
      </w:r>
      <w:r w:rsidR="006E4625">
        <w:rPr>
          <w:lang w:val="fr-CA"/>
        </w:rPr>
        <w:t xml:space="preserve"> pour </w:t>
      </w:r>
      <w:r w:rsidR="00CF1303" w:rsidRPr="005359C7">
        <w:rPr>
          <w:lang w:val="fr-CA"/>
        </w:rPr>
        <w:t>202</w:t>
      </w:r>
      <w:r w:rsidR="006E3D1E" w:rsidRPr="005359C7">
        <w:rPr>
          <w:lang w:val="fr-CA"/>
        </w:rPr>
        <w:t>0</w:t>
      </w:r>
      <w:r w:rsidR="006E4625">
        <w:rPr>
          <w:lang w:val="fr-CA"/>
        </w:rPr>
        <w:t>.</w:t>
      </w:r>
      <w:r w:rsidR="00CF1303" w:rsidRPr="005359C7">
        <w:rPr>
          <w:lang w:val="fr-CA"/>
        </w:rPr>
        <w:t xml:space="preserve"> </w:t>
      </w:r>
      <w:r w:rsidR="006E4625">
        <w:rPr>
          <w:lang w:val="fr-CA"/>
        </w:rPr>
        <w:t>On</w:t>
      </w:r>
      <w:r w:rsidR="00B0528A">
        <w:rPr>
          <w:lang w:val="fr-CA"/>
        </w:rPr>
        <w:t> </w:t>
      </w:r>
      <w:r w:rsidR="006E4625">
        <w:rPr>
          <w:lang w:val="fr-CA"/>
        </w:rPr>
        <w:t>continue de former des agents des douanes et d’exécution et des techniciens d’entretien</w:t>
      </w:r>
      <w:r w:rsidR="00B0528A">
        <w:rPr>
          <w:lang w:val="fr-CA"/>
        </w:rPr>
        <w:t>,</w:t>
      </w:r>
      <w:r w:rsidR="006E4625">
        <w:rPr>
          <w:lang w:val="fr-CA"/>
        </w:rPr>
        <w:t xml:space="preserve"> </w:t>
      </w:r>
      <w:r w:rsidR="006E3D1E" w:rsidRPr="005359C7">
        <w:rPr>
          <w:lang w:val="fr-CA"/>
        </w:rPr>
        <w:t xml:space="preserve">et </w:t>
      </w:r>
      <w:r w:rsidR="006E4625">
        <w:rPr>
          <w:lang w:val="fr-CA"/>
        </w:rPr>
        <w:t xml:space="preserve">le soutien des </w:t>
      </w:r>
      <w:r w:rsidR="0024708A" w:rsidRPr="005359C7">
        <w:rPr>
          <w:lang w:val="fr-CA"/>
        </w:rPr>
        <w:t>équipements</w:t>
      </w:r>
      <w:r w:rsidR="00CF1303" w:rsidRPr="005359C7">
        <w:rPr>
          <w:lang w:val="fr-CA"/>
        </w:rPr>
        <w:t xml:space="preserve"> </w:t>
      </w:r>
      <w:r w:rsidR="006E4625">
        <w:rPr>
          <w:lang w:val="fr-CA"/>
        </w:rPr>
        <w:t xml:space="preserve">est fourni </w:t>
      </w:r>
      <w:r w:rsidR="00B0528A">
        <w:rPr>
          <w:lang w:val="fr-CA"/>
        </w:rPr>
        <w:t>avec les</w:t>
      </w:r>
      <w:r w:rsidR="006E4625">
        <w:rPr>
          <w:lang w:val="fr-CA"/>
        </w:rPr>
        <w:t xml:space="preserve"> </w:t>
      </w:r>
      <w:r w:rsidR="00A4407A">
        <w:rPr>
          <w:lang w:val="fr-CA"/>
        </w:rPr>
        <w:t>instructions</w:t>
      </w:r>
      <w:r w:rsidR="006E4625">
        <w:rPr>
          <w:lang w:val="fr-CA"/>
        </w:rPr>
        <w:t xml:space="preserve"> de formation</w:t>
      </w:r>
      <w:r w:rsidR="00CF1303" w:rsidRPr="005359C7">
        <w:rPr>
          <w:lang w:val="fr-CA"/>
        </w:rPr>
        <w:t xml:space="preserve">. </w:t>
      </w:r>
      <w:r w:rsidR="006E4625">
        <w:rPr>
          <w:lang w:val="fr-CA"/>
        </w:rPr>
        <w:t>Le programme de récupération et de</w:t>
      </w:r>
      <w:r w:rsidR="00B0528A">
        <w:rPr>
          <w:lang w:val="fr-CA"/>
        </w:rPr>
        <w:t> </w:t>
      </w:r>
      <w:r w:rsidR="000A4D88" w:rsidRPr="005359C7">
        <w:rPr>
          <w:lang w:val="fr-CA"/>
        </w:rPr>
        <w:t>régénération</w:t>
      </w:r>
      <w:r w:rsidR="00CF1303" w:rsidRPr="005359C7">
        <w:rPr>
          <w:lang w:val="fr-CA"/>
        </w:rPr>
        <w:t xml:space="preserve"> </w:t>
      </w:r>
      <w:r w:rsidR="006E4625">
        <w:rPr>
          <w:lang w:val="fr-CA"/>
        </w:rPr>
        <w:t>et le programme incitatif visant à encourager l’utilisation de solutions de remplacement à</w:t>
      </w:r>
      <w:r w:rsidR="00B0528A">
        <w:rPr>
          <w:lang w:val="fr-CA"/>
        </w:rPr>
        <w:t> </w:t>
      </w:r>
      <w:r w:rsidR="006E4625">
        <w:rPr>
          <w:lang w:val="fr-CA"/>
        </w:rPr>
        <w:t>faible réchauffement de la planète avancent</w:t>
      </w:r>
      <w:r w:rsidR="00CF1303" w:rsidRPr="005359C7">
        <w:rPr>
          <w:lang w:val="fr-CA"/>
        </w:rPr>
        <w:t xml:space="preserve">. </w:t>
      </w:r>
      <w:r w:rsidR="006E4625">
        <w:rPr>
          <w:lang w:val="fr-CA"/>
        </w:rPr>
        <w:t>Le financement approuvé jusqu’à maintenant a été entièrement décaissé</w:t>
      </w:r>
      <w:r w:rsidR="00CF1303" w:rsidRPr="005359C7">
        <w:rPr>
          <w:lang w:val="fr-CA"/>
        </w:rPr>
        <w:t xml:space="preserve">. </w:t>
      </w:r>
      <w:r w:rsidR="006E4625">
        <w:rPr>
          <w:lang w:val="fr-CA"/>
        </w:rPr>
        <w:t>Comme le rapport de vérification n’a pu être terminé et présenté au moment de</w:t>
      </w:r>
      <w:r w:rsidR="00B0528A">
        <w:rPr>
          <w:lang w:val="fr-CA"/>
        </w:rPr>
        <w:t> </w:t>
      </w:r>
      <w:r w:rsidR="006E4625">
        <w:rPr>
          <w:lang w:val="fr-CA"/>
        </w:rPr>
        <w:t xml:space="preserve">l’émission du présent document en raison des imprévus liés à la pandémie du </w:t>
      </w:r>
      <w:r w:rsidR="00CF1303" w:rsidRPr="005359C7">
        <w:rPr>
          <w:lang w:val="fr-CA"/>
        </w:rPr>
        <w:t xml:space="preserve">COVID-19, </w:t>
      </w:r>
      <w:r w:rsidR="006E4625">
        <w:rPr>
          <w:lang w:val="fr-CA"/>
        </w:rPr>
        <w:t>le</w:t>
      </w:r>
      <w:r w:rsidR="00B0528A">
        <w:rPr>
          <w:lang w:val="fr-CA"/>
        </w:rPr>
        <w:t> </w:t>
      </w:r>
      <w:r w:rsidR="00F43613" w:rsidRPr="005359C7">
        <w:rPr>
          <w:lang w:val="fr-CA"/>
        </w:rPr>
        <w:t>Secrétariat</w:t>
      </w:r>
      <w:r w:rsidR="00CF1303" w:rsidRPr="005359C7">
        <w:rPr>
          <w:lang w:val="fr-CA"/>
        </w:rPr>
        <w:t xml:space="preserve"> </w:t>
      </w:r>
      <w:r w:rsidR="006E4625">
        <w:rPr>
          <w:lang w:val="fr-CA"/>
        </w:rPr>
        <w:t xml:space="preserve">recommande l’approbation globale de la </w:t>
      </w:r>
      <w:r w:rsidR="00891E3C" w:rsidRPr="005359C7">
        <w:rPr>
          <w:lang w:val="fr-CA"/>
        </w:rPr>
        <w:t>quatrième</w:t>
      </w:r>
      <w:r w:rsidR="00CF1303" w:rsidRPr="005359C7">
        <w:rPr>
          <w:lang w:val="fr-CA"/>
        </w:rPr>
        <w:t xml:space="preserve"> tranche</w:t>
      </w:r>
      <w:r w:rsidR="006E4625">
        <w:rPr>
          <w:lang w:val="fr-CA"/>
        </w:rPr>
        <w:t xml:space="preserve">, en étant entendu que </w:t>
      </w:r>
      <w:r w:rsidR="006E3D1E" w:rsidRPr="005359C7">
        <w:rPr>
          <w:lang w:val="fr-CA"/>
        </w:rPr>
        <w:t>le PNUD</w:t>
      </w:r>
      <w:r w:rsidR="00CF1303" w:rsidRPr="005359C7">
        <w:rPr>
          <w:lang w:val="fr-CA"/>
        </w:rPr>
        <w:t xml:space="preserve"> </w:t>
      </w:r>
      <w:r w:rsidR="006E4625">
        <w:rPr>
          <w:lang w:val="fr-CA"/>
        </w:rPr>
        <w:t>s’</w:t>
      </w:r>
      <w:r w:rsidR="00B0528A">
        <w:rPr>
          <w:lang w:val="fr-CA"/>
        </w:rPr>
        <w:t>est</w:t>
      </w:r>
      <w:r w:rsidR="006E4625">
        <w:rPr>
          <w:lang w:val="fr-CA"/>
        </w:rPr>
        <w:t xml:space="preserve"> engagé à ce que le rapport de vérification soit présenté au </w:t>
      </w:r>
      <w:r w:rsidR="00F43613" w:rsidRPr="005359C7">
        <w:rPr>
          <w:lang w:val="fr-CA"/>
        </w:rPr>
        <w:t>Secrétariat</w:t>
      </w:r>
      <w:r w:rsidR="00CF1303" w:rsidRPr="005359C7">
        <w:rPr>
          <w:lang w:val="fr-CA"/>
        </w:rPr>
        <w:t xml:space="preserve"> </w:t>
      </w:r>
      <w:r w:rsidR="006E4625">
        <w:rPr>
          <w:lang w:val="fr-CA"/>
        </w:rPr>
        <w:t xml:space="preserve">au plus tard 12 semaines avant la </w:t>
      </w:r>
      <w:r w:rsidR="00CF1303" w:rsidRPr="005359C7">
        <w:rPr>
          <w:lang w:val="fr-CA"/>
        </w:rPr>
        <w:t>86</w:t>
      </w:r>
      <w:r w:rsidR="006E4625" w:rsidRPr="006E4625">
        <w:rPr>
          <w:vertAlign w:val="superscript"/>
          <w:lang w:val="fr-CA"/>
        </w:rPr>
        <w:t>e</w:t>
      </w:r>
      <w:r w:rsidR="006E4625">
        <w:rPr>
          <w:lang w:val="fr-CA"/>
        </w:rPr>
        <w:t xml:space="preserve"> réunion</w:t>
      </w:r>
      <w:r w:rsidR="00CF1303" w:rsidRPr="005359C7">
        <w:rPr>
          <w:lang w:val="fr-CA"/>
        </w:rPr>
        <w:t>.</w:t>
      </w:r>
    </w:p>
    <w:p w14:paraId="6D29BF7A" w14:textId="77777777" w:rsidR="00CF1303" w:rsidRPr="005359C7" w:rsidRDefault="00CF1303" w:rsidP="00CF1303">
      <w:pPr>
        <w:keepNext/>
        <w:spacing w:after="240"/>
        <w:rPr>
          <w:b/>
          <w:lang w:val="fr-CA"/>
        </w:rPr>
      </w:pPr>
      <w:r w:rsidRPr="005359C7">
        <w:rPr>
          <w:b/>
          <w:lang w:val="fr-CA"/>
        </w:rPr>
        <w:t>RECOMM</w:t>
      </w:r>
      <w:r w:rsidR="008C6F8D">
        <w:rPr>
          <w:b/>
          <w:lang w:val="fr-CA"/>
        </w:rPr>
        <w:t>A</w:t>
      </w:r>
      <w:r w:rsidRPr="005359C7">
        <w:rPr>
          <w:b/>
          <w:lang w:val="fr-CA"/>
        </w:rPr>
        <w:t>NDATION</w:t>
      </w:r>
    </w:p>
    <w:p w14:paraId="75A3A287" w14:textId="77777777" w:rsidR="00CF1303" w:rsidRPr="005359C7" w:rsidRDefault="009121F6" w:rsidP="00CF1303">
      <w:pPr>
        <w:pStyle w:val="Heading1"/>
        <w:rPr>
          <w:lang w:val="fr-CA"/>
        </w:rPr>
      </w:pPr>
      <w:r>
        <w:rPr>
          <w:lang w:val="fr-CA"/>
        </w:rPr>
        <w:t xml:space="preserve">Le secrétariat du Fonds recommande que le Comité exécutif prenne note du rapport périodique sur la mise en </w:t>
      </w:r>
      <w:proofErr w:type="spellStart"/>
      <w:r>
        <w:rPr>
          <w:lang w:val="fr-CA"/>
        </w:rPr>
        <w:t>oeuvre</w:t>
      </w:r>
      <w:proofErr w:type="spellEnd"/>
      <w:r>
        <w:rPr>
          <w:lang w:val="fr-CA"/>
        </w:rPr>
        <w:t xml:space="preserve"> de la </w:t>
      </w:r>
      <w:r w:rsidR="00891E3C" w:rsidRPr="005359C7">
        <w:rPr>
          <w:lang w:val="fr-CA"/>
        </w:rPr>
        <w:t>troisième</w:t>
      </w:r>
      <w:r w:rsidR="00CF1303" w:rsidRPr="005359C7">
        <w:rPr>
          <w:lang w:val="fr-CA"/>
        </w:rPr>
        <w:t xml:space="preserve"> tranche </w:t>
      </w:r>
      <w:r>
        <w:rPr>
          <w:lang w:val="fr-CA"/>
        </w:rPr>
        <w:t>de la phase</w:t>
      </w:r>
      <w:r w:rsidR="00CF1303" w:rsidRPr="005359C7">
        <w:rPr>
          <w:lang w:val="fr-CA"/>
        </w:rPr>
        <w:t xml:space="preserve"> I </w:t>
      </w:r>
      <w:r>
        <w:rPr>
          <w:lang w:val="fr-CA"/>
        </w:rPr>
        <w:t xml:space="preserve">du plan de gestion de l’élimination des </w:t>
      </w:r>
      <w:r w:rsidR="00CF1303" w:rsidRPr="005359C7">
        <w:rPr>
          <w:lang w:val="fr-CA"/>
        </w:rPr>
        <w:t>HCFC</w:t>
      </w:r>
      <w:r>
        <w:rPr>
          <w:lang w:val="fr-CA"/>
        </w:rPr>
        <w:t xml:space="preserve"> </w:t>
      </w:r>
      <w:r w:rsidR="00CF1303" w:rsidRPr="005359C7">
        <w:rPr>
          <w:lang w:val="fr-CA"/>
        </w:rPr>
        <w:t>(</w:t>
      </w:r>
      <w:r w:rsidR="00564122" w:rsidRPr="005359C7">
        <w:rPr>
          <w:lang w:val="fr-CA"/>
        </w:rPr>
        <w:t>PGEH</w:t>
      </w:r>
      <w:r w:rsidR="00CF1303" w:rsidRPr="005359C7">
        <w:rPr>
          <w:lang w:val="fr-CA"/>
        </w:rPr>
        <w:t xml:space="preserve">) </w:t>
      </w:r>
      <w:r>
        <w:rPr>
          <w:lang w:val="fr-CA"/>
        </w:rPr>
        <w:t>du</w:t>
      </w:r>
      <w:r w:rsidR="00CF1303" w:rsidRPr="005359C7">
        <w:rPr>
          <w:lang w:val="fr-CA"/>
        </w:rPr>
        <w:t xml:space="preserve"> Sri Lanka</w:t>
      </w:r>
      <w:r w:rsidR="000862AA">
        <w:rPr>
          <w:lang w:val="fr-CA"/>
        </w:rPr>
        <w:t xml:space="preserve">. Il </w:t>
      </w:r>
      <w:r>
        <w:rPr>
          <w:lang w:val="fr-CA"/>
        </w:rPr>
        <w:t xml:space="preserve">recommande aussi l’approbation globale de la </w:t>
      </w:r>
      <w:r w:rsidR="00891E3C" w:rsidRPr="005359C7">
        <w:rPr>
          <w:lang w:val="fr-CA"/>
        </w:rPr>
        <w:t>quatrième</w:t>
      </w:r>
      <w:r w:rsidR="006E3D1E" w:rsidRPr="005359C7">
        <w:rPr>
          <w:lang w:val="fr-CA"/>
        </w:rPr>
        <w:t xml:space="preserve"> et </w:t>
      </w:r>
      <w:r>
        <w:rPr>
          <w:lang w:val="fr-CA"/>
        </w:rPr>
        <w:t>dernière</w:t>
      </w:r>
      <w:r w:rsidR="00CF1303" w:rsidRPr="005359C7">
        <w:rPr>
          <w:lang w:val="fr-CA"/>
        </w:rPr>
        <w:t xml:space="preserve"> tranche </w:t>
      </w:r>
      <w:r>
        <w:rPr>
          <w:lang w:val="fr-CA"/>
        </w:rPr>
        <w:t>de</w:t>
      </w:r>
      <w:r w:rsidR="000862AA">
        <w:rPr>
          <w:lang w:val="fr-CA"/>
        </w:rPr>
        <w:t> </w:t>
      </w:r>
      <w:r>
        <w:rPr>
          <w:lang w:val="fr-CA"/>
        </w:rPr>
        <w:t>la phase</w:t>
      </w:r>
      <w:r w:rsidR="00CF1303" w:rsidRPr="005359C7">
        <w:rPr>
          <w:lang w:val="fr-CA"/>
        </w:rPr>
        <w:t xml:space="preserve"> I </w:t>
      </w:r>
      <w:r>
        <w:rPr>
          <w:lang w:val="fr-CA"/>
        </w:rPr>
        <w:t>du</w:t>
      </w:r>
      <w:r w:rsidR="00CF1303" w:rsidRPr="005359C7">
        <w:rPr>
          <w:lang w:val="fr-CA"/>
        </w:rPr>
        <w:t xml:space="preserve"> </w:t>
      </w:r>
      <w:r w:rsidR="00564122" w:rsidRPr="005359C7">
        <w:rPr>
          <w:lang w:val="fr-CA"/>
        </w:rPr>
        <w:t>PGEH</w:t>
      </w:r>
      <w:r w:rsidR="00CF1303" w:rsidRPr="005359C7">
        <w:rPr>
          <w:lang w:val="fr-CA"/>
        </w:rPr>
        <w:t xml:space="preserve"> </w:t>
      </w:r>
      <w:r>
        <w:rPr>
          <w:lang w:val="fr-CA"/>
        </w:rPr>
        <w:t xml:space="preserve">du </w:t>
      </w:r>
      <w:r w:rsidR="00CF1303" w:rsidRPr="005359C7">
        <w:rPr>
          <w:lang w:val="fr-CA"/>
        </w:rPr>
        <w:t>Sri Lanka,</w:t>
      </w:r>
      <w:r w:rsidR="006E3D1E" w:rsidRPr="005359C7">
        <w:rPr>
          <w:lang w:val="fr-CA"/>
        </w:rPr>
        <w:t xml:space="preserve"> </w:t>
      </w:r>
      <w:r>
        <w:rPr>
          <w:lang w:val="fr-CA"/>
        </w:rPr>
        <w:t xml:space="preserve">ainsi que le plan de mise en </w:t>
      </w:r>
      <w:proofErr w:type="spellStart"/>
      <w:r>
        <w:rPr>
          <w:lang w:val="fr-CA"/>
        </w:rPr>
        <w:t>oeuvre</w:t>
      </w:r>
      <w:proofErr w:type="spellEnd"/>
      <w:r>
        <w:rPr>
          <w:lang w:val="fr-CA"/>
        </w:rPr>
        <w:t xml:space="preserve"> de la tranche correspondante de </w:t>
      </w:r>
      <w:r w:rsidR="00CF1303" w:rsidRPr="005359C7">
        <w:rPr>
          <w:lang w:val="fr-CA"/>
        </w:rPr>
        <w:t xml:space="preserve">2020-2021, </w:t>
      </w:r>
      <w:r>
        <w:rPr>
          <w:lang w:val="fr-CA"/>
        </w:rPr>
        <w:t>au niveau de financement indiqué dans le tableau ci-dessous</w:t>
      </w:r>
      <w:r w:rsidR="00CF1303" w:rsidRPr="005359C7">
        <w:rPr>
          <w:lang w:val="fr-CA"/>
        </w:rPr>
        <w:t xml:space="preserve">, </w:t>
      </w:r>
      <w:r>
        <w:rPr>
          <w:lang w:val="fr-CA"/>
        </w:rPr>
        <w:t>sur une base exceptionnelle et sans établir de précédent</w:t>
      </w:r>
      <w:r w:rsidR="00CF1303" w:rsidRPr="005359C7">
        <w:rPr>
          <w:lang w:val="fr-CA"/>
        </w:rPr>
        <w:t>,</w:t>
      </w:r>
      <w:r w:rsidR="006E3D1E" w:rsidRPr="005359C7">
        <w:rPr>
          <w:lang w:val="fr-CA"/>
        </w:rPr>
        <w:t xml:space="preserve"> et </w:t>
      </w:r>
      <w:r>
        <w:rPr>
          <w:lang w:val="fr-CA"/>
        </w:rPr>
        <w:t xml:space="preserve">en étant entendu que </w:t>
      </w:r>
      <w:r w:rsidR="00CF1303" w:rsidRPr="005359C7">
        <w:rPr>
          <w:lang w:val="fr-CA"/>
        </w:rPr>
        <w:t>:</w:t>
      </w:r>
    </w:p>
    <w:p w14:paraId="219F14F3" w14:textId="77777777" w:rsidR="00CF1303" w:rsidRPr="005359C7" w:rsidRDefault="009121F6" w:rsidP="00CF1303">
      <w:pPr>
        <w:pStyle w:val="Heading2"/>
        <w:numPr>
          <w:ilvl w:val="1"/>
          <w:numId w:val="1"/>
        </w:numPr>
        <w:rPr>
          <w:strike/>
          <w:lang w:val="fr-CA"/>
        </w:rPr>
      </w:pPr>
      <w:r>
        <w:rPr>
          <w:lang w:val="fr-CA"/>
        </w:rPr>
        <w:t xml:space="preserve">On demanderait au trésorier de transférer le financement </w:t>
      </w:r>
      <w:r w:rsidR="00A4276C" w:rsidRPr="005359C7">
        <w:rPr>
          <w:lang w:val="fr-CA"/>
        </w:rPr>
        <w:t>approuvé</w:t>
      </w:r>
      <w:r w:rsidR="00CF1303" w:rsidRPr="005359C7">
        <w:rPr>
          <w:lang w:val="fr-CA"/>
        </w:rPr>
        <w:t xml:space="preserve"> </w:t>
      </w:r>
      <w:r w:rsidR="006E3D1E" w:rsidRPr="005359C7">
        <w:rPr>
          <w:lang w:val="fr-CA"/>
        </w:rPr>
        <w:t xml:space="preserve">au PNUD et </w:t>
      </w:r>
      <w:r w:rsidR="00A4276C" w:rsidRPr="005359C7">
        <w:rPr>
          <w:lang w:val="fr-CA"/>
        </w:rPr>
        <w:t xml:space="preserve"> au</w:t>
      </w:r>
      <w:r w:rsidR="000862AA">
        <w:rPr>
          <w:lang w:val="fr-CA"/>
        </w:rPr>
        <w:t> </w:t>
      </w:r>
      <w:r w:rsidR="00886766" w:rsidRPr="005359C7">
        <w:rPr>
          <w:lang w:val="fr-CA"/>
        </w:rPr>
        <w:t>PNUE</w:t>
      </w:r>
      <w:r w:rsidR="00CF1303" w:rsidRPr="005359C7">
        <w:rPr>
          <w:lang w:val="fr-CA"/>
        </w:rPr>
        <w:t xml:space="preserve"> </w:t>
      </w:r>
      <w:r>
        <w:rPr>
          <w:lang w:val="fr-CA"/>
        </w:rPr>
        <w:t>lors de son approbation</w:t>
      </w:r>
      <w:r w:rsidR="00CF1303" w:rsidRPr="005359C7">
        <w:rPr>
          <w:lang w:val="fr-CA"/>
        </w:rPr>
        <w:t>;</w:t>
      </w:r>
    </w:p>
    <w:p w14:paraId="6EF36426" w14:textId="77777777" w:rsidR="00CF1303" w:rsidRPr="005359C7" w:rsidRDefault="009121F6" w:rsidP="00CF1303">
      <w:pPr>
        <w:pStyle w:val="Heading2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Le </w:t>
      </w:r>
      <w:r w:rsidR="00886766" w:rsidRPr="005359C7">
        <w:rPr>
          <w:lang w:val="fr-CA"/>
        </w:rPr>
        <w:t>PNUD</w:t>
      </w:r>
      <w:r w:rsidR="00CF1303" w:rsidRPr="005359C7">
        <w:rPr>
          <w:lang w:val="fr-CA"/>
        </w:rPr>
        <w:t xml:space="preserve"> </w:t>
      </w:r>
      <w:r>
        <w:rPr>
          <w:lang w:val="fr-CA"/>
        </w:rPr>
        <w:t>s’</w:t>
      </w:r>
      <w:r w:rsidR="000862AA">
        <w:rPr>
          <w:lang w:val="fr-CA"/>
        </w:rPr>
        <w:t>est</w:t>
      </w:r>
      <w:r>
        <w:rPr>
          <w:lang w:val="fr-CA"/>
        </w:rPr>
        <w:t xml:space="preserve"> engagé à présenter le rapport de </w:t>
      </w:r>
      <w:r w:rsidR="00CF1303" w:rsidRPr="005359C7">
        <w:rPr>
          <w:lang w:val="fr-CA"/>
        </w:rPr>
        <w:t>v</w:t>
      </w:r>
      <w:r>
        <w:rPr>
          <w:lang w:val="fr-CA"/>
        </w:rPr>
        <w:t>é</w:t>
      </w:r>
      <w:r w:rsidR="00CF1303" w:rsidRPr="005359C7">
        <w:rPr>
          <w:lang w:val="fr-CA"/>
        </w:rPr>
        <w:t xml:space="preserve">rification </w:t>
      </w:r>
      <w:r>
        <w:rPr>
          <w:lang w:val="fr-CA"/>
        </w:rPr>
        <w:t>au plus tard 12 semaines avant la 8</w:t>
      </w:r>
      <w:r w:rsidR="00CF1303" w:rsidRPr="005359C7">
        <w:rPr>
          <w:lang w:val="fr-CA"/>
        </w:rPr>
        <w:t>6</w:t>
      </w:r>
      <w:r w:rsidRPr="009121F6">
        <w:rPr>
          <w:vertAlign w:val="superscript"/>
          <w:lang w:val="fr-CA"/>
        </w:rPr>
        <w:t>e</w:t>
      </w:r>
      <w:r>
        <w:rPr>
          <w:lang w:val="fr-CA"/>
        </w:rPr>
        <w:t xml:space="preserve"> réunion</w:t>
      </w:r>
      <w:r w:rsidR="00CF1303" w:rsidRPr="005359C7">
        <w:rPr>
          <w:lang w:val="fr-CA"/>
        </w:rPr>
        <w:t xml:space="preserve">; </w:t>
      </w:r>
    </w:p>
    <w:p w14:paraId="0A55F6A6" w14:textId="77777777" w:rsidR="00CD764D" w:rsidRDefault="009121F6" w:rsidP="00CD764D">
      <w:pPr>
        <w:pStyle w:val="Heading2"/>
        <w:numPr>
          <w:ilvl w:val="1"/>
          <w:numId w:val="1"/>
        </w:numPr>
        <w:rPr>
          <w:lang w:val="fr-CA"/>
        </w:rPr>
      </w:pPr>
      <w:r>
        <w:rPr>
          <w:lang w:val="fr-CA"/>
        </w:rPr>
        <w:t>Les</w:t>
      </w:r>
      <w:r w:rsidR="00CF1303" w:rsidRPr="005359C7">
        <w:rPr>
          <w:lang w:val="fr-CA"/>
        </w:rPr>
        <w:t xml:space="preserve"> </w:t>
      </w:r>
      <w:r w:rsidR="00A4407A" w:rsidRPr="005359C7">
        <w:rPr>
          <w:lang w:val="fr-CA"/>
        </w:rPr>
        <w:t>recommandations</w:t>
      </w:r>
      <w:r w:rsidR="00CF1303" w:rsidRPr="005359C7">
        <w:rPr>
          <w:lang w:val="fr-CA"/>
        </w:rPr>
        <w:t xml:space="preserve"> </w:t>
      </w:r>
      <w:r>
        <w:rPr>
          <w:lang w:val="fr-CA"/>
        </w:rPr>
        <w:t>incluses dans le rapport de vérification s</w:t>
      </w:r>
      <w:r w:rsidR="000862AA">
        <w:rPr>
          <w:lang w:val="fr-CA"/>
        </w:rPr>
        <w:t>oient</w:t>
      </w:r>
      <w:r>
        <w:rPr>
          <w:lang w:val="fr-CA"/>
        </w:rPr>
        <w:t xml:space="preserve"> traitées durant </w:t>
      </w:r>
      <w:r w:rsidR="00564122" w:rsidRPr="005359C7">
        <w:rPr>
          <w:lang w:val="fr-CA"/>
        </w:rPr>
        <w:t>la</w:t>
      </w:r>
      <w:r w:rsidR="000862AA">
        <w:rPr>
          <w:lang w:val="fr-CA"/>
        </w:rPr>
        <w:t> </w:t>
      </w:r>
      <w:r w:rsidR="00564122" w:rsidRPr="005359C7">
        <w:rPr>
          <w:lang w:val="fr-CA"/>
        </w:rPr>
        <w:t xml:space="preserve">mise en </w:t>
      </w:r>
      <w:proofErr w:type="spellStart"/>
      <w:r w:rsidR="00564122" w:rsidRPr="005359C7">
        <w:rPr>
          <w:lang w:val="fr-CA"/>
        </w:rPr>
        <w:t>oeuvre</w:t>
      </w:r>
      <w:proofErr w:type="spellEnd"/>
      <w:r w:rsidR="00CF1303" w:rsidRPr="005359C7">
        <w:rPr>
          <w:lang w:val="fr-CA"/>
        </w:rPr>
        <w:t xml:space="preserve"> </w:t>
      </w:r>
      <w:r>
        <w:rPr>
          <w:lang w:val="fr-CA"/>
        </w:rPr>
        <w:t xml:space="preserve">de la </w:t>
      </w:r>
      <w:r w:rsidR="00891E3C" w:rsidRPr="005359C7">
        <w:rPr>
          <w:lang w:val="fr-CA"/>
        </w:rPr>
        <w:t>quatrième</w:t>
      </w:r>
      <w:r w:rsidR="006E3D1E" w:rsidRPr="005359C7">
        <w:rPr>
          <w:lang w:val="fr-CA"/>
        </w:rPr>
        <w:t xml:space="preserve"> et </w:t>
      </w:r>
      <w:r>
        <w:rPr>
          <w:lang w:val="fr-CA"/>
        </w:rPr>
        <w:t>dernière</w:t>
      </w:r>
      <w:r w:rsidR="00CF1303" w:rsidRPr="005359C7">
        <w:rPr>
          <w:lang w:val="fr-CA"/>
        </w:rPr>
        <w:t xml:space="preserve"> tranche </w:t>
      </w:r>
      <w:r>
        <w:rPr>
          <w:lang w:val="fr-CA"/>
        </w:rPr>
        <w:t xml:space="preserve">de la phase I du </w:t>
      </w:r>
      <w:r w:rsidR="00564122" w:rsidRPr="005359C7">
        <w:rPr>
          <w:lang w:val="fr-CA"/>
        </w:rPr>
        <w:t>PGEH</w:t>
      </w:r>
      <w:r w:rsidR="006E3D1E" w:rsidRPr="005359C7">
        <w:rPr>
          <w:lang w:val="fr-CA"/>
        </w:rPr>
        <w:t xml:space="preserve"> et </w:t>
      </w:r>
      <w:r>
        <w:rPr>
          <w:lang w:val="fr-CA"/>
        </w:rPr>
        <w:t>que les</w:t>
      </w:r>
      <w:r w:rsidR="000862AA">
        <w:rPr>
          <w:lang w:val="fr-CA"/>
        </w:rPr>
        <w:t> </w:t>
      </w:r>
      <w:r>
        <w:rPr>
          <w:lang w:val="fr-CA"/>
        </w:rPr>
        <w:t xml:space="preserve">activités mises en </w:t>
      </w:r>
      <w:proofErr w:type="spellStart"/>
      <w:r>
        <w:rPr>
          <w:lang w:val="fr-CA"/>
        </w:rPr>
        <w:t>oeuvre</w:t>
      </w:r>
      <w:proofErr w:type="spellEnd"/>
      <w:r>
        <w:rPr>
          <w:lang w:val="fr-CA"/>
        </w:rPr>
        <w:t xml:space="preserve"> à cette fin seraient incluses dans le rapport périodique de la</w:t>
      </w:r>
      <w:r w:rsidR="000862AA">
        <w:rPr>
          <w:lang w:val="fr-CA"/>
        </w:rPr>
        <w:t xml:space="preserve">  </w:t>
      </w:r>
      <w:r>
        <w:rPr>
          <w:lang w:val="fr-CA"/>
        </w:rPr>
        <w:t>phase</w:t>
      </w:r>
      <w:r w:rsidR="00CF1303" w:rsidRPr="005359C7">
        <w:rPr>
          <w:lang w:val="fr-CA"/>
        </w:rPr>
        <w:t xml:space="preserve"> I </w:t>
      </w:r>
      <w:r>
        <w:rPr>
          <w:lang w:val="fr-CA"/>
        </w:rPr>
        <w:t xml:space="preserve">du </w:t>
      </w:r>
      <w:r w:rsidR="00564122" w:rsidRPr="005359C7">
        <w:rPr>
          <w:lang w:val="fr-CA"/>
        </w:rPr>
        <w:t>PGEH</w:t>
      </w:r>
      <w:r w:rsidR="00CF1303" w:rsidRPr="005359C7">
        <w:rPr>
          <w:lang w:val="fr-CA"/>
        </w:rPr>
        <w:t xml:space="preserve"> </w:t>
      </w:r>
      <w:r>
        <w:rPr>
          <w:lang w:val="fr-CA"/>
        </w:rPr>
        <w:t xml:space="preserve">à être présenté comme partie de la demande pour la phase </w:t>
      </w:r>
      <w:r w:rsidR="00CF1303" w:rsidRPr="005359C7">
        <w:rPr>
          <w:lang w:val="fr-CA"/>
        </w:rPr>
        <w:t xml:space="preserve">II </w:t>
      </w:r>
      <w:r>
        <w:rPr>
          <w:lang w:val="fr-CA"/>
        </w:rPr>
        <w:t>du</w:t>
      </w:r>
      <w:r w:rsidR="00CF1303" w:rsidRPr="005359C7">
        <w:rPr>
          <w:lang w:val="fr-CA"/>
        </w:rPr>
        <w:t xml:space="preserve"> </w:t>
      </w:r>
      <w:r w:rsidR="00564122" w:rsidRPr="005359C7">
        <w:rPr>
          <w:lang w:val="fr-CA"/>
        </w:rPr>
        <w:t>PGEH</w:t>
      </w:r>
      <w:r w:rsidR="00CF1303" w:rsidRPr="005359C7">
        <w:rPr>
          <w:lang w:val="fr-CA"/>
        </w:rPr>
        <w:t xml:space="preserve"> </w:t>
      </w:r>
      <w:r>
        <w:rPr>
          <w:lang w:val="fr-CA"/>
        </w:rPr>
        <w:t xml:space="preserve">du </w:t>
      </w:r>
      <w:r w:rsidR="00CF1303" w:rsidRPr="005359C7">
        <w:rPr>
          <w:lang w:val="fr-CA"/>
        </w:rPr>
        <w:t xml:space="preserve">Sri Lanka; </w:t>
      </w:r>
      <w:r>
        <w:rPr>
          <w:lang w:val="fr-CA"/>
        </w:rPr>
        <w:t>et</w:t>
      </w:r>
    </w:p>
    <w:p w14:paraId="1EE40710" w14:textId="77777777" w:rsidR="000862AA" w:rsidRDefault="009121F6" w:rsidP="00CD764D">
      <w:pPr>
        <w:pStyle w:val="Heading2"/>
        <w:numPr>
          <w:ilvl w:val="1"/>
          <w:numId w:val="1"/>
        </w:numPr>
        <w:rPr>
          <w:lang w:val="fr-CA"/>
        </w:rPr>
      </w:pPr>
      <w:r w:rsidRPr="00CD764D">
        <w:rPr>
          <w:lang w:val="fr-CA"/>
        </w:rPr>
        <w:t xml:space="preserve">Si le rapport de vérification a confirmé que le </w:t>
      </w:r>
      <w:r w:rsidR="00CF1303" w:rsidRPr="00CD764D">
        <w:rPr>
          <w:lang w:val="fr-CA"/>
        </w:rPr>
        <w:t xml:space="preserve">Sir Lanka </w:t>
      </w:r>
      <w:r w:rsidRPr="00CD764D">
        <w:rPr>
          <w:lang w:val="fr-CA"/>
        </w:rPr>
        <w:t xml:space="preserve">n’avait </w:t>
      </w:r>
      <w:r w:rsidR="000862AA" w:rsidRPr="00CD764D">
        <w:rPr>
          <w:lang w:val="fr-CA"/>
        </w:rPr>
        <w:t xml:space="preserve">pas été </w:t>
      </w:r>
      <w:r w:rsidRPr="00CD764D">
        <w:rPr>
          <w:lang w:val="fr-CA"/>
        </w:rPr>
        <w:t>en conformité</w:t>
      </w:r>
      <w:r w:rsidR="00CD764D" w:rsidRPr="00CD764D">
        <w:rPr>
          <w:lang w:val="fr-CA"/>
        </w:rPr>
        <w:t xml:space="preserve"> </w:t>
      </w:r>
      <w:r w:rsidR="00DA6966" w:rsidRPr="00CD764D">
        <w:rPr>
          <w:lang w:val="fr-CA"/>
        </w:rPr>
        <w:t>avec le Protocole de Montréal et son accord avec le Comité</w:t>
      </w:r>
      <w:r w:rsidR="00CD764D" w:rsidRPr="00CD764D">
        <w:rPr>
          <w:lang w:val="fr-CA"/>
        </w:rPr>
        <w:t xml:space="preserve"> exécutif, le Secrétariat en </w:t>
      </w:r>
      <w:r w:rsidR="00DA6966" w:rsidRPr="00CD764D">
        <w:rPr>
          <w:lang w:val="fr-CA"/>
        </w:rPr>
        <w:t>informerait le Comité exécutif afin que les mesures pertinente</w:t>
      </w:r>
      <w:r w:rsidR="00CD764D" w:rsidRPr="00CD764D">
        <w:rPr>
          <w:lang w:val="fr-CA"/>
        </w:rPr>
        <w:t>s, entre autres la clause de </w:t>
      </w:r>
      <w:r w:rsidR="00DA6966" w:rsidRPr="00CD764D">
        <w:rPr>
          <w:lang w:val="fr-CA"/>
        </w:rPr>
        <w:t>la pénalité, soient envisagées pour la 86</w:t>
      </w:r>
      <w:r w:rsidR="00DA6966" w:rsidRPr="00CD764D">
        <w:rPr>
          <w:vertAlign w:val="superscript"/>
          <w:lang w:val="fr-CA"/>
        </w:rPr>
        <w:t>e</w:t>
      </w:r>
      <w:r w:rsidR="00DA6966" w:rsidRPr="00CD764D">
        <w:rPr>
          <w:lang w:val="fr-CA"/>
        </w:rPr>
        <w:t xml:space="preserve"> réunion.</w:t>
      </w:r>
    </w:p>
    <w:p w14:paraId="2CEFB29A" w14:textId="77777777" w:rsidR="00CD764D" w:rsidRPr="00CD764D" w:rsidRDefault="00CD764D" w:rsidP="00CD764D">
      <w:pPr>
        <w:rPr>
          <w:lang w:val="fr-CA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320"/>
        <w:gridCol w:w="1461"/>
        <w:gridCol w:w="1461"/>
        <w:gridCol w:w="1461"/>
      </w:tblGrid>
      <w:tr w:rsidR="00CF1303" w:rsidRPr="005359C7" w14:paraId="174E2081" w14:textId="77777777" w:rsidTr="006E3D1E">
        <w:trPr>
          <w:tblHeader/>
        </w:trPr>
        <w:tc>
          <w:tcPr>
            <w:tcW w:w="540" w:type="dxa"/>
          </w:tcPr>
          <w:p w14:paraId="02A383DC" w14:textId="77777777" w:rsidR="00CF1303" w:rsidRPr="005359C7" w:rsidRDefault="00CF1303" w:rsidP="00CD764D">
            <w:pPr>
              <w:keepNext/>
              <w:keepLines/>
              <w:jc w:val="center"/>
              <w:rPr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4320" w:type="dxa"/>
            <w:vAlign w:val="center"/>
          </w:tcPr>
          <w:p w14:paraId="56062E17" w14:textId="77777777" w:rsidR="00CF1303" w:rsidRPr="005359C7" w:rsidRDefault="00B3438B" w:rsidP="00CD764D">
            <w:pPr>
              <w:keepNext/>
              <w:keepLines/>
              <w:jc w:val="left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>Titre du projet</w:t>
            </w:r>
          </w:p>
        </w:tc>
        <w:tc>
          <w:tcPr>
            <w:tcW w:w="1461" w:type="dxa"/>
            <w:tcMar>
              <w:left w:w="29" w:type="dxa"/>
              <w:right w:w="29" w:type="dxa"/>
            </w:tcMar>
          </w:tcPr>
          <w:p w14:paraId="462317C7" w14:textId="77777777" w:rsidR="00B3438B" w:rsidRDefault="00B3438B" w:rsidP="00CD764D">
            <w:pPr>
              <w:keepNext/>
              <w:keepLines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 xml:space="preserve">Financement </w:t>
            </w:r>
          </w:p>
          <w:p w14:paraId="4B53FB98" w14:textId="77777777" w:rsidR="00B3438B" w:rsidRDefault="00B3438B" w:rsidP="00CD764D">
            <w:pPr>
              <w:keepNext/>
              <w:keepLines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>du p</w:t>
            </w:r>
            <w:r w:rsidR="00A4276C" w:rsidRPr="005359C7">
              <w:rPr>
                <w:b/>
                <w:bCs/>
                <w:sz w:val="20"/>
                <w:szCs w:val="20"/>
                <w:lang w:val="fr-CA"/>
              </w:rPr>
              <w:t>rojet</w:t>
            </w:r>
            <w:r w:rsidR="00CF1303" w:rsidRPr="005359C7">
              <w:rPr>
                <w:b/>
                <w:bCs/>
                <w:sz w:val="20"/>
                <w:szCs w:val="20"/>
                <w:lang w:val="fr-CA"/>
              </w:rPr>
              <w:t xml:space="preserve"> </w:t>
            </w:r>
          </w:p>
          <w:p w14:paraId="6FE7C8F0" w14:textId="77777777" w:rsidR="00CF1303" w:rsidRPr="005359C7" w:rsidRDefault="007C0721" w:rsidP="00CD764D">
            <w:pPr>
              <w:keepNext/>
              <w:keepLines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5359C7">
              <w:rPr>
                <w:b/>
                <w:bCs/>
                <w:sz w:val="20"/>
                <w:szCs w:val="20"/>
                <w:lang w:val="fr-CA"/>
              </w:rPr>
              <w:t>($US)</w:t>
            </w:r>
          </w:p>
        </w:tc>
        <w:tc>
          <w:tcPr>
            <w:tcW w:w="1461" w:type="dxa"/>
            <w:tcMar>
              <w:left w:w="29" w:type="dxa"/>
              <w:right w:w="29" w:type="dxa"/>
            </w:tcMar>
          </w:tcPr>
          <w:p w14:paraId="2A148D69" w14:textId="77777777" w:rsidR="00CF1303" w:rsidRPr="005359C7" w:rsidRDefault="00B3438B" w:rsidP="00CD764D">
            <w:pPr>
              <w:keepNext/>
              <w:keepLines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>Coûts d’appui</w:t>
            </w:r>
            <w:r w:rsidR="00CF1303" w:rsidRPr="005359C7">
              <w:rPr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7C0721" w:rsidRPr="005359C7">
              <w:rPr>
                <w:b/>
                <w:bCs/>
                <w:sz w:val="20"/>
                <w:szCs w:val="20"/>
                <w:lang w:val="fr-CA"/>
              </w:rPr>
              <w:t>($US)</w:t>
            </w:r>
          </w:p>
        </w:tc>
        <w:tc>
          <w:tcPr>
            <w:tcW w:w="1461" w:type="dxa"/>
            <w:tcMar>
              <w:left w:w="29" w:type="dxa"/>
              <w:right w:w="29" w:type="dxa"/>
            </w:tcMar>
          </w:tcPr>
          <w:p w14:paraId="7181B01C" w14:textId="77777777" w:rsidR="00CF1303" w:rsidRPr="005359C7" w:rsidRDefault="00B3438B" w:rsidP="00CD764D">
            <w:pPr>
              <w:keepNext/>
              <w:keepLines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>Agence d’exécution</w:t>
            </w:r>
          </w:p>
        </w:tc>
      </w:tr>
      <w:tr w:rsidR="00CF1303" w:rsidRPr="005359C7" w14:paraId="560825A5" w14:textId="77777777" w:rsidTr="006E3D1E">
        <w:tc>
          <w:tcPr>
            <w:tcW w:w="540" w:type="dxa"/>
          </w:tcPr>
          <w:p w14:paraId="2B41B1EE" w14:textId="77777777" w:rsidR="00CF1303" w:rsidRPr="005359C7" w:rsidRDefault="00CF1303" w:rsidP="00CD764D">
            <w:pPr>
              <w:keepNext/>
              <w:keepLines/>
              <w:rPr>
                <w:sz w:val="20"/>
                <w:szCs w:val="20"/>
                <w:lang w:val="fr-CA"/>
              </w:rPr>
            </w:pPr>
            <w:r w:rsidRPr="005359C7">
              <w:rPr>
                <w:sz w:val="20"/>
                <w:szCs w:val="20"/>
                <w:lang w:val="fr-CA"/>
              </w:rPr>
              <w:t>(a)</w:t>
            </w:r>
          </w:p>
        </w:tc>
        <w:tc>
          <w:tcPr>
            <w:tcW w:w="4320" w:type="dxa"/>
          </w:tcPr>
          <w:p w14:paraId="1253D2BA" w14:textId="77777777" w:rsidR="00CF1303" w:rsidRPr="005359C7" w:rsidRDefault="00B3438B" w:rsidP="00CD764D">
            <w:pPr>
              <w:keepNext/>
              <w:keepLines/>
              <w:jc w:val="left"/>
              <w:rPr>
                <w:sz w:val="20"/>
                <w:szCs w:val="20"/>
                <w:lang w:val="fr-CA"/>
              </w:rPr>
            </w:pPr>
            <w:r w:rsidRPr="00633B3A">
              <w:rPr>
                <w:sz w:val="20"/>
                <w:szCs w:val="20"/>
                <w:lang w:val="fr-CA"/>
              </w:rPr>
              <w:t xml:space="preserve">Plan de gestion de l’élimination des HCFC </w:t>
            </w:r>
            <w:r w:rsidR="006E3D1E" w:rsidRPr="005359C7">
              <w:rPr>
                <w:sz w:val="20"/>
                <w:szCs w:val="20"/>
                <w:lang w:val="fr-CA"/>
              </w:rPr>
              <w:t>(phase</w:t>
            </w:r>
            <w:r w:rsidR="00CF1303" w:rsidRPr="005359C7">
              <w:rPr>
                <w:sz w:val="20"/>
                <w:szCs w:val="20"/>
                <w:lang w:val="fr-CA"/>
              </w:rPr>
              <w:t xml:space="preserve"> I, </w:t>
            </w:r>
            <w:r w:rsidR="00891E3C" w:rsidRPr="005359C7">
              <w:rPr>
                <w:sz w:val="20"/>
                <w:szCs w:val="20"/>
                <w:lang w:val="fr-CA"/>
              </w:rPr>
              <w:t>quatrième</w:t>
            </w:r>
            <w:r w:rsidR="00CF1303" w:rsidRPr="005359C7">
              <w:rPr>
                <w:sz w:val="20"/>
                <w:szCs w:val="20"/>
                <w:lang w:val="fr-CA"/>
              </w:rPr>
              <w:t xml:space="preserve"> tranche)</w:t>
            </w:r>
          </w:p>
        </w:tc>
        <w:tc>
          <w:tcPr>
            <w:tcW w:w="1461" w:type="dxa"/>
          </w:tcPr>
          <w:p w14:paraId="34C7E630" w14:textId="77777777" w:rsidR="00CF1303" w:rsidRPr="005359C7" w:rsidRDefault="00CF1303" w:rsidP="00CD764D">
            <w:pPr>
              <w:keepNext/>
              <w:keepLines/>
              <w:jc w:val="right"/>
              <w:rPr>
                <w:sz w:val="20"/>
                <w:szCs w:val="20"/>
                <w:lang w:val="fr-CA"/>
              </w:rPr>
            </w:pPr>
            <w:r w:rsidRPr="005359C7">
              <w:rPr>
                <w:sz w:val="20"/>
                <w:szCs w:val="20"/>
                <w:lang w:val="fr-CA"/>
              </w:rPr>
              <w:t>3</w:t>
            </w:r>
            <w:r w:rsidR="006E3D1E" w:rsidRPr="005359C7">
              <w:rPr>
                <w:sz w:val="20"/>
                <w:szCs w:val="20"/>
                <w:lang w:val="fr-CA"/>
              </w:rPr>
              <w:t>1 </w:t>
            </w:r>
            <w:r w:rsidRPr="005359C7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1461" w:type="dxa"/>
          </w:tcPr>
          <w:p w14:paraId="73D69740" w14:textId="77777777" w:rsidR="00CF1303" w:rsidRPr="005359C7" w:rsidRDefault="006E3D1E" w:rsidP="00CD764D">
            <w:pPr>
              <w:keepNext/>
              <w:keepLines/>
              <w:jc w:val="right"/>
              <w:rPr>
                <w:lang w:val="fr-CA"/>
              </w:rPr>
            </w:pPr>
            <w:r w:rsidRPr="005359C7">
              <w:rPr>
                <w:lang w:val="fr-CA"/>
              </w:rPr>
              <w:t>2 </w:t>
            </w:r>
            <w:r w:rsidR="00CF1303" w:rsidRPr="005359C7">
              <w:rPr>
                <w:lang w:val="fr-CA"/>
              </w:rPr>
              <w:t>333</w:t>
            </w:r>
          </w:p>
        </w:tc>
        <w:tc>
          <w:tcPr>
            <w:tcW w:w="1461" w:type="dxa"/>
          </w:tcPr>
          <w:p w14:paraId="0A756DF6" w14:textId="77777777" w:rsidR="00CF1303" w:rsidRPr="005359C7" w:rsidRDefault="00886766" w:rsidP="00CD764D">
            <w:pPr>
              <w:keepNext/>
              <w:keepLines/>
              <w:jc w:val="center"/>
              <w:rPr>
                <w:sz w:val="20"/>
                <w:szCs w:val="20"/>
                <w:lang w:val="fr-CA"/>
              </w:rPr>
            </w:pPr>
            <w:r w:rsidRPr="005359C7">
              <w:rPr>
                <w:sz w:val="20"/>
                <w:szCs w:val="20"/>
                <w:lang w:val="fr-CA"/>
              </w:rPr>
              <w:t>PNUD</w:t>
            </w:r>
          </w:p>
        </w:tc>
      </w:tr>
      <w:tr w:rsidR="00CF1303" w:rsidRPr="005359C7" w14:paraId="254C95B1" w14:textId="77777777" w:rsidTr="006E3D1E">
        <w:tc>
          <w:tcPr>
            <w:tcW w:w="540" w:type="dxa"/>
          </w:tcPr>
          <w:p w14:paraId="11991C63" w14:textId="77777777" w:rsidR="00CF1303" w:rsidRPr="005359C7" w:rsidRDefault="00CF1303" w:rsidP="00CD764D">
            <w:pPr>
              <w:keepNext/>
              <w:keepLines/>
              <w:rPr>
                <w:sz w:val="20"/>
                <w:szCs w:val="20"/>
                <w:lang w:val="fr-CA"/>
              </w:rPr>
            </w:pPr>
            <w:r w:rsidRPr="005359C7">
              <w:rPr>
                <w:sz w:val="20"/>
                <w:szCs w:val="20"/>
                <w:lang w:val="fr-CA"/>
              </w:rPr>
              <w:t>(b)</w:t>
            </w:r>
          </w:p>
        </w:tc>
        <w:tc>
          <w:tcPr>
            <w:tcW w:w="4320" w:type="dxa"/>
          </w:tcPr>
          <w:p w14:paraId="39E2B597" w14:textId="77777777" w:rsidR="00CF1303" w:rsidRPr="005359C7" w:rsidRDefault="00B3438B" w:rsidP="00CD764D">
            <w:pPr>
              <w:keepNext/>
              <w:keepLines/>
              <w:jc w:val="left"/>
              <w:rPr>
                <w:sz w:val="20"/>
                <w:szCs w:val="20"/>
                <w:lang w:val="fr-CA"/>
              </w:rPr>
            </w:pPr>
            <w:r w:rsidRPr="00633B3A">
              <w:rPr>
                <w:sz w:val="20"/>
                <w:szCs w:val="20"/>
                <w:lang w:val="fr-CA"/>
              </w:rPr>
              <w:t xml:space="preserve">Plan de gestion de l’élimination des HCFC </w:t>
            </w:r>
            <w:r w:rsidR="006E3D1E" w:rsidRPr="005359C7">
              <w:rPr>
                <w:sz w:val="20"/>
                <w:szCs w:val="20"/>
                <w:lang w:val="fr-CA"/>
              </w:rPr>
              <w:t>(phase</w:t>
            </w:r>
            <w:r w:rsidR="00CF1303" w:rsidRPr="005359C7">
              <w:rPr>
                <w:sz w:val="20"/>
                <w:szCs w:val="20"/>
                <w:lang w:val="fr-CA"/>
              </w:rPr>
              <w:t xml:space="preserve"> I, </w:t>
            </w:r>
            <w:r w:rsidR="00891E3C" w:rsidRPr="005359C7">
              <w:rPr>
                <w:sz w:val="20"/>
                <w:szCs w:val="20"/>
                <w:lang w:val="fr-CA"/>
              </w:rPr>
              <w:t>quatrième</w:t>
            </w:r>
            <w:r w:rsidR="00CF1303" w:rsidRPr="005359C7">
              <w:rPr>
                <w:sz w:val="20"/>
                <w:szCs w:val="20"/>
                <w:lang w:val="fr-CA"/>
              </w:rPr>
              <w:t xml:space="preserve"> tranche)</w:t>
            </w:r>
          </w:p>
        </w:tc>
        <w:tc>
          <w:tcPr>
            <w:tcW w:w="1461" w:type="dxa"/>
          </w:tcPr>
          <w:p w14:paraId="495D4177" w14:textId="77777777" w:rsidR="00CF1303" w:rsidRPr="005359C7" w:rsidRDefault="00CF1303" w:rsidP="00CD764D">
            <w:pPr>
              <w:keepNext/>
              <w:keepLines/>
              <w:jc w:val="right"/>
              <w:rPr>
                <w:sz w:val="20"/>
                <w:szCs w:val="20"/>
                <w:lang w:val="fr-CA"/>
              </w:rPr>
            </w:pPr>
            <w:r w:rsidRPr="005359C7">
              <w:rPr>
                <w:sz w:val="20"/>
                <w:szCs w:val="20"/>
                <w:lang w:val="fr-CA"/>
              </w:rPr>
              <w:t>2</w:t>
            </w:r>
            <w:r w:rsidR="006E3D1E" w:rsidRPr="005359C7">
              <w:rPr>
                <w:sz w:val="20"/>
                <w:szCs w:val="20"/>
                <w:lang w:val="fr-CA"/>
              </w:rPr>
              <w:t>4 </w:t>
            </w:r>
            <w:r w:rsidRPr="005359C7">
              <w:rPr>
                <w:sz w:val="20"/>
                <w:szCs w:val="20"/>
                <w:lang w:val="fr-CA"/>
              </w:rPr>
              <w:t>900</w:t>
            </w:r>
          </w:p>
        </w:tc>
        <w:tc>
          <w:tcPr>
            <w:tcW w:w="1461" w:type="dxa"/>
          </w:tcPr>
          <w:p w14:paraId="19A54361" w14:textId="77777777" w:rsidR="00CF1303" w:rsidRPr="005359C7" w:rsidRDefault="006E3D1E" w:rsidP="00CD764D">
            <w:pPr>
              <w:keepNext/>
              <w:keepLines/>
              <w:jc w:val="right"/>
              <w:rPr>
                <w:lang w:val="fr-CA"/>
              </w:rPr>
            </w:pPr>
            <w:r w:rsidRPr="005359C7">
              <w:rPr>
                <w:lang w:val="fr-CA"/>
              </w:rPr>
              <w:t>3 </w:t>
            </w:r>
            <w:r w:rsidR="00CF1303" w:rsidRPr="005359C7">
              <w:rPr>
                <w:lang w:val="fr-CA"/>
              </w:rPr>
              <w:t>237</w:t>
            </w:r>
          </w:p>
        </w:tc>
        <w:tc>
          <w:tcPr>
            <w:tcW w:w="1461" w:type="dxa"/>
          </w:tcPr>
          <w:p w14:paraId="7416AF36" w14:textId="77777777" w:rsidR="00CF1303" w:rsidRPr="005359C7" w:rsidRDefault="00886766" w:rsidP="00CD764D">
            <w:pPr>
              <w:keepNext/>
              <w:keepLines/>
              <w:jc w:val="center"/>
              <w:rPr>
                <w:sz w:val="20"/>
                <w:szCs w:val="20"/>
                <w:lang w:val="fr-CA"/>
              </w:rPr>
            </w:pPr>
            <w:r w:rsidRPr="005359C7">
              <w:rPr>
                <w:sz w:val="20"/>
                <w:szCs w:val="20"/>
                <w:lang w:val="fr-CA"/>
              </w:rPr>
              <w:t>PNUE</w:t>
            </w:r>
          </w:p>
        </w:tc>
      </w:tr>
    </w:tbl>
    <w:p w14:paraId="06177082" w14:textId="77777777" w:rsidR="00CF1303" w:rsidRPr="005359C7" w:rsidRDefault="00CF1303" w:rsidP="00CD764D">
      <w:pPr>
        <w:keepNext/>
        <w:keepLines/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872"/>
        <w:gridCol w:w="1872"/>
        <w:gridCol w:w="1872"/>
        <w:gridCol w:w="1873"/>
      </w:tblGrid>
      <w:tr w:rsidR="00CF1303" w:rsidRPr="005359C7" w14:paraId="68C14278" w14:textId="77777777" w:rsidTr="006E3D1E">
        <w:tc>
          <w:tcPr>
            <w:tcW w:w="1871" w:type="dxa"/>
          </w:tcPr>
          <w:p w14:paraId="4C43F076" w14:textId="77777777" w:rsidR="00CF1303" w:rsidRPr="005359C7" w:rsidRDefault="00CF1303" w:rsidP="00CD764D">
            <w:pPr>
              <w:keepNext/>
              <w:keepLines/>
              <w:rPr>
                <w:lang w:val="fr-CA"/>
              </w:rPr>
            </w:pPr>
          </w:p>
        </w:tc>
        <w:tc>
          <w:tcPr>
            <w:tcW w:w="1872" w:type="dxa"/>
          </w:tcPr>
          <w:p w14:paraId="656CB269" w14:textId="77777777" w:rsidR="00CF1303" w:rsidRPr="005359C7" w:rsidRDefault="00CF1303" w:rsidP="00CD764D">
            <w:pPr>
              <w:keepNext/>
              <w:keepLines/>
              <w:rPr>
                <w:lang w:val="fr-CA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1605544B" w14:textId="77777777" w:rsidR="00CF1303" w:rsidRPr="005359C7" w:rsidRDefault="00CF1303" w:rsidP="00CD764D">
            <w:pPr>
              <w:keepNext/>
              <w:keepLines/>
              <w:rPr>
                <w:lang w:val="fr-CA"/>
              </w:rPr>
            </w:pPr>
          </w:p>
        </w:tc>
        <w:tc>
          <w:tcPr>
            <w:tcW w:w="1872" w:type="dxa"/>
          </w:tcPr>
          <w:p w14:paraId="657F752B" w14:textId="77777777" w:rsidR="00CF1303" w:rsidRPr="005359C7" w:rsidRDefault="00CF1303" w:rsidP="00CD764D">
            <w:pPr>
              <w:keepNext/>
              <w:keepLines/>
              <w:rPr>
                <w:lang w:val="fr-CA"/>
              </w:rPr>
            </w:pPr>
          </w:p>
        </w:tc>
        <w:tc>
          <w:tcPr>
            <w:tcW w:w="1873" w:type="dxa"/>
          </w:tcPr>
          <w:p w14:paraId="65BEEE1A" w14:textId="77777777" w:rsidR="00CF1303" w:rsidRPr="005359C7" w:rsidRDefault="00CF1303" w:rsidP="00CD764D">
            <w:pPr>
              <w:keepNext/>
              <w:keepLines/>
              <w:rPr>
                <w:lang w:val="fr-CA"/>
              </w:rPr>
            </w:pPr>
          </w:p>
        </w:tc>
      </w:tr>
    </w:tbl>
    <w:p w14:paraId="591FEC6E" w14:textId="77777777" w:rsidR="00CF1303" w:rsidRPr="005359C7" w:rsidRDefault="00CF1303" w:rsidP="00CD764D">
      <w:pPr>
        <w:keepNext/>
        <w:keepLines/>
        <w:rPr>
          <w:lang w:val="fr-CA"/>
        </w:rPr>
      </w:pPr>
    </w:p>
    <w:p w14:paraId="38BE14F3" w14:textId="77777777" w:rsidR="00066E3F" w:rsidRPr="005359C7" w:rsidRDefault="00066E3F" w:rsidP="00CD764D">
      <w:pPr>
        <w:keepNext/>
        <w:keepLines/>
        <w:rPr>
          <w:lang w:val="fr-CA"/>
        </w:rPr>
      </w:pPr>
    </w:p>
    <w:sectPr w:rsidR="00066E3F" w:rsidRPr="005359C7" w:rsidSect="00066E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864" w:left="1440" w:header="720" w:footer="4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6442D" w14:textId="77777777" w:rsidR="00AE0965" w:rsidRDefault="00AE0965">
      <w:r>
        <w:separator/>
      </w:r>
    </w:p>
  </w:endnote>
  <w:endnote w:type="continuationSeparator" w:id="0">
    <w:p w14:paraId="5A723231" w14:textId="77777777" w:rsidR="00AE0965" w:rsidRDefault="00AE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erif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5654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91D7B" w14:textId="77777777" w:rsidR="00F00A12" w:rsidRDefault="00F00A12" w:rsidP="00CD76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64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0564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6934B8" w14:textId="77777777" w:rsidR="00F00A12" w:rsidRDefault="00F00A12" w:rsidP="00CD76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64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570863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481672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4E84B67B" w14:textId="77777777" w:rsidR="00F00A12" w:rsidRPr="00B909D3" w:rsidRDefault="00F00A12" w:rsidP="00EC66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MS Serif"/>
                <w:sz w:val="20"/>
                <w:lang w:val="fr-FR"/>
              </w:rPr>
            </w:pPr>
            <w:r w:rsidRPr="00B909D3">
              <w:rPr>
                <w:rFonts w:cs="MS Serif"/>
                <w:sz w:val="20"/>
                <w:lang w:val="fr-FR"/>
              </w:rPr>
              <w:t xml:space="preserve">Les documents de présession du Comité exécutif du Fonds multilatéral aux fins d’application du Protocole de </w:t>
            </w:r>
          </w:p>
          <w:p w14:paraId="54597150" w14:textId="77777777" w:rsidR="00F00A12" w:rsidRPr="00B909D3" w:rsidRDefault="00F00A12" w:rsidP="00EC66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MS Serif"/>
                <w:sz w:val="20"/>
                <w:lang w:val="fr-FR"/>
              </w:rPr>
            </w:pPr>
            <w:r w:rsidRPr="00B909D3">
              <w:rPr>
                <w:rFonts w:cs="MS Serif"/>
                <w:sz w:val="20"/>
                <w:lang w:val="fr-FR"/>
              </w:rPr>
              <w:t xml:space="preserve">Montréal sont présentés sous réserve des décisions pouvant être prises par le Comité exécutif après </w:t>
            </w:r>
            <w:proofErr w:type="gramStart"/>
            <w:r w:rsidRPr="00B909D3">
              <w:rPr>
                <w:rFonts w:cs="MS Serif"/>
                <w:sz w:val="20"/>
                <w:lang w:val="fr-FR"/>
              </w:rPr>
              <w:t>leur  publication</w:t>
            </w:r>
            <w:proofErr w:type="gramEnd"/>
            <w:r w:rsidRPr="00B909D3">
              <w:rPr>
                <w:rFonts w:cs="MS Serif"/>
                <w:sz w:val="20"/>
                <w:lang w:val="fr-FR"/>
              </w:rPr>
              <w:t>.</w:t>
            </w:r>
          </w:p>
          <w:p w14:paraId="065CE1BC" w14:textId="77777777" w:rsidR="00F00A12" w:rsidRDefault="00AE0965" w:rsidP="00EC667A">
            <w:pPr>
              <w:pStyle w:val="Footer"/>
              <w:jc w:val="center"/>
            </w:pPr>
          </w:p>
        </w:sdtContent>
      </w:sdt>
    </w:sdtContent>
  </w:sdt>
  <w:p w14:paraId="344C8A57" w14:textId="77777777" w:rsidR="00F00A12" w:rsidRDefault="00F00A12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2C85F" w14:textId="77777777" w:rsidR="00AE0965" w:rsidRDefault="00AE0965">
      <w:r>
        <w:separator/>
      </w:r>
    </w:p>
  </w:footnote>
  <w:footnote w:type="continuationSeparator" w:id="0">
    <w:p w14:paraId="45F8008C" w14:textId="77777777" w:rsidR="00AE0965" w:rsidRDefault="00AE0965">
      <w:r>
        <w:continuationSeparator/>
      </w:r>
    </w:p>
  </w:footnote>
  <w:footnote w:id="1">
    <w:p w14:paraId="0A03E9AA" w14:textId="77777777" w:rsidR="00F00A12" w:rsidRPr="00841F84" w:rsidRDefault="00F00A12" w:rsidP="00CF1303">
      <w:pPr>
        <w:pStyle w:val="FootnoteText"/>
        <w:rPr>
          <w:sz w:val="16"/>
          <w:szCs w:val="16"/>
          <w:lang w:val="fr-CA"/>
        </w:rPr>
      </w:pPr>
      <w:r w:rsidRPr="00066E3F">
        <w:rPr>
          <w:rStyle w:val="FootnoteReference"/>
          <w:lang w:val="fr-CA"/>
        </w:rPr>
        <w:footnoteRef/>
      </w:r>
      <w:r w:rsidRPr="00066E3F">
        <w:rPr>
          <w:lang w:val="fr-CA"/>
        </w:rPr>
        <w:t xml:space="preserve"> </w:t>
      </w:r>
      <w:r w:rsidRPr="00841F84">
        <w:rPr>
          <w:sz w:val="16"/>
          <w:szCs w:val="16"/>
          <w:lang w:val="fr-CA"/>
        </w:rPr>
        <w:t>Selon la lettre du 12 mars 2020 du directeur de l’Unité nationale d’ozone du Sri Lanka au PNUD.</w:t>
      </w:r>
    </w:p>
  </w:footnote>
  <w:footnote w:id="2">
    <w:p w14:paraId="5327E171" w14:textId="77777777" w:rsidR="00F00A12" w:rsidRPr="001059BF" w:rsidRDefault="00F00A12" w:rsidP="00CF1303">
      <w:pPr>
        <w:pStyle w:val="FootnoteText"/>
        <w:rPr>
          <w:sz w:val="16"/>
          <w:szCs w:val="16"/>
          <w:lang w:val="fr-CA"/>
        </w:rPr>
      </w:pPr>
      <w:r w:rsidRPr="00841F84">
        <w:rPr>
          <w:rStyle w:val="FootnoteReference"/>
          <w:sz w:val="16"/>
          <w:szCs w:val="16"/>
          <w:lang w:val="fr-CA"/>
        </w:rPr>
        <w:footnoteRef/>
      </w:r>
      <w:r w:rsidRPr="00841F84">
        <w:rPr>
          <w:sz w:val="16"/>
          <w:szCs w:val="16"/>
          <w:lang w:val="fr-CA"/>
        </w:rPr>
        <w:t xml:space="preserve"> Quatre-vingt-quinze pour cent du contingent est attribué aux entreprises RAC qui peuvent prouver une consommation de HCFC </w:t>
      </w:r>
      <w:r>
        <w:rPr>
          <w:sz w:val="16"/>
          <w:szCs w:val="16"/>
          <w:lang w:val="fr-CA"/>
        </w:rPr>
        <w:t>supérieure à </w:t>
      </w:r>
      <w:r w:rsidRPr="00841F84">
        <w:rPr>
          <w:sz w:val="16"/>
          <w:szCs w:val="16"/>
          <w:lang w:val="fr-CA"/>
        </w:rPr>
        <w:t>680</w:t>
      </w:r>
      <w:r>
        <w:rPr>
          <w:sz w:val="16"/>
          <w:szCs w:val="16"/>
          <w:lang w:val="fr-CA"/>
        </w:rPr>
        <w:t> </w:t>
      </w:r>
      <w:r w:rsidRPr="001059BF">
        <w:rPr>
          <w:sz w:val="16"/>
          <w:szCs w:val="16"/>
          <w:lang w:val="fr-CA"/>
        </w:rPr>
        <w:t xml:space="preserve">kg/par année au cours des cinq dernières années. Les 5 pour cent </w:t>
      </w:r>
      <w:r>
        <w:rPr>
          <w:sz w:val="16"/>
          <w:szCs w:val="16"/>
          <w:lang w:val="fr-CA"/>
        </w:rPr>
        <w:t xml:space="preserve">qui </w:t>
      </w:r>
      <w:r w:rsidRPr="001059BF">
        <w:rPr>
          <w:sz w:val="16"/>
          <w:szCs w:val="16"/>
          <w:lang w:val="fr-CA"/>
        </w:rPr>
        <w:t>rest</w:t>
      </w:r>
      <w:r>
        <w:rPr>
          <w:sz w:val="16"/>
          <w:szCs w:val="16"/>
          <w:lang w:val="fr-CA"/>
        </w:rPr>
        <w:t>e</w:t>
      </w:r>
      <w:r w:rsidRPr="001059BF">
        <w:rPr>
          <w:sz w:val="16"/>
          <w:szCs w:val="16"/>
          <w:lang w:val="fr-CA"/>
        </w:rPr>
        <w:t>nt sont réservés à des fins d’urgence.</w:t>
      </w:r>
    </w:p>
  </w:footnote>
  <w:footnote w:id="3">
    <w:p w14:paraId="3C009F37" w14:textId="77777777" w:rsidR="00F00A12" w:rsidRPr="00883403" w:rsidRDefault="00F00A12" w:rsidP="00CF1303">
      <w:pPr>
        <w:pStyle w:val="FootnoteText"/>
        <w:rPr>
          <w:sz w:val="16"/>
          <w:szCs w:val="16"/>
          <w:lang w:val="en-CA"/>
        </w:rPr>
      </w:pPr>
      <w:r w:rsidRPr="001059BF">
        <w:rPr>
          <w:rStyle w:val="FootnoteReference"/>
          <w:sz w:val="16"/>
          <w:szCs w:val="16"/>
          <w:lang w:val="fr-CA"/>
        </w:rPr>
        <w:footnoteRef/>
      </w:r>
      <w:r w:rsidRPr="00883403">
        <w:rPr>
          <w:sz w:val="16"/>
          <w:szCs w:val="16"/>
          <w:lang w:val="en-CA"/>
        </w:rPr>
        <w:t xml:space="preserve"> Harmonized Commodity Description and Coding System.</w:t>
      </w:r>
    </w:p>
  </w:footnote>
  <w:footnote w:id="4">
    <w:p w14:paraId="7EE8E1C9" w14:textId="77777777" w:rsidR="00F00A12" w:rsidRPr="00883403" w:rsidRDefault="00F00A12" w:rsidP="00CF1303">
      <w:pPr>
        <w:pStyle w:val="FootnoteText"/>
        <w:rPr>
          <w:lang w:val="fr-CA"/>
        </w:rPr>
      </w:pPr>
      <w:r w:rsidRPr="001059BF">
        <w:rPr>
          <w:rStyle w:val="FootnoteReference"/>
          <w:sz w:val="16"/>
          <w:szCs w:val="16"/>
          <w:lang w:val="fr-CA"/>
        </w:rPr>
        <w:footnoteRef/>
      </w:r>
      <w:r w:rsidRPr="001059BF">
        <w:rPr>
          <w:sz w:val="16"/>
          <w:szCs w:val="16"/>
          <w:lang w:val="fr-CA"/>
        </w:rPr>
        <w:t xml:space="preserve"> BTU </w:t>
      </w:r>
      <w:r>
        <w:rPr>
          <w:sz w:val="16"/>
          <w:szCs w:val="16"/>
          <w:lang w:val="fr-CA"/>
        </w:rPr>
        <w:t xml:space="preserve">par </w:t>
      </w:r>
      <w:r w:rsidRPr="001059BF">
        <w:rPr>
          <w:sz w:val="16"/>
          <w:szCs w:val="16"/>
          <w:lang w:val="fr-CA"/>
        </w:rPr>
        <w:t>heure.</w:t>
      </w:r>
    </w:p>
  </w:footnote>
  <w:footnote w:id="5">
    <w:p w14:paraId="472ACFEF" w14:textId="77777777" w:rsidR="00F00A12" w:rsidRPr="00066E3F" w:rsidRDefault="00F00A12" w:rsidP="00CF1303">
      <w:pPr>
        <w:pStyle w:val="FootnoteText"/>
        <w:rPr>
          <w:lang w:val="fr-CA"/>
        </w:rPr>
      </w:pPr>
      <w:r w:rsidRPr="00066E3F">
        <w:rPr>
          <w:rStyle w:val="FootnoteReference"/>
          <w:lang w:val="fr-CA"/>
        </w:rPr>
        <w:footnoteRef/>
      </w:r>
      <w:r w:rsidRPr="00066E3F">
        <w:rPr>
          <w:lang w:val="fr-CA"/>
        </w:rPr>
        <w:t xml:space="preserve"> </w:t>
      </w:r>
      <w:r>
        <w:rPr>
          <w:lang w:val="fr-CA"/>
        </w:rPr>
        <w:t>La dé</w:t>
      </w:r>
      <w:r w:rsidRPr="00066E3F">
        <w:rPr>
          <w:lang w:val="fr-CA"/>
        </w:rPr>
        <w:t xml:space="preserve">cision 72/19(b) </w:t>
      </w:r>
      <w:r>
        <w:rPr>
          <w:lang w:val="fr-CA"/>
        </w:rPr>
        <w:t>indique que, lorsque le rapport de vérification n’est pas prêt à temps</w:t>
      </w:r>
      <w:r w:rsidRPr="00066E3F">
        <w:rPr>
          <w:lang w:val="fr-CA"/>
        </w:rPr>
        <w:t xml:space="preserve">, </w:t>
      </w:r>
      <w:r>
        <w:rPr>
          <w:lang w:val="fr-CA"/>
        </w:rPr>
        <w:t>le virement des sommes approuvées aux agences d’exécution ne se fera que sur réception du rapport de vérification par le Secrétariat confirmant que le pays est en conformité</w:t>
      </w:r>
      <w:r w:rsidRPr="00066E3F">
        <w:rPr>
          <w:lang w:val="fr-CA"/>
        </w:rPr>
        <w:t xml:space="preserve">. </w:t>
      </w:r>
      <w:r>
        <w:rPr>
          <w:lang w:val="fr-CA"/>
        </w:rPr>
        <w:t>Étant donné les circonstances, on propose que, sur une base exceptionnelle, les fonds soient transférés à l’agence au moment de l’approbation</w:t>
      </w:r>
      <w:r w:rsidRPr="00066E3F">
        <w:rPr>
          <w:lang w:val="fr-CA"/>
        </w:rPr>
        <w:t>.</w:t>
      </w:r>
    </w:p>
  </w:footnote>
  <w:footnote w:id="6">
    <w:p w14:paraId="5077DDAA" w14:textId="77777777" w:rsidR="00F00A12" w:rsidRPr="00883403" w:rsidRDefault="00F00A12" w:rsidP="00CF1303">
      <w:pPr>
        <w:pStyle w:val="FootnoteText"/>
        <w:rPr>
          <w:lang w:val="fr-CA"/>
        </w:rPr>
      </w:pPr>
      <w:r w:rsidRPr="00066E3F">
        <w:rPr>
          <w:rStyle w:val="FootnoteReference"/>
          <w:lang w:val="fr-CA"/>
        </w:rPr>
        <w:footnoteRef/>
      </w:r>
      <w:r w:rsidRPr="00066E3F">
        <w:rPr>
          <w:lang w:val="fr-CA"/>
        </w:rPr>
        <w:t xml:space="preserve"> </w:t>
      </w:r>
      <w:r>
        <w:rPr>
          <w:color w:val="222222"/>
          <w:kern w:val="36"/>
          <w:lang w:val="fr-CA" w:eastAsia="ru-RU"/>
        </w:rPr>
        <w:t xml:space="preserve">Annexe </w:t>
      </w:r>
      <w:r w:rsidRPr="00066E3F">
        <w:rPr>
          <w:color w:val="222222"/>
          <w:kern w:val="36"/>
          <w:lang w:val="fr-CA" w:eastAsia="ru-RU"/>
        </w:rPr>
        <w:t xml:space="preserve">II </w:t>
      </w:r>
      <w:r>
        <w:rPr>
          <w:color w:val="222222"/>
          <w:kern w:val="36"/>
          <w:lang w:val="fr-CA" w:eastAsia="ru-RU"/>
        </w:rPr>
        <w:t>du</w:t>
      </w:r>
      <w:r w:rsidRPr="00066E3F">
        <w:rPr>
          <w:color w:val="222222"/>
          <w:kern w:val="36"/>
          <w:lang w:val="fr-CA" w:eastAsia="ru-RU"/>
        </w:rPr>
        <w:t xml:space="preserve"> document UNEP/</w:t>
      </w:r>
      <w:proofErr w:type="spellStart"/>
      <w:r w:rsidRPr="00066E3F">
        <w:rPr>
          <w:color w:val="222222"/>
          <w:kern w:val="36"/>
          <w:lang w:val="fr-CA" w:eastAsia="ru-RU"/>
        </w:rPr>
        <w:t>OzL.Pro</w:t>
      </w:r>
      <w:proofErr w:type="spellEnd"/>
      <w:r w:rsidRPr="00066E3F">
        <w:rPr>
          <w:color w:val="222222"/>
          <w:kern w:val="36"/>
          <w:lang w:val="fr-CA" w:eastAsia="ru-RU"/>
        </w:rPr>
        <w:t>/</w:t>
      </w:r>
      <w:proofErr w:type="spellStart"/>
      <w:r w:rsidRPr="00066E3F">
        <w:rPr>
          <w:color w:val="222222"/>
          <w:kern w:val="36"/>
          <w:lang w:val="fr-CA" w:eastAsia="ru-RU"/>
        </w:rPr>
        <w:t>ExCom</w:t>
      </w:r>
      <w:proofErr w:type="spellEnd"/>
      <w:r w:rsidRPr="00066E3F">
        <w:rPr>
          <w:color w:val="222222"/>
          <w:kern w:val="36"/>
          <w:lang w:val="fr-CA" w:eastAsia="ru-RU"/>
        </w:rPr>
        <w:t>/84/63</w:t>
      </w:r>
    </w:p>
  </w:footnote>
  <w:footnote w:id="7">
    <w:p w14:paraId="217F946F" w14:textId="77777777" w:rsidR="00F00A12" w:rsidRPr="00066E3F" w:rsidRDefault="00F00A12" w:rsidP="00CF1303">
      <w:pPr>
        <w:pStyle w:val="FootnoteText"/>
        <w:rPr>
          <w:lang w:val="fr-CA"/>
        </w:rPr>
      </w:pPr>
      <w:r w:rsidRPr="00066E3F">
        <w:rPr>
          <w:rStyle w:val="FootnoteReference"/>
          <w:lang w:val="fr-CA"/>
        </w:rPr>
        <w:footnoteRef/>
      </w:r>
      <w:r w:rsidRPr="00066E3F">
        <w:rPr>
          <w:lang w:val="fr-CA"/>
        </w:rPr>
        <w:t xml:space="preserve"> </w:t>
      </w:r>
      <w:r>
        <w:rPr>
          <w:lang w:val="fr-CA"/>
        </w:rPr>
        <w:t>La dé</w:t>
      </w:r>
      <w:r w:rsidRPr="00066E3F">
        <w:rPr>
          <w:lang w:val="fr-CA"/>
        </w:rPr>
        <w:t xml:space="preserve">cision 84/92(d) </w:t>
      </w:r>
      <w:r>
        <w:rPr>
          <w:lang w:val="fr-CA"/>
        </w:rPr>
        <w:t xml:space="preserve">demandait aux agences bilatérales et aux agences d’exécution d’appliquer la politique opérationnelle de </w:t>
      </w:r>
      <w:proofErr w:type="spellStart"/>
      <w:r>
        <w:rPr>
          <w:lang w:val="fr-CA"/>
        </w:rPr>
        <w:t>gendérisation</w:t>
      </w:r>
      <w:proofErr w:type="spellEnd"/>
      <w:r>
        <w:rPr>
          <w:lang w:val="fr-CA"/>
        </w:rPr>
        <w:t xml:space="preserve"> durant l’ensemble du cycle de projet.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34F16" w14:textId="77777777" w:rsidR="00F00A12" w:rsidRDefault="00AE0965" w:rsidP="00271707">
    <w:pPr>
      <w:jc w:val="lef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F00A12">
      <w:t>UNEP/OzL.Pro/ExCom/85/48</w:t>
    </w:r>
    <w:r>
      <w:fldChar w:fldCharType="end"/>
    </w:r>
  </w:p>
  <w:p w14:paraId="290DE247" w14:textId="77777777" w:rsidR="00F00A12" w:rsidRDefault="00F00A12">
    <w:pPr>
      <w:pStyle w:val="Header"/>
    </w:pPr>
  </w:p>
  <w:p w14:paraId="14AE7BC3" w14:textId="77777777" w:rsidR="00F00A12" w:rsidRDefault="00F00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855BF" w14:textId="77777777" w:rsidR="00F00A12" w:rsidRDefault="00AE0965" w:rsidP="00271707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F00A12">
      <w:t>UNEP/OzL.Pro/ExCom/85/48</w:t>
    </w:r>
    <w:r>
      <w:fldChar w:fldCharType="end"/>
    </w:r>
  </w:p>
  <w:p w14:paraId="6BAE3655" w14:textId="77777777" w:rsidR="00F00A12" w:rsidRDefault="00F00A12">
    <w:pPr>
      <w:pStyle w:val="Header"/>
    </w:pPr>
  </w:p>
  <w:p w14:paraId="156752B1" w14:textId="77777777" w:rsidR="00F00A12" w:rsidRDefault="00F00A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72EE7" w14:textId="77777777" w:rsidR="00F00A12" w:rsidRDefault="00F00A12">
    <w:pPr>
      <w:jc w:val="right"/>
    </w:pPr>
  </w:p>
  <w:p w14:paraId="0C3F39E6" w14:textId="77777777" w:rsidR="00F00A12" w:rsidRDefault="00F00A1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7E25A6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  <w:rPr>
        <w:strike w:val="0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1" w15:restartNumberingAfterBreak="0">
    <w:nsid w:val="05E00F85"/>
    <w:multiLevelType w:val="hybridMultilevel"/>
    <w:tmpl w:val="0262CC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837CD"/>
    <w:multiLevelType w:val="hybridMultilevel"/>
    <w:tmpl w:val="EA7412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5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FD4054B"/>
    <w:multiLevelType w:val="hybridMultilevel"/>
    <w:tmpl w:val="6A8885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E79AE"/>
    <w:multiLevelType w:val="hybridMultilevel"/>
    <w:tmpl w:val="6ADE4D38"/>
    <w:lvl w:ilvl="0" w:tplc="E4AC52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6"/>
  </w:num>
  <w:num w:numId="19">
    <w:abstractNumId w:val="19"/>
  </w:num>
  <w:num w:numId="20">
    <w:abstractNumId w:val="14"/>
  </w:num>
  <w:num w:numId="21">
    <w:abstractNumId w:val="11"/>
  </w:num>
  <w:num w:numId="22">
    <w:abstractNumId w:val="12"/>
  </w:num>
  <w:num w:numId="23">
    <w:abstractNumId w:val="18"/>
  </w:num>
  <w:num w:numId="24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embedSystemFonts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6F0"/>
    <w:rsid w:val="00066E3F"/>
    <w:rsid w:val="000862AA"/>
    <w:rsid w:val="000A4D88"/>
    <w:rsid w:val="000C575A"/>
    <w:rsid w:val="000F6C8E"/>
    <w:rsid w:val="00103A01"/>
    <w:rsid w:val="001059BF"/>
    <w:rsid w:val="00123F91"/>
    <w:rsid w:val="00125F83"/>
    <w:rsid w:val="00131828"/>
    <w:rsid w:val="0018254E"/>
    <w:rsid w:val="001C3D0C"/>
    <w:rsid w:val="001D4CE7"/>
    <w:rsid w:val="0024708A"/>
    <w:rsid w:val="00265AF0"/>
    <w:rsid w:val="00271707"/>
    <w:rsid w:val="002F0B57"/>
    <w:rsid w:val="002F51F3"/>
    <w:rsid w:val="003276F0"/>
    <w:rsid w:val="003764B8"/>
    <w:rsid w:val="00382AE2"/>
    <w:rsid w:val="003A0CA4"/>
    <w:rsid w:val="003B4C0E"/>
    <w:rsid w:val="00401DA7"/>
    <w:rsid w:val="00441083"/>
    <w:rsid w:val="00461FD4"/>
    <w:rsid w:val="004C2C87"/>
    <w:rsid w:val="004D7396"/>
    <w:rsid w:val="004E3A36"/>
    <w:rsid w:val="005006CE"/>
    <w:rsid w:val="00523845"/>
    <w:rsid w:val="005359C7"/>
    <w:rsid w:val="00564122"/>
    <w:rsid w:val="005A1B0D"/>
    <w:rsid w:val="005B3CAD"/>
    <w:rsid w:val="005C278F"/>
    <w:rsid w:val="005E7F46"/>
    <w:rsid w:val="00605093"/>
    <w:rsid w:val="00632F8C"/>
    <w:rsid w:val="006838A0"/>
    <w:rsid w:val="006C07C3"/>
    <w:rsid w:val="006C605C"/>
    <w:rsid w:val="006D1D0A"/>
    <w:rsid w:val="006E3D1E"/>
    <w:rsid w:val="006E4625"/>
    <w:rsid w:val="006E7ACF"/>
    <w:rsid w:val="006F56B3"/>
    <w:rsid w:val="007034FA"/>
    <w:rsid w:val="0074648A"/>
    <w:rsid w:val="0075750B"/>
    <w:rsid w:val="007751C6"/>
    <w:rsid w:val="007B171B"/>
    <w:rsid w:val="007C0721"/>
    <w:rsid w:val="007C6926"/>
    <w:rsid w:val="007F1E2D"/>
    <w:rsid w:val="00813FBF"/>
    <w:rsid w:val="00841F84"/>
    <w:rsid w:val="008442FD"/>
    <w:rsid w:val="00853AB0"/>
    <w:rsid w:val="00883403"/>
    <w:rsid w:val="00886766"/>
    <w:rsid w:val="00887129"/>
    <w:rsid w:val="00891E3C"/>
    <w:rsid w:val="008A31BD"/>
    <w:rsid w:val="008C6F8D"/>
    <w:rsid w:val="008E3A0C"/>
    <w:rsid w:val="008F2614"/>
    <w:rsid w:val="0091161A"/>
    <w:rsid w:val="009121F6"/>
    <w:rsid w:val="00915C13"/>
    <w:rsid w:val="00932734"/>
    <w:rsid w:val="00961B85"/>
    <w:rsid w:val="009666A1"/>
    <w:rsid w:val="00972E99"/>
    <w:rsid w:val="009A5180"/>
    <w:rsid w:val="009A729E"/>
    <w:rsid w:val="009B3522"/>
    <w:rsid w:val="009B6D13"/>
    <w:rsid w:val="009C0A59"/>
    <w:rsid w:val="00A4276C"/>
    <w:rsid w:val="00A4407A"/>
    <w:rsid w:val="00AB0535"/>
    <w:rsid w:val="00AC013C"/>
    <w:rsid w:val="00AE0965"/>
    <w:rsid w:val="00AE190E"/>
    <w:rsid w:val="00AE3CD5"/>
    <w:rsid w:val="00AE63D8"/>
    <w:rsid w:val="00B0528A"/>
    <w:rsid w:val="00B3438B"/>
    <w:rsid w:val="00B62AAB"/>
    <w:rsid w:val="00B811F2"/>
    <w:rsid w:val="00BA5114"/>
    <w:rsid w:val="00BC3C7D"/>
    <w:rsid w:val="00C07CBA"/>
    <w:rsid w:val="00C27322"/>
    <w:rsid w:val="00C60B51"/>
    <w:rsid w:val="00C6443E"/>
    <w:rsid w:val="00C86B8B"/>
    <w:rsid w:val="00C91BAF"/>
    <w:rsid w:val="00C921A2"/>
    <w:rsid w:val="00CD764D"/>
    <w:rsid w:val="00CF1303"/>
    <w:rsid w:val="00D301A7"/>
    <w:rsid w:val="00D64484"/>
    <w:rsid w:val="00D7654A"/>
    <w:rsid w:val="00DA6966"/>
    <w:rsid w:val="00DB4E64"/>
    <w:rsid w:val="00DC1384"/>
    <w:rsid w:val="00DD3433"/>
    <w:rsid w:val="00E348C6"/>
    <w:rsid w:val="00E41063"/>
    <w:rsid w:val="00E54871"/>
    <w:rsid w:val="00E60D9C"/>
    <w:rsid w:val="00EB2067"/>
    <w:rsid w:val="00EB60F1"/>
    <w:rsid w:val="00EC17BA"/>
    <w:rsid w:val="00EC667A"/>
    <w:rsid w:val="00F00A12"/>
    <w:rsid w:val="00F21458"/>
    <w:rsid w:val="00F36C3F"/>
    <w:rsid w:val="00F37A42"/>
    <w:rsid w:val="00F4136C"/>
    <w:rsid w:val="00F43613"/>
    <w:rsid w:val="00F544DC"/>
    <w:rsid w:val="00F557F5"/>
    <w:rsid w:val="00FC0D87"/>
    <w:rsid w:val="00FC5578"/>
    <w:rsid w:val="00FD22FE"/>
    <w:rsid w:val="00FE431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FAC7E"/>
  <w15:docId w15:val="{DF52D13C-9A37-4FC6-81E1-DA6AFCC9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1A7"/>
    <w:pPr>
      <w:jc w:val="both"/>
    </w:pPr>
    <w:rPr>
      <w:sz w:val="22"/>
      <w:szCs w:val="22"/>
      <w:lang w:val="en-GB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,Título 11"/>
    <w:basedOn w:val="Normal"/>
    <w:next w:val="Normal"/>
    <w:link w:val="Heading1Char1"/>
    <w:uiPriority w:val="9"/>
    <w:qFormat/>
    <w:rsid w:val="00D301A7"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Heading 2 Char2,Heading 2 Char1"/>
    <w:basedOn w:val="Normal"/>
    <w:next w:val="Normal"/>
    <w:link w:val="Heading2Char"/>
    <w:uiPriority w:val="9"/>
    <w:qFormat/>
    <w:rsid w:val="00D301A7"/>
    <w:pPr>
      <w:widowControl w:val="0"/>
      <w:numPr>
        <w:ilvl w:val="1"/>
        <w:numId w:val="2"/>
      </w:numPr>
      <w:spacing w:after="240"/>
      <w:outlineLvl w:val="1"/>
    </w:pPr>
  </w:style>
  <w:style w:type="paragraph" w:styleId="Heading3">
    <w:name w:val="heading 3"/>
    <w:aliases w:val="Char,Heading 3 Char,Char Char,Heading 3 Char1,Heading 3 Char Char,Char Char Char,Char Char1,Heading 3 Char1 Char,Heading 3 Char Char Char,Char Char Char Char,Char Char1 Char,Heading 3 Char2,Char Char2,Char Char Char1,Heading 3 Char Char1 Char"/>
    <w:basedOn w:val="Normal"/>
    <w:next w:val="Normal"/>
    <w:uiPriority w:val="9"/>
    <w:qFormat/>
    <w:rsid w:val="00D301A7"/>
    <w:pPr>
      <w:widowControl w:val="0"/>
      <w:numPr>
        <w:ilvl w:val="2"/>
        <w:numId w:val="3"/>
      </w:numPr>
      <w:spacing w:after="240"/>
      <w:outlineLvl w:val="2"/>
    </w:pPr>
  </w:style>
  <w:style w:type="paragraph" w:styleId="Heading4">
    <w:name w:val="heading 4"/>
    <w:aliases w:val="Heading 11,para 4,Título 41,heading 4,Heading 41,标题 41"/>
    <w:basedOn w:val="Normal"/>
    <w:next w:val="Heading9"/>
    <w:uiPriority w:val="9"/>
    <w:qFormat/>
    <w:rsid w:val="00D301A7"/>
    <w:pPr>
      <w:keepNext/>
      <w:numPr>
        <w:ilvl w:val="3"/>
        <w:numId w:val="4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D301A7"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uiPriority w:val="9"/>
    <w:qFormat/>
    <w:rsid w:val="00D301A7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uiPriority w:val="9"/>
    <w:qFormat/>
    <w:rsid w:val="00D301A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301A7"/>
    <w:pPr>
      <w:outlineLvl w:val="7"/>
    </w:pPr>
    <w:rPr>
      <w:b/>
    </w:rPr>
  </w:style>
  <w:style w:type="paragraph" w:styleId="Heading9">
    <w:name w:val="heading 9"/>
    <w:basedOn w:val="Normal"/>
    <w:next w:val="Normal"/>
    <w:uiPriority w:val="9"/>
    <w:qFormat/>
    <w:rsid w:val="00D301A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D301A7"/>
    <w:pPr>
      <w:numPr>
        <w:numId w:val="16"/>
      </w:numPr>
    </w:pPr>
  </w:style>
  <w:style w:type="paragraph" w:styleId="Header">
    <w:name w:val="header"/>
    <w:basedOn w:val="Normal"/>
    <w:rsid w:val="00D301A7"/>
    <w:pPr>
      <w:tabs>
        <w:tab w:val="center" w:pos="4320"/>
        <w:tab w:val="right" w:pos="8640"/>
      </w:tabs>
    </w:pPr>
  </w:style>
  <w:style w:type="paragraph" w:customStyle="1" w:styleId="sub-title">
    <w:name w:val="sub-title"/>
    <w:rsid w:val="00D301A7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rsid w:val="00D301A7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rsid w:val="00D301A7"/>
    <w:pPr>
      <w:keepLines/>
      <w:jc w:val="right"/>
    </w:pPr>
    <w:rPr>
      <w:b/>
    </w:rPr>
  </w:style>
  <w:style w:type="paragraph" w:customStyle="1" w:styleId="0Heading0">
    <w:name w:val="0 Heading 0"/>
    <w:rsid w:val="00D301A7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D301A7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rsid w:val="00D301A7"/>
    <w:pPr>
      <w:numPr>
        <w:numId w:val="17"/>
      </w:numPr>
    </w:pPr>
  </w:style>
  <w:style w:type="numbering" w:styleId="ArticleSection">
    <w:name w:val="Outline List 3"/>
    <w:basedOn w:val="NoList"/>
    <w:semiHidden/>
    <w:rsid w:val="00D301A7"/>
    <w:pPr>
      <w:numPr>
        <w:numId w:val="18"/>
      </w:numPr>
    </w:pPr>
  </w:style>
  <w:style w:type="paragraph" w:styleId="BlockText">
    <w:name w:val="Block Text"/>
    <w:basedOn w:val="Normal"/>
    <w:semiHidden/>
    <w:rsid w:val="00D301A7"/>
    <w:pPr>
      <w:spacing w:after="120"/>
      <w:ind w:left="1440" w:right="1440"/>
    </w:pPr>
  </w:style>
  <w:style w:type="paragraph" w:styleId="BodyText3">
    <w:name w:val="Body Text 3"/>
    <w:basedOn w:val="Normal"/>
    <w:semiHidden/>
    <w:rsid w:val="00D301A7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rsid w:val="00D301A7"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sid w:val="00D301A7"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rsid w:val="00D301A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301A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301A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301A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301A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301A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301A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301A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301A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301A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301A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301A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301A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301A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301A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301A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301A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301A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D301A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301A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301A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301A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301A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301A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301A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301A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301A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301A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301A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301A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301A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301A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301A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301A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301A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301A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301A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301A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301A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301A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301A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301A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301A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301A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sid w:val="00D301A7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rsid w:val="00D301A7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D301A7"/>
    <w:rPr>
      <w:sz w:val="16"/>
      <w:szCs w:val="16"/>
    </w:rPr>
  </w:style>
  <w:style w:type="paragraph" w:styleId="Subtitle">
    <w:name w:val="Subtitle"/>
    <w:basedOn w:val="Normal"/>
    <w:qFormat/>
    <w:rsid w:val="00D301A7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rsid w:val="00D301A7"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  <w:rsid w:val="00D301A7"/>
  </w:style>
  <w:style w:type="character" w:styleId="PlaceholderText">
    <w:name w:val="Placeholder Text"/>
    <w:basedOn w:val="DefaultParagraphFont"/>
    <w:uiPriority w:val="99"/>
    <w:semiHidden/>
    <w:rsid w:val="00D301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A7"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1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1A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1A7"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rsid w:val="00D301A7"/>
    <w:pPr>
      <w:ind w:left="0" w:firstLine="0"/>
    </w:pPr>
    <w:rPr>
      <w:sz w:val="20"/>
    </w:rPr>
  </w:style>
  <w:style w:type="paragraph" w:customStyle="1" w:styleId="StyleHeading1Para1Heading1CharHeading1Char3CharHeadin">
    <w:name w:val="Style Heading 1Para (1)Heading 1 CharHeading 1 Char3 CharHeadin..."/>
    <w:basedOn w:val="Heading1"/>
    <w:rsid w:val="00D301A7"/>
    <w:pPr>
      <w:numPr>
        <w:numId w:val="0"/>
      </w:numPr>
      <w:tabs>
        <w:tab w:val="left" w:pos="72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301A7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3276F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F13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1303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F1303"/>
    <w:rPr>
      <w:vertAlign w:val="superscript"/>
    </w:rPr>
  </w:style>
  <w:style w:type="character" w:customStyle="1" w:styleId="Heading2Char">
    <w:name w:val="Heading 2 Char"/>
    <w:aliases w:val="SubPara (a) Char,Heading 2 Char3 Char,Heading 2 Char Char2 Char,Heading 2 Char1 Char Char1 Char,SubPara (a) Char Char Char1 Char,Heading 2 Char Char Char Char1 Char,Heading 2 Char1 Char Char Char Char1 Char,Heading 2 Char2 Char"/>
    <w:basedOn w:val="DefaultParagraphFont"/>
    <w:link w:val="Heading2"/>
    <w:rsid w:val="00CF1303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e%20Descoteaux\AppData\Local\Microsoft\Windows\Temporary%20Internet%20Files\Content.Outlook\SF29SKYQ\F85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B81A444E34248BBC988D4638CFC23" ma:contentTypeVersion="2" ma:contentTypeDescription="Create a new document." ma:contentTypeScope="" ma:versionID="e05846c08eb9788948ca12760dc24ca9">
  <xsd:schema xmlns:xsd="http://www.w3.org/2001/XMLSchema" xmlns:p="http://schemas.microsoft.com/office/2006/metadata/properties" xmlns:ns2="8662b4aa-cf42-4f00-a3f0-9d3b4acad230" xmlns:ns3="310e179b-1379-4e79-9b74-d5a32b1812d3" targetNamespace="http://schemas.microsoft.com/office/2006/metadata/properties" ma:root="true" ma:fieldsID="51b3e81c0f520dee15c313ac37b76417" ns2:_="" ns3:_="">
    <xsd:import namespace="8662b4aa-cf42-4f00-a3f0-9d3b4acad230"/>
    <xsd:import namespace="310e179b-1379-4e79-9b74-d5a32b1812d3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662b4aa-cf42-4f00-a3f0-9d3b4acad230" elementFormDefault="qualified">
    <xsd:import namespace="http://schemas.microsoft.com/office/2006/documentManagement/types"/>
    <xsd:element name="Document_x0020_Number" ma:index="8" nillable="true" ma:displayName="Document Number" ma:default="UNEP/OzL.Pro/ExCom/85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10e179b-1379-4e79-9b74-d5a32b1812d3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Type xmlns="310e179b-1379-4e79-9b74-d5a32b1812d3">Pre-session</DocumentType>
    <Document_x0020_Number xmlns="8662b4aa-cf42-4f00-a3f0-9d3b4acad230">UNEP/OzL.Pro/ExCom/85/48</Document_x0020_Number>
  </documentManagement>
</p:properties>
</file>

<file path=customXml/itemProps1.xml><?xml version="1.0" encoding="utf-8"?>
<ds:datastoreItem xmlns:ds="http://schemas.openxmlformats.org/officeDocument/2006/customXml" ds:itemID="{4F43B021-FDD6-4A30-A28F-E6137A9E4BFF}"/>
</file>

<file path=customXml/itemProps2.xml><?xml version="1.0" encoding="utf-8"?>
<ds:datastoreItem xmlns:ds="http://schemas.openxmlformats.org/officeDocument/2006/customXml" ds:itemID="{F4C5EB46-82CA-4B59-8DB1-F0B2805A5A7E}"/>
</file>

<file path=customXml/itemProps3.xml><?xml version="1.0" encoding="utf-8"?>
<ds:datastoreItem xmlns:ds="http://schemas.openxmlformats.org/officeDocument/2006/customXml" ds:itemID="{4AC01930-7F66-49F1-B87B-879EBC51A0ED}"/>
</file>

<file path=customXml/itemProps4.xml><?xml version="1.0" encoding="utf-8"?>
<ds:datastoreItem xmlns:ds="http://schemas.openxmlformats.org/officeDocument/2006/customXml" ds:itemID="{A3B0F89B-3AB4-4D66-9134-CBB60553624C}"/>
</file>

<file path=docProps/app.xml><?xml version="1.0" encoding="utf-8"?>
<Properties xmlns="http://schemas.openxmlformats.org/officeDocument/2006/extended-properties" xmlns:vt="http://schemas.openxmlformats.org/officeDocument/2006/docPropsVTypes">
  <Template>F85-Template</Template>
  <TotalTime>2</TotalTime>
  <Pages>8</Pages>
  <Words>3206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Proposition de projet: Sri Lanka</vt:lpstr>
    </vt:vector>
  </TitlesOfParts>
  <Manager/>
  <Company>UNMFS</Company>
  <LinksUpToDate>false</LinksUpToDate>
  <CharactersWithSpaces>21440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projet: Sri Lanka</dc:title>
  <dc:subject/>
  <dc:creator>Joel Pare-Julien</dc:creator>
  <cp:keywords/>
  <dc:description/>
  <cp:lastModifiedBy>Lynda</cp:lastModifiedBy>
  <cp:revision>4</cp:revision>
  <cp:lastPrinted>2001-05-26T16:40:00Z</cp:lastPrinted>
  <dcterms:created xsi:type="dcterms:W3CDTF">2020-05-20T00:55:00Z</dcterms:created>
  <dcterms:modified xsi:type="dcterms:W3CDTF">2020-05-20T14:10:00Z</dcterms:modified>
  <cp:category/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UNEP/OzL.Pro/ExCom/85/48</vt:lpwstr>
  </property>
  <property fmtid="{D5CDD505-2E9C-101B-9397-08002B2CF9AE}" pid="3" name="Revision date">
    <vt:lpwstr>5/01/2020</vt:lpwstr>
  </property>
  <property fmtid="{D5CDD505-2E9C-101B-9397-08002B2CF9AE}" pid="4" name="ContentTypeId">
    <vt:lpwstr>0x010100291B81A444E34248BBC988D4638CFC23</vt:lpwstr>
  </property>
</Properties>
</file>