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2009D7" w14:paraId="475FE297" w14:textId="77777777">
        <w:trPr>
          <w:trHeight w:val="720"/>
        </w:trPr>
        <w:tc>
          <w:tcPr>
            <w:tcW w:w="7061" w:type="dxa"/>
            <w:gridSpan w:val="2"/>
            <w:tcBorders>
              <w:bottom w:val="single" w:sz="18" w:space="0" w:color="auto"/>
            </w:tcBorders>
          </w:tcPr>
          <w:p w14:paraId="3B484D4D" w14:textId="77777777" w:rsidR="00441083" w:rsidRPr="002009D7"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FR"/>
              </w:rPr>
            </w:pPr>
            <w:r w:rsidRPr="002009D7">
              <w:rPr>
                <w:rFonts w:ascii="Univers" w:hAnsi="Univers"/>
                <w:b/>
                <w:sz w:val="28"/>
                <w:szCs w:val="28"/>
                <w:lang w:val="fr-FR"/>
              </w:rPr>
              <w:t>NATIONS</w:t>
            </w:r>
          </w:p>
          <w:p w14:paraId="5FCA5B29" w14:textId="77777777" w:rsidR="00441083" w:rsidRPr="002009D7"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FR"/>
              </w:rPr>
            </w:pPr>
            <w:r w:rsidRPr="002009D7">
              <w:rPr>
                <w:rFonts w:ascii="Univers" w:hAnsi="Univers"/>
                <w:b/>
                <w:sz w:val="28"/>
                <w:szCs w:val="28"/>
                <w:lang w:val="fr-FR"/>
              </w:rPr>
              <w:t xml:space="preserve">UNIES </w:t>
            </w:r>
          </w:p>
        </w:tc>
        <w:tc>
          <w:tcPr>
            <w:tcW w:w="3544" w:type="dxa"/>
            <w:tcBorders>
              <w:bottom w:val="single" w:sz="18" w:space="0" w:color="auto"/>
            </w:tcBorders>
          </w:tcPr>
          <w:p w14:paraId="71182C14" w14:textId="77777777" w:rsidR="00441083" w:rsidRPr="002009D7" w:rsidRDefault="00E60D9C">
            <w:pPr>
              <w:tabs>
                <w:tab w:val="left" w:pos="3010"/>
              </w:tabs>
              <w:jc w:val="center"/>
              <w:rPr>
                <w:sz w:val="52"/>
                <w:szCs w:val="52"/>
                <w:lang w:val="fr-FR"/>
              </w:rPr>
            </w:pPr>
            <w:r w:rsidRPr="002009D7">
              <w:rPr>
                <w:rFonts w:ascii="Univers Bold" w:hAnsi="Univers Bold"/>
                <w:b/>
                <w:sz w:val="72"/>
                <w:lang w:val="fr-FR"/>
              </w:rPr>
              <w:t xml:space="preserve">          EP</w:t>
            </w:r>
          </w:p>
        </w:tc>
      </w:tr>
      <w:tr w:rsidR="00441083" w:rsidRPr="002009D7" w14:paraId="7369608B" w14:textId="77777777" w:rsidTr="00FB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1"/>
        </w:trPr>
        <w:tc>
          <w:tcPr>
            <w:tcW w:w="2070" w:type="dxa"/>
            <w:tcBorders>
              <w:top w:val="nil"/>
              <w:left w:val="nil"/>
              <w:bottom w:val="single" w:sz="36" w:space="0" w:color="auto"/>
              <w:right w:val="nil"/>
            </w:tcBorders>
          </w:tcPr>
          <w:p w14:paraId="4484A747" w14:textId="58F72638" w:rsidR="00441083" w:rsidRPr="002009D7" w:rsidRDefault="00202DEB">
            <w:pPr>
              <w:spacing w:before="120"/>
              <w:rPr>
                <w:lang w:val="fr-FR"/>
              </w:rPr>
            </w:pPr>
            <w:r w:rsidRPr="002009D7">
              <w:rPr>
                <w:noProof/>
                <w:lang w:val="fr-FR" w:eastAsia="en-CA"/>
              </w:rPr>
              <w:drawing>
                <wp:anchor distT="0" distB="0" distL="114300" distR="114300" simplePos="0" relativeHeight="251660288" behindDoc="0" locked="0" layoutInCell="1" allowOverlap="1" wp14:anchorId="4EE23D16" wp14:editId="43E71F0F">
                  <wp:simplePos x="0" y="0"/>
                  <wp:positionH relativeFrom="column">
                    <wp:posOffset>57785</wp:posOffset>
                  </wp:positionH>
                  <wp:positionV relativeFrom="paragraph">
                    <wp:posOffset>853440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2009D7">
              <w:rPr>
                <w:noProof/>
                <w:lang w:val="fr-FR" w:eastAsia="en-CA"/>
              </w:rPr>
              <w:drawing>
                <wp:anchor distT="0" distB="0" distL="114300" distR="114300" simplePos="0" relativeHeight="251661312" behindDoc="1" locked="0" layoutInCell="0" allowOverlap="1" wp14:anchorId="4F0DB4BB" wp14:editId="3420B1B2">
                  <wp:simplePos x="0" y="0"/>
                  <wp:positionH relativeFrom="column">
                    <wp:posOffset>53340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30122244" w14:textId="77777777" w:rsidR="00441083" w:rsidRPr="002009D7"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p>
          <w:p w14:paraId="42B94B84" w14:textId="77777777" w:rsidR="00441083" w:rsidRPr="002009D7"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r w:rsidRPr="002009D7">
              <w:rPr>
                <w:rFonts w:ascii="Univers" w:hAnsi="Univers"/>
                <w:b/>
                <w:sz w:val="32"/>
                <w:lang w:val="fr-FR"/>
              </w:rPr>
              <w:t>Programme des</w:t>
            </w:r>
          </w:p>
          <w:p w14:paraId="5992E55D" w14:textId="77777777" w:rsidR="00441083" w:rsidRPr="002009D7" w:rsidRDefault="00E60D9C">
            <w:pPr>
              <w:rPr>
                <w:rFonts w:ascii="Univers" w:hAnsi="Univers"/>
                <w:b/>
                <w:sz w:val="32"/>
                <w:lang w:val="fr-FR"/>
              </w:rPr>
            </w:pPr>
            <w:r w:rsidRPr="002009D7">
              <w:rPr>
                <w:rFonts w:ascii="Univers" w:hAnsi="Univers"/>
                <w:b/>
                <w:sz w:val="32"/>
                <w:lang w:val="fr-FR"/>
              </w:rPr>
              <w:t>Nations Unies pour</w:t>
            </w:r>
          </w:p>
          <w:p w14:paraId="7375F587" w14:textId="77777777" w:rsidR="00441083" w:rsidRPr="002009D7" w:rsidRDefault="00E60D9C">
            <w:pPr>
              <w:rPr>
                <w:rFonts w:ascii="Univers" w:hAnsi="Univers"/>
                <w:b/>
                <w:sz w:val="32"/>
                <w:lang w:val="fr-FR"/>
              </w:rPr>
            </w:pPr>
            <w:proofErr w:type="gramStart"/>
            <w:r w:rsidRPr="002009D7">
              <w:rPr>
                <w:rFonts w:ascii="Univers" w:hAnsi="Univers"/>
                <w:b/>
                <w:sz w:val="32"/>
                <w:lang w:val="fr-FR"/>
              </w:rPr>
              <w:t>l’environnement</w:t>
            </w:r>
            <w:proofErr w:type="gramEnd"/>
          </w:p>
          <w:p w14:paraId="0F592698" w14:textId="77777777" w:rsidR="00441083" w:rsidRPr="002009D7" w:rsidRDefault="00E60D9C">
            <w:pPr>
              <w:spacing w:before="720"/>
              <w:ind w:left="158"/>
              <w:rPr>
                <w:lang w:val="fr-FR"/>
              </w:rPr>
            </w:pPr>
            <w:r w:rsidRPr="002009D7">
              <w:rPr>
                <w:lang w:val="fr-FR"/>
              </w:rPr>
              <w:t xml:space="preserve"> </w:t>
            </w:r>
          </w:p>
        </w:tc>
        <w:tc>
          <w:tcPr>
            <w:tcW w:w="3544" w:type="dxa"/>
            <w:tcBorders>
              <w:top w:val="nil"/>
              <w:left w:val="nil"/>
              <w:bottom w:val="single" w:sz="36" w:space="0" w:color="auto"/>
              <w:right w:val="nil"/>
            </w:tcBorders>
          </w:tcPr>
          <w:p w14:paraId="6A2A5415" w14:textId="77777777" w:rsidR="00441083" w:rsidRPr="002009D7" w:rsidRDefault="00441083">
            <w:pPr>
              <w:rPr>
                <w:lang w:val="fr-FR"/>
              </w:rPr>
            </w:pPr>
          </w:p>
          <w:p w14:paraId="74E892AD" w14:textId="77777777" w:rsidR="00441083" w:rsidRPr="002009D7" w:rsidRDefault="00E60D9C">
            <w:pPr>
              <w:rPr>
                <w:lang w:val="fr-FR"/>
              </w:rPr>
            </w:pPr>
            <w:proofErr w:type="spellStart"/>
            <w:r w:rsidRPr="002009D7">
              <w:rPr>
                <w:lang w:val="fr-FR"/>
              </w:rPr>
              <w:t>Distr</w:t>
            </w:r>
            <w:proofErr w:type="spellEnd"/>
            <w:r w:rsidRPr="002009D7">
              <w:rPr>
                <w:lang w:val="fr-FR"/>
              </w:rPr>
              <w:t>.</w:t>
            </w:r>
          </w:p>
          <w:p w14:paraId="194FEA04" w14:textId="77777777" w:rsidR="00441083" w:rsidRPr="002009D7" w:rsidRDefault="00E60D9C" w:rsidP="00DD3433">
            <w:pPr>
              <w:rPr>
                <w:lang w:val="fr-FR"/>
              </w:rPr>
            </w:pPr>
            <w:r w:rsidRPr="002009D7">
              <w:rPr>
                <w:lang w:val="fr-FR"/>
              </w:rPr>
              <w:t>G</w:t>
            </w:r>
            <w:r w:rsidR="00DD3433" w:rsidRPr="002009D7">
              <w:rPr>
                <w:lang w:val="fr-FR"/>
              </w:rPr>
              <w:t>É</w:t>
            </w:r>
            <w:r w:rsidRPr="002009D7">
              <w:rPr>
                <w:lang w:val="fr-FR"/>
              </w:rPr>
              <w:t>N</w:t>
            </w:r>
            <w:r w:rsidR="00DD3433" w:rsidRPr="002009D7">
              <w:rPr>
                <w:lang w:val="fr-FR"/>
              </w:rPr>
              <w:t>É</w:t>
            </w:r>
            <w:r w:rsidRPr="002009D7">
              <w:rPr>
                <w:lang w:val="fr-FR"/>
              </w:rPr>
              <w:t>RAL</w:t>
            </w:r>
            <w:r w:rsidR="00FF3CF1" w:rsidRPr="002009D7">
              <w:rPr>
                <w:lang w:val="fr-FR"/>
              </w:rPr>
              <w:t>E</w:t>
            </w:r>
          </w:p>
          <w:p w14:paraId="29D155F9" w14:textId="77777777" w:rsidR="00441083" w:rsidRPr="002009D7" w:rsidRDefault="00441083">
            <w:pPr>
              <w:rPr>
                <w:lang w:val="fr-FR"/>
              </w:rPr>
            </w:pPr>
          </w:p>
          <w:p w14:paraId="5EDC05F9" w14:textId="28A18CDA" w:rsidR="00441083" w:rsidRPr="005A2406" w:rsidRDefault="00E60D9C">
            <w:pPr>
              <w:rPr>
                <w:lang w:val="fr-CA"/>
              </w:rPr>
            </w:pPr>
            <w:r w:rsidRPr="002009D7">
              <w:rPr>
                <w:lang w:val="fr-FR"/>
              </w:rPr>
              <w:fldChar w:fldCharType="begin"/>
            </w:r>
            <w:r w:rsidRPr="005A2406">
              <w:rPr>
                <w:lang w:val="fr-CA"/>
              </w:rPr>
              <w:instrText xml:space="preserve"> DOCPROPERTY "Document number"  \* MERGEFORMAT </w:instrText>
            </w:r>
            <w:r w:rsidRPr="002009D7">
              <w:rPr>
                <w:lang w:val="fr-FR"/>
              </w:rPr>
              <w:fldChar w:fldCharType="separate"/>
            </w:r>
            <w:r w:rsidR="00932B6D" w:rsidRPr="005A2406">
              <w:rPr>
                <w:lang w:val="fr-CA"/>
              </w:rPr>
              <w:t>UNEP/OzL.Pro/ExCom/85/29</w:t>
            </w:r>
            <w:r w:rsidRPr="002009D7">
              <w:rPr>
                <w:lang w:val="fr-FR"/>
              </w:rPr>
              <w:fldChar w:fldCharType="end"/>
            </w:r>
          </w:p>
          <w:p w14:paraId="39DE1D77" w14:textId="5A3AF6F1" w:rsidR="002F0B57" w:rsidRPr="0036434B" w:rsidRDefault="002F0B57" w:rsidP="000F6C8E">
            <w:pPr>
              <w:rPr>
                <w:lang w:val="en-CA"/>
              </w:rPr>
            </w:pPr>
            <w:r w:rsidRPr="002009D7">
              <w:rPr>
                <w:lang w:val="fr-FR"/>
              </w:rPr>
              <w:fldChar w:fldCharType="begin"/>
            </w:r>
            <w:r w:rsidRPr="0036434B">
              <w:rPr>
                <w:lang w:val="en-CA"/>
              </w:rPr>
              <w:instrText xml:space="preserve"> DOCPROPERTY "Revision date" \@ "d MMMM YYYY"  \* MERGEFORMAT </w:instrText>
            </w:r>
            <w:r w:rsidRPr="002009D7">
              <w:rPr>
                <w:lang w:val="fr-FR"/>
              </w:rPr>
              <w:fldChar w:fldCharType="separate"/>
            </w:r>
            <w:r w:rsidR="00932B6D">
              <w:rPr>
                <w:lang w:val="en-CA"/>
              </w:rPr>
              <w:t xml:space="preserve">4 </w:t>
            </w:r>
            <w:proofErr w:type="spellStart"/>
            <w:r w:rsidR="00932B6D">
              <w:rPr>
                <w:lang w:val="en-CA"/>
              </w:rPr>
              <w:t>mai</w:t>
            </w:r>
            <w:proofErr w:type="spellEnd"/>
            <w:r w:rsidR="00932B6D">
              <w:rPr>
                <w:lang w:val="en-CA"/>
              </w:rPr>
              <w:t xml:space="preserve"> 2020</w:t>
            </w:r>
            <w:r w:rsidRPr="002009D7">
              <w:rPr>
                <w:lang w:val="fr-FR"/>
              </w:rPr>
              <w:fldChar w:fldCharType="end"/>
            </w:r>
          </w:p>
          <w:p w14:paraId="191D2950" w14:textId="77777777" w:rsidR="00441083" w:rsidRPr="002009D7" w:rsidRDefault="00FC5578">
            <w:pPr>
              <w:rPr>
                <w:caps/>
                <w:lang w:val="fr-FR"/>
              </w:rPr>
            </w:pPr>
            <w:r w:rsidRPr="0036434B">
              <w:rPr>
                <w:caps/>
                <w:lang w:val="en-CA"/>
              </w:rPr>
              <w:br/>
            </w:r>
            <w:r w:rsidR="00E60D9C" w:rsidRPr="002009D7">
              <w:rPr>
                <w:caps/>
                <w:lang w:val="fr-FR"/>
              </w:rPr>
              <w:t>FRANÇAIS</w:t>
            </w:r>
          </w:p>
          <w:p w14:paraId="0EC695B1" w14:textId="47616ED2" w:rsidR="00441083" w:rsidRPr="002009D7" w:rsidRDefault="00FB51B8">
            <w:pPr>
              <w:rPr>
                <w:lang w:val="fr-FR"/>
              </w:rPr>
            </w:pPr>
            <w:r w:rsidRPr="002009D7">
              <w:rPr>
                <w:lang w:val="fr-FR"/>
              </w:rPr>
              <w:t>ORIGINAL :</w:t>
            </w:r>
            <w:r w:rsidR="00E60D9C" w:rsidRPr="002009D7">
              <w:rPr>
                <w:lang w:val="fr-FR"/>
              </w:rPr>
              <w:t xml:space="preserve"> </w:t>
            </w:r>
            <w:r w:rsidR="0091161A" w:rsidRPr="002009D7">
              <w:rPr>
                <w:lang w:val="fr-FR"/>
              </w:rPr>
              <w:t>ANGLAIS</w:t>
            </w:r>
          </w:p>
        </w:tc>
      </w:tr>
    </w:tbl>
    <w:p w14:paraId="043897C8" w14:textId="77777777" w:rsidR="00441083" w:rsidRPr="002009D7" w:rsidRDefault="00E60D9C" w:rsidP="00DD3433">
      <w:pPr>
        <w:jc w:val="left"/>
        <w:rPr>
          <w:lang w:val="fr-FR"/>
        </w:rPr>
      </w:pPr>
      <w:r w:rsidRPr="002009D7">
        <w:rPr>
          <w:lang w:val="fr-FR"/>
        </w:rPr>
        <w:t>COMIT</w:t>
      </w:r>
      <w:r w:rsidR="00DD3433" w:rsidRPr="002009D7">
        <w:rPr>
          <w:lang w:val="fr-FR"/>
        </w:rPr>
        <w:t>É</w:t>
      </w:r>
      <w:r w:rsidRPr="002009D7">
        <w:rPr>
          <w:lang w:val="fr-FR"/>
        </w:rPr>
        <w:t xml:space="preserve"> EX</w:t>
      </w:r>
      <w:r w:rsidR="00DD3433" w:rsidRPr="002009D7">
        <w:rPr>
          <w:lang w:val="fr-FR"/>
        </w:rPr>
        <w:t xml:space="preserve">ÉCUTIF </w:t>
      </w:r>
      <w:r w:rsidR="00DD3433" w:rsidRPr="002009D7">
        <w:rPr>
          <w:lang w:val="fr-FR"/>
        </w:rPr>
        <w:br/>
        <w:t xml:space="preserve">  DU FONDS MULTILATÉ</w:t>
      </w:r>
      <w:r w:rsidRPr="002009D7">
        <w:rPr>
          <w:lang w:val="fr-FR"/>
        </w:rPr>
        <w:t xml:space="preserve">RAL AUX FINS </w:t>
      </w:r>
      <w:r w:rsidRPr="002009D7">
        <w:rPr>
          <w:lang w:val="fr-FR"/>
        </w:rPr>
        <w:br/>
        <w:t xml:space="preserve">  D’APPLICATION DU PROTOCOLE DE MONTR</w:t>
      </w:r>
      <w:r w:rsidR="00DD3433" w:rsidRPr="002009D7">
        <w:rPr>
          <w:lang w:val="fr-FR"/>
        </w:rPr>
        <w:t>É</w:t>
      </w:r>
      <w:r w:rsidRPr="002009D7">
        <w:rPr>
          <w:lang w:val="fr-FR"/>
        </w:rPr>
        <w:t>AL</w:t>
      </w:r>
      <w:r w:rsidRPr="002009D7">
        <w:rPr>
          <w:lang w:val="fr-FR"/>
        </w:rPr>
        <w:br/>
      </w:r>
      <w:r w:rsidR="00E54871" w:rsidRPr="002009D7">
        <w:rPr>
          <w:lang w:val="fr-FR"/>
        </w:rPr>
        <w:t>Quatre</w:t>
      </w:r>
      <w:r w:rsidRPr="002009D7">
        <w:rPr>
          <w:lang w:val="fr-FR"/>
        </w:rPr>
        <w:t>-</w:t>
      </w:r>
      <w:r w:rsidR="00E54871" w:rsidRPr="002009D7">
        <w:rPr>
          <w:lang w:val="fr-FR"/>
        </w:rPr>
        <w:t>vingt</w:t>
      </w:r>
      <w:r w:rsidR="009666A1" w:rsidRPr="002009D7">
        <w:rPr>
          <w:lang w:val="fr-FR"/>
        </w:rPr>
        <w:t>-cin</w:t>
      </w:r>
      <w:r w:rsidR="00AC013C" w:rsidRPr="002009D7">
        <w:rPr>
          <w:lang w:val="fr-FR"/>
        </w:rPr>
        <w:t>q</w:t>
      </w:r>
      <w:r w:rsidR="009666A1" w:rsidRPr="002009D7">
        <w:rPr>
          <w:lang w:val="fr-FR"/>
        </w:rPr>
        <w:t>u</w:t>
      </w:r>
      <w:r w:rsidR="004C2C87" w:rsidRPr="002009D7">
        <w:rPr>
          <w:lang w:val="fr-FR"/>
        </w:rPr>
        <w:t>i</w:t>
      </w:r>
      <w:r w:rsidR="00E54871" w:rsidRPr="002009D7">
        <w:rPr>
          <w:lang w:val="fr-FR"/>
        </w:rPr>
        <w:t>ème</w:t>
      </w:r>
      <w:r w:rsidR="00FC5578" w:rsidRPr="002009D7">
        <w:rPr>
          <w:lang w:val="fr-FR"/>
        </w:rPr>
        <w:t xml:space="preserve"> </w:t>
      </w:r>
      <w:r w:rsidRPr="002009D7">
        <w:rPr>
          <w:lang w:val="fr-FR"/>
        </w:rPr>
        <w:t>réunion</w:t>
      </w:r>
    </w:p>
    <w:p w14:paraId="0A2378F9" w14:textId="77777777" w:rsidR="00C27322" w:rsidRPr="002009D7" w:rsidRDefault="00C27322" w:rsidP="00C27322">
      <w:pPr>
        <w:jc w:val="left"/>
        <w:rPr>
          <w:lang w:val="fr-FR"/>
        </w:rPr>
      </w:pPr>
      <w:r w:rsidRPr="002009D7">
        <w:rPr>
          <w:lang w:val="fr-FR"/>
        </w:rPr>
        <w:t>Montréal, 25 – 29 mai 2020</w:t>
      </w:r>
    </w:p>
    <w:p w14:paraId="0DE4AD78" w14:textId="399ABFD0" w:rsidR="00441083" w:rsidRPr="002009D7" w:rsidRDefault="00FB51B8" w:rsidP="00AC013C">
      <w:pPr>
        <w:jc w:val="left"/>
        <w:rPr>
          <w:lang w:val="fr-FR"/>
        </w:rPr>
      </w:pPr>
      <w:r w:rsidRPr="002009D7">
        <w:rPr>
          <w:lang w:val="fr-FR"/>
        </w:rPr>
        <w:t>Reportée :</w:t>
      </w:r>
      <w:r w:rsidR="00FC5578" w:rsidRPr="002009D7">
        <w:rPr>
          <w:lang w:val="fr-FR"/>
        </w:rPr>
        <w:t xml:space="preserve"> </w:t>
      </w:r>
      <w:r w:rsidR="00AC013C" w:rsidRPr="002009D7">
        <w:rPr>
          <w:lang w:val="fr-FR"/>
        </w:rPr>
        <w:t>1</w:t>
      </w:r>
      <w:r w:rsidR="009666A1" w:rsidRPr="002009D7">
        <w:rPr>
          <w:lang w:val="fr-FR"/>
        </w:rPr>
        <w:t>9</w:t>
      </w:r>
      <w:r w:rsidR="00AC013C" w:rsidRPr="002009D7">
        <w:rPr>
          <w:lang w:val="fr-FR"/>
        </w:rPr>
        <w:t xml:space="preserve"> </w:t>
      </w:r>
      <w:r w:rsidR="00E60D9C" w:rsidRPr="002009D7">
        <w:rPr>
          <w:lang w:val="fr-FR"/>
        </w:rPr>
        <w:t xml:space="preserve">– </w:t>
      </w:r>
      <w:r w:rsidR="00AC013C" w:rsidRPr="002009D7">
        <w:rPr>
          <w:lang w:val="fr-FR"/>
        </w:rPr>
        <w:t>2</w:t>
      </w:r>
      <w:r w:rsidR="009666A1" w:rsidRPr="002009D7">
        <w:rPr>
          <w:lang w:val="fr-FR"/>
        </w:rPr>
        <w:t>2 juillet 2020</w:t>
      </w:r>
      <w:r w:rsidR="00C27322" w:rsidRPr="002009D7">
        <w:rPr>
          <w:lang w:val="fr-FR"/>
        </w:rPr>
        <w:t>*</w:t>
      </w:r>
    </w:p>
    <w:p w14:paraId="18DF933D" w14:textId="77777777" w:rsidR="00441083" w:rsidRPr="002009D7" w:rsidRDefault="00441083">
      <w:pPr>
        <w:jc w:val="left"/>
        <w:rPr>
          <w:lang w:val="fr-FR"/>
        </w:rPr>
      </w:pPr>
    </w:p>
    <w:p w14:paraId="542038F1" w14:textId="77777777" w:rsidR="00441083" w:rsidRPr="002009D7" w:rsidRDefault="00441083">
      <w:pPr>
        <w:pStyle w:val="Heading3"/>
        <w:numPr>
          <w:ilvl w:val="0"/>
          <w:numId w:val="0"/>
        </w:numPr>
        <w:spacing w:after="0"/>
        <w:rPr>
          <w:lang w:val="fr-FR"/>
        </w:rPr>
      </w:pPr>
    </w:p>
    <w:p w14:paraId="73354EB6" w14:textId="77777777" w:rsidR="00441083" w:rsidRPr="002009D7" w:rsidRDefault="00441083">
      <w:pPr>
        <w:pStyle w:val="Title1"/>
        <w:rPr>
          <w:lang w:val="fr-FR"/>
        </w:rPr>
      </w:pPr>
    </w:p>
    <w:p w14:paraId="5F19A22A" w14:textId="77777777" w:rsidR="00441083" w:rsidRPr="002009D7" w:rsidRDefault="00441083">
      <w:pPr>
        <w:pStyle w:val="Title1"/>
        <w:rPr>
          <w:lang w:val="fr-FR"/>
        </w:rPr>
      </w:pPr>
    </w:p>
    <w:p w14:paraId="756EFD72" w14:textId="5206836C" w:rsidR="00441083" w:rsidRDefault="00480052">
      <w:pPr>
        <w:jc w:val="center"/>
        <w:rPr>
          <w:b/>
          <w:lang w:val="fr-FR"/>
        </w:rPr>
      </w:pPr>
      <w:r w:rsidRPr="002009D7">
        <w:rPr>
          <w:b/>
          <w:lang w:val="fr-FR"/>
        </w:rPr>
        <w:t>PROPOSITION DE PROJET</w:t>
      </w:r>
      <w:r w:rsidR="004A3B9C">
        <w:rPr>
          <w:b/>
          <w:lang w:val="fr-FR"/>
        </w:rPr>
        <w:t> </w:t>
      </w:r>
      <w:r w:rsidRPr="002009D7">
        <w:rPr>
          <w:b/>
          <w:lang w:val="fr-FR"/>
        </w:rPr>
        <w:t>: GUINÉE (LA)</w:t>
      </w:r>
    </w:p>
    <w:p w14:paraId="5EECA458" w14:textId="77777777" w:rsidR="0036434B" w:rsidRPr="002009D7" w:rsidRDefault="0036434B">
      <w:pPr>
        <w:jc w:val="center"/>
        <w:rPr>
          <w:lang w:val="fr-FR"/>
        </w:rPr>
      </w:pPr>
    </w:p>
    <w:p w14:paraId="3DFDF699" w14:textId="77777777" w:rsidR="00441083" w:rsidRPr="002009D7" w:rsidRDefault="00441083">
      <w:pPr>
        <w:jc w:val="center"/>
        <w:rPr>
          <w:lang w:val="fr-FR"/>
        </w:rPr>
      </w:pPr>
    </w:p>
    <w:p w14:paraId="52EA32E8" w14:textId="77777777" w:rsidR="00441083" w:rsidRPr="002009D7" w:rsidRDefault="00441083">
      <w:pPr>
        <w:jc w:val="center"/>
        <w:rPr>
          <w:lang w:val="fr-FR"/>
        </w:rPr>
      </w:pPr>
    </w:p>
    <w:p w14:paraId="7DAFDAA0" w14:textId="77777777" w:rsidR="00480052" w:rsidRPr="002009D7" w:rsidRDefault="00480052" w:rsidP="00480052">
      <w:pPr>
        <w:ind w:firstLine="720"/>
        <w:rPr>
          <w:lang w:val="fr-FR"/>
        </w:rPr>
      </w:pPr>
      <w:r w:rsidRPr="002009D7">
        <w:rPr>
          <w:lang w:val="fr-FR"/>
        </w:rPr>
        <w:t>Le présent document contient les observations et la recommandation du Secrétariat du Fonds sur la proposition de projet suivante</w:t>
      </w:r>
      <w:r w:rsidR="004A3B9C">
        <w:rPr>
          <w:lang w:val="fr-FR"/>
        </w:rPr>
        <w:t> </w:t>
      </w:r>
      <w:r w:rsidRPr="002009D7">
        <w:rPr>
          <w:lang w:val="fr-FR"/>
        </w:rPr>
        <w:t xml:space="preserve">: </w:t>
      </w:r>
    </w:p>
    <w:p w14:paraId="5E631EFD" w14:textId="77777777" w:rsidR="00480052" w:rsidRPr="002009D7" w:rsidRDefault="00480052" w:rsidP="00480052">
      <w:pPr>
        <w:rPr>
          <w:lang w:val="fr-FR"/>
        </w:rPr>
      </w:pPr>
    </w:p>
    <w:p w14:paraId="1BA8BB49" w14:textId="77777777" w:rsidR="00480052" w:rsidRPr="002009D7" w:rsidRDefault="00480052" w:rsidP="00480052">
      <w:pPr>
        <w:rPr>
          <w:u w:val="single"/>
          <w:lang w:val="fr-FR"/>
        </w:rPr>
      </w:pPr>
      <w:r w:rsidRPr="002009D7">
        <w:rPr>
          <w:u w:val="single"/>
          <w:lang w:val="fr-FR"/>
        </w:rPr>
        <w:t>Élimination</w:t>
      </w:r>
    </w:p>
    <w:p w14:paraId="33259E29" w14:textId="77777777" w:rsidR="00480052" w:rsidRPr="002009D7" w:rsidRDefault="00480052" w:rsidP="00480052">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480052" w:rsidRPr="002009D7" w14:paraId="385800CB" w14:textId="77777777" w:rsidTr="00BB1DAF">
        <w:tc>
          <w:tcPr>
            <w:tcW w:w="6941" w:type="dxa"/>
          </w:tcPr>
          <w:p w14:paraId="45315F0A" w14:textId="77777777" w:rsidR="00480052" w:rsidRPr="002009D7" w:rsidRDefault="00480052" w:rsidP="00480052">
            <w:pPr>
              <w:pStyle w:val="ListParagraph"/>
              <w:numPr>
                <w:ilvl w:val="0"/>
                <w:numId w:val="24"/>
              </w:numPr>
              <w:ind w:hanging="830"/>
            </w:pPr>
            <w:r w:rsidRPr="002009D7">
              <w:t>Plan de gestion de l’élimination des HCFC (phase I, troisième et quatrième tranches)</w:t>
            </w:r>
          </w:p>
        </w:tc>
        <w:tc>
          <w:tcPr>
            <w:tcW w:w="2409" w:type="dxa"/>
          </w:tcPr>
          <w:p w14:paraId="1217DBCD" w14:textId="77777777" w:rsidR="00480052" w:rsidRPr="002009D7" w:rsidRDefault="00480052" w:rsidP="00BB1DAF">
            <w:pPr>
              <w:jc w:val="right"/>
              <w:rPr>
                <w:lang w:val="fr-FR"/>
              </w:rPr>
            </w:pPr>
            <w:r w:rsidRPr="002009D7">
              <w:rPr>
                <w:lang w:val="fr-FR"/>
              </w:rPr>
              <w:t>PNUE et ONUDI</w:t>
            </w:r>
          </w:p>
        </w:tc>
      </w:tr>
    </w:tbl>
    <w:p w14:paraId="232343DD" w14:textId="77777777" w:rsidR="00C27322" w:rsidRPr="002009D7" w:rsidRDefault="00C27322" w:rsidP="00C27322">
      <w:pPr>
        <w:pStyle w:val="StyleHeading1Para1Heading1CharHeading1Char3CharHeadin"/>
        <w:rPr>
          <w:lang w:val="fr-FR"/>
        </w:rPr>
      </w:pPr>
    </w:p>
    <w:p w14:paraId="1AEF4024" w14:textId="77777777" w:rsidR="00480052" w:rsidRPr="002009D7" w:rsidRDefault="00480052" w:rsidP="00C27322">
      <w:pPr>
        <w:pStyle w:val="StyleHeading1Para1Heading1CharHeading1Char3CharHeadin"/>
        <w:rPr>
          <w:lang w:val="fr-FR"/>
        </w:rPr>
      </w:pPr>
    </w:p>
    <w:p w14:paraId="677C6A29" w14:textId="77777777" w:rsidR="00480052" w:rsidRPr="002009D7" w:rsidRDefault="00480052" w:rsidP="00C27322">
      <w:pPr>
        <w:pStyle w:val="StyleHeading1Para1Heading1CharHeading1Char3CharHeadin"/>
        <w:rPr>
          <w:lang w:val="fr-FR"/>
        </w:rPr>
      </w:pPr>
    </w:p>
    <w:p w14:paraId="2B0192DE" w14:textId="77777777" w:rsidR="00480052" w:rsidRPr="002009D7" w:rsidRDefault="00480052" w:rsidP="00C27322">
      <w:pPr>
        <w:pStyle w:val="StyleHeading1Para1Heading1CharHeading1Char3CharHeadin"/>
        <w:rPr>
          <w:lang w:val="fr-FR"/>
        </w:rPr>
      </w:pPr>
    </w:p>
    <w:p w14:paraId="2CE18606" w14:textId="77777777" w:rsidR="00C27322" w:rsidRPr="002009D7" w:rsidRDefault="00C27322" w:rsidP="00C27322">
      <w:pPr>
        <w:pStyle w:val="StyleHeading1Para1Heading1CharHeading1Char3CharHeadin"/>
        <w:rPr>
          <w:lang w:val="fr-FR"/>
        </w:rPr>
      </w:pPr>
    </w:p>
    <w:p w14:paraId="62DF706A" w14:textId="77777777" w:rsidR="00C27322" w:rsidRPr="002009D7" w:rsidRDefault="00C27322" w:rsidP="00C27322">
      <w:pPr>
        <w:pStyle w:val="StyleHeading1Para1Heading1CharHeading1Char3CharHeadin"/>
        <w:rPr>
          <w:lang w:val="fr-FR"/>
        </w:rPr>
      </w:pPr>
    </w:p>
    <w:p w14:paraId="30E8835A" w14:textId="1C8214CD" w:rsidR="00C27322" w:rsidRDefault="00C27322" w:rsidP="00C27322">
      <w:pPr>
        <w:pStyle w:val="StyleHeading1Para1Heading1CharHeading1Char3CharHeadin"/>
        <w:rPr>
          <w:lang w:val="fr-FR"/>
        </w:rPr>
      </w:pPr>
    </w:p>
    <w:p w14:paraId="4564C9E0" w14:textId="77777777" w:rsidR="00202DEB" w:rsidRPr="002009D7" w:rsidRDefault="00202DEB" w:rsidP="00C27322">
      <w:pPr>
        <w:pStyle w:val="StyleHeading1Para1Heading1CharHeading1Char3CharHeadin"/>
        <w:rPr>
          <w:lang w:val="fr-FR"/>
        </w:rPr>
      </w:pPr>
    </w:p>
    <w:p w14:paraId="6EEAE7A7" w14:textId="44C5D58C" w:rsidR="00FB51B8" w:rsidRDefault="00C27322" w:rsidP="00C27322">
      <w:pPr>
        <w:pStyle w:val="StyleHeader4Para4Left0Firstline0"/>
        <w:numPr>
          <w:ilvl w:val="0"/>
          <w:numId w:val="0"/>
        </w:numPr>
        <w:ind w:left="360"/>
        <w:rPr>
          <w:lang w:val="fr-FR"/>
        </w:rPr>
        <w:sectPr w:rsidR="00FB51B8">
          <w:headerReference w:type="even" r:id="rId10"/>
          <w:footerReference w:type="even" r:id="rId11"/>
          <w:footerReference w:type="default" r:id="rId12"/>
          <w:footerReference w:type="first" r:id="rId13"/>
          <w:pgSz w:w="12240" w:h="15840" w:code="1"/>
          <w:pgMar w:top="720" w:right="1440" w:bottom="864" w:left="1440" w:header="720" w:footer="475" w:gutter="0"/>
          <w:pgNumType w:start="1"/>
          <w:cols w:space="720"/>
          <w:titlePg/>
        </w:sectPr>
      </w:pPr>
      <w:r w:rsidRPr="002009D7">
        <w:rPr>
          <w:lang w:val="fr-FR"/>
        </w:rPr>
        <w:t xml:space="preserve">* </w:t>
      </w:r>
      <w:r w:rsidR="004A3B9C">
        <w:rPr>
          <w:lang w:val="fr-FR"/>
        </w:rPr>
        <w:t>À</w:t>
      </w:r>
      <w:r w:rsidRPr="002009D7">
        <w:rPr>
          <w:lang w:val="fr-FR"/>
        </w:rPr>
        <w:t xml:space="preserve"> cause du coronavirus (COVID-19)</w:t>
      </w:r>
    </w:p>
    <w:p w14:paraId="26275030" w14:textId="77777777" w:rsidR="00480052" w:rsidRPr="002009D7" w:rsidRDefault="00480052" w:rsidP="00FB51B8">
      <w:pPr>
        <w:jc w:val="center"/>
        <w:rPr>
          <w:b/>
          <w:lang w:val="fr-FR"/>
        </w:rPr>
      </w:pPr>
      <w:r w:rsidRPr="002009D7">
        <w:rPr>
          <w:b/>
          <w:lang w:val="fr-FR"/>
        </w:rPr>
        <w:lastRenderedPageBreak/>
        <w:t>FICHE D’ÉVALUATION DE PROJET – PROJETS PLURIANNUELS</w:t>
      </w:r>
    </w:p>
    <w:p w14:paraId="4D3C0F96" w14:textId="77777777" w:rsidR="00480052" w:rsidRPr="002009D7" w:rsidRDefault="00480052" w:rsidP="00480052">
      <w:pPr>
        <w:jc w:val="center"/>
        <w:rPr>
          <w:lang w:val="fr-FR"/>
        </w:rPr>
      </w:pPr>
    </w:p>
    <w:p w14:paraId="142ED8A5" w14:textId="77777777" w:rsidR="00480052" w:rsidRPr="002009D7" w:rsidRDefault="00480052" w:rsidP="00480052">
      <w:pPr>
        <w:jc w:val="center"/>
        <w:rPr>
          <w:b/>
          <w:lang w:val="fr-FR"/>
        </w:rPr>
      </w:pPr>
      <w:r w:rsidRPr="002009D7">
        <w:rPr>
          <w:b/>
          <w:lang w:val="fr-FR"/>
        </w:rPr>
        <w:t>Guinée (la)</w:t>
      </w:r>
    </w:p>
    <w:p w14:paraId="6439DBAD" w14:textId="77777777" w:rsidR="00480052" w:rsidRPr="00202DEB" w:rsidRDefault="00480052" w:rsidP="00480052">
      <w:pPr>
        <w:jc w:val="center"/>
        <w:rPr>
          <w:b/>
          <w:sz w:val="16"/>
          <w:szCs w:val="16"/>
          <w:lang w:val="fr-FR"/>
        </w:rPr>
      </w:pPr>
    </w:p>
    <w:tbl>
      <w:tblPr>
        <w:tblStyle w:val="TableGrid"/>
        <w:tblW w:w="10271" w:type="dxa"/>
        <w:tblInd w:w="-14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77"/>
        <w:gridCol w:w="2530"/>
        <w:gridCol w:w="2532"/>
        <w:gridCol w:w="2532"/>
      </w:tblGrid>
      <w:tr w:rsidR="00480052" w:rsidRPr="002009D7" w14:paraId="013BF34E" w14:textId="77777777" w:rsidTr="00BB1DAF">
        <w:trPr>
          <w:trHeight w:val="270"/>
        </w:trPr>
        <w:tc>
          <w:tcPr>
            <w:tcW w:w="2677" w:type="dxa"/>
            <w:shd w:val="clear" w:color="auto" w:fill="auto"/>
          </w:tcPr>
          <w:p w14:paraId="1AAD5C5C" w14:textId="77777777" w:rsidR="00480052" w:rsidRPr="002009D7" w:rsidRDefault="00480052" w:rsidP="00BB1DAF">
            <w:pPr>
              <w:pStyle w:val="Title1"/>
              <w:spacing w:after="80"/>
              <w:jc w:val="left"/>
              <w:rPr>
                <w:sz w:val="16"/>
                <w:szCs w:val="16"/>
                <w:lang w:val="fr-FR"/>
              </w:rPr>
            </w:pPr>
            <w:r w:rsidRPr="002009D7">
              <w:rPr>
                <w:sz w:val="16"/>
                <w:szCs w:val="16"/>
                <w:lang w:val="fr-FR"/>
              </w:rPr>
              <w:t>(I) TITRE DU PROJET</w:t>
            </w:r>
          </w:p>
        </w:tc>
        <w:tc>
          <w:tcPr>
            <w:tcW w:w="2530" w:type="dxa"/>
            <w:shd w:val="clear" w:color="auto" w:fill="auto"/>
          </w:tcPr>
          <w:p w14:paraId="07BCE71A" w14:textId="77777777" w:rsidR="00480052" w:rsidRPr="002009D7" w:rsidRDefault="00480052" w:rsidP="00BB1DAF">
            <w:pPr>
              <w:pStyle w:val="Title1"/>
              <w:spacing w:after="80"/>
              <w:rPr>
                <w:sz w:val="16"/>
                <w:szCs w:val="16"/>
                <w:lang w:val="fr-FR"/>
              </w:rPr>
            </w:pPr>
            <w:r w:rsidRPr="002009D7">
              <w:rPr>
                <w:sz w:val="16"/>
                <w:szCs w:val="16"/>
                <w:lang w:val="fr-FR"/>
              </w:rPr>
              <w:t>AGENCE</w:t>
            </w:r>
          </w:p>
        </w:tc>
        <w:tc>
          <w:tcPr>
            <w:tcW w:w="2532" w:type="dxa"/>
            <w:shd w:val="clear" w:color="auto" w:fill="auto"/>
          </w:tcPr>
          <w:p w14:paraId="74FA9454" w14:textId="77777777" w:rsidR="00480052" w:rsidRPr="002009D7" w:rsidRDefault="00480052" w:rsidP="00BB1DAF">
            <w:pPr>
              <w:pStyle w:val="Title1"/>
              <w:spacing w:after="80"/>
              <w:rPr>
                <w:sz w:val="16"/>
                <w:szCs w:val="16"/>
                <w:lang w:val="fr-FR"/>
              </w:rPr>
            </w:pPr>
            <w:r w:rsidRPr="002009D7">
              <w:rPr>
                <w:sz w:val="16"/>
                <w:szCs w:val="16"/>
                <w:lang w:val="fr-FR"/>
              </w:rPr>
              <w:t>RÉUNION APPROUVÉE</w:t>
            </w:r>
          </w:p>
        </w:tc>
        <w:tc>
          <w:tcPr>
            <w:tcW w:w="2532" w:type="dxa"/>
            <w:shd w:val="clear" w:color="auto" w:fill="auto"/>
          </w:tcPr>
          <w:p w14:paraId="4C194A15" w14:textId="77777777" w:rsidR="00480052" w:rsidRPr="002009D7" w:rsidRDefault="00480052" w:rsidP="00BB1DAF">
            <w:pPr>
              <w:pStyle w:val="Title1"/>
              <w:spacing w:after="80"/>
              <w:rPr>
                <w:sz w:val="16"/>
                <w:szCs w:val="16"/>
                <w:lang w:val="fr-FR"/>
              </w:rPr>
            </w:pPr>
            <w:r w:rsidRPr="002009D7">
              <w:rPr>
                <w:sz w:val="16"/>
                <w:szCs w:val="16"/>
                <w:lang w:val="fr-FR"/>
              </w:rPr>
              <w:t>MESURE DE CONTRÔLE</w:t>
            </w:r>
          </w:p>
        </w:tc>
      </w:tr>
      <w:tr w:rsidR="00480052" w:rsidRPr="002009D7" w14:paraId="46A421E2" w14:textId="77777777" w:rsidTr="00BB1DAF">
        <w:trPr>
          <w:trHeight w:val="270"/>
        </w:trPr>
        <w:tc>
          <w:tcPr>
            <w:tcW w:w="2677" w:type="dxa"/>
            <w:shd w:val="clear" w:color="auto" w:fill="auto"/>
          </w:tcPr>
          <w:p w14:paraId="73F1AB7C" w14:textId="77777777" w:rsidR="00480052" w:rsidRPr="002009D7" w:rsidRDefault="00480052" w:rsidP="00BB1DAF">
            <w:pPr>
              <w:pStyle w:val="Title1"/>
              <w:spacing w:after="80"/>
              <w:rPr>
                <w:b w:val="0"/>
                <w:sz w:val="16"/>
                <w:szCs w:val="16"/>
                <w:lang w:val="fr-FR"/>
              </w:rPr>
            </w:pPr>
            <w:r w:rsidRPr="002009D7">
              <w:rPr>
                <w:b w:val="0"/>
                <w:sz w:val="16"/>
                <w:szCs w:val="16"/>
                <w:lang w:val="fr-FR"/>
              </w:rPr>
              <w:t>Plan d’</w:t>
            </w:r>
            <w:r w:rsidR="004A3B9C">
              <w:rPr>
                <w:b w:val="0"/>
                <w:sz w:val="16"/>
                <w:szCs w:val="16"/>
                <w:lang w:val="fr-FR"/>
              </w:rPr>
              <w:t>É</w:t>
            </w:r>
            <w:r w:rsidRPr="002009D7">
              <w:rPr>
                <w:b w:val="0"/>
                <w:sz w:val="16"/>
                <w:szCs w:val="16"/>
                <w:lang w:val="fr-FR"/>
              </w:rPr>
              <w:t xml:space="preserve">limination des HCFC </w:t>
            </w:r>
            <w:r w:rsidRPr="002009D7">
              <w:rPr>
                <w:b w:val="0"/>
                <w:caps w:val="0"/>
                <w:sz w:val="16"/>
                <w:szCs w:val="16"/>
                <w:lang w:val="fr-FR"/>
              </w:rPr>
              <w:t>(Phase I)</w:t>
            </w:r>
          </w:p>
        </w:tc>
        <w:tc>
          <w:tcPr>
            <w:tcW w:w="2530" w:type="dxa"/>
            <w:shd w:val="clear" w:color="auto" w:fill="auto"/>
          </w:tcPr>
          <w:p w14:paraId="194C9E13" w14:textId="77777777" w:rsidR="00480052" w:rsidRPr="002009D7" w:rsidRDefault="00480052" w:rsidP="00BB1DAF">
            <w:pPr>
              <w:pStyle w:val="Title1"/>
              <w:spacing w:after="80"/>
              <w:rPr>
                <w:b w:val="0"/>
                <w:sz w:val="16"/>
                <w:szCs w:val="16"/>
                <w:lang w:val="fr-FR"/>
              </w:rPr>
            </w:pPr>
            <w:r w:rsidRPr="002009D7">
              <w:rPr>
                <w:b w:val="0"/>
                <w:sz w:val="16"/>
                <w:szCs w:val="16"/>
                <w:lang w:val="fr-FR"/>
              </w:rPr>
              <w:t>PNUE (principale), ONUDI</w:t>
            </w:r>
          </w:p>
        </w:tc>
        <w:tc>
          <w:tcPr>
            <w:tcW w:w="2532" w:type="dxa"/>
            <w:shd w:val="clear" w:color="auto" w:fill="auto"/>
          </w:tcPr>
          <w:p w14:paraId="2B58FED1" w14:textId="5135A32E" w:rsidR="00480052" w:rsidRPr="002009D7" w:rsidRDefault="00480052" w:rsidP="00BB1DAF">
            <w:pPr>
              <w:pStyle w:val="Title1"/>
              <w:spacing w:after="80"/>
              <w:rPr>
                <w:b w:val="0"/>
                <w:sz w:val="16"/>
                <w:szCs w:val="16"/>
                <w:lang w:val="fr-FR"/>
              </w:rPr>
            </w:pPr>
            <w:r w:rsidRPr="002009D7">
              <w:rPr>
                <w:b w:val="0"/>
                <w:sz w:val="16"/>
                <w:szCs w:val="16"/>
                <w:lang w:val="fr-FR"/>
              </w:rPr>
              <w:t>66</w:t>
            </w:r>
            <w:r w:rsidR="00BB1DAF" w:rsidRPr="00BB1DAF">
              <w:rPr>
                <w:b w:val="0"/>
                <w:sz w:val="16"/>
                <w:szCs w:val="16"/>
                <w:vertAlign w:val="superscript"/>
                <w:lang w:val="fr-FR"/>
              </w:rPr>
              <w:t>e</w:t>
            </w:r>
            <w:r w:rsidRPr="002009D7">
              <w:rPr>
                <w:b w:val="0"/>
                <w:sz w:val="16"/>
                <w:szCs w:val="16"/>
                <w:lang w:val="fr-FR"/>
              </w:rPr>
              <w:t xml:space="preserve"> </w:t>
            </w:r>
          </w:p>
        </w:tc>
        <w:tc>
          <w:tcPr>
            <w:tcW w:w="2532" w:type="dxa"/>
            <w:shd w:val="clear" w:color="auto" w:fill="auto"/>
          </w:tcPr>
          <w:p w14:paraId="10346F72" w14:textId="77777777" w:rsidR="00480052" w:rsidRPr="002009D7" w:rsidRDefault="00480052" w:rsidP="00BB1DAF">
            <w:pPr>
              <w:pStyle w:val="Title1"/>
              <w:spacing w:after="80"/>
              <w:rPr>
                <w:b w:val="0"/>
                <w:sz w:val="16"/>
                <w:szCs w:val="16"/>
                <w:lang w:val="fr-FR"/>
              </w:rPr>
            </w:pPr>
            <w:r w:rsidRPr="002009D7">
              <w:rPr>
                <w:b w:val="0"/>
                <w:sz w:val="16"/>
                <w:szCs w:val="16"/>
                <w:lang w:val="fr-FR"/>
              </w:rPr>
              <w:t>35</w:t>
            </w:r>
            <w:r w:rsidR="004A3B9C">
              <w:rPr>
                <w:b w:val="0"/>
                <w:sz w:val="16"/>
                <w:szCs w:val="16"/>
                <w:lang w:val="fr-FR"/>
              </w:rPr>
              <w:t> </w:t>
            </w:r>
            <w:r w:rsidRPr="002009D7">
              <w:rPr>
                <w:b w:val="0"/>
                <w:sz w:val="16"/>
                <w:szCs w:val="16"/>
                <w:lang w:val="fr-FR"/>
              </w:rPr>
              <w:t>% d’ici 2020</w:t>
            </w:r>
          </w:p>
        </w:tc>
      </w:tr>
    </w:tbl>
    <w:p w14:paraId="21B4C128" w14:textId="77777777" w:rsidR="00480052" w:rsidRPr="00202DEB" w:rsidRDefault="00480052" w:rsidP="00480052">
      <w:pPr>
        <w:pStyle w:val="Title1"/>
        <w:spacing w:after="60"/>
        <w:rPr>
          <w:sz w:val="16"/>
          <w:szCs w:val="16"/>
          <w:lang w:val="fr-FR"/>
        </w:rPr>
      </w:pPr>
    </w:p>
    <w:tbl>
      <w:tblPr>
        <w:tblStyle w:val="TableGrid"/>
        <w:tblW w:w="10284" w:type="dxa"/>
        <w:tblInd w:w="-14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418"/>
        <w:gridCol w:w="2433"/>
        <w:gridCol w:w="2433"/>
      </w:tblGrid>
      <w:tr w:rsidR="00480052" w:rsidRPr="002009D7" w14:paraId="40B21F99" w14:textId="77777777" w:rsidTr="00BB1DAF">
        <w:trPr>
          <w:trHeight w:val="333"/>
        </w:trPr>
        <w:tc>
          <w:tcPr>
            <w:tcW w:w="5418" w:type="dxa"/>
            <w:shd w:val="clear" w:color="auto" w:fill="auto"/>
          </w:tcPr>
          <w:p w14:paraId="2E62DE25" w14:textId="77777777" w:rsidR="00480052" w:rsidRPr="002009D7" w:rsidRDefault="00480052" w:rsidP="00BB1DAF">
            <w:pPr>
              <w:pStyle w:val="Title1"/>
              <w:spacing w:after="60"/>
              <w:jc w:val="left"/>
              <w:rPr>
                <w:sz w:val="16"/>
                <w:szCs w:val="16"/>
                <w:lang w:val="fr-FR"/>
              </w:rPr>
            </w:pPr>
            <w:r w:rsidRPr="002009D7">
              <w:rPr>
                <w:sz w:val="16"/>
                <w:szCs w:val="16"/>
                <w:lang w:val="fr-FR"/>
              </w:rPr>
              <w:t>(II) DERNIÈRES DONNÉES DE L’ARTICLE 7 (Annexe C Groupe l)</w:t>
            </w:r>
          </w:p>
        </w:tc>
        <w:tc>
          <w:tcPr>
            <w:tcW w:w="2433" w:type="dxa"/>
            <w:shd w:val="clear" w:color="auto" w:fill="auto"/>
          </w:tcPr>
          <w:p w14:paraId="21F0F747" w14:textId="77777777" w:rsidR="00480052" w:rsidRPr="002009D7" w:rsidRDefault="00480052" w:rsidP="00BB1DAF">
            <w:pPr>
              <w:pStyle w:val="Title1"/>
              <w:spacing w:after="60"/>
              <w:rPr>
                <w:b w:val="0"/>
                <w:sz w:val="16"/>
                <w:szCs w:val="16"/>
                <w:lang w:val="fr-FR"/>
              </w:rPr>
            </w:pPr>
            <w:r w:rsidRPr="002009D7">
              <w:rPr>
                <w:b w:val="0"/>
                <w:sz w:val="16"/>
                <w:szCs w:val="16"/>
                <w:lang w:val="fr-FR"/>
              </w:rPr>
              <w:t>Ann</w:t>
            </w:r>
            <w:r w:rsidR="004A3B9C">
              <w:rPr>
                <w:b w:val="0"/>
                <w:sz w:val="16"/>
                <w:szCs w:val="16"/>
                <w:lang w:val="fr-FR"/>
              </w:rPr>
              <w:t>ÉE </w:t>
            </w:r>
            <w:r w:rsidRPr="002009D7">
              <w:rPr>
                <w:b w:val="0"/>
                <w:sz w:val="16"/>
                <w:szCs w:val="16"/>
                <w:lang w:val="fr-FR"/>
              </w:rPr>
              <w:t>: 2019</w:t>
            </w:r>
          </w:p>
        </w:tc>
        <w:tc>
          <w:tcPr>
            <w:tcW w:w="2433" w:type="dxa"/>
            <w:shd w:val="clear" w:color="auto" w:fill="auto"/>
          </w:tcPr>
          <w:p w14:paraId="344B1D5C"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1,93 (tonnes PAO)</w:t>
            </w:r>
          </w:p>
        </w:tc>
      </w:tr>
    </w:tbl>
    <w:p w14:paraId="0C730DDF" w14:textId="77777777" w:rsidR="00480052" w:rsidRPr="00202DEB" w:rsidRDefault="00480052" w:rsidP="00480052">
      <w:pPr>
        <w:pStyle w:val="Title1"/>
        <w:spacing w:after="60"/>
        <w:rPr>
          <w:sz w:val="16"/>
          <w:szCs w:val="16"/>
          <w:lang w:val="fr-FR"/>
        </w:rPr>
      </w:pPr>
    </w:p>
    <w:tbl>
      <w:tblPr>
        <w:tblStyle w:val="TableGrid"/>
        <w:tblW w:w="10297" w:type="dxa"/>
        <w:tblInd w:w="-14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214"/>
        <w:gridCol w:w="960"/>
        <w:gridCol w:w="803"/>
        <w:gridCol w:w="880"/>
        <w:gridCol w:w="963"/>
        <w:gridCol w:w="992"/>
        <w:gridCol w:w="851"/>
        <w:gridCol w:w="1276"/>
        <w:gridCol w:w="994"/>
        <w:gridCol w:w="1364"/>
      </w:tblGrid>
      <w:tr w:rsidR="00480052" w:rsidRPr="002009D7" w14:paraId="334B390A" w14:textId="77777777" w:rsidTr="00BB1DAF">
        <w:trPr>
          <w:trHeight w:val="219"/>
        </w:trPr>
        <w:tc>
          <w:tcPr>
            <w:tcW w:w="7939" w:type="dxa"/>
            <w:gridSpan w:val="8"/>
            <w:shd w:val="clear" w:color="auto" w:fill="auto"/>
          </w:tcPr>
          <w:p w14:paraId="34E7DCF5" w14:textId="77777777" w:rsidR="00480052" w:rsidRPr="002009D7" w:rsidRDefault="00480052" w:rsidP="00BB1DAF">
            <w:pPr>
              <w:pStyle w:val="Title1"/>
              <w:spacing w:after="60"/>
              <w:jc w:val="left"/>
              <w:rPr>
                <w:sz w:val="16"/>
                <w:szCs w:val="16"/>
                <w:lang w:val="fr-FR"/>
              </w:rPr>
            </w:pPr>
            <w:r w:rsidRPr="002009D7">
              <w:rPr>
                <w:sz w:val="16"/>
                <w:szCs w:val="16"/>
                <w:lang w:val="fr-FR"/>
              </w:rPr>
              <w:t>(III) DERNIÈRES DONNÉES SECTORIELLES DU PROGRAMME DU PAYS (tonnes PAO)</w:t>
            </w:r>
          </w:p>
        </w:tc>
        <w:tc>
          <w:tcPr>
            <w:tcW w:w="2358" w:type="dxa"/>
            <w:gridSpan w:val="2"/>
            <w:shd w:val="clear" w:color="auto" w:fill="auto"/>
          </w:tcPr>
          <w:p w14:paraId="3E147EA4" w14:textId="77777777" w:rsidR="00480052" w:rsidRPr="002009D7" w:rsidRDefault="00480052" w:rsidP="00BB1DAF">
            <w:pPr>
              <w:pStyle w:val="Title1"/>
              <w:spacing w:after="60"/>
              <w:jc w:val="right"/>
              <w:rPr>
                <w:sz w:val="16"/>
                <w:szCs w:val="16"/>
                <w:lang w:val="fr-FR"/>
              </w:rPr>
            </w:pPr>
            <w:r w:rsidRPr="002009D7">
              <w:rPr>
                <w:sz w:val="16"/>
                <w:szCs w:val="16"/>
                <w:lang w:val="fr-FR"/>
              </w:rPr>
              <w:t>Ann</w:t>
            </w:r>
            <w:r w:rsidR="004A3B9C">
              <w:rPr>
                <w:sz w:val="16"/>
                <w:szCs w:val="16"/>
                <w:lang w:val="fr-FR"/>
              </w:rPr>
              <w:t>É</w:t>
            </w:r>
            <w:r w:rsidRPr="002009D7">
              <w:rPr>
                <w:sz w:val="16"/>
                <w:szCs w:val="16"/>
                <w:lang w:val="fr-FR"/>
              </w:rPr>
              <w:t>e</w:t>
            </w:r>
            <w:r w:rsidR="004A3B9C">
              <w:rPr>
                <w:sz w:val="16"/>
                <w:szCs w:val="16"/>
                <w:lang w:val="fr-FR"/>
              </w:rPr>
              <w:t> </w:t>
            </w:r>
            <w:r w:rsidRPr="002009D7">
              <w:rPr>
                <w:sz w:val="16"/>
                <w:szCs w:val="16"/>
                <w:lang w:val="fr-FR"/>
              </w:rPr>
              <w:t>: 2019</w:t>
            </w:r>
          </w:p>
        </w:tc>
      </w:tr>
      <w:tr w:rsidR="00480052" w:rsidRPr="00DE2412" w14:paraId="59A98BFF" w14:textId="77777777" w:rsidTr="00BB1DAF">
        <w:trPr>
          <w:trHeight w:val="219"/>
        </w:trPr>
        <w:tc>
          <w:tcPr>
            <w:tcW w:w="1214" w:type="dxa"/>
            <w:shd w:val="clear" w:color="auto" w:fill="auto"/>
          </w:tcPr>
          <w:p w14:paraId="67D7F7D7"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Produits chimiques</w:t>
            </w:r>
          </w:p>
        </w:tc>
        <w:tc>
          <w:tcPr>
            <w:tcW w:w="960" w:type="dxa"/>
            <w:shd w:val="clear" w:color="auto" w:fill="auto"/>
          </w:tcPr>
          <w:p w14:paraId="634BF0AF"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Aérosol</w:t>
            </w:r>
          </w:p>
        </w:tc>
        <w:tc>
          <w:tcPr>
            <w:tcW w:w="803" w:type="dxa"/>
            <w:shd w:val="clear" w:color="auto" w:fill="auto"/>
          </w:tcPr>
          <w:p w14:paraId="735D53E5"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Mousse</w:t>
            </w:r>
          </w:p>
        </w:tc>
        <w:tc>
          <w:tcPr>
            <w:tcW w:w="880" w:type="dxa"/>
            <w:shd w:val="clear" w:color="auto" w:fill="auto"/>
          </w:tcPr>
          <w:p w14:paraId="5E686EBA"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Lutte contre l’incendie</w:t>
            </w:r>
          </w:p>
        </w:tc>
        <w:tc>
          <w:tcPr>
            <w:tcW w:w="1955" w:type="dxa"/>
            <w:gridSpan w:val="2"/>
            <w:shd w:val="clear" w:color="auto" w:fill="auto"/>
          </w:tcPr>
          <w:p w14:paraId="676CBD32"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Réfrigération</w:t>
            </w:r>
          </w:p>
        </w:tc>
        <w:tc>
          <w:tcPr>
            <w:tcW w:w="851" w:type="dxa"/>
            <w:shd w:val="clear" w:color="auto" w:fill="auto"/>
          </w:tcPr>
          <w:p w14:paraId="51A30905"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Solvant</w:t>
            </w:r>
          </w:p>
        </w:tc>
        <w:tc>
          <w:tcPr>
            <w:tcW w:w="1276" w:type="dxa"/>
            <w:shd w:val="clear" w:color="auto" w:fill="auto"/>
          </w:tcPr>
          <w:p w14:paraId="769DE732"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Agent de transformation</w:t>
            </w:r>
          </w:p>
        </w:tc>
        <w:tc>
          <w:tcPr>
            <w:tcW w:w="994" w:type="dxa"/>
            <w:shd w:val="clear" w:color="auto" w:fill="auto"/>
          </w:tcPr>
          <w:p w14:paraId="22BB55F6"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Utilisation en laboratoire</w:t>
            </w:r>
          </w:p>
        </w:tc>
        <w:tc>
          <w:tcPr>
            <w:tcW w:w="1364" w:type="dxa"/>
            <w:shd w:val="clear" w:color="auto" w:fill="auto"/>
          </w:tcPr>
          <w:p w14:paraId="07DD8E52"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Consommation totale pour le secteur</w:t>
            </w:r>
          </w:p>
        </w:tc>
      </w:tr>
      <w:tr w:rsidR="00480052" w:rsidRPr="002009D7" w14:paraId="54F7E108" w14:textId="77777777" w:rsidTr="00BB1DAF">
        <w:trPr>
          <w:trHeight w:val="219"/>
        </w:trPr>
        <w:tc>
          <w:tcPr>
            <w:tcW w:w="3857" w:type="dxa"/>
            <w:gridSpan w:val="4"/>
            <w:shd w:val="clear" w:color="auto" w:fill="auto"/>
          </w:tcPr>
          <w:p w14:paraId="586C95EB"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 xml:space="preserve"> </w:t>
            </w:r>
          </w:p>
        </w:tc>
        <w:tc>
          <w:tcPr>
            <w:tcW w:w="963" w:type="dxa"/>
            <w:shd w:val="clear" w:color="auto" w:fill="auto"/>
          </w:tcPr>
          <w:p w14:paraId="58C041DE"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Fabrication</w:t>
            </w:r>
          </w:p>
        </w:tc>
        <w:tc>
          <w:tcPr>
            <w:tcW w:w="992" w:type="dxa"/>
            <w:shd w:val="clear" w:color="auto" w:fill="auto"/>
          </w:tcPr>
          <w:p w14:paraId="62ABD842"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Entretien</w:t>
            </w:r>
          </w:p>
        </w:tc>
        <w:tc>
          <w:tcPr>
            <w:tcW w:w="4485" w:type="dxa"/>
            <w:gridSpan w:val="4"/>
            <w:shd w:val="clear" w:color="auto" w:fill="auto"/>
          </w:tcPr>
          <w:p w14:paraId="75944A6B" w14:textId="77777777" w:rsidR="00480052" w:rsidRPr="002009D7" w:rsidRDefault="00480052" w:rsidP="00BB1DAF">
            <w:pPr>
              <w:pStyle w:val="Title1"/>
              <w:spacing w:after="60"/>
              <w:rPr>
                <w:b w:val="0"/>
                <w:sz w:val="16"/>
                <w:szCs w:val="16"/>
                <w:lang w:val="fr-FR"/>
              </w:rPr>
            </w:pPr>
          </w:p>
        </w:tc>
      </w:tr>
      <w:tr w:rsidR="00480052" w:rsidRPr="002009D7" w14:paraId="07E69180" w14:textId="77777777" w:rsidTr="00BB1DAF">
        <w:trPr>
          <w:trHeight w:val="219"/>
        </w:trPr>
        <w:tc>
          <w:tcPr>
            <w:tcW w:w="1214" w:type="dxa"/>
            <w:shd w:val="clear" w:color="auto" w:fill="auto"/>
          </w:tcPr>
          <w:p w14:paraId="4480DAFB" w14:textId="77777777" w:rsidR="00480052" w:rsidRPr="002009D7" w:rsidRDefault="00480052" w:rsidP="00BB1DAF">
            <w:pPr>
              <w:pStyle w:val="Title1"/>
              <w:spacing w:after="60"/>
              <w:jc w:val="left"/>
              <w:rPr>
                <w:b w:val="0"/>
                <w:sz w:val="16"/>
                <w:szCs w:val="16"/>
                <w:lang w:val="fr-FR"/>
              </w:rPr>
            </w:pPr>
            <w:r w:rsidRPr="002009D7">
              <w:rPr>
                <w:b w:val="0"/>
                <w:sz w:val="16"/>
                <w:szCs w:val="16"/>
                <w:lang w:val="fr-FR"/>
              </w:rPr>
              <w:t>HCFC-22</w:t>
            </w:r>
          </w:p>
        </w:tc>
        <w:tc>
          <w:tcPr>
            <w:tcW w:w="960" w:type="dxa"/>
            <w:shd w:val="clear" w:color="auto" w:fill="auto"/>
          </w:tcPr>
          <w:p w14:paraId="1E5D9851" w14:textId="77777777" w:rsidR="00480052" w:rsidRPr="002009D7" w:rsidRDefault="00480052" w:rsidP="00BB1DAF">
            <w:pPr>
              <w:pStyle w:val="Title1"/>
              <w:spacing w:after="60"/>
              <w:jc w:val="right"/>
              <w:rPr>
                <w:sz w:val="16"/>
                <w:szCs w:val="16"/>
                <w:lang w:val="fr-FR"/>
              </w:rPr>
            </w:pPr>
          </w:p>
        </w:tc>
        <w:tc>
          <w:tcPr>
            <w:tcW w:w="803" w:type="dxa"/>
            <w:shd w:val="clear" w:color="auto" w:fill="auto"/>
          </w:tcPr>
          <w:p w14:paraId="07A919B2" w14:textId="77777777" w:rsidR="00480052" w:rsidRPr="002009D7" w:rsidRDefault="00480052" w:rsidP="00BB1DAF">
            <w:pPr>
              <w:pStyle w:val="Title1"/>
              <w:spacing w:after="60"/>
              <w:jc w:val="right"/>
              <w:rPr>
                <w:sz w:val="16"/>
                <w:szCs w:val="16"/>
                <w:lang w:val="fr-FR"/>
              </w:rPr>
            </w:pPr>
          </w:p>
        </w:tc>
        <w:tc>
          <w:tcPr>
            <w:tcW w:w="880" w:type="dxa"/>
            <w:shd w:val="clear" w:color="auto" w:fill="auto"/>
          </w:tcPr>
          <w:p w14:paraId="7D4B72F7" w14:textId="77777777" w:rsidR="00480052" w:rsidRPr="002009D7" w:rsidRDefault="00480052" w:rsidP="00BB1DAF">
            <w:pPr>
              <w:pStyle w:val="Title1"/>
              <w:spacing w:after="60"/>
              <w:jc w:val="right"/>
              <w:rPr>
                <w:sz w:val="16"/>
                <w:szCs w:val="16"/>
                <w:lang w:val="fr-FR"/>
              </w:rPr>
            </w:pPr>
          </w:p>
        </w:tc>
        <w:tc>
          <w:tcPr>
            <w:tcW w:w="963" w:type="dxa"/>
            <w:shd w:val="clear" w:color="auto" w:fill="auto"/>
          </w:tcPr>
          <w:p w14:paraId="52865B80" w14:textId="77777777" w:rsidR="00480052" w:rsidRPr="002009D7" w:rsidRDefault="00480052" w:rsidP="00BB1DAF">
            <w:pPr>
              <w:pStyle w:val="Title1"/>
              <w:spacing w:after="60"/>
              <w:jc w:val="right"/>
              <w:rPr>
                <w:sz w:val="16"/>
                <w:szCs w:val="16"/>
                <w:lang w:val="fr-FR"/>
              </w:rPr>
            </w:pPr>
          </w:p>
        </w:tc>
        <w:tc>
          <w:tcPr>
            <w:tcW w:w="992" w:type="dxa"/>
            <w:shd w:val="clear" w:color="auto" w:fill="auto"/>
          </w:tcPr>
          <w:p w14:paraId="07711B64" w14:textId="77777777" w:rsidR="00480052" w:rsidRPr="002009D7" w:rsidRDefault="00480052" w:rsidP="00BB1DAF">
            <w:pPr>
              <w:pStyle w:val="Title1"/>
              <w:spacing w:after="60"/>
              <w:jc w:val="right"/>
              <w:rPr>
                <w:b w:val="0"/>
                <w:sz w:val="16"/>
                <w:szCs w:val="16"/>
                <w:lang w:val="fr-FR"/>
              </w:rPr>
            </w:pPr>
            <w:r w:rsidRPr="002009D7">
              <w:rPr>
                <w:b w:val="0"/>
                <w:sz w:val="18"/>
                <w:lang w:val="fr-FR"/>
              </w:rPr>
              <w:t>1,93</w:t>
            </w:r>
          </w:p>
        </w:tc>
        <w:tc>
          <w:tcPr>
            <w:tcW w:w="851" w:type="dxa"/>
            <w:shd w:val="clear" w:color="auto" w:fill="auto"/>
          </w:tcPr>
          <w:p w14:paraId="19346F4C" w14:textId="77777777" w:rsidR="00480052" w:rsidRPr="002009D7" w:rsidRDefault="00480052" w:rsidP="00BB1DAF">
            <w:pPr>
              <w:pStyle w:val="Title1"/>
              <w:spacing w:after="60"/>
              <w:jc w:val="right"/>
              <w:rPr>
                <w:b w:val="0"/>
                <w:sz w:val="16"/>
                <w:szCs w:val="16"/>
                <w:lang w:val="fr-FR"/>
              </w:rPr>
            </w:pPr>
          </w:p>
        </w:tc>
        <w:tc>
          <w:tcPr>
            <w:tcW w:w="1276" w:type="dxa"/>
            <w:shd w:val="clear" w:color="auto" w:fill="auto"/>
          </w:tcPr>
          <w:p w14:paraId="0B9E7148" w14:textId="77777777" w:rsidR="00480052" w:rsidRPr="002009D7" w:rsidRDefault="00480052" w:rsidP="00BB1DAF">
            <w:pPr>
              <w:pStyle w:val="Title1"/>
              <w:spacing w:after="60"/>
              <w:jc w:val="right"/>
              <w:rPr>
                <w:sz w:val="16"/>
                <w:szCs w:val="16"/>
                <w:lang w:val="fr-FR"/>
              </w:rPr>
            </w:pPr>
          </w:p>
        </w:tc>
        <w:tc>
          <w:tcPr>
            <w:tcW w:w="994" w:type="dxa"/>
            <w:shd w:val="clear" w:color="auto" w:fill="auto"/>
          </w:tcPr>
          <w:p w14:paraId="586C933F" w14:textId="77777777" w:rsidR="00480052" w:rsidRPr="002009D7" w:rsidRDefault="00480052" w:rsidP="00BB1DAF">
            <w:pPr>
              <w:pStyle w:val="Title1"/>
              <w:spacing w:after="60"/>
              <w:jc w:val="right"/>
              <w:rPr>
                <w:sz w:val="16"/>
                <w:szCs w:val="16"/>
                <w:lang w:val="fr-FR"/>
              </w:rPr>
            </w:pPr>
          </w:p>
        </w:tc>
        <w:tc>
          <w:tcPr>
            <w:tcW w:w="1364" w:type="dxa"/>
            <w:shd w:val="clear" w:color="auto" w:fill="auto"/>
          </w:tcPr>
          <w:p w14:paraId="5859CBA6" w14:textId="77777777" w:rsidR="00480052" w:rsidRPr="002009D7" w:rsidRDefault="00480052" w:rsidP="00BB1DAF">
            <w:pPr>
              <w:pStyle w:val="Title1"/>
              <w:spacing w:after="60"/>
              <w:jc w:val="right"/>
              <w:rPr>
                <w:b w:val="0"/>
                <w:sz w:val="16"/>
                <w:szCs w:val="16"/>
                <w:lang w:val="fr-FR"/>
              </w:rPr>
            </w:pPr>
            <w:r w:rsidRPr="002009D7">
              <w:rPr>
                <w:b w:val="0"/>
                <w:sz w:val="18"/>
                <w:lang w:val="fr-FR"/>
              </w:rPr>
              <w:t>1,93</w:t>
            </w:r>
          </w:p>
        </w:tc>
      </w:tr>
    </w:tbl>
    <w:p w14:paraId="33688815" w14:textId="77777777" w:rsidR="00480052" w:rsidRPr="00202DEB" w:rsidRDefault="00480052" w:rsidP="00480052">
      <w:pPr>
        <w:pStyle w:val="Title1"/>
        <w:spacing w:after="60"/>
        <w:rPr>
          <w:sz w:val="16"/>
          <w:szCs w:val="16"/>
          <w:lang w:val="fr-FR"/>
        </w:rPr>
      </w:pPr>
    </w:p>
    <w:tbl>
      <w:tblPr>
        <w:tblStyle w:val="TableGrid"/>
        <w:tblW w:w="10326" w:type="dxa"/>
        <w:tblInd w:w="-14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979"/>
        <w:gridCol w:w="876"/>
        <w:gridCol w:w="4772"/>
        <w:gridCol w:w="699"/>
      </w:tblGrid>
      <w:tr w:rsidR="00480052" w:rsidRPr="00DE2412" w14:paraId="51B35339" w14:textId="77777777" w:rsidTr="00BB1DAF">
        <w:trPr>
          <w:trHeight w:val="223"/>
        </w:trPr>
        <w:tc>
          <w:tcPr>
            <w:tcW w:w="10326" w:type="dxa"/>
            <w:gridSpan w:val="4"/>
            <w:shd w:val="clear" w:color="auto" w:fill="auto"/>
          </w:tcPr>
          <w:p w14:paraId="4C396A64" w14:textId="77777777" w:rsidR="00480052" w:rsidRPr="002009D7" w:rsidRDefault="00480052" w:rsidP="00BB1DAF">
            <w:pPr>
              <w:pStyle w:val="Title1"/>
              <w:spacing w:after="60"/>
              <w:jc w:val="left"/>
              <w:rPr>
                <w:sz w:val="16"/>
                <w:szCs w:val="16"/>
                <w:lang w:val="fr-FR"/>
              </w:rPr>
            </w:pPr>
            <w:r w:rsidRPr="002009D7">
              <w:rPr>
                <w:sz w:val="16"/>
                <w:szCs w:val="16"/>
                <w:lang w:val="fr-FR"/>
              </w:rPr>
              <w:t>(IV) DONNÉES DE CONSOMMATION (tonnes PAO)</w:t>
            </w:r>
          </w:p>
        </w:tc>
      </w:tr>
      <w:tr w:rsidR="00480052" w:rsidRPr="002009D7" w14:paraId="6300E8FC" w14:textId="77777777" w:rsidTr="00BB1DAF">
        <w:trPr>
          <w:trHeight w:val="266"/>
        </w:trPr>
        <w:tc>
          <w:tcPr>
            <w:tcW w:w="2822" w:type="dxa"/>
            <w:shd w:val="clear" w:color="auto" w:fill="auto"/>
          </w:tcPr>
          <w:p w14:paraId="678C83D4"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Référence</w:t>
            </w:r>
            <w:r w:rsidR="004A3B9C">
              <w:rPr>
                <w:b w:val="0"/>
                <w:caps w:val="0"/>
                <w:sz w:val="16"/>
                <w:szCs w:val="16"/>
                <w:lang w:val="fr-FR"/>
              </w:rPr>
              <w:t> </w:t>
            </w:r>
            <w:r w:rsidRPr="002009D7">
              <w:rPr>
                <w:b w:val="0"/>
                <w:caps w:val="0"/>
                <w:sz w:val="16"/>
                <w:szCs w:val="16"/>
                <w:lang w:val="fr-FR"/>
              </w:rPr>
              <w:t>2009 – 2010</w:t>
            </w:r>
            <w:r w:rsidR="004A3B9C">
              <w:rPr>
                <w:b w:val="0"/>
                <w:caps w:val="0"/>
                <w:sz w:val="16"/>
                <w:szCs w:val="16"/>
                <w:lang w:val="fr-FR"/>
              </w:rPr>
              <w:t> </w:t>
            </w:r>
            <w:r w:rsidRPr="002009D7">
              <w:rPr>
                <w:b w:val="0"/>
                <w:caps w:val="0"/>
                <w:sz w:val="16"/>
                <w:szCs w:val="16"/>
                <w:lang w:val="fr-FR"/>
              </w:rPr>
              <w:t>:</w:t>
            </w:r>
          </w:p>
        </w:tc>
        <w:tc>
          <w:tcPr>
            <w:tcW w:w="0" w:type="auto"/>
            <w:shd w:val="clear" w:color="auto" w:fill="auto"/>
          </w:tcPr>
          <w:p w14:paraId="14AA38DB" w14:textId="77777777" w:rsidR="00480052" w:rsidRPr="002009D7" w:rsidRDefault="00480052" w:rsidP="00BB1DAF">
            <w:pPr>
              <w:pStyle w:val="Title1"/>
              <w:spacing w:after="60"/>
              <w:jc w:val="right"/>
              <w:rPr>
                <w:b w:val="0"/>
                <w:sz w:val="16"/>
                <w:szCs w:val="16"/>
                <w:lang w:val="fr-FR"/>
              </w:rPr>
            </w:pPr>
            <w:r w:rsidRPr="002009D7">
              <w:rPr>
                <w:b w:val="0"/>
                <w:color w:val="000000"/>
                <w:sz w:val="18"/>
                <w:szCs w:val="18"/>
                <w:lang w:val="fr-FR"/>
              </w:rPr>
              <w:t>22,61</w:t>
            </w:r>
          </w:p>
        </w:tc>
        <w:tc>
          <w:tcPr>
            <w:tcW w:w="0" w:type="auto"/>
            <w:shd w:val="clear" w:color="auto" w:fill="auto"/>
          </w:tcPr>
          <w:p w14:paraId="6153DF0E"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Point de départ des réductions globales durables</w:t>
            </w:r>
            <w:r w:rsidR="004A3B9C">
              <w:rPr>
                <w:b w:val="0"/>
                <w:caps w:val="0"/>
                <w:sz w:val="16"/>
                <w:szCs w:val="16"/>
                <w:lang w:val="fr-FR"/>
              </w:rPr>
              <w:t> </w:t>
            </w:r>
            <w:r w:rsidRPr="002009D7">
              <w:rPr>
                <w:b w:val="0"/>
                <w:caps w:val="0"/>
                <w:sz w:val="16"/>
                <w:szCs w:val="16"/>
                <w:lang w:val="fr-FR"/>
              </w:rPr>
              <w:t>:</w:t>
            </w:r>
          </w:p>
        </w:tc>
        <w:tc>
          <w:tcPr>
            <w:tcW w:w="0" w:type="auto"/>
            <w:shd w:val="clear" w:color="auto" w:fill="auto"/>
          </w:tcPr>
          <w:p w14:paraId="69A11073"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7,51</w:t>
            </w:r>
          </w:p>
        </w:tc>
      </w:tr>
      <w:tr w:rsidR="00480052" w:rsidRPr="00DE2412" w14:paraId="04511903" w14:textId="77777777" w:rsidTr="00BB1DAF">
        <w:trPr>
          <w:trHeight w:val="266"/>
        </w:trPr>
        <w:tc>
          <w:tcPr>
            <w:tcW w:w="10326" w:type="dxa"/>
            <w:gridSpan w:val="4"/>
            <w:shd w:val="clear" w:color="auto" w:fill="auto"/>
          </w:tcPr>
          <w:p w14:paraId="34F70A40" w14:textId="77777777" w:rsidR="00480052" w:rsidRPr="002009D7" w:rsidRDefault="00480052" w:rsidP="00BB1DAF">
            <w:pPr>
              <w:pStyle w:val="Title1"/>
              <w:spacing w:after="60"/>
              <w:rPr>
                <w:sz w:val="16"/>
                <w:szCs w:val="16"/>
                <w:lang w:val="fr-FR"/>
              </w:rPr>
            </w:pPr>
            <w:r w:rsidRPr="002009D7">
              <w:rPr>
                <w:sz w:val="16"/>
                <w:szCs w:val="16"/>
                <w:lang w:val="fr-FR"/>
              </w:rPr>
              <w:t>CONSOMMATION ADMISSIBLE AU FINANCEMENT (tonnes PAO)</w:t>
            </w:r>
          </w:p>
        </w:tc>
      </w:tr>
      <w:tr w:rsidR="00480052" w:rsidRPr="002009D7" w14:paraId="0EA02AE9" w14:textId="77777777" w:rsidTr="00BB1DAF">
        <w:trPr>
          <w:trHeight w:val="266"/>
        </w:trPr>
        <w:tc>
          <w:tcPr>
            <w:tcW w:w="2822" w:type="dxa"/>
            <w:shd w:val="clear" w:color="auto" w:fill="auto"/>
          </w:tcPr>
          <w:p w14:paraId="363940D0"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Déjà approuvée</w:t>
            </w:r>
            <w:r w:rsidR="004A3B9C">
              <w:rPr>
                <w:b w:val="0"/>
                <w:caps w:val="0"/>
                <w:sz w:val="16"/>
                <w:szCs w:val="16"/>
                <w:lang w:val="fr-FR"/>
              </w:rPr>
              <w:t> </w:t>
            </w:r>
            <w:r w:rsidRPr="002009D7">
              <w:rPr>
                <w:b w:val="0"/>
                <w:caps w:val="0"/>
                <w:sz w:val="16"/>
                <w:szCs w:val="16"/>
                <w:lang w:val="fr-FR"/>
              </w:rPr>
              <w:t>:</w:t>
            </w:r>
          </w:p>
        </w:tc>
        <w:tc>
          <w:tcPr>
            <w:tcW w:w="0" w:type="auto"/>
            <w:shd w:val="clear" w:color="auto" w:fill="auto"/>
          </w:tcPr>
          <w:p w14:paraId="4D78324B"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2,63</w:t>
            </w:r>
          </w:p>
        </w:tc>
        <w:tc>
          <w:tcPr>
            <w:tcW w:w="0" w:type="auto"/>
            <w:shd w:val="clear" w:color="auto" w:fill="auto"/>
          </w:tcPr>
          <w:p w14:paraId="172E5312"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Restante</w:t>
            </w:r>
            <w:r w:rsidR="004A3B9C">
              <w:rPr>
                <w:b w:val="0"/>
                <w:caps w:val="0"/>
                <w:sz w:val="16"/>
                <w:szCs w:val="16"/>
                <w:lang w:val="fr-FR"/>
              </w:rPr>
              <w:t> </w:t>
            </w:r>
            <w:r w:rsidRPr="002009D7">
              <w:rPr>
                <w:b w:val="0"/>
                <w:caps w:val="0"/>
                <w:sz w:val="16"/>
                <w:szCs w:val="16"/>
                <w:lang w:val="fr-FR"/>
              </w:rPr>
              <w:t>:</w:t>
            </w:r>
          </w:p>
        </w:tc>
        <w:tc>
          <w:tcPr>
            <w:tcW w:w="0" w:type="auto"/>
            <w:shd w:val="clear" w:color="auto" w:fill="auto"/>
          </w:tcPr>
          <w:p w14:paraId="67359BA0"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4,88</w:t>
            </w:r>
          </w:p>
        </w:tc>
      </w:tr>
    </w:tbl>
    <w:p w14:paraId="319AE1B2" w14:textId="77777777" w:rsidR="00480052" w:rsidRPr="00202DEB" w:rsidRDefault="00480052" w:rsidP="00480052">
      <w:pPr>
        <w:pStyle w:val="Title1"/>
        <w:spacing w:after="60"/>
        <w:rPr>
          <w:sz w:val="16"/>
          <w:szCs w:val="16"/>
          <w:lang w:val="fr-FR"/>
        </w:rPr>
      </w:pPr>
    </w:p>
    <w:tbl>
      <w:tblPr>
        <w:tblStyle w:val="TableGrid"/>
        <w:tblW w:w="10358" w:type="dxa"/>
        <w:tblInd w:w="-14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79"/>
        <w:gridCol w:w="4612"/>
        <w:gridCol w:w="2433"/>
        <w:gridCol w:w="2434"/>
      </w:tblGrid>
      <w:tr w:rsidR="00480052" w:rsidRPr="002009D7" w14:paraId="76836BD4" w14:textId="77777777" w:rsidTr="00BB1DAF">
        <w:trPr>
          <w:trHeight w:val="256"/>
        </w:trPr>
        <w:tc>
          <w:tcPr>
            <w:tcW w:w="5491" w:type="dxa"/>
            <w:gridSpan w:val="2"/>
            <w:shd w:val="clear" w:color="auto" w:fill="auto"/>
          </w:tcPr>
          <w:p w14:paraId="1DD13438" w14:textId="77777777" w:rsidR="00480052" w:rsidRPr="002009D7" w:rsidRDefault="00480052" w:rsidP="00BB1DAF">
            <w:pPr>
              <w:pStyle w:val="Title1"/>
              <w:spacing w:after="60"/>
              <w:jc w:val="left"/>
              <w:rPr>
                <w:sz w:val="16"/>
                <w:szCs w:val="16"/>
                <w:lang w:val="fr-FR"/>
              </w:rPr>
            </w:pPr>
            <w:r w:rsidRPr="002009D7">
              <w:rPr>
                <w:sz w:val="16"/>
                <w:szCs w:val="16"/>
                <w:lang w:val="fr-FR"/>
              </w:rPr>
              <w:t>(V) PLAN D’ACTIVITÉS</w:t>
            </w:r>
          </w:p>
        </w:tc>
        <w:tc>
          <w:tcPr>
            <w:tcW w:w="2433" w:type="dxa"/>
            <w:shd w:val="clear" w:color="auto" w:fill="auto"/>
          </w:tcPr>
          <w:p w14:paraId="7DCD17EA" w14:textId="77777777" w:rsidR="00480052" w:rsidRPr="002009D7" w:rsidRDefault="00480052" w:rsidP="00BB1DAF">
            <w:pPr>
              <w:pStyle w:val="Title1"/>
              <w:spacing w:after="60"/>
              <w:rPr>
                <w:sz w:val="16"/>
                <w:szCs w:val="16"/>
                <w:lang w:val="fr-FR"/>
              </w:rPr>
            </w:pPr>
            <w:r w:rsidRPr="002009D7">
              <w:rPr>
                <w:sz w:val="16"/>
                <w:szCs w:val="16"/>
                <w:lang w:val="fr-FR"/>
              </w:rPr>
              <w:t>2020</w:t>
            </w:r>
          </w:p>
        </w:tc>
        <w:tc>
          <w:tcPr>
            <w:tcW w:w="2434" w:type="dxa"/>
            <w:shd w:val="clear" w:color="auto" w:fill="auto"/>
          </w:tcPr>
          <w:p w14:paraId="401B6877" w14:textId="77777777" w:rsidR="00480052" w:rsidRPr="002009D7" w:rsidRDefault="00480052" w:rsidP="00BB1DAF">
            <w:pPr>
              <w:pStyle w:val="Title1"/>
              <w:spacing w:after="60"/>
              <w:rPr>
                <w:sz w:val="16"/>
                <w:szCs w:val="16"/>
                <w:lang w:val="fr-FR"/>
              </w:rPr>
            </w:pPr>
            <w:r w:rsidRPr="002009D7">
              <w:rPr>
                <w:caps w:val="0"/>
                <w:sz w:val="16"/>
                <w:szCs w:val="16"/>
                <w:lang w:val="fr-FR"/>
              </w:rPr>
              <w:t>Total</w:t>
            </w:r>
          </w:p>
        </w:tc>
      </w:tr>
      <w:tr w:rsidR="00480052" w:rsidRPr="002009D7" w14:paraId="34D334B4" w14:textId="77777777" w:rsidTr="00BB1DAF">
        <w:trPr>
          <w:trHeight w:val="256"/>
        </w:trPr>
        <w:tc>
          <w:tcPr>
            <w:tcW w:w="879" w:type="dxa"/>
            <w:vMerge w:val="restart"/>
            <w:shd w:val="clear" w:color="auto" w:fill="auto"/>
          </w:tcPr>
          <w:p w14:paraId="2ACC929D" w14:textId="77777777" w:rsidR="00480052" w:rsidRPr="002009D7" w:rsidRDefault="00480052" w:rsidP="00BB1DAF">
            <w:pPr>
              <w:pStyle w:val="Title1"/>
              <w:spacing w:after="60"/>
              <w:rPr>
                <w:b w:val="0"/>
                <w:sz w:val="16"/>
                <w:szCs w:val="16"/>
                <w:lang w:val="fr-FR"/>
              </w:rPr>
            </w:pPr>
            <w:r w:rsidRPr="002009D7">
              <w:rPr>
                <w:b w:val="0"/>
                <w:sz w:val="16"/>
                <w:szCs w:val="16"/>
                <w:lang w:val="fr-FR"/>
              </w:rPr>
              <w:t>PNUE</w:t>
            </w:r>
          </w:p>
        </w:tc>
        <w:tc>
          <w:tcPr>
            <w:tcW w:w="4612" w:type="dxa"/>
            <w:shd w:val="clear" w:color="auto" w:fill="auto"/>
          </w:tcPr>
          <w:p w14:paraId="05214869" w14:textId="77777777" w:rsidR="00480052" w:rsidRPr="002009D7" w:rsidRDefault="00480052" w:rsidP="00BB1DAF">
            <w:pPr>
              <w:pStyle w:val="Title1"/>
              <w:spacing w:after="60"/>
              <w:jc w:val="left"/>
              <w:rPr>
                <w:b w:val="0"/>
                <w:sz w:val="16"/>
                <w:szCs w:val="16"/>
                <w:lang w:val="fr-FR"/>
              </w:rPr>
            </w:pPr>
            <w:r w:rsidRPr="002009D7">
              <w:rPr>
                <w:b w:val="0"/>
                <w:sz w:val="16"/>
                <w:szCs w:val="16"/>
                <w:lang w:val="fr-FR"/>
              </w:rPr>
              <w:t>Élimination des SAO (tonnes PAO)</w:t>
            </w:r>
          </w:p>
        </w:tc>
        <w:tc>
          <w:tcPr>
            <w:tcW w:w="2433" w:type="dxa"/>
            <w:shd w:val="clear" w:color="auto" w:fill="auto"/>
          </w:tcPr>
          <w:p w14:paraId="68E3A089"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1,41</w:t>
            </w:r>
          </w:p>
        </w:tc>
        <w:tc>
          <w:tcPr>
            <w:tcW w:w="2434" w:type="dxa"/>
            <w:shd w:val="clear" w:color="auto" w:fill="auto"/>
          </w:tcPr>
          <w:p w14:paraId="7F92910A"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1,411</w:t>
            </w:r>
          </w:p>
        </w:tc>
      </w:tr>
      <w:tr w:rsidR="00480052" w:rsidRPr="002009D7" w14:paraId="5B2F104C" w14:textId="77777777" w:rsidTr="00BB1DAF">
        <w:trPr>
          <w:trHeight w:val="256"/>
        </w:trPr>
        <w:tc>
          <w:tcPr>
            <w:tcW w:w="879" w:type="dxa"/>
            <w:vMerge/>
            <w:shd w:val="clear" w:color="auto" w:fill="auto"/>
          </w:tcPr>
          <w:p w14:paraId="2599B1D6" w14:textId="77777777" w:rsidR="00480052" w:rsidRPr="002009D7" w:rsidRDefault="00480052" w:rsidP="00BB1DAF">
            <w:pPr>
              <w:pStyle w:val="Title1"/>
              <w:spacing w:after="60"/>
              <w:rPr>
                <w:b w:val="0"/>
                <w:sz w:val="16"/>
                <w:szCs w:val="16"/>
                <w:lang w:val="fr-FR"/>
              </w:rPr>
            </w:pPr>
          </w:p>
        </w:tc>
        <w:tc>
          <w:tcPr>
            <w:tcW w:w="4612" w:type="dxa"/>
            <w:shd w:val="clear" w:color="auto" w:fill="auto"/>
          </w:tcPr>
          <w:p w14:paraId="14482D6B" w14:textId="77777777" w:rsidR="00480052" w:rsidRPr="002009D7" w:rsidRDefault="00480052" w:rsidP="00BB1DAF">
            <w:pPr>
              <w:pStyle w:val="Title1"/>
              <w:spacing w:after="60"/>
              <w:jc w:val="left"/>
              <w:rPr>
                <w:b w:val="0"/>
                <w:sz w:val="16"/>
                <w:szCs w:val="16"/>
                <w:lang w:val="fr-FR"/>
              </w:rPr>
            </w:pPr>
            <w:r w:rsidRPr="002009D7">
              <w:rPr>
                <w:b w:val="0"/>
                <w:sz w:val="16"/>
                <w:szCs w:val="16"/>
                <w:lang w:val="fr-FR"/>
              </w:rPr>
              <w:t>Financement ($ US)</w:t>
            </w:r>
          </w:p>
        </w:tc>
        <w:tc>
          <w:tcPr>
            <w:tcW w:w="2433" w:type="dxa"/>
            <w:shd w:val="clear" w:color="auto" w:fill="auto"/>
          </w:tcPr>
          <w:p w14:paraId="30033112"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129</w:t>
            </w:r>
            <w:r w:rsidR="004A3B9C">
              <w:rPr>
                <w:b w:val="0"/>
                <w:sz w:val="16"/>
                <w:szCs w:val="16"/>
                <w:lang w:val="fr-FR"/>
              </w:rPr>
              <w:t> </w:t>
            </w:r>
            <w:r w:rsidRPr="002009D7">
              <w:rPr>
                <w:b w:val="0"/>
                <w:sz w:val="16"/>
                <w:szCs w:val="16"/>
                <w:lang w:val="fr-FR"/>
              </w:rPr>
              <w:t>950</w:t>
            </w:r>
          </w:p>
        </w:tc>
        <w:tc>
          <w:tcPr>
            <w:tcW w:w="2434" w:type="dxa"/>
            <w:shd w:val="clear" w:color="auto" w:fill="auto"/>
          </w:tcPr>
          <w:p w14:paraId="057E5928"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129</w:t>
            </w:r>
            <w:r w:rsidR="004A3B9C">
              <w:rPr>
                <w:b w:val="0"/>
                <w:sz w:val="16"/>
                <w:szCs w:val="16"/>
                <w:lang w:val="fr-FR"/>
              </w:rPr>
              <w:t> </w:t>
            </w:r>
            <w:r w:rsidRPr="002009D7">
              <w:rPr>
                <w:b w:val="0"/>
                <w:sz w:val="16"/>
                <w:szCs w:val="16"/>
                <w:lang w:val="fr-FR"/>
              </w:rPr>
              <w:t>950</w:t>
            </w:r>
          </w:p>
        </w:tc>
      </w:tr>
      <w:tr w:rsidR="00480052" w:rsidRPr="002009D7" w14:paraId="27EF5242" w14:textId="77777777" w:rsidTr="00BB1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79" w:type="dxa"/>
            <w:vMerge w:val="restart"/>
          </w:tcPr>
          <w:p w14:paraId="3791195D" w14:textId="77777777" w:rsidR="00480052" w:rsidRPr="002009D7" w:rsidRDefault="00480052" w:rsidP="00BB1DAF">
            <w:pPr>
              <w:pStyle w:val="Title1"/>
              <w:spacing w:after="60"/>
              <w:rPr>
                <w:b w:val="0"/>
                <w:sz w:val="16"/>
                <w:szCs w:val="16"/>
                <w:lang w:val="fr-FR"/>
              </w:rPr>
            </w:pPr>
            <w:r w:rsidRPr="002009D7">
              <w:rPr>
                <w:b w:val="0"/>
                <w:sz w:val="16"/>
                <w:szCs w:val="16"/>
                <w:lang w:val="fr-FR"/>
              </w:rPr>
              <w:t>ONUDI</w:t>
            </w:r>
          </w:p>
        </w:tc>
        <w:tc>
          <w:tcPr>
            <w:tcW w:w="4612" w:type="dxa"/>
          </w:tcPr>
          <w:p w14:paraId="5486D1E3" w14:textId="77777777" w:rsidR="00480052" w:rsidRPr="002009D7" w:rsidRDefault="00480052" w:rsidP="00BB1DAF">
            <w:pPr>
              <w:pStyle w:val="Title1"/>
              <w:spacing w:after="60"/>
              <w:jc w:val="left"/>
              <w:rPr>
                <w:b w:val="0"/>
                <w:sz w:val="16"/>
                <w:szCs w:val="16"/>
                <w:lang w:val="fr-FR"/>
              </w:rPr>
            </w:pPr>
            <w:r w:rsidRPr="002009D7">
              <w:rPr>
                <w:b w:val="0"/>
                <w:sz w:val="16"/>
                <w:szCs w:val="16"/>
                <w:lang w:val="fr-FR"/>
              </w:rPr>
              <w:t>Élimination des SAO (tonnes PAO)</w:t>
            </w:r>
          </w:p>
        </w:tc>
        <w:tc>
          <w:tcPr>
            <w:tcW w:w="2433" w:type="dxa"/>
          </w:tcPr>
          <w:p w14:paraId="532EC7C8"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1,96</w:t>
            </w:r>
          </w:p>
        </w:tc>
        <w:tc>
          <w:tcPr>
            <w:tcW w:w="2434" w:type="dxa"/>
          </w:tcPr>
          <w:p w14:paraId="44B32716"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1,96</w:t>
            </w:r>
          </w:p>
        </w:tc>
      </w:tr>
      <w:tr w:rsidR="00480052" w:rsidRPr="002009D7" w14:paraId="7AA32D91" w14:textId="77777777" w:rsidTr="00BB1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79" w:type="dxa"/>
            <w:vMerge/>
          </w:tcPr>
          <w:p w14:paraId="23336A98" w14:textId="77777777" w:rsidR="00480052" w:rsidRPr="002009D7" w:rsidRDefault="00480052" w:rsidP="00BB1DAF">
            <w:pPr>
              <w:pStyle w:val="Title1"/>
              <w:spacing w:after="60"/>
              <w:rPr>
                <w:b w:val="0"/>
                <w:sz w:val="16"/>
                <w:szCs w:val="16"/>
                <w:lang w:val="fr-FR"/>
              </w:rPr>
            </w:pPr>
          </w:p>
        </w:tc>
        <w:tc>
          <w:tcPr>
            <w:tcW w:w="4612" w:type="dxa"/>
          </w:tcPr>
          <w:p w14:paraId="068D210A" w14:textId="77777777" w:rsidR="00480052" w:rsidRPr="002009D7" w:rsidRDefault="00480052" w:rsidP="00BB1DAF">
            <w:pPr>
              <w:pStyle w:val="Title1"/>
              <w:spacing w:after="60"/>
              <w:jc w:val="left"/>
              <w:rPr>
                <w:b w:val="0"/>
                <w:sz w:val="16"/>
                <w:szCs w:val="16"/>
                <w:lang w:val="fr-FR"/>
              </w:rPr>
            </w:pPr>
            <w:r w:rsidRPr="002009D7">
              <w:rPr>
                <w:b w:val="0"/>
                <w:sz w:val="16"/>
                <w:szCs w:val="16"/>
                <w:lang w:val="fr-FR"/>
              </w:rPr>
              <w:t>Financement ($ US)</w:t>
            </w:r>
          </w:p>
        </w:tc>
        <w:tc>
          <w:tcPr>
            <w:tcW w:w="2433" w:type="dxa"/>
          </w:tcPr>
          <w:p w14:paraId="6F392B9C"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172</w:t>
            </w:r>
            <w:r w:rsidR="004A3B9C">
              <w:rPr>
                <w:b w:val="0"/>
                <w:sz w:val="16"/>
                <w:szCs w:val="16"/>
                <w:lang w:val="fr-FR"/>
              </w:rPr>
              <w:t> </w:t>
            </w:r>
            <w:r w:rsidRPr="002009D7">
              <w:rPr>
                <w:b w:val="0"/>
                <w:sz w:val="16"/>
                <w:szCs w:val="16"/>
                <w:lang w:val="fr-FR"/>
              </w:rPr>
              <w:t>000</w:t>
            </w:r>
          </w:p>
        </w:tc>
        <w:tc>
          <w:tcPr>
            <w:tcW w:w="2434" w:type="dxa"/>
          </w:tcPr>
          <w:p w14:paraId="7F4AFB9A"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172</w:t>
            </w:r>
            <w:r w:rsidR="004A3B9C">
              <w:rPr>
                <w:b w:val="0"/>
                <w:sz w:val="16"/>
                <w:szCs w:val="16"/>
                <w:lang w:val="fr-FR"/>
              </w:rPr>
              <w:t> </w:t>
            </w:r>
            <w:r w:rsidRPr="002009D7">
              <w:rPr>
                <w:b w:val="0"/>
                <w:sz w:val="16"/>
                <w:szCs w:val="16"/>
                <w:lang w:val="fr-FR"/>
              </w:rPr>
              <w:t>000</w:t>
            </w:r>
          </w:p>
        </w:tc>
      </w:tr>
    </w:tbl>
    <w:p w14:paraId="6117FFCC" w14:textId="77777777" w:rsidR="00480052" w:rsidRPr="00202DEB" w:rsidRDefault="00480052" w:rsidP="00480052">
      <w:pPr>
        <w:pStyle w:val="Title1"/>
        <w:spacing w:after="60"/>
        <w:rPr>
          <w:sz w:val="16"/>
          <w:szCs w:val="16"/>
          <w:lang w:val="fr-FR"/>
        </w:rPr>
      </w:pPr>
    </w:p>
    <w:tbl>
      <w:tblPr>
        <w:tblStyle w:val="TableGrid"/>
        <w:tblW w:w="5534" w:type="pct"/>
        <w:tblInd w:w="-14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043"/>
        <w:gridCol w:w="732"/>
        <w:gridCol w:w="888"/>
        <w:gridCol w:w="729"/>
        <w:gridCol w:w="576"/>
        <w:gridCol w:w="649"/>
        <w:gridCol w:w="576"/>
        <w:gridCol w:w="576"/>
        <w:gridCol w:w="576"/>
        <w:gridCol w:w="576"/>
        <w:gridCol w:w="601"/>
        <w:gridCol w:w="729"/>
        <w:gridCol w:w="644"/>
        <w:gridCol w:w="656"/>
        <w:gridCol w:w="798"/>
      </w:tblGrid>
      <w:tr w:rsidR="00480052" w:rsidRPr="002009D7" w14:paraId="67C28B5A" w14:textId="77777777" w:rsidTr="00202DEB">
        <w:trPr>
          <w:trHeight w:val="260"/>
        </w:trPr>
        <w:tc>
          <w:tcPr>
            <w:tcW w:w="1198" w:type="pct"/>
            <w:gridSpan w:val="3"/>
            <w:shd w:val="clear" w:color="auto" w:fill="auto"/>
          </w:tcPr>
          <w:p w14:paraId="70BD1324" w14:textId="77777777" w:rsidR="00480052" w:rsidRPr="002009D7" w:rsidRDefault="00480052" w:rsidP="00BB1DAF">
            <w:pPr>
              <w:pStyle w:val="Title1"/>
              <w:spacing w:after="60"/>
              <w:jc w:val="left"/>
              <w:rPr>
                <w:sz w:val="16"/>
                <w:szCs w:val="16"/>
                <w:lang w:val="fr-FR"/>
              </w:rPr>
            </w:pPr>
            <w:r w:rsidRPr="002009D7">
              <w:rPr>
                <w:sz w:val="16"/>
                <w:szCs w:val="16"/>
                <w:lang w:val="fr-FR"/>
              </w:rPr>
              <w:t>(VI) DONNÉES DU PROJET*</w:t>
            </w:r>
          </w:p>
        </w:tc>
        <w:tc>
          <w:tcPr>
            <w:tcW w:w="352" w:type="pct"/>
          </w:tcPr>
          <w:p w14:paraId="20944AB6" w14:textId="77777777" w:rsidR="00480052" w:rsidRPr="002009D7" w:rsidRDefault="00480052" w:rsidP="00BB1DAF">
            <w:pPr>
              <w:pStyle w:val="Title1"/>
              <w:spacing w:after="60"/>
              <w:rPr>
                <w:sz w:val="16"/>
                <w:szCs w:val="16"/>
                <w:lang w:val="fr-FR"/>
              </w:rPr>
            </w:pPr>
            <w:r w:rsidRPr="002009D7">
              <w:rPr>
                <w:sz w:val="16"/>
                <w:szCs w:val="16"/>
                <w:lang w:val="fr-FR"/>
              </w:rPr>
              <w:t xml:space="preserve">2012 </w:t>
            </w:r>
          </w:p>
        </w:tc>
        <w:tc>
          <w:tcPr>
            <w:tcW w:w="278" w:type="pct"/>
            <w:shd w:val="clear" w:color="auto" w:fill="auto"/>
          </w:tcPr>
          <w:p w14:paraId="7402DAB1" w14:textId="77777777" w:rsidR="00480052" w:rsidRPr="002009D7" w:rsidRDefault="00480052" w:rsidP="00BB1DAF">
            <w:pPr>
              <w:pStyle w:val="Title1"/>
              <w:spacing w:after="60"/>
              <w:rPr>
                <w:sz w:val="16"/>
                <w:szCs w:val="16"/>
                <w:lang w:val="fr-FR"/>
              </w:rPr>
            </w:pPr>
            <w:r w:rsidRPr="002009D7">
              <w:rPr>
                <w:sz w:val="16"/>
                <w:szCs w:val="16"/>
                <w:lang w:val="fr-FR"/>
              </w:rPr>
              <w:t xml:space="preserve">2013 </w:t>
            </w:r>
          </w:p>
        </w:tc>
        <w:tc>
          <w:tcPr>
            <w:tcW w:w="314" w:type="pct"/>
            <w:shd w:val="clear" w:color="auto" w:fill="auto"/>
          </w:tcPr>
          <w:p w14:paraId="2C8CA972" w14:textId="77777777" w:rsidR="00480052" w:rsidRPr="002009D7" w:rsidRDefault="00480052" w:rsidP="00BB1DAF">
            <w:pPr>
              <w:pStyle w:val="Title1"/>
              <w:spacing w:after="60"/>
              <w:rPr>
                <w:sz w:val="16"/>
                <w:szCs w:val="16"/>
                <w:lang w:val="fr-FR"/>
              </w:rPr>
            </w:pPr>
            <w:r w:rsidRPr="002009D7">
              <w:rPr>
                <w:sz w:val="16"/>
                <w:szCs w:val="16"/>
                <w:lang w:val="fr-FR"/>
              </w:rPr>
              <w:t xml:space="preserve">2014 </w:t>
            </w:r>
          </w:p>
        </w:tc>
        <w:tc>
          <w:tcPr>
            <w:tcW w:w="278" w:type="pct"/>
            <w:shd w:val="clear" w:color="auto" w:fill="auto"/>
          </w:tcPr>
          <w:p w14:paraId="2B4D38AE" w14:textId="77777777" w:rsidR="00480052" w:rsidRPr="002009D7" w:rsidRDefault="00480052" w:rsidP="00BB1DAF">
            <w:pPr>
              <w:pStyle w:val="Title1"/>
              <w:spacing w:after="60"/>
              <w:rPr>
                <w:sz w:val="16"/>
                <w:szCs w:val="16"/>
                <w:lang w:val="fr-FR"/>
              </w:rPr>
            </w:pPr>
            <w:r w:rsidRPr="002009D7">
              <w:rPr>
                <w:sz w:val="16"/>
                <w:szCs w:val="16"/>
                <w:lang w:val="fr-FR"/>
              </w:rPr>
              <w:t xml:space="preserve">2015 </w:t>
            </w:r>
          </w:p>
        </w:tc>
        <w:tc>
          <w:tcPr>
            <w:tcW w:w="278" w:type="pct"/>
            <w:shd w:val="clear" w:color="auto" w:fill="auto"/>
          </w:tcPr>
          <w:p w14:paraId="4C8442E0" w14:textId="77777777" w:rsidR="00480052" w:rsidRPr="002009D7" w:rsidRDefault="00480052" w:rsidP="00BB1DAF">
            <w:pPr>
              <w:pStyle w:val="Title1"/>
              <w:spacing w:after="60"/>
              <w:rPr>
                <w:sz w:val="16"/>
                <w:szCs w:val="16"/>
                <w:lang w:val="fr-FR"/>
              </w:rPr>
            </w:pPr>
            <w:r w:rsidRPr="002009D7">
              <w:rPr>
                <w:sz w:val="16"/>
                <w:szCs w:val="16"/>
                <w:lang w:val="fr-FR"/>
              </w:rPr>
              <w:t xml:space="preserve">2016 </w:t>
            </w:r>
          </w:p>
        </w:tc>
        <w:tc>
          <w:tcPr>
            <w:tcW w:w="278" w:type="pct"/>
            <w:shd w:val="clear" w:color="auto" w:fill="auto"/>
          </w:tcPr>
          <w:p w14:paraId="09067926" w14:textId="77777777" w:rsidR="00480052" w:rsidRPr="002009D7" w:rsidRDefault="00480052" w:rsidP="00BB1DAF">
            <w:pPr>
              <w:pStyle w:val="Title1"/>
              <w:spacing w:after="60"/>
              <w:rPr>
                <w:sz w:val="16"/>
                <w:szCs w:val="16"/>
                <w:lang w:val="fr-FR"/>
              </w:rPr>
            </w:pPr>
            <w:r w:rsidRPr="002009D7">
              <w:rPr>
                <w:sz w:val="16"/>
                <w:szCs w:val="16"/>
                <w:lang w:val="fr-FR"/>
              </w:rPr>
              <w:t xml:space="preserve">2017 </w:t>
            </w:r>
          </w:p>
        </w:tc>
        <w:tc>
          <w:tcPr>
            <w:tcW w:w="287" w:type="pct"/>
            <w:shd w:val="clear" w:color="auto" w:fill="auto"/>
          </w:tcPr>
          <w:p w14:paraId="58625E40" w14:textId="77777777" w:rsidR="00480052" w:rsidRPr="002009D7" w:rsidRDefault="00480052" w:rsidP="00BB1DAF">
            <w:pPr>
              <w:pStyle w:val="Title1"/>
              <w:spacing w:after="60"/>
              <w:rPr>
                <w:sz w:val="16"/>
                <w:szCs w:val="16"/>
                <w:lang w:val="fr-FR"/>
              </w:rPr>
            </w:pPr>
            <w:r w:rsidRPr="002009D7">
              <w:rPr>
                <w:sz w:val="16"/>
                <w:szCs w:val="16"/>
                <w:lang w:val="fr-FR"/>
              </w:rPr>
              <w:t xml:space="preserve">2018 </w:t>
            </w:r>
          </w:p>
        </w:tc>
        <w:tc>
          <w:tcPr>
            <w:tcW w:w="326" w:type="pct"/>
            <w:shd w:val="clear" w:color="auto" w:fill="auto"/>
          </w:tcPr>
          <w:p w14:paraId="50C6A6F9" w14:textId="77777777" w:rsidR="00480052" w:rsidRPr="002009D7" w:rsidRDefault="00480052" w:rsidP="00BB1DAF">
            <w:pPr>
              <w:pStyle w:val="Title1"/>
              <w:spacing w:after="60"/>
              <w:rPr>
                <w:sz w:val="16"/>
                <w:szCs w:val="16"/>
                <w:lang w:val="fr-FR"/>
              </w:rPr>
            </w:pPr>
            <w:r w:rsidRPr="002009D7">
              <w:rPr>
                <w:sz w:val="16"/>
                <w:szCs w:val="16"/>
                <w:lang w:val="fr-FR"/>
              </w:rPr>
              <w:t xml:space="preserve">2019 </w:t>
            </w:r>
          </w:p>
        </w:tc>
        <w:tc>
          <w:tcPr>
            <w:tcW w:w="352" w:type="pct"/>
            <w:shd w:val="clear" w:color="auto" w:fill="auto"/>
          </w:tcPr>
          <w:p w14:paraId="7000839C" w14:textId="77777777" w:rsidR="00480052" w:rsidRPr="002009D7" w:rsidRDefault="00480052" w:rsidP="00BB1DAF">
            <w:pPr>
              <w:pStyle w:val="Title1"/>
              <w:spacing w:after="60"/>
              <w:rPr>
                <w:sz w:val="16"/>
                <w:szCs w:val="16"/>
                <w:lang w:val="fr-FR"/>
              </w:rPr>
            </w:pPr>
            <w:r w:rsidRPr="002009D7">
              <w:rPr>
                <w:sz w:val="16"/>
                <w:szCs w:val="16"/>
                <w:lang w:val="fr-FR"/>
              </w:rPr>
              <w:t xml:space="preserve">2020 </w:t>
            </w:r>
          </w:p>
        </w:tc>
        <w:tc>
          <w:tcPr>
            <w:tcW w:w="326" w:type="pct"/>
          </w:tcPr>
          <w:p w14:paraId="5EC5D9C0" w14:textId="77777777" w:rsidR="00480052" w:rsidRPr="002009D7" w:rsidRDefault="00480052" w:rsidP="00BB1DAF">
            <w:pPr>
              <w:pStyle w:val="Title1"/>
              <w:spacing w:after="60"/>
              <w:rPr>
                <w:sz w:val="16"/>
                <w:szCs w:val="16"/>
                <w:lang w:val="fr-FR"/>
              </w:rPr>
            </w:pPr>
            <w:r w:rsidRPr="002009D7">
              <w:rPr>
                <w:sz w:val="16"/>
                <w:szCs w:val="16"/>
                <w:lang w:val="fr-FR"/>
              </w:rPr>
              <w:t>2021</w:t>
            </w:r>
          </w:p>
        </w:tc>
        <w:tc>
          <w:tcPr>
            <w:tcW w:w="332" w:type="pct"/>
          </w:tcPr>
          <w:p w14:paraId="673F921C" w14:textId="77777777" w:rsidR="00480052" w:rsidRPr="002009D7" w:rsidRDefault="00480052" w:rsidP="00BB1DAF">
            <w:pPr>
              <w:pStyle w:val="Title1"/>
              <w:spacing w:after="60"/>
              <w:rPr>
                <w:sz w:val="16"/>
                <w:szCs w:val="16"/>
                <w:lang w:val="fr-FR"/>
              </w:rPr>
            </w:pPr>
            <w:r w:rsidRPr="002009D7">
              <w:rPr>
                <w:sz w:val="16"/>
                <w:szCs w:val="16"/>
                <w:lang w:val="fr-FR"/>
              </w:rPr>
              <w:t>2022</w:t>
            </w:r>
          </w:p>
        </w:tc>
        <w:tc>
          <w:tcPr>
            <w:tcW w:w="400" w:type="pct"/>
            <w:shd w:val="clear" w:color="auto" w:fill="auto"/>
          </w:tcPr>
          <w:p w14:paraId="0CD52394" w14:textId="77777777" w:rsidR="00480052" w:rsidRPr="002009D7" w:rsidRDefault="00480052" w:rsidP="00BB1DAF">
            <w:pPr>
              <w:pStyle w:val="Title1"/>
              <w:spacing w:after="60"/>
              <w:rPr>
                <w:sz w:val="16"/>
                <w:szCs w:val="16"/>
                <w:lang w:val="fr-FR"/>
              </w:rPr>
            </w:pPr>
            <w:r w:rsidRPr="002009D7">
              <w:rPr>
                <w:sz w:val="16"/>
                <w:szCs w:val="16"/>
                <w:lang w:val="fr-FR"/>
              </w:rPr>
              <w:t xml:space="preserve">Total </w:t>
            </w:r>
          </w:p>
        </w:tc>
      </w:tr>
      <w:tr w:rsidR="00480052" w:rsidRPr="002009D7" w14:paraId="5B3FABA4" w14:textId="77777777" w:rsidTr="00202DEB">
        <w:trPr>
          <w:trHeight w:val="467"/>
        </w:trPr>
        <w:tc>
          <w:tcPr>
            <w:tcW w:w="1198" w:type="pct"/>
            <w:gridSpan w:val="3"/>
            <w:shd w:val="clear" w:color="auto" w:fill="auto"/>
          </w:tcPr>
          <w:p w14:paraId="2D68EA71" w14:textId="77777777" w:rsidR="00480052" w:rsidRPr="002009D7" w:rsidRDefault="00480052" w:rsidP="00BB1DAF">
            <w:pPr>
              <w:pStyle w:val="Title1"/>
              <w:spacing w:after="60"/>
              <w:jc w:val="left"/>
              <w:rPr>
                <w:b w:val="0"/>
                <w:caps w:val="0"/>
                <w:sz w:val="16"/>
                <w:szCs w:val="16"/>
                <w:lang w:val="fr-FR"/>
              </w:rPr>
            </w:pPr>
            <w:r w:rsidRPr="002009D7">
              <w:rPr>
                <w:b w:val="0"/>
                <w:caps w:val="0"/>
                <w:sz w:val="16"/>
                <w:szCs w:val="16"/>
                <w:lang w:val="fr-FR"/>
              </w:rPr>
              <w:t xml:space="preserve">Limites de consommation du </w:t>
            </w:r>
          </w:p>
          <w:p w14:paraId="2CF6B65C" w14:textId="77777777" w:rsidR="00480052" w:rsidRPr="002009D7" w:rsidRDefault="00480052" w:rsidP="00BB1DAF">
            <w:pPr>
              <w:pStyle w:val="Title1"/>
              <w:spacing w:after="60"/>
              <w:jc w:val="left"/>
              <w:rPr>
                <w:b w:val="0"/>
                <w:sz w:val="16"/>
                <w:szCs w:val="16"/>
                <w:lang w:val="fr-FR"/>
              </w:rPr>
            </w:pPr>
            <w:r w:rsidRPr="002009D7">
              <w:rPr>
                <w:b w:val="0"/>
                <w:caps w:val="0"/>
                <w:sz w:val="16"/>
                <w:szCs w:val="16"/>
                <w:lang w:val="fr-FR"/>
              </w:rPr>
              <w:t>Protocole de Montréal</w:t>
            </w:r>
          </w:p>
        </w:tc>
        <w:tc>
          <w:tcPr>
            <w:tcW w:w="352" w:type="pct"/>
          </w:tcPr>
          <w:p w14:paraId="0FBEC1F0"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s.o. </w:t>
            </w:r>
          </w:p>
        </w:tc>
        <w:tc>
          <w:tcPr>
            <w:tcW w:w="278" w:type="pct"/>
            <w:shd w:val="clear" w:color="auto" w:fill="auto"/>
          </w:tcPr>
          <w:p w14:paraId="2422D7DA"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22,61</w:t>
            </w:r>
          </w:p>
        </w:tc>
        <w:tc>
          <w:tcPr>
            <w:tcW w:w="314" w:type="pct"/>
            <w:shd w:val="clear" w:color="auto" w:fill="auto"/>
          </w:tcPr>
          <w:p w14:paraId="67BF7A7E"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22,61</w:t>
            </w:r>
          </w:p>
        </w:tc>
        <w:tc>
          <w:tcPr>
            <w:tcW w:w="278" w:type="pct"/>
            <w:shd w:val="clear" w:color="auto" w:fill="auto"/>
          </w:tcPr>
          <w:p w14:paraId="37CB2BBC"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20,35</w:t>
            </w:r>
          </w:p>
        </w:tc>
        <w:tc>
          <w:tcPr>
            <w:tcW w:w="278" w:type="pct"/>
            <w:shd w:val="clear" w:color="auto" w:fill="auto"/>
          </w:tcPr>
          <w:p w14:paraId="08599DB9"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20,35</w:t>
            </w:r>
          </w:p>
        </w:tc>
        <w:tc>
          <w:tcPr>
            <w:tcW w:w="278" w:type="pct"/>
            <w:shd w:val="clear" w:color="auto" w:fill="auto"/>
          </w:tcPr>
          <w:p w14:paraId="71046E30"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20,35</w:t>
            </w:r>
          </w:p>
        </w:tc>
        <w:tc>
          <w:tcPr>
            <w:tcW w:w="287" w:type="pct"/>
            <w:shd w:val="clear" w:color="auto" w:fill="auto"/>
          </w:tcPr>
          <w:p w14:paraId="5204192E"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20,35</w:t>
            </w:r>
          </w:p>
        </w:tc>
        <w:tc>
          <w:tcPr>
            <w:tcW w:w="326" w:type="pct"/>
            <w:shd w:val="clear" w:color="auto" w:fill="auto"/>
          </w:tcPr>
          <w:p w14:paraId="0246C95D"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20,35</w:t>
            </w:r>
          </w:p>
        </w:tc>
        <w:tc>
          <w:tcPr>
            <w:tcW w:w="352" w:type="pct"/>
            <w:shd w:val="clear" w:color="auto" w:fill="auto"/>
          </w:tcPr>
          <w:p w14:paraId="70A7AB7B"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14,70</w:t>
            </w:r>
          </w:p>
        </w:tc>
        <w:tc>
          <w:tcPr>
            <w:tcW w:w="326" w:type="pct"/>
          </w:tcPr>
          <w:p w14:paraId="6B6A7E73"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14,70</w:t>
            </w:r>
          </w:p>
        </w:tc>
        <w:tc>
          <w:tcPr>
            <w:tcW w:w="332" w:type="pct"/>
          </w:tcPr>
          <w:p w14:paraId="6F8200C7"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14,70</w:t>
            </w:r>
          </w:p>
        </w:tc>
        <w:tc>
          <w:tcPr>
            <w:tcW w:w="400" w:type="pct"/>
            <w:shd w:val="clear" w:color="auto" w:fill="auto"/>
          </w:tcPr>
          <w:p w14:paraId="6964CDFF"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s.o.</w:t>
            </w:r>
          </w:p>
        </w:tc>
      </w:tr>
      <w:tr w:rsidR="00480052" w:rsidRPr="002009D7" w14:paraId="25BED13D" w14:textId="77777777" w:rsidTr="00202DEB">
        <w:trPr>
          <w:trHeight w:val="171"/>
        </w:trPr>
        <w:tc>
          <w:tcPr>
            <w:tcW w:w="1198" w:type="pct"/>
            <w:gridSpan w:val="3"/>
            <w:shd w:val="clear" w:color="auto" w:fill="auto"/>
          </w:tcPr>
          <w:p w14:paraId="34A8A405" w14:textId="77777777" w:rsidR="00480052" w:rsidRPr="002009D7" w:rsidRDefault="00480052" w:rsidP="00BB1DAF">
            <w:pPr>
              <w:pStyle w:val="Title1"/>
              <w:spacing w:after="60"/>
              <w:jc w:val="left"/>
              <w:rPr>
                <w:b w:val="0"/>
                <w:caps w:val="0"/>
                <w:sz w:val="16"/>
                <w:szCs w:val="16"/>
                <w:lang w:val="fr-FR"/>
              </w:rPr>
            </w:pPr>
            <w:r w:rsidRPr="002009D7">
              <w:rPr>
                <w:b w:val="0"/>
                <w:caps w:val="0"/>
                <w:sz w:val="16"/>
                <w:szCs w:val="16"/>
                <w:lang w:val="fr-FR"/>
              </w:rPr>
              <w:t>Consommation maximale admissible</w:t>
            </w:r>
          </w:p>
          <w:p w14:paraId="44A92DCE" w14:textId="77777777" w:rsidR="00480052" w:rsidRPr="002009D7" w:rsidRDefault="00480052" w:rsidP="00BB1DAF">
            <w:pPr>
              <w:pStyle w:val="Title1"/>
              <w:spacing w:after="60"/>
              <w:jc w:val="left"/>
              <w:rPr>
                <w:b w:val="0"/>
                <w:sz w:val="16"/>
                <w:szCs w:val="16"/>
                <w:lang w:val="fr-FR"/>
              </w:rPr>
            </w:pPr>
            <w:r w:rsidRPr="002009D7">
              <w:rPr>
                <w:b w:val="0"/>
                <w:caps w:val="0"/>
                <w:sz w:val="16"/>
                <w:szCs w:val="16"/>
                <w:lang w:val="fr-FR"/>
              </w:rPr>
              <w:t>(</w:t>
            </w:r>
            <w:proofErr w:type="gramStart"/>
            <w:r w:rsidRPr="002009D7">
              <w:rPr>
                <w:b w:val="0"/>
                <w:caps w:val="0"/>
                <w:sz w:val="16"/>
                <w:szCs w:val="16"/>
                <w:lang w:val="fr-FR"/>
              </w:rPr>
              <w:t>tonnes</w:t>
            </w:r>
            <w:proofErr w:type="gramEnd"/>
            <w:r w:rsidRPr="002009D7">
              <w:rPr>
                <w:b w:val="0"/>
                <w:caps w:val="0"/>
                <w:sz w:val="16"/>
                <w:szCs w:val="16"/>
                <w:lang w:val="fr-FR"/>
              </w:rPr>
              <w:t xml:space="preserve"> PAO)</w:t>
            </w:r>
          </w:p>
        </w:tc>
        <w:tc>
          <w:tcPr>
            <w:tcW w:w="352" w:type="pct"/>
          </w:tcPr>
          <w:p w14:paraId="294F1772"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s.o. </w:t>
            </w:r>
          </w:p>
        </w:tc>
        <w:tc>
          <w:tcPr>
            <w:tcW w:w="278" w:type="pct"/>
            <w:shd w:val="clear" w:color="auto" w:fill="auto"/>
          </w:tcPr>
          <w:p w14:paraId="5A43418F"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7,51</w:t>
            </w:r>
          </w:p>
        </w:tc>
        <w:tc>
          <w:tcPr>
            <w:tcW w:w="314" w:type="pct"/>
            <w:shd w:val="clear" w:color="auto" w:fill="auto"/>
          </w:tcPr>
          <w:p w14:paraId="61370049"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7,51</w:t>
            </w:r>
          </w:p>
        </w:tc>
        <w:tc>
          <w:tcPr>
            <w:tcW w:w="278" w:type="pct"/>
            <w:shd w:val="clear" w:color="auto" w:fill="auto"/>
          </w:tcPr>
          <w:p w14:paraId="1612DB98"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6,75</w:t>
            </w:r>
          </w:p>
        </w:tc>
        <w:tc>
          <w:tcPr>
            <w:tcW w:w="278" w:type="pct"/>
            <w:shd w:val="clear" w:color="auto" w:fill="auto"/>
          </w:tcPr>
          <w:p w14:paraId="6C7F1F59"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6,75</w:t>
            </w:r>
          </w:p>
        </w:tc>
        <w:tc>
          <w:tcPr>
            <w:tcW w:w="278" w:type="pct"/>
            <w:shd w:val="clear" w:color="auto" w:fill="auto"/>
          </w:tcPr>
          <w:p w14:paraId="63E27DF5"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6,75</w:t>
            </w:r>
          </w:p>
        </w:tc>
        <w:tc>
          <w:tcPr>
            <w:tcW w:w="287" w:type="pct"/>
            <w:shd w:val="clear" w:color="auto" w:fill="auto"/>
          </w:tcPr>
          <w:p w14:paraId="03071E1D"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6,75</w:t>
            </w:r>
          </w:p>
        </w:tc>
        <w:tc>
          <w:tcPr>
            <w:tcW w:w="326" w:type="pct"/>
            <w:shd w:val="clear" w:color="auto" w:fill="auto"/>
          </w:tcPr>
          <w:p w14:paraId="431AE68C"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6,75</w:t>
            </w:r>
          </w:p>
        </w:tc>
        <w:tc>
          <w:tcPr>
            <w:tcW w:w="352" w:type="pct"/>
            <w:shd w:val="clear" w:color="auto" w:fill="auto"/>
          </w:tcPr>
          <w:p w14:paraId="7A0B628C"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4,87</w:t>
            </w:r>
          </w:p>
        </w:tc>
        <w:tc>
          <w:tcPr>
            <w:tcW w:w="326" w:type="pct"/>
          </w:tcPr>
          <w:p w14:paraId="21D095F7"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4,87</w:t>
            </w:r>
          </w:p>
        </w:tc>
        <w:tc>
          <w:tcPr>
            <w:tcW w:w="332" w:type="pct"/>
          </w:tcPr>
          <w:p w14:paraId="5A15D702"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4,87</w:t>
            </w:r>
          </w:p>
        </w:tc>
        <w:tc>
          <w:tcPr>
            <w:tcW w:w="400" w:type="pct"/>
            <w:shd w:val="clear" w:color="auto" w:fill="auto"/>
          </w:tcPr>
          <w:p w14:paraId="12E63CFF"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s.o.</w:t>
            </w:r>
          </w:p>
        </w:tc>
      </w:tr>
      <w:tr w:rsidR="00480052" w:rsidRPr="002009D7" w14:paraId="75CFF4E7" w14:textId="77777777" w:rsidTr="00202DEB">
        <w:trPr>
          <w:trHeight w:val="467"/>
        </w:trPr>
        <w:tc>
          <w:tcPr>
            <w:tcW w:w="504" w:type="pct"/>
            <w:vMerge w:val="restart"/>
            <w:shd w:val="clear" w:color="auto" w:fill="auto"/>
          </w:tcPr>
          <w:p w14:paraId="246DD965" w14:textId="77777777" w:rsidR="00480052" w:rsidRPr="002009D7" w:rsidRDefault="00480052" w:rsidP="00BB1DAF">
            <w:pPr>
              <w:pStyle w:val="Title1"/>
              <w:spacing w:after="60"/>
              <w:jc w:val="left"/>
              <w:rPr>
                <w:b w:val="0"/>
                <w:sz w:val="16"/>
                <w:szCs w:val="16"/>
                <w:lang w:val="fr-FR"/>
              </w:rPr>
            </w:pPr>
            <w:r w:rsidRPr="002009D7">
              <w:rPr>
                <w:b w:val="0"/>
                <w:caps w:val="0"/>
                <w:sz w:val="16"/>
                <w:szCs w:val="16"/>
                <w:lang w:val="fr-FR"/>
              </w:rPr>
              <w:t>Financement convenu ($</w:t>
            </w:r>
            <w:r w:rsidR="004A3B9C">
              <w:rPr>
                <w:b w:val="0"/>
                <w:caps w:val="0"/>
                <w:sz w:val="16"/>
                <w:szCs w:val="16"/>
                <w:lang w:val="fr-FR"/>
              </w:rPr>
              <w:t xml:space="preserve"> </w:t>
            </w:r>
            <w:r w:rsidRPr="002009D7">
              <w:rPr>
                <w:b w:val="0"/>
                <w:caps w:val="0"/>
                <w:sz w:val="16"/>
                <w:szCs w:val="16"/>
                <w:lang w:val="fr-FR"/>
              </w:rPr>
              <w:t>US)</w:t>
            </w:r>
          </w:p>
        </w:tc>
        <w:tc>
          <w:tcPr>
            <w:tcW w:w="250" w:type="pct"/>
            <w:vMerge w:val="restart"/>
            <w:shd w:val="clear" w:color="auto" w:fill="auto"/>
          </w:tcPr>
          <w:p w14:paraId="2539AF11"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PNUE</w:t>
            </w:r>
          </w:p>
        </w:tc>
        <w:tc>
          <w:tcPr>
            <w:tcW w:w="444" w:type="pct"/>
            <w:shd w:val="clear" w:color="auto" w:fill="auto"/>
          </w:tcPr>
          <w:p w14:paraId="30FDDB92" w14:textId="77777777" w:rsidR="00480052" w:rsidRPr="002009D7" w:rsidRDefault="00480052" w:rsidP="00BB1DAF">
            <w:pPr>
              <w:pStyle w:val="Title1"/>
              <w:spacing w:after="60"/>
              <w:jc w:val="left"/>
              <w:rPr>
                <w:b w:val="0"/>
                <w:sz w:val="16"/>
                <w:szCs w:val="16"/>
                <w:lang w:val="fr-FR"/>
              </w:rPr>
            </w:pPr>
            <w:r w:rsidRPr="002009D7">
              <w:rPr>
                <w:b w:val="0"/>
                <w:caps w:val="0"/>
                <w:sz w:val="16"/>
                <w:szCs w:val="16"/>
                <w:lang w:val="fr-FR"/>
              </w:rPr>
              <w:t>Coûts du projet</w:t>
            </w:r>
          </w:p>
        </w:tc>
        <w:tc>
          <w:tcPr>
            <w:tcW w:w="352" w:type="pct"/>
          </w:tcPr>
          <w:p w14:paraId="15DD32F4"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85</w:t>
            </w:r>
            <w:r w:rsidR="004A3B9C">
              <w:rPr>
                <w:b w:val="0"/>
                <w:sz w:val="16"/>
                <w:szCs w:val="16"/>
                <w:lang w:val="fr-FR"/>
              </w:rPr>
              <w:t> </w:t>
            </w:r>
            <w:r w:rsidRPr="002009D7">
              <w:rPr>
                <w:b w:val="0"/>
                <w:sz w:val="16"/>
                <w:szCs w:val="16"/>
                <w:lang w:val="fr-FR"/>
              </w:rPr>
              <w:t xml:space="preserve">000 </w:t>
            </w:r>
          </w:p>
        </w:tc>
        <w:tc>
          <w:tcPr>
            <w:tcW w:w="278" w:type="pct"/>
            <w:shd w:val="clear" w:color="auto" w:fill="auto"/>
          </w:tcPr>
          <w:p w14:paraId="61F875FB"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14" w:type="pct"/>
            <w:shd w:val="clear" w:color="auto" w:fill="auto"/>
          </w:tcPr>
          <w:p w14:paraId="13D318FE"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60</w:t>
            </w:r>
            <w:r w:rsidR="004A3B9C">
              <w:rPr>
                <w:b w:val="0"/>
                <w:sz w:val="16"/>
                <w:szCs w:val="16"/>
                <w:lang w:val="fr-FR"/>
              </w:rPr>
              <w:t> </w:t>
            </w:r>
            <w:r w:rsidRPr="002009D7">
              <w:rPr>
                <w:b w:val="0"/>
                <w:sz w:val="16"/>
                <w:szCs w:val="16"/>
                <w:lang w:val="fr-FR"/>
              </w:rPr>
              <w:t>000</w:t>
            </w:r>
          </w:p>
        </w:tc>
        <w:tc>
          <w:tcPr>
            <w:tcW w:w="278" w:type="pct"/>
            <w:shd w:val="clear" w:color="auto" w:fill="auto"/>
          </w:tcPr>
          <w:p w14:paraId="247296F3"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78" w:type="pct"/>
            <w:shd w:val="clear" w:color="auto" w:fill="auto"/>
          </w:tcPr>
          <w:p w14:paraId="5B15B77A"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278" w:type="pct"/>
            <w:shd w:val="clear" w:color="auto" w:fill="auto"/>
          </w:tcPr>
          <w:p w14:paraId="6B2C9CEF"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287" w:type="pct"/>
            <w:shd w:val="clear" w:color="auto" w:fill="FFFFFF" w:themeFill="background1"/>
          </w:tcPr>
          <w:p w14:paraId="298D5FF5"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326" w:type="pct"/>
            <w:shd w:val="clear" w:color="auto" w:fill="auto"/>
          </w:tcPr>
          <w:p w14:paraId="2FA6F978"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352" w:type="pct"/>
            <w:shd w:val="clear" w:color="auto" w:fill="FFFFFF" w:themeFill="background1"/>
          </w:tcPr>
          <w:p w14:paraId="33BD44AA"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100</w:t>
            </w:r>
            <w:r w:rsidR="004A3B9C">
              <w:rPr>
                <w:b w:val="0"/>
                <w:sz w:val="16"/>
                <w:szCs w:val="16"/>
                <w:lang w:val="fr-FR"/>
              </w:rPr>
              <w:t> </w:t>
            </w:r>
            <w:r w:rsidRPr="002009D7">
              <w:rPr>
                <w:b w:val="0"/>
                <w:sz w:val="16"/>
                <w:szCs w:val="16"/>
                <w:lang w:val="fr-FR"/>
              </w:rPr>
              <w:t>000</w:t>
            </w:r>
          </w:p>
        </w:tc>
        <w:tc>
          <w:tcPr>
            <w:tcW w:w="326" w:type="pct"/>
          </w:tcPr>
          <w:p w14:paraId="7EFFFFF3" w14:textId="77777777" w:rsidR="00480052" w:rsidRPr="002009D7" w:rsidRDefault="00480052" w:rsidP="00BB1DAF">
            <w:pPr>
              <w:pStyle w:val="Title1"/>
              <w:spacing w:after="60"/>
              <w:jc w:val="right"/>
              <w:rPr>
                <w:b w:val="0"/>
                <w:sz w:val="16"/>
                <w:szCs w:val="16"/>
                <w:lang w:val="fr-FR"/>
              </w:rPr>
            </w:pPr>
          </w:p>
        </w:tc>
        <w:tc>
          <w:tcPr>
            <w:tcW w:w="332" w:type="pct"/>
          </w:tcPr>
          <w:p w14:paraId="3E0B1772" w14:textId="77777777" w:rsidR="00480052" w:rsidRPr="002009D7" w:rsidRDefault="00480052" w:rsidP="00BB1DAF">
            <w:pPr>
              <w:pStyle w:val="Title1"/>
              <w:spacing w:after="60"/>
              <w:jc w:val="right"/>
              <w:rPr>
                <w:b w:val="0"/>
                <w:sz w:val="16"/>
                <w:szCs w:val="16"/>
                <w:lang w:val="fr-FR"/>
              </w:rPr>
            </w:pPr>
          </w:p>
        </w:tc>
        <w:tc>
          <w:tcPr>
            <w:tcW w:w="400" w:type="pct"/>
            <w:shd w:val="clear" w:color="auto" w:fill="auto"/>
          </w:tcPr>
          <w:p w14:paraId="4A8F4828"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245</w:t>
            </w:r>
            <w:r w:rsidR="004A3B9C">
              <w:rPr>
                <w:b w:val="0"/>
                <w:sz w:val="16"/>
                <w:szCs w:val="16"/>
                <w:lang w:val="fr-FR"/>
              </w:rPr>
              <w:t> </w:t>
            </w:r>
            <w:r w:rsidRPr="002009D7">
              <w:rPr>
                <w:b w:val="0"/>
                <w:sz w:val="16"/>
                <w:szCs w:val="16"/>
                <w:lang w:val="fr-FR"/>
              </w:rPr>
              <w:t>000</w:t>
            </w:r>
          </w:p>
        </w:tc>
      </w:tr>
      <w:tr w:rsidR="00480052" w:rsidRPr="002009D7" w14:paraId="625D03D2" w14:textId="77777777" w:rsidTr="00202DEB">
        <w:trPr>
          <w:trHeight w:val="481"/>
        </w:trPr>
        <w:tc>
          <w:tcPr>
            <w:tcW w:w="504" w:type="pct"/>
            <w:vMerge/>
            <w:shd w:val="clear" w:color="auto" w:fill="auto"/>
          </w:tcPr>
          <w:p w14:paraId="45F341F8" w14:textId="77777777" w:rsidR="00480052" w:rsidRPr="002009D7" w:rsidRDefault="00480052" w:rsidP="00BB1DAF">
            <w:pPr>
              <w:pStyle w:val="Title1"/>
              <w:spacing w:after="60"/>
              <w:rPr>
                <w:b w:val="0"/>
                <w:sz w:val="16"/>
                <w:szCs w:val="16"/>
                <w:lang w:val="fr-FR"/>
              </w:rPr>
            </w:pPr>
          </w:p>
        </w:tc>
        <w:tc>
          <w:tcPr>
            <w:tcW w:w="250" w:type="pct"/>
            <w:vMerge/>
            <w:shd w:val="clear" w:color="auto" w:fill="auto"/>
          </w:tcPr>
          <w:p w14:paraId="2036B145" w14:textId="77777777" w:rsidR="00480052" w:rsidRPr="002009D7" w:rsidRDefault="00480052" w:rsidP="00BB1DAF">
            <w:pPr>
              <w:pStyle w:val="Title1"/>
              <w:spacing w:after="60"/>
              <w:rPr>
                <w:b w:val="0"/>
                <w:sz w:val="16"/>
                <w:szCs w:val="16"/>
                <w:lang w:val="fr-FR"/>
              </w:rPr>
            </w:pPr>
          </w:p>
        </w:tc>
        <w:tc>
          <w:tcPr>
            <w:tcW w:w="444" w:type="pct"/>
            <w:shd w:val="clear" w:color="auto" w:fill="auto"/>
          </w:tcPr>
          <w:p w14:paraId="6D3B664D" w14:textId="77777777" w:rsidR="00480052" w:rsidRPr="002009D7" w:rsidRDefault="00480052" w:rsidP="00BB1DAF">
            <w:pPr>
              <w:pStyle w:val="Title1"/>
              <w:spacing w:after="60"/>
              <w:jc w:val="left"/>
              <w:rPr>
                <w:b w:val="0"/>
                <w:sz w:val="16"/>
                <w:szCs w:val="16"/>
                <w:lang w:val="fr-FR"/>
              </w:rPr>
            </w:pPr>
            <w:r w:rsidRPr="002009D7">
              <w:rPr>
                <w:b w:val="0"/>
                <w:caps w:val="0"/>
                <w:sz w:val="16"/>
                <w:szCs w:val="16"/>
                <w:lang w:val="fr-FR"/>
              </w:rPr>
              <w:t>Coûts d’appui</w:t>
            </w:r>
          </w:p>
        </w:tc>
        <w:tc>
          <w:tcPr>
            <w:tcW w:w="352" w:type="pct"/>
          </w:tcPr>
          <w:p w14:paraId="1AD087B1"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11</w:t>
            </w:r>
            <w:r w:rsidR="004A3B9C">
              <w:rPr>
                <w:b w:val="0"/>
                <w:sz w:val="16"/>
                <w:szCs w:val="16"/>
                <w:lang w:val="fr-FR"/>
              </w:rPr>
              <w:t> </w:t>
            </w:r>
            <w:r w:rsidRPr="002009D7">
              <w:rPr>
                <w:b w:val="0"/>
                <w:sz w:val="16"/>
                <w:szCs w:val="16"/>
                <w:lang w:val="fr-FR"/>
              </w:rPr>
              <w:t xml:space="preserve">050 </w:t>
            </w:r>
          </w:p>
        </w:tc>
        <w:tc>
          <w:tcPr>
            <w:tcW w:w="278" w:type="pct"/>
            <w:shd w:val="clear" w:color="auto" w:fill="auto"/>
          </w:tcPr>
          <w:p w14:paraId="4CF2648C"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14" w:type="pct"/>
            <w:shd w:val="clear" w:color="auto" w:fill="auto"/>
          </w:tcPr>
          <w:p w14:paraId="0A082122"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7</w:t>
            </w:r>
            <w:r w:rsidR="004A3B9C">
              <w:rPr>
                <w:b w:val="0"/>
                <w:sz w:val="16"/>
                <w:szCs w:val="16"/>
                <w:lang w:val="fr-FR"/>
              </w:rPr>
              <w:t> </w:t>
            </w:r>
            <w:r w:rsidRPr="002009D7">
              <w:rPr>
                <w:b w:val="0"/>
                <w:sz w:val="16"/>
                <w:szCs w:val="16"/>
                <w:lang w:val="fr-FR"/>
              </w:rPr>
              <w:t xml:space="preserve">800 </w:t>
            </w:r>
          </w:p>
        </w:tc>
        <w:tc>
          <w:tcPr>
            <w:tcW w:w="278" w:type="pct"/>
            <w:shd w:val="clear" w:color="auto" w:fill="auto"/>
          </w:tcPr>
          <w:p w14:paraId="74EBD9C2"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78" w:type="pct"/>
            <w:shd w:val="clear" w:color="auto" w:fill="auto"/>
          </w:tcPr>
          <w:p w14:paraId="170DE176"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78" w:type="pct"/>
            <w:shd w:val="clear" w:color="auto" w:fill="auto"/>
          </w:tcPr>
          <w:p w14:paraId="0A8F3A9F"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287" w:type="pct"/>
            <w:shd w:val="clear" w:color="auto" w:fill="FFFFFF" w:themeFill="background1"/>
          </w:tcPr>
          <w:p w14:paraId="33C89591"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26" w:type="pct"/>
            <w:shd w:val="clear" w:color="auto" w:fill="auto"/>
          </w:tcPr>
          <w:p w14:paraId="311EB12C"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352" w:type="pct"/>
            <w:shd w:val="clear" w:color="auto" w:fill="FFFFFF" w:themeFill="background1"/>
          </w:tcPr>
          <w:p w14:paraId="017FA221"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13</w:t>
            </w:r>
            <w:r w:rsidR="004A3B9C">
              <w:rPr>
                <w:b w:val="0"/>
                <w:sz w:val="16"/>
                <w:szCs w:val="16"/>
                <w:lang w:val="fr-FR"/>
              </w:rPr>
              <w:t> </w:t>
            </w:r>
            <w:r w:rsidRPr="002009D7">
              <w:rPr>
                <w:b w:val="0"/>
                <w:sz w:val="16"/>
                <w:szCs w:val="16"/>
                <w:lang w:val="fr-FR"/>
              </w:rPr>
              <w:t>000</w:t>
            </w:r>
          </w:p>
        </w:tc>
        <w:tc>
          <w:tcPr>
            <w:tcW w:w="326" w:type="pct"/>
          </w:tcPr>
          <w:p w14:paraId="187B87DC" w14:textId="77777777" w:rsidR="00480052" w:rsidRPr="002009D7" w:rsidRDefault="00480052" w:rsidP="00BB1DAF">
            <w:pPr>
              <w:pStyle w:val="Title1"/>
              <w:spacing w:after="60"/>
              <w:jc w:val="right"/>
              <w:rPr>
                <w:b w:val="0"/>
                <w:sz w:val="16"/>
                <w:szCs w:val="16"/>
                <w:lang w:val="fr-FR"/>
              </w:rPr>
            </w:pPr>
          </w:p>
        </w:tc>
        <w:tc>
          <w:tcPr>
            <w:tcW w:w="332" w:type="pct"/>
          </w:tcPr>
          <w:p w14:paraId="5617BB6B" w14:textId="77777777" w:rsidR="00480052" w:rsidRPr="002009D7" w:rsidRDefault="00480052" w:rsidP="00BB1DAF">
            <w:pPr>
              <w:pStyle w:val="Title1"/>
              <w:spacing w:after="60"/>
              <w:jc w:val="right"/>
              <w:rPr>
                <w:b w:val="0"/>
                <w:sz w:val="16"/>
                <w:szCs w:val="16"/>
                <w:lang w:val="fr-FR"/>
              </w:rPr>
            </w:pPr>
          </w:p>
        </w:tc>
        <w:tc>
          <w:tcPr>
            <w:tcW w:w="400" w:type="pct"/>
            <w:shd w:val="clear" w:color="auto" w:fill="auto"/>
          </w:tcPr>
          <w:p w14:paraId="677DDB90"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31</w:t>
            </w:r>
            <w:r w:rsidR="004A3B9C">
              <w:rPr>
                <w:b w:val="0"/>
                <w:sz w:val="16"/>
                <w:szCs w:val="16"/>
                <w:lang w:val="fr-FR"/>
              </w:rPr>
              <w:t> </w:t>
            </w:r>
            <w:r w:rsidRPr="002009D7">
              <w:rPr>
                <w:b w:val="0"/>
                <w:sz w:val="16"/>
                <w:szCs w:val="16"/>
                <w:lang w:val="fr-FR"/>
              </w:rPr>
              <w:t>850</w:t>
            </w:r>
          </w:p>
        </w:tc>
      </w:tr>
      <w:tr w:rsidR="00480052" w:rsidRPr="002009D7" w14:paraId="25DC3EBF" w14:textId="77777777" w:rsidTr="00202DEB">
        <w:trPr>
          <w:trHeight w:val="481"/>
        </w:trPr>
        <w:tc>
          <w:tcPr>
            <w:tcW w:w="504" w:type="pct"/>
            <w:vMerge/>
            <w:shd w:val="clear" w:color="auto" w:fill="auto"/>
          </w:tcPr>
          <w:p w14:paraId="25686755" w14:textId="77777777" w:rsidR="00480052" w:rsidRPr="002009D7" w:rsidRDefault="00480052" w:rsidP="00BB1DAF">
            <w:pPr>
              <w:pStyle w:val="Title1"/>
              <w:spacing w:after="60"/>
              <w:rPr>
                <w:b w:val="0"/>
                <w:sz w:val="16"/>
                <w:szCs w:val="16"/>
                <w:lang w:val="fr-FR"/>
              </w:rPr>
            </w:pPr>
          </w:p>
        </w:tc>
        <w:tc>
          <w:tcPr>
            <w:tcW w:w="250" w:type="pct"/>
            <w:vMerge w:val="restart"/>
            <w:shd w:val="clear" w:color="auto" w:fill="auto"/>
          </w:tcPr>
          <w:p w14:paraId="3150EBC4"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ONUDI</w:t>
            </w:r>
          </w:p>
        </w:tc>
        <w:tc>
          <w:tcPr>
            <w:tcW w:w="444" w:type="pct"/>
            <w:shd w:val="clear" w:color="auto" w:fill="auto"/>
          </w:tcPr>
          <w:p w14:paraId="08718769" w14:textId="77777777" w:rsidR="00480052" w:rsidRPr="002009D7" w:rsidRDefault="00480052" w:rsidP="00BB1DAF">
            <w:pPr>
              <w:pStyle w:val="Title1"/>
              <w:spacing w:after="60"/>
              <w:jc w:val="left"/>
              <w:rPr>
                <w:b w:val="0"/>
                <w:sz w:val="16"/>
                <w:szCs w:val="16"/>
                <w:lang w:val="fr-FR"/>
              </w:rPr>
            </w:pPr>
            <w:r w:rsidRPr="002009D7">
              <w:rPr>
                <w:b w:val="0"/>
                <w:caps w:val="0"/>
                <w:sz w:val="16"/>
                <w:szCs w:val="16"/>
                <w:lang w:val="fr-FR"/>
              </w:rPr>
              <w:t>Coûts du projet</w:t>
            </w:r>
          </w:p>
        </w:tc>
        <w:tc>
          <w:tcPr>
            <w:tcW w:w="352" w:type="pct"/>
          </w:tcPr>
          <w:p w14:paraId="06648C62"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160</w:t>
            </w:r>
            <w:r w:rsidR="004A3B9C">
              <w:rPr>
                <w:b w:val="0"/>
                <w:sz w:val="16"/>
                <w:szCs w:val="16"/>
                <w:lang w:val="fr-FR"/>
              </w:rPr>
              <w:t> </w:t>
            </w:r>
            <w:r w:rsidRPr="002009D7">
              <w:rPr>
                <w:b w:val="0"/>
                <w:sz w:val="16"/>
                <w:szCs w:val="16"/>
                <w:lang w:val="fr-FR"/>
              </w:rPr>
              <w:t>000</w:t>
            </w:r>
          </w:p>
        </w:tc>
        <w:tc>
          <w:tcPr>
            <w:tcW w:w="278" w:type="pct"/>
            <w:shd w:val="clear" w:color="auto" w:fill="auto"/>
          </w:tcPr>
          <w:p w14:paraId="5A6A38C8"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14" w:type="pct"/>
            <w:shd w:val="clear" w:color="auto" w:fill="auto"/>
          </w:tcPr>
          <w:p w14:paraId="38113ECD"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278" w:type="pct"/>
            <w:shd w:val="clear" w:color="auto" w:fill="auto"/>
          </w:tcPr>
          <w:p w14:paraId="08A318C4"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78" w:type="pct"/>
            <w:shd w:val="clear" w:color="auto" w:fill="auto"/>
          </w:tcPr>
          <w:p w14:paraId="73F9C5F5"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278" w:type="pct"/>
            <w:shd w:val="clear" w:color="auto" w:fill="auto"/>
          </w:tcPr>
          <w:p w14:paraId="502C2F08"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287" w:type="pct"/>
            <w:shd w:val="clear" w:color="auto" w:fill="auto"/>
          </w:tcPr>
          <w:p w14:paraId="4A151674"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326" w:type="pct"/>
            <w:shd w:val="clear" w:color="auto" w:fill="auto"/>
          </w:tcPr>
          <w:p w14:paraId="260B4419"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352" w:type="pct"/>
            <w:shd w:val="clear" w:color="auto" w:fill="FFFFFF" w:themeFill="background1"/>
          </w:tcPr>
          <w:p w14:paraId="19403266"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125</w:t>
            </w:r>
            <w:r w:rsidR="004A3B9C">
              <w:rPr>
                <w:b w:val="0"/>
                <w:sz w:val="16"/>
                <w:szCs w:val="16"/>
                <w:lang w:val="fr-FR"/>
              </w:rPr>
              <w:t> </w:t>
            </w:r>
            <w:r w:rsidRPr="002009D7">
              <w:rPr>
                <w:b w:val="0"/>
                <w:sz w:val="16"/>
                <w:szCs w:val="16"/>
                <w:lang w:val="fr-FR"/>
              </w:rPr>
              <w:t>000</w:t>
            </w:r>
          </w:p>
        </w:tc>
        <w:tc>
          <w:tcPr>
            <w:tcW w:w="326" w:type="pct"/>
          </w:tcPr>
          <w:p w14:paraId="4EDA3930" w14:textId="77777777" w:rsidR="00480052" w:rsidRPr="002009D7" w:rsidRDefault="00480052" w:rsidP="00BB1DAF">
            <w:pPr>
              <w:pStyle w:val="Title1"/>
              <w:spacing w:after="60"/>
              <w:jc w:val="right"/>
              <w:rPr>
                <w:b w:val="0"/>
                <w:sz w:val="16"/>
                <w:szCs w:val="16"/>
                <w:lang w:val="fr-FR"/>
              </w:rPr>
            </w:pPr>
          </w:p>
        </w:tc>
        <w:tc>
          <w:tcPr>
            <w:tcW w:w="332" w:type="pct"/>
          </w:tcPr>
          <w:p w14:paraId="24D0C0E1" w14:textId="77777777" w:rsidR="00480052" w:rsidRPr="002009D7" w:rsidRDefault="00480052" w:rsidP="00BB1DAF">
            <w:pPr>
              <w:pStyle w:val="Title1"/>
              <w:spacing w:after="60"/>
              <w:jc w:val="right"/>
              <w:rPr>
                <w:b w:val="0"/>
                <w:sz w:val="16"/>
                <w:szCs w:val="16"/>
                <w:lang w:val="fr-FR"/>
              </w:rPr>
            </w:pPr>
          </w:p>
        </w:tc>
        <w:tc>
          <w:tcPr>
            <w:tcW w:w="400" w:type="pct"/>
            <w:shd w:val="clear" w:color="auto" w:fill="auto"/>
          </w:tcPr>
          <w:p w14:paraId="7784346D"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285</w:t>
            </w:r>
            <w:r w:rsidR="004A3B9C">
              <w:rPr>
                <w:b w:val="0"/>
                <w:sz w:val="16"/>
                <w:szCs w:val="16"/>
                <w:lang w:val="fr-FR"/>
              </w:rPr>
              <w:t> </w:t>
            </w:r>
            <w:r w:rsidRPr="002009D7">
              <w:rPr>
                <w:b w:val="0"/>
                <w:sz w:val="16"/>
                <w:szCs w:val="16"/>
                <w:lang w:val="fr-FR"/>
              </w:rPr>
              <w:t>000</w:t>
            </w:r>
          </w:p>
        </w:tc>
      </w:tr>
      <w:tr w:rsidR="00480052" w:rsidRPr="002009D7" w14:paraId="1827A1E1" w14:textId="77777777" w:rsidTr="00202DEB">
        <w:trPr>
          <w:trHeight w:val="481"/>
        </w:trPr>
        <w:tc>
          <w:tcPr>
            <w:tcW w:w="504" w:type="pct"/>
            <w:vMerge/>
            <w:shd w:val="clear" w:color="auto" w:fill="auto"/>
          </w:tcPr>
          <w:p w14:paraId="0D5FF6B0" w14:textId="77777777" w:rsidR="00480052" w:rsidRPr="002009D7" w:rsidRDefault="00480052" w:rsidP="00BB1DAF">
            <w:pPr>
              <w:pStyle w:val="Title1"/>
              <w:spacing w:after="60"/>
              <w:rPr>
                <w:b w:val="0"/>
                <w:sz w:val="16"/>
                <w:szCs w:val="16"/>
                <w:lang w:val="fr-FR"/>
              </w:rPr>
            </w:pPr>
          </w:p>
        </w:tc>
        <w:tc>
          <w:tcPr>
            <w:tcW w:w="250" w:type="pct"/>
            <w:vMerge/>
            <w:shd w:val="clear" w:color="auto" w:fill="auto"/>
          </w:tcPr>
          <w:p w14:paraId="3587747C" w14:textId="77777777" w:rsidR="00480052" w:rsidRPr="002009D7" w:rsidRDefault="00480052" w:rsidP="00BB1DAF">
            <w:pPr>
              <w:pStyle w:val="Title1"/>
              <w:spacing w:after="60"/>
              <w:rPr>
                <w:b w:val="0"/>
                <w:sz w:val="16"/>
                <w:szCs w:val="16"/>
                <w:lang w:val="fr-FR"/>
              </w:rPr>
            </w:pPr>
          </w:p>
        </w:tc>
        <w:tc>
          <w:tcPr>
            <w:tcW w:w="444" w:type="pct"/>
            <w:shd w:val="clear" w:color="auto" w:fill="auto"/>
          </w:tcPr>
          <w:p w14:paraId="288C9BE1" w14:textId="77777777" w:rsidR="00480052" w:rsidRPr="002009D7" w:rsidRDefault="00480052" w:rsidP="00BB1DAF">
            <w:pPr>
              <w:pStyle w:val="Title1"/>
              <w:spacing w:after="60"/>
              <w:jc w:val="left"/>
              <w:rPr>
                <w:b w:val="0"/>
                <w:sz w:val="16"/>
                <w:szCs w:val="16"/>
                <w:lang w:val="fr-FR"/>
              </w:rPr>
            </w:pPr>
            <w:r w:rsidRPr="002009D7">
              <w:rPr>
                <w:b w:val="0"/>
                <w:caps w:val="0"/>
                <w:sz w:val="16"/>
                <w:szCs w:val="16"/>
                <w:lang w:val="fr-FR"/>
              </w:rPr>
              <w:t>Coûts d’appui</w:t>
            </w:r>
          </w:p>
        </w:tc>
        <w:tc>
          <w:tcPr>
            <w:tcW w:w="352" w:type="pct"/>
          </w:tcPr>
          <w:p w14:paraId="3544D09E"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12</w:t>
            </w:r>
            <w:r w:rsidR="004A3B9C">
              <w:rPr>
                <w:b w:val="0"/>
                <w:sz w:val="16"/>
                <w:szCs w:val="16"/>
                <w:lang w:val="fr-FR"/>
              </w:rPr>
              <w:t> </w:t>
            </w:r>
            <w:r w:rsidRPr="002009D7">
              <w:rPr>
                <w:b w:val="0"/>
                <w:sz w:val="16"/>
                <w:szCs w:val="16"/>
                <w:lang w:val="fr-FR"/>
              </w:rPr>
              <w:t>000</w:t>
            </w:r>
          </w:p>
        </w:tc>
        <w:tc>
          <w:tcPr>
            <w:tcW w:w="278" w:type="pct"/>
            <w:shd w:val="clear" w:color="auto" w:fill="auto"/>
          </w:tcPr>
          <w:p w14:paraId="2C041AFC"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14" w:type="pct"/>
            <w:shd w:val="clear" w:color="auto" w:fill="auto"/>
          </w:tcPr>
          <w:p w14:paraId="348C0A5E"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278" w:type="pct"/>
            <w:shd w:val="clear" w:color="auto" w:fill="auto"/>
          </w:tcPr>
          <w:p w14:paraId="7B76834C"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78" w:type="pct"/>
            <w:shd w:val="clear" w:color="auto" w:fill="auto"/>
          </w:tcPr>
          <w:p w14:paraId="0C9801EF"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278" w:type="pct"/>
            <w:shd w:val="clear" w:color="auto" w:fill="auto"/>
          </w:tcPr>
          <w:p w14:paraId="3E8EE319"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287" w:type="pct"/>
            <w:shd w:val="clear" w:color="auto" w:fill="auto"/>
          </w:tcPr>
          <w:p w14:paraId="0AAB158B"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326" w:type="pct"/>
            <w:shd w:val="clear" w:color="auto" w:fill="auto"/>
          </w:tcPr>
          <w:p w14:paraId="606638B5"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352" w:type="pct"/>
            <w:shd w:val="clear" w:color="auto" w:fill="FFFFFF" w:themeFill="background1"/>
          </w:tcPr>
          <w:p w14:paraId="4C9A4EF8"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8</w:t>
            </w:r>
            <w:r w:rsidR="004A3B9C">
              <w:rPr>
                <w:b w:val="0"/>
                <w:sz w:val="16"/>
                <w:szCs w:val="16"/>
                <w:lang w:val="fr-FR"/>
              </w:rPr>
              <w:t> </w:t>
            </w:r>
            <w:r w:rsidRPr="002009D7">
              <w:rPr>
                <w:b w:val="0"/>
                <w:sz w:val="16"/>
                <w:szCs w:val="16"/>
                <w:lang w:val="fr-FR"/>
              </w:rPr>
              <w:t>750</w:t>
            </w:r>
          </w:p>
        </w:tc>
        <w:tc>
          <w:tcPr>
            <w:tcW w:w="326" w:type="pct"/>
          </w:tcPr>
          <w:p w14:paraId="56D46A6A" w14:textId="77777777" w:rsidR="00480052" w:rsidRPr="002009D7" w:rsidRDefault="00480052" w:rsidP="00BB1DAF">
            <w:pPr>
              <w:pStyle w:val="Title1"/>
              <w:spacing w:after="60"/>
              <w:jc w:val="right"/>
              <w:rPr>
                <w:b w:val="0"/>
                <w:sz w:val="16"/>
                <w:szCs w:val="16"/>
                <w:lang w:val="fr-FR"/>
              </w:rPr>
            </w:pPr>
          </w:p>
        </w:tc>
        <w:tc>
          <w:tcPr>
            <w:tcW w:w="332" w:type="pct"/>
          </w:tcPr>
          <w:p w14:paraId="2E035B0C" w14:textId="77777777" w:rsidR="00480052" w:rsidRPr="002009D7" w:rsidRDefault="00480052" w:rsidP="00BB1DAF">
            <w:pPr>
              <w:pStyle w:val="Title1"/>
              <w:spacing w:after="60"/>
              <w:jc w:val="right"/>
              <w:rPr>
                <w:b w:val="0"/>
                <w:sz w:val="16"/>
                <w:szCs w:val="16"/>
                <w:lang w:val="fr-FR"/>
              </w:rPr>
            </w:pPr>
          </w:p>
        </w:tc>
        <w:tc>
          <w:tcPr>
            <w:tcW w:w="400" w:type="pct"/>
            <w:shd w:val="clear" w:color="auto" w:fill="auto"/>
          </w:tcPr>
          <w:p w14:paraId="51C89C79"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20</w:t>
            </w:r>
            <w:r w:rsidR="004A3B9C">
              <w:rPr>
                <w:b w:val="0"/>
                <w:sz w:val="16"/>
                <w:szCs w:val="16"/>
                <w:lang w:val="fr-FR"/>
              </w:rPr>
              <w:t> </w:t>
            </w:r>
            <w:r w:rsidRPr="002009D7">
              <w:rPr>
                <w:b w:val="0"/>
                <w:sz w:val="16"/>
                <w:szCs w:val="16"/>
                <w:lang w:val="fr-FR"/>
              </w:rPr>
              <w:t>750</w:t>
            </w:r>
          </w:p>
        </w:tc>
      </w:tr>
      <w:tr w:rsidR="00480052" w:rsidRPr="002009D7" w14:paraId="397FF27F" w14:textId="77777777" w:rsidTr="00202DEB">
        <w:trPr>
          <w:trHeight w:val="467"/>
        </w:trPr>
        <w:tc>
          <w:tcPr>
            <w:tcW w:w="754" w:type="pct"/>
            <w:gridSpan w:val="2"/>
            <w:vMerge w:val="restart"/>
            <w:shd w:val="clear" w:color="auto" w:fill="auto"/>
          </w:tcPr>
          <w:p w14:paraId="4379F900" w14:textId="77777777" w:rsidR="00480052" w:rsidRPr="002009D7" w:rsidRDefault="00480052" w:rsidP="00BB1DAF">
            <w:pPr>
              <w:pStyle w:val="Title1"/>
              <w:spacing w:after="60"/>
              <w:jc w:val="left"/>
              <w:rPr>
                <w:b w:val="0"/>
                <w:sz w:val="16"/>
                <w:szCs w:val="16"/>
                <w:lang w:val="fr-FR"/>
              </w:rPr>
            </w:pPr>
            <w:r w:rsidRPr="002009D7">
              <w:rPr>
                <w:b w:val="0"/>
                <w:caps w:val="0"/>
                <w:sz w:val="16"/>
                <w:szCs w:val="16"/>
                <w:lang w:val="fr-FR"/>
              </w:rPr>
              <w:t xml:space="preserve">Financement approuvé par </w:t>
            </w:r>
            <w:proofErr w:type="spellStart"/>
            <w:r w:rsidRPr="002009D7">
              <w:rPr>
                <w:b w:val="0"/>
                <w:caps w:val="0"/>
                <w:sz w:val="16"/>
                <w:szCs w:val="16"/>
                <w:lang w:val="fr-FR"/>
              </w:rPr>
              <w:t>ExCom</w:t>
            </w:r>
            <w:proofErr w:type="spellEnd"/>
            <w:r w:rsidRPr="002009D7">
              <w:rPr>
                <w:b w:val="0"/>
                <w:caps w:val="0"/>
                <w:sz w:val="16"/>
                <w:szCs w:val="16"/>
                <w:lang w:val="fr-FR"/>
              </w:rPr>
              <w:t xml:space="preserve"> ($</w:t>
            </w:r>
            <w:r w:rsidR="004A3B9C">
              <w:rPr>
                <w:b w:val="0"/>
                <w:caps w:val="0"/>
                <w:sz w:val="16"/>
                <w:szCs w:val="16"/>
                <w:lang w:val="fr-FR"/>
              </w:rPr>
              <w:t xml:space="preserve"> </w:t>
            </w:r>
            <w:r w:rsidRPr="002009D7">
              <w:rPr>
                <w:b w:val="0"/>
                <w:caps w:val="0"/>
                <w:sz w:val="16"/>
                <w:szCs w:val="16"/>
                <w:lang w:val="fr-FR"/>
              </w:rPr>
              <w:t>US)</w:t>
            </w:r>
          </w:p>
        </w:tc>
        <w:tc>
          <w:tcPr>
            <w:tcW w:w="444" w:type="pct"/>
            <w:shd w:val="clear" w:color="auto" w:fill="auto"/>
          </w:tcPr>
          <w:p w14:paraId="39523AAF" w14:textId="77777777" w:rsidR="00480052" w:rsidRPr="002009D7" w:rsidRDefault="00480052" w:rsidP="00BB1DAF">
            <w:pPr>
              <w:pStyle w:val="Title1"/>
              <w:spacing w:after="60"/>
              <w:jc w:val="left"/>
              <w:rPr>
                <w:b w:val="0"/>
                <w:sz w:val="16"/>
                <w:szCs w:val="16"/>
                <w:lang w:val="fr-FR"/>
              </w:rPr>
            </w:pPr>
            <w:r w:rsidRPr="002009D7">
              <w:rPr>
                <w:b w:val="0"/>
                <w:caps w:val="0"/>
                <w:sz w:val="16"/>
                <w:szCs w:val="16"/>
                <w:lang w:val="fr-FR"/>
              </w:rPr>
              <w:t>Coûts du projet</w:t>
            </w:r>
          </w:p>
        </w:tc>
        <w:tc>
          <w:tcPr>
            <w:tcW w:w="352" w:type="pct"/>
          </w:tcPr>
          <w:p w14:paraId="22A22291"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245</w:t>
            </w:r>
            <w:r w:rsidR="004A3B9C">
              <w:rPr>
                <w:b w:val="0"/>
                <w:sz w:val="16"/>
                <w:szCs w:val="16"/>
                <w:lang w:val="fr-FR"/>
              </w:rPr>
              <w:t> </w:t>
            </w:r>
            <w:r w:rsidRPr="002009D7">
              <w:rPr>
                <w:b w:val="0"/>
                <w:sz w:val="16"/>
                <w:szCs w:val="16"/>
                <w:lang w:val="fr-FR"/>
              </w:rPr>
              <w:t>000</w:t>
            </w:r>
          </w:p>
        </w:tc>
        <w:tc>
          <w:tcPr>
            <w:tcW w:w="278" w:type="pct"/>
            <w:shd w:val="clear" w:color="auto" w:fill="auto"/>
          </w:tcPr>
          <w:p w14:paraId="4114EA18"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14" w:type="pct"/>
            <w:shd w:val="clear" w:color="auto" w:fill="auto"/>
          </w:tcPr>
          <w:p w14:paraId="5A657741"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60</w:t>
            </w:r>
            <w:r w:rsidR="004A3B9C">
              <w:rPr>
                <w:b w:val="0"/>
                <w:sz w:val="16"/>
                <w:szCs w:val="16"/>
                <w:lang w:val="fr-FR"/>
              </w:rPr>
              <w:t> </w:t>
            </w:r>
            <w:r w:rsidRPr="002009D7">
              <w:rPr>
                <w:b w:val="0"/>
                <w:sz w:val="16"/>
                <w:szCs w:val="16"/>
                <w:lang w:val="fr-FR"/>
              </w:rPr>
              <w:t>000</w:t>
            </w:r>
          </w:p>
        </w:tc>
        <w:tc>
          <w:tcPr>
            <w:tcW w:w="278" w:type="pct"/>
            <w:shd w:val="clear" w:color="auto" w:fill="auto"/>
          </w:tcPr>
          <w:p w14:paraId="019CDEF8"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78" w:type="pct"/>
            <w:shd w:val="clear" w:color="auto" w:fill="auto"/>
          </w:tcPr>
          <w:p w14:paraId="7A228836"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78" w:type="pct"/>
            <w:shd w:val="clear" w:color="auto" w:fill="auto"/>
          </w:tcPr>
          <w:p w14:paraId="19D081B2"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87" w:type="pct"/>
            <w:shd w:val="clear" w:color="auto" w:fill="auto"/>
          </w:tcPr>
          <w:p w14:paraId="6F0C5544"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26" w:type="pct"/>
            <w:shd w:val="clear" w:color="auto" w:fill="auto"/>
          </w:tcPr>
          <w:p w14:paraId="472FF61B"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52" w:type="pct"/>
            <w:shd w:val="clear" w:color="auto" w:fill="auto"/>
          </w:tcPr>
          <w:p w14:paraId="160152F0"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26" w:type="pct"/>
          </w:tcPr>
          <w:p w14:paraId="4BD76E98" w14:textId="77777777" w:rsidR="00480052" w:rsidRPr="002009D7" w:rsidRDefault="00480052" w:rsidP="00BB1DAF">
            <w:pPr>
              <w:pStyle w:val="Title1"/>
              <w:spacing w:after="60"/>
              <w:jc w:val="right"/>
              <w:rPr>
                <w:b w:val="0"/>
                <w:sz w:val="16"/>
                <w:szCs w:val="16"/>
                <w:lang w:val="fr-FR"/>
              </w:rPr>
            </w:pPr>
          </w:p>
        </w:tc>
        <w:tc>
          <w:tcPr>
            <w:tcW w:w="332" w:type="pct"/>
          </w:tcPr>
          <w:p w14:paraId="22BA99E8" w14:textId="77777777" w:rsidR="00480052" w:rsidRPr="002009D7" w:rsidRDefault="00480052" w:rsidP="00BB1DAF">
            <w:pPr>
              <w:pStyle w:val="Title1"/>
              <w:spacing w:after="60"/>
              <w:jc w:val="right"/>
              <w:rPr>
                <w:b w:val="0"/>
                <w:sz w:val="16"/>
                <w:szCs w:val="16"/>
                <w:lang w:val="fr-FR"/>
              </w:rPr>
            </w:pPr>
          </w:p>
        </w:tc>
        <w:tc>
          <w:tcPr>
            <w:tcW w:w="400" w:type="pct"/>
            <w:shd w:val="clear" w:color="auto" w:fill="auto"/>
          </w:tcPr>
          <w:p w14:paraId="6BAF2734"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305</w:t>
            </w:r>
            <w:r w:rsidR="004A3B9C">
              <w:rPr>
                <w:b w:val="0"/>
                <w:sz w:val="16"/>
                <w:szCs w:val="16"/>
                <w:lang w:val="fr-FR"/>
              </w:rPr>
              <w:t> </w:t>
            </w:r>
            <w:r w:rsidRPr="002009D7">
              <w:rPr>
                <w:b w:val="0"/>
                <w:sz w:val="16"/>
                <w:szCs w:val="16"/>
                <w:lang w:val="fr-FR"/>
              </w:rPr>
              <w:t>000</w:t>
            </w:r>
          </w:p>
        </w:tc>
      </w:tr>
      <w:tr w:rsidR="00480052" w:rsidRPr="002009D7" w14:paraId="5E39258E" w14:textId="77777777" w:rsidTr="00202DEB">
        <w:trPr>
          <w:trHeight w:val="481"/>
        </w:trPr>
        <w:tc>
          <w:tcPr>
            <w:tcW w:w="754" w:type="pct"/>
            <w:gridSpan w:val="2"/>
            <w:vMerge/>
            <w:shd w:val="clear" w:color="auto" w:fill="auto"/>
          </w:tcPr>
          <w:p w14:paraId="7C86CEAB" w14:textId="77777777" w:rsidR="00480052" w:rsidRPr="002009D7" w:rsidRDefault="00480052" w:rsidP="00BB1DAF">
            <w:pPr>
              <w:pStyle w:val="Title1"/>
              <w:spacing w:after="60"/>
              <w:rPr>
                <w:b w:val="0"/>
                <w:sz w:val="16"/>
                <w:szCs w:val="16"/>
                <w:lang w:val="fr-FR"/>
              </w:rPr>
            </w:pPr>
          </w:p>
        </w:tc>
        <w:tc>
          <w:tcPr>
            <w:tcW w:w="444" w:type="pct"/>
            <w:shd w:val="clear" w:color="auto" w:fill="auto"/>
          </w:tcPr>
          <w:p w14:paraId="5AB382D6" w14:textId="77777777" w:rsidR="00480052" w:rsidRPr="002009D7" w:rsidRDefault="00480052" w:rsidP="00BB1DAF">
            <w:pPr>
              <w:pStyle w:val="Title1"/>
              <w:spacing w:after="60"/>
              <w:jc w:val="left"/>
              <w:rPr>
                <w:b w:val="0"/>
                <w:sz w:val="16"/>
                <w:szCs w:val="16"/>
                <w:lang w:val="fr-FR"/>
              </w:rPr>
            </w:pPr>
            <w:r w:rsidRPr="002009D7">
              <w:rPr>
                <w:b w:val="0"/>
                <w:caps w:val="0"/>
                <w:sz w:val="16"/>
                <w:szCs w:val="16"/>
                <w:lang w:val="fr-FR"/>
              </w:rPr>
              <w:t>Coûts d’appui</w:t>
            </w:r>
          </w:p>
        </w:tc>
        <w:tc>
          <w:tcPr>
            <w:tcW w:w="352" w:type="pct"/>
          </w:tcPr>
          <w:p w14:paraId="33AF2A61"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23</w:t>
            </w:r>
            <w:r w:rsidR="004A3B9C">
              <w:rPr>
                <w:b w:val="0"/>
                <w:sz w:val="16"/>
                <w:szCs w:val="16"/>
                <w:lang w:val="fr-FR"/>
              </w:rPr>
              <w:t> </w:t>
            </w:r>
            <w:r w:rsidRPr="002009D7">
              <w:rPr>
                <w:b w:val="0"/>
                <w:sz w:val="16"/>
                <w:szCs w:val="16"/>
                <w:lang w:val="fr-FR"/>
              </w:rPr>
              <w:t>050</w:t>
            </w:r>
          </w:p>
        </w:tc>
        <w:tc>
          <w:tcPr>
            <w:tcW w:w="278" w:type="pct"/>
            <w:shd w:val="clear" w:color="auto" w:fill="auto"/>
          </w:tcPr>
          <w:p w14:paraId="61F98E86"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14" w:type="pct"/>
            <w:shd w:val="clear" w:color="auto" w:fill="auto"/>
          </w:tcPr>
          <w:p w14:paraId="3DDD88DD"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7</w:t>
            </w:r>
            <w:r w:rsidR="004A3B9C">
              <w:rPr>
                <w:b w:val="0"/>
                <w:sz w:val="16"/>
                <w:szCs w:val="16"/>
                <w:lang w:val="fr-FR"/>
              </w:rPr>
              <w:t> </w:t>
            </w:r>
            <w:r w:rsidRPr="002009D7">
              <w:rPr>
                <w:b w:val="0"/>
                <w:sz w:val="16"/>
                <w:szCs w:val="16"/>
                <w:lang w:val="fr-FR"/>
              </w:rPr>
              <w:t>800</w:t>
            </w:r>
          </w:p>
        </w:tc>
        <w:tc>
          <w:tcPr>
            <w:tcW w:w="278" w:type="pct"/>
            <w:shd w:val="clear" w:color="auto" w:fill="auto"/>
          </w:tcPr>
          <w:p w14:paraId="76D86C7C"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78" w:type="pct"/>
            <w:shd w:val="clear" w:color="auto" w:fill="auto"/>
          </w:tcPr>
          <w:p w14:paraId="67C6C7F5"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78" w:type="pct"/>
            <w:shd w:val="clear" w:color="auto" w:fill="auto"/>
          </w:tcPr>
          <w:p w14:paraId="4FF1E608"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87" w:type="pct"/>
            <w:shd w:val="clear" w:color="auto" w:fill="auto"/>
          </w:tcPr>
          <w:p w14:paraId="0E12AD8E"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26" w:type="pct"/>
            <w:shd w:val="clear" w:color="auto" w:fill="auto"/>
          </w:tcPr>
          <w:p w14:paraId="7D98E298"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52" w:type="pct"/>
            <w:shd w:val="clear" w:color="auto" w:fill="auto"/>
          </w:tcPr>
          <w:p w14:paraId="6D39E265"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26" w:type="pct"/>
          </w:tcPr>
          <w:p w14:paraId="60AF1C39" w14:textId="77777777" w:rsidR="00480052" w:rsidRPr="002009D7" w:rsidRDefault="00480052" w:rsidP="00BB1DAF">
            <w:pPr>
              <w:pStyle w:val="Title1"/>
              <w:spacing w:after="60"/>
              <w:jc w:val="right"/>
              <w:rPr>
                <w:b w:val="0"/>
                <w:sz w:val="16"/>
                <w:szCs w:val="16"/>
                <w:lang w:val="fr-FR"/>
              </w:rPr>
            </w:pPr>
          </w:p>
        </w:tc>
        <w:tc>
          <w:tcPr>
            <w:tcW w:w="332" w:type="pct"/>
          </w:tcPr>
          <w:p w14:paraId="38DAA753" w14:textId="77777777" w:rsidR="00480052" w:rsidRPr="002009D7" w:rsidRDefault="00480052" w:rsidP="00BB1DAF">
            <w:pPr>
              <w:pStyle w:val="Title1"/>
              <w:spacing w:after="60"/>
              <w:jc w:val="right"/>
              <w:rPr>
                <w:b w:val="0"/>
                <w:sz w:val="16"/>
                <w:szCs w:val="16"/>
                <w:lang w:val="fr-FR"/>
              </w:rPr>
            </w:pPr>
          </w:p>
        </w:tc>
        <w:tc>
          <w:tcPr>
            <w:tcW w:w="400" w:type="pct"/>
            <w:shd w:val="clear" w:color="auto" w:fill="auto"/>
          </w:tcPr>
          <w:p w14:paraId="3751F538"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30</w:t>
            </w:r>
            <w:r w:rsidR="004A3B9C">
              <w:rPr>
                <w:b w:val="0"/>
                <w:sz w:val="16"/>
                <w:szCs w:val="16"/>
                <w:lang w:val="fr-FR"/>
              </w:rPr>
              <w:t> </w:t>
            </w:r>
            <w:r w:rsidRPr="002009D7">
              <w:rPr>
                <w:b w:val="0"/>
                <w:sz w:val="16"/>
                <w:szCs w:val="16"/>
                <w:lang w:val="fr-FR"/>
              </w:rPr>
              <w:t>850</w:t>
            </w:r>
          </w:p>
        </w:tc>
      </w:tr>
      <w:tr w:rsidR="00480052" w:rsidRPr="002009D7" w14:paraId="051E1C4B" w14:textId="77777777" w:rsidTr="00202DEB">
        <w:trPr>
          <w:trHeight w:val="467"/>
        </w:trPr>
        <w:tc>
          <w:tcPr>
            <w:tcW w:w="754" w:type="pct"/>
            <w:gridSpan w:val="2"/>
            <w:vMerge w:val="restart"/>
            <w:shd w:val="clear" w:color="auto" w:fill="auto"/>
          </w:tcPr>
          <w:p w14:paraId="5162ABFA" w14:textId="77777777" w:rsidR="00480052" w:rsidRPr="002009D7" w:rsidRDefault="00480052" w:rsidP="00BB1DAF">
            <w:pPr>
              <w:pStyle w:val="Title1"/>
              <w:spacing w:after="60"/>
              <w:jc w:val="left"/>
              <w:rPr>
                <w:b w:val="0"/>
                <w:sz w:val="16"/>
                <w:szCs w:val="16"/>
                <w:lang w:val="fr-FR"/>
              </w:rPr>
            </w:pPr>
            <w:r w:rsidRPr="002009D7">
              <w:rPr>
                <w:b w:val="0"/>
                <w:caps w:val="0"/>
                <w:sz w:val="16"/>
                <w:szCs w:val="16"/>
                <w:lang w:val="fr-FR"/>
              </w:rPr>
              <w:t>Total des fonds demandés pour approbation à cette réunion ($</w:t>
            </w:r>
            <w:r w:rsidR="004A3B9C">
              <w:rPr>
                <w:b w:val="0"/>
                <w:caps w:val="0"/>
                <w:sz w:val="16"/>
                <w:szCs w:val="16"/>
                <w:lang w:val="fr-FR"/>
              </w:rPr>
              <w:t xml:space="preserve"> </w:t>
            </w:r>
            <w:r w:rsidRPr="002009D7">
              <w:rPr>
                <w:b w:val="0"/>
                <w:caps w:val="0"/>
                <w:sz w:val="16"/>
                <w:szCs w:val="16"/>
                <w:lang w:val="fr-FR"/>
              </w:rPr>
              <w:t>US)</w:t>
            </w:r>
          </w:p>
        </w:tc>
        <w:tc>
          <w:tcPr>
            <w:tcW w:w="444" w:type="pct"/>
            <w:shd w:val="clear" w:color="auto" w:fill="auto"/>
          </w:tcPr>
          <w:p w14:paraId="516C652B" w14:textId="77777777" w:rsidR="00480052" w:rsidRPr="002009D7" w:rsidRDefault="00480052" w:rsidP="00BB1DAF">
            <w:pPr>
              <w:pStyle w:val="Title1"/>
              <w:spacing w:after="60"/>
              <w:jc w:val="left"/>
              <w:rPr>
                <w:b w:val="0"/>
                <w:sz w:val="16"/>
                <w:szCs w:val="16"/>
                <w:lang w:val="fr-FR"/>
              </w:rPr>
            </w:pPr>
            <w:r w:rsidRPr="002009D7">
              <w:rPr>
                <w:b w:val="0"/>
                <w:caps w:val="0"/>
                <w:sz w:val="16"/>
                <w:szCs w:val="16"/>
                <w:lang w:val="fr-FR"/>
              </w:rPr>
              <w:t>Coûts du projet</w:t>
            </w:r>
          </w:p>
        </w:tc>
        <w:tc>
          <w:tcPr>
            <w:tcW w:w="352" w:type="pct"/>
          </w:tcPr>
          <w:p w14:paraId="46720A2C"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278" w:type="pct"/>
            <w:shd w:val="clear" w:color="auto" w:fill="auto"/>
          </w:tcPr>
          <w:p w14:paraId="1FFD14E0"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14" w:type="pct"/>
            <w:shd w:val="clear" w:color="auto" w:fill="auto"/>
          </w:tcPr>
          <w:p w14:paraId="4B169583"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78" w:type="pct"/>
            <w:shd w:val="clear" w:color="auto" w:fill="auto"/>
          </w:tcPr>
          <w:p w14:paraId="3C72AF03"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78" w:type="pct"/>
            <w:shd w:val="clear" w:color="auto" w:fill="auto"/>
          </w:tcPr>
          <w:p w14:paraId="16B0D990"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78" w:type="pct"/>
            <w:shd w:val="clear" w:color="auto" w:fill="auto"/>
          </w:tcPr>
          <w:p w14:paraId="19972A21"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87" w:type="pct"/>
            <w:shd w:val="clear" w:color="auto" w:fill="auto"/>
          </w:tcPr>
          <w:p w14:paraId="5737EC09"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26" w:type="pct"/>
            <w:shd w:val="clear" w:color="auto" w:fill="auto"/>
          </w:tcPr>
          <w:p w14:paraId="1766EA04"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52" w:type="pct"/>
            <w:shd w:val="clear" w:color="auto" w:fill="auto"/>
          </w:tcPr>
          <w:p w14:paraId="622C5FA3"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225</w:t>
            </w:r>
            <w:r w:rsidR="004A3B9C">
              <w:rPr>
                <w:b w:val="0"/>
                <w:sz w:val="16"/>
                <w:szCs w:val="16"/>
                <w:lang w:val="fr-FR"/>
              </w:rPr>
              <w:t> </w:t>
            </w:r>
            <w:r w:rsidRPr="002009D7">
              <w:rPr>
                <w:b w:val="0"/>
                <w:sz w:val="16"/>
                <w:szCs w:val="16"/>
                <w:lang w:val="fr-FR"/>
              </w:rPr>
              <w:t>000</w:t>
            </w:r>
          </w:p>
        </w:tc>
        <w:tc>
          <w:tcPr>
            <w:tcW w:w="326" w:type="pct"/>
          </w:tcPr>
          <w:p w14:paraId="5B5DD54B" w14:textId="77777777" w:rsidR="00480052" w:rsidRPr="002009D7" w:rsidRDefault="00480052" w:rsidP="00BB1DAF">
            <w:pPr>
              <w:pStyle w:val="Title1"/>
              <w:spacing w:after="60"/>
              <w:jc w:val="right"/>
              <w:rPr>
                <w:b w:val="0"/>
                <w:sz w:val="16"/>
                <w:szCs w:val="16"/>
                <w:lang w:val="fr-FR"/>
              </w:rPr>
            </w:pPr>
          </w:p>
        </w:tc>
        <w:tc>
          <w:tcPr>
            <w:tcW w:w="332" w:type="pct"/>
          </w:tcPr>
          <w:p w14:paraId="39CC795C" w14:textId="77777777" w:rsidR="00480052" w:rsidRPr="002009D7" w:rsidRDefault="00480052" w:rsidP="00BB1DAF">
            <w:pPr>
              <w:pStyle w:val="Title1"/>
              <w:spacing w:after="60"/>
              <w:jc w:val="right"/>
              <w:rPr>
                <w:b w:val="0"/>
                <w:sz w:val="16"/>
                <w:szCs w:val="16"/>
                <w:lang w:val="fr-FR"/>
              </w:rPr>
            </w:pPr>
          </w:p>
        </w:tc>
        <w:tc>
          <w:tcPr>
            <w:tcW w:w="400" w:type="pct"/>
            <w:shd w:val="clear" w:color="auto" w:fill="auto"/>
          </w:tcPr>
          <w:p w14:paraId="74589376"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225</w:t>
            </w:r>
            <w:r w:rsidR="004A3B9C">
              <w:rPr>
                <w:b w:val="0"/>
                <w:sz w:val="16"/>
                <w:szCs w:val="16"/>
                <w:lang w:val="fr-FR"/>
              </w:rPr>
              <w:t> </w:t>
            </w:r>
            <w:r w:rsidRPr="002009D7">
              <w:rPr>
                <w:b w:val="0"/>
                <w:sz w:val="16"/>
                <w:szCs w:val="16"/>
                <w:lang w:val="fr-FR"/>
              </w:rPr>
              <w:t>000</w:t>
            </w:r>
          </w:p>
        </w:tc>
      </w:tr>
      <w:tr w:rsidR="00480052" w:rsidRPr="002009D7" w14:paraId="72450D4E" w14:textId="77777777" w:rsidTr="00202DEB">
        <w:trPr>
          <w:trHeight w:val="467"/>
        </w:trPr>
        <w:tc>
          <w:tcPr>
            <w:tcW w:w="754" w:type="pct"/>
            <w:gridSpan w:val="2"/>
            <w:vMerge/>
            <w:shd w:val="clear" w:color="auto" w:fill="auto"/>
          </w:tcPr>
          <w:p w14:paraId="6F3017A0" w14:textId="77777777" w:rsidR="00480052" w:rsidRPr="002009D7" w:rsidRDefault="00480052" w:rsidP="00BB1DAF">
            <w:pPr>
              <w:pStyle w:val="Title1"/>
              <w:spacing w:after="60"/>
              <w:rPr>
                <w:b w:val="0"/>
                <w:sz w:val="16"/>
                <w:szCs w:val="16"/>
                <w:lang w:val="fr-FR"/>
              </w:rPr>
            </w:pPr>
          </w:p>
        </w:tc>
        <w:tc>
          <w:tcPr>
            <w:tcW w:w="444" w:type="pct"/>
            <w:shd w:val="clear" w:color="auto" w:fill="auto"/>
          </w:tcPr>
          <w:p w14:paraId="23073FAD" w14:textId="77777777" w:rsidR="00480052" w:rsidRPr="002009D7" w:rsidRDefault="00480052" w:rsidP="00BB1DAF">
            <w:pPr>
              <w:pStyle w:val="Title1"/>
              <w:spacing w:after="60"/>
              <w:jc w:val="left"/>
              <w:rPr>
                <w:b w:val="0"/>
                <w:sz w:val="16"/>
                <w:szCs w:val="16"/>
                <w:lang w:val="fr-FR"/>
              </w:rPr>
            </w:pPr>
            <w:r w:rsidRPr="002009D7">
              <w:rPr>
                <w:b w:val="0"/>
                <w:caps w:val="0"/>
                <w:sz w:val="16"/>
                <w:szCs w:val="16"/>
                <w:lang w:val="fr-FR"/>
              </w:rPr>
              <w:t>Coûts d’appui</w:t>
            </w:r>
          </w:p>
        </w:tc>
        <w:tc>
          <w:tcPr>
            <w:tcW w:w="352" w:type="pct"/>
          </w:tcPr>
          <w:p w14:paraId="68228EB6"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0</w:t>
            </w:r>
          </w:p>
        </w:tc>
        <w:tc>
          <w:tcPr>
            <w:tcW w:w="278" w:type="pct"/>
            <w:shd w:val="clear" w:color="auto" w:fill="auto"/>
          </w:tcPr>
          <w:p w14:paraId="10C9C52B"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14" w:type="pct"/>
            <w:shd w:val="clear" w:color="auto" w:fill="auto"/>
          </w:tcPr>
          <w:p w14:paraId="279DCF6D"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78" w:type="pct"/>
            <w:shd w:val="clear" w:color="auto" w:fill="auto"/>
          </w:tcPr>
          <w:p w14:paraId="6C2B430A"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78" w:type="pct"/>
            <w:shd w:val="clear" w:color="auto" w:fill="auto"/>
          </w:tcPr>
          <w:p w14:paraId="52B7CA8C"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78" w:type="pct"/>
            <w:shd w:val="clear" w:color="auto" w:fill="auto"/>
          </w:tcPr>
          <w:p w14:paraId="6FE236B2"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287" w:type="pct"/>
            <w:shd w:val="clear" w:color="auto" w:fill="auto"/>
          </w:tcPr>
          <w:p w14:paraId="545942B3"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26" w:type="pct"/>
            <w:shd w:val="clear" w:color="auto" w:fill="auto"/>
          </w:tcPr>
          <w:p w14:paraId="7F60A690"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 xml:space="preserve">0 </w:t>
            </w:r>
          </w:p>
        </w:tc>
        <w:tc>
          <w:tcPr>
            <w:tcW w:w="352" w:type="pct"/>
            <w:shd w:val="clear" w:color="auto" w:fill="auto"/>
          </w:tcPr>
          <w:p w14:paraId="39E2E4D7"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21</w:t>
            </w:r>
            <w:r w:rsidR="004A3B9C">
              <w:rPr>
                <w:b w:val="0"/>
                <w:sz w:val="16"/>
                <w:szCs w:val="16"/>
                <w:lang w:val="fr-FR"/>
              </w:rPr>
              <w:t> </w:t>
            </w:r>
            <w:r w:rsidRPr="002009D7">
              <w:rPr>
                <w:b w:val="0"/>
                <w:sz w:val="16"/>
                <w:szCs w:val="16"/>
                <w:lang w:val="fr-FR"/>
              </w:rPr>
              <w:t>750</w:t>
            </w:r>
          </w:p>
        </w:tc>
        <w:tc>
          <w:tcPr>
            <w:tcW w:w="326" w:type="pct"/>
          </w:tcPr>
          <w:p w14:paraId="5071CFC4" w14:textId="77777777" w:rsidR="00480052" w:rsidRPr="002009D7" w:rsidRDefault="00480052" w:rsidP="00BB1DAF">
            <w:pPr>
              <w:pStyle w:val="Title1"/>
              <w:spacing w:after="60"/>
              <w:jc w:val="right"/>
              <w:rPr>
                <w:b w:val="0"/>
                <w:sz w:val="16"/>
                <w:szCs w:val="16"/>
                <w:lang w:val="fr-FR"/>
              </w:rPr>
            </w:pPr>
          </w:p>
        </w:tc>
        <w:tc>
          <w:tcPr>
            <w:tcW w:w="332" w:type="pct"/>
          </w:tcPr>
          <w:p w14:paraId="393C6CDE" w14:textId="77777777" w:rsidR="00480052" w:rsidRPr="002009D7" w:rsidRDefault="00480052" w:rsidP="00BB1DAF">
            <w:pPr>
              <w:pStyle w:val="Title1"/>
              <w:spacing w:after="60"/>
              <w:jc w:val="right"/>
              <w:rPr>
                <w:b w:val="0"/>
                <w:sz w:val="16"/>
                <w:szCs w:val="16"/>
                <w:lang w:val="fr-FR"/>
              </w:rPr>
            </w:pPr>
          </w:p>
        </w:tc>
        <w:tc>
          <w:tcPr>
            <w:tcW w:w="400" w:type="pct"/>
            <w:shd w:val="clear" w:color="auto" w:fill="auto"/>
          </w:tcPr>
          <w:p w14:paraId="5E29523E" w14:textId="77777777" w:rsidR="00480052" w:rsidRPr="002009D7" w:rsidRDefault="00480052" w:rsidP="00BB1DAF">
            <w:pPr>
              <w:pStyle w:val="Title1"/>
              <w:spacing w:after="60"/>
              <w:jc w:val="right"/>
              <w:rPr>
                <w:b w:val="0"/>
                <w:sz w:val="16"/>
                <w:szCs w:val="16"/>
                <w:lang w:val="fr-FR"/>
              </w:rPr>
            </w:pPr>
            <w:r w:rsidRPr="002009D7">
              <w:rPr>
                <w:b w:val="0"/>
                <w:sz w:val="16"/>
                <w:szCs w:val="16"/>
                <w:lang w:val="fr-FR"/>
              </w:rPr>
              <w:t>21</w:t>
            </w:r>
            <w:r w:rsidR="004A3B9C">
              <w:rPr>
                <w:b w:val="0"/>
                <w:sz w:val="16"/>
                <w:szCs w:val="16"/>
                <w:lang w:val="fr-FR"/>
              </w:rPr>
              <w:t> </w:t>
            </w:r>
            <w:r w:rsidRPr="002009D7">
              <w:rPr>
                <w:b w:val="0"/>
                <w:sz w:val="16"/>
                <w:szCs w:val="16"/>
                <w:lang w:val="fr-FR"/>
              </w:rPr>
              <w:t>750</w:t>
            </w:r>
          </w:p>
        </w:tc>
      </w:tr>
    </w:tbl>
    <w:p w14:paraId="01EA31D1" w14:textId="1A0DB872" w:rsidR="00480052" w:rsidRDefault="00480052" w:rsidP="00202DEB">
      <w:pPr>
        <w:jc w:val="left"/>
        <w:rPr>
          <w:sz w:val="16"/>
          <w:szCs w:val="16"/>
          <w:lang w:val="fr-FR"/>
        </w:rPr>
      </w:pPr>
      <w:r w:rsidRPr="002009D7">
        <w:rPr>
          <w:sz w:val="16"/>
          <w:szCs w:val="16"/>
          <w:lang w:val="fr-FR"/>
        </w:rPr>
        <w:t xml:space="preserve">*Mise à jour </w:t>
      </w:r>
      <w:r w:rsidR="004A3B9C">
        <w:rPr>
          <w:sz w:val="16"/>
          <w:szCs w:val="16"/>
          <w:lang w:val="fr-FR"/>
        </w:rPr>
        <w:t>d</w:t>
      </w:r>
      <w:r w:rsidRPr="002009D7">
        <w:rPr>
          <w:sz w:val="16"/>
          <w:szCs w:val="16"/>
          <w:lang w:val="fr-FR"/>
        </w:rPr>
        <w:t>e</w:t>
      </w:r>
      <w:r w:rsidR="004A3B9C">
        <w:rPr>
          <w:sz w:val="16"/>
          <w:szCs w:val="16"/>
          <w:lang w:val="fr-FR"/>
        </w:rPr>
        <w:t xml:space="preserve"> </w:t>
      </w:r>
      <w:r w:rsidRPr="002009D7">
        <w:rPr>
          <w:sz w:val="16"/>
          <w:szCs w:val="16"/>
          <w:lang w:val="fr-FR"/>
        </w:rPr>
        <w:t>l’Accord à prendre en compte lors de la 85</w:t>
      </w:r>
      <w:r w:rsidRPr="002009D7">
        <w:rPr>
          <w:sz w:val="16"/>
          <w:szCs w:val="16"/>
          <w:vertAlign w:val="superscript"/>
          <w:lang w:val="fr-FR"/>
        </w:rPr>
        <w:t>e</w:t>
      </w:r>
      <w:r w:rsidR="004A3B9C">
        <w:rPr>
          <w:sz w:val="16"/>
          <w:szCs w:val="16"/>
          <w:lang w:val="fr-FR"/>
        </w:rPr>
        <w:t> </w:t>
      </w:r>
      <w:r w:rsidRPr="002009D7">
        <w:rPr>
          <w:sz w:val="16"/>
          <w:szCs w:val="16"/>
          <w:lang w:val="fr-FR"/>
        </w:rPr>
        <w:t>réunion.</w:t>
      </w:r>
    </w:p>
    <w:p w14:paraId="1B699A4C" w14:textId="77777777" w:rsidR="00202DEB" w:rsidRPr="00202DEB" w:rsidRDefault="00202DEB" w:rsidP="00202DEB">
      <w:pPr>
        <w:jc w:val="left"/>
        <w:rPr>
          <w:sz w:val="10"/>
          <w:szCs w:val="10"/>
          <w:lang w:val="fr-FR"/>
        </w:rPr>
      </w:pPr>
    </w:p>
    <w:tbl>
      <w:tblPr>
        <w:tblStyle w:val="TableGrid"/>
        <w:tblW w:w="10348" w:type="dxa"/>
        <w:tblInd w:w="-14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254"/>
        <w:gridCol w:w="7094"/>
      </w:tblGrid>
      <w:tr w:rsidR="00480052" w:rsidRPr="002009D7" w14:paraId="36B544AB" w14:textId="77777777" w:rsidTr="00BB1DAF">
        <w:trPr>
          <w:trHeight w:val="257"/>
        </w:trPr>
        <w:tc>
          <w:tcPr>
            <w:tcW w:w="3254" w:type="dxa"/>
            <w:shd w:val="clear" w:color="auto" w:fill="auto"/>
          </w:tcPr>
          <w:p w14:paraId="1085CF08" w14:textId="77777777" w:rsidR="00480052" w:rsidRPr="002009D7" w:rsidRDefault="00480052" w:rsidP="00BB1DAF">
            <w:pPr>
              <w:pStyle w:val="Title1"/>
              <w:spacing w:after="60"/>
              <w:ind w:left="-116" w:firstLine="116"/>
              <w:jc w:val="left"/>
              <w:rPr>
                <w:sz w:val="16"/>
                <w:szCs w:val="16"/>
                <w:lang w:val="fr-FR"/>
              </w:rPr>
            </w:pPr>
            <w:r w:rsidRPr="002009D7">
              <w:rPr>
                <w:caps w:val="0"/>
                <w:sz w:val="16"/>
                <w:szCs w:val="16"/>
                <w:lang w:val="fr-FR"/>
              </w:rPr>
              <w:t>Recommandation du Secrétariat</w:t>
            </w:r>
            <w:r w:rsidR="004A3B9C">
              <w:rPr>
                <w:caps w:val="0"/>
                <w:sz w:val="16"/>
                <w:szCs w:val="16"/>
                <w:lang w:val="fr-FR"/>
              </w:rPr>
              <w:t> </w:t>
            </w:r>
            <w:r w:rsidRPr="002009D7">
              <w:rPr>
                <w:caps w:val="0"/>
                <w:sz w:val="16"/>
                <w:szCs w:val="16"/>
                <w:lang w:val="fr-FR"/>
              </w:rPr>
              <w:t>:</w:t>
            </w:r>
          </w:p>
        </w:tc>
        <w:tc>
          <w:tcPr>
            <w:tcW w:w="7094" w:type="dxa"/>
            <w:shd w:val="clear" w:color="auto" w:fill="auto"/>
          </w:tcPr>
          <w:p w14:paraId="786430E9" w14:textId="77777777" w:rsidR="00480052" w:rsidRPr="002009D7" w:rsidRDefault="00480052" w:rsidP="00BB1DAF">
            <w:pPr>
              <w:pStyle w:val="Title1"/>
              <w:spacing w:after="60"/>
              <w:rPr>
                <w:b w:val="0"/>
                <w:sz w:val="16"/>
                <w:szCs w:val="16"/>
                <w:lang w:val="fr-FR"/>
              </w:rPr>
            </w:pPr>
            <w:r w:rsidRPr="002009D7">
              <w:rPr>
                <w:b w:val="0"/>
                <w:caps w:val="0"/>
                <w:sz w:val="16"/>
                <w:szCs w:val="16"/>
                <w:lang w:val="fr-FR"/>
              </w:rPr>
              <w:t>Examen individuel</w:t>
            </w:r>
          </w:p>
        </w:tc>
      </w:tr>
    </w:tbl>
    <w:p w14:paraId="6D73CD82" w14:textId="232EF0EC" w:rsidR="00202DEB" w:rsidRDefault="00202DEB" w:rsidP="00202DEB">
      <w:pPr>
        <w:rPr>
          <w:b/>
          <w:lang w:val="fr-FR"/>
        </w:rPr>
      </w:pPr>
      <w:r>
        <w:rPr>
          <w:b/>
          <w:lang w:val="fr-FR"/>
        </w:rPr>
        <w:br w:type="page"/>
      </w:r>
    </w:p>
    <w:p w14:paraId="63182EDC" w14:textId="0E9FEE37" w:rsidR="00480052" w:rsidRPr="002009D7" w:rsidRDefault="00480052" w:rsidP="00202DEB">
      <w:pPr>
        <w:jc w:val="center"/>
        <w:rPr>
          <w:b/>
          <w:lang w:val="fr-FR"/>
        </w:rPr>
      </w:pPr>
      <w:r w:rsidRPr="002009D7">
        <w:rPr>
          <w:b/>
          <w:lang w:val="fr-FR"/>
        </w:rPr>
        <w:lastRenderedPageBreak/>
        <w:t>DESCRIPTION DU PROJET</w:t>
      </w:r>
    </w:p>
    <w:p w14:paraId="31CA867D" w14:textId="77777777" w:rsidR="00480052" w:rsidRPr="002009D7" w:rsidRDefault="00480052" w:rsidP="00480052">
      <w:pPr>
        <w:rPr>
          <w:b/>
          <w:lang w:val="fr-FR"/>
        </w:rPr>
      </w:pPr>
    </w:p>
    <w:p w14:paraId="419637B6" w14:textId="77777777" w:rsidR="00480052" w:rsidRPr="002009D7" w:rsidRDefault="00480052" w:rsidP="00480052">
      <w:pPr>
        <w:rPr>
          <w:b/>
          <w:lang w:val="fr-FR"/>
        </w:rPr>
      </w:pPr>
      <w:r w:rsidRPr="002009D7">
        <w:rPr>
          <w:b/>
          <w:lang w:val="fr-FR"/>
        </w:rPr>
        <w:t>Contexte</w:t>
      </w:r>
    </w:p>
    <w:p w14:paraId="3AE413D7" w14:textId="77777777" w:rsidR="00480052" w:rsidRPr="002009D7" w:rsidRDefault="00480052" w:rsidP="00480052">
      <w:pPr>
        <w:rPr>
          <w:lang w:val="fr-FR"/>
        </w:rPr>
      </w:pPr>
    </w:p>
    <w:p w14:paraId="5AD9E6F6" w14:textId="1C7028D5" w:rsidR="00480052" w:rsidRPr="002009D7" w:rsidRDefault="00480052" w:rsidP="00480052">
      <w:pPr>
        <w:pStyle w:val="Heading1"/>
        <w:tabs>
          <w:tab w:val="clear" w:pos="0"/>
        </w:tabs>
        <w:rPr>
          <w:color w:val="000000" w:themeColor="text1"/>
          <w:lang w:val="fr-FR"/>
        </w:rPr>
      </w:pPr>
      <w:r w:rsidRPr="002009D7">
        <w:rPr>
          <w:lang w:val="fr-FR"/>
        </w:rPr>
        <w:t>Au nom du gouvernement de la Guinée, l</w:t>
      </w:r>
      <w:r w:rsidR="00DA7FC1">
        <w:rPr>
          <w:lang w:val="fr-FR"/>
        </w:rPr>
        <w:t>e PNUE</w:t>
      </w:r>
      <w:r w:rsidRPr="002009D7">
        <w:rPr>
          <w:lang w:val="fr-FR"/>
        </w:rPr>
        <w:t xml:space="preserve">, à titre d’agence d’exécution principale, a présenté une demande de financement pour </w:t>
      </w:r>
      <w:proofErr w:type="gramStart"/>
      <w:r w:rsidRPr="002009D7">
        <w:rPr>
          <w:lang w:val="fr-FR"/>
        </w:rPr>
        <w:t>les troisième</w:t>
      </w:r>
      <w:proofErr w:type="gramEnd"/>
      <w:r w:rsidRPr="002009D7">
        <w:rPr>
          <w:lang w:val="fr-FR"/>
        </w:rPr>
        <w:t xml:space="preserve"> et quatrième tranches de la phase I du plan de gestion de l’élimination des HCFC (PGEH), pour un montant total de 302</w:t>
      </w:r>
      <w:r w:rsidR="004A3B9C">
        <w:rPr>
          <w:lang w:val="fr-FR"/>
        </w:rPr>
        <w:t> </w:t>
      </w:r>
      <w:r w:rsidRPr="002009D7">
        <w:rPr>
          <w:lang w:val="fr-FR"/>
        </w:rPr>
        <w:t>450</w:t>
      </w:r>
      <w:r w:rsidR="004A3B9C">
        <w:rPr>
          <w:lang w:val="fr-FR"/>
        </w:rPr>
        <w:t> </w:t>
      </w:r>
      <w:r w:rsidRPr="002009D7">
        <w:rPr>
          <w:lang w:val="fr-FR"/>
        </w:rPr>
        <w:t>$ US, constitué de 115</w:t>
      </w:r>
      <w:r w:rsidR="004A3B9C">
        <w:rPr>
          <w:lang w:val="fr-FR"/>
        </w:rPr>
        <w:t> </w:t>
      </w:r>
      <w:r w:rsidRPr="002009D7">
        <w:rPr>
          <w:lang w:val="fr-FR"/>
        </w:rPr>
        <w:t>500</w:t>
      </w:r>
      <w:r w:rsidR="004A3B9C">
        <w:rPr>
          <w:lang w:val="fr-FR"/>
        </w:rPr>
        <w:t> </w:t>
      </w:r>
      <w:r w:rsidRPr="002009D7">
        <w:rPr>
          <w:lang w:val="fr-FR"/>
        </w:rPr>
        <w:t>$</w:t>
      </w:r>
      <w:r w:rsidR="00596612">
        <w:rPr>
          <w:lang w:val="fr-FR"/>
        </w:rPr>
        <w:t> </w:t>
      </w:r>
      <w:r w:rsidRPr="002009D7">
        <w:rPr>
          <w:lang w:val="fr-FR"/>
        </w:rPr>
        <w:t>US plus les coûts d’appui d’agence à hauteur de 14</w:t>
      </w:r>
      <w:r w:rsidR="004A3B9C">
        <w:rPr>
          <w:lang w:val="fr-FR"/>
        </w:rPr>
        <w:t> </w:t>
      </w:r>
      <w:r w:rsidRPr="002009D7">
        <w:rPr>
          <w:lang w:val="fr-FR"/>
        </w:rPr>
        <w:t>950</w:t>
      </w:r>
      <w:r w:rsidR="004A3B9C">
        <w:rPr>
          <w:lang w:val="fr-FR"/>
        </w:rPr>
        <w:t> </w:t>
      </w:r>
      <w:r w:rsidRPr="002009D7">
        <w:rPr>
          <w:lang w:val="fr-FR"/>
        </w:rPr>
        <w:t>$ US pour le PNUE et de 160</w:t>
      </w:r>
      <w:r w:rsidR="004A3B9C">
        <w:rPr>
          <w:lang w:val="fr-FR"/>
        </w:rPr>
        <w:t> </w:t>
      </w:r>
      <w:r w:rsidRPr="002009D7">
        <w:rPr>
          <w:lang w:val="fr-FR"/>
        </w:rPr>
        <w:t>000</w:t>
      </w:r>
      <w:r w:rsidR="004A3B9C">
        <w:rPr>
          <w:lang w:val="fr-FR"/>
        </w:rPr>
        <w:t> </w:t>
      </w:r>
      <w:r w:rsidRPr="002009D7">
        <w:rPr>
          <w:lang w:val="fr-FR"/>
        </w:rPr>
        <w:t>$ US plus les coûts d’appui d’agence à hauteur de 12</w:t>
      </w:r>
      <w:r w:rsidR="004A3B9C">
        <w:rPr>
          <w:lang w:val="fr-FR"/>
        </w:rPr>
        <w:t> </w:t>
      </w:r>
      <w:r w:rsidRPr="002009D7">
        <w:rPr>
          <w:lang w:val="fr-FR"/>
        </w:rPr>
        <w:t>000</w:t>
      </w:r>
      <w:r w:rsidR="004A3B9C">
        <w:rPr>
          <w:lang w:val="fr-FR"/>
        </w:rPr>
        <w:t> </w:t>
      </w:r>
      <w:r w:rsidRPr="002009D7">
        <w:rPr>
          <w:lang w:val="fr-FR"/>
        </w:rPr>
        <w:t>$ US pour l’ONUDI conformément à la demande initiale. La demande comprend un rapport périodique sur la mise en œuvre de la deuxième tranche, le rapport de vérification sur la consommation de HCFC de 2014 à 2019 et le plan de mise en œuvre de la tranche pour 2020-2022.</w:t>
      </w:r>
      <w:r w:rsidRPr="002009D7">
        <w:rPr>
          <w:color w:val="000000" w:themeColor="text1"/>
          <w:lang w:val="fr-FR"/>
        </w:rPr>
        <w:t xml:space="preserve"> </w:t>
      </w:r>
    </w:p>
    <w:p w14:paraId="747E4C9F" w14:textId="77777777" w:rsidR="00480052" w:rsidRPr="002009D7" w:rsidRDefault="00480052" w:rsidP="00480052">
      <w:pPr>
        <w:rPr>
          <w:b/>
          <w:lang w:val="fr-FR"/>
        </w:rPr>
      </w:pPr>
      <w:r w:rsidRPr="002009D7">
        <w:rPr>
          <w:b/>
          <w:lang w:val="fr-FR"/>
        </w:rPr>
        <w:t>Introduction</w:t>
      </w:r>
    </w:p>
    <w:p w14:paraId="2C4E6720" w14:textId="77777777" w:rsidR="00480052" w:rsidRPr="002009D7" w:rsidRDefault="00480052" w:rsidP="00480052">
      <w:pPr>
        <w:rPr>
          <w:lang w:val="fr-FR"/>
        </w:rPr>
      </w:pPr>
    </w:p>
    <w:p w14:paraId="56D6F7BD" w14:textId="2E0B84CB" w:rsidR="00480052" w:rsidRPr="002009D7" w:rsidRDefault="00480052" w:rsidP="00480052">
      <w:pPr>
        <w:pStyle w:val="Heading1"/>
        <w:tabs>
          <w:tab w:val="clear" w:pos="0"/>
        </w:tabs>
        <w:rPr>
          <w:lang w:val="fr-FR"/>
        </w:rPr>
      </w:pPr>
      <w:r w:rsidRPr="002009D7">
        <w:rPr>
          <w:lang w:val="fr-FR"/>
        </w:rPr>
        <w:t>Lors de la 66</w:t>
      </w:r>
      <w:r w:rsidRPr="002009D7">
        <w:rPr>
          <w:vertAlign w:val="superscript"/>
          <w:lang w:val="fr-FR"/>
        </w:rPr>
        <w:t>e</w:t>
      </w:r>
      <w:r w:rsidR="004A3B9C">
        <w:rPr>
          <w:lang w:val="fr-FR"/>
        </w:rPr>
        <w:t> </w:t>
      </w:r>
      <w:r w:rsidRPr="002009D7">
        <w:rPr>
          <w:lang w:val="fr-FR"/>
        </w:rPr>
        <w:t xml:space="preserve">réunion, le gouvernement de </w:t>
      </w:r>
      <w:r w:rsidR="00DA7FC1">
        <w:rPr>
          <w:lang w:val="fr-FR"/>
        </w:rPr>
        <w:t xml:space="preserve">la </w:t>
      </w:r>
      <w:r w:rsidRPr="002009D7">
        <w:rPr>
          <w:lang w:val="fr-FR"/>
        </w:rPr>
        <w:t>Guinée a soumis à l’approbation du Comité exécutif la phase I de son PGEH.</w:t>
      </w:r>
      <w:r w:rsidRPr="002009D7">
        <w:rPr>
          <w:rStyle w:val="FootnoteReference"/>
          <w:lang w:val="fr-FR"/>
        </w:rPr>
        <w:footnoteReference w:id="1"/>
      </w:r>
      <w:r w:rsidRPr="002009D7">
        <w:rPr>
          <w:lang w:val="fr-FR"/>
        </w:rPr>
        <w:t xml:space="preserve"> En se basant sur les informations collectées durant la préparation de son PGEH, le gouvernement a établi comme point de départ </w:t>
      </w:r>
      <w:r w:rsidR="00DA7FC1">
        <w:rPr>
          <w:lang w:val="fr-FR"/>
        </w:rPr>
        <w:t xml:space="preserve">à une </w:t>
      </w:r>
      <w:r w:rsidRPr="002009D7">
        <w:rPr>
          <w:lang w:val="fr-FR"/>
        </w:rPr>
        <w:t xml:space="preserve">réduction globale </w:t>
      </w:r>
      <w:r w:rsidR="00DA7FC1">
        <w:rPr>
          <w:lang w:val="fr-FR"/>
        </w:rPr>
        <w:t xml:space="preserve">et </w:t>
      </w:r>
      <w:r w:rsidRPr="002009D7">
        <w:rPr>
          <w:lang w:val="fr-FR"/>
        </w:rPr>
        <w:t xml:space="preserve">durable de </w:t>
      </w:r>
      <w:r w:rsidR="00DA7FC1">
        <w:rPr>
          <w:lang w:val="fr-FR"/>
        </w:rPr>
        <w:t>s</w:t>
      </w:r>
      <w:r w:rsidRPr="002009D7">
        <w:rPr>
          <w:lang w:val="fr-FR"/>
        </w:rPr>
        <w:t>a consommation de HCFC, sa consommation de base (soit 22,6</w:t>
      </w:r>
      <w:r w:rsidR="004A3B9C">
        <w:rPr>
          <w:lang w:val="fr-FR"/>
        </w:rPr>
        <w:t> </w:t>
      </w:r>
      <w:r w:rsidRPr="002009D7">
        <w:rPr>
          <w:lang w:val="fr-FR"/>
        </w:rPr>
        <w:t>tonnes PAO)</w:t>
      </w:r>
      <w:r w:rsidR="00DA7FC1">
        <w:rPr>
          <w:lang w:val="fr-FR"/>
        </w:rPr>
        <w:t>,</w:t>
      </w:r>
      <w:r w:rsidRPr="002009D7">
        <w:rPr>
          <w:lang w:val="fr-FR"/>
        </w:rPr>
        <w:t xml:space="preserve"> calculée en utilisant sa consommation de 21,80</w:t>
      </w:r>
      <w:r w:rsidR="004A3B9C">
        <w:rPr>
          <w:lang w:val="fr-FR"/>
        </w:rPr>
        <w:t> </w:t>
      </w:r>
      <w:r w:rsidRPr="002009D7">
        <w:rPr>
          <w:lang w:val="fr-FR"/>
        </w:rPr>
        <w:t>tonnes PAO et de 23,40</w:t>
      </w:r>
      <w:r w:rsidR="004A3B9C">
        <w:rPr>
          <w:lang w:val="fr-FR"/>
        </w:rPr>
        <w:t> </w:t>
      </w:r>
      <w:r w:rsidRPr="002009D7">
        <w:rPr>
          <w:lang w:val="fr-FR"/>
        </w:rPr>
        <w:t xml:space="preserve">tonnes PAO relevées pour 2009 et 2010 respectivement, </w:t>
      </w:r>
      <w:r w:rsidR="00F856C2">
        <w:rPr>
          <w:lang w:val="fr-FR"/>
        </w:rPr>
        <w:t>en vertu de</w:t>
      </w:r>
      <w:r w:rsidRPr="002009D7">
        <w:rPr>
          <w:lang w:val="fr-FR"/>
        </w:rPr>
        <w:t xml:space="preserve"> l’article</w:t>
      </w:r>
      <w:r w:rsidR="004A3B9C">
        <w:rPr>
          <w:lang w:val="fr-FR"/>
        </w:rPr>
        <w:t> </w:t>
      </w:r>
      <w:r w:rsidRPr="002009D7">
        <w:rPr>
          <w:lang w:val="fr-FR"/>
        </w:rPr>
        <w:t>7 du Protocole de Montréal.</w:t>
      </w:r>
    </w:p>
    <w:p w14:paraId="0FEAE195" w14:textId="3F981BDB" w:rsidR="00480052" w:rsidRPr="002009D7" w:rsidRDefault="00480052" w:rsidP="00480052">
      <w:pPr>
        <w:pStyle w:val="Heading1"/>
        <w:tabs>
          <w:tab w:val="num" w:pos="709"/>
        </w:tabs>
        <w:rPr>
          <w:lang w:val="fr-FR"/>
        </w:rPr>
      </w:pPr>
      <w:r w:rsidRPr="002009D7">
        <w:rPr>
          <w:lang w:val="fr-FR"/>
        </w:rPr>
        <w:t>Lors de la 72</w:t>
      </w:r>
      <w:r w:rsidRPr="002009D7">
        <w:rPr>
          <w:vertAlign w:val="superscript"/>
          <w:lang w:val="fr-FR"/>
        </w:rPr>
        <w:t>e</w:t>
      </w:r>
      <w:r w:rsidR="004A3B9C">
        <w:rPr>
          <w:vertAlign w:val="superscript"/>
          <w:lang w:val="fr-FR"/>
        </w:rPr>
        <w:t> </w:t>
      </w:r>
      <w:r w:rsidRPr="002009D7">
        <w:rPr>
          <w:lang w:val="fr-FR"/>
        </w:rPr>
        <w:t>réunion,</w:t>
      </w:r>
      <w:r w:rsidRPr="002009D7">
        <w:rPr>
          <w:vertAlign w:val="superscript"/>
          <w:lang w:val="fr-FR"/>
        </w:rPr>
        <w:t xml:space="preserve"> </w:t>
      </w:r>
      <w:r w:rsidRPr="002009D7">
        <w:rPr>
          <w:lang w:val="fr-FR"/>
        </w:rPr>
        <w:t xml:space="preserve">le gouvernement de </w:t>
      </w:r>
      <w:r w:rsidR="00DA7FC1">
        <w:rPr>
          <w:lang w:val="fr-FR"/>
        </w:rPr>
        <w:t xml:space="preserve">la </w:t>
      </w:r>
      <w:r w:rsidRPr="002009D7">
        <w:rPr>
          <w:lang w:val="fr-FR"/>
        </w:rPr>
        <w:t>Guinée a demandé l’approbation du financement de la deuxième tranche.</w:t>
      </w:r>
      <w:r w:rsidRPr="002009D7">
        <w:rPr>
          <w:rStyle w:val="FootnoteReference"/>
          <w:lang w:val="fr-FR"/>
        </w:rPr>
        <w:footnoteReference w:id="2"/>
      </w:r>
      <w:r w:rsidRPr="002009D7">
        <w:rPr>
          <w:lang w:val="fr-FR"/>
        </w:rPr>
        <w:t xml:space="preserve"> Bien que la vérification de la consommation de HCFC de 2013</w:t>
      </w:r>
      <w:r w:rsidR="004367FB" w:rsidRPr="004367FB">
        <w:rPr>
          <w:lang w:val="fr-FR"/>
        </w:rPr>
        <w:t xml:space="preserve"> </w:t>
      </w:r>
      <w:r w:rsidR="004367FB" w:rsidRPr="002009D7">
        <w:rPr>
          <w:lang w:val="fr-FR"/>
        </w:rPr>
        <w:t>e</w:t>
      </w:r>
      <w:r w:rsidR="004367FB">
        <w:rPr>
          <w:lang w:val="fr-FR"/>
        </w:rPr>
        <w:t>ût</w:t>
      </w:r>
      <w:r w:rsidR="004367FB" w:rsidRPr="002009D7">
        <w:rPr>
          <w:lang w:val="fr-FR"/>
        </w:rPr>
        <w:t xml:space="preserve"> dû être </w:t>
      </w:r>
      <w:r w:rsidR="004367FB">
        <w:rPr>
          <w:lang w:val="fr-FR"/>
        </w:rPr>
        <w:t>remise</w:t>
      </w:r>
      <w:r w:rsidR="004367FB" w:rsidRPr="002009D7">
        <w:rPr>
          <w:lang w:val="fr-FR"/>
        </w:rPr>
        <w:t xml:space="preserve"> en même temps que</w:t>
      </w:r>
      <w:r w:rsidR="004367FB">
        <w:rPr>
          <w:lang w:val="fr-FR"/>
        </w:rPr>
        <w:t xml:space="preserve"> la demande</w:t>
      </w:r>
      <w:r w:rsidRPr="002009D7">
        <w:rPr>
          <w:lang w:val="fr-FR"/>
        </w:rPr>
        <w:t xml:space="preserve">, </w:t>
      </w:r>
      <w:r w:rsidR="004367FB">
        <w:rPr>
          <w:lang w:val="fr-FR"/>
        </w:rPr>
        <w:t>au moment où cette dernière a été soumise</w:t>
      </w:r>
      <w:r w:rsidRPr="002009D7">
        <w:rPr>
          <w:lang w:val="fr-FR"/>
        </w:rPr>
        <w:t>, la vérification n’était pas terminée. Par conséquent, la consommation de HCFC relevée pour 2013 avait été estimée à 22,6</w:t>
      </w:r>
      <w:r w:rsidR="004A3B9C">
        <w:rPr>
          <w:lang w:val="fr-FR"/>
        </w:rPr>
        <w:t> </w:t>
      </w:r>
      <w:r w:rsidRPr="002009D7">
        <w:rPr>
          <w:lang w:val="fr-FR"/>
        </w:rPr>
        <w:t xml:space="preserve">tonnes PAO (c’est-à-dire équivalente à la consommation de base). En expliquant pourquoi le rapport de vérification n’avait pas été rendu, le PNUE avait indiqué que les données de consommation n’avaient pas encore été toutes collectées et ne seraient disponibles qu’en mai 2014, cependant, les </w:t>
      </w:r>
      <w:r w:rsidR="004367FB">
        <w:rPr>
          <w:lang w:val="fr-FR"/>
        </w:rPr>
        <w:t>données</w:t>
      </w:r>
      <w:r w:rsidRPr="002009D7">
        <w:rPr>
          <w:lang w:val="fr-FR"/>
        </w:rPr>
        <w:t xml:space="preserve"> préliminaires indiquaient un niveau de consommation inférieur à l’estimation de consommation de 22,6</w:t>
      </w:r>
      <w:r w:rsidR="004A3B9C">
        <w:rPr>
          <w:lang w:val="fr-FR"/>
        </w:rPr>
        <w:t> </w:t>
      </w:r>
      <w:r w:rsidRPr="002009D7">
        <w:rPr>
          <w:lang w:val="fr-FR"/>
        </w:rPr>
        <w:t>tonnes PAO.</w:t>
      </w:r>
      <w:r w:rsidRPr="002009D7">
        <w:rPr>
          <w:rStyle w:val="FootnoteReference"/>
          <w:lang w:val="fr-FR"/>
        </w:rPr>
        <w:footnoteReference w:id="3"/>
      </w:r>
      <w:r w:rsidRPr="002009D7">
        <w:rPr>
          <w:lang w:val="fr-FR"/>
        </w:rPr>
        <w:t xml:space="preserve"> </w:t>
      </w:r>
      <w:r w:rsidR="004367FB">
        <w:rPr>
          <w:lang w:val="fr-FR"/>
        </w:rPr>
        <w:t>Par conséquent</w:t>
      </w:r>
      <w:r w:rsidRPr="002009D7">
        <w:rPr>
          <w:lang w:val="fr-FR"/>
        </w:rPr>
        <w:t xml:space="preserve">, pour l’approbation de la deuxième tranche, le PNUE a demandé un rapport de vérification indépendant qui a indiqué que la consommation de HCFC en 2013 était </w:t>
      </w:r>
      <w:r w:rsidR="004367FB">
        <w:rPr>
          <w:lang w:val="fr-FR"/>
        </w:rPr>
        <w:t xml:space="preserve">en fait </w:t>
      </w:r>
      <w:r w:rsidRPr="002009D7">
        <w:rPr>
          <w:lang w:val="fr-FR"/>
        </w:rPr>
        <w:t>de 7,32</w:t>
      </w:r>
      <w:r w:rsidR="004A3B9C">
        <w:rPr>
          <w:lang w:val="fr-FR"/>
        </w:rPr>
        <w:t> </w:t>
      </w:r>
      <w:r w:rsidRPr="002009D7">
        <w:rPr>
          <w:lang w:val="fr-FR"/>
        </w:rPr>
        <w:t>tonnes PAO, soit 0,24</w:t>
      </w:r>
      <w:r w:rsidR="004A3B9C">
        <w:rPr>
          <w:lang w:val="fr-FR"/>
        </w:rPr>
        <w:t> </w:t>
      </w:r>
      <w:r w:rsidRPr="002009D7">
        <w:rPr>
          <w:lang w:val="fr-FR"/>
        </w:rPr>
        <w:t xml:space="preserve">tonne au-dessus </w:t>
      </w:r>
      <w:r w:rsidR="005B20E1">
        <w:rPr>
          <w:lang w:val="fr-FR"/>
        </w:rPr>
        <w:t>de la</w:t>
      </w:r>
      <w:r w:rsidRPr="002009D7">
        <w:rPr>
          <w:lang w:val="fr-FR"/>
        </w:rPr>
        <w:t xml:space="preserve"> consommation </w:t>
      </w:r>
      <w:r w:rsidR="005B20E1" w:rsidRPr="002009D7">
        <w:rPr>
          <w:lang w:val="fr-FR"/>
        </w:rPr>
        <w:t>de 7,08</w:t>
      </w:r>
      <w:r w:rsidR="005B20E1">
        <w:rPr>
          <w:lang w:val="fr-FR"/>
        </w:rPr>
        <w:t> </w:t>
      </w:r>
      <w:r w:rsidR="005B20E1" w:rsidRPr="002009D7">
        <w:rPr>
          <w:lang w:val="fr-FR"/>
        </w:rPr>
        <w:t xml:space="preserve">tonnes PAO </w:t>
      </w:r>
      <w:r w:rsidR="005B20E1">
        <w:rPr>
          <w:lang w:val="fr-FR"/>
        </w:rPr>
        <w:t>déclarée en</w:t>
      </w:r>
      <w:r w:rsidRPr="002009D7">
        <w:rPr>
          <w:lang w:val="fr-FR"/>
        </w:rPr>
        <w:t xml:space="preserve"> 2013</w:t>
      </w:r>
      <w:r w:rsidRPr="002009D7">
        <w:rPr>
          <w:rStyle w:val="FootnoteReference"/>
          <w:lang w:val="fr-FR"/>
        </w:rPr>
        <w:footnoteReference w:id="4"/>
      </w:r>
      <w:r w:rsidRPr="002009D7">
        <w:rPr>
          <w:lang w:val="fr-FR"/>
        </w:rPr>
        <w:t>, mais trois fois moins que la consommation de 22,19</w:t>
      </w:r>
      <w:r w:rsidR="004A3B9C">
        <w:rPr>
          <w:lang w:val="fr-FR"/>
        </w:rPr>
        <w:t> </w:t>
      </w:r>
      <w:r w:rsidRPr="002009D7">
        <w:rPr>
          <w:lang w:val="fr-FR"/>
        </w:rPr>
        <w:t xml:space="preserve">tonnes PAO </w:t>
      </w:r>
      <w:r w:rsidR="005B20E1">
        <w:rPr>
          <w:lang w:val="fr-FR"/>
        </w:rPr>
        <w:t>déclarée</w:t>
      </w:r>
      <w:r w:rsidRPr="002009D7">
        <w:rPr>
          <w:lang w:val="fr-FR"/>
        </w:rPr>
        <w:t xml:space="preserve"> en 2012. </w:t>
      </w:r>
    </w:p>
    <w:p w14:paraId="40DCD564" w14:textId="7FB84678" w:rsidR="00480052" w:rsidRPr="002009D7" w:rsidRDefault="00480052" w:rsidP="00480052">
      <w:pPr>
        <w:pStyle w:val="Heading1"/>
        <w:tabs>
          <w:tab w:val="clear" w:pos="0"/>
        </w:tabs>
        <w:rPr>
          <w:lang w:val="fr-FR"/>
        </w:rPr>
      </w:pPr>
      <w:r w:rsidRPr="002009D7">
        <w:rPr>
          <w:lang w:val="fr-FR"/>
        </w:rPr>
        <w:t xml:space="preserve">Entre 2013 et 2016, la consommation de HCFC a diminué graduellement </w:t>
      </w:r>
      <w:r w:rsidR="005B20E1">
        <w:rPr>
          <w:lang w:val="fr-FR"/>
        </w:rPr>
        <w:t xml:space="preserve">et ce, </w:t>
      </w:r>
      <w:r w:rsidRPr="002009D7">
        <w:rPr>
          <w:lang w:val="fr-FR"/>
        </w:rPr>
        <w:t>jusqu’en 2017 quand elle a diminué drastiquement de 50</w:t>
      </w:r>
      <w:r w:rsidR="004A3B9C">
        <w:rPr>
          <w:lang w:val="fr-FR"/>
        </w:rPr>
        <w:t> </w:t>
      </w:r>
      <w:r w:rsidR="007B7BB5">
        <w:rPr>
          <w:lang w:val="fr-FR"/>
        </w:rPr>
        <w:t>pour cent</w:t>
      </w:r>
      <w:r w:rsidRPr="002009D7">
        <w:rPr>
          <w:lang w:val="fr-FR"/>
        </w:rPr>
        <w:t xml:space="preserve"> par rapport à l’année précédente</w:t>
      </w:r>
      <w:r w:rsidR="004A3B9C">
        <w:rPr>
          <w:lang w:val="fr-FR"/>
        </w:rPr>
        <w:t> </w:t>
      </w:r>
      <w:r w:rsidRPr="002009D7">
        <w:rPr>
          <w:lang w:val="fr-FR"/>
        </w:rPr>
        <w:t>; depuis lors, la consommation a recommencé à diminuer graduellement. La consommation de HCFC en 2011-2019 est indiquée dans le Tableau</w:t>
      </w:r>
      <w:r w:rsidR="004A3B9C">
        <w:rPr>
          <w:lang w:val="fr-FR"/>
        </w:rPr>
        <w:t> </w:t>
      </w:r>
      <w:r w:rsidRPr="002009D7">
        <w:rPr>
          <w:lang w:val="fr-FR"/>
        </w:rPr>
        <w:t>1.</w:t>
      </w:r>
    </w:p>
    <w:p w14:paraId="72F32302" w14:textId="77777777" w:rsidR="00480052" w:rsidRPr="002009D7" w:rsidRDefault="00480052" w:rsidP="00480052">
      <w:pPr>
        <w:rPr>
          <w:b/>
          <w:lang w:val="fr-FR"/>
        </w:rPr>
      </w:pPr>
      <w:r w:rsidRPr="002009D7">
        <w:rPr>
          <w:b/>
          <w:lang w:val="fr-FR"/>
        </w:rPr>
        <w:t>Tableau</w:t>
      </w:r>
      <w:r w:rsidR="004A3B9C">
        <w:rPr>
          <w:b/>
          <w:lang w:val="fr-FR"/>
        </w:rPr>
        <w:t> </w:t>
      </w:r>
      <w:r w:rsidRPr="002009D7">
        <w:rPr>
          <w:b/>
          <w:lang w:val="fr-FR"/>
        </w:rPr>
        <w:t>1. Consommation de HCFC en Guinée (la) (2011-2019, données au titre de l’article</w:t>
      </w:r>
      <w:r w:rsidR="004A3B9C">
        <w:rPr>
          <w:b/>
          <w:lang w:val="fr-FR"/>
        </w:rPr>
        <w:t> </w:t>
      </w:r>
      <w:r w:rsidRPr="002009D7">
        <w:rPr>
          <w:b/>
          <w:lang w:val="fr-FR"/>
        </w:rPr>
        <w:t>7)</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766"/>
        <w:gridCol w:w="766"/>
        <w:gridCol w:w="766"/>
        <w:gridCol w:w="666"/>
        <w:gridCol w:w="766"/>
        <w:gridCol w:w="666"/>
        <w:gridCol w:w="666"/>
        <w:gridCol w:w="666"/>
        <w:gridCol w:w="736"/>
        <w:gridCol w:w="1133"/>
      </w:tblGrid>
      <w:tr w:rsidR="00480052" w:rsidRPr="002009D7" w14:paraId="11B42C11" w14:textId="77777777" w:rsidTr="005B20E1">
        <w:trPr>
          <w:trHeight w:val="252"/>
          <w:tblHeader/>
        </w:trPr>
        <w:tc>
          <w:tcPr>
            <w:tcW w:w="0" w:type="auto"/>
            <w:shd w:val="clear" w:color="auto" w:fill="auto"/>
            <w:noWrap/>
            <w:tcMar>
              <w:left w:w="43" w:type="dxa"/>
              <w:right w:w="43" w:type="dxa"/>
            </w:tcMar>
            <w:vAlign w:val="center"/>
            <w:hideMark/>
          </w:tcPr>
          <w:p w14:paraId="74930114" w14:textId="77777777" w:rsidR="00480052" w:rsidRPr="002009D7" w:rsidRDefault="00480052" w:rsidP="00BB1DAF">
            <w:pPr>
              <w:widowControl w:val="0"/>
              <w:jc w:val="left"/>
              <w:rPr>
                <w:b/>
                <w:bCs/>
                <w:sz w:val="20"/>
                <w:szCs w:val="20"/>
                <w:lang w:val="fr-FR"/>
              </w:rPr>
            </w:pPr>
            <w:r w:rsidRPr="002009D7">
              <w:rPr>
                <w:b/>
                <w:bCs/>
                <w:sz w:val="20"/>
                <w:szCs w:val="20"/>
                <w:lang w:val="fr-FR"/>
              </w:rPr>
              <w:t>HCFC-22</w:t>
            </w:r>
          </w:p>
        </w:tc>
        <w:tc>
          <w:tcPr>
            <w:tcW w:w="730" w:type="dxa"/>
            <w:vAlign w:val="center"/>
          </w:tcPr>
          <w:p w14:paraId="469D581F" w14:textId="77777777" w:rsidR="00480052" w:rsidRPr="002009D7" w:rsidRDefault="00480052" w:rsidP="00BB1DAF">
            <w:pPr>
              <w:widowControl w:val="0"/>
              <w:jc w:val="center"/>
              <w:rPr>
                <w:b/>
                <w:bCs/>
                <w:sz w:val="20"/>
                <w:szCs w:val="20"/>
                <w:lang w:val="fr-FR"/>
              </w:rPr>
            </w:pPr>
            <w:r w:rsidRPr="002009D7">
              <w:rPr>
                <w:b/>
                <w:bCs/>
                <w:sz w:val="20"/>
                <w:szCs w:val="20"/>
                <w:lang w:val="fr-FR"/>
              </w:rPr>
              <w:t>2011</w:t>
            </w:r>
          </w:p>
        </w:tc>
        <w:tc>
          <w:tcPr>
            <w:tcW w:w="730" w:type="dxa"/>
            <w:tcMar>
              <w:left w:w="0" w:type="dxa"/>
              <w:right w:w="0" w:type="dxa"/>
            </w:tcMar>
            <w:vAlign w:val="center"/>
          </w:tcPr>
          <w:p w14:paraId="1D4A80D8" w14:textId="77777777" w:rsidR="00480052" w:rsidRPr="002009D7" w:rsidRDefault="00480052" w:rsidP="00BB1DAF">
            <w:pPr>
              <w:widowControl w:val="0"/>
              <w:jc w:val="center"/>
              <w:rPr>
                <w:b/>
                <w:bCs/>
                <w:sz w:val="20"/>
                <w:szCs w:val="20"/>
                <w:lang w:val="fr-FR"/>
              </w:rPr>
            </w:pPr>
            <w:r w:rsidRPr="002009D7">
              <w:rPr>
                <w:b/>
                <w:bCs/>
                <w:sz w:val="20"/>
                <w:szCs w:val="20"/>
                <w:lang w:val="fr-FR"/>
              </w:rPr>
              <w:t>2012</w:t>
            </w:r>
          </w:p>
        </w:tc>
        <w:tc>
          <w:tcPr>
            <w:tcW w:w="0" w:type="auto"/>
            <w:shd w:val="clear" w:color="auto" w:fill="auto"/>
            <w:noWrap/>
            <w:tcMar>
              <w:left w:w="0" w:type="dxa"/>
              <w:right w:w="0" w:type="dxa"/>
            </w:tcMar>
            <w:vAlign w:val="center"/>
            <w:hideMark/>
          </w:tcPr>
          <w:p w14:paraId="4E3DA14E" w14:textId="77777777" w:rsidR="00480052" w:rsidRPr="002009D7" w:rsidRDefault="00480052" w:rsidP="00BB1DAF">
            <w:pPr>
              <w:widowControl w:val="0"/>
              <w:jc w:val="center"/>
              <w:rPr>
                <w:b/>
                <w:bCs/>
                <w:sz w:val="20"/>
                <w:szCs w:val="20"/>
                <w:lang w:val="fr-FR"/>
              </w:rPr>
            </w:pPr>
            <w:r w:rsidRPr="002009D7">
              <w:rPr>
                <w:b/>
                <w:bCs/>
                <w:sz w:val="20"/>
                <w:szCs w:val="20"/>
                <w:lang w:val="fr-FR"/>
              </w:rPr>
              <w:t>2013</w:t>
            </w:r>
          </w:p>
        </w:tc>
        <w:tc>
          <w:tcPr>
            <w:tcW w:w="0" w:type="auto"/>
            <w:tcMar>
              <w:left w:w="0" w:type="dxa"/>
              <w:right w:w="0" w:type="dxa"/>
            </w:tcMar>
            <w:vAlign w:val="center"/>
          </w:tcPr>
          <w:p w14:paraId="2D620813" w14:textId="77777777" w:rsidR="00480052" w:rsidRPr="002009D7" w:rsidRDefault="00480052" w:rsidP="00BB1DAF">
            <w:pPr>
              <w:widowControl w:val="0"/>
              <w:jc w:val="center"/>
              <w:rPr>
                <w:b/>
                <w:bCs/>
                <w:sz w:val="20"/>
                <w:szCs w:val="20"/>
                <w:lang w:val="fr-FR"/>
              </w:rPr>
            </w:pPr>
            <w:r w:rsidRPr="002009D7">
              <w:rPr>
                <w:b/>
                <w:bCs/>
                <w:sz w:val="20"/>
                <w:szCs w:val="20"/>
                <w:lang w:val="fr-FR"/>
              </w:rPr>
              <w:t>2014</w:t>
            </w:r>
          </w:p>
        </w:tc>
        <w:tc>
          <w:tcPr>
            <w:tcW w:w="0" w:type="auto"/>
            <w:tcMar>
              <w:left w:w="0" w:type="dxa"/>
              <w:right w:w="0" w:type="dxa"/>
            </w:tcMar>
            <w:vAlign w:val="center"/>
          </w:tcPr>
          <w:p w14:paraId="24DC9978" w14:textId="77777777" w:rsidR="00480052" w:rsidRPr="002009D7" w:rsidRDefault="00480052" w:rsidP="00BB1DAF">
            <w:pPr>
              <w:widowControl w:val="0"/>
              <w:jc w:val="center"/>
              <w:rPr>
                <w:b/>
                <w:bCs/>
                <w:sz w:val="20"/>
                <w:szCs w:val="20"/>
                <w:lang w:val="fr-FR"/>
              </w:rPr>
            </w:pPr>
            <w:r w:rsidRPr="002009D7">
              <w:rPr>
                <w:b/>
                <w:bCs/>
                <w:sz w:val="20"/>
                <w:szCs w:val="20"/>
                <w:lang w:val="fr-FR"/>
              </w:rPr>
              <w:t>2015</w:t>
            </w:r>
          </w:p>
        </w:tc>
        <w:tc>
          <w:tcPr>
            <w:tcW w:w="0" w:type="auto"/>
            <w:tcMar>
              <w:left w:w="0" w:type="dxa"/>
              <w:right w:w="0" w:type="dxa"/>
            </w:tcMar>
            <w:vAlign w:val="center"/>
          </w:tcPr>
          <w:p w14:paraId="3DF85EE5" w14:textId="77777777" w:rsidR="00480052" w:rsidRPr="002009D7" w:rsidRDefault="00480052" w:rsidP="00BB1DAF">
            <w:pPr>
              <w:widowControl w:val="0"/>
              <w:jc w:val="center"/>
              <w:rPr>
                <w:b/>
                <w:bCs/>
                <w:sz w:val="20"/>
                <w:szCs w:val="20"/>
                <w:lang w:val="fr-FR"/>
              </w:rPr>
            </w:pPr>
            <w:r w:rsidRPr="002009D7">
              <w:rPr>
                <w:b/>
                <w:bCs/>
                <w:sz w:val="20"/>
                <w:szCs w:val="20"/>
                <w:lang w:val="fr-FR"/>
              </w:rPr>
              <w:t>2016</w:t>
            </w:r>
          </w:p>
        </w:tc>
        <w:tc>
          <w:tcPr>
            <w:tcW w:w="0" w:type="auto"/>
            <w:tcMar>
              <w:left w:w="0" w:type="dxa"/>
              <w:right w:w="0" w:type="dxa"/>
            </w:tcMar>
            <w:vAlign w:val="center"/>
          </w:tcPr>
          <w:p w14:paraId="7C5D49E9" w14:textId="77777777" w:rsidR="00480052" w:rsidRPr="002009D7" w:rsidRDefault="00480052" w:rsidP="00BB1DAF">
            <w:pPr>
              <w:widowControl w:val="0"/>
              <w:jc w:val="center"/>
              <w:rPr>
                <w:b/>
                <w:bCs/>
                <w:sz w:val="20"/>
                <w:szCs w:val="20"/>
                <w:lang w:val="fr-FR"/>
              </w:rPr>
            </w:pPr>
            <w:r w:rsidRPr="002009D7">
              <w:rPr>
                <w:b/>
                <w:bCs/>
                <w:sz w:val="20"/>
                <w:szCs w:val="20"/>
                <w:lang w:val="fr-FR"/>
              </w:rPr>
              <w:t>2017</w:t>
            </w:r>
          </w:p>
        </w:tc>
        <w:tc>
          <w:tcPr>
            <w:tcW w:w="0" w:type="auto"/>
            <w:tcMar>
              <w:left w:w="0" w:type="dxa"/>
              <w:right w:w="0" w:type="dxa"/>
            </w:tcMar>
            <w:vAlign w:val="center"/>
          </w:tcPr>
          <w:p w14:paraId="21E95DDE" w14:textId="77777777" w:rsidR="00480052" w:rsidRPr="002009D7" w:rsidRDefault="00480052" w:rsidP="00BB1DAF">
            <w:pPr>
              <w:widowControl w:val="0"/>
              <w:jc w:val="center"/>
              <w:rPr>
                <w:b/>
                <w:bCs/>
                <w:sz w:val="20"/>
                <w:szCs w:val="20"/>
                <w:lang w:val="fr-FR"/>
              </w:rPr>
            </w:pPr>
            <w:r w:rsidRPr="002009D7">
              <w:rPr>
                <w:b/>
                <w:bCs/>
                <w:sz w:val="20"/>
                <w:szCs w:val="20"/>
                <w:lang w:val="fr-FR"/>
              </w:rPr>
              <w:t>2018</w:t>
            </w:r>
          </w:p>
        </w:tc>
        <w:tc>
          <w:tcPr>
            <w:tcW w:w="1105" w:type="dxa"/>
            <w:tcMar>
              <w:left w:w="0" w:type="dxa"/>
              <w:right w:w="0" w:type="dxa"/>
            </w:tcMar>
            <w:vAlign w:val="center"/>
          </w:tcPr>
          <w:p w14:paraId="10C2C89F" w14:textId="77777777" w:rsidR="00480052" w:rsidRPr="002009D7" w:rsidRDefault="00480052" w:rsidP="00BB1DAF">
            <w:pPr>
              <w:widowControl w:val="0"/>
              <w:jc w:val="center"/>
              <w:rPr>
                <w:b/>
                <w:bCs/>
                <w:sz w:val="20"/>
                <w:szCs w:val="20"/>
                <w:lang w:val="fr-FR"/>
              </w:rPr>
            </w:pPr>
            <w:r w:rsidRPr="002009D7">
              <w:rPr>
                <w:b/>
                <w:bCs/>
                <w:sz w:val="20"/>
                <w:szCs w:val="20"/>
                <w:lang w:val="fr-FR"/>
              </w:rPr>
              <w:t>2019</w:t>
            </w:r>
          </w:p>
        </w:tc>
        <w:tc>
          <w:tcPr>
            <w:tcW w:w="1133" w:type="dxa"/>
            <w:shd w:val="clear" w:color="auto" w:fill="auto"/>
            <w:noWrap/>
            <w:tcMar>
              <w:left w:w="0" w:type="dxa"/>
              <w:right w:w="0" w:type="dxa"/>
            </w:tcMar>
            <w:vAlign w:val="center"/>
            <w:hideMark/>
          </w:tcPr>
          <w:p w14:paraId="1B972D5E" w14:textId="77777777" w:rsidR="00480052" w:rsidRPr="002009D7" w:rsidRDefault="00480052" w:rsidP="00BB1DAF">
            <w:pPr>
              <w:widowControl w:val="0"/>
              <w:jc w:val="center"/>
              <w:rPr>
                <w:b/>
                <w:bCs/>
                <w:sz w:val="20"/>
                <w:szCs w:val="20"/>
                <w:lang w:val="fr-FR"/>
              </w:rPr>
            </w:pPr>
            <w:r w:rsidRPr="002009D7">
              <w:rPr>
                <w:b/>
                <w:bCs/>
                <w:sz w:val="20"/>
                <w:szCs w:val="20"/>
                <w:lang w:val="fr-FR"/>
              </w:rPr>
              <w:t>Valeur de référence</w:t>
            </w:r>
          </w:p>
        </w:tc>
      </w:tr>
      <w:tr w:rsidR="00480052" w:rsidRPr="002009D7" w14:paraId="5C6789D9" w14:textId="77777777" w:rsidTr="005B20E1">
        <w:trPr>
          <w:trHeight w:val="252"/>
        </w:trPr>
        <w:tc>
          <w:tcPr>
            <w:tcW w:w="0" w:type="auto"/>
            <w:shd w:val="clear" w:color="auto" w:fill="auto"/>
            <w:noWrap/>
            <w:tcMar>
              <w:left w:w="43" w:type="dxa"/>
              <w:right w:w="43" w:type="dxa"/>
            </w:tcMar>
            <w:vAlign w:val="center"/>
            <w:hideMark/>
          </w:tcPr>
          <w:p w14:paraId="480B5580" w14:textId="120310A5" w:rsidR="00480052" w:rsidRPr="002009D7" w:rsidRDefault="00480052" w:rsidP="00BB1DAF">
            <w:pPr>
              <w:widowControl w:val="0"/>
              <w:jc w:val="left"/>
              <w:rPr>
                <w:bCs/>
                <w:sz w:val="20"/>
                <w:szCs w:val="20"/>
                <w:lang w:val="fr-FR"/>
              </w:rPr>
            </w:pPr>
            <w:r w:rsidRPr="002009D7">
              <w:rPr>
                <w:bCs/>
                <w:sz w:val="20"/>
                <w:szCs w:val="20"/>
                <w:lang w:val="fr-FR"/>
              </w:rPr>
              <w:t xml:space="preserve">Tonnes métriques </w:t>
            </w:r>
            <w:r w:rsidR="005B20E1">
              <w:rPr>
                <w:bCs/>
                <w:sz w:val="20"/>
                <w:szCs w:val="20"/>
                <w:lang w:val="fr-FR"/>
              </w:rPr>
              <w:t>(t)</w:t>
            </w:r>
          </w:p>
        </w:tc>
        <w:tc>
          <w:tcPr>
            <w:tcW w:w="730" w:type="dxa"/>
          </w:tcPr>
          <w:p w14:paraId="75DBFAB8" w14:textId="77777777" w:rsidR="00480052" w:rsidRPr="002009D7" w:rsidRDefault="00480052" w:rsidP="00BB1DAF">
            <w:pPr>
              <w:jc w:val="right"/>
              <w:rPr>
                <w:sz w:val="20"/>
                <w:szCs w:val="20"/>
                <w:lang w:val="fr-FR"/>
              </w:rPr>
            </w:pPr>
            <w:r w:rsidRPr="002009D7">
              <w:rPr>
                <w:sz w:val="20"/>
                <w:szCs w:val="20"/>
                <w:lang w:val="fr-FR"/>
              </w:rPr>
              <w:t>446,00</w:t>
            </w:r>
          </w:p>
        </w:tc>
        <w:tc>
          <w:tcPr>
            <w:tcW w:w="730" w:type="dxa"/>
          </w:tcPr>
          <w:p w14:paraId="132E6247" w14:textId="77777777" w:rsidR="00480052" w:rsidRPr="002009D7" w:rsidRDefault="00480052" w:rsidP="00BB1DAF">
            <w:pPr>
              <w:jc w:val="right"/>
              <w:rPr>
                <w:sz w:val="20"/>
                <w:szCs w:val="20"/>
                <w:lang w:val="fr-FR"/>
              </w:rPr>
            </w:pPr>
            <w:r w:rsidRPr="002009D7">
              <w:rPr>
                <w:sz w:val="20"/>
                <w:szCs w:val="20"/>
                <w:lang w:val="fr-FR"/>
              </w:rPr>
              <w:t>403,56</w:t>
            </w:r>
          </w:p>
        </w:tc>
        <w:tc>
          <w:tcPr>
            <w:tcW w:w="0" w:type="auto"/>
            <w:shd w:val="clear" w:color="auto" w:fill="FFFFFF" w:themeFill="background1"/>
            <w:noWrap/>
          </w:tcPr>
          <w:p w14:paraId="757CF3F7" w14:textId="77777777" w:rsidR="00480052" w:rsidRPr="002009D7" w:rsidRDefault="00480052" w:rsidP="00BB1DAF">
            <w:pPr>
              <w:jc w:val="right"/>
              <w:rPr>
                <w:sz w:val="20"/>
                <w:szCs w:val="20"/>
                <w:lang w:val="fr-FR"/>
              </w:rPr>
            </w:pPr>
            <w:r w:rsidRPr="002009D7">
              <w:rPr>
                <w:sz w:val="20"/>
                <w:szCs w:val="20"/>
                <w:lang w:val="fr-FR"/>
              </w:rPr>
              <w:t>128,72</w:t>
            </w:r>
          </w:p>
        </w:tc>
        <w:tc>
          <w:tcPr>
            <w:tcW w:w="0" w:type="auto"/>
          </w:tcPr>
          <w:p w14:paraId="55A83115" w14:textId="77777777" w:rsidR="00480052" w:rsidRPr="002009D7" w:rsidRDefault="00480052" w:rsidP="00BB1DAF">
            <w:pPr>
              <w:jc w:val="right"/>
              <w:rPr>
                <w:sz w:val="20"/>
                <w:szCs w:val="20"/>
                <w:lang w:val="fr-FR"/>
              </w:rPr>
            </w:pPr>
            <w:r w:rsidRPr="002009D7">
              <w:rPr>
                <w:sz w:val="20"/>
                <w:szCs w:val="20"/>
                <w:lang w:val="fr-FR"/>
              </w:rPr>
              <w:t>124,0</w:t>
            </w:r>
          </w:p>
        </w:tc>
        <w:tc>
          <w:tcPr>
            <w:tcW w:w="0" w:type="auto"/>
          </w:tcPr>
          <w:p w14:paraId="306FD144" w14:textId="77777777" w:rsidR="00480052" w:rsidRPr="002009D7" w:rsidRDefault="00480052" w:rsidP="00BB1DAF">
            <w:pPr>
              <w:jc w:val="right"/>
              <w:rPr>
                <w:sz w:val="20"/>
                <w:szCs w:val="20"/>
                <w:lang w:val="fr-FR"/>
              </w:rPr>
            </w:pPr>
            <w:r w:rsidRPr="002009D7">
              <w:rPr>
                <w:sz w:val="20"/>
                <w:szCs w:val="20"/>
                <w:lang w:val="fr-FR"/>
              </w:rPr>
              <w:t>102,72</w:t>
            </w:r>
          </w:p>
        </w:tc>
        <w:tc>
          <w:tcPr>
            <w:tcW w:w="0" w:type="auto"/>
          </w:tcPr>
          <w:p w14:paraId="4CBBE0FD" w14:textId="77777777" w:rsidR="00480052" w:rsidRPr="002009D7" w:rsidRDefault="00480052" w:rsidP="00BB1DAF">
            <w:pPr>
              <w:widowControl w:val="0"/>
              <w:jc w:val="right"/>
              <w:rPr>
                <w:sz w:val="20"/>
                <w:szCs w:val="20"/>
                <w:lang w:val="fr-FR"/>
              </w:rPr>
            </w:pPr>
            <w:r w:rsidRPr="002009D7">
              <w:rPr>
                <w:sz w:val="20"/>
                <w:szCs w:val="20"/>
                <w:lang w:val="fr-FR"/>
              </w:rPr>
              <w:t>85,45</w:t>
            </w:r>
          </w:p>
        </w:tc>
        <w:tc>
          <w:tcPr>
            <w:tcW w:w="0" w:type="auto"/>
          </w:tcPr>
          <w:p w14:paraId="5EB32818" w14:textId="77777777" w:rsidR="00480052" w:rsidRPr="002009D7" w:rsidRDefault="00480052" w:rsidP="00BB1DAF">
            <w:pPr>
              <w:widowControl w:val="0"/>
              <w:jc w:val="right"/>
              <w:rPr>
                <w:rFonts w:eastAsiaTheme="minorHAnsi"/>
                <w:sz w:val="20"/>
                <w:szCs w:val="20"/>
                <w:lang w:val="fr-FR"/>
              </w:rPr>
            </w:pPr>
            <w:r w:rsidRPr="002009D7">
              <w:rPr>
                <w:sz w:val="20"/>
                <w:szCs w:val="20"/>
                <w:lang w:val="fr-FR"/>
              </w:rPr>
              <w:t>43,63</w:t>
            </w:r>
          </w:p>
        </w:tc>
        <w:tc>
          <w:tcPr>
            <w:tcW w:w="0" w:type="auto"/>
          </w:tcPr>
          <w:p w14:paraId="1A1606EC" w14:textId="77777777" w:rsidR="00480052" w:rsidRPr="002009D7" w:rsidRDefault="00480052" w:rsidP="00BB1DAF">
            <w:pPr>
              <w:widowControl w:val="0"/>
              <w:jc w:val="right"/>
              <w:rPr>
                <w:rFonts w:eastAsiaTheme="minorHAnsi"/>
                <w:sz w:val="20"/>
                <w:szCs w:val="20"/>
                <w:lang w:val="fr-FR"/>
              </w:rPr>
            </w:pPr>
            <w:r w:rsidRPr="002009D7">
              <w:rPr>
                <w:sz w:val="20"/>
                <w:szCs w:val="20"/>
                <w:lang w:val="fr-FR"/>
              </w:rPr>
              <w:t>40,00</w:t>
            </w:r>
          </w:p>
        </w:tc>
        <w:tc>
          <w:tcPr>
            <w:tcW w:w="1105" w:type="dxa"/>
            <w:shd w:val="clear" w:color="auto" w:fill="auto"/>
          </w:tcPr>
          <w:p w14:paraId="5A145C48" w14:textId="77777777" w:rsidR="00480052" w:rsidRPr="002009D7" w:rsidRDefault="00480052" w:rsidP="00BB1DAF">
            <w:pPr>
              <w:jc w:val="right"/>
              <w:rPr>
                <w:sz w:val="20"/>
                <w:szCs w:val="20"/>
                <w:lang w:val="fr-FR"/>
              </w:rPr>
            </w:pPr>
            <w:r w:rsidRPr="002009D7">
              <w:rPr>
                <w:sz w:val="20"/>
                <w:szCs w:val="20"/>
                <w:lang w:val="fr-FR"/>
              </w:rPr>
              <w:t>35,00</w:t>
            </w:r>
          </w:p>
        </w:tc>
        <w:tc>
          <w:tcPr>
            <w:tcW w:w="1133" w:type="dxa"/>
            <w:shd w:val="clear" w:color="auto" w:fill="auto"/>
            <w:noWrap/>
          </w:tcPr>
          <w:p w14:paraId="5A251A1C" w14:textId="77777777" w:rsidR="00480052" w:rsidRPr="002009D7" w:rsidRDefault="00480052" w:rsidP="00BB1DAF">
            <w:pPr>
              <w:widowControl w:val="0"/>
              <w:jc w:val="right"/>
              <w:rPr>
                <w:bCs/>
                <w:sz w:val="20"/>
                <w:szCs w:val="20"/>
                <w:lang w:val="fr-FR"/>
              </w:rPr>
            </w:pPr>
            <w:r w:rsidRPr="002009D7">
              <w:rPr>
                <w:bCs/>
                <w:sz w:val="20"/>
                <w:szCs w:val="20"/>
                <w:lang w:val="fr-FR"/>
              </w:rPr>
              <w:t>411,09</w:t>
            </w:r>
          </w:p>
        </w:tc>
      </w:tr>
      <w:tr w:rsidR="00480052" w:rsidRPr="002009D7" w14:paraId="4EE24075" w14:textId="77777777" w:rsidTr="005B20E1">
        <w:trPr>
          <w:trHeight w:val="252"/>
        </w:trPr>
        <w:tc>
          <w:tcPr>
            <w:tcW w:w="0" w:type="auto"/>
            <w:shd w:val="clear" w:color="auto" w:fill="auto"/>
            <w:noWrap/>
            <w:tcMar>
              <w:left w:w="43" w:type="dxa"/>
              <w:right w:w="43" w:type="dxa"/>
            </w:tcMar>
            <w:vAlign w:val="center"/>
            <w:hideMark/>
          </w:tcPr>
          <w:p w14:paraId="0B203655" w14:textId="77777777" w:rsidR="00480052" w:rsidRPr="002009D7" w:rsidRDefault="00480052" w:rsidP="00BB1DAF">
            <w:pPr>
              <w:widowControl w:val="0"/>
              <w:jc w:val="left"/>
              <w:rPr>
                <w:sz w:val="20"/>
                <w:szCs w:val="20"/>
                <w:lang w:val="fr-FR"/>
              </w:rPr>
            </w:pPr>
            <w:r w:rsidRPr="002009D7">
              <w:rPr>
                <w:bCs/>
                <w:sz w:val="20"/>
                <w:szCs w:val="20"/>
                <w:lang w:val="fr-FR"/>
              </w:rPr>
              <w:t>Tonnes PAO</w:t>
            </w:r>
          </w:p>
        </w:tc>
        <w:tc>
          <w:tcPr>
            <w:tcW w:w="730" w:type="dxa"/>
          </w:tcPr>
          <w:p w14:paraId="6DD10EF4" w14:textId="77777777" w:rsidR="00480052" w:rsidRPr="002009D7" w:rsidRDefault="00480052" w:rsidP="00BB1DAF">
            <w:pPr>
              <w:jc w:val="right"/>
              <w:rPr>
                <w:sz w:val="20"/>
                <w:szCs w:val="20"/>
                <w:lang w:val="fr-FR"/>
              </w:rPr>
            </w:pPr>
            <w:r w:rsidRPr="002009D7">
              <w:rPr>
                <w:sz w:val="20"/>
                <w:szCs w:val="20"/>
                <w:lang w:val="fr-FR"/>
              </w:rPr>
              <w:t>24,53</w:t>
            </w:r>
          </w:p>
        </w:tc>
        <w:tc>
          <w:tcPr>
            <w:tcW w:w="730" w:type="dxa"/>
          </w:tcPr>
          <w:p w14:paraId="083789B3" w14:textId="77777777" w:rsidR="00480052" w:rsidRPr="002009D7" w:rsidRDefault="00480052" w:rsidP="00BB1DAF">
            <w:pPr>
              <w:jc w:val="right"/>
              <w:rPr>
                <w:sz w:val="20"/>
                <w:szCs w:val="20"/>
                <w:lang w:val="fr-FR"/>
              </w:rPr>
            </w:pPr>
            <w:r w:rsidRPr="002009D7">
              <w:rPr>
                <w:sz w:val="20"/>
                <w:szCs w:val="20"/>
                <w:lang w:val="fr-FR"/>
              </w:rPr>
              <w:t>22,19</w:t>
            </w:r>
          </w:p>
        </w:tc>
        <w:tc>
          <w:tcPr>
            <w:tcW w:w="0" w:type="auto"/>
            <w:shd w:val="clear" w:color="auto" w:fill="FFFFFF" w:themeFill="background1"/>
            <w:noWrap/>
          </w:tcPr>
          <w:p w14:paraId="55AA5099" w14:textId="77777777" w:rsidR="00480052" w:rsidRPr="002009D7" w:rsidRDefault="00480052" w:rsidP="00BB1DAF">
            <w:pPr>
              <w:jc w:val="right"/>
              <w:rPr>
                <w:sz w:val="20"/>
                <w:szCs w:val="20"/>
                <w:lang w:val="fr-FR"/>
              </w:rPr>
            </w:pPr>
            <w:r w:rsidRPr="002009D7">
              <w:rPr>
                <w:sz w:val="20"/>
                <w:szCs w:val="20"/>
                <w:lang w:val="fr-FR"/>
              </w:rPr>
              <w:t>7,08</w:t>
            </w:r>
          </w:p>
        </w:tc>
        <w:tc>
          <w:tcPr>
            <w:tcW w:w="0" w:type="auto"/>
          </w:tcPr>
          <w:p w14:paraId="01E2DCBF" w14:textId="77777777" w:rsidR="00480052" w:rsidRPr="002009D7" w:rsidRDefault="00480052" w:rsidP="00BB1DAF">
            <w:pPr>
              <w:jc w:val="right"/>
              <w:rPr>
                <w:sz w:val="20"/>
                <w:szCs w:val="20"/>
                <w:lang w:val="fr-FR"/>
              </w:rPr>
            </w:pPr>
            <w:r w:rsidRPr="002009D7">
              <w:rPr>
                <w:sz w:val="20"/>
                <w:szCs w:val="20"/>
                <w:lang w:val="fr-FR"/>
              </w:rPr>
              <w:t>6,89</w:t>
            </w:r>
          </w:p>
        </w:tc>
        <w:tc>
          <w:tcPr>
            <w:tcW w:w="0" w:type="auto"/>
          </w:tcPr>
          <w:p w14:paraId="773B32B9" w14:textId="77777777" w:rsidR="00480052" w:rsidRPr="002009D7" w:rsidRDefault="00480052" w:rsidP="00BB1DAF">
            <w:pPr>
              <w:jc w:val="right"/>
              <w:rPr>
                <w:sz w:val="20"/>
                <w:szCs w:val="20"/>
                <w:lang w:val="fr-FR"/>
              </w:rPr>
            </w:pPr>
            <w:r w:rsidRPr="002009D7">
              <w:rPr>
                <w:sz w:val="20"/>
                <w:szCs w:val="20"/>
                <w:lang w:val="fr-FR"/>
              </w:rPr>
              <w:t>5,65</w:t>
            </w:r>
          </w:p>
        </w:tc>
        <w:tc>
          <w:tcPr>
            <w:tcW w:w="0" w:type="auto"/>
          </w:tcPr>
          <w:p w14:paraId="3515CAE9" w14:textId="77777777" w:rsidR="00480052" w:rsidRPr="002009D7" w:rsidRDefault="00480052" w:rsidP="00BB1DAF">
            <w:pPr>
              <w:jc w:val="right"/>
              <w:rPr>
                <w:sz w:val="20"/>
                <w:szCs w:val="20"/>
                <w:lang w:val="fr-FR"/>
              </w:rPr>
            </w:pPr>
            <w:r w:rsidRPr="002009D7">
              <w:rPr>
                <w:sz w:val="20"/>
                <w:szCs w:val="20"/>
                <w:lang w:val="fr-FR"/>
              </w:rPr>
              <w:t>4,70</w:t>
            </w:r>
          </w:p>
        </w:tc>
        <w:tc>
          <w:tcPr>
            <w:tcW w:w="0" w:type="auto"/>
          </w:tcPr>
          <w:p w14:paraId="20162630" w14:textId="77777777" w:rsidR="00480052" w:rsidRPr="002009D7" w:rsidRDefault="00480052" w:rsidP="00BB1DAF">
            <w:pPr>
              <w:jc w:val="right"/>
              <w:rPr>
                <w:sz w:val="20"/>
                <w:szCs w:val="20"/>
                <w:lang w:val="fr-FR"/>
              </w:rPr>
            </w:pPr>
            <w:r w:rsidRPr="002009D7">
              <w:rPr>
                <w:sz w:val="20"/>
                <w:szCs w:val="20"/>
                <w:lang w:val="fr-FR"/>
              </w:rPr>
              <w:t>2,54</w:t>
            </w:r>
          </w:p>
        </w:tc>
        <w:tc>
          <w:tcPr>
            <w:tcW w:w="0" w:type="auto"/>
          </w:tcPr>
          <w:p w14:paraId="0CC3B53D" w14:textId="77777777" w:rsidR="00480052" w:rsidRPr="002009D7" w:rsidRDefault="00480052" w:rsidP="00BB1DAF">
            <w:pPr>
              <w:jc w:val="right"/>
              <w:rPr>
                <w:rFonts w:eastAsiaTheme="minorHAnsi"/>
                <w:sz w:val="20"/>
                <w:szCs w:val="20"/>
                <w:lang w:val="fr-FR"/>
              </w:rPr>
            </w:pPr>
            <w:r w:rsidRPr="002009D7">
              <w:rPr>
                <w:sz w:val="20"/>
                <w:szCs w:val="20"/>
                <w:lang w:val="fr-FR"/>
              </w:rPr>
              <w:t>2,20</w:t>
            </w:r>
          </w:p>
        </w:tc>
        <w:tc>
          <w:tcPr>
            <w:tcW w:w="1105" w:type="dxa"/>
            <w:shd w:val="clear" w:color="auto" w:fill="auto"/>
          </w:tcPr>
          <w:p w14:paraId="4B0CA8AC" w14:textId="77777777" w:rsidR="00480052" w:rsidRPr="002009D7" w:rsidRDefault="00480052" w:rsidP="00BB1DAF">
            <w:pPr>
              <w:jc w:val="right"/>
              <w:rPr>
                <w:rFonts w:eastAsiaTheme="minorHAnsi"/>
                <w:sz w:val="20"/>
                <w:szCs w:val="20"/>
                <w:lang w:val="fr-FR"/>
              </w:rPr>
            </w:pPr>
            <w:r w:rsidRPr="002009D7">
              <w:rPr>
                <w:sz w:val="20"/>
                <w:szCs w:val="20"/>
                <w:lang w:val="fr-FR"/>
              </w:rPr>
              <w:t>1,93</w:t>
            </w:r>
          </w:p>
        </w:tc>
        <w:tc>
          <w:tcPr>
            <w:tcW w:w="1133" w:type="dxa"/>
            <w:shd w:val="clear" w:color="auto" w:fill="auto"/>
            <w:noWrap/>
          </w:tcPr>
          <w:p w14:paraId="3FAF9B36" w14:textId="77777777" w:rsidR="00480052" w:rsidRPr="002009D7" w:rsidRDefault="00480052" w:rsidP="00BB1DAF">
            <w:pPr>
              <w:jc w:val="right"/>
              <w:rPr>
                <w:rFonts w:eastAsiaTheme="minorHAnsi"/>
                <w:sz w:val="20"/>
                <w:szCs w:val="20"/>
                <w:lang w:val="fr-FR"/>
              </w:rPr>
            </w:pPr>
            <w:r w:rsidRPr="002009D7">
              <w:rPr>
                <w:sz w:val="20"/>
                <w:szCs w:val="20"/>
                <w:lang w:val="fr-FR"/>
              </w:rPr>
              <w:t>22,61</w:t>
            </w:r>
          </w:p>
        </w:tc>
      </w:tr>
    </w:tbl>
    <w:p w14:paraId="58CF9A2D" w14:textId="77777777" w:rsidR="00480052" w:rsidRPr="002009D7" w:rsidRDefault="00480052" w:rsidP="00480052">
      <w:pPr>
        <w:rPr>
          <w:lang w:val="fr-FR"/>
        </w:rPr>
      </w:pPr>
    </w:p>
    <w:p w14:paraId="2F5A89BD" w14:textId="7BEB9E76" w:rsidR="00480052" w:rsidRPr="002009D7" w:rsidRDefault="00480052" w:rsidP="00480052">
      <w:pPr>
        <w:pStyle w:val="Heading1"/>
        <w:rPr>
          <w:lang w:val="fr-FR"/>
        </w:rPr>
      </w:pPr>
      <w:r w:rsidRPr="002009D7">
        <w:rPr>
          <w:lang w:val="fr-FR"/>
        </w:rPr>
        <w:t>Une vérification indépendante des niveaux de consommation de HCFC de 2014 à 2019 a été menée début</w:t>
      </w:r>
      <w:r w:rsidR="004A3B9C">
        <w:rPr>
          <w:lang w:val="fr-FR"/>
        </w:rPr>
        <w:t> </w:t>
      </w:r>
      <w:r w:rsidRPr="002009D7">
        <w:rPr>
          <w:lang w:val="fr-FR"/>
        </w:rPr>
        <w:t xml:space="preserve">2020 dans le cadre de la demande de financement des tranches de la phase I du PGEH. Le vérificateur </w:t>
      </w:r>
      <w:r w:rsidRPr="002009D7">
        <w:rPr>
          <w:lang w:val="fr-FR"/>
        </w:rPr>
        <w:lastRenderedPageBreak/>
        <w:t>a conclu que la consommation de HCFC rapportée au titre de l’article</w:t>
      </w:r>
      <w:r w:rsidR="004A3B9C">
        <w:rPr>
          <w:lang w:val="fr-FR"/>
        </w:rPr>
        <w:t> </w:t>
      </w:r>
      <w:r w:rsidRPr="002009D7">
        <w:rPr>
          <w:lang w:val="fr-FR"/>
        </w:rPr>
        <w:t>7 du Protocole de Montréal et dans le cadre du rapport de mise en œuvre du programme national (PN) pour les années en question était correcte (comme présenté dans le Tableau</w:t>
      </w:r>
      <w:r w:rsidR="004A3B9C">
        <w:rPr>
          <w:lang w:val="fr-FR"/>
        </w:rPr>
        <w:t> </w:t>
      </w:r>
      <w:r w:rsidRPr="002009D7">
        <w:rPr>
          <w:lang w:val="fr-FR"/>
        </w:rPr>
        <w:t xml:space="preserve">1). </w:t>
      </w:r>
    </w:p>
    <w:p w14:paraId="3F62E5E3" w14:textId="77777777" w:rsidR="00480052" w:rsidRPr="002009D7" w:rsidRDefault="00480052" w:rsidP="00480052">
      <w:pPr>
        <w:pStyle w:val="Heading1"/>
        <w:keepNext/>
        <w:keepLines/>
        <w:numPr>
          <w:ilvl w:val="0"/>
          <w:numId w:val="0"/>
        </w:numPr>
        <w:rPr>
          <w:color w:val="000000" w:themeColor="text1"/>
          <w:u w:val="single"/>
          <w:lang w:val="fr-FR"/>
        </w:rPr>
      </w:pPr>
      <w:r w:rsidRPr="002009D7">
        <w:rPr>
          <w:color w:val="000000" w:themeColor="text1"/>
          <w:u w:val="single"/>
          <w:lang w:val="fr-FR"/>
        </w:rPr>
        <w:t>Retard dans la mise en œuvre de la phase I du PGEH</w:t>
      </w:r>
    </w:p>
    <w:p w14:paraId="501A0137" w14:textId="30B40EB9" w:rsidR="00480052" w:rsidRPr="002009D7" w:rsidRDefault="00480052" w:rsidP="00480052">
      <w:pPr>
        <w:pStyle w:val="Heading1"/>
        <w:keepNext/>
        <w:keepLines/>
        <w:tabs>
          <w:tab w:val="clear" w:pos="0"/>
        </w:tabs>
        <w:rPr>
          <w:i/>
          <w:lang w:val="fr-FR"/>
        </w:rPr>
      </w:pPr>
      <w:r w:rsidRPr="002009D7">
        <w:rPr>
          <w:lang w:val="fr-FR"/>
        </w:rPr>
        <w:t xml:space="preserve">Depuis l’approbation de la deuxième tranche, le gouvernement de </w:t>
      </w:r>
      <w:r w:rsidR="003A78FE">
        <w:rPr>
          <w:lang w:val="fr-FR"/>
        </w:rPr>
        <w:t xml:space="preserve">la </w:t>
      </w:r>
      <w:r w:rsidRPr="002009D7">
        <w:rPr>
          <w:lang w:val="fr-FR"/>
        </w:rPr>
        <w:t>Guinée n’a pas été en mesure de soumettre la demande pour la troisième tranche (</w:t>
      </w:r>
      <w:r w:rsidR="003A78FE">
        <w:rPr>
          <w:lang w:val="fr-FR"/>
        </w:rPr>
        <w:t>attendue</w:t>
      </w:r>
      <w:r w:rsidRPr="002009D7">
        <w:rPr>
          <w:lang w:val="fr-FR"/>
        </w:rPr>
        <w:t xml:space="preserve"> en 2016) ni de la quatrième tranche (</w:t>
      </w:r>
      <w:r w:rsidR="009C05CE">
        <w:rPr>
          <w:lang w:val="fr-FR"/>
        </w:rPr>
        <w:t>attendue</w:t>
      </w:r>
      <w:r w:rsidRPr="002009D7">
        <w:rPr>
          <w:lang w:val="fr-FR"/>
        </w:rPr>
        <w:t xml:space="preserve"> en 2018) en raison de sa situation politique liée à l’élection présidentielle de 2015,</w:t>
      </w:r>
      <w:r w:rsidR="009C05CE">
        <w:rPr>
          <w:lang w:val="fr-FR"/>
        </w:rPr>
        <w:t xml:space="preserve"> </w:t>
      </w:r>
      <w:r w:rsidRPr="002009D7">
        <w:rPr>
          <w:lang w:val="fr-FR"/>
        </w:rPr>
        <w:t xml:space="preserve">de changements opérés au sein de l’Unité nationale de l’ozone (UNO) ainsi </w:t>
      </w:r>
      <w:r w:rsidR="009C05CE">
        <w:rPr>
          <w:lang w:val="fr-FR"/>
        </w:rPr>
        <w:t>que de</w:t>
      </w:r>
      <w:r w:rsidRPr="002009D7">
        <w:rPr>
          <w:lang w:val="fr-FR"/>
        </w:rPr>
        <w:t xml:space="preserve"> l’impact socio-économique important de l’épidémie de maladie à virus Ebola.</w:t>
      </w:r>
      <w:r w:rsidRPr="002009D7">
        <w:rPr>
          <w:rStyle w:val="FootnoteReference"/>
          <w:lang w:val="fr-FR"/>
        </w:rPr>
        <w:footnoteReference w:id="5"/>
      </w:r>
      <w:r w:rsidRPr="002009D7">
        <w:rPr>
          <w:lang w:val="fr-FR"/>
        </w:rPr>
        <w:t xml:space="preserve"> </w:t>
      </w:r>
    </w:p>
    <w:p w14:paraId="10AD8D53" w14:textId="56989500" w:rsidR="00480052" w:rsidRPr="002009D7" w:rsidRDefault="00480052" w:rsidP="00480052">
      <w:pPr>
        <w:pStyle w:val="Heading1"/>
        <w:tabs>
          <w:tab w:val="clear" w:pos="0"/>
        </w:tabs>
        <w:rPr>
          <w:lang w:val="fr-FR"/>
        </w:rPr>
      </w:pPr>
      <w:r w:rsidRPr="002009D7">
        <w:rPr>
          <w:lang w:val="fr-FR"/>
        </w:rPr>
        <w:t xml:space="preserve">En raison </w:t>
      </w:r>
      <w:r w:rsidR="009C05CE">
        <w:rPr>
          <w:lang w:val="fr-FR"/>
        </w:rPr>
        <w:t>des faits susnommés</w:t>
      </w:r>
      <w:r w:rsidRPr="002009D7">
        <w:rPr>
          <w:lang w:val="fr-FR"/>
        </w:rPr>
        <w:t xml:space="preserve">, le gouvernement de Guinée n’a été capable de soumettre sa demande de financement des troisième et </w:t>
      </w:r>
      <w:proofErr w:type="gramStart"/>
      <w:r w:rsidRPr="002009D7">
        <w:rPr>
          <w:lang w:val="fr-FR"/>
        </w:rPr>
        <w:t>quatrième tranches</w:t>
      </w:r>
      <w:proofErr w:type="gramEnd"/>
      <w:r w:rsidRPr="002009D7">
        <w:rPr>
          <w:lang w:val="fr-FR"/>
        </w:rPr>
        <w:t xml:space="preserve"> qu’à la 85</w:t>
      </w:r>
      <w:r w:rsidRPr="002009D7">
        <w:rPr>
          <w:vertAlign w:val="superscript"/>
          <w:lang w:val="fr-FR"/>
        </w:rPr>
        <w:t>e</w:t>
      </w:r>
      <w:r w:rsidR="004A3B9C">
        <w:rPr>
          <w:lang w:val="fr-FR"/>
        </w:rPr>
        <w:t> </w:t>
      </w:r>
      <w:r w:rsidRPr="002009D7">
        <w:rPr>
          <w:lang w:val="fr-FR"/>
        </w:rPr>
        <w:t>réunion. Concernant la situation actuelle de la Guinée, le PNUE a tenu à assurer que l’UNO est entièrement opérationnelle, que le personnel de l’unité a été formé, y compris par des mission</w:t>
      </w:r>
      <w:r w:rsidR="004A3B9C">
        <w:rPr>
          <w:lang w:val="fr-FR"/>
        </w:rPr>
        <w:t>s</w:t>
      </w:r>
      <w:r w:rsidRPr="002009D7">
        <w:rPr>
          <w:lang w:val="fr-FR"/>
        </w:rPr>
        <w:t xml:space="preserve"> du Programme d’aide au respect du PNUE, et que les problèmes externes ayant entraîné des retards dans la demande de financement des tranches ont été résolus. Par conséquent, le PNUE est confiant dans la capacité du gouvernement de </w:t>
      </w:r>
      <w:r w:rsidR="00E935FE">
        <w:rPr>
          <w:lang w:val="fr-FR"/>
        </w:rPr>
        <w:t xml:space="preserve">la </w:t>
      </w:r>
      <w:r w:rsidRPr="002009D7">
        <w:rPr>
          <w:lang w:val="fr-FR"/>
        </w:rPr>
        <w:t>Guinée à mettre en œuvre les activités en cours ainsi que celles associées au financement des tranches demandé lors de la 85</w:t>
      </w:r>
      <w:r w:rsidRPr="002009D7">
        <w:rPr>
          <w:vertAlign w:val="superscript"/>
          <w:lang w:val="fr-FR"/>
        </w:rPr>
        <w:t>e</w:t>
      </w:r>
      <w:r w:rsidR="004A3B9C">
        <w:rPr>
          <w:lang w:val="fr-FR"/>
        </w:rPr>
        <w:t> </w:t>
      </w:r>
      <w:r w:rsidRPr="002009D7">
        <w:rPr>
          <w:lang w:val="fr-FR"/>
        </w:rPr>
        <w:t>réunion.</w:t>
      </w:r>
    </w:p>
    <w:p w14:paraId="6D1363AB" w14:textId="77777777" w:rsidR="00480052" w:rsidRPr="002009D7" w:rsidRDefault="00480052" w:rsidP="00480052">
      <w:pPr>
        <w:rPr>
          <w:u w:val="single"/>
          <w:lang w:val="fr-FR"/>
        </w:rPr>
      </w:pPr>
      <w:r w:rsidRPr="002009D7">
        <w:rPr>
          <w:u w:val="single"/>
          <w:lang w:val="fr-FR"/>
        </w:rPr>
        <w:t xml:space="preserve">Discussion concernant la demande de financement des troisième et </w:t>
      </w:r>
      <w:proofErr w:type="gramStart"/>
      <w:r w:rsidRPr="002009D7">
        <w:rPr>
          <w:u w:val="single"/>
          <w:lang w:val="fr-FR"/>
        </w:rPr>
        <w:t>quatrième tranches</w:t>
      </w:r>
      <w:proofErr w:type="gramEnd"/>
    </w:p>
    <w:p w14:paraId="1BE39202" w14:textId="77777777" w:rsidR="00480052" w:rsidRPr="002009D7" w:rsidRDefault="00480052" w:rsidP="00480052">
      <w:pPr>
        <w:rPr>
          <w:lang w:val="fr-FR" w:bidi="ar-EG"/>
        </w:rPr>
      </w:pPr>
    </w:p>
    <w:p w14:paraId="04650603" w14:textId="5EC3086E" w:rsidR="00480052" w:rsidRPr="002009D7" w:rsidRDefault="00480052" w:rsidP="00480052">
      <w:pPr>
        <w:pStyle w:val="Heading1"/>
        <w:tabs>
          <w:tab w:val="clear" w:pos="0"/>
        </w:tabs>
        <w:rPr>
          <w:lang w:val="fr-FR"/>
        </w:rPr>
      </w:pPr>
      <w:r w:rsidRPr="002009D7">
        <w:rPr>
          <w:lang w:val="fr-FR"/>
        </w:rPr>
        <w:t>Lors de l’examen de la demande de financement de la tranche pour la 85</w:t>
      </w:r>
      <w:r w:rsidRPr="00E935FE">
        <w:rPr>
          <w:vertAlign w:val="superscript"/>
          <w:lang w:val="fr-FR"/>
        </w:rPr>
        <w:t>e</w:t>
      </w:r>
      <w:r w:rsidR="004A3B9C">
        <w:rPr>
          <w:lang w:val="fr-FR"/>
        </w:rPr>
        <w:t> </w:t>
      </w:r>
      <w:r w:rsidRPr="002009D7">
        <w:rPr>
          <w:lang w:val="fr-FR"/>
        </w:rPr>
        <w:t xml:space="preserve">réunion, le Secrétariat a noté que la consommation de base de HCFC à fins de conformité établie par le gouvernement de </w:t>
      </w:r>
      <w:r w:rsidR="00E935FE">
        <w:rPr>
          <w:lang w:val="fr-FR"/>
        </w:rPr>
        <w:t xml:space="preserve">la </w:t>
      </w:r>
      <w:r w:rsidRPr="002009D7">
        <w:rPr>
          <w:lang w:val="fr-FR"/>
        </w:rPr>
        <w:t>Guinée était surestimée par rapport aux niveaux de consommation entre 2013 et 2019 qui étaient substantiellement inférieurs au</w:t>
      </w:r>
      <w:r w:rsidR="004A3B9C">
        <w:rPr>
          <w:lang w:val="fr-FR"/>
        </w:rPr>
        <w:t xml:space="preserve"> niveau</w:t>
      </w:r>
      <w:r w:rsidRPr="002009D7">
        <w:rPr>
          <w:lang w:val="fr-FR"/>
        </w:rPr>
        <w:t xml:space="preserve"> de consommation maximale </w:t>
      </w:r>
      <w:r w:rsidR="004A3B9C">
        <w:rPr>
          <w:lang w:val="fr-FR"/>
        </w:rPr>
        <w:t>admissible</w:t>
      </w:r>
      <w:r w:rsidRPr="002009D7">
        <w:rPr>
          <w:lang w:val="fr-FR"/>
        </w:rPr>
        <w:t xml:space="preserve"> pour 2013 à 2019. </w:t>
      </w:r>
      <w:r w:rsidR="00E935FE">
        <w:rPr>
          <w:lang w:val="fr-FR"/>
        </w:rPr>
        <w:t xml:space="preserve">Après une </w:t>
      </w:r>
      <w:r w:rsidRPr="002009D7">
        <w:rPr>
          <w:lang w:val="fr-FR"/>
        </w:rPr>
        <w:t xml:space="preserve">analyse détaillée des données de consommation de HCFC et des facteurs socio-économiques ainsi qu’à une discussion approfondie avec le PNUE, </w:t>
      </w:r>
      <w:r w:rsidR="00E935FE">
        <w:rPr>
          <w:lang w:val="fr-FR"/>
        </w:rPr>
        <w:t xml:space="preserve">il a été </w:t>
      </w:r>
      <w:r w:rsidRPr="002009D7">
        <w:rPr>
          <w:lang w:val="fr-FR"/>
        </w:rPr>
        <w:t xml:space="preserve">conclu que le point de départ pour une réduction globale </w:t>
      </w:r>
      <w:r w:rsidR="00E935FE">
        <w:rPr>
          <w:lang w:val="fr-FR"/>
        </w:rPr>
        <w:t>durable</w:t>
      </w:r>
      <w:r w:rsidRPr="002009D7">
        <w:rPr>
          <w:lang w:val="fr-FR"/>
        </w:rPr>
        <w:t xml:space="preserve"> de la consommation de HCFC devrait être révisé à 136,50</w:t>
      </w:r>
      <w:r w:rsidR="004A3B9C">
        <w:rPr>
          <w:lang w:val="fr-FR"/>
        </w:rPr>
        <w:t> </w:t>
      </w:r>
      <w:r w:rsidRPr="002009D7">
        <w:rPr>
          <w:lang w:val="fr-FR"/>
        </w:rPr>
        <w:t>t (7,51</w:t>
      </w:r>
      <w:r w:rsidR="004A3B9C">
        <w:rPr>
          <w:lang w:val="fr-FR"/>
        </w:rPr>
        <w:t> </w:t>
      </w:r>
      <w:r w:rsidRPr="002009D7">
        <w:rPr>
          <w:lang w:val="fr-FR"/>
        </w:rPr>
        <w:t xml:space="preserve">tonnes PAO), approximativement </w:t>
      </w:r>
      <w:r w:rsidR="007B7BB5" w:rsidRPr="002009D7">
        <w:rPr>
          <w:lang w:val="fr-FR"/>
        </w:rPr>
        <w:t>10</w:t>
      </w:r>
      <w:r w:rsidR="007B7BB5">
        <w:rPr>
          <w:lang w:val="fr-FR"/>
        </w:rPr>
        <w:t xml:space="preserve"> pour cent </w:t>
      </w:r>
      <w:r w:rsidRPr="002009D7">
        <w:rPr>
          <w:lang w:val="fr-FR"/>
        </w:rPr>
        <w:t xml:space="preserve">supérieur à la moyenne de consommation vérifiée de 2013 et 2014. </w:t>
      </w:r>
    </w:p>
    <w:p w14:paraId="32A445CE" w14:textId="6B004537" w:rsidR="00480052" w:rsidRPr="002009D7" w:rsidRDefault="00480052" w:rsidP="00480052">
      <w:pPr>
        <w:pStyle w:val="Heading1"/>
        <w:tabs>
          <w:tab w:val="clear" w:pos="0"/>
        </w:tabs>
        <w:rPr>
          <w:lang w:val="fr-FR"/>
        </w:rPr>
      </w:pPr>
      <w:r w:rsidRPr="002009D7">
        <w:rPr>
          <w:lang w:val="fr-FR"/>
        </w:rPr>
        <w:t>Conformément aux directives relatives aux coûts de la phase I du PGEH (à savoir la décision</w:t>
      </w:r>
      <w:r w:rsidR="004A3B9C">
        <w:rPr>
          <w:lang w:val="fr-FR"/>
        </w:rPr>
        <w:t> </w:t>
      </w:r>
      <w:r w:rsidRPr="002009D7">
        <w:rPr>
          <w:lang w:val="fr-FR"/>
        </w:rPr>
        <w:t>60/44(</w:t>
      </w:r>
      <w:r w:rsidR="00E935FE">
        <w:rPr>
          <w:lang w:val="fr-FR"/>
        </w:rPr>
        <w:t>f</w:t>
      </w:r>
      <w:r w:rsidRPr="002009D7">
        <w:rPr>
          <w:lang w:val="fr-FR"/>
        </w:rPr>
        <w:t xml:space="preserve">)(xii)), le niveau de financement </w:t>
      </w:r>
      <w:r w:rsidR="00E935FE">
        <w:rPr>
          <w:lang w:val="fr-FR"/>
        </w:rPr>
        <w:t>de</w:t>
      </w:r>
      <w:r w:rsidRPr="002009D7">
        <w:rPr>
          <w:lang w:val="fr-FR"/>
        </w:rPr>
        <w:t xml:space="preserve"> la phase I du PGEH de la Guinée pour atteindre 35</w:t>
      </w:r>
      <w:r w:rsidR="007B7BB5">
        <w:rPr>
          <w:lang w:val="fr-FR"/>
        </w:rPr>
        <w:t> pour cent</w:t>
      </w:r>
      <w:r w:rsidRPr="002009D7">
        <w:rPr>
          <w:lang w:val="fr-FR"/>
        </w:rPr>
        <w:t xml:space="preserve"> de réduction de sa consommation de HCFC d’ici 2020, doit être ajusté </w:t>
      </w:r>
      <w:r w:rsidR="00E935FE">
        <w:rPr>
          <w:lang w:val="fr-FR"/>
        </w:rPr>
        <w:t xml:space="preserve">pour passer </w:t>
      </w:r>
      <w:r w:rsidRPr="002009D7">
        <w:rPr>
          <w:lang w:val="fr-FR"/>
        </w:rPr>
        <w:t>de 647</w:t>
      </w:r>
      <w:r w:rsidR="004A3B9C">
        <w:rPr>
          <w:lang w:val="fr-FR"/>
        </w:rPr>
        <w:t> </w:t>
      </w:r>
      <w:r w:rsidRPr="002009D7">
        <w:rPr>
          <w:lang w:val="fr-FR"/>
        </w:rPr>
        <w:t>000</w:t>
      </w:r>
      <w:r w:rsidR="004A3B9C">
        <w:rPr>
          <w:lang w:val="fr-FR"/>
        </w:rPr>
        <w:t> </w:t>
      </w:r>
      <w:r w:rsidRPr="002009D7">
        <w:rPr>
          <w:lang w:val="fr-FR"/>
        </w:rPr>
        <w:t>$ US (comme initialement approuvé) à 332</w:t>
      </w:r>
      <w:r w:rsidR="004A3B9C">
        <w:rPr>
          <w:lang w:val="fr-FR"/>
        </w:rPr>
        <w:t> </w:t>
      </w:r>
      <w:r w:rsidRPr="002009D7">
        <w:rPr>
          <w:lang w:val="fr-FR"/>
        </w:rPr>
        <w:t>500</w:t>
      </w:r>
      <w:r w:rsidR="004A3B9C">
        <w:rPr>
          <w:lang w:val="fr-FR"/>
        </w:rPr>
        <w:t> </w:t>
      </w:r>
      <w:r w:rsidRPr="002009D7">
        <w:rPr>
          <w:lang w:val="fr-FR"/>
        </w:rPr>
        <w:t>$ US (c’est-à-dire, un ajustement de 314</w:t>
      </w:r>
      <w:r w:rsidR="004A3B9C">
        <w:rPr>
          <w:lang w:val="fr-FR"/>
        </w:rPr>
        <w:t> </w:t>
      </w:r>
      <w:r w:rsidRPr="002009D7">
        <w:rPr>
          <w:lang w:val="fr-FR"/>
        </w:rPr>
        <w:t>500</w:t>
      </w:r>
      <w:r w:rsidR="004A3B9C">
        <w:rPr>
          <w:lang w:val="fr-FR"/>
        </w:rPr>
        <w:t> </w:t>
      </w:r>
      <w:r w:rsidRPr="002009D7">
        <w:rPr>
          <w:lang w:val="fr-FR"/>
        </w:rPr>
        <w:t>$</w:t>
      </w:r>
      <w:r w:rsidR="00596612">
        <w:rPr>
          <w:lang w:val="fr-FR"/>
        </w:rPr>
        <w:t> </w:t>
      </w:r>
      <w:r w:rsidRPr="002009D7">
        <w:rPr>
          <w:lang w:val="fr-FR"/>
        </w:rPr>
        <w:t>US). Sachant que 305</w:t>
      </w:r>
      <w:r w:rsidR="004A3B9C">
        <w:rPr>
          <w:lang w:val="fr-FR"/>
        </w:rPr>
        <w:t> </w:t>
      </w:r>
      <w:r w:rsidRPr="002009D7">
        <w:rPr>
          <w:lang w:val="fr-FR"/>
        </w:rPr>
        <w:t>000</w:t>
      </w:r>
      <w:r w:rsidR="004A3B9C">
        <w:rPr>
          <w:lang w:val="fr-FR"/>
        </w:rPr>
        <w:t> </w:t>
      </w:r>
      <w:r w:rsidRPr="002009D7">
        <w:rPr>
          <w:lang w:val="fr-FR"/>
        </w:rPr>
        <w:t xml:space="preserve">$ US ont déjà été approuvés dans le cadre des première et </w:t>
      </w:r>
      <w:proofErr w:type="gramStart"/>
      <w:r w:rsidRPr="002009D7">
        <w:rPr>
          <w:lang w:val="fr-FR"/>
        </w:rPr>
        <w:t>deuxième tranches</w:t>
      </w:r>
      <w:proofErr w:type="gramEnd"/>
      <w:r w:rsidRPr="002009D7">
        <w:rPr>
          <w:lang w:val="fr-FR"/>
        </w:rPr>
        <w:t>, le financement restant pour la phase I serait de 27</w:t>
      </w:r>
      <w:r w:rsidR="004A3B9C">
        <w:rPr>
          <w:lang w:val="fr-FR"/>
        </w:rPr>
        <w:t> </w:t>
      </w:r>
      <w:r w:rsidRPr="002009D7">
        <w:rPr>
          <w:lang w:val="fr-FR"/>
        </w:rPr>
        <w:t>500</w:t>
      </w:r>
      <w:r w:rsidR="004A3B9C">
        <w:rPr>
          <w:lang w:val="fr-FR"/>
        </w:rPr>
        <w:t> </w:t>
      </w:r>
      <w:r w:rsidRPr="002009D7">
        <w:rPr>
          <w:lang w:val="fr-FR"/>
        </w:rPr>
        <w:t xml:space="preserve">$ US. </w:t>
      </w:r>
    </w:p>
    <w:p w14:paraId="6316C9D3" w14:textId="5C5841AA" w:rsidR="00480052" w:rsidRPr="002009D7" w:rsidRDefault="00480052" w:rsidP="00480052">
      <w:pPr>
        <w:pStyle w:val="Heading1"/>
        <w:tabs>
          <w:tab w:val="clear" w:pos="0"/>
        </w:tabs>
        <w:rPr>
          <w:lang w:val="fr-FR"/>
        </w:rPr>
      </w:pPr>
      <w:r w:rsidRPr="002009D7">
        <w:rPr>
          <w:lang w:val="fr-FR"/>
        </w:rPr>
        <w:t>Durant le processus d’examen du projet, le PNUE a expliqué que le financement de 305</w:t>
      </w:r>
      <w:r w:rsidR="004A3B9C">
        <w:rPr>
          <w:lang w:val="fr-FR"/>
        </w:rPr>
        <w:t> </w:t>
      </w:r>
      <w:r w:rsidRPr="002009D7">
        <w:rPr>
          <w:lang w:val="fr-FR"/>
        </w:rPr>
        <w:t>000</w:t>
      </w:r>
      <w:r w:rsidR="004A3B9C">
        <w:rPr>
          <w:lang w:val="fr-FR"/>
        </w:rPr>
        <w:t> </w:t>
      </w:r>
      <w:r w:rsidRPr="002009D7">
        <w:rPr>
          <w:lang w:val="fr-FR"/>
        </w:rPr>
        <w:t>$ US approuvés dans le cadre des deux premières tranches a déjà été totalement dépensé et que plusieurs des activités inclus</w:t>
      </w:r>
      <w:r w:rsidR="004A3B9C">
        <w:rPr>
          <w:lang w:val="fr-FR"/>
        </w:rPr>
        <w:t>es</w:t>
      </w:r>
      <w:r w:rsidRPr="002009D7">
        <w:rPr>
          <w:lang w:val="fr-FR"/>
        </w:rPr>
        <w:t xml:space="preserve"> dans la phase I du PGEH sont prévu</w:t>
      </w:r>
      <w:r w:rsidR="004A3B9C">
        <w:rPr>
          <w:lang w:val="fr-FR"/>
        </w:rPr>
        <w:t>e</w:t>
      </w:r>
      <w:r w:rsidRPr="002009D7">
        <w:rPr>
          <w:lang w:val="fr-FR"/>
        </w:rPr>
        <w:t>s pour une mise en œuvre immédiate d</w:t>
      </w:r>
      <w:r w:rsidR="004A3B9C">
        <w:rPr>
          <w:lang w:val="fr-FR"/>
        </w:rPr>
        <w:t>è</w:t>
      </w:r>
      <w:r w:rsidRPr="002009D7">
        <w:rPr>
          <w:lang w:val="fr-FR"/>
        </w:rPr>
        <w:t>s que le financement aura été approuvé. En conséquence, la réduction des fonds restants pour la phase I à seulement 27</w:t>
      </w:r>
      <w:r w:rsidR="004A3B9C">
        <w:rPr>
          <w:lang w:val="fr-FR"/>
        </w:rPr>
        <w:t> </w:t>
      </w:r>
      <w:r w:rsidRPr="002009D7">
        <w:rPr>
          <w:lang w:val="fr-FR"/>
        </w:rPr>
        <w:t>500</w:t>
      </w:r>
      <w:r w:rsidR="004A3B9C">
        <w:rPr>
          <w:lang w:val="fr-FR"/>
        </w:rPr>
        <w:t> </w:t>
      </w:r>
      <w:r w:rsidRPr="002009D7">
        <w:rPr>
          <w:lang w:val="fr-FR"/>
        </w:rPr>
        <w:t>$ US s’avérerait préjudiciable pour le pays</w:t>
      </w:r>
      <w:r w:rsidR="004A3B9C">
        <w:rPr>
          <w:lang w:val="fr-FR"/>
        </w:rPr>
        <w:t>,</w:t>
      </w:r>
      <w:r w:rsidRPr="002009D7">
        <w:rPr>
          <w:lang w:val="fr-FR"/>
        </w:rPr>
        <w:t xml:space="preserve"> car cela stopperait dans sa lancée la mise en œuvre de la phase I. </w:t>
      </w:r>
      <w:r w:rsidR="00E935FE">
        <w:rPr>
          <w:lang w:val="fr-FR"/>
        </w:rPr>
        <w:t>De plus, l</w:t>
      </w:r>
      <w:r w:rsidRPr="002009D7">
        <w:rPr>
          <w:lang w:val="fr-FR"/>
        </w:rPr>
        <w:t>a soumission de la phase</w:t>
      </w:r>
      <w:r w:rsidR="004A3B9C">
        <w:rPr>
          <w:lang w:val="fr-FR"/>
        </w:rPr>
        <w:t> </w:t>
      </w:r>
      <w:r w:rsidRPr="002009D7">
        <w:rPr>
          <w:lang w:val="fr-FR"/>
        </w:rPr>
        <w:t>II n’est pas prévue avant 2022, car les fonds préparatoires seront seulement demandés lors de la 86</w:t>
      </w:r>
      <w:r w:rsidRPr="002009D7">
        <w:rPr>
          <w:vertAlign w:val="superscript"/>
          <w:lang w:val="fr-FR"/>
        </w:rPr>
        <w:t>e</w:t>
      </w:r>
      <w:r w:rsidR="004A3B9C">
        <w:rPr>
          <w:lang w:val="fr-FR"/>
        </w:rPr>
        <w:t> </w:t>
      </w:r>
      <w:r w:rsidRPr="002009D7">
        <w:rPr>
          <w:lang w:val="fr-FR"/>
        </w:rPr>
        <w:t xml:space="preserve">réunion. </w:t>
      </w:r>
    </w:p>
    <w:p w14:paraId="7C498342" w14:textId="49D8F33D" w:rsidR="00480052" w:rsidRPr="002009D7" w:rsidRDefault="00E935FE" w:rsidP="00480052">
      <w:pPr>
        <w:pStyle w:val="Heading1"/>
        <w:tabs>
          <w:tab w:val="clear" w:pos="0"/>
        </w:tabs>
        <w:rPr>
          <w:lang w:val="fr-FR"/>
        </w:rPr>
      </w:pPr>
      <w:r>
        <w:rPr>
          <w:lang w:val="fr-FR"/>
        </w:rPr>
        <w:t>Dans ces conditions</w:t>
      </w:r>
      <w:r w:rsidR="00480052" w:rsidRPr="002009D7">
        <w:rPr>
          <w:lang w:val="fr-FR"/>
        </w:rPr>
        <w:t xml:space="preserve"> et </w:t>
      </w:r>
      <w:r>
        <w:rPr>
          <w:lang w:val="fr-FR"/>
        </w:rPr>
        <w:t>à l’instar de</w:t>
      </w:r>
      <w:r w:rsidR="00480052" w:rsidRPr="002009D7">
        <w:rPr>
          <w:lang w:val="fr-FR"/>
        </w:rPr>
        <w:t xml:space="preserve"> précédents, décision a été prise de considérer</w:t>
      </w:r>
      <w:r w:rsidR="007A47EA">
        <w:rPr>
          <w:lang w:val="fr-FR"/>
        </w:rPr>
        <w:t>,</w:t>
      </w:r>
      <w:r w:rsidR="00480052" w:rsidRPr="002009D7">
        <w:rPr>
          <w:lang w:val="fr-FR"/>
        </w:rPr>
        <w:t xml:space="preserve"> lors de la 85</w:t>
      </w:r>
      <w:r w:rsidR="00480052" w:rsidRPr="00E935FE">
        <w:rPr>
          <w:vertAlign w:val="superscript"/>
          <w:lang w:val="fr-FR"/>
        </w:rPr>
        <w:t>e</w:t>
      </w:r>
      <w:r w:rsidR="004A3B9C">
        <w:rPr>
          <w:lang w:val="fr-FR"/>
        </w:rPr>
        <w:t> </w:t>
      </w:r>
      <w:r w:rsidR="00480052" w:rsidRPr="002009D7">
        <w:rPr>
          <w:lang w:val="fr-FR"/>
        </w:rPr>
        <w:t>réunion</w:t>
      </w:r>
      <w:r w:rsidR="007A47EA">
        <w:rPr>
          <w:lang w:val="fr-FR"/>
        </w:rPr>
        <w:t>,</w:t>
      </w:r>
      <w:r w:rsidR="00480052" w:rsidRPr="002009D7">
        <w:rPr>
          <w:lang w:val="fr-FR"/>
        </w:rPr>
        <w:t xml:space="preserve"> la troisième tranche </w:t>
      </w:r>
      <w:r w:rsidR="007A47EA">
        <w:rPr>
          <w:lang w:val="fr-FR"/>
        </w:rPr>
        <w:t>pour</w:t>
      </w:r>
      <w:r w:rsidR="00480052" w:rsidRPr="002009D7">
        <w:rPr>
          <w:lang w:val="fr-FR"/>
        </w:rPr>
        <w:t xml:space="preserve"> une valeur de 225</w:t>
      </w:r>
      <w:r w:rsidR="004A3B9C">
        <w:rPr>
          <w:lang w:val="fr-FR"/>
        </w:rPr>
        <w:t> </w:t>
      </w:r>
      <w:r w:rsidR="00480052" w:rsidRPr="002009D7">
        <w:rPr>
          <w:lang w:val="fr-FR"/>
        </w:rPr>
        <w:t>000</w:t>
      </w:r>
      <w:r w:rsidR="004A3B9C">
        <w:rPr>
          <w:lang w:val="fr-FR"/>
        </w:rPr>
        <w:t> </w:t>
      </w:r>
      <w:r w:rsidR="00480052" w:rsidRPr="002009D7">
        <w:rPr>
          <w:lang w:val="fr-FR"/>
        </w:rPr>
        <w:t>$ US</w:t>
      </w:r>
      <w:r w:rsidR="007A47EA">
        <w:rPr>
          <w:lang w:val="fr-FR"/>
        </w:rPr>
        <w:t>,</w:t>
      </w:r>
      <w:r w:rsidR="00480052" w:rsidRPr="002009D7">
        <w:rPr>
          <w:lang w:val="fr-FR"/>
        </w:rPr>
        <w:t xml:space="preserve"> comme initialement prévu</w:t>
      </w:r>
      <w:r w:rsidR="007A47EA">
        <w:rPr>
          <w:lang w:val="fr-FR"/>
        </w:rPr>
        <w:t>,</w:t>
      </w:r>
      <w:r w:rsidR="00480052" w:rsidRPr="002009D7">
        <w:rPr>
          <w:lang w:val="fr-FR"/>
        </w:rPr>
        <w:t xml:space="preserve"> comme la dernière tranche de la phase I du PGEH, pour permettre la finalisation des activités en cours. La réduction </w:t>
      </w:r>
      <w:r w:rsidR="00480052" w:rsidRPr="002009D7">
        <w:rPr>
          <w:lang w:val="fr-FR"/>
        </w:rPr>
        <w:lastRenderedPageBreak/>
        <w:t>requise de 314</w:t>
      </w:r>
      <w:r w:rsidR="004A3B9C">
        <w:rPr>
          <w:lang w:val="fr-FR"/>
        </w:rPr>
        <w:t> </w:t>
      </w:r>
      <w:r w:rsidR="00480052" w:rsidRPr="002009D7">
        <w:rPr>
          <w:lang w:val="fr-FR"/>
        </w:rPr>
        <w:t>500</w:t>
      </w:r>
      <w:r w:rsidR="004A3B9C">
        <w:rPr>
          <w:lang w:val="fr-FR"/>
        </w:rPr>
        <w:t> </w:t>
      </w:r>
      <w:r w:rsidR="00480052" w:rsidRPr="002009D7">
        <w:rPr>
          <w:lang w:val="fr-FR"/>
        </w:rPr>
        <w:t>$ US serait donc mené</w:t>
      </w:r>
      <w:r w:rsidR="004A3B9C">
        <w:rPr>
          <w:lang w:val="fr-FR"/>
        </w:rPr>
        <w:t>e</w:t>
      </w:r>
      <w:r w:rsidR="00480052" w:rsidRPr="002009D7">
        <w:rPr>
          <w:lang w:val="fr-FR"/>
        </w:rPr>
        <w:t xml:space="preserve"> à bien par l’annulation du financement de la quatrième (50</w:t>
      </w:r>
      <w:r w:rsidR="004A3B9C">
        <w:rPr>
          <w:lang w:val="fr-FR"/>
        </w:rPr>
        <w:t> </w:t>
      </w:r>
      <w:r w:rsidR="00480052" w:rsidRPr="002009D7">
        <w:rPr>
          <w:lang w:val="fr-FR"/>
        </w:rPr>
        <w:t>000</w:t>
      </w:r>
      <w:r w:rsidR="004A3B9C">
        <w:rPr>
          <w:lang w:val="fr-FR"/>
        </w:rPr>
        <w:t> </w:t>
      </w:r>
      <w:r w:rsidR="00480052" w:rsidRPr="002009D7">
        <w:rPr>
          <w:lang w:val="fr-FR"/>
        </w:rPr>
        <w:t>$</w:t>
      </w:r>
      <w:r w:rsidR="00596612">
        <w:rPr>
          <w:lang w:val="fr-FR"/>
        </w:rPr>
        <w:t> </w:t>
      </w:r>
      <w:r w:rsidR="00480052" w:rsidRPr="002009D7">
        <w:rPr>
          <w:lang w:val="fr-FR"/>
        </w:rPr>
        <w:t>US) et de la cinquième (67</w:t>
      </w:r>
      <w:r w:rsidR="004A3B9C">
        <w:rPr>
          <w:lang w:val="fr-FR"/>
        </w:rPr>
        <w:t> </w:t>
      </w:r>
      <w:r w:rsidR="00480052" w:rsidRPr="002009D7">
        <w:rPr>
          <w:lang w:val="fr-FR"/>
        </w:rPr>
        <w:t>000</w:t>
      </w:r>
      <w:r w:rsidR="004A3B9C">
        <w:rPr>
          <w:lang w:val="fr-FR"/>
        </w:rPr>
        <w:t> </w:t>
      </w:r>
      <w:r w:rsidR="00480052" w:rsidRPr="002009D7">
        <w:rPr>
          <w:lang w:val="fr-FR"/>
        </w:rPr>
        <w:t>$ US) tranche, ainsi qu’une réduction supplémentaire de 197</w:t>
      </w:r>
      <w:r w:rsidR="004A3B9C">
        <w:rPr>
          <w:lang w:val="fr-FR"/>
        </w:rPr>
        <w:t> </w:t>
      </w:r>
      <w:r w:rsidR="00480052" w:rsidRPr="002009D7">
        <w:rPr>
          <w:lang w:val="fr-FR"/>
        </w:rPr>
        <w:t>500</w:t>
      </w:r>
      <w:r w:rsidR="004A3B9C">
        <w:rPr>
          <w:lang w:val="fr-FR"/>
        </w:rPr>
        <w:t> </w:t>
      </w:r>
      <w:r w:rsidR="00480052" w:rsidRPr="002009D7">
        <w:rPr>
          <w:lang w:val="fr-FR"/>
        </w:rPr>
        <w:t>$ US du financement de la phase</w:t>
      </w:r>
      <w:r w:rsidR="004A3B9C">
        <w:rPr>
          <w:lang w:val="fr-FR"/>
        </w:rPr>
        <w:t> </w:t>
      </w:r>
      <w:r w:rsidR="00480052" w:rsidRPr="002009D7">
        <w:rPr>
          <w:lang w:val="fr-FR"/>
        </w:rPr>
        <w:t>II du PGEH une fois celui-ci demandé.</w:t>
      </w:r>
    </w:p>
    <w:p w14:paraId="2B3D727D" w14:textId="77777777" w:rsidR="00480052" w:rsidRPr="002009D7" w:rsidRDefault="00480052" w:rsidP="00480052">
      <w:pPr>
        <w:pStyle w:val="Heading1"/>
        <w:rPr>
          <w:lang w:val="fr-FR"/>
        </w:rPr>
      </w:pPr>
      <w:r w:rsidRPr="002009D7">
        <w:rPr>
          <w:lang w:val="fr-FR"/>
        </w:rPr>
        <w:t>Sur cette base, le PNUE, au nom du gouvernement de la Guinée, a présenté une nouvelle demande de financement pour la troisième et dernière tranche de la phase I du plan de gestion de l’élimination des HCFC (PGEH), pour un montant total de 246</w:t>
      </w:r>
      <w:r w:rsidR="004A3B9C">
        <w:rPr>
          <w:lang w:val="fr-FR"/>
        </w:rPr>
        <w:t> </w:t>
      </w:r>
      <w:r w:rsidRPr="002009D7">
        <w:rPr>
          <w:lang w:val="fr-FR"/>
        </w:rPr>
        <w:t>750</w:t>
      </w:r>
      <w:r w:rsidR="004A3B9C">
        <w:rPr>
          <w:lang w:val="fr-FR"/>
        </w:rPr>
        <w:t> </w:t>
      </w:r>
      <w:r w:rsidRPr="002009D7">
        <w:rPr>
          <w:lang w:val="fr-FR"/>
        </w:rPr>
        <w:t>$ US, constitué de 100</w:t>
      </w:r>
      <w:r w:rsidR="004A3B9C">
        <w:rPr>
          <w:lang w:val="fr-FR"/>
        </w:rPr>
        <w:t> </w:t>
      </w:r>
      <w:r w:rsidRPr="002009D7">
        <w:rPr>
          <w:lang w:val="fr-FR"/>
        </w:rPr>
        <w:t>000</w:t>
      </w:r>
      <w:r w:rsidR="004A3B9C">
        <w:rPr>
          <w:lang w:val="fr-FR"/>
        </w:rPr>
        <w:t> </w:t>
      </w:r>
      <w:r w:rsidRPr="002009D7">
        <w:rPr>
          <w:lang w:val="fr-FR"/>
        </w:rPr>
        <w:t>$ US plus les coûts d’appui d’agence à hauteur de 13</w:t>
      </w:r>
      <w:r w:rsidR="004A3B9C">
        <w:rPr>
          <w:lang w:val="fr-FR"/>
        </w:rPr>
        <w:t> </w:t>
      </w:r>
      <w:r w:rsidRPr="002009D7">
        <w:rPr>
          <w:lang w:val="fr-FR"/>
        </w:rPr>
        <w:t>000</w:t>
      </w:r>
      <w:r w:rsidR="004A3B9C">
        <w:rPr>
          <w:lang w:val="fr-FR"/>
        </w:rPr>
        <w:t> </w:t>
      </w:r>
      <w:r w:rsidRPr="002009D7">
        <w:rPr>
          <w:lang w:val="fr-FR"/>
        </w:rPr>
        <w:t>$ US pour le PNUE et de 125</w:t>
      </w:r>
      <w:r w:rsidR="004A3B9C">
        <w:rPr>
          <w:lang w:val="fr-FR"/>
        </w:rPr>
        <w:t> </w:t>
      </w:r>
      <w:r w:rsidRPr="002009D7">
        <w:rPr>
          <w:lang w:val="fr-FR"/>
        </w:rPr>
        <w:t>000</w:t>
      </w:r>
      <w:r w:rsidR="004A3B9C">
        <w:rPr>
          <w:lang w:val="fr-FR"/>
        </w:rPr>
        <w:t> </w:t>
      </w:r>
      <w:r w:rsidRPr="002009D7">
        <w:rPr>
          <w:lang w:val="fr-FR"/>
        </w:rPr>
        <w:t>$ US plus les coûts d’appui d’agence à hauteur de 8</w:t>
      </w:r>
      <w:r w:rsidR="004A3B9C">
        <w:rPr>
          <w:lang w:val="fr-FR"/>
        </w:rPr>
        <w:t> </w:t>
      </w:r>
      <w:r w:rsidRPr="002009D7">
        <w:rPr>
          <w:lang w:val="fr-FR"/>
        </w:rPr>
        <w:t>750</w:t>
      </w:r>
      <w:r w:rsidR="004A3B9C">
        <w:rPr>
          <w:lang w:val="fr-FR"/>
        </w:rPr>
        <w:t> </w:t>
      </w:r>
      <w:r w:rsidRPr="002009D7">
        <w:rPr>
          <w:lang w:val="fr-FR"/>
        </w:rPr>
        <w:t xml:space="preserve">$ US pour l’ONUDI. La demande comprend un rapport périodique sur la mise en œuvre de la deuxième tranche, le rapport de vérification et le plan annuel de mise en œuvre pour 2020-2022. </w:t>
      </w:r>
    </w:p>
    <w:p w14:paraId="6F5DF475" w14:textId="77777777" w:rsidR="00480052" w:rsidRPr="002009D7" w:rsidRDefault="00480052" w:rsidP="00480052">
      <w:pPr>
        <w:pStyle w:val="Heading1"/>
        <w:numPr>
          <w:ilvl w:val="0"/>
          <w:numId w:val="0"/>
        </w:numPr>
        <w:rPr>
          <w:u w:val="single"/>
          <w:lang w:val="fr-FR"/>
        </w:rPr>
      </w:pPr>
      <w:r w:rsidRPr="002009D7">
        <w:rPr>
          <w:u w:val="single"/>
          <w:lang w:val="fr-FR"/>
        </w:rPr>
        <w:t>Rapport sur la consommation de HCFC</w:t>
      </w:r>
    </w:p>
    <w:p w14:paraId="02781E8D" w14:textId="058F98C2" w:rsidR="00480052" w:rsidRPr="002009D7" w:rsidRDefault="00480052" w:rsidP="00480052">
      <w:pPr>
        <w:pStyle w:val="Heading1"/>
        <w:rPr>
          <w:lang w:val="fr-FR"/>
        </w:rPr>
      </w:pPr>
      <w:r w:rsidRPr="002009D7">
        <w:rPr>
          <w:lang w:val="fr-FR"/>
        </w:rPr>
        <w:t xml:space="preserve">La consommation de HCFC en Guinée </w:t>
      </w:r>
      <w:r w:rsidR="00F856C2">
        <w:rPr>
          <w:lang w:val="fr-FR"/>
        </w:rPr>
        <w:t xml:space="preserve">(la) </w:t>
      </w:r>
      <w:r w:rsidRPr="002009D7">
        <w:rPr>
          <w:lang w:val="fr-FR"/>
        </w:rPr>
        <w:t>a diminué graduellement depuis 2013 pour di</w:t>
      </w:r>
      <w:r w:rsidR="00F856C2">
        <w:rPr>
          <w:lang w:val="fr-FR"/>
        </w:rPr>
        <w:t>verses</w:t>
      </w:r>
      <w:r w:rsidRPr="002009D7">
        <w:rPr>
          <w:lang w:val="fr-FR"/>
        </w:rPr>
        <w:t xml:space="preserve"> raisons. La crise politique et l</w:t>
      </w:r>
      <w:r w:rsidR="00F856C2">
        <w:rPr>
          <w:lang w:val="fr-FR"/>
        </w:rPr>
        <w:t>’épidémie</w:t>
      </w:r>
      <w:r w:rsidRPr="002009D7">
        <w:rPr>
          <w:lang w:val="fr-FR"/>
        </w:rPr>
        <w:t xml:space="preserve"> de maladie à virus Ebola il y a quelques années ont réduit la demande en HCFC</w:t>
      </w:r>
      <w:r w:rsidR="009B2824">
        <w:rPr>
          <w:lang w:val="fr-FR"/>
        </w:rPr>
        <w:t> </w:t>
      </w:r>
      <w:r w:rsidR="00F856C2">
        <w:rPr>
          <w:lang w:val="fr-FR"/>
        </w:rPr>
        <w:t>;</w:t>
      </w:r>
      <w:r w:rsidRPr="002009D7">
        <w:rPr>
          <w:lang w:val="fr-FR"/>
        </w:rPr>
        <w:t xml:space="preserve"> l’application du système d’octroi de permis et de quota d’import</w:t>
      </w:r>
      <w:r w:rsidR="004A3B9C">
        <w:rPr>
          <w:lang w:val="fr-FR"/>
        </w:rPr>
        <w:t>-</w:t>
      </w:r>
      <w:r w:rsidRPr="002009D7">
        <w:rPr>
          <w:lang w:val="fr-FR"/>
        </w:rPr>
        <w:t xml:space="preserve">export de HCFC </w:t>
      </w:r>
      <w:r w:rsidR="00F856C2">
        <w:rPr>
          <w:lang w:val="fr-FR"/>
        </w:rPr>
        <w:t>ainsi que</w:t>
      </w:r>
      <w:r w:rsidRPr="002009D7">
        <w:rPr>
          <w:lang w:val="fr-FR"/>
        </w:rPr>
        <w:t xml:space="preserve"> la formation de techniciens frigoristes et l’importation d’équipements de réfrigération et de climatisation n’utilisant pas de HCFC-22 ont encore contribué à la réduction de la consommation de HCFC.</w:t>
      </w:r>
    </w:p>
    <w:p w14:paraId="5538A604" w14:textId="77777777" w:rsidR="00480052" w:rsidRPr="002009D7" w:rsidRDefault="00480052" w:rsidP="00480052">
      <w:pPr>
        <w:pStyle w:val="Heading1"/>
        <w:numPr>
          <w:ilvl w:val="0"/>
          <w:numId w:val="0"/>
        </w:numPr>
        <w:rPr>
          <w:i/>
          <w:lang w:val="fr-FR"/>
        </w:rPr>
      </w:pPr>
      <w:r w:rsidRPr="002009D7">
        <w:rPr>
          <w:i/>
          <w:lang w:val="fr-FR"/>
        </w:rPr>
        <w:t>Rapport de mise en œuvre du programme national (PN)</w:t>
      </w:r>
    </w:p>
    <w:p w14:paraId="7945DA64" w14:textId="68495DCA" w:rsidR="00480052" w:rsidRPr="002009D7" w:rsidRDefault="00480052" w:rsidP="00480052">
      <w:pPr>
        <w:pStyle w:val="Heading1"/>
        <w:tabs>
          <w:tab w:val="clear" w:pos="0"/>
        </w:tabs>
        <w:rPr>
          <w:i/>
          <w:lang w:val="fr-FR"/>
        </w:rPr>
      </w:pPr>
      <w:r w:rsidRPr="002009D7">
        <w:rPr>
          <w:lang w:val="fr-FR"/>
        </w:rPr>
        <w:t xml:space="preserve">Le gouvernement de </w:t>
      </w:r>
      <w:r w:rsidR="00F856C2">
        <w:rPr>
          <w:lang w:val="fr-FR"/>
        </w:rPr>
        <w:t xml:space="preserve">la </w:t>
      </w:r>
      <w:r w:rsidRPr="002009D7">
        <w:rPr>
          <w:lang w:val="fr-FR"/>
        </w:rPr>
        <w:t>Guinée a fait état des données de sa consommation de HCFC du secteur pour 2019 dans le rapport de mise en œuvre du PN, lesquelles correspondent aux données indiquées en vertu de l’article</w:t>
      </w:r>
      <w:r w:rsidR="004A3B9C">
        <w:rPr>
          <w:lang w:val="fr-FR"/>
        </w:rPr>
        <w:t> </w:t>
      </w:r>
      <w:r w:rsidRPr="002009D7">
        <w:rPr>
          <w:lang w:val="fr-FR"/>
        </w:rPr>
        <w:t xml:space="preserve">7 du Protocole de Montréal. </w:t>
      </w:r>
    </w:p>
    <w:p w14:paraId="07D8379A" w14:textId="77777777" w:rsidR="00480052" w:rsidRPr="002009D7" w:rsidRDefault="00480052" w:rsidP="00480052">
      <w:pPr>
        <w:keepNext/>
        <w:rPr>
          <w:i/>
          <w:lang w:val="fr-FR"/>
        </w:rPr>
      </w:pPr>
      <w:r w:rsidRPr="002009D7">
        <w:rPr>
          <w:i/>
          <w:lang w:val="fr-FR"/>
        </w:rPr>
        <w:t xml:space="preserve">Rapport de vérification </w:t>
      </w:r>
    </w:p>
    <w:p w14:paraId="0CD9B96F" w14:textId="77777777" w:rsidR="00480052" w:rsidRPr="002009D7" w:rsidRDefault="00480052" w:rsidP="00480052">
      <w:pPr>
        <w:keepNext/>
        <w:rPr>
          <w:i/>
          <w:lang w:val="fr-FR"/>
        </w:rPr>
      </w:pPr>
    </w:p>
    <w:p w14:paraId="17AB8A6E" w14:textId="3F3BB9C9" w:rsidR="00480052" w:rsidRPr="002009D7" w:rsidRDefault="00480052" w:rsidP="00480052">
      <w:pPr>
        <w:pStyle w:val="Heading1"/>
        <w:tabs>
          <w:tab w:val="clear" w:pos="0"/>
        </w:tabs>
        <w:rPr>
          <w:lang w:val="fr-FR"/>
        </w:rPr>
      </w:pPr>
      <w:r w:rsidRPr="002009D7">
        <w:rPr>
          <w:lang w:val="fr-FR"/>
        </w:rPr>
        <w:t xml:space="preserve">Le rapport de vérification a confirmé que le gouvernement a mis en œuvre un système de quotas et d’octroi de permis pour les importations et exportations de HCFC et a recommandé le renforcement de capacité des agents de douanes grâce à des formations supplémentaires relatives à l’application des réglementations nationales et locales concernant les SAO, </w:t>
      </w:r>
      <w:r w:rsidR="00241026">
        <w:rPr>
          <w:lang w:val="fr-FR"/>
        </w:rPr>
        <w:t>la fourniture</w:t>
      </w:r>
      <w:r w:rsidRPr="002009D7">
        <w:rPr>
          <w:lang w:val="fr-FR"/>
        </w:rPr>
        <w:t xml:space="preserve"> </w:t>
      </w:r>
      <w:r w:rsidR="00241026">
        <w:rPr>
          <w:lang w:val="fr-FR"/>
        </w:rPr>
        <w:t>aux</w:t>
      </w:r>
      <w:r w:rsidRPr="002009D7">
        <w:rPr>
          <w:lang w:val="fr-FR"/>
        </w:rPr>
        <w:t xml:space="preserve"> services des douanes d</w:t>
      </w:r>
      <w:r w:rsidR="00241026">
        <w:rPr>
          <w:lang w:val="fr-FR"/>
        </w:rPr>
        <w:t>’</w:t>
      </w:r>
      <w:r w:rsidRPr="002009D7">
        <w:rPr>
          <w:lang w:val="fr-FR"/>
        </w:rPr>
        <w:t xml:space="preserve">identificateurs </w:t>
      </w:r>
      <w:r w:rsidR="00241026" w:rsidRPr="002009D7">
        <w:rPr>
          <w:lang w:val="fr-FR"/>
        </w:rPr>
        <w:t xml:space="preserve">de frigorigènes </w:t>
      </w:r>
      <w:r w:rsidRPr="002009D7">
        <w:rPr>
          <w:lang w:val="fr-FR"/>
        </w:rPr>
        <w:t xml:space="preserve">efficaces ainsi que </w:t>
      </w:r>
      <w:r w:rsidR="00241026">
        <w:rPr>
          <w:lang w:val="fr-FR"/>
        </w:rPr>
        <w:t>la formation</w:t>
      </w:r>
      <w:r w:rsidRPr="002009D7">
        <w:rPr>
          <w:lang w:val="fr-FR"/>
        </w:rPr>
        <w:t xml:space="preserve"> </w:t>
      </w:r>
      <w:r w:rsidR="00241026">
        <w:rPr>
          <w:lang w:val="fr-FR"/>
        </w:rPr>
        <w:t>d</w:t>
      </w:r>
      <w:r w:rsidRPr="002009D7">
        <w:rPr>
          <w:lang w:val="fr-FR"/>
        </w:rPr>
        <w:t>es importateurs à l’utilisation des quotas alloués pour éviter les écarts entre les quotas alloués et les quantités réelles importées.</w:t>
      </w:r>
    </w:p>
    <w:p w14:paraId="2AEA4CCB" w14:textId="5B68F2B4" w:rsidR="00480052" w:rsidRPr="002009D7" w:rsidRDefault="00480052" w:rsidP="00480052">
      <w:pPr>
        <w:pStyle w:val="Heading1"/>
        <w:tabs>
          <w:tab w:val="clear" w:pos="0"/>
        </w:tabs>
        <w:rPr>
          <w:lang w:val="fr-FR"/>
        </w:rPr>
      </w:pPr>
      <w:r w:rsidRPr="002009D7">
        <w:rPr>
          <w:lang w:val="fr-FR"/>
        </w:rPr>
        <w:t>Le PNUE a confirmé que le gouvernement de la Guinée prendra en compte les recommandations</w:t>
      </w:r>
      <w:r w:rsidR="00241026">
        <w:rPr>
          <w:lang w:val="fr-FR"/>
        </w:rPr>
        <w:t xml:space="preserve"> émises</w:t>
      </w:r>
      <w:r w:rsidRPr="002009D7">
        <w:rPr>
          <w:lang w:val="fr-FR"/>
        </w:rPr>
        <w:t xml:space="preserve"> par le vérificateur durant la mise en œuvre de la troisième tranche du PGEH. La formation des officiers de douanes a déjà commencé et continuera de 2020 à 2022 et la fourniture d’identificateurs de frigorigènes supplémentaires sera aussi incluse dans la troisième tranche.</w:t>
      </w:r>
    </w:p>
    <w:p w14:paraId="7990CF60" w14:textId="77777777" w:rsidR="00480052" w:rsidRPr="002009D7" w:rsidRDefault="00480052" w:rsidP="00480052">
      <w:pPr>
        <w:spacing w:after="240"/>
        <w:rPr>
          <w:color w:val="000000"/>
          <w:lang w:val="fr-FR"/>
        </w:rPr>
      </w:pPr>
      <w:r w:rsidRPr="002009D7">
        <w:rPr>
          <w:u w:val="single"/>
          <w:lang w:val="fr-FR"/>
        </w:rPr>
        <w:t>Rapport périodique sur la mise en œuvre de la deuxième tranche du PGEH</w:t>
      </w:r>
    </w:p>
    <w:p w14:paraId="43708897" w14:textId="77777777" w:rsidR="00480052" w:rsidRPr="002009D7" w:rsidRDefault="00480052" w:rsidP="00480052">
      <w:pPr>
        <w:rPr>
          <w:i/>
          <w:lang w:val="fr-FR"/>
        </w:rPr>
      </w:pPr>
      <w:r w:rsidRPr="002009D7">
        <w:rPr>
          <w:i/>
          <w:lang w:val="fr-FR"/>
        </w:rPr>
        <w:t>Cadre juridique</w:t>
      </w:r>
    </w:p>
    <w:p w14:paraId="4F34E64A" w14:textId="77777777" w:rsidR="00480052" w:rsidRPr="002009D7" w:rsidRDefault="00480052" w:rsidP="00480052">
      <w:pPr>
        <w:rPr>
          <w:i/>
          <w:lang w:val="fr-FR"/>
        </w:rPr>
      </w:pPr>
    </w:p>
    <w:p w14:paraId="3B739221" w14:textId="77777777" w:rsidR="00480052" w:rsidRPr="002009D7" w:rsidRDefault="00480052" w:rsidP="00480052">
      <w:pPr>
        <w:pStyle w:val="Heading1"/>
        <w:tabs>
          <w:tab w:val="clear" w:pos="0"/>
        </w:tabs>
        <w:rPr>
          <w:lang w:val="fr-FR"/>
        </w:rPr>
      </w:pPr>
      <w:r w:rsidRPr="002009D7">
        <w:rPr>
          <w:lang w:val="fr-FR"/>
        </w:rPr>
        <w:t xml:space="preserve">En plus du système d’octroi de permis et de quota d’importation de HCFC, les importations d’équipements utilisant des HCFC sont soumises à autorisation du Comité national de l’ozone pour s’assurer de la conformité avec la législation régionale établie par l’Union économique et monétaire ouest-africaine (UEMOA). La Guinée a développé un code de bonnes pratiques pour éviter le dégazage de frigorigène durant l’entretien et la maintenance des équipements de réfrigération et de climatisation. </w:t>
      </w:r>
    </w:p>
    <w:p w14:paraId="5BB9CF62" w14:textId="158E37FD" w:rsidR="00480052" w:rsidRPr="002009D7" w:rsidRDefault="00480052" w:rsidP="00480052">
      <w:pPr>
        <w:pStyle w:val="Heading1"/>
        <w:tabs>
          <w:tab w:val="clear" w:pos="0"/>
        </w:tabs>
        <w:rPr>
          <w:lang w:val="fr-FR"/>
        </w:rPr>
      </w:pPr>
      <w:r w:rsidRPr="002009D7">
        <w:rPr>
          <w:lang w:val="fr-FR"/>
        </w:rPr>
        <w:t xml:space="preserve">Le gouvernement de la Guinée a confirmé que toutes les substances contrôlées listées en Annexes A, B et E (sauf </w:t>
      </w:r>
      <w:r w:rsidR="00241026">
        <w:rPr>
          <w:lang w:val="fr-FR"/>
        </w:rPr>
        <w:t>celles utilisées</w:t>
      </w:r>
      <w:r w:rsidRPr="002009D7">
        <w:rPr>
          <w:lang w:val="fr-FR"/>
        </w:rPr>
        <w:t xml:space="preserve"> en quarantaine et avant expédition) à fins de conformité avec le Protocole de Montréal sont interdites à l’importation. Toutes les SAO et les équipements utilisant des SAO sont soumis à autorisation avant importation et les SAO sont inclus</w:t>
      </w:r>
      <w:r w:rsidR="00241026">
        <w:rPr>
          <w:lang w:val="fr-FR"/>
        </w:rPr>
        <w:t>es</w:t>
      </w:r>
      <w:r w:rsidRPr="002009D7">
        <w:rPr>
          <w:lang w:val="fr-FR"/>
        </w:rPr>
        <w:t xml:space="preserve"> dans </w:t>
      </w:r>
      <w:r w:rsidR="00241026">
        <w:rPr>
          <w:lang w:val="fr-FR"/>
        </w:rPr>
        <w:t>la</w:t>
      </w:r>
      <w:r w:rsidRPr="002009D7">
        <w:rPr>
          <w:lang w:val="fr-FR"/>
        </w:rPr>
        <w:t xml:space="preserve"> liste de</w:t>
      </w:r>
      <w:r w:rsidR="00241026">
        <w:rPr>
          <w:lang w:val="fr-FR"/>
        </w:rPr>
        <w:t>s</w:t>
      </w:r>
      <w:r w:rsidRPr="002009D7">
        <w:rPr>
          <w:lang w:val="fr-FR"/>
        </w:rPr>
        <w:t xml:space="preserve"> biens sujets à inspection </w:t>
      </w:r>
      <w:r w:rsidRPr="002009D7">
        <w:rPr>
          <w:lang w:val="fr-FR"/>
        </w:rPr>
        <w:lastRenderedPageBreak/>
        <w:t xml:space="preserve">environnementale. De plus, l’UNO a choisi le port de Conakry comme </w:t>
      </w:r>
      <w:r w:rsidR="00241026">
        <w:rPr>
          <w:lang w:val="fr-FR"/>
        </w:rPr>
        <w:t>point focal</w:t>
      </w:r>
      <w:r w:rsidRPr="002009D7">
        <w:rPr>
          <w:lang w:val="fr-FR"/>
        </w:rPr>
        <w:t xml:space="preserve"> où aider les agents de douanes à identifier les frigorigènes et les équipements utilisant des SAO quand cela s’avère nécessaire. Le gouvernement n’a pas connaissance d’importations illégales, d’utilisation, de présence sur le march</w:t>
      </w:r>
      <w:r w:rsidR="004A3B9C">
        <w:rPr>
          <w:lang w:val="fr-FR"/>
        </w:rPr>
        <w:t>é</w:t>
      </w:r>
      <w:r w:rsidRPr="002009D7">
        <w:rPr>
          <w:lang w:val="fr-FR"/>
        </w:rPr>
        <w:t xml:space="preserve"> local ou de stock de SAO déj</w:t>
      </w:r>
      <w:r w:rsidR="004A3B9C">
        <w:rPr>
          <w:lang w:val="fr-FR"/>
        </w:rPr>
        <w:t>à</w:t>
      </w:r>
      <w:r w:rsidRPr="002009D7">
        <w:rPr>
          <w:lang w:val="fr-FR"/>
        </w:rPr>
        <w:t xml:space="preserve"> interdit</w:t>
      </w:r>
      <w:r w:rsidR="00241026">
        <w:rPr>
          <w:lang w:val="fr-FR"/>
        </w:rPr>
        <w:t>e</w:t>
      </w:r>
      <w:r w:rsidRPr="002009D7">
        <w:rPr>
          <w:lang w:val="fr-FR"/>
        </w:rPr>
        <w:t>s.</w:t>
      </w:r>
    </w:p>
    <w:p w14:paraId="0255C2D0" w14:textId="77777777" w:rsidR="00480052" w:rsidRPr="002009D7" w:rsidRDefault="00480052" w:rsidP="00480052">
      <w:pPr>
        <w:pStyle w:val="Heading1"/>
        <w:rPr>
          <w:lang w:val="fr-FR"/>
        </w:rPr>
      </w:pPr>
      <w:r w:rsidRPr="002009D7">
        <w:rPr>
          <w:lang w:val="fr-FR"/>
        </w:rPr>
        <w:t>Le gouvernement de la Guinée a ratifié l’Amendement de Kigali au Protocole de Montréal le 5</w:t>
      </w:r>
      <w:r w:rsidR="004A3B9C">
        <w:rPr>
          <w:lang w:val="fr-FR"/>
        </w:rPr>
        <w:t> </w:t>
      </w:r>
      <w:r w:rsidRPr="002009D7">
        <w:rPr>
          <w:lang w:val="fr-FR"/>
        </w:rPr>
        <w:t>décembre 2019.</w:t>
      </w:r>
    </w:p>
    <w:p w14:paraId="2F1F61BB" w14:textId="77777777" w:rsidR="00480052" w:rsidRPr="002009D7" w:rsidRDefault="00480052" w:rsidP="00480052">
      <w:pPr>
        <w:pStyle w:val="Heading1"/>
        <w:keepNext/>
        <w:numPr>
          <w:ilvl w:val="0"/>
          <w:numId w:val="0"/>
        </w:numPr>
        <w:shd w:val="clear" w:color="auto" w:fill="FFFFFF" w:themeFill="background1"/>
        <w:rPr>
          <w:i/>
          <w:lang w:val="fr-FR"/>
        </w:rPr>
      </w:pPr>
      <w:r w:rsidRPr="002009D7">
        <w:rPr>
          <w:i/>
          <w:lang w:val="fr-FR"/>
        </w:rPr>
        <w:t>Secteur de l’entretien des systèmes de réfrigération</w:t>
      </w:r>
    </w:p>
    <w:p w14:paraId="61F5174E" w14:textId="77777777" w:rsidR="00480052" w:rsidRPr="002009D7" w:rsidRDefault="00480052" w:rsidP="00480052">
      <w:pPr>
        <w:pStyle w:val="Heading1"/>
        <w:shd w:val="clear" w:color="auto" w:fill="FFFFFF" w:themeFill="background1"/>
        <w:tabs>
          <w:tab w:val="clear" w:pos="0"/>
        </w:tabs>
        <w:rPr>
          <w:i/>
          <w:lang w:val="fr-FR"/>
        </w:rPr>
      </w:pPr>
      <w:r w:rsidRPr="002009D7">
        <w:rPr>
          <w:lang w:val="fr-FR"/>
        </w:rPr>
        <w:t>Les activités suivantes ont été mises en place durant la deuxième tranche</w:t>
      </w:r>
      <w:r w:rsidR="004A3B9C">
        <w:rPr>
          <w:lang w:val="fr-FR"/>
        </w:rPr>
        <w:t> </w:t>
      </w:r>
      <w:r w:rsidRPr="002009D7">
        <w:rPr>
          <w:lang w:val="fr-FR"/>
        </w:rPr>
        <w:t>:</w:t>
      </w:r>
    </w:p>
    <w:p w14:paraId="128BEA0C" w14:textId="1EFF11D2" w:rsidR="00480052" w:rsidRPr="002009D7" w:rsidRDefault="00480052" w:rsidP="00480052">
      <w:pPr>
        <w:pStyle w:val="Heading2"/>
        <w:numPr>
          <w:ilvl w:val="1"/>
          <w:numId w:val="1"/>
        </w:numPr>
        <w:tabs>
          <w:tab w:val="clear" w:pos="0"/>
        </w:tabs>
        <w:rPr>
          <w:lang w:val="fr-FR"/>
        </w:rPr>
      </w:pPr>
      <w:r w:rsidRPr="002009D7">
        <w:rPr>
          <w:lang w:val="fr-FR"/>
        </w:rPr>
        <w:t>Un total de 165</w:t>
      </w:r>
      <w:r w:rsidR="004A3B9C">
        <w:rPr>
          <w:lang w:val="fr-FR"/>
        </w:rPr>
        <w:t> </w:t>
      </w:r>
      <w:r w:rsidRPr="002009D7">
        <w:rPr>
          <w:lang w:val="fr-FR"/>
        </w:rPr>
        <w:t xml:space="preserve">agents de douanes </w:t>
      </w:r>
      <w:proofErr w:type="gramStart"/>
      <w:r w:rsidRPr="002009D7">
        <w:rPr>
          <w:lang w:val="fr-FR"/>
        </w:rPr>
        <w:t>ont</w:t>
      </w:r>
      <w:proofErr w:type="gramEnd"/>
      <w:r w:rsidRPr="002009D7">
        <w:rPr>
          <w:lang w:val="fr-FR"/>
        </w:rPr>
        <w:t xml:space="preserve"> été formés à l’identification et </w:t>
      </w:r>
      <w:r w:rsidR="002B2701">
        <w:rPr>
          <w:lang w:val="fr-FR"/>
        </w:rPr>
        <w:t>au</w:t>
      </w:r>
      <w:r w:rsidRPr="002009D7">
        <w:rPr>
          <w:lang w:val="fr-FR"/>
        </w:rPr>
        <w:t xml:space="preserve"> contrôle des SAO et des équipements utilisant des SAO ainsi qu’à l’utilisation des identificateurs de frigorigènes</w:t>
      </w:r>
      <w:r w:rsidR="004A3B9C">
        <w:rPr>
          <w:lang w:val="fr-FR"/>
        </w:rPr>
        <w:t> </w:t>
      </w:r>
      <w:r w:rsidRPr="002009D7">
        <w:rPr>
          <w:lang w:val="fr-FR"/>
        </w:rPr>
        <w:t>; la formation a renforcé la capacité des agents de la force publique à surveiller et empêcher le commerc</w:t>
      </w:r>
      <w:r w:rsidR="004A3B9C">
        <w:rPr>
          <w:lang w:val="fr-FR"/>
        </w:rPr>
        <w:t>e</w:t>
      </w:r>
      <w:r w:rsidRPr="002009D7">
        <w:rPr>
          <w:lang w:val="fr-FR"/>
        </w:rPr>
        <w:t xml:space="preserve"> illégal de SAO</w:t>
      </w:r>
      <w:r w:rsidR="004A3B9C">
        <w:rPr>
          <w:lang w:val="fr-FR"/>
        </w:rPr>
        <w:t> </w:t>
      </w:r>
      <w:r w:rsidRPr="002009D7">
        <w:rPr>
          <w:lang w:val="fr-FR"/>
        </w:rPr>
        <w:t>; et</w:t>
      </w:r>
    </w:p>
    <w:p w14:paraId="1C9E989E" w14:textId="77777777" w:rsidR="00480052" w:rsidRPr="002009D7" w:rsidRDefault="004A3B9C" w:rsidP="00480052">
      <w:pPr>
        <w:pStyle w:val="Heading2"/>
        <w:numPr>
          <w:ilvl w:val="1"/>
          <w:numId w:val="1"/>
        </w:numPr>
        <w:tabs>
          <w:tab w:val="clear" w:pos="0"/>
        </w:tabs>
        <w:rPr>
          <w:bCs/>
          <w:color w:val="222222"/>
          <w:lang w:val="fr-FR"/>
        </w:rPr>
      </w:pPr>
      <w:proofErr w:type="gramStart"/>
      <w:r>
        <w:rPr>
          <w:lang w:val="fr-FR"/>
        </w:rPr>
        <w:t>d</w:t>
      </w:r>
      <w:r w:rsidR="00480052" w:rsidRPr="002009D7">
        <w:rPr>
          <w:lang w:val="fr-FR"/>
        </w:rPr>
        <w:t>e</w:t>
      </w:r>
      <w:proofErr w:type="gramEnd"/>
      <w:r w:rsidR="00480052" w:rsidRPr="002009D7">
        <w:rPr>
          <w:lang w:val="fr-FR"/>
        </w:rPr>
        <w:t xml:space="preserve"> 2016 à 2018, 177</w:t>
      </w:r>
      <w:r>
        <w:rPr>
          <w:lang w:val="fr-FR"/>
        </w:rPr>
        <w:t> </w:t>
      </w:r>
      <w:r w:rsidR="00480052" w:rsidRPr="002009D7">
        <w:rPr>
          <w:lang w:val="fr-FR"/>
        </w:rPr>
        <w:t>techniciens ont été formés dans 6</w:t>
      </w:r>
      <w:r>
        <w:rPr>
          <w:lang w:val="fr-FR"/>
        </w:rPr>
        <w:t> </w:t>
      </w:r>
      <w:r w:rsidR="00480052" w:rsidRPr="002009D7">
        <w:rPr>
          <w:lang w:val="fr-FR"/>
        </w:rPr>
        <w:t xml:space="preserve">villes aux bonnes pratiques de réfrigération et à l’utilisation en sécurité de frigorigènes inflammables.  </w:t>
      </w:r>
    </w:p>
    <w:p w14:paraId="0B51991A" w14:textId="77777777" w:rsidR="00480052" w:rsidRPr="002009D7" w:rsidRDefault="00480052" w:rsidP="00480052">
      <w:pPr>
        <w:pStyle w:val="Heading1"/>
        <w:numPr>
          <w:ilvl w:val="0"/>
          <w:numId w:val="0"/>
        </w:numPr>
        <w:shd w:val="clear" w:color="auto" w:fill="FFFFFF" w:themeFill="background1"/>
        <w:rPr>
          <w:i/>
          <w:lang w:val="fr-FR"/>
        </w:rPr>
      </w:pPr>
      <w:r w:rsidRPr="002009D7">
        <w:rPr>
          <w:i/>
          <w:lang w:val="fr-FR"/>
        </w:rPr>
        <w:t>Mise en œuvre, surveillance et communication des données du projet</w:t>
      </w:r>
    </w:p>
    <w:p w14:paraId="546B3AA8" w14:textId="28D80A0C" w:rsidR="00480052" w:rsidRPr="002009D7" w:rsidRDefault="00480052" w:rsidP="00480052">
      <w:pPr>
        <w:pStyle w:val="Heading1"/>
        <w:tabs>
          <w:tab w:val="clear" w:pos="0"/>
        </w:tabs>
        <w:rPr>
          <w:lang w:val="fr-FR"/>
        </w:rPr>
      </w:pPr>
      <w:r w:rsidRPr="002009D7">
        <w:rPr>
          <w:lang w:val="fr-FR"/>
        </w:rPr>
        <w:t xml:space="preserve">La gestion du projet est menée par l’UNO. Les autres institutions impliquées dans la mise en œuvre du PGEH sont le Comité national de l’ozone, les </w:t>
      </w:r>
      <w:r w:rsidR="002B2701">
        <w:rPr>
          <w:lang w:val="fr-FR"/>
        </w:rPr>
        <w:t>c</w:t>
      </w:r>
      <w:r w:rsidRPr="002009D7">
        <w:rPr>
          <w:lang w:val="fr-FR"/>
        </w:rPr>
        <w:t>entres d’excellence,</w:t>
      </w:r>
      <w:r w:rsidRPr="002009D7">
        <w:rPr>
          <w:rStyle w:val="FootnoteReference"/>
          <w:lang w:val="fr-FR"/>
        </w:rPr>
        <w:footnoteReference w:id="6"/>
      </w:r>
      <w:r w:rsidRPr="002009D7">
        <w:rPr>
          <w:lang w:val="fr-FR"/>
        </w:rPr>
        <w:t xml:space="preserve"> </w:t>
      </w:r>
      <w:r w:rsidR="004A3B9C">
        <w:rPr>
          <w:lang w:val="fr-FR"/>
        </w:rPr>
        <w:t>l</w:t>
      </w:r>
      <w:r w:rsidRPr="002009D7">
        <w:rPr>
          <w:lang w:val="fr-FR"/>
        </w:rPr>
        <w:t xml:space="preserve">e département des douanes et le ministère du Commerce. Durant la deuxième tranche, </w:t>
      </w:r>
      <w:r w:rsidRPr="002009D7">
        <w:rPr>
          <w:color w:val="000000"/>
          <w:shd w:val="clear" w:color="auto" w:fill="FFFFFF"/>
          <w:lang w:val="fr-FR"/>
        </w:rPr>
        <w:t xml:space="preserve">une surveillance de la mise en œuvre du projet et une collecte de données ont été </w:t>
      </w:r>
      <w:r w:rsidR="002B2701">
        <w:rPr>
          <w:color w:val="000000"/>
          <w:shd w:val="clear" w:color="auto" w:fill="FFFFFF"/>
          <w:lang w:val="fr-FR"/>
        </w:rPr>
        <w:t>réalisées</w:t>
      </w:r>
      <w:r w:rsidRPr="002009D7">
        <w:rPr>
          <w:color w:val="000000"/>
          <w:shd w:val="clear" w:color="auto" w:fill="FFFFFF"/>
          <w:lang w:val="fr-FR"/>
        </w:rPr>
        <w:t xml:space="preserve">. </w:t>
      </w:r>
      <w:r w:rsidRPr="002009D7">
        <w:rPr>
          <w:lang w:val="fr-FR"/>
        </w:rPr>
        <w:t>L’UNO a recruté 2</w:t>
      </w:r>
      <w:r w:rsidR="004A3B9C">
        <w:rPr>
          <w:lang w:val="fr-FR"/>
        </w:rPr>
        <w:t> </w:t>
      </w:r>
      <w:r w:rsidRPr="002009D7">
        <w:rPr>
          <w:lang w:val="fr-FR"/>
        </w:rPr>
        <w:t xml:space="preserve">consultants (experts en réfrigération et </w:t>
      </w:r>
      <w:r w:rsidR="002B2701">
        <w:rPr>
          <w:lang w:val="fr-FR"/>
        </w:rPr>
        <w:t xml:space="preserve">en processus </w:t>
      </w:r>
      <w:r w:rsidRPr="002009D7">
        <w:rPr>
          <w:lang w:val="fr-FR"/>
        </w:rPr>
        <w:t>douan</w:t>
      </w:r>
      <w:r w:rsidR="002B2701">
        <w:rPr>
          <w:lang w:val="fr-FR"/>
        </w:rPr>
        <w:t>ier</w:t>
      </w:r>
      <w:r w:rsidRPr="002009D7">
        <w:rPr>
          <w:lang w:val="fr-FR"/>
        </w:rPr>
        <w:t xml:space="preserve">) </w:t>
      </w:r>
      <w:r w:rsidRPr="002009D7">
        <w:rPr>
          <w:shd w:val="clear" w:color="auto" w:fill="FFFFFF"/>
          <w:lang w:val="fr-FR"/>
        </w:rPr>
        <w:t>pour aider à surveiller la mise en œuvre des activités du PGEH</w:t>
      </w:r>
      <w:r w:rsidRPr="002009D7">
        <w:rPr>
          <w:lang w:val="fr-FR"/>
        </w:rPr>
        <w:t>.</w:t>
      </w:r>
      <w:r w:rsidRPr="002009D7">
        <w:rPr>
          <w:color w:val="000000"/>
          <w:lang w:val="fr-FR"/>
        </w:rPr>
        <w:t xml:space="preserve"> </w:t>
      </w:r>
      <w:r w:rsidRPr="002009D7">
        <w:rPr>
          <w:lang w:val="fr-FR"/>
        </w:rPr>
        <w:t>Jusqu’ici, 30</w:t>
      </w:r>
      <w:r w:rsidR="004A3B9C">
        <w:rPr>
          <w:lang w:val="fr-FR"/>
        </w:rPr>
        <w:t> </w:t>
      </w:r>
      <w:r w:rsidRPr="002009D7">
        <w:rPr>
          <w:lang w:val="fr-FR"/>
        </w:rPr>
        <w:t>000</w:t>
      </w:r>
      <w:r w:rsidR="004A3B9C">
        <w:rPr>
          <w:lang w:val="fr-FR"/>
        </w:rPr>
        <w:t> </w:t>
      </w:r>
      <w:r w:rsidRPr="002009D7">
        <w:rPr>
          <w:lang w:val="fr-FR"/>
        </w:rPr>
        <w:t>$ US ont été décaissés pour la mise en œuvre, surveillance et communication des données du projet, dont 20</w:t>
      </w:r>
      <w:r w:rsidR="004A3B9C">
        <w:rPr>
          <w:lang w:val="fr-FR"/>
        </w:rPr>
        <w:t> </w:t>
      </w:r>
      <w:r w:rsidRPr="002009D7">
        <w:rPr>
          <w:lang w:val="fr-FR"/>
        </w:rPr>
        <w:t>000</w:t>
      </w:r>
      <w:r w:rsidR="004A3B9C">
        <w:rPr>
          <w:lang w:val="fr-FR"/>
        </w:rPr>
        <w:t> </w:t>
      </w:r>
      <w:r w:rsidRPr="002009D7">
        <w:rPr>
          <w:lang w:val="fr-FR"/>
        </w:rPr>
        <w:t>$</w:t>
      </w:r>
      <w:r w:rsidR="00596612">
        <w:rPr>
          <w:lang w:val="fr-FR"/>
        </w:rPr>
        <w:t> </w:t>
      </w:r>
      <w:r w:rsidRPr="002009D7">
        <w:rPr>
          <w:lang w:val="fr-FR"/>
        </w:rPr>
        <w:t>US pour le personnel et les consultants et 10</w:t>
      </w:r>
      <w:r w:rsidR="004A3B9C">
        <w:rPr>
          <w:lang w:val="fr-FR"/>
        </w:rPr>
        <w:t> </w:t>
      </w:r>
      <w:r w:rsidRPr="002009D7">
        <w:rPr>
          <w:lang w:val="fr-FR"/>
        </w:rPr>
        <w:t>000</w:t>
      </w:r>
      <w:r w:rsidR="004A3B9C">
        <w:rPr>
          <w:lang w:val="fr-FR"/>
        </w:rPr>
        <w:t> </w:t>
      </w:r>
      <w:r w:rsidRPr="002009D7">
        <w:rPr>
          <w:lang w:val="fr-FR"/>
        </w:rPr>
        <w:t xml:space="preserve">$ US pour les frais de déplacement </w:t>
      </w:r>
      <w:r w:rsidR="00715F09">
        <w:rPr>
          <w:lang w:val="fr-FR"/>
        </w:rPr>
        <w:t>liés aux</w:t>
      </w:r>
      <w:r w:rsidRPr="002009D7">
        <w:rPr>
          <w:lang w:val="fr-FR"/>
        </w:rPr>
        <w:t xml:space="preserve"> mission</w:t>
      </w:r>
      <w:r w:rsidR="00715F09">
        <w:rPr>
          <w:lang w:val="fr-FR"/>
        </w:rPr>
        <w:t>s</w:t>
      </w:r>
      <w:r w:rsidRPr="002009D7">
        <w:rPr>
          <w:lang w:val="fr-FR"/>
        </w:rPr>
        <w:t xml:space="preserve"> de surveillance. Aucun budget supplémentaire n’a été demandé pour la mise en œuvre de la troisième tranche.</w:t>
      </w:r>
    </w:p>
    <w:p w14:paraId="30B6326C" w14:textId="77777777" w:rsidR="00480052" w:rsidRPr="002009D7" w:rsidRDefault="00480052" w:rsidP="00480052">
      <w:pPr>
        <w:rPr>
          <w:u w:val="single"/>
          <w:lang w:val="fr-FR"/>
        </w:rPr>
      </w:pPr>
      <w:r w:rsidRPr="002009D7">
        <w:rPr>
          <w:u w:val="single"/>
          <w:lang w:val="fr-FR"/>
        </w:rPr>
        <w:t>Niveau de décaissement des fonds</w:t>
      </w:r>
    </w:p>
    <w:p w14:paraId="58B92895" w14:textId="77777777" w:rsidR="00480052" w:rsidRPr="002009D7" w:rsidRDefault="00480052" w:rsidP="00480052">
      <w:pPr>
        <w:rPr>
          <w:lang w:val="fr-FR"/>
        </w:rPr>
      </w:pPr>
    </w:p>
    <w:p w14:paraId="5256C3AE" w14:textId="53AAA4EA" w:rsidR="00480052" w:rsidRPr="002009D7" w:rsidRDefault="00480052" w:rsidP="00480052">
      <w:pPr>
        <w:pStyle w:val="Heading1"/>
        <w:numPr>
          <w:ilvl w:val="0"/>
          <w:numId w:val="0"/>
        </w:numPr>
        <w:rPr>
          <w:b/>
          <w:lang w:val="fr-FR"/>
        </w:rPr>
      </w:pPr>
      <w:r w:rsidRPr="002009D7">
        <w:rPr>
          <w:lang w:val="fr-FR"/>
        </w:rPr>
        <w:t>11.</w:t>
      </w:r>
      <w:r w:rsidRPr="002009D7">
        <w:rPr>
          <w:lang w:val="fr-FR"/>
        </w:rPr>
        <w:tab/>
        <w:t xml:space="preserve">En date de mars 2020, la totalité du </w:t>
      </w:r>
      <w:r w:rsidR="00715F09">
        <w:rPr>
          <w:lang w:val="fr-FR"/>
        </w:rPr>
        <w:t>financement</w:t>
      </w:r>
      <w:r w:rsidRPr="002009D7">
        <w:rPr>
          <w:lang w:val="fr-FR"/>
        </w:rPr>
        <w:t xml:space="preserve"> approuvé de 305</w:t>
      </w:r>
      <w:r w:rsidR="004A3B9C">
        <w:rPr>
          <w:lang w:val="fr-FR"/>
        </w:rPr>
        <w:t> </w:t>
      </w:r>
      <w:r w:rsidRPr="002009D7">
        <w:rPr>
          <w:lang w:val="fr-FR"/>
        </w:rPr>
        <w:t>000</w:t>
      </w:r>
      <w:r w:rsidR="004A3B9C">
        <w:rPr>
          <w:lang w:val="fr-FR"/>
        </w:rPr>
        <w:t> </w:t>
      </w:r>
      <w:r w:rsidRPr="002009D7">
        <w:rPr>
          <w:lang w:val="fr-FR"/>
        </w:rPr>
        <w:t>$ US a été décaissée (145</w:t>
      </w:r>
      <w:r w:rsidR="004A3B9C">
        <w:rPr>
          <w:lang w:val="fr-FR"/>
        </w:rPr>
        <w:t> </w:t>
      </w:r>
      <w:r w:rsidRPr="002009D7">
        <w:rPr>
          <w:lang w:val="fr-FR"/>
        </w:rPr>
        <w:t>000</w:t>
      </w:r>
      <w:r w:rsidR="004A3B9C">
        <w:rPr>
          <w:lang w:val="fr-FR"/>
        </w:rPr>
        <w:t> </w:t>
      </w:r>
      <w:r w:rsidRPr="002009D7">
        <w:rPr>
          <w:lang w:val="fr-FR"/>
        </w:rPr>
        <w:t>$ US pour le PNUE et 160</w:t>
      </w:r>
      <w:r w:rsidR="004A3B9C">
        <w:rPr>
          <w:lang w:val="fr-FR"/>
        </w:rPr>
        <w:t> </w:t>
      </w:r>
      <w:r w:rsidRPr="002009D7">
        <w:rPr>
          <w:lang w:val="fr-FR"/>
        </w:rPr>
        <w:t>000</w:t>
      </w:r>
      <w:r w:rsidR="004A3B9C">
        <w:rPr>
          <w:lang w:val="fr-FR"/>
        </w:rPr>
        <w:t> </w:t>
      </w:r>
      <w:r w:rsidRPr="002009D7">
        <w:rPr>
          <w:lang w:val="fr-FR"/>
        </w:rPr>
        <w:t>$ US pour l’ONUDI) comme présenté dans le Tableau</w:t>
      </w:r>
      <w:r w:rsidR="004A3B9C">
        <w:rPr>
          <w:lang w:val="fr-FR"/>
        </w:rPr>
        <w:t> </w:t>
      </w:r>
      <w:r w:rsidRPr="002009D7">
        <w:rPr>
          <w:lang w:val="fr-FR"/>
        </w:rPr>
        <w:t xml:space="preserve">2. </w:t>
      </w:r>
    </w:p>
    <w:p w14:paraId="659DC519" w14:textId="77777777" w:rsidR="00480052" w:rsidRPr="002009D7" w:rsidRDefault="00480052" w:rsidP="00480052">
      <w:pPr>
        <w:pStyle w:val="Heading1"/>
        <w:numPr>
          <w:ilvl w:val="0"/>
          <w:numId w:val="0"/>
        </w:numPr>
        <w:spacing w:after="0"/>
        <w:rPr>
          <w:b/>
          <w:lang w:val="fr-FR"/>
        </w:rPr>
      </w:pPr>
      <w:r w:rsidRPr="002009D7">
        <w:rPr>
          <w:b/>
          <w:lang w:val="fr-FR"/>
        </w:rPr>
        <w:t>Tableau</w:t>
      </w:r>
      <w:r w:rsidR="004A3B9C">
        <w:rPr>
          <w:b/>
          <w:lang w:val="fr-FR"/>
        </w:rPr>
        <w:t> </w:t>
      </w:r>
      <w:r w:rsidRPr="002009D7">
        <w:rPr>
          <w:b/>
          <w:lang w:val="fr-FR"/>
        </w:rPr>
        <w:t>2. Rapport financier de la phase I du PGEH pour la Guinée ($ US)</w:t>
      </w:r>
    </w:p>
    <w:tbl>
      <w:tblPr>
        <w:tblStyle w:val="TableGrid"/>
        <w:tblW w:w="9355" w:type="dxa"/>
        <w:tblLayout w:type="fixed"/>
        <w:tblLook w:val="04A0" w:firstRow="1" w:lastRow="0" w:firstColumn="1" w:lastColumn="0" w:noHBand="0" w:noVBand="1"/>
      </w:tblPr>
      <w:tblGrid>
        <w:gridCol w:w="2065"/>
        <w:gridCol w:w="1215"/>
        <w:gridCol w:w="1215"/>
        <w:gridCol w:w="1215"/>
        <w:gridCol w:w="1215"/>
        <w:gridCol w:w="1215"/>
        <w:gridCol w:w="1215"/>
      </w:tblGrid>
      <w:tr w:rsidR="00480052" w:rsidRPr="002009D7" w14:paraId="3E1813C5" w14:textId="77777777" w:rsidTr="00BB1DAF">
        <w:tc>
          <w:tcPr>
            <w:tcW w:w="2065" w:type="dxa"/>
            <w:vMerge w:val="restart"/>
            <w:tcMar>
              <w:left w:w="29" w:type="dxa"/>
              <w:right w:w="0" w:type="dxa"/>
            </w:tcMar>
            <w:vAlign w:val="center"/>
          </w:tcPr>
          <w:p w14:paraId="709F3695" w14:textId="77777777" w:rsidR="00480052" w:rsidRPr="002009D7" w:rsidRDefault="00480052" w:rsidP="00BB1DAF">
            <w:pPr>
              <w:keepNext/>
              <w:jc w:val="left"/>
              <w:rPr>
                <w:b/>
                <w:sz w:val="20"/>
                <w:szCs w:val="20"/>
                <w:lang w:val="fr-FR"/>
              </w:rPr>
            </w:pPr>
            <w:r w:rsidRPr="002009D7">
              <w:rPr>
                <w:b/>
                <w:sz w:val="20"/>
                <w:szCs w:val="20"/>
                <w:lang w:val="fr-FR"/>
              </w:rPr>
              <w:t>Agence</w:t>
            </w:r>
          </w:p>
        </w:tc>
        <w:tc>
          <w:tcPr>
            <w:tcW w:w="2430" w:type="dxa"/>
            <w:gridSpan w:val="2"/>
          </w:tcPr>
          <w:p w14:paraId="26FDDE8D" w14:textId="77777777" w:rsidR="00480052" w:rsidRPr="002009D7" w:rsidRDefault="00480052" w:rsidP="00BB1DAF">
            <w:pPr>
              <w:keepNext/>
              <w:jc w:val="center"/>
              <w:rPr>
                <w:b/>
                <w:sz w:val="20"/>
                <w:szCs w:val="20"/>
                <w:lang w:val="fr-FR"/>
              </w:rPr>
            </w:pPr>
            <w:r w:rsidRPr="002009D7">
              <w:rPr>
                <w:b/>
                <w:sz w:val="20"/>
                <w:szCs w:val="20"/>
                <w:lang w:val="fr-FR"/>
              </w:rPr>
              <w:t>Première tranche</w:t>
            </w:r>
          </w:p>
        </w:tc>
        <w:tc>
          <w:tcPr>
            <w:tcW w:w="2430" w:type="dxa"/>
            <w:gridSpan w:val="2"/>
          </w:tcPr>
          <w:p w14:paraId="744F9AC4" w14:textId="77777777" w:rsidR="00480052" w:rsidRPr="002009D7" w:rsidRDefault="00480052" w:rsidP="00BB1DAF">
            <w:pPr>
              <w:keepNext/>
              <w:jc w:val="center"/>
              <w:rPr>
                <w:b/>
                <w:sz w:val="20"/>
                <w:szCs w:val="20"/>
                <w:lang w:val="fr-FR"/>
              </w:rPr>
            </w:pPr>
            <w:r w:rsidRPr="002009D7">
              <w:rPr>
                <w:b/>
                <w:sz w:val="20"/>
                <w:szCs w:val="20"/>
                <w:lang w:val="fr-FR"/>
              </w:rPr>
              <w:t>Deuxième tranche</w:t>
            </w:r>
          </w:p>
        </w:tc>
        <w:tc>
          <w:tcPr>
            <w:tcW w:w="2430" w:type="dxa"/>
            <w:gridSpan w:val="2"/>
          </w:tcPr>
          <w:p w14:paraId="2CF13F59" w14:textId="77777777" w:rsidR="00480052" w:rsidRPr="002009D7" w:rsidRDefault="00480052" w:rsidP="00BB1DAF">
            <w:pPr>
              <w:keepNext/>
              <w:jc w:val="center"/>
              <w:rPr>
                <w:b/>
                <w:sz w:val="20"/>
                <w:szCs w:val="20"/>
                <w:lang w:val="fr-FR"/>
              </w:rPr>
            </w:pPr>
            <w:r w:rsidRPr="002009D7">
              <w:rPr>
                <w:b/>
                <w:sz w:val="20"/>
                <w:szCs w:val="20"/>
                <w:lang w:val="fr-FR"/>
              </w:rPr>
              <w:t>Total</w:t>
            </w:r>
          </w:p>
        </w:tc>
      </w:tr>
      <w:tr w:rsidR="00480052" w:rsidRPr="002009D7" w14:paraId="0C92015A" w14:textId="77777777" w:rsidTr="00BB1DAF">
        <w:tc>
          <w:tcPr>
            <w:tcW w:w="2065" w:type="dxa"/>
            <w:vMerge/>
            <w:tcMar>
              <w:left w:w="29" w:type="dxa"/>
              <w:right w:w="0" w:type="dxa"/>
            </w:tcMar>
          </w:tcPr>
          <w:p w14:paraId="3CBB4F9F" w14:textId="77777777" w:rsidR="00480052" w:rsidRPr="002009D7" w:rsidRDefault="00480052" w:rsidP="00BB1DAF">
            <w:pPr>
              <w:keepNext/>
              <w:jc w:val="center"/>
              <w:rPr>
                <w:b/>
                <w:sz w:val="20"/>
                <w:szCs w:val="20"/>
                <w:lang w:val="fr-FR"/>
              </w:rPr>
            </w:pPr>
          </w:p>
        </w:tc>
        <w:tc>
          <w:tcPr>
            <w:tcW w:w="1215" w:type="dxa"/>
            <w:tcMar>
              <w:left w:w="0" w:type="dxa"/>
              <w:right w:w="0" w:type="dxa"/>
            </w:tcMar>
          </w:tcPr>
          <w:p w14:paraId="78EA658B" w14:textId="77777777" w:rsidR="00480052" w:rsidRPr="002009D7" w:rsidRDefault="00480052" w:rsidP="00BB1DAF">
            <w:pPr>
              <w:keepNext/>
              <w:jc w:val="center"/>
              <w:rPr>
                <w:b/>
                <w:sz w:val="20"/>
                <w:szCs w:val="20"/>
                <w:lang w:val="fr-FR"/>
              </w:rPr>
            </w:pPr>
            <w:r w:rsidRPr="002009D7">
              <w:rPr>
                <w:b/>
                <w:sz w:val="20"/>
                <w:szCs w:val="20"/>
                <w:lang w:val="fr-FR"/>
              </w:rPr>
              <w:t>Approuvé</w:t>
            </w:r>
          </w:p>
        </w:tc>
        <w:tc>
          <w:tcPr>
            <w:tcW w:w="1215" w:type="dxa"/>
            <w:tcMar>
              <w:left w:w="0" w:type="dxa"/>
              <w:right w:w="0" w:type="dxa"/>
            </w:tcMar>
          </w:tcPr>
          <w:p w14:paraId="53467D15" w14:textId="77777777" w:rsidR="00480052" w:rsidRPr="002009D7" w:rsidRDefault="00480052" w:rsidP="00BB1DAF">
            <w:pPr>
              <w:keepNext/>
              <w:jc w:val="center"/>
              <w:rPr>
                <w:b/>
                <w:sz w:val="20"/>
                <w:szCs w:val="20"/>
                <w:lang w:val="fr-FR"/>
              </w:rPr>
            </w:pPr>
            <w:r w:rsidRPr="002009D7">
              <w:rPr>
                <w:b/>
                <w:sz w:val="20"/>
                <w:szCs w:val="20"/>
                <w:lang w:val="fr-FR"/>
              </w:rPr>
              <w:t>Décaissé</w:t>
            </w:r>
          </w:p>
        </w:tc>
        <w:tc>
          <w:tcPr>
            <w:tcW w:w="1215" w:type="dxa"/>
            <w:tcMar>
              <w:left w:w="0" w:type="dxa"/>
              <w:right w:w="0" w:type="dxa"/>
            </w:tcMar>
          </w:tcPr>
          <w:p w14:paraId="52396492" w14:textId="77777777" w:rsidR="00480052" w:rsidRPr="002009D7" w:rsidRDefault="00480052" w:rsidP="00BB1DAF">
            <w:pPr>
              <w:keepNext/>
              <w:jc w:val="center"/>
              <w:rPr>
                <w:b/>
                <w:sz w:val="20"/>
                <w:szCs w:val="20"/>
                <w:lang w:val="fr-FR"/>
              </w:rPr>
            </w:pPr>
            <w:r w:rsidRPr="002009D7">
              <w:rPr>
                <w:b/>
                <w:sz w:val="20"/>
                <w:szCs w:val="20"/>
                <w:lang w:val="fr-FR"/>
              </w:rPr>
              <w:t>Approuvé</w:t>
            </w:r>
          </w:p>
        </w:tc>
        <w:tc>
          <w:tcPr>
            <w:tcW w:w="1215" w:type="dxa"/>
            <w:tcMar>
              <w:left w:w="0" w:type="dxa"/>
              <w:right w:w="0" w:type="dxa"/>
            </w:tcMar>
          </w:tcPr>
          <w:p w14:paraId="7ED41BFD" w14:textId="77777777" w:rsidR="00480052" w:rsidRPr="002009D7" w:rsidRDefault="00480052" w:rsidP="00BB1DAF">
            <w:pPr>
              <w:keepNext/>
              <w:jc w:val="center"/>
              <w:rPr>
                <w:b/>
                <w:sz w:val="20"/>
                <w:szCs w:val="20"/>
                <w:lang w:val="fr-FR"/>
              </w:rPr>
            </w:pPr>
            <w:r w:rsidRPr="002009D7">
              <w:rPr>
                <w:b/>
                <w:sz w:val="20"/>
                <w:szCs w:val="20"/>
                <w:lang w:val="fr-FR"/>
              </w:rPr>
              <w:t>Décaissé</w:t>
            </w:r>
          </w:p>
        </w:tc>
        <w:tc>
          <w:tcPr>
            <w:tcW w:w="1215" w:type="dxa"/>
            <w:tcMar>
              <w:left w:w="0" w:type="dxa"/>
              <w:right w:w="0" w:type="dxa"/>
            </w:tcMar>
          </w:tcPr>
          <w:p w14:paraId="2A42A8C8" w14:textId="77777777" w:rsidR="00480052" w:rsidRPr="002009D7" w:rsidRDefault="00480052" w:rsidP="00BB1DAF">
            <w:pPr>
              <w:keepNext/>
              <w:jc w:val="center"/>
              <w:rPr>
                <w:b/>
                <w:sz w:val="20"/>
                <w:szCs w:val="20"/>
                <w:lang w:val="fr-FR"/>
              </w:rPr>
            </w:pPr>
            <w:r w:rsidRPr="002009D7">
              <w:rPr>
                <w:b/>
                <w:sz w:val="20"/>
                <w:szCs w:val="20"/>
                <w:lang w:val="fr-FR"/>
              </w:rPr>
              <w:t>Approuvé</w:t>
            </w:r>
          </w:p>
        </w:tc>
        <w:tc>
          <w:tcPr>
            <w:tcW w:w="1215" w:type="dxa"/>
            <w:tcMar>
              <w:left w:w="0" w:type="dxa"/>
              <w:right w:w="0" w:type="dxa"/>
            </w:tcMar>
          </w:tcPr>
          <w:p w14:paraId="5A51BB79" w14:textId="77777777" w:rsidR="00480052" w:rsidRPr="002009D7" w:rsidRDefault="00480052" w:rsidP="00BB1DAF">
            <w:pPr>
              <w:keepNext/>
              <w:jc w:val="center"/>
              <w:rPr>
                <w:b/>
                <w:sz w:val="20"/>
                <w:szCs w:val="20"/>
                <w:lang w:val="fr-FR"/>
              </w:rPr>
            </w:pPr>
            <w:r w:rsidRPr="002009D7">
              <w:rPr>
                <w:b/>
                <w:sz w:val="20"/>
                <w:szCs w:val="20"/>
                <w:lang w:val="fr-FR"/>
              </w:rPr>
              <w:t>Décaissé</w:t>
            </w:r>
          </w:p>
        </w:tc>
      </w:tr>
      <w:tr w:rsidR="00480052" w:rsidRPr="002009D7" w14:paraId="6E11BFDD" w14:textId="77777777" w:rsidTr="00BB1DAF">
        <w:tc>
          <w:tcPr>
            <w:tcW w:w="2065" w:type="dxa"/>
            <w:tcMar>
              <w:left w:w="29" w:type="dxa"/>
              <w:right w:w="0" w:type="dxa"/>
            </w:tcMar>
          </w:tcPr>
          <w:p w14:paraId="584A9EDA" w14:textId="77777777" w:rsidR="00480052" w:rsidRPr="002009D7" w:rsidRDefault="00480052" w:rsidP="00BB1DAF">
            <w:pPr>
              <w:keepNext/>
              <w:rPr>
                <w:sz w:val="20"/>
                <w:szCs w:val="20"/>
                <w:lang w:val="fr-FR"/>
              </w:rPr>
            </w:pPr>
            <w:r w:rsidRPr="002009D7">
              <w:rPr>
                <w:sz w:val="20"/>
                <w:szCs w:val="20"/>
                <w:lang w:val="fr-FR"/>
              </w:rPr>
              <w:t>PNUE</w:t>
            </w:r>
          </w:p>
        </w:tc>
        <w:tc>
          <w:tcPr>
            <w:tcW w:w="1215" w:type="dxa"/>
          </w:tcPr>
          <w:p w14:paraId="41BD0423" w14:textId="77777777" w:rsidR="00480052" w:rsidRPr="002009D7" w:rsidRDefault="00480052" w:rsidP="00BB1DAF">
            <w:pPr>
              <w:keepNext/>
              <w:jc w:val="right"/>
              <w:rPr>
                <w:sz w:val="20"/>
                <w:szCs w:val="20"/>
                <w:lang w:val="fr-FR"/>
              </w:rPr>
            </w:pPr>
            <w:r w:rsidRPr="002009D7">
              <w:rPr>
                <w:sz w:val="20"/>
                <w:szCs w:val="20"/>
                <w:lang w:val="fr-FR"/>
              </w:rPr>
              <w:t>85</w:t>
            </w:r>
            <w:r w:rsidR="004A3B9C">
              <w:rPr>
                <w:sz w:val="20"/>
                <w:szCs w:val="20"/>
                <w:lang w:val="fr-FR"/>
              </w:rPr>
              <w:t> </w:t>
            </w:r>
            <w:r w:rsidRPr="002009D7">
              <w:rPr>
                <w:sz w:val="20"/>
                <w:szCs w:val="20"/>
                <w:lang w:val="fr-FR"/>
              </w:rPr>
              <w:t>000</w:t>
            </w:r>
          </w:p>
        </w:tc>
        <w:tc>
          <w:tcPr>
            <w:tcW w:w="1215" w:type="dxa"/>
          </w:tcPr>
          <w:p w14:paraId="0B547E9F" w14:textId="77777777" w:rsidR="00480052" w:rsidRPr="002009D7" w:rsidRDefault="00480052" w:rsidP="00BB1DAF">
            <w:pPr>
              <w:keepNext/>
              <w:jc w:val="right"/>
              <w:rPr>
                <w:sz w:val="20"/>
                <w:szCs w:val="20"/>
                <w:lang w:val="fr-FR"/>
              </w:rPr>
            </w:pPr>
            <w:r w:rsidRPr="002009D7">
              <w:rPr>
                <w:sz w:val="20"/>
                <w:szCs w:val="20"/>
                <w:lang w:val="fr-FR"/>
              </w:rPr>
              <w:t>85</w:t>
            </w:r>
            <w:r w:rsidR="004A3B9C">
              <w:rPr>
                <w:sz w:val="20"/>
                <w:szCs w:val="20"/>
                <w:lang w:val="fr-FR"/>
              </w:rPr>
              <w:t> </w:t>
            </w:r>
            <w:r w:rsidRPr="002009D7">
              <w:rPr>
                <w:sz w:val="20"/>
                <w:szCs w:val="20"/>
                <w:lang w:val="fr-FR"/>
              </w:rPr>
              <w:t>000</w:t>
            </w:r>
          </w:p>
        </w:tc>
        <w:tc>
          <w:tcPr>
            <w:tcW w:w="1215" w:type="dxa"/>
          </w:tcPr>
          <w:p w14:paraId="438A4D50" w14:textId="77777777" w:rsidR="00480052" w:rsidRPr="002009D7" w:rsidRDefault="00480052" w:rsidP="00BB1DAF">
            <w:pPr>
              <w:keepNext/>
              <w:jc w:val="right"/>
              <w:rPr>
                <w:sz w:val="20"/>
                <w:szCs w:val="20"/>
                <w:lang w:val="fr-FR"/>
              </w:rPr>
            </w:pPr>
            <w:r w:rsidRPr="002009D7">
              <w:rPr>
                <w:sz w:val="20"/>
                <w:szCs w:val="20"/>
                <w:lang w:val="fr-FR"/>
              </w:rPr>
              <w:t>60</w:t>
            </w:r>
            <w:r w:rsidR="004A3B9C">
              <w:rPr>
                <w:sz w:val="20"/>
                <w:szCs w:val="20"/>
                <w:lang w:val="fr-FR"/>
              </w:rPr>
              <w:t> </w:t>
            </w:r>
            <w:r w:rsidRPr="002009D7">
              <w:rPr>
                <w:sz w:val="20"/>
                <w:szCs w:val="20"/>
                <w:lang w:val="fr-FR"/>
              </w:rPr>
              <w:t>000</w:t>
            </w:r>
          </w:p>
        </w:tc>
        <w:tc>
          <w:tcPr>
            <w:tcW w:w="1215" w:type="dxa"/>
          </w:tcPr>
          <w:p w14:paraId="2BC4CEB4" w14:textId="77777777" w:rsidR="00480052" w:rsidRPr="002009D7" w:rsidRDefault="00480052" w:rsidP="00BB1DAF">
            <w:pPr>
              <w:keepNext/>
              <w:jc w:val="right"/>
              <w:rPr>
                <w:sz w:val="20"/>
                <w:szCs w:val="20"/>
                <w:lang w:val="fr-FR"/>
              </w:rPr>
            </w:pPr>
            <w:r w:rsidRPr="002009D7">
              <w:rPr>
                <w:sz w:val="20"/>
                <w:szCs w:val="20"/>
                <w:lang w:val="fr-FR"/>
              </w:rPr>
              <w:t>60</w:t>
            </w:r>
            <w:r w:rsidR="004A3B9C">
              <w:rPr>
                <w:sz w:val="20"/>
                <w:szCs w:val="20"/>
                <w:lang w:val="fr-FR"/>
              </w:rPr>
              <w:t> </w:t>
            </w:r>
            <w:r w:rsidRPr="002009D7">
              <w:rPr>
                <w:sz w:val="20"/>
                <w:szCs w:val="20"/>
                <w:lang w:val="fr-FR"/>
              </w:rPr>
              <w:t>000</w:t>
            </w:r>
          </w:p>
        </w:tc>
        <w:tc>
          <w:tcPr>
            <w:tcW w:w="1215" w:type="dxa"/>
          </w:tcPr>
          <w:p w14:paraId="383AA4A9" w14:textId="77777777" w:rsidR="00480052" w:rsidRPr="002009D7" w:rsidRDefault="00480052" w:rsidP="00BB1DAF">
            <w:pPr>
              <w:keepNext/>
              <w:jc w:val="right"/>
              <w:rPr>
                <w:sz w:val="20"/>
                <w:szCs w:val="20"/>
                <w:lang w:val="fr-FR"/>
              </w:rPr>
            </w:pPr>
            <w:r w:rsidRPr="002009D7">
              <w:rPr>
                <w:sz w:val="20"/>
                <w:szCs w:val="20"/>
                <w:lang w:val="fr-FR"/>
              </w:rPr>
              <w:t>145</w:t>
            </w:r>
            <w:r w:rsidR="004A3B9C">
              <w:rPr>
                <w:sz w:val="20"/>
                <w:szCs w:val="20"/>
                <w:lang w:val="fr-FR"/>
              </w:rPr>
              <w:t> </w:t>
            </w:r>
            <w:r w:rsidRPr="002009D7">
              <w:rPr>
                <w:sz w:val="20"/>
                <w:szCs w:val="20"/>
                <w:lang w:val="fr-FR"/>
              </w:rPr>
              <w:t>000</w:t>
            </w:r>
          </w:p>
        </w:tc>
        <w:tc>
          <w:tcPr>
            <w:tcW w:w="1215" w:type="dxa"/>
          </w:tcPr>
          <w:p w14:paraId="3CCBB5FF" w14:textId="77777777" w:rsidR="00480052" w:rsidRPr="002009D7" w:rsidRDefault="00480052" w:rsidP="00BB1DAF">
            <w:pPr>
              <w:keepNext/>
              <w:jc w:val="right"/>
              <w:rPr>
                <w:sz w:val="20"/>
                <w:szCs w:val="20"/>
                <w:lang w:val="fr-FR"/>
              </w:rPr>
            </w:pPr>
            <w:r w:rsidRPr="002009D7">
              <w:rPr>
                <w:sz w:val="20"/>
                <w:szCs w:val="20"/>
                <w:lang w:val="fr-FR"/>
              </w:rPr>
              <w:t>145</w:t>
            </w:r>
            <w:r w:rsidR="004A3B9C">
              <w:rPr>
                <w:sz w:val="20"/>
                <w:szCs w:val="20"/>
                <w:lang w:val="fr-FR"/>
              </w:rPr>
              <w:t> </w:t>
            </w:r>
            <w:r w:rsidRPr="002009D7">
              <w:rPr>
                <w:sz w:val="20"/>
                <w:szCs w:val="20"/>
                <w:lang w:val="fr-FR"/>
              </w:rPr>
              <w:t>000</w:t>
            </w:r>
          </w:p>
        </w:tc>
      </w:tr>
      <w:tr w:rsidR="00480052" w:rsidRPr="002009D7" w14:paraId="67363FF7" w14:textId="77777777" w:rsidTr="00BB1DAF">
        <w:tc>
          <w:tcPr>
            <w:tcW w:w="2065" w:type="dxa"/>
            <w:tcMar>
              <w:left w:w="29" w:type="dxa"/>
              <w:right w:w="0" w:type="dxa"/>
            </w:tcMar>
          </w:tcPr>
          <w:p w14:paraId="39FA8562" w14:textId="77777777" w:rsidR="00480052" w:rsidRPr="002009D7" w:rsidRDefault="00480052" w:rsidP="00BB1DAF">
            <w:pPr>
              <w:rPr>
                <w:sz w:val="20"/>
                <w:szCs w:val="20"/>
                <w:lang w:val="fr-FR"/>
              </w:rPr>
            </w:pPr>
            <w:r w:rsidRPr="002009D7">
              <w:rPr>
                <w:sz w:val="20"/>
                <w:szCs w:val="20"/>
                <w:lang w:val="fr-FR"/>
              </w:rPr>
              <w:t>ONUDI</w:t>
            </w:r>
          </w:p>
        </w:tc>
        <w:tc>
          <w:tcPr>
            <w:tcW w:w="1215" w:type="dxa"/>
          </w:tcPr>
          <w:p w14:paraId="5ADBE36E" w14:textId="77777777" w:rsidR="00480052" w:rsidRPr="002009D7" w:rsidRDefault="00480052" w:rsidP="00BB1DAF">
            <w:pPr>
              <w:jc w:val="right"/>
              <w:rPr>
                <w:sz w:val="20"/>
                <w:szCs w:val="20"/>
                <w:lang w:val="fr-FR"/>
              </w:rPr>
            </w:pPr>
            <w:r w:rsidRPr="002009D7">
              <w:rPr>
                <w:sz w:val="20"/>
                <w:szCs w:val="20"/>
                <w:lang w:val="fr-FR"/>
              </w:rPr>
              <w:t>160</w:t>
            </w:r>
            <w:r w:rsidR="004A3B9C">
              <w:rPr>
                <w:sz w:val="20"/>
                <w:szCs w:val="20"/>
                <w:lang w:val="fr-FR"/>
              </w:rPr>
              <w:t> </w:t>
            </w:r>
            <w:r w:rsidRPr="002009D7">
              <w:rPr>
                <w:sz w:val="20"/>
                <w:szCs w:val="20"/>
                <w:lang w:val="fr-FR"/>
              </w:rPr>
              <w:t>000</w:t>
            </w:r>
          </w:p>
        </w:tc>
        <w:tc>
          <w:tcPr>
            <w:tcW w:w="1215" w:type="dxa"/>
            <w:vAlign w:val="center"/>
          </w:tcPr>
          <w:p w14:paraId="40B0E334" w14:textId="77777777" w:rsidR="00480052" w:rsidRPr="002009D7" w:rsidRDefault="00480052" w:rsidP="00BB1DAF">
            <w:pPr>
              <w:jc w:val="right"/>
              <w:rPr>
                <w:sz w:val="20"/>
                <w:szCs w:val="20"/>
                <w:lang w:val="fr-FR"/>
              </w:rPr>
            </w:pPr>
            <w:r w:rsidRPr="002009D7">
              <w:rPr>
                <w:sz w:val="20"/>
                <w:szCs w:val="20"/>
                <w:lang w:val="fr-FR"/>
              </w:rPr>
              <w:t>(*)</w:t>
            </w:r>
            <w:r w:rsidR="004A3B9C">
              <w:rPr>
                <w:sz w:val="20"/>
                <w:szCs w:val="20"/>
                <w:lang w:val="fr-FR"/>
              </w:rPr>
              <w:t xml:space="preserve"> </w:t>
            </w:r>
            <w:r w:rsidRPr="002009D7">
              <w:rPr>
                <w:sz w:val="20"/>
                <w:szCs w:val="20"/>
                <w:lang w:val="fr-FR"/>
              </w:rPr>
              <w:t>160</w:t>
            </w:r>
            <w:r w:rsidR="004A3B9C">
              <w:rPr>
                <w:sz w:val="20"/>
                <w:szCs w:val="20"/>
                <w:lang w:val="fr-FR"/>
              </w:rPr>
              <w:t> </w:t>
            </w:r>
            <w:r w:rsidRPr="002009D7">
              <w:rPr>
                <w:sz w:val="20"/>
                <w:szCs w:val="20"/>
                <w:lang w:val="fr-FR"/>
              </w:rPr>
              <w:t>000</w:t>
            </w:r>
          </w:p>
        </w:tc>
        <w:tc>
          <w:tcPr>
            <w:tcW w:w="1215" w:type="dxa"/>
          </w:tcPr>
          <w:p w14:paraId="5D091F7A" w14:textId="77777777" w:rsidR="00480052" w:rsidRPr="002009D7" w:rsidRDefault="00480052" w:rsidP="00BB1DAF">
            <w:pPr>
              <w:jc w:val="right"/>
              <w:rPr>
                <w:sz w:val="20"/>
                <w:szCs w:val="20"/>
                <w:lang w:val="fr-FR"/>
              </w:rPr>
            </w:pPr>
            <w:r w:rsidRPr="002009D7">
              <w:rPr>
                <w:sz w:val="20"/>
                <w:szCs w:val="20"/>
                <w:lang w:val="fr-FR"/>
              </w:rPr>
              <w:t>0</w:t>
            </w:r>
          </w:p>
        </w:tc>
        <w:tc>
          <w:tcPr>
            <w:tcW w:w="1215" w:type="dxa"/>
          </w:tcPr>
          <w:p w14:paraId="42096024" w14:textId="77777777" w:rsidR="00480052" w:rsidRPr="002009D7" w:rsidRDefault="00480052" w:rsidP="00BB1DAF">
            <w:pPr>
              <w:jc w:val="right"/>
              <w:rPr>
                <w:sz w:val="20"/>
                <w:szCs w:val="20"/>
                <w:lang w:val="fr-FR"/>
              </w:rPr>
            </w:pPr>
            <w:r w:rsidRPr="002009D7">
              <w:rPr>
                <w:sz w:val="20"/>
                <w:szCs w:val="20"/>
                <w:lang w:val="fr-FR"/>
              </w:rPr>
              <w:t>0</w:t>
            </w:r>
          </w:p>
        </w:tc>
        <w:tc>
          <w:tcPr>
            <w:tcW w:w="1215" w:type="dxa"/>
          </w:tcPr>
          <w:p w14:paraId="7CBA103A" w14:textId="77777777" w:rsidR="00480052" w:rsidRPr="002009D7" w:rsidRDefault="00480052" w:rsidP="00BB1DAF">
            <w:pPr>
              <w:jc w:val="right"/>
              <w:rPr>
                <w:sz w:val="20"/>
                <w:szCs w:val="20"/>
                <w:lang w:val="fr-FR"/>
              </w:rPr>
            </w:pPr>
            <w:r w:rsidRPr="002009D7">
              <w:rPr>
                <w:sz w:val="20"/>
                <w:szCs w:val="20"/>
                <w:lang w:val="fr-FR"/>
              </w:rPr>
              <w:t>160</w:t>
            </w:r>
            <w:r w:rsidR="004A3B9C">
              <w:rPr>
                <w:sz w:val="20"/>
                <w:szCs w:val="20"/>
                <w:lang w:val="fr-FR"/>
              </w:rPr>
              <w:t> </w:t>
            </w:r>
            <w:r w:rsidRPr="002009D7">
              <w:rPr>
                <w:sz w:val="20"/>
                <w:szCs w:val="20"/>
                <w:lang w:val="fr-FR"/>
              </w:rPr>
              <w:t>000</w:t>
            </w:r>
          </w:p>
        </w:tc>
        <w:tc>
          <w:tcPr>
            <w:tcW w:w="1215" w:type="dxa"/>
          </w:tcPr>
          <w:p w14:paraId="090D8865" w14:textId="77777777" w:rsidR="00480052" w:rsidRPr="002009D7" w:rsidRDefault="00480052" w:rsidP="00BB1DAF">
            <w:pPr>
              <w:jc w:val="right"/>
              <w:rPr>
                <w:sz w:val="20"/>
                <w:szCs w:val="20"/>
                <w:lang w:val="fr-FR"/>
              </w:rPr>
            </w:pPr>
            <w:r w:rsidRPr="002009D7">
              <w:rPr>
                <w:sz w:val="20"/>
                <w:szCs w:val="20"/>
                <w:lang w:val="fr-FR"/>
              </w:rPr>
              <w:t>160</w:t>
            </w:r>
            <w:r w:rsidR="004A3B9C">
              <w:rPr>
                <w:sz w:val="20"/>
                <w:szCs w:val="20"/>
                <w:lang w:val="fr-FR"/>
              </w:rPr>
              <w:t> </w:t>
            </w:r>
            <w:r w:rsidRPr="002009D7">
              <w:rPr>
                <w:sz w:val="20"/>
                <w:szCs w:val="20"/>
                <w:lang w:val="fr-FR"/>
              </w:rPr>
              <w:t>000</w:t>
            </w:r>
          </w:p>
        </w:tc>
      </w:tr>
      <w:tr w:rsidR="00480052" w:rsidRPr="002009D7" w14:paraId="3644B09E" w14:textId="77777777" w:rsidTr="00BB1DAF">
        <w:tc>
          <w:tcPr>
            <w:tcW w:w="2065" w:type="dxa"/>
            <w:tcMar>
              <w:left w:w="29" w:type="dxa"/>
              <w:right w:w="0" w:type="dxa"/>
            </w:tcMar>
          </w:tcPr>
          <w:p w14:paraId="2740C631" w14:textId="77777777" w:rsidR="00480052" w:rsidRPr="002009D7" w:rsidRDefault="00480052" w:rsidP="00BB1DAF">
            <w:pPr>
              <w:rPr>
                <w:b/>
                <w:sz w:val="20"/>
                <w:szCs w:val="20"/>
                <w:lang w:val="fr-FR"/>
              </w:rPr>
            </w:pPr>
            <w:r w:rsidRPr="002009D7">
              <w:rPr>
                <w:b/>
                <w:sz w:val="20"/>
                <w:szCs w:val="20"/>
                <w:lang w:val="fr-FR"/>
              </w:rPr>
              <w:t>Total</w:t>
            </w:r>
          </w:p>
        </w:tc>
        <w:tc>
          <w:tcPr>
            <w:tcW w:w="1215" w:type="dxa"/>
          </w:tcPr>
          <w:p w14:paraId="7B000902" w14:textId="77777777" w:rsidR="00480052" w:rsidRPr="002009D7" w:rsidRDefault="00480052" w:rsidP="00BB1DAF">
            <w:pPr>
              <w:jc w:val="right"/>
              <w:rPr>
                <w:sz w:val="20"/>
                <w:szCs w:val="20"/>
                <w:lang w:val="fr-FR"/>
              </w:rPr>
            </w:pPr>
            <w:r w:rsidRPr="002009D7">
              <w:rPr>
                <w:b/>
                <w:bCs/>
                <w:sz w:val="20"/>
                <w:szCs w:val="20"/>
                <w:lang w:val="fr-FR"/>
              </w:rPr>
              <w:t>245</w:t>
            </w:r>
            <w:r w:rsidR="004A3B9C">
              <w:rPr>
                <w:b/>
                <w:bCs/>
                <w:sz w:val="20"/>
                <w:szCs w:val="20"/>
                <w:lang w:val="fr-FR"/>
              </w:rPr>
              <w:t> </w:t>
            </w:r>
            <w:r w:rsidRPr="002009D7">
              <w:rPr>
                <w:b/>
                <w:bCs/>
                <w:sz w:val="20"/>
                <w:szCs w:val="20"/>
                <w:lang w:val="fr-FR"/>
              </w:rPr>
              <w:t>000</w:t>
            </w:r>
          </w:p>
        </w:tc>
        <w:tc>
          <w:tcPr>
            <w:tcW w:w="1215" w:type="dxa"/>
            <w:vAlign w:val="center"/>
          </w:tcPr>
          <w:p w14:paraId="4B668F4E" w14:textId="77777777" w:rsidR="00480052" w:rsidRPr="002009D7" w:rsidRDefault="00480052" w:rsidP="00BB1DAF">
            <w:pPr>
              <w:jc w:val="right"/>
              <w:rPr>
                <w:b/>
                <w:sz w:val="20"/>
                <w:szCs w:val="20"/>
                <w:lang w:val="fr-FR"/>
              </w:rPr>
            </w:pPr>
            <w:r w:rsidRPr="002009D7">
              <w:rPr>
                <w:b/>
                <w:sz w:val="20"/>
                <w:szCs w:val="20"/>
                <w:lang w:val="fr-FR"/>
              </w:rPr>
              <w:t>243</w:t>
            </w:r>
            <w:r w:rsidR="004A3B9C">
              <w:rPr>
                <w:b/>
                <w:sz w:val="20"/>
                <w:szCs w:val="20"/>
                <w:lang w:val="fr-FR"/>
              </w:rPr>
              <w:t> </w:t>
            </w:r>
            <w:r w:rsidRPr="002009D7">
              <w:rPr>
                <w:b/>
                <w:sz w:val="20"/>
                <w:szCs w:val="20"/>
                <w:lang w:val="fr-FR"/>
              </w:rPr>
              <w:t>981</w:t>
            </w:r>
          </w:p>
        </w:tc>
        <w:tc>
          <w:tcPr>
            <w:tcW w:w="1215" w:type="dxa"/>
          </w:tcPr>
          <w:p w14:paraId="38948DA9" w14:textId="77777777" w:rsidR="00480052" w:rsidRPr="002009D7" w:rsidRDefault="00480052" w:rsidP="00BB1DAF">
            <w:pPr>
              <w:jc w:val="right"/>
              <w:rPr>
                <w:b/>
                <w:sz w:val="20"/>
                <w:szCs w:val="20"/>
                <w:lang w:val="fr-FR"/>
              </w:rPr>
            </w:pPr>
            <w:r w:rsidRPr="002009D7">
              <w:rPr>
                <w:b/>
                <w:sz w:val="20"/>
                <w:szCs w:val="20"/>
                <w:lang w:val="fr-FR"/>
              </w:rPr>
              <w:t>60</w:t>
            </w:r>
            <w:r w:rsidR="004A3B9C">
              <w:rPr>
                <w:b/>
                <w:sz w:val="20"/>
                <w:szCs w:val="20"/>
                <w:lang w:val="fr-FR"/>
              </w:rPr>
              <w:t> </w:t>
            </w:r>
            <w:r w:rsidRPr="002009D7">
              <w:rPr>
                <w:b/>
                <w:sz w:val="20"/>
                <w:szCs w:val="20"/>
                <w:lang w:val="fr-FR"/>
              </w:rPr>
              <w:t>000</w:t>
            </w:r>
          </w:p>
        </w:tc>
        <w:tc>
          <w:tcPr>
            <w:tcW w:w="1215" w:type="dxa"/>
          </w:tcPr>
          <w:p w14:paraId="360B5C92" w14:textId="77777777" w:rsidR="00480052" w:rsidRPr="002009D7" w:rsidRDefault="00480052" w:rsidP="00BB1DAF">
            <w:pPr>
              <w:jc w:val="right"/>
              <w:rPr>
                <w:b/>
                <w:sz w:val="20"/>
                <w:szCs w:val="20"/>
                <w:lang w:val="fr-FR"/>
              </w:rPr>
            </w:pPr>
            <w:r w:rsidRPr="002009D7">
              <w:rPr>
                <w:b/>
                <w:sz w:val="20"/>
                <w:szCs w:val="20"/>
                <w:lang w:val="fr-FR"/>
              </w:rPr>
              <w:t>60</w:t>
            </w:r>
            <w:r w:rsidR="004A3B9C">
              <w:rPr>
                <w:b/>
                <w:sz w:val="20"/>
                <w:szCs w:val="20"/>
                <w:lang w:val="fr-FR"/>
              </w:rPr>
              <w:t> </w:t>
            </w:r>
            <w:r w:rsidRPr="002009D7">
              <w:rPr>
                <w:b/>
                <w:sz w:val="20"/>
                <w:szCs w:val="20"/>
                <w:lang w:val="fr-FR"/>
              </w:rPr>
              <w:t>000</w:t>
            </w:r>
          </w:p>
        </w:tc>
        <w:tc>
          <w:tcPr>
            <w:tcW w:w="1215" w:type="dxa"/>
          </w:tcPr>
          <w:p w14:paraId="6CEB0E26" w14:textId="77777777" w:rsidR="00480052" w:rsidRPr="002009D7" w:rsidRDefault="00480052" w:rsidP="00BB1DAF">
            <w:pPr>
              <w:jc w:val="right"/>
              <w:rPr>
                <w:b/>
                <w:sz w:val="20"/>
                <w:szCs w:val="20"/>
                <w:lang w:val="fr-FR"/>
              </w:rPr>
            </w:pPr>
            <w:r w:rsidRPr="002009D7">
              <w:rPr>
                <w:b/>
                <w:sz w:val="20"/>
                <w:szCs w:val="20"/>
                <w:lang w:val="fr-FR"/>
              </w:rPr>
              <w:t>305</w:t>
            </w:r>
            <w:r w:rsidR="004A3B9C">
              <w:rPr>
                <w:b/>
                <w:sz w:val="20"/>
                <w:szCs w:val="20"/>
                <w:lang w:val="fr-FR"/>
              </w:rPr>
              <w:t> </w:t>
            </w:r>
            <w:r w:rsidRPr="002009D7">
              <w:rPr>
                <w:b/>
                <w:sz w:val="20"/>
                <w:szCs w:val="20"/>
                <w:lang w:val="fr-FR"/>
              </w:rPr>
              <w:t>000</w:t>
            </w:r>
          </w:p>
        </w:tc>
        <w:tc>
          <w:tcPr>
            <w:tcW w:w="1215" w:type="dxa"/>
          </w:tcPr>
          <w:p w14:paraId="108AC217" w14:textId="77777777" w:rsidR="00480052" w:rsidRPr="002009D7" w:rsidRDefault="00480052" w:rsidP="00BB1DAF">
            <w:pPr>
              <w:jc w:val="right"/>
              <w:rPr>
                <w:b/>
                <w:sz w:val="20"/>
                <w:szCs w:val="20"/>
                <w:lang w:val="fr-FR"/>
              </w:rPr>
            </w:pPr>
            <w:r w:rsidRPr="002009D7">
              <w:rPr>
                <w:b/>
                <w:sz w:val="20"/>
                <w:szCs w:val="20"/>
                <w:lang w:val="fr-FR"/>
              </w:rPr>
              <w:t>305</w:t>
            </w:r>
            <w:r w:rsidR="004A3B9C">
              <w:rPr>
                <w:b/>
                <w:sz w:val="20"/>
                <w:szCs w:val="20"/>
                <w:lang w:val="fr-FR"/>
              </w:rPr>
              <w:t> </w:t>
            </w:r>
            <w:r w:rsidRPr="002009D7">
              <w:rPr>
                <w:b/>
                <w:sz w:val="20"/>
                <w:szCs w:val="20"/>
                <w:lang w:val="fr-FR"/>
              </w:rPr>
              <w:t>000</w:t>
            </w:r>
          </w:p>
        </w:tc>
      </w:tr>
      <w:tr w:rsidR="00480052" w:rsidRPr="002009D7" w14:paraId="1184FB3F" w14:textId="77777777" w:rsidTr="00BB1DAF">
        <w:tc>
          <w:tcPr>
            <w:tcW w:w="2065" w:type="dxa"/>
            <w:tcMar>
              <w:left w:w="29" w:type="dxa"/>
              <w:right w:w="0" w:type="dxa"/>
            </w:tcMar>
          </w:tcPr>
          <w:p w14:paraId="04386316" w14:textId="77777777" w:rsidR="00480052" w:rsidRPr="002009D7" w:rsidRDefault="00480052" w:rsidP="00BB1DAF">
            <w:pPr>
              <w:jc w:val="left"/>
              <w:rPr>
                <w:b/>
                <w:sz w:val="20"/>
                <w:szCs w:val="20"/>
                <w:lang w:val="fr-FR"/>
              </w:rPr>
            </w:pPr>
            <w:r w:rsidRPr="002009D7">
              <w:rPr>
                <w:b/>
                <w:sz w:val="20"/>
                <w:szCs w:val="20"/>
                <w:lang w:val="fr-FR"/>
              </w:rPr>
              <w:t>Taux de décaissement (en %)</w:t>
            </w:r>
          </w:p>
        </w:tc>
        <w:tc>
          <w:tcPr>
            <w:tcW w:w="2430" w:type="dxa"/>
            <w:gridSpan w:val="2"/>
            <w:vAlign w:val="center"/>
          </w:tcPr>
          <w:p w14:paraId="023DF3A0" w14:textId="77777777" w:rsidR="00480052" w:rsidRPr="002009D7" w:rsidRDefault="00480052" w:rsidP="00BB1DAF">
            <w:pPr>
              <w:jc w:val="center"/>
              <w:rPr>
                <w:b/>
                <w:sz w:val="20"/>
                <w:szCs w:val="20"/>
                <w:lang w:val="fr-FR"/>
              </w:rPr>
            </w:pPr>
            <w:r w:rsidRPr="002009D7">
              <w:rPr>
                <w:b/>
                <w:sz w:val="20"/>
                <w:szCs w:val="20"/>
                <w:lang w:val="fr-FR"/>
              </w:rPr>
              <w:t>100</w:t>
            </w:r>
          </w:p>
        </w:tc>
        <w:tc>
          <w:tcPr>
            <w:tcW w:w="2430" w:type="dxa"/>
            <w:gridSpan w:val="2"/>
            <w:vAlign w:val="center"/>
          </w:tcPr>
          <w:p w14:paraId="1DB7F02F" w14:textId="77777777" w:rsidR="00480052" w:rsidRPr="002009D7" w:rsidRDefault="00480052" w:rsidP="00BB1DAF">
            <w:pPr>
              <w:jc w:val="center"/>
              <w:rPr>
                <w:b/>
                <w:sz w:val="20"/>
                <w:szCs w:val="20"/>
                <w:lang w:val="fr-FR"/>
              </w:rPr>
            </w:pPr>
            <w:r w:rsidRPr="002009D7">
              <w:rPr>
                <w:b/>
                <w:sz w:val="20"/>
                <w:szCs w:val="20"/>
                <w:lang w:val="fr-FR"/>
              </w:rPr>
              <w:t>100</w:t>
            </w:r>
          </w:p>
        </w:tc>
        <w:tc>
          <w:tcPr>
            <w:tcW w:w="2430" w:type="dxa"/>
            <w:gridSpan w:val="2"/>
            <w:vAlign w:val="center"/>
          </w:tcPr>
          <w:p w14:paraId="3485F140" w14:textId="77777777" w:rsidR="00480052" w:rsidRPr="002009D7" w:rsidRDefault="00480052" w:rsidP="00BB1DAF">
            <w:pPr>
              <w:jc w:val="center"/>
              <w:rPr>
                <w:b/>
                <w:sz w:val="20"/>
                <w:szCs w:val="20"/>
                <w:lang w:val="fr-FR"/>
              </w:rPr>
            </w:pPr>
            <w:r w:rsidRPr="002009D7">
              <w:rPr>
                <w:b/>
                <w:sz w:val="20"/>
                <w:szCs w:val="20"/>
                <w:lang w:val="fr-FR"/>
              </w:rPr>
              <w:t>100</w:t>
            </w:r>
          </w:p>
        </w:tc>
      </w:tr>
    </w:tbl>
    <w:p w14:paraId="35A74EF1" w14:textId="77777777" w:rsidR="00480052" w:rsidRPr="00596612" w:rsidRDefault="00480052" w:rsidP="00480052">
      <w:pPr>
        <w:rPr>
          <w:sz w:val="19"/>
          <w:szCs w:val="19"/>
          <w:lang w:val="fr-FR"/>
        </w:rPr>
      </w:pPr>
      <w:r w:rsidRPr="00596612">
        <w:rPr>
          <w:sz w:val="19"/>
          <w:szCs w:val="19"/>
          <w:lang w:val="fr-FR"/>
        </w:rPr>
        <w:t>* 1</w:t>
      </w:r>
      <w:r w:rsidR="004A3B9C" w:rsidRPr="00596612">
        <w:rPr>
          <w:sz w:val="19"/>
          <w:szCs w:val="19"/>
          <w:lang w:val="fr-FR"/>
        </w:rPr>
        <w:t> </w:t>
      </w:r>
      <w:r w:rsidRPr="00596612">
        <w:rPr>
          <w:sz w:val="19"/>
          <w:szCs w:val="19"/>
          <w:lang w:val="fr-FR"/>
        </w:rPr>
        <w:t>019</w:t>
      </w:r>
      <w:r w:rsidR="004A3B9C" w:rsidRPr="00596612">
        <w:rPr>
          <w:sz w:val="19"/>
          <w:szCs w:val="19"/>
          <w:lang w:val="fr-FR"/>
        </w:rPr>
        <w:t> $</w:t>
      </w:r>
      <w:r w:rsidRPr="00596612">
        <w:rPr>
          <w:sz w:val="19"/>
          <w:szCs w:val="19"/>
          <w:lang w:val="fr-FR"/>
        </w:rPr>
        <w:t xml:space="preserve"> US ont été rendus par l’ONUDI lors de la 80</w:t>
      </w:r>
      <w:r w:rsidRPr="00596612">
        <w:rPr>
          <w:sz w:val="19"/>
          <w:szCs w:val="19"/>
          <w:vertAlign w:val="superscript"/>
          <w:lang w:val="fr-FR"/>
        </w:rPr>
        <w:t>e</w:t>
      </w:r>
      <w:r w:rsidR="004A3B9C" w:rsidRPr="00596612">
        <w:rPr>
          <w:sz w:val="19"/>
          <w:szCs w:val="19"/>
          <w:lang w:val="fr-FR"/>
        </w:rPr>
        <w:t> </w:t>
      </w:r>
      <w:r w:rsidRPr="00596612">
        <w:rPr>
          <w:sz w:val="19"/>
          <w:szCs w:val="19"/>
          <w:lang w:val="fr-FR"/>
        </w:rPr>
        <w:t>réunion du Comité exécutif</w:t>
      </w:r>
    </w:p>
    <w:p w14:paraId="6E8C5016" w14:textId="77777777" w:rsidR="00480052" w:rsidRPr="002009D7" w:rsidRDefault="00480052" w:rsidP="00480052">
      <w:pPr>
        <w:rPr>
          <w:lang w:val="fr-FR"/>
        </w:rPr>
      </w:pPr>
    </w:p>
    <w:p w14:paraId="17E94259" w14:textId="77777777" w:rsidR="00480052" w:rsidRPr="002009D7" w:rsidRDefault="00480052" w:rsidP="00480052">
      <w:pPr>
        <w:rPr>
          <w:u w:val="single"/>
          <w:lang w:val="fr-FR"/>
        </w:rPr>
      </w:pPr>
      <w:r w:rsidRPr="002009D7">
        <w:rPr>
          <w:u w:val="single"/>
          <w:lang w:val="fr-FR"/>
        </w:rPr>
        <w:t>Plan de mise en œuvre de la troisième et dernière tranche du PGEH</w:t>
      </w:r>
    </w:p>
    <w:p w14:paraId="6AA3089A" w14:textId="77777777" w:rsidR="00480052" w:rsidRPr="002009D7" w:rsidRDefault="00480052" w:rsidP="00480052">
      <w:pPr>
        <w:rPr>
          <w:lang w:val="fr-FR"/>
        </w:rPr>
      </w:pPr>
    </w:p>
    <w:p w14:paraId="0B8DE599" w14:textId="77777777" w:rsidR="00480052" w:rsidRPr="002009D7" w:rsidRDefault="00480052" w:rsidP="00480052">
      <w:pPr>
        <w:pStyle w:val="Heading1"/>
        <w:tabs>
          <w:tab w:val="clear" w:pos="0"/>
        </w:tabs>
        <w:rPr>
          <w:lang w:val="fr-FR"/>
        </w:rPr>
      </w:pPr>
      <w:r w:rsidRPr="002009D7">
        <w:rPr>
          <w:lang w:val="fr-FR"/>
        </w:rPr>
        <w:t>Les activités suivantes seront effectuées entre juin 2020 et juillet 2022</w:t>
      </w:r>
      <w:r w:rsidR="004A3B9C">
        <w:rPr>
          <w:lang w:val="fr-FR"/>
        </w:rPr>
        <w:t> </w:t>
      </w:r>
      <w:r w:rsidRPr="002009D7">
        <w:rPr>
          <w:lang w:val="fr-FR"/>
        </w:rPr>
        <w:t>:</w:t>
      </w:r>
    </w:p>
    <w:p w14:paraId="5DADD667" w14:textId="411CA0C0" w:rsidR="00480052" w:rsidRPr="002009D7" w:rsidRDefault="00480052" w:rsidP="00480052">
      <w:pPr>
        <w:pStyle w:val="Heading2"/>
        <w:numPr>
          <w:ilvl w:val="1"/>
          <w:numId w:val="1"/>
        </w:numPr>
        <w:tabs>
          <w:tab w:val="clear" w:pos="0"/>
        </w:tabs>
        <w:rPr>
          <w:lang w:val="fr-FR"/>
        </w:rPr>
      </w:pPr>
      <w:r w:rsidRPr="002009D7">
        <w:rPr>
          <w:lang w:val="fr-FR"/>
        </w:rPr>
        <w:lastRenderedPageBreak/>
        <w:t>Six ateliers de formation à l’identification et au contrôle des HCFC et des équipements utilisant des HCFC pour 120</w:t>
      </w:r>
      <w:r w:rsidR="004A3B9C">
        <w:rPr>
          <w:lang w:val="fr-FR"/>
        </w:rPr>
        <w:t> </w:t>
      </w:r>
      <w:r w:rsidRPr="002009D7">
        <w:rPr>
          <w:lang w:val="fr-FR"/>
        </w:rPr>
        <w:t>agents de douanes et de la force publique</w:t>
      </w:r>
      <w:r w:rsidR="004A3B9C">
        <w:rPr>
          <w:lang w:val="fr-FR"/>
        </w:rPr>
        <w:t> </w:t>
      </w:r>
      <w:r w:rsidRPr="002009D7">
        <w:rPr>
          <w:lang w:val="fr-FR"/>
        </w:rPr>
        <w:t xml:space="preserve">; </w:t>
      </w:r>
      <w:r w:rsidR="00715F09">
        <w:rPr>
          <w:lang w:val="fr-FR"/>
        </w:rPr>
        <w:t xml:space="preserve">le </w:t>
      </w:r>
      <w:r w:rsidRPr="002009D7">
        <w:rPr>
          <w:lang w:val="fr-FR"/>
        </w:rPr>
        <w:t>développement d’un manuel de formation pour aider à la formation des agents de douanes et d’une plaquette simplifiée pour faciliter le dédouanement des frigorigènes et des équipements de réfrigération et de climatisation importés</w:t>
      </w:r>
      <w:r w:rsidR="004A3B9C">
        <w:rPr>
          <w:lang w:val="fr-FR"/>
        </w:rPr>
        <w:t> </w:t>
      </w:r>
      <w:r w:rsidRPr="002009D7">
        <w:rPr>
          <w:lang w:val="fr-FR"/>
        </w:rPr>
        <w:t>; et la signature d’un m</w:t>
      </w:r>
      <w:r w:rsidR="004A3B9C">
        <w:rPr>
          <w:lang w:val="fr-FR"/>
        </w:rPr>
        <w:t>é</w:t>
      </w:r>
      <w:r w:rsidRPr="002009D7">
        <w:rPr>
          <w:lang w:val="fr-FR"/>
        </w:rPr>
        <w:t>morandum d’entente avec l’autorité douanière pour assurer la pérennité du programme de formation des douanes (PNUE) (50 000 $US)</w:t>
      </w:r>
      <w:r w:rsidR="004A3B9C">
        <w:rPr>
          <w:lang w:val="fr-FR"/>
        </w:rPr>
        <w:t> </w:t>
      </w:r>
      <w:r w:rsidRPr="002009D7">
        <w:rPr>
          <w:lang w:val="fr-FR"/>
        </w:rPr>
        <w:t xml:space="preserve">; </w:t>
      </w:r>
    </w:p>
    <w:p w14:paraId="7107139E" w14:textId="77777777" w:rsidR="00480052" w:rsidRPr="002009D7" w:rsidRDefault="00480052" w:rsidP="00480052">
      <w:pPr>
        <w:pStyle w:val="Heading2"/>
        <w:keepNext/>
        <w:numPr>
          <w:ilvl w:val="1"/>
          <w:numId w:val="1"/>
        </w:numPr>
        <w15:collapsed/>
        <w:rPr>
          <w:lang w:val="fr-FR"/>
        </w:rPr>
      </w:pPr>
      <w:r w:rsidRPr="002009D7">
        <w:rPr>
          <w:lang w:val="fr-FR"/>
        </w:rPr>
        <w:t>Sept sessions de formation sur les bonne</w:t>
      </w:r>
      <w:r w:rsidR="004A3B9C">
        <w:rPr>
          <w:lang w:val="fr-FR"/>
        </w:rPr>
        <w:t>s</w:t>
      </w:r>
      <w:r w:rsidRPr="002009D7">
        <w:rPr>
          <w:lang w:val="fr-FR"/>
        </w:rPr>
        <w:t xml:space="preserve"> pratiques d’entretien en réfrigération pour 175</w:t>
      </w:r>
      <w:r w:rsidR="004A3B9C">
        <w:rPr>
          <w:lang w:val="fr-FR"/>
        </w:rPr>
        <w:t> </w:t>
      </w:r>
      <w:r w:rsidRPr="002009D7">
        <w:rPr>
          <w:lang w:val="fr-FR"/>
        </w:rPr>
        <w:t>techniciens frigoristes supplémentaires</w:t>
      </w:r>
      <w:r w:rsidR="004A3B9C">
        <w:rPr>
          <w:lang w:val="fr-FR"/>
        </w:rPr>
        <w:t> </w:t>
      </w:r>
      <w:r w:rsidRPr="002009D7">
        <w:rPr>
          <w:lang w:val="fr-FR"/>
        </w:rPr>
        <w:t>; l’introduction de bonnes pratiques de réfrigération et de l’utilisation en sécurité de frigorigènes inflammables ou toxiques dans le programme des principales écoles de formation en réfrigération et climatisation</w:t>
      </w:r>
      <w:r w:rsidR="004A3B9C">
        <w:rPr>
          <w:lang w:val="fr-FR"/>
        </w:rPr>
        <w:t> </w:t>
      </w:r>
      <w:r w:rsidRPr="002009D7">
        <w:rPr>
          <w:lang w:val="fr-FR"/>
        </w:rPr>
        <w:t>; l’adaptation des supports de formation existants développés par le PNUE en coopération avec l’association de la réfrigération (PNUE) (50 000 $ US)</w:t>
      </w:r>
      <w:r w:rsidR="004A3B9C">
        <w:rPr>
          <w:lang w:val="fr-FR"/>
        </w:rPr>
        <w:t> </w:t>
      </w:r>
      <w:r w:rsidRPr="002009D7">
        <w:rPr>
          <w:lang w:val="fr-FR"/>
        </w:rPr>
        <w:t>; et</w:t>
      </w:r>
    </w:p>
    <w:p w14:paraId="37888B4F" w14:textId="77777777" w:rsidR="00480052" w:rsidRPr="002009D7" w:rsidRDefault="004A3B9C" w:rsidP="00480052">
      <w:pPr>
        <w:pStyle w:val="Heading2"/>
        <w:numPr>
          <w:ilvl w:val="1"/>
          <w:numId w:val="1"/>
        </w:numPr>
        <w:rPr>
          <w:lang w:val="fr-FR"/>
        </w:rPr>
      </w:pPr>
      <w:r>
        <w:rPr>
          <w:lang w:val="fr-FR"/>
        </w:rPr>
        <w:t>l</w:t>
      </w:r>
      <w:r w:rsidR="00480052" w:rsidRPr="002009D7">
        <w:rPr>
          <w:lang w:val="fr-FR"/>
        </w:rPr>
        <w:t>a fourniture d’équipements et d’outils supplémentaires pour les centres de formation et les ateliers de réfrigération (à savoir 15 comprenant des stations de récupération portables, des identificateurs de frigorigènes, des pompes à vide, des stations de charge portables, des manomètres à vide, des balances électroniques de charge, des détecteurs de fuite, des bouteilles de récupération de frigorigène, des kits de soudure, des kits d’analyse d’huile et une station de récupération), et la formation des bénéficiaires à l’utilisation de l’équipement via les centres d’excellence (ONUDI) (125 000 $ US)</w:t>
      </w:r>
      <w:r>
        <w:rPr>
          <w:lang w:val="fr-FR"/>
        </w:rPr>
        <w:t> </w:t>
      </w:r>
      <w:r w:rsidR="00480052" w:rsidRPr="002009D7">
        <w:rPr>
          <w:lang w:val="fr-FR"/>
        </w:rPr>
        <w:t xml:space="preserve">; </w:t>
      </w:r>
    </w:p>
    <w:p w14:paraId="2639CCE7" w14:textId="77777777" w:rsidR="00202DEB" w:rsidRDefault="00202DEB" w:rsidP="00202DEB">
      <w:pPr>
        <w:rPr>
          <w:b/>
          <w:lang w:val="fr-FR"/>
        </w:rPr>
      </w:pPr>
    </w:p>
    <w:p w14:paraId="0C5539BB" w14:textId="6BAB5070" w:rsidR="00480052" w:rsidRPr="002009D7" w:rsidRDefault="00480052" w:rsidP="00480052">
      <w:pPr>
        <w:jc w:val="center"/>
        <w:rPr>
          <w:b/>
          <w:lang w:val="fr-FR"/>
        </w:rPr>
      </w:pPr>
      <w:r w:rsidRPr="002009D7">
        <w:rPr>
          <w:b/>
          <w:lang w:val="fr-FR"/>
        </w:rPr>
        <w:t>OBSERVATIONS ET RECOMMANDATIONS DU SECRÉTARIAT</w:t>
      </w:r>
    </w:p>
    <w:p w14:paraId="3C948138" w14:textId="77777777" w:rsidR="00480052" w:rsidRPr="002009D7" w:rsidRDefault="00480052" w:rsidP="00480052">
      <w:pPr>
        <w:rPr>
          <w:lang w:val="fr-FR"/>
        </w:rPr>
      </w:pPr>
    </w:p>
    <w:p w14:paraId="282E035B" w14:textId="77777777" w:rsidR="00480052" w:rsidRPr="002009D7" w:rsidRDefault="00480052" w:rsidP="00480052">
      <w:pPr>
        <w:rPr>
          <w:b/>
          <w:lang w:val="fr-FR"/>
        </w:rPr>
      </w:pPr>
      <w:r w:rsidRPr="002009D7">
        <w:rPr>
          <w:b/>
          <w:lang w:val="fr-FR"/>
        </w:rPr>
        <w:t>OBSERVATIONS</w:t>
      </w:r>
    </w:p>
    <w:p w14:paraId="084394E0" w14:textId="77777777" w:rsidR="00480052" w:rsidRPr="002009D7" w:rsidRDefault="00480052" w:rsidP="00480052">
      <w:pPr>
        <w:rPr>
          <w:lang w:val="fr-FR"/>
        </w:rPr>
      </w:pPr>
    </w:p>
    <w:p w14:paraId="23B30E8C" w14:textId="77777777" w:rsidR="00480052" w:rsidRPr="002009D7" w:rsidRDefault="00480052" w:rsidP="00480052">
      <w:pPr>
        <w:rPr>
          <w:u w:val="single"/>
          <w:lang w:val="fr-FR"/>
        </w:rPr>
      </w:pPr>
      <w:r w:rsidRPr="002009D7">
        <w:rPr>
          <w:u w:val="single"/>
          <w:lang w:val="fr-FR"/>
        </w:rPr>
        <w:t>Cadre juridique</w:t>
      </w:r>
    </w:p>
    <w:p w14:paraId="2741DB0A" w14:textId="77777777" w:rsidR="00480052" w:rsidRPr="002009D7" w:rsidRDefault="00480052" w:rsidP="00480052">
      <w:pPr>
        <w:rPr>
          <w:lang w:val="fr-FR"/>
        </w:rPr>
      </w:pPr>
    </w:p>
    <w:p w14:paraId="247CE1BB" w14:textId="7E03E486" w:rsidR="00480052" w:rsidRPr="002009D7" w:rsidRDefault="00480052" w:rsidP="00480052">
      <w:pPr>
        <w:pStyle w:val="Heading1"/>
        <w:tabs>
          <w:tab w:val="clear" w:pos="0"/>
        </w:tabs>
        <w:rPr>
          <w:lang w:val="fr-FR"/>
        </w:rPr>
      </w:pPr>
      <w:r w:rsidRPr="002009D7">
        <w:rPr>
          <w:lang w:val="fr-FR"/>
        </w:rPr>
        <w:t>Le quota de HCFC pour 2020 a été fixé à 1,65</w:t>
      </w:r>
      <w:r w:rsidR="004A3B9C">
        <w:rPr>
          <w:lang w:val="fr-FR"/>
        </w:rPr>
        <w:t> </w:t>
      </w:r>
      <w:r w:rsidRPr="002009D7">
        <w:rPr>
          <w:lang w:val="fr-FR"/>
        </w:rPr>
        <w:t xml:space="preserve">tonne PAO, ce qui est inférieur à la consommation maximale admissible fixée pour 2020 aux fins d’application du Protocole de Montréal. </w:t>
      </w:r>
    </w:p>
    <w:p w14:paraId="65EC8744" w14:textId="77777777" w:rsidR="00480052" w:rsidRPr="002009D7" w:rsidRDefault="00480052" w:rsidP="00480052">
      <w:pPr>
        <w:pStyle w:val="Heading1"/>
        <w:numPr>
          <w:ilvl w:val="0"/>
          <w:numId w:val="0"/>
        </w:numPr>
        <w:rPr>
          <w:i/>
          <w:u w:val="single"/>
          <w:lang w:val="fr-FR"/>
        </w:rPr>
      </w:pPr>
      <w:r w:rsidRPr="002009D7">
        <w:rPr>
          <w:u w:val="single"/>
          <w:lang w:val="fr-FR"/>
        </w:rPr>
        <w:t xml:space="preserve">Révision de l’Accord </w:t>
      </w:r>
    </w:p>
    <w:p w14:paraId="3E0E2EB8" w14:textId="77777777" w:rsidR="00480052" w:rsidRPr="002009D7" w:rsidRDefault="00480052" w:rsidP="00480052">
      <w:pPr>
        <w:pStyle w:val="Heading1"/>
        <w:tabs>
          <w:tab w:val="clear" w:pos="0"/>
        </w:tabs>
        <w:rPr>
          <w:lang w:val="fr-FR"/>
        </w:rPr>
      </w:pPr>
      <w:r w:rsidRPr="002009D7">
        <w:rPr>
          <w:lang w:val="fr-FR"/>
        </w:rPr>
        <w:t>Durant le processus d’examen du projet, le PNUE a indiqué que le gouvernement de la Guinée a avalisé la révision du point de départ pour la réduction globale de la consommation de HCFC de 22,6</w:t>
      </w:r>
      <w:r w:rsidR="004A3B9C">
        <w:rPr>
          <w:lang w:val="fr-FR"/>
        </w:rPr>
        <w:t> </w:t>
      </w:r>
      <w:r w:rsidRPr="002009D7">
        <w:rPr>
          <w:lang w:val="fr-FR"/>
        </w:rPr>
        <w:t>tonnes PAO à 7,5</w:t>
      </w:r>
      <w:r w:rsidR="004A3B9C">
        <w:rPr>
          <w:lang w:val="fr-FR"/>
        </w:rPr>
        <w:t> </w:t>
      </w:r>
      <w:r w:rsidRPr="002009D7">
        <w:rPr>
          <w:lang w:val="fr-FR"/>
        </w:rPr>
        <w:t>tonnes PAO, avec une consommation restante éligible au financement de 4,87</w:t>
      </w:r>
      <w:r w:rsidR="004A3B9C">
        <w:rPr>
          <w:lang w:val="fr-FR"/>
        </w:rPr>
        <w:t> </w:t>
      </w:r>
      <w:r w:rsidRPr="002009D7">
        <w:rPr>
          <w:lang w:val="fr-FR"/>
        </w:rPr>
        <w:t>tonnes PAO. Par conséquent, les objectifs de consommation maximale admissible de 2015 et 2020 seront revus à 6,75</w:t>
      </w:r>
      <w:r w:rsidR="004A3B9C">
        <w:rPr>
          <w:lang w:val="fr-FR"/>
        </w:rPr>
        <w:t> </w:t>
      </w:r>
      <w:r w:rsidRPr="002009D7">
        <w:rPr>
          <w:lang w:val="fr-FR"/>
        </w:rPr>
        <w:t>tonnes PAO et 4,87</w:t>
      </w:r>
      <w:r w:rsidR="004A3B9C">
        <w:rPr>
          <w:lang w:val="fr-FR"/>
        </w:rPr>
        <w:t> </w:t>
      </w:r>
      <w:r w:rsidRPr="002009D7">
        <w:rPr>
          <w:lang w:val="fr-FR"/>
        </w:rPr>
        <w:t>tonnes PAO respectivement.</w:t>
      </w:r>
    </w:p>
    <w:p w14:paraId="41231BB7" w14:textId="024FCCA1" w:rsidR="00480052" w:rsidRPr="002009D7" w:rsidRDefault="00480052" w:rsidP="00480052">
      <w:pPr>
        <w:pStyle w:val="Heading1"/>
        <w:rPr>
          <w:lang w:val="fr-FR"/>
        </w:rPr>
      </w:pPr>
      <w:r w:rsidRPr="002009D7">
        <w:rPr>
          <w:lang w:val="fr-FR"/>
        </w:rPr>
        <w:t>Conformément aux directives relatives aux coûts de la phase</w:t>
      </w:r>
      <w:r w:rsidR="004A3B9C">
        <w:rPr>
          <w:lang w:val="fr-FR"/>
        </w:rPr>
        <w:t> </w:t>
      </w:r>
      <w:r w:rsidRPr="002009D7">
        <w:rPr>
          <w:lang w:val="fr-FR"/>
        </w:rPr>
        <w:t>II du PGEH (à savoir la décision</w:t>
      </w:r>
      <w:r w:rsidR="004A3B9C">
        <w:rPr>
          <w:lang w:val="fr-FR"/>
        </w:rPr>
        <w:t> </w:t>
      </w:r>
      <w:r w:rsidRPr="002009D7">
        <w:rPr>
          <w:lang w:val="fr-FR"/>
        </w:rPr>
        <w:t>74/50(c)(xii)), le financement maximal admissible restant pour atteindre l’élimination complète des HCFC serait de 420</w:t>
      </w:r>
      <w:r w:rsidR="004A3B9C">
        <w:rPr>
          <w:lang w:val="fr-FR"/>
        </w:rPr>
        <w:t> </w:t>
      </w:r>
      <w:r w:rsidRPr="002009D7">
        <w:rPr>
          <w:lang w:val="fr-FR"/>
        </w:rPr>
        <w:t>000</w:t>
      </w:r>
      <w:r w:rsidR="004A3B9C">
        <w:rPr>
          <w:lang w:val="fr-FR"/>
        </w:rPr>
        <w:t> </w:t>
      </w:r>
      <w:r w:rsidRPr="002009D7">
        <w:rPr>
          <w:lang w:val="fr-FR"/>
        </w:rPr>
        <w:t>$ US, sachant que 530</w:t>
      </w:r>
      <w:r w:rsidR="004A3B9C">
        <w:rPr>
          <w:lang w:val="fr-FR"/>
        </w:rPr>
        <w:t> </w:t>
      </w:r>
      <w:r w:rsidRPr="002009D7">
        <w:rPr>
          <w:lang w:val="fr-FR"/>
        </w:rPr>
        <w:t>000</w:t>
      </w:r>
      <w:r w:rsidR="004A3B9C">
        <w:rPr>
          <w:lang w:val="fr-FR"/>
        </w:rPr>
        <w:t> </w:t>
      </w:r>
      <w:r w:rsidRPr="002009D7">
        <w:rPr>
          <w:lang w:val="fr-FR"/>
        </w:rPr>
        <w:t xml:space="preserve">$ US ont déjà été approuvés dans le cadre de la phase I du PGEH. </w:t>
      </w:r>
    </w:p>
    <w:p w14:paraId="7AEB1145" w14:textId="77777777" w:rsidR="00480052" w:rsidRPr="002009D7" w:rsidRDefault="00480052" w:rsidP="00480052">
      <w:pPr>
        <w:pStyle w:val="Heading1"/>
        <w:tabs>
          <w:tab w:val="clear" w:pos="0"/>
        </w:tabs>
        <w:rPr>
          <w:i/>
          <w:lang w:val="fr-FR"/>
        </w:rPr>
      </w:pPr>
      <w:r w:rsidRPr="002009D7">
        <w:rPr>
          <w:lang w:val="fr-FR"/>
        </w:rPr>
        <w:t>Par conséquent, l’Accord entre le gouvernement de la Guinée et le Comité exécutif sera mis à jour comme suit</w:t>
      </w:r>
      <w:r w:rsidR="004A3B9C">
        <w:rPr>
          <w:lang w:val="fr-FR"/>
        </w:rPr>
        <w:t> </w:t>
      </w:r>
      <w:r w:rsidRPr="002009D7">
        <w:rPr>
          <w:lang w:val="fr-FR"/>
        </w:rPr>
        <w:t>:</w:t>
      </w:r>
    </w:p>
    <w:p w14:paraId="27028372" w14:textId="086CC133" w:rsidR="00480052" w:rsidRPr="002009D7" w:rsidRDefault="00480052" w:rsidP="00480052">
      <w:pPr>
        <w:pStyle w:val="Heading2"/>
        <w:numPr>
          <w:ilvl w:val="1"/>
          <w:numId w:val="1"/>
        </w:numPr>
        <w:tabs>
          <w:tab w:val="clear" w:pos="0"/>
        </w:tabs>
        <w:rPr>
          <w:i/>
          <w:lang w:val="fr-FR"/>
        </w:rPr>
      </w:pPr>
      <w:r w:rsidRPr="002009D7">
        <w:rPr>
          <w:lang w:val="fr-FR"/>
        </w:rPr>
        <w:t>Dans le paragraphe</w:t>
      </w:r>
      <w:r w:rsidR="009B2824">
        <w:rPr>
          <w:lang w:val="fr-FR"/>
        </w:rPr>
        <w:t> </w:t>
      </w:r>
      <w:r w:rsidR="00715F09">
        <w:rPr>
          <w:lang w:val="fr-FR"/>
        </w:rPr>
        <w:t>1,</w:t>
      </w:r>
      <w:r w:rsidRPr="002009D7">
        <w:rPr>
          <w:lang w:val="fr-FR"/>
        </w:rPr>
        <w:t xml:space="preserve"> l’objectif de consommation maximale admissible pour</w:t>
      </w:r>
      <w:r w:rsidR="009B2824">
        <w:rPr>
          <w:lang w:val="fr-FR"/>
        </w:rPr>
        <w:t> </w:t>
      </w:r>
      <w:r w:rsidRPr="002009D7">
        <w:rPr>
          <w:lang w:val="fr-FR"/>
        </w:rPr>
        <w:t>2020</w:t>
      </w:r>
      <w:r w:rsidR="004A3B9C">
        <w:rPr>
          <w:lang w:val="fr-FR"/>
        </w:rPr>
        <w:t> </w:t>
      </w:r>
      <w:r w:rsidRPr="002009D7">
        <w:rPr>
          <w:lang w:val="fr-FR"/>
        </w:rPr>
        <w:t>;</w:t>
      </w:r>
    </w:p>
    <w:p w14:paraId="26797E2A" w14:textId="04AA547B" w:rsidR="00480052" w:rsidRPr="002009D7" w:rsidRDefault="00480052" w:rsidP="00480052">
      <w:pPr>
        <w:pStyle w:val="Heading2"/>
        <w:numPr>
          <w:ilvl w:val="1"/>
          <w:numId w:val="1"/>
        </w:numPr>
        <w:tabs>
          <w:tab w:val="clear" w:pos="0"/>
        </w:tabs>
        <w:rPr>
          <w:i/>
          <w:lang w:val="fr-FR"/>
        </w:rPr>
      </w:pPr>
      <w:r w:rsidRPr="002009D7">
        <w:rPr>
          <w:lang w:val="fr-FR"/>
        </w:rPr>
        <w:t>Dans l’Annexe</w:t>
      </w:r>
      <w:r w:rsidR="004A3B9C">
        <w:rPr>
          <w:lang w:val="fr-FR"/>
        </w:rPr>
        <w:t> </w:t>
      </w:r>
      <w:r w:rsidRPr="002009D7">
        <w:rPr>
          <w:lang w:val="fr-FR"/>
        </w:rPr>
        <w:t>1-A, le point de départ révisé</w:t>
      </w:r>
      <w:r w:rsidR="004A3B9C">
        <w:rPr>
          <w:lang w:val="fr-FR"/>
        </w:rPr>
        <w:t> </w:t>
      </w:r>
      <w:r w:rsidRPr="002009D7">
        <w:rPr>
          <w:lang w:val="fr-FR"/>
        </w:rPr>
        <w:t xml:space="preserve">; </w:t>
      </w:r>
    </w:p>
    <w:p w14:paraId="1DE9CB41" w14:textId="77777777" w:rsidR="00480052" w:rsidRPr="002009D7" w:rsidRDefault="00480052" w:rsidP="00480052">
      <w:pPr>
        <w:pStyle w:val="Heading2"/>
        <w:numPr>
          <w:ilvl w:val="1"/>
          <w:numId w:val="1"/>
        </w:numPr>
        <w:tabs>
          <w:tab w:val="clear" w:pos="0"/>
        </w:tabs>
        <w:rPr>
          <w:i/>
          <w:lang w:val="fr-FR"/>
        </w:rPr>
      </w:pPr>
      <w:r w:rsidRPr="002009D7">
        <w:rPr>
          <w:lang w:val="fr-FR"/>
        </w:rPr>
        <w:lastRenderedPageBreak/>
        <w:t>Dans l’Annexe</w:t>
      </w:r>
      <w:r w:rsidR="004A3B9C">
        <w:rPr>
          <w:lang w:val="fr-FR"/>
        </w:rPr>
        <w:t> </w:t>
      </w:r>
      <w:r w:rsidRPr="002009D7">
        <w:rPr>
          <w:lang w:val="fr-FR"/>
        </w:rPr>
        <w:t>2-A, les objectifs de consommation maximale admissible pour la phase I, la troisième tranche mise à jour, l’annulation des quatrième et cinquième tranches, l’extension au 31</w:t>
      </w:r>
      <w:r w:rsidR="004A3B9C">
        <w:rPr>
          <w:lang w:val="fr-FR"/>
        </w:rPr>
        <w:t> </w:t>
      </w:r>
      <w:r w:rsidRPr="002009D7">
        <w:rPr>
          <w:lang w:val="fr-FR"/>
        </w:rPr>
        <w:t>juillet 2022 et la mise à jour de la consommation éligible restante</w:t>
      </w:r>
      <w:r w:rsidR="004A3B9C">
        <w:rPr>
          <w:lang w:val="fr-FR"/>
        </w:rPr>
        <w:t> </w:t>
      </w:r>
      <w:r w:rsidRPr="002009D7">
        <w:rPr>
          <w:lang w:val="fr-FR"/>
        </w:rPr>
        <w:t>;</w:t>
      </w:r>
    </w:p>
    <w:p w14:paraId="2D2746B8" w14:textId="6FCB679B" w:rsidR="00480052" w:rsidRPr="002009D7" w:rsidRDefault="00480052" w:rsidP="00480052">
      <w:pPr>
        <w:pStyle w:val="Heading2"/>
        <w:numPr>
          <w:ilvl w:val="1"/>
          <w:numId w:val="1"/>
        </w:numPr>
        <w:tabs>
          <w:tab w:val="clear" w:pos="0"/>
        </w:tabs>
        <w:rPr>
          <w:lang w:val="fr-FR"/>
        </w:rPr>
      </w:pPr>
      <w:r w:rsidRPr="002009D7">
        <w:rPr>
          <w:lang w:val="fr-FR"/>
        </w:rPr>
        <w:t>Dans l’Annexe</w:t>
      </w:r>
      <w:r w:rsidR="004A3B9C">
        <w:rPr>
          <w:lang w:val="fr-FR"/>
        </w:rPr>
        <w:t> </w:t>
      </w:r>
      <w:r w:rsidRPr="002009D7">
        <w:rPr>
          <w:lang w:val="fr-FR"/>
        </w:rPr>
        <w:t>2-A, en plus de tout ce qui précède, conformément aux décisions</w:t>
      </w:r>
      <w:r w:rsidR="004A3B9C">
        <w:rPr>
          <w:lang w:val="fr-FR"/>
        </w:rPr>
        <w:t> </w:t>
      </w:r>
      <w:r w:rsidRPr="002009D7">
        <w:rPr>
          <w:lang w:val="fr-FR"/>
        </w:rPr>
        <w:t>66/17(c) et 67/15(b)(i), les coûts d’agence pour la tranche de l’ONUDI du PGEH de la Guinée seront ajustés de 7</w:t>
      </w:r>
      <w:r w:rsidR="004A3B9C">
        <w:rPr>
          <w:lang w:val="fr-FR"/>
        </w:rPr>
        <w:t> </w:t>
      </w:r>
      <w:r w:rsidR="007B7BB5">
        <w:rPr>
          <w:lang w:val="fr-FR"/>
        </w:rPr>
        <w:t>pour cent</w:t>
      </w:r>
      <w:r w:rsidRPr="002009D7">
        <w:rPr>
          <w:lang w:val="fr-FR"/>
        </w:rPr>
        <w:t xml:space="preserve"> pour refléter le régime des coûts d’administration adopté lors de la 66</w:t>
      </w:r>
      <w:r w:rsidRPr="002009D7">
        <w:rPr>
          <w:vertAlign w:val="superscript"/>
          <w:lang w:val="fr-FR"/>
        </w:rPr>
        <w:t>e</w:t>
      </w:r>
      <w:r w:rsidR="004A3B9C">
        <w:rPr>
          <w:lang w:val="fr-FR"/>
        </w:rPr>
        <w:t> </w:t>
      </w:r>
      <w:r w:rsidRPr="002009D7">
        <w:rPr>
          <w:lang w:val="fr-FR"/>
        </w:rPr>
        <w:t>réunion</w:t>
      </w:r>
      <w:r w:rsidR="004A3B9C">
        <w:rPr>
          <w:lang w:val="fr-FR"/>
        </w:rPr>
        <w:t> </w:t>
      </w:r>
      <w:r w:rsidRPr="002009D7">
        <w:rPr>
          <w:lang w:val="fr-FR"/>
        </w:rPr>
        <w:t>;</w:t>
      </w:r>
      <w:r w:rsidRPr="002009D7">
        <w:rPr>
          <w:rStyle w:val="FootnoteReference"/>
          <w:lang w:val="fr-FR"/>
        </w:rPr>
        <w:footnoteReference w:id="7"/>
      </w:r>
      <w:r w:rsidRPr="002009D7">
        <w:rPr>
          <w:lang w:val="fr-FR"/>
        </w:rPr>
        <w:t xml:space="preserve"> et </w:t>
      </w:r>
    </w:p>
    <w:p w14:paraId="56D0CCF8" w14:textId="1DF0B90B" w:rsidR="00480052" w:rsidRPr="002009D7" w:rsidRDefault="004024AB" w:rsidP="00480052">
      <w:pPr>
        <w:pStyle w:val="Heading2"/>
        <w:numPr>
          <w:ilvl w:val="1"/>
          <w:numId w:val="1"/>
        </w:numPr>
        <w:tabs>
          <w:tab w:val="clear" w:pos="0"/>
        </w:tabs>
        <w:rPr>
          <w:lang w:val="fr-FR"/>
        </w:rPr>
      </w:pPr>
      <w:r>
        <w:rPr>
          <w:lang w:val="fr-FR"/>
        </w:rPr>
        <w:t>Dans</w:t>
      </w:r>
      <w:r w:rsidR="00480052" w:rsidRPr="002009D7">
        <w:rPr>
          <w:lang w:val="fr-FR"/>
        </w:rPr>
        <w:t xml:space="preserve"> l’Annexe</w:t>
      </w:r>
      <w:r w:rsidR="004A3B9C">
        <w:rPr>
          <w:lang w:val="fr-FR"/>
        </w:rPr>
        <w:t> </w:t>
      </w:r>
      <w:r w:rsidR="00480052" w:rsidRPr="002009D7">
        <w:rPr>
          <w:lang w:val="fr-FR"/>
        </w:rPr>
        <w:t>7-A, la diminution du financement en raison du manquement à se conformer sera mise à jour à la valeur appliquée à tous les pays à faible volume (soit 180</w:t>
      </w:r>
      <w:r w:rsidR="004A3B9C">
        <w:rPr>
          <w:lang w:val="fr-FR"/>
        </w:rPr>
        <w:t> </w:t>
      </w:r>
      <w:r w:rsidR="00480052" w:rsidRPr="002009D7">
        <w:rPr>
          <w:lang w:val="fr-FR"/>
        </w:rPr>
        <w:t>$</w:t>
      </w:r>
      <w:r w:rsidR="00596612">
        <w:rPr>
          <w:lang w:val="fr-FR"/>
        </w:rPr>
        <w:t> </w:t>
      </w:r>
      <w:r w:rsidR="00480052" w:rsidRPr="002009D7">
        <w:rPr>
          <w:lang w:val="fr-FR"/>
        </w:rPr>
        <w:t>US/kg).</w:t>
      </w:r>
    </w:p>
    <w:p w14:paraId="235434EA" w14:textId="7627C496" w:rsidR="00480052" w:rsidRPr="002009D7" w:rsidRDefault="00480052" w:rsidP="00480052">
      <w:pPr>
        <w:pStyle w:val="Heading1"/>
        <w:tabs>
          <w:tab w:val="clear" w:pos="0"/>
        </w:tabs>
        <w:rPr>
          <w:lang w:val="fr-FR"/>
        </w:rPr>
      </w:pPr>
      <w:r w:rsidRPr="002009D7">
        <w:rPr>
          <w:lang w:val="fr-FR"/>
        </w:rPr>
        <w:t>L’Annexe I du présent document présente les mises à jour susnommées dans le paragraphe</w:t>
      </w:r>
      <w:r w:rsidR="004A3B9C">
        <w:rPr>
          <w:lang w:val="fr-FR"/>
        </w:rPr>
        <w:t> </w:t>
      </w:r>
      <w:r w:rsidRPr="002009D7">
        <w:rPr>
          <w:lang w:val="fr-FR"/>
        </w:rPr>
        <w:t xml:space="preserve">26 </w:t>
      </w:r>
      <w:r w:rsidR="004024AB">
        <w:rPr>
          <w:lang w:val="fr-FR"/>
        </w:rPr>
        <w:t xml:space="preserve">et inclut aussi </w:t>
      </w:r>
      <w:r w:rsidRPr="002009D7">
        <w:rPr>
          <w:lang w:val="fr-FR"/>
        </w:rPr>
        <w:t>un nouveau paragraphe</w:t>
      </w:r>
      <w:r w:rsidR="004A3B9C">
        <w:rPr>
          <w:lang w:val="fr-FR"/>
        </w:rPr>
        <w:t> </w:t>
      </w:r>
      <w:r w:rsidRPr="002009D7">
        <w:rPr>
          <w:lang w:val="fr-FR"/>
        </w:rPr>
        <w:t xml:space="preserve">16 ajouté à l’Accord qui </w:t>
      </w:r>
      <w:r w:rsidR="004024AB">
        <w:rPr>
          <w:lang w:val="fr-FR"/>
        </w:rPr>
        <w:t xml:space="preserve">stipule que l’Accord révisé </w:t>
      </w:r>
      <w:r w:rsidRPr="002009D7">
        <w:rPr>
          <w:lang w:val="fr-FR"/>
        </w:rPr>
        <w:t xml:space="preserve">annule et remplace L’Accord </w:t>
      </w:r>
      <w:r w:rsidR="004024AB">
        <w:rPr>
          <w:lang w:val="fr-FR"/>
        </w:rPr>
        <w:t>conclu entre le gouvernement et le Comité exécutif lors de la 66</w:t>
      </w:r>
      <w:r w:rsidR="004024AB" w:rsidRPr="004024AB">
        <w:rPr>
          <w:vertAlign w:val="superscript"/>
          <w:lang w:val="fr-FR"/>
        </w:rPr>
        <w:t>e</w:t>
      </w:r>
      <w:r w:rsidR="009B2824">
        <w:rPr>
          <w:lang w:val="fr-FR"/>
        </w:rPr>
        <w:t> </w:t>
      </w:r>
      <w:r w:rsidR="004024AB">
        <w:rPr>
          <w:lang w:val="fr-FR"/>
        </w:rPr>
        <w:t xml:space="preserve">réunion. L’Accord </w:t>
      </w:r>
      <w:r w:rsidRPr="002009D7">
        <w:rPr>
          <w:lang w:val="fr-FR"/>
        </w:rPr>
        <w:t>révisé complet sera ajouté au rapport final de la 85</w:t>
      </w:r>
      <w:r w:rsidRPr="002009D7">
        <w:rPr>
          <w:vertAlign w:val="superscript"/>
          <w:lang w:val="fr-FR"/>
        </w:rPr>
        <w:t>e</w:t>
      </w:r>
      <w:r w:rsidR="004A3B9C">
        <w:rPr>
          <w:lang w:val="fr-FR"/>
        </w:rPr>
        <w:t> </w:t>
      </w:r>
      <w:r w:rsidRPr="002009D7">
        <w:rPr>
          <w:lang w:val="fr-FR"/>
        </w:rPr>
        <w:t>réunion.</w:t>
      </w:r>
    </w:p>
    <w:p w14:paraId="707EC148" w14:textId="77777777" w:rsidR="00480052" w:rsidRPr="002009D7" w:rsidRDefault="00480052" w:rsidP="00480052">
      <w:pPr>
        <w:pStyle w:val="Heading1"/>
        <w:numPr>
          <w:ilvl w:val="0"/>
          <w:numId w:val="0"/>
        </w:numPr>
        <w:rPr>
          <w:u w:val="single"/>
          <w:lang w:val="fr-FR"/>
        </w:rPr>
      </w:pPr>
      <w:r w:rsidRPr="002009D7">
        <w:rPr>
          <w:u w:val="single"/>
          <w:lang w:val="fr-FR"/>
        </w:rPr>
        <w:t xml:space="preserve">Pérennité de l’élimination des HCFC </w:t>
      </w:r>
    </w:p>
    <w:p w14:paraId="49C9E3E9" w14:textId="425C6304" w:rsidR="00480052" w:rsidRPr="002009D7" w:rsidRDefault="00480052" w:rsidP="00480052">
      <w:pPr>
        <w:pStyle w:val="Heading1"/>
        <w:tabs>
          <w:tab w:val="clear" w:pos="0"/>
        </w:tabs>
        <w:rPr>
          <w:lang w:val="fr-FR"/>
        </w:rPr>
      </w:pPr>
      <w:r w:rsidRPr="002009D7">
        <w:rPr>
          <w:lang w:val="fr-FR"/>
        </w:rPr>
        <w:t>Pour assurer la pérennité dans le temps des activités du PGEH, l’UNO travailler</w:t>
      </w:r>
      <w:r w:rsidR="004024AB">
        <w:rPr>
          <w:lang w:val="fr-FR"/>
        </w:rPr>
        <w:t>a</w:t>
      </w:r>
      <w:r w:rsidRPr="002009D7">
        <w:rPr>
          <w:lang w:val="fr-FR"/>
        </w:rPr>
        <w:t xml:space="preserve"> avec les principales écoles de formation en réfrigération et climatisation pour inclure dans leur programme les bonnes pratiques de réfrigération et l’utilisation en sécurité de frigorigènes inflammables ou toxiques. La formation des techniciens frigoristes combiné</w:t>
      </w:r>
      <w:r w:rsidR="004A3B9C">
        <w:rPr>
          <w:lang w:val="fr-FR"/>
        </w:rPr>
        <w:t>e</w:t>
      </w:r>
      <w:r w:rsidRPr="002009D7">
        <w:rPr>
          <w:lang w:val="fr-FR"/>
        </w:rPr>
        <w:t xml:space="preserve"> avec l’utilisation d’équipements et d’outils qui seront fournis permettra la récupération et la réutilisation des frigorigènes ainsi que la réduction des fuites de frigorigènes durant la maintenance et la réparation des équipements de réfrigération et de climatisation, réduisant ainsi la consommation de HCFC-22 et </w:t>
      </w:r>
      <w:r w:rsidR="004024AB">
        <w:rPr>
          <w:lang w:val="fr-FR"/>
        </w:rPr>
        <w:t>permettant de gérer</w:t>
      </w:r>
      <w:r w:rsidRPr="002009D7">
        <w:rPr>
          <w:lang w:val="fr-FR"/>
        </w:rPr>
        <w:t xml:space="preserve"> en sécurité </w:t>
      </w:r>
      <w:r w:rsidR="004024AB">
        <w:rPr>
          <w:lang w:val="fr-FR"/>
        </w:rPr>
        <w:t>l</w:t>
      </w:r>
      <w:r w:rsidRPr="002009D7">
        <w:rPr>
          <w:lang w:val="fr-FR"/>
        </w:rPr>
        <w:t>es frigorigènes alternatifs. Bien que la situation actuelle du secteur de la réfrigération et de la climatisation dans le pays ne permette pas pour le moment l’établissement d’un programme de certification, le gouvernement continuera à renforcer les instituts de formation, les centres d’excellence en réfrigération du pays et l’association de techniciens en climatisation.</w:t>
      </w:r>
    </w:p>
    <w:p w14:paraId="61394C1E" w14:textId="77777777" w:rsidR="00480052" w:rsidRPr="002009D7" w:rsidRDefault="00480052" w:rsidP="00480052">
      <w:pPr>
        <w:keepNext/>
        <w:rPr>
          <w:u w:val="single"/>
          <w:lang w:val="fr-FR"/>
        </w:rPr>
      </w:pPr>
      <w:r w:rsidRPr="002009D7">
        <w:rPr>
          <w:u w:val="single"/>
          <w:lang w:val="fr-FR"/>
        </w:rPr>
        <w:t>Mise en œuvre d</w:t>
      </w:r>
      <w:r w:rsidR="004A3B9C">
        <w:rPr>
          <w:u w:val="single"/>
          <w:lang w:val="fr-FR"/>
        </w:rPr>
        <w:t>’</w:t>
      </w:r>
      <w:r w:rsidRPr="002009D7">
        <w:rPr>
          <w:u w:val="single"/>
          <w:lang w:val="fr-FR"/>
        </w:rPr>
        <w:t>une politique en faveur de l’égalité des sexes</w:t>
      </w:r>
      <w:r w:rsidRPr="002009D7">
        <w:rPr>
          <w:rStyle w:val="FootnoteReference"/>
          <w:u w:val="single"/>
          <w:lang w:val="fr-FR"/>
        </w:rPr>
        <w:footnoteReference w:id="8"/>
      </w:r>
    </w:p>
    <w:p w14:paraId="6E29F902" w14:textId="77777777" w:rsidR="00480052" w:rsidRPr="002009D7" w:rsidRDefault="00480052" w:rsidP="00480052">
      <w:pPr>
        <w:keepNext/>
        <w:rPr>
          <w:u w:val="single"/>
          <w:lang w:val="fr-FR"/>
        </w:rPr>
      </w:pPr>
    </w:p>
    <w:p w14:paraId="5B42A0F6" w14:textId="77777777" w:rsidR="00480052" w:rsidRPr="002009D7" w:rsidRDefault="00480052" w:rsidP="00480052">
      <w:pPr>
        <w:pStyle w:val="Heading1"/>
        <w:tabs>
          <w:tab w:val="clear" w:pos="0"/>
        </w:tabs>
        <w:rPr>
          <w:bCs/>
          <w:szCs w:val="20"/>
          <w:lang w:val="fr-FR"/>
        </w:rPr>
      </w:pPr>
      <w:r w:rsidRPr="002009D7">
        <w:rPr>
          <w:lang w:val="fr-FR"/>
        </w:rPr>
        <w:t>Concernant la mise en œuvre de la gendérisation, l’UNO commencera lors de la phase I à promouvoir la participation des femmes aux ateliers de formation et à sensibiliser les parties prenantes à favoriser des environnements de travail non discriminatoire. Ce travail continuera dans le cadre de la phase</w:t>
      </w:r>
      <w:r w:rsidR="004A3B9C">
        <w:rPr>
          <w:lang w:val="fr-FR"/>
        </w:rPr>
        <w:t> </w:t>
      </w:r>
      <w:r w:rsidRPr="002009D7">
        <w:rPr>
          <w:lang w:val="fr-FR"/>
        </w:rPr>
        <w:t>II du PGEH.</w:t>
      </w:r>
    </w:p>
    <w:p w14:paraId="2625D21D" w14:textId="77777777" w:rsidR="00480052" w:rsidRPr="002009D7" w:rsidRDefault="00480052" w:rsidP="00480052">
      <w:pPr>
        <w:rPr>
          <w:u w:val="single"/>
          <w:lang w:val="fr-FR"/>
        </w:rPr>
      </w:pPr>
      <w:r w:rsidRPr="002009D7">
        <w:rPr>
          <w:u w:val="single"/>
          <w:lang w:val="fr-FR"/>
        </w:rPr>
        <w:t xml:space="preserve">Conclusion </w:t>
      </w:r>
    </w:p>
    <w:p w14:paraId="13FA66B9" w14:textId="77777777" w:rsidR="00480052" w:rsidRPr="002009D7" w:rsidRDefault="00480052" w:rsidP="00480052">
      <w:pPr>
        <w:rPr>
          <w:lang w:val="fr-FR"/>
        </w:rPr>
      </w:pPr>
    </w:p>
    <w:p w14:paraId="084385ED" w14:textId="2F0E3293" w:rsidR="00480052" w:rsidRPr="002009D7" w:rsidRDefault="00480052" w:rsidP="00480052">
      <w:pPr>
        <w:pStyle w:val="Heading1"/>
        <w:tabs>
          <w:tab w:val="clear" w:pos="0"/>
        </w:tabs>
        <w:rPr>
          <w:lang w:val="fr-FR"/>
        </w:rPr>
      </w:pPr>
      <w:r w:rsidRPr="002009D7">
        <w:rPr>
          <w:lang w:val="fr-FR"/>
        </w:rPr>
        <w:t>La consommation de HCFC de la Guinée en 2019 a été de 1,92</w:t>
      </w:r>
      <w:r w:rsidR="004A3B9C">
        <w:rPr>
          <w:lang w:val="fr-FR"/>
        </w:rPr>
        <w:t> </w:t>
      </w:r>
      <w:r w:rsidRPr="002009D7">
        <w:rPr>
          <w:lang w:val="fr-FR"/>
        </w:rPr>
        <w:t>tonne PAO, ce qui est 72</w:t>
      </w:r>
      <w:r w:rsidR="004A3B9C">
        <w:rPr>
          <w:lang w:val="fr-FR"/>
        </w:rPr>
        <w:t> </w:t>
      </w:r>
      <w:r w:rsidR="007B7BB5">
        <w:rPr>
          <w:lang w:val="fr-FR"/>
        </w:rPr>
        <w:t>pour cent</w:t>
      </w:r>
      <w:r w:rsidRPr="002009D7">
        <w:rPr>
          <w:lang w:val="fr-FR"/>
        </w:rPr>
        <w:t xml:space="preserve"> inférieur à la consommation admissible en 2019 de 6,75</w:t>
      </w:r>
      <w:r w:rsidR="004A3B9C">
        <w:rPr>
          <w:lang w:val="fr-FR"/>
        </w:rPr>
        <w:t> </w:t>
      </w:r>
      <w:r w:rsidRPr="002009D7">
        <w:rPr>
          <w:lang w:val="fr-FR"/>
        </w:rPr>
        <w:t xml:space="preserve">tonnes PAO. Le gouvernement de </w:t>
      </w:r>
      <w:r w:rsidR="00E41724">
        <w:rPr>
          <w:lang w:val="fr-FR"/>
        </w:rPr>
        <w:t xml:space="preserve">la </w:t>
      </w:r>
      <w:r w:rsidRPr="002009D7">
        <w:rPr>
          <w:lang w:val="fr-FR"/>
        </w:rPr>
        <w:t>Guinée a établi un système de quotas et d’octroi de permis pour le contrôle des importations et exportations de HCFC qui a joué un rôle déterminant dans le contrôle des importations de HCFC dans le pays. Le niveau de financement et la stratégie de la phase I du PGEH ont été ajusté</w:t>
      </w:r>
      <w:r w:rsidR="004A3B9C">
        <w:rPr>
          <w:lang w:val="fr-FR"/>
        </w:rPr>
        <w:t>s</w:t>
      </w:r>
      <w:r w:rsidRPr="002009D7">
        <w:rPr>
          <w:lang w:val="fr-FR"/>
        </w:rPr>
        <w:t xml:space="preserve"> pour refléter un point de départ revu qui reflète précisément le niveau de consommation de HCFC dans le pays. Après un retard causé par diverses raisons externes</w:t>
      </w:r>
      <w:r w:rsidR="000464EF">
        <w:rPr>
          <w:lang w:val="fr-FR"/>
        </w:rPr>
        <w:t>,</w:t>
      </w:r>
      <w:r w:rsidRPr="002009D7">
        <w:rPr>
          <w:lang w:val="fr-FR"/>
        </w:rPr>
        <w:t xml:space="preserve"> incluant une instabilité politique et l</w:t>
      </w:r>
      <w:r w:rsidR="00B63AD0">
        <w:rPr>
          <w:lang w:val="fr-FR"/>
        </w:rPr>
        <w:t>’épidémie</w:t>
      </w:r>
      <w:r w:rsidRPr="002009D7">
        <w:rPr>
          <w:lang w:val="fr-FR"/>
        </w:rPr>
        <w:t xml:space="preserve"> de maladie à virus Ebola qui a sévi il y a plusieurs années ainsi que des changements de personnel </w:t>
      </w:r>
      <w:r w:rsidR="000464EF">
        <w:rPr>
          <w:lang w:val="fr-FR"/>
        </w:rPr>
        <w:t xml:space="preserve">au sein de </w:t>
      </w:r>
      <w:r w:rsidRPr="002009D7">
        <w:rPr>
          <w:lang w:val="fr-FR"/>
        </w:rPr>
        <w:t xml:space="preserve">l’UNO, l’UNO est entièrement </w:t>
      </w:r>
      <w:r w:rsidRPr="002009D7">
        <w:rPr>
          <w:lang w:val="fr-FR"/>
        </w:rPr>
        <w:lastRenderedPageBreak/>
        <w:t>opérationnel</w:t>
      </w:r>
      <w:r w:rsidR="004A3B9C">
        <w:rPr>
          <w:lang w:val="fr-FR"/>
        </w:rPr>
        <w:t>le</w:t>
      </w:r>
      <w:r w:rsidRPr="002009D7">
        <w:rPr>
          <w:lang w:val="fr-FR"/>
        </w:rPr>
        <w:t>, les agents des douanes et de la force publique continue</w:t>
      </w:r>
      <w:r w:rsidR="004A3B9C">
        <w:rPr>
          <w:lang w:val="fr-FR"/>
        </w:rPr>
        <w:t>nt</w:t>
      </w:r>
      <w:r w:rsidRPr="002009D7">
        <w:rPr>
          <w:lang w:val="fr-FR"/>
        </w:rPr>
        <w:t xml:space="preserve"> à être formé</w:t>
      </w:r>
      <w:r w:rsidR="004A3B9C">
        <w:rPr>
          <w:lang w:val="fr-FR"/>
        </w:rPr>
        <w:t>s</w:t>
      </w:r>
      <w:r w:rsidRPr="002009D7">
        <w:rPr>
          <w:lang w:val="fr-FR"/>
        </w:rPr>
        <w:t>, ainsi que les techniciens d’entretien, et les centres d’excellence et les principales écoles de formation en réfrigération et climatisation ont été renforcé</w:t>
      </w:r>
      <w:r w:rsidR="004A3B9C">
        <w:rPr>
          <w:lang w:val="fr-FR"/>
        </w:rPr>
        <w:t>s</w:t>
      </w:r>
      <w:r w:rsidRPr="002009D7">
        <w:rPr>
          <w:lang w:val="fr-FR"/>
        </w:rPr>
        <w:t xml:space="preserve">. Le projet a </w:t>
      </w:r>
      <w:r w:rsidR="000464EF">
        <w:rPr>
          <w:lang w:val="fr-FR"/>
        </w:rPr>
        <w:t>déclaré</w:t>
      </w:r>
      <w:r w:rsidRPr="002009D7">
        <w:rPr>
          <w:lang w:val="fr-FR"/>
        </w:rPr>
        <w:t xml:space="preserve"> que 100</w:t>
      </w:r>
      <w:r w:rsidR="004A3B9C">
        <w:rPr>
          <w:lang w:val="fr-FR"/>
        </w:rPr>
        <w:t> </w:t>
      </w:r>
      <w:r w:rsidR="007B7BB5">
        <w:rPr>
          <w:lang w:val="fr-FR"/>
        </w:rPr>
        <w:t>pour cent</w:t>
      </w:r>
      <w:r w:rsidRPr="002009D7">
        <w:rPr>
          <w:lang w:val="fr-FR"/>
        </w:rPr>
        <w:t xml:space="preserve"> des fonds ont été décaissés dans le cadre des tranches approuvées précédemment et que l’approbation de la troisième tranche va maintenir sur leur lancée toutes les activités en cours. La phase I du PGEH sera étendu</w:t>
      </w:r>
      <w:r w:rsidR="004A3B9C">
        <w:rPr>
          <w:lang w:val="fr-FR"/>
        </w:rPr>
        <w:t>e</w:t>
      </w:r>
      <w:r w:rsidRPr="002009D7">
        <w:rPr>
          <w:lang w:val="fr-FR"/>
        </w:rPr>
        <w:t xml:space="preserve"> de sept mois jusqu’à juillet 2022</w:t>
      </w:r>
      <w:r w:rsidR="000464EF">
        <w:rPr>
          <w:lang w:val="fr-FR"/>
        </w:rPr>
        <w:t>,</w:t>
      </w:r>
      <w:r w:rsidRPr="002009D7">
        <w:rPr>
          <w:lang w:val="fr-FR"/>
        </w:rPr>
        <w:t xml:space="preserve"> étant entendu que la demande pour la phase</w:t>
      </w:r>
      <w:r w:rsidR="004A3B9C">
        <w:rPr>
          <w:lang w:val="fr-FR"/>
        </w:rPr>
        <w:t> </w:t>
      </w:r>
      <w:r w:rsidRPr="002009D7">
        <w:rPr>
          <w:lang w:val="fr-FR"/>
        </w:rPr>
        <w:t>II du PGEH ne soit pas soumise avant 2022.</w:t>
      </w:r>
    </w:p>
    <w:p w14:paraId="217589D9" w14:textId="477E02CB" w:rsidR="00480052" w:rsidRPr="002009D7" w:rsidRDefault="00480052" w:rsidP="00480052">
      <w:pPr>
        <w:pStyle w:val="Heading1"/>
        <w:rPr>
          <w:lang w:val="fr-FR"/>
        </w:rPr>
      </w:pPr>
      <w:r w:rsidRPr="002009D7">
        <w:rPr>
          <w:lang w:val="fr-FR"/>
        </w:rPr>
        <w:t xml:space="preserve">Le Secrétariat soumet une demande pour la troisième et dernière tranche du PGEH de la Guinée pour examen individuel en prenant en compte les modifications </w:t>
      </w:r>
      <w:r w:rsidR="000464EF">
        <w:rPr>
          <w:lang w:val="fr-FR"/>
        </w:rPr>
        <w:t xml:space="preserve">apportées </w:t>
      </w:r>
      <w:r w:rsidRPr="002009D7">
        <w:rPr>
          <w:lang w:val="fr-FR"/>
        </w:rPr>
        <w:t xml:space="preserve">à l’Accord entre le gouvernement et le Comité exécutif, à savoir l’ajustement du point de départ pour la réduction globale de la consommation de HCFC, l’ajustement des niveaux globaux de financement, l’annulation </w:t>
      </w:r>
      <w:r w:rsidR="007B7BB5" w:rsidRPr="002009D7">
        <w:rPr>
          <w:lang w:val="fr-FR"/>
        </w:rPr>
        <w:t>des quatrièmes et cinquièmes tranches</w:t>
      </w:r>
      <w:r w:rsidRPr="002009D7">
        <w:rPr>
          <w:lang w:val="fr-FR"/>
        </w:rPr>
        <w:t xml:space="preserve"> ainsi que l’extension de la date de finalisation à juillet 2022. Le Secrétariat a pris note que les modifications proposées à la phase I du PGEH ont été entièrement </w:t>
      </w:r>
      <w:r w:rsidR="000464EF">
        <w:rPr>
          <w:lang w:val="fr-FR"/>
        </w:rPr>
        <w:t>approuvées avec</w:t>
      </w:r>
      <w:r w:rsidRPr="002009D7">
        <w:rPr>
          <w:lang w:val="fr-FR"/>
        </w:rPr>
        <w:t xml:space="preserve"> le PNUE, agence d’exécution principale, et que toutes les problématiques techniques et de coûts ont été résolues de manière satisfaisante. La mise en œuvre de la troisième tranche du PGEH, tel que révisé, permettra au gouvernement de la Guinée de finaliser les activités prévues dans le cadre de la phase I.</w:t>
      </w:r>
    </w:p>
    <w:p w14:paraId="35361EE0" w14:textId="77777777" w:rsidR="00480052" w:rsidRPr="002009D7" w:rsidRDefault="00480052" w:rsidP="00480052">
      <w:pPr>
        <w:pStyle w:val="Heading1"/>
        <w:keepNext/>
        <w:numPr>
          <w:ilvl w:val="0"/>
          <w:numId w:val="0"/>
        </w:numPr>
        <w:rPr>
          <w:b/>
          <w:color w:val="000000" w:themeColor="text1"/>
          <w:lang w:val="fr-FR"/>
        </w:rPr>
      </w:pPr>
      <w:r w:rsidRPr="002009D7">
        <w:rPr>
          <w:b/>
          <w:lang w:val="fr-FR"/>
        </w:rPr>
        <w:t>RECOMMANDATION</w:t>
      </w:r>
    </w:p>
    <w:p w14:paraId="784B576E" w14:textId="77777777" w:rsidR="00480052" w:rsidRPr="002009D7" w:rsidRDefault="00480052" w:rsidP="00480052">
      <w:pPr>
        <w:pStyle w:val="Heading1"/>
        <w:keepNext/>
        <w:tabs>
          <w:tab w:val="clear" w:pos="0"/>
        </w:tabs>
        <w:rPr>
          <w:color w:val="000000" w:themeColor="text1"/>
          <w:lang w:val="fr-FR"/>
        </w:rPr>
      </w:pPr>
      <w:r w:rsidRPr="002009D7">
        <w:rPr>
          <w:color w:val="000000" w:themeColor="text1"/>
          <w:lang w:val="fr-FR"/>
        </w:rPr>
        <w:t>Le Comité exécutif pourrait envisager</w:t>
      </w:r>
      <w:r w:rsidR="004A3B9C">
        <w:rPr>
          <w:color w:val="000000" w:themeColor="text1"/>
          <w:lang w:val="fr-FR"/>
        </w:rPr>
        <w:t> </w:t>
      </w:r>
      <w:r w:rsidRPr="002009D7">
        <w:rPr>
          <w:color w:val="000000" w:themeColor="text1"/>
          <w:lang w:val="fr-FR"/>
        </w:rPr>
        <w:t xml:space="preserve">: </w:t>
      </w:r>
    </w:p>
    <w:p w14:paraId="7D6611EA" w14:textId="1FD181AF" w:rsidR="00480052" w:rsidRPr="002009D7" w:rsidRDefault="00480052" w:rsidP="00480052">
      <w:pPr>
        <w:pStyle w:val="Heading2"/>
        <w:keepNext/>
        <w:widowControl/>
        <w:numPr>
          <w:ilvl w:val="1"/>
          <w:numId w:val="1"/>
        </w:numPr>
        <w:tabs>
          <w:tab w:val="clear" w:pos="0"/>
        </w:tabs>
        <w:rPr>
          <w:color w:val="000000" w:themeColor="text1"/>
          <w:lang w:val="fr-FR"/>
        </w:rPr>
      </w:pPr>
      <w:r w:rsidRPr="002009D7">
        <w:rPr>
          <w:color w:val="000000" w:themeColor="text1"/>
          <w:lang w:val="fr-FR"/>
        </w:rPr>
        <w:t xml:space="preserve">De </w:t>
      </w:r>
      <w:r w:rsidR="000464EF">
        <w:rPr>
          <w:color w:val="000000" w:themeColor="text1"/>
          <w:lang w:val="fr-FR"/>
        </w:rPr>
        <w:t>prendre note</w:t>
      </w:r>
      <w:r w:rsidR="004A3B9C">
        <w:rPr>
          <w:color w:val="000000" w:themeColor="text1"/>
          <w:lang w:val="fr-FR"/>
        </w:rPr>
        <w:t> </w:t>
      </w:r>
      <w:r w:rsidRPr="002009D7">
        <w:rPr>
          <w:color w:val="000000" w:themeColor="text1"/>
          <w:lang w:val="fr-FR"/>
        </w:rPr>
        <w:t xml:space="preserve">:  </w:t>
      </w:r>
    </w:p>
    <w:p w14:paraId="4FCA410F" w14:textId="2533F371" w:rsidR="00480052" w:rsidRPr="002009D7" w:rsidRDefault="00693B34" w:rsidP="00480052">
      <w:pPr>
        <w:pStyle w:val="Heading3"/>
        <w:numPr>
          <w:ilvl w:val="2"/>
          <w:numId w:val="1"/>
        </w:numPr>
        <w:tabs>
          <w:tab w:val="clear" w:pos="0"/>
        </w:tabs>
        <w:rPr>
          <w:lang w:val="fr-FR"/>
        </w:rPr>
      </w:pPr>
      <w:r>
        <w:rPr>
          <w:lang w:val="fr-FR"/>
        </w:rPr>
        <w:t>Du</w:t>
      </w:r>
      <w:r w:rsidR="00480052" w:rsidRPr="002009D7">
        <w:rPr>
          <w:lang w:val="fr-FR"/>
        </w:rPr>
        <w:t xml:space="preserve"> rapport périodique de la mise en œuvre de la deuxième tranche de la phase I du plan de gestion de l’élimination du HCFC (PGEH) pour la Guinée</w:t>
      </w:r>
      <w:r w:rsidR="004A3B9C">
        <w:rPr>
          <w:lang w:val="fr-FR"/>
        </w:rPr>
        <w:t> </w:t>
      </w:r>
      <w:r w:rsidR="00480052" w:rsidRPr="002009D7">
        <w:rPr>
          <w:lang w:val="fr-FR"/>
        </w:rPr>
        <w:t xml:space="preserve">;  </w:t>
      </w:r>
    </w:p>
    <w:p w14:paraId="1D2EAA74" w14:textId="3CD8FB66" w:rsidR="00480052" w:rsidRPr="002009D7" w:rsidRDefault="00693B34" w:rsidP="00480052">
      <w:pPr>
        <w:pStyle w:val="Heading3"/>
        <w:numPr>
          <w:ilvl w:val="2"/>
          <w:numId w:val="1"/>
        </w:numPr>
        <w:tabs>
          <w:tab w:val="clear" w:pos="0"/>
        </w:tabs>
        <w:rPr>
          <w:lang w:val="fr-FR"/>
        </w:rPr>
      </w:pPr>
      <w:r w:rsidRPr="002009D7">
        <w:rPr>
          <w:lang w:val="fr-FR"/>
        </w:rPr>
        <w:t>Que</w:t>
      </w:r>
      <w:r w:rsidR="00480052" w:rsidRPr="002009D7">
        <w:rPr>
          <w:lang w:val="fr-FR"/>
        </w:rPr>
        <w:t xml:space="preserve"> le Secrétariat du fonds </w:t>
      </w:r>
      <w:proofErr w:type="gramStart"/>
      <w:r w:rsidR="00480052" w:rsidRPr="002009D7">
        <w:rPr>
          <w:lang w:val="fr-FR"/>
        </w:rPr>
        <w:t>a</w:t>
      </w:r>
      <w:proofErr w:type="gramEnd"/>
      <w:r w:rsidR="00480052" w:rsidRPr="002009D7">
        <w:rPr>
          <w:lang w:val="fr-FR"/>
        </w:rPr>
        <w:t xml:space="preserve"> mise à jour le paragraphe</w:t>
      </w:r>
      <w:r w:rsidR="004A3B9C">
        <w:rPr>
          <w:lang w:val="fr-FR"/>
        </w:rPr>
        <w:t> </w:t>
      </w:r>
      <w:r w:rsidR="00480052" w:rsidRPr="002009D7">
        <w:rPr>
          <w:lang w:val="fr-FR"/>
        </w:rPr>
        <w:t>1, les appendices</w:t>
      </w:r>
      <w:r w:rsidR="004A3B9C">
        <w:rPr>
          <w:lang w:val="fr-FR"/>
        </w:rPr>
        <w:t> </w:t>
      </w:r>
      <w:r w:rsidR="00480052" w:rsidRPr="002009D7">
        <w:rPr>
          <w:lang w:val="fr-FR"/>
        </w:rPr>
        <w:t>1-A, 2-A et 7-A de l’Accord entre le gouvernement de la Guinée et le Comité exécutif, en se basant sur le point de départ révisé et le financement établi et qu</w:t>
      </w:r>
      <w:r w:rsidR="004A3B9C">
        <w:rPr>
          <w:lang w:val="fr-FR"/>
        </w:rPr>
        <w:t>’</w:t>
      </w:r>
      <w:r w:rsidR="00480052" w:rsidRPr="002009D7">
        <w:rPr>
          <w:lang w:val="fr-FR"/>
        </w:rPr>
        <w:t>un nouveau paragraphe</w:t>
      </w:r>
      <w:r w:rsidR="004A3B9C">
        <w:rPr>
          <w:lang w:val="fr-FR"/>
        </w:rPr>
        <w:t> </w:t>
      </w:r>
      <w:r w:rsidR="00480052" w:rsidRPr="002009D7">
        <w:rPr>
          <w:lang w:val="fr-FR"/>
        </w:rPr>
        <w:t xml:space="preserve">16 a été ajouté pour indiquer que l’Accord </w:t>
      </w:r>
      <w:r>
        <w:rPr>
          <w:lang w:val="fr-FR"/>
        </w:rPr>
        <w:t>révisé</w:t>
      </w:r>
      <w:r w:rsidR="00480052" w:rsidRPr="002009D7">
        <w:rPr>
          <w:lang w:val="fr-FR"/>
        </w:rPr>
        <w:t xml:space="preserve"> </w:t>
      </w:r>
      <w:r w:rsidR="00A664CB">
        <w:rPr>
          <w:lang w:val="fr-FR"/>
        </w:rPr>
        <w:t xml:space="preserve">annule et </w:t>
      </w:r>
      <w:r w:rsidR="00480052" w:rsidRPr="002009D7">
        <w:rPr>
          <w:lang w:val="fr-FR"/>
        </w:rPr>
        <w:t xml:space="preserve">remplace l’Accord </w:t>
      </w:r>
      <w:r w:rsidR="00CD0608">
        <w:rPr>
          <w:lang w:val="fr-FR"/>
        </w:rPr>
        <w:t>conclu</w:t>
      </w:r>
      <w:r w:rsidR="00480052" w:rsidRPr="002009D7">
        <w:rPr>
          <w:lang w:val="fr-FR"/>
        </w:rPr>
        <w:t xml:space="preserve"> lors de la 66</w:t>
      </w:r>
      <w:r w:rsidR="00480052" w:rsidRPr="00A664CB">
        <w:rPr>
          <w:vertAlign w:val="superscript"/>
          <w:lang w:val="fr-FR"/>
        </w:rPr>
        <w:t>e</w:t>
      </w:r>
      <w:r w:rsidR="004A3B9C">
        <w:rPr>
          <w:lang w:val="fr-FR"/>
        </w:rPr>
        <w:t> </w:t>
      </w:r>
      <w:r w:rsidR="00480052" w:rsidRPr="002009D7">
        <w:rPr>
          <w:lang w:val="fr-FR"/>
        </w:rPr>
        <w:t>réunion, tel qu’il est dans l’Annexe</w:t>
      </w:r>
      <w:r w:rsidR="004A3B9C">
        <w:rPr>
          <w:lang w:val="fr-FR"/>
        </w:rPr>
        <w:t> </w:t>
      </w:r>
      <w:r w:rsidR="00480052" w:rsidRPr="002009D7">
        <w:rPr>
          <w:lang w:val="fr-FR"/>
        </w:rPr>
        <w:t>1 du présent document</w:t>
      </w:r>
      <w:r w:rsidR="004A3B9C">
        <w:rPr>
          <w:lang w:val="fr-FR"/>
        </w:rPr>
        <w:t> </w:t>
      </w:r>
      <w:r w:rsidR="00480052" w:rsidRPr="002009D7">
        <w:rPr>
          <w:lang w:val="fr-FR"/>
        </w:rPr>
        <w:t>;</w:t>
      </w:r>
    </w:p>
    <w:p w14:paraId="224DDAFE" w14:textId="58310FB0" w:rsidR="00480052" w:rsidRPr="002009D7" w:rsidRDefault="00693B34" w:rsidP="00480052">
      <w:pPr>
        <w:pStyle w:val="Heading3"/>
        <w:numPr>
          <w:ilvl w:val="2"/>
          <w:numId w:val="1"/>
        </w:numPr>
        <w:tabs>
          <w:tab w:val="clear" w:pos="0"/>
        </w:tabs>
        <w:rPr>
          <w:lang w:val="fr-FR"/>
        </w:rPr>
      </w:pPr>
      <w:r>
        <w:rPr>
          <w:lang w:val="fr-FR"/>
        </w:rPr>
        <w:t>Que le</w:t>
      </w:r>
      <w:r w:rsidR="00480052" w:rsidRPr="002009D7">
        <w:rPr>
          <w:lang w:val="fr-FR"/>
        </w:rPr>
        <w:t xml:space="preserve"> point de départ révisé pour une réduction globale </w:t>
      </w:r>
      <w:r>
        <w:rPr>
          <w:lang w:val="fr-FR"/>
        </w:rPr>
        <w:t>durable</w:t>
      </w:r>
      <w:r w:rsidR="00480052" w:rsidRPr="002009D7">
        <w:rPr>
          <w:lang w:val="fr-FR"/>
        </w:rPr>
        <w:t xml:space="preserve"> de la consommation de H</w:t>
      </w:r>
      <w:r>
        <w:rPr>
          <w:lang w:val="fr-FR"/>
        </w:rPr>
        <w:t>C</w:t>
      </w:r>
      <w:r w:rsidR="00480052" w:rsidRPr="002009D7">
        <w:rPr>
          <w:lang w:val="fr-FR"/>
        </w:rPr>
        <w:t xml:space="preserve">FC </w:t>
      </w:r>
      <w:r>
        <w:rPr>
          <w:lang w:val="fr-FR"/>
        </w:rPr>
        <w:t>est</w:t>
      </w:r>
      <w:r w:rsidR="00480052" w:rsidRPr="002009D7">
        <w:rPr>
          <w:lang w:val="fr-FR"/>
        </w:rPr>
        <w:t xml:space="preserve"> de 7,51</w:t>
      </w:r>
      <w:r w:rsidR="004A3B9C">
        <w:rPr>
          <w:lang w:val="fr-FR"/>
        </w:rPr>
        <w:t> </w:t>
      </w:r>
      <w:r w:rsidR="00480052" w:rsidRPr="002009D7">
        <w:rPr>
          <w:lang w:val="fr-FR"/>
        </w:rPr>
        <w:t>tonnes PAO, estimation basée sur la consommation historique inclus</w:t>
      </w:r>
      <w:r w:rsidR="004A3B9C">
        <w:rPr>
          <w:lang w:val="fr-FR"/>
        </w:rPr>
        <w:t>e</w:t>
      </w:r>
      <w:r w:rsidR="00480052" w:rsidRPr="002009D7">
        <w:rPr>
          <w:lang w:val="fr-FR"/>
        </w:rPr>
        <w:t xml:space="preserve"> dans le rapport de vérification soumis lors de la 85</w:t>
      </w:r>
      <w:r w:rsidR="00480052" w:rsidRPr="00693B34">
        <w:rPr>
          <w:vertAlign w:val="superscript"/>
          <w:lang w:val="fr-FR"/>
        </w:rPr>
        <w:t>e</w:t>
      </w:r>
      <w:r w:rsidR="004A3B9C">
        <w:rPr>
          <w:lang w:val="fr-FR"/>
        </w:rPr>
        <w:t> </w:t>
      </w:r>
      <w:r w:rsidR="00480052" w:rsidRPr="002009D7">
        <w:rPr>
          <w:lang w:val="fr-FR"/>
        </w:rPr>
        <w:t xml:space="preserve">réunion, que le niveau de financement révisé pour la phase I du PGEH pour la Guinée </w:t>
      </w:r>
      <w:r>
        <w:rPr>
          <w:lang w:val="fr-FR"/>
        </w:rPr>
        <w:t>est</w:t>
      </w:r>
      <w:r w:rsidR="00480052" w:rsidRPr="002009D7">
        <w:rPr>
          <w:lang w:val="fr-FR"/>
        </w:rPr>
        <w:t xml:space="preserve"> de 332</w:t>
      </w:r>
      <w:r w:rsidR="004A3B9C">
        <w:rPr>
          <w:lang w:val="fr-FR"/>
        </w:rPr>
        <w:t> </w:t>
      </w:r>
      <w:r w:rsidR="00480052" w:rsidRPr="002009D7">
        <w:rPr>
          <w:lang w:val="fr-FR"/>
        </w:rPr>
        <w:t>500</w:t>
      </w:r>
      <w:r w:rsidR="004A3B9C">
        <w:rPr>
          <w:lang w:val="fr-FR"/>
        </w:rPr>
        <w:t> </w:t>
      </w:r>
      <w:r w:rsidR="00480052" w:rsidRPr="002009D7">
        <w:rPr>
          <w:lang w:val="fr-FR"/>
        </w:rPr>
        <w:t>$ US plus les coûts d’appui d’agence, conformément à la décision</w:t>
      </w:r>
      <w:r w:rsidR="004A3B9C">
        <w:rPr>
          <w:lang w:val="fr-FR"/>
        </w:rPr>
        <w:t> </w:t>
      </w:r>
      <w:r w:rsidR="00480052" w:rsidRPr="002009D7">
        <w:rPr>
          <w:lang w:val="fr-FR"/>
        </w:rPr>
        <w:t>60/44(f)(xii) et qu</w:t>
      </w:r>
      <w:r w:rsidR="004A3B9C">
        <w:rPr>
          <w:lang w:val="fr-FR"/>
        </w:rPr>
        <w:t>’</w:t>
      </w:r>
      <w:r w:rsidR="00480052" w:rsidRPr="002009D7">
        <w:rPr>
          <w:lang w:val="fr-FR"/>
        </w:rPr>
        <w:t>une déduction de 117</w:t>
      </w:r>
      <w:r w:rsidR="004A3B9C">
        <w:rPr>
          <w:lang w:val="fr-FR"/>
        </w:rPr>
        <w:t> </w:t>
      </w:r>
      <w:r w:rsidR="00480052" w:rsidRPr="002009D7">
        <w:rPr>
          <w:lang w:val="fr-FR"/>
        </w:rPr>
        <w:t>000</w:t>
      </w:r>
      <w:r w:rsidR="004A3B9C">
        <w:rPr>
          <w:lang w:val="fr-FR"/>
        </w:rPr>
        <w:t> </w:t>
      </w:r>
      <w:r w:rsidR="00480052" w:rsidRPr="002009D7">
        <w:rPr>
          <w:lang w:val="fr-FR"/>
        </w:rPr>
        <w:t>$ US a été appliquée pour refléter l’annulation des quatrièmes et cinquièmes tranches de la phase I et qu’une déduction de 197</w:t>
      </w:r>
      <w:r w:rsidR="004A3B9C">
        <w:rPr>
          <w:lang w:val="fr-FR"/>
        </w:rPr>
        <w:t> </w:t>
      </w:r>
      <w:r w:rsidR="00480052" w:rsidRPr="002009D7">
        <w:rPr>
          <w:lang w:val="fr-FR"/>
        </w:rPr>
        <w:t>500</w:t>
      </w:r>
      <w:r w:rsidR="004A3B9C">
        <w:rPr>
          <w:lang w:val="fr-FR"/>
        </w:rPr>
        <w:t> </w:t>
      </w:r>
      <w:r w:rsidR="00480052" w:rsidRPr="002009D7">
        <w:rPr>
          <w:lang w:val="fr-FR"/>
        </w:rPr>
        <w:t>$ US sera appliquée lorsque la phase</w:t>
      </w:r>
      <w:r w:rsidR="004A3B9C">
        <w:rPr>
          <w:lang w:val="fr-FR"/>
        </w:rPr>
        <w:t> </w:t>
      </w:r>
      <w:r w:rsidR="00480052" w:rsidRPr="002009D7">
        <w:rPr>
          <w:lang w:val="fr-FR"/>
        </w:rPr>
        <w:t>II du PGEH sera approuvée</w:t>
      </w:r>
      <w:r w:rsidR="004A3B9C">
        <w:rPr>
          <w:lang w:val="fr-FR"/>
        </w:rPr>
        <w:t> </w:t>
      </w:r>
      <w:r w:rsidR="00480052" w:rsidRPr="002009D7">
        <w:rPr>
          <w:lang w:val="fr-FR"/>
        </w:rPr>
        <w:t>;</w:t>
      </w:r>
    </w:p>
    <w:p w14:paraId="1FD6F441" w14:textId="77777777" w:rsidR="00480052" w:rsidRPr="002009D7" w:rsidRDefault="00480052" w:rsidP="00480052">
      <w:pPr>
        <w:pStyle w:val="Heading2"/>
        <w:numPr>
          <w:ilvl w:val="1"/>
          <w:numId w:val="1"/>
        </w:numPr>
        <w:tabs>
          <w:tab w:val="clear" w:pos="0"/>
        </w:tabs>
        <w:rPr>
          <w:lang w:val="fr-FR"/>
        </w:rPr>
      </w:pPr>
      <w:r w:rsidRPr="002009D7">
        <w:rPr>
          <w:lang w:val="fr-FR"/>
        </w:rPr>
        <w:t>D’approuver</w:t>
      </w:r>
      <w:r w:rsidR="004A3B9C">
        <w:rPr>
          <w:lang w:val="fr-FR"/>
        </w:rPr>
        <w:t> </w:t>
      </w:r>
      <w:r w:rsidRPr="002009D7">
        <w:rPr>
          <w:lang w:val="fr-FR"/>
        </w:rPr>
        <w:t xml:space="preserve">: </w:t>
      </w:r>
    </w:p>
    <w:p w14:paraId="14651B03" w14:textId="77777777" w:rsidR="00480052" w:rsidRPr="002009D7" w:rsidRDefault="00480052" w:rsidP="00480052">
      <w:pPr>
        <w:pStyle w:val="Heading3"/>
        <w:numPr>
          <w:ilvl w:val="2"/>
          <w:numId w:val="1"/>
        </w:numPr>
        <w:tabs>
          <w:tab w:val="clear" w:pos="0"/>
        </w:tabs>
        <w:rPr>
          <w:lang w:val="fr-FR"/>
        </w:rPr>
      </w:pPr>
      <w:r w:rsidRPr="002009D7">
        <w:rPr>
          <w:lang w:val="fr-FR"/>
        </w:rPr>
        <w:t>L’extension de la phase I du PGEH jusqu</w:t>
      </w:r>
      <w:r w:rsidR="004A3B9C">
        <w:rPr>
          <w:lang w:val="fr-FR"/>
        </w:rPr>
        <w:t>’</w:t>
      </w:r>
      <w:r w:rsidRPr="002009D7">
        <w:rPr>
          <w:lang w:val="fr-FR"/>
        </w:rPr>
        <w:t>au 31</w:t>
      </w:r>
      <w:r w:rsidR="004A3B9C">
        <w:rPr>
          <w:lang w:val="fr-FR"/>
        </w:rPr>
        <w:t> </w:t>
      </w:r>
      <w:r w:rsidRPr="002009D7">
        <w:rPr>
          <w:lang w:val="fr-FR"/>
        </w:rPr>
        <w:t>juillet 2022 étant entendu que la demande pour la phase</w:t>
      </w:r>
      <w:r w:rsidR="004A3B9C">
        <w:rPr>
          <w:lang w:val="fr-FR"/>
        </w:rPr>
        <w:t> </w:t>
      </w:r>
      <w:r w:rsidRPr="002009D7">
        <w:rPr>
          <w:lang w:val="fr-FR"/>
        </w:rPr>
        <w:t>II du PGEH ne soit pas soumise avant 2022</w:t>
      </w:r>
      <w:r w:rsidR="004A3B9C">
        <w:rPr>
          <w:lang w:val="fr-FR"/>
        </w:rPr>
        <w:t> </w:t>
      </w:r>
      <w:r w:rsidRPr="002009D7">
        <w:rPr>
          <w:lang w:val="fr-FR"/>
        </w:rPr>
        <w:t xml:space="preserve">; et </w:t>
      </w:r>
    </w:p>
    <w:p w14:paraId="5F0DBC02" w14:textId="571B0757" w:rsidR="00FB51B8" w:rsidRPr="00202DEB" w:rsidRDefault="00693B34" w:rsidP="00202DEB">
      <w:pPr>
        <w:pStyle w:val="Heading3"/>
        <w:numPr>
          <w:ilvl w:val="2"/>
          <w:numId w:val="1"/>
        </w:numPr>
        <w:tabs>
          <w:tab w:val="clear" w:pos="0"/>
        </w:tabs>
        <w:rPr>
          <w:lang w:val="fr-FR"/>
        </w:rPr>
        <w:sectPr w:rsidR="00FB51B8" w:rsidRPr="00202DEB" w:rsidSect="00202DEB">
          <w:headerReference w:type="even" r:id="rId14"/>
          <w:headerReference w:type="default" r:id="rId15"/>
          <w:footerReference w:type="even" r:id="rId16"/>
          <w:footerReference w:type="default" r:id="rId17"/>
          <w:pgSz w:w="12240" w:h="15840" w:code="1"/>
          <w:pgMar w:top="720" w:right="1440" w:bottom="864" w:left="1440" w:header="720" w:footer="475" w:gutter="0"/>
          <w:pgNumType w:start="2"/>
          <w:cols w:space="720"/>
          <w:docGrid w:linePitch="299"/>
        </w:sectPr>
      </w:pPr>
      <w:r>
        <w:rPr>
          <w:lang w:val="fr-FR"/>
        </w:rPr>
        <w:t>La</w:t>
      </w:r>
      <w:r w:rsidR="00480052" w:rsidRPr="002009D7">
        <w:rPr>
          <w:lang w:val="fr-FR"/>
        </w:rPr>
        <w:t xml:space="preserve"> troisième tranche de la phase I du PGEH pour la Guinée, et le plan de mise en œuvre de la tranche correspondant</w:t>
      </w:r>
      <w:r w:rsidR="009B2824">
        <w:rPr>
          <w:lang w:val="fr-FR"/>
        </w:rPr>
        <w:t>e</w:t>
      </w:r>
      <w:r w:rsidR="00480052" w:rsidRPr="002009D7">
        <w:rPr>
          <w:lang w:val="fr-FR"/>
        </w:rPr>
        <w:t xml:space="preserve"> pour 2020</w:t>
      </w:r>
      <w:r>
        <w:rPr>
          <w:lang w:val="fr-FR"/>
        </w:rPr>
        <w:t>-</w:t>
      </w:r>
      <w:r w:rsidR="00480052" w:rsidRPr="002009D7">
        <w:rPr>
          <w:lang w:val="fr-FR"/>
        </w:rPr>
        <w:t xml:space="preserve">2022, </w:t>
      </w:r>
      <w:r>
        <w:rPr>
          <w:lang w:val="fr-FR"/>
        </w:rPr>
        <w:t>d’un montant</w:t>
      </w:r>
      <w:r w:rsidR="00480052" w:rsidRPr="002009D7">
        <w:rPr>
          <w:lang w:val="fr-FR"/>
        </w:rPr>
        <w:t xml:space="preserve"> de 246</w:t>
      </w:r>
      <w:r w:rsidR="004A3B9C">
        <w:rPr>
          <w:lang w:val="fr-FR"/>
        </w:rPr>
        <w:t> </w:t>
      </w:r>
      <w:r w:rsidR="00480052" w:rsidRPr="002009D7">
        <w:rPr>
          <w:lang w:val="fr-FR"/>
        </w:rPr>
        <w:t>750</w:t>
      </w:r>
      <w:r w:rsidR="004A3B9C">
        <w:rPr>
          <w:lang w:val="fr-FR"/>
        </w:rPr>
        <w:t> </w:t>
      </w:r>
      <w:r w:rsidR="00480052" w:rsidRPr="002009D7">
        <w:rPr>
          <w:lang w:val="fr-FR"/>
        </w:rPr>
        <w:t>$</w:t>
      </w:r>
      <w:r w:rsidR="00596612">
        <w:rPr>
          <w:lang w:val="fr-FR"/>
        </w:rPr>
        <w:t> </w:t>
      </w:r>
      <w:r w:rsidR="00480052" w:rsidRPr="002009D7">
        <w:rPr>
          <w:lang w:val="fr-FR"/>
        </w:rPr>
        <w:t>US, qui comprend 100</w:t>
      </w:r>
      <w:r w:rsidR="004A3B9C">
        <w:rPr>
          <w:lang w:val="fr-FR"/>
        </w:rPr>
        <w:t> </w:t>
      </w:r>
      <w:r w:rsidR="00480052" w:rsidRPr="002009D7">
        <w:rPr>
          <w:lang w:val="fr-FR"/>
        </w:rPr>
        <w:t>000</w:t>
      </w:r>
      <w:r w:rsidR="004A3B9C">
        <w:rPr>
          <w:lang w:val="fr-FR"/>
        </w:rPr>
        <w:t> </w:t>
      </w:r>
      <w:r w:rsidR="00480052" w:rsidRPr="002009D7">
        <w:rPr>
          <w:lang w:val="fr-FR"/>
        </w:rPr>
        <w:t>$ US plus les coûts d’appui d’agence à hauteur de 13</w:t>
      </w:r>
      <w:r w:rsidR="004A3B9C">
        <w:rPr>
          <w:lang w:val="fr-FR"/>
        </w:rPr>
        <w:t> </w:t>
      </w:r>
      <w:r w:rsidR="00480052" w:rsidRPr="002009D7">
        <w:rPr>
          <w:lang w:val="fr-FR"/>
        </w:rPr>
        <w:t>000</w:t>
      </w:r>
      <w:r w:rsidR="004A3B9C">
        <w:rPr>
          <w:lang w:val="fr-FR"/>
        </w:rPr>
        <w:t> </w:t>
      </w:r>
      <w:r w:rsidR="00480052" w:rsidRPr="002009D7">
        <w:rPr>
          <w:lang w:val="fr-FR"/>
        </w:rPr>
        <w:t>$ US pour le PNUE, et 225</w:t>
      </w:r>
      <w:r w:rsidR="004A3B9C">
        <w:rPr>
          <w:lang w:val="fr-FR"/>
        </w:rPr>
        <w:t> </w:t>
      </w:r>
      <w:r w:rsidR="00480052" w:rsidRPr="002009D7">
        <w:rPr>
          <w:lang w:val="fr-FR"/>
        </w:rPr>
        <w:t>000</w:t>
      </w:r>
      <w:r w:rsidR="004A3B9C">
        <w:rPr>
          <w:lang w:val="fr-FR"/>
        </w:rPr>
        <w:t> </w:t>
      </w:r>
      <w:r w:rsidR="00480052" w:rsidRPr="002009D7">
        <w:rPr>
          <w:lang w:val="fr-FR"/>
        </w:rPr>
        <w:t>$ US, plus le coût d’appui d’agence à hauteur de 8</w:t>
      </w:r>
      <w:r>
        <w:rPr>
          <w:lang w:val="fr-FR"/>
        </w:rPr>
        <w:t> </w:t>
      </w:r>
      <w:r w:rsidR="00480052" w:rsidRPr="002009D7">
        <w:rPr>
          <w:lang w:val="fr-FR"/>
        </w:rPr>
        <w:t>750</w:t>
      </w:r>
      <w:r w:rsidR="004A3B9C">
        <w:rPr>
          <w:lang w:val="fr-FR"/>
        </w:rPr>
        <w:t> </w:t>
      </w:r>
      <w:r w:rsidR="00480052" w:rsidRPr="002009D7">
        <w:rPr>
          <w:lang w:val="fr-FR"/>
        </w:rPr>
        <w:t>$ US pour l’ONUDI.</w:t>
      </w:r>
    </w:p>
    <w:p w14:paraId="2F225D12" w14:textId="77777777" w:rsidR="00480052" w:rsidRPr="002009D7" w:rsidRDefault="00480052" w:rsidP="00202DEB">
      <w:pPr>
        <w:jc w:val="center"/>
        <w:rPr>
          <w:b/>
          <w:lang w:val="fr-FR"/>
        </w:rPr>
      </w:pPr>
      <w:r w:rsidRPr="002009D7">
        <w:rPr>
          <w:b/>
          <w:lang w:val="fr-FR"/>
        </w:rPr>
        <w:lastRenderedPageBreak/>
        <w:t>Annexe I</w:t>
      </w:r>
    </w:p>
    <w:p w14:paraId="54593DA0" w14:textId="0316C036" w:rsidR="00480052" w:rsidRDefault="00480052" w:rsidP="00480052">
      <w:pPr>
        <w:jc w:val="center"/>
        <w:rPr>
          <w:lang w:val="fr-FR"/>
        </w:rPr>
      </w:pPr>
    </w:p>
    <w:p w14:paraId="7E9E04E7" w14:textId="77777777" w:rsidR="00480052" w:rsidRPr="002009D7" w:rsidRDefault="00480052" w:rsidP="00480052">
      <w:pPr>
        <w:jc w:val="center"/>
        <w:rPr>
          <w:b/>
          <w:lang w:val="fr-FR"/>
        </w:rPr>
      </w:pPr>
      <w:r w:rsidRPr="002009D7">
        <w:rPr>
          <w:b/>
          <w:lang w:val="fr-FR"/>
        </w:rPr>
        <w:t>TEXTE À INCLURE DANS L’ACCORD MIS À JOUR ENTRE LE GOUVERNEMENT DE LA GUINÉE ET LE COMIT</w:t>
      </w:r>
      <w:r w:rsidR="004A3B9C">
        <w:rPr>
          <w:b/>
          <w:lang w:val="fr-FR"/>
        </w:rPr>
        <w:t>É</w:t>
      </w:r>
      <w:r w:rsidRPr="002009D7">
        <w:rPr>
          <w:b/>
          <w:lang w:val="fr-FR"/>
        </w:rPr>
        <w:t xml:space="preserve"> EXÉCUTIF DU FONDS MULTILATÉRAL POUR LA RÉDUCTION DE LA CONSOMMATION DES HYDROFLUOROCARBONES</w:t>
      </w:r>
    </w:p>
    <w:p w14:paraId="0F2F13B2" w14:textId="77777777" w:rsidR="00480052" w:rsidRPr="002009D7" w:rsidRDefault="00480052" w:rsidP="00480052">
      <w:pPr>
        <w:jc w:val="center"/>
        <w:rPr>
          <w:lang w:val="fr-FR"/>
        </w:rPr>
      </w:pPr>
      <w:r w:rsidRPr="002009D7">
        <w:rPr>
          <w:lang w:val="fr-FR"/>
        </w:rPr>
        <w:t>(Les changements importants sont indiqués en gras pour plus de clarté)</w:t>
      </w:r>
    </w:p>
    <w:p w14:paraId="50811530" w14:textId="77777777" w:rsidR="00932B6D" w:rsidRPr="002009D7" w:rsidRDefault="00932B6D" w:rsidP="00480052">
      <w:pPr>
        <w:rPr>
          <w:lang w:val="fr-FR"/>
        </w:rPr>
      </w:pPr>
    </w:p>
    <w:p w14:paraId="11106278" w14:textId="73FDFC9F" w:rsidR="00480052" w:rsidRPr="00202DEB" w:rsidRDefault="00480052" w:rsidP="00202DEB">
      <w:pPr>
        <w:pStyle w:val="Heading1"/>
        <w:numPr>
          <w:ilvl w:val="0"/>
          <w:numId w:val="26"/>
        </w:numPr>
        <w:tabs>
          <w:tab w:val="clear" w:pos="0"/>
        </w:tabs>
        <w:rPr>
          <w:b/>
          <w:lang w:val="fr-FR"/>
        </w:rPr>
      </w:pPr>
      <w:r w:rsidRPr="00202DEB">
        <w:rPr>
          <w:lang w:val="fr-FR"/>
        </w:rPr>
        <w:t>Le présent Accord représente l’entente conclue entre le gouvernement de la Guinée (le «</w:t>
      </w:r>
      <w:r w:rsidR="004A3B9C" w:rsidRPr="00202DEB">
        <w:rPr>
          <w:lang w:val="fr-FR"/>
        </w:rPr>
        <w:t> </w:t>
      </w:r>
      <w:r w:rsidRPr="00202DEB">
        <w:rPr>
          <w:lang w:val="fr-FR"/>
        </w:rPr>
        <w:t>Pays</w:t>
      </w:r>
      <w:r w:rsidR="004A3B9C" w:rsidRPr="00202DEB">
        <w:rPr>
          <w:lang w:val="fr-FR"/>
        </w:rPr>
        <w:t> </w:t>
      </w:r>
      <w:r w:rsidRPr="00202DEB">
        <w:rPr>
          <w:lang w:val="fr-FR"/>
        </w:rPr>
        <w:t>») et le Comité exécutif concernant la réduction de l’usage réglementé des substances appauvrissant la couche d’ozone indiquées à l’appendice</w:t>
      </w:r>
      <w:r w:rsidR="004A3B9C" w:rsidRPr="00202DEB">
        <w:rPr>
          <w:lang w:val="fr-FR"/>
        </w:rPr>
        <w:t> </w:t>
      </w:r>
      <w:r w:rsidRPr="00202DEB">
        <w:rPr>
          <w:lang w:val="fr-FR"/>
        </w:rPr>
        <w:t>1-A (les «</w:t>
      </w:r>
      <w:r w:rsidR="004A3B9C" w:rsidRPr="00202DEB">
        <w:rPr>
          <w:lang w:val="fr-FR"/>
        </w:rPr>
        <w:t> </w:t>
      </w:r>
      <w:r w:rsidRPr="00202DEB">
        <w:rPr>
          <w:lang w:val="fr-FR"/>
        </w:rPr>
        <w:t>Substances</w:t>
      </w:r>
      <w:r w:rsidR="004A3B9C" w:rsidRPr="00202DEB">
        <w:rPr>
          <w:lang w:val="fr-FR"/>
        </w:rPr>
        <w:t> </w:t>
      </w:r>
      <w:r w:rsidRPr="00202DEB">
        <w:rPr>
          <w:lang w:val="fr-FR"/>
        </w:rPr>
        <w:t xml:space="preserve">») à un niveau durable de </w:t>
      </w:r>
      <w:r w:rsidRPr="00202DEB">
        <w:rPr>
          <w:b/>
          <w:bCs/>
          <w:lang w:val="fr-FR"/>
        </w:rPr>
        <w:t>4,87</w:t>
      </w:r>
      <w:r w:rsidR="004A3B9C" w:rsidRPr="00202DEB">
        <w:rPr>
          <w:lang w:val="fr-FR"/>
        </w:rPr>
        <w:t> </w:t>
      </w:r>
      <w:r w:rsidRPr="00202DEB">
        <w:rPr>
          <w:lang w:val="fr-FR"/>
        </w:rPr>
        <w:t>tonnes PAO d’ici le 1er</w:t>
      </w:r>
      <w:r w:rsidR="004A3B9C" w:rsidRPr="00202DEB">
        <w:rPr>
          <w:lang w:val="fr-FR"/>
        </w:rPr>
        <w:t> </w:t>
      </w:r>
      <w:r w:rsidRPr="00202DEB">
        <w:rPr>
          <w:lang w:val="fr-FR"/>
        </w:rPr>
        <w:t>janvier 2022 en vertu des calendriers de réduction du Protocole de Montréal.</w:t>
      </w:r>
      <w:r w:rsidRPr="00202DEB">
        <w:rPr>
          <w:lang w:val="fr-FR"/>
        </w:rPr>
        <w:cr/>
      </w:r>
      <w:r w:rsidRPr="00202DEB">
        <w:rPr>
          <w:lang w:val="fr-FR"/>
        </w:rPr>
        <w:br/>
        <w:t xml:space="preserve"> </w:t>
      </w:r>
      <w:r w:rsidRPr="00202DEB">
        <w:rPr>
          <w:b/>
          <w:lang w:val="fr-FR"/>
        </w:rPr>
        <w:t>16.</w:t>
      </w:r>
      <w:r w:rsidRPr="00202DEB">
        <w:rPr>
          <w:b/>
          <w:lang w:val="fr-FR"/>
        </w:rPr>
        <w:tab/>
        <w:t>Le présent Accord révisé remplace l’Accord conclu entre le gouvernement d</w:t>
      </w:r>
      <w:r w:rsidR="009B2824" w:rsidRPr="00202DEB">
        <w:rPr>
          <w:b/>
          <w:lang w:val="fr-FR"/>
        </w:rPr>
        <w:t>e</w:t>
      </w:r>
      <w:r w:rsidRPr="00202DEB">
        <w:rPr>
          <w:b/>
          <w:lang w:val="fr-FR"/>
        </w:rPr>
        <w:t xml:space="preserve"> la Guinée et le Comité exécutif à sa 66</w:t>
      </w:r>
      <w:r w:rsidRPr="00202DEB">
        <w:rPr>
          <w:b/>
          <w:vertAlign w:val="superscript"/>
          <w:lang w:val="fr-FR"/>
        </w:rPr>
        <w:t>e</w:t>
      </w:r>
      <w:r w:rsidR="004A3B9C" w:rsidRPr="00202DEB">
        <w:rPr>
          <w:b/>
          <w:lang w:val="fr-FR"/>
        </w:rPr>
        <w:t> </w:t>
      </w:r>
      <w:r w:rsidRPr="00202DEB">
        <w:rPr>
          <w:b/>
          <w:lang w:val="fr-FR"/>
        </w:rPr>
        <w:t>réunion.</w:t>
      </w:r>
    </w:p>
    <w:p w14:paraId="1DB3FCBE" w14:textId="77777777" w:rsidR="00480052" w:rsidRPr="002009D7" w:rsidRDefault="00480052" w:rsidP="00480052">
      <w:pPr>
        <w:rPr>
          <w:b/>
          <w:lang w:val="fr-FR"/>
        </w:rPr>
      </w:pPr>
      <w:r w:rsidRPr="002009D7">
        <w:rPr>
          <w:b/>
          <w:lang w:val="fr-FR"/>
        </w:rPr>
        <w:t>APPENDICE</w:t>
      </w:r>
      <w:r w:rsidR="004A3B9C">
        <w:rPr>
          <w:b/>
          <w:lang w:val="fr-FR"/>
        </w:rPr>
        <w:t> </w:t>
      </w:r>
      <w:r w:rsidRPr="002009D7">
        <w:rPr>
          <w:b/>
          <w:lang w:val="fr-FR"/>
        </w:rPr>
        <w:t>1-A</w:t>
      </w:r>
      <w:r w:rsidR="004A3B9C">
        <w:rPr>
          <w:b/>
          <w:lang w:val="fr-FR"/>
        </w:rPr>
        <w:t> </w:t>
      </w:r>
      <w:r w:rsidRPr="002009D7">
        <w:rPr>
          <w:b/>
          <w:lang w:val="fr-FR"/>
        </w:rPr>
        <w:t>: LES SUBSTANCES</w:t>
      </w:r>
    </w:p>
    <w:p w14:paraId="1CF3C085" w14:textId="77777777" w:rsidR="00480052" w:rsidRPr="002009D7" w:rsidRDefault="00480052" w:rsidP="00480052">
      <w:pPr>
        <w:rPr>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1630"/>
        <w:gridCol w:w="1630"/>
        <w:gridCol w:w="4555"/>
      </w:tblGrid>
      <w:tr w:rsidR="00480052" w:rsidRPr="00DE2412" w14:paraId="5039BA7E" w14:textId="77777777" w:rsidTr="00BB1DAF">
        <w:tc>
          <w:tcPr>
            <w:tcW w:w="1630" w:type="dxa"/>
            <w:vAlign w:val="center"/>
          </w:tcPr>
          <w:p w14:paraId="4E2D6A55" w14:textId="77777777" w:rsidR="00480052" w:rsidRPr="002009D7" w:rsidRDefault="00480052" w:rsidP="00BB1DAF">
            <w:pPr>
              <w:keepNext/>
              <w:jc w:val="left"/>
              <w:rPr>
                <w:sz w:val="20"/>
                <w:szCs w:val="20"/>
                <w:lang w:val="fr-FR"/>
              </w:rPr>
            </w:pPr>
            <w:r w:rsidRPr="002009D7">
              <w:rPr>
                <w:sz w:val="20"/>
                <w:szCs w:val="20"/>
                <w:lang w:val="fr-FR"/>
              </w:rPr>
              <w:t>Substance</w:t>
            </w:r>
          </w:p>
        </w:tc>
        <w:tc>
          <w:tcPr>
            <w:tcW w:w="1630" w:type="dxa"/>
            <w:vAlign w:val="center"/>
          </w:tcPr>
          <w:p w14:paraId="3F552BAD" w14:textId="77777777" w:rsidR="00480052" w:rsidRPr="002009D7" w:rsidRDefault="00480052" w:rsidP="00BB1DAF">
            <w:pPr>
              <w:keepNext/>
              <w:jc w:val="center"/>
              <w:rPr>
                <w:sz w:val="20"/>
                <w:szCs w:val="20"/>
                <w:lang w:val="fr-FR"/>
              </w:rPr>
            </w:pPr>
            <w:r w:rsidRPr="002009D7">
              <w:rPr>
                <w:sz w:val="20"/>
                <w:szCs w:val="20"/>
                <w:lang w:val="fr-FR"/>
              </w:rPr>
              <w:t>Annexe</w:t>
            </w:r>
          </w:p>
        </w:tc>
        <w:tc>
          <w:tcPr>
            <w:tcW w:w="1630" w:type="dxa"/>
            <w:vAlign w:val="center"/>
          </w:tcPr>
          <w:p w14:paraId="41795BCC" w14:textId="77777777" w:rsidR="00480052" w:rsidRPr="002009D7" w:rsidRDefault="00480052" w:rsidP="00BB1DAF">
            <w:pPr>
              <w:keepNext/>
              <w:autoSpaceDE w:val="0"/>
              <w:autoSpaceDN w:val="0"/>
              <w:adjustRightInd w:val="0"/>
              <w:jc w:val="center"/>
              <w:rPr>
                <w:sz w:val="20"/>
                <w:szCs w:val="20"/>
                <w:lang w:val="fr-FR"/>
              </w:rPr>
            </w:pPr>
            <w:r w:rsidRPr="002009D7">
              <w:rPr>
                <w:sz w:val="20"/>
                <w:szCs w:val="20"/>
                <w:lang w:val="fr-FR"/>
              </w:rPr>
              <w:t>Groupe</w:t>
            </w:r>
          </w:p>
        </w:tc>
        <w:tc>
          <w:tcPr>
            <w:tcW w:w="4555" w:type="dxa"/>
          </w:tcPr>
          <w:p w14:paraId="67C373AE" w14:textId="77777777" w:rsidR="00480052" w:rsidRPr="002009D7" w:rsidRDefault="00480052" w:rsidP="00BB1DAF">
            <w:pPr>
              <w:keepNext/>
              <w:autoSpaceDE w:val="0"/>
              <w:autoSpaceDN w:val="0"/>
              <w:adjustRightInd w:val="0"/>
              <w:jc w:val="center"/>
              <w:rPr>
                <w:sz w:val="20"/>
                <w:szCs w:val="20"/>
                <w:lang w:val="fr-FR"/>
              </w:rPr>
            </w:pPr>
            <w:r w:rsidRPr="002009D7">
              <w:rPr>
                <w:sz w:val="20"/>
                <w:szCs w:val="20"/>
                <w:lang w:val="fr-FR"/>
              </w:rPr>
              <w:t>Point de départ pour les réductions globales de consommation (tonnes PAO)</w:t>
            </w:r>
          </w:p>
        </w:tc>
      </w:tr>
      <w:tr w:rsidR="00480052" w:rsidRPr="002009D7" w14:paraId="0331AAFF" w14:textId="77777777" w:rsidTr="00BB1DAF">
        <w:tc>
          <w:tcPr>
            <w:tcW w:w="1630" w:type="dxa"/>
          </w:tcPr>
          <w:p w14:paraId="51B45D46" w14:textId="77777777" w:rsidR="00480052" w:rsidRPr="002009D7" w:rsidRDefault="00480052" w:rsidP="00BB1DAF">
            <w:pPr>
              <w:keepNext/>
              <w:rPr>
                <w:sz w:val="20"/>
                <w:szCs w:val="20"/>
                <w:lang w:val="fr-FR"/>
              </w:rPr>
            </w:pPr>
            <w:r w:rsidRPr="002009D7">
              <w:rPr>
                <w:sz w:val="20"/>
                <w:szCs w:val="20"/>
                <w:lang w:val="fr-FR"/>
              </w:rPr>
              <w:t>HCFC-22</w:t>
            </w:r>
          </w:p>
        </w:tc>
        <w:tc>
          <w:tcPr>
            <w:tcW w:w="1630" w:type="dxa"/>
          </w:tcPr>
          <w:p w14:paraId="0F6B16AE" w14:textId="77777777" w:rsidR="00480052" w:rsidRPr="002009D7" w:rsidRDefault="00480052" w:rsidP="00BB1DAF">
            <w:pPr>
              <w:keepNext/>
              <w:jc w:val="left"/>
              <w:rPr>
                <w:sz w:val="20"/>
                <w:szCs w:val="20"/>
                <w:lang w:val="fr-FR"/>
              </w:rPr>
            </w:pPr>
            <w:r w:rsidRPr="002009D7">
              <w:rPr>
                <w:sz w:val="20"/>
                <w:szCs w:val="20"/>
                <w:lang w:val="fr-FR"/>
              </w:rPr>
              <w:t>C</w:t>
            </w:r>
          </w:p>
        </w:tc>
        <w:tc>
          <w:tcPr>
            <w:tcW w:w="1630" w:type="dxa"/>
          </w:tcPr>
          <w:p w14:paraId="1A51D94B" w14:textId="77777777" w:rsidR="00480052" w:rsidRPr="002009D7" w:rsidRDefault="00480052" w:rsidP="00BB1DAF">
            <w:pPr>
              <w:keepNext/>
              <w:autoSpaceDE w:val="0"/>
              <w:autoSpaceDN w:val="0"/>
              <w:adjustRightInd w:val="0"/>
              <w:jc w:val="left"/>
              <w:rPr>
                <w:sz w:val="20"/>
                <w:szCs w:val="20"/>
                <w:lang w:val="fr-FR"/>
              </w:rPr>
            </w:pPr>
            <w:r w:rsidRPr="002009D7">
              <w:rPr>
                <w:sz w:val="20"/>
                <w:szCs w:val="20"/>
                <w:lang w:val="fr-FR"/>
              </w:rPr>
              <w:t>I</w:t>
            </w:r>
          </w:p>
        </w:tc>
        <w:tc>
          <w:tcPr>
            <w:tcW w:w="4555" w:type="dxa"/>
          </w:tcPr>
          <w:p w14:paraId="5109E20B" w14:textId="77777777" w:rsidR="00480052" w:rsidRPr="002009D7" w:rsidRDefault="00480052" w:rsidP="00BB1DAF">
            <w:pPr>
              <w:keepNext/>
              <w:autoSpaceDE w:val="0"/>
              <w:autoSpaceDN w:val="0"/>
              <w:adjustRightInd w:val="0"/>
              <w:jc w:val="center"/>
              <w:rPr>
                <w:b/>
                <w:sz w:val="20"/>
                <w:szCs w:val="20"/>
                <w:lang w:val="fr-FR"/>
              </w:rPr>
            </w:pPr>
            <w:r w:rsidRPr="002009D7">
              <w:rPr>
                <w:b/>
                <w:sz w:val="20"/>
                <w:szCs w:val="20"/>
                <w:lang w:val="fr-FR"/>
              </w:rPr>
              <w:t>7,51</w:t>
            </w:r>
          </w:p>
        </w:tc>
      </w:tr>
    </w:tbl>
    <w:p w14:paraId="2379BACD" w14:textId="77777777" w:rsidR="00480052" w:rsidRPr="002009D7" w:rsidRDefault="00480052" w:rsidP="00480052">
      <w:pPr>
        <w:rPr>
          <w:lang w:val="fr-FR"/>
        </w:rPr>
      </w:pPr>
    </w:p>
    <w:p w14:paraId="2D0DD142" w14:textId="74E8B1DF" w:rsidR="00932B6D" w:rsidRDefault="00932B6D">
      <w:pPr>
        <w:jc w:val="left"/>
        <w:rPr>
          <w:b/>
          <w:lang w:val="fr-FR"/>
        </w:rPr>
      </w:pPr>
    </w:p>
    <w:p w14:paraId="10000CDD" w14:textId="232066A0" w:rsidR="00480052" w:rsidRPr="002009D7" w:rsidRDefault="00480052" w:rsidP="00480052">
      <w:pPr>
        <w:rPr>
          <w:b/>
          <w:lang w:val="fr-FR"/>
        </w:rPr>
      </w:pPr>
      <w:r w:rsidRPr="002009D7">
        <w:rPr>
          <w:b/>
          <w:lang w:val="fr-FR"/>
        </w:rPr>
        <w:t>APPENDICE</w:t>
      </w:r>
      <w:r w:rsidR="004A3B9C">
        <w:rPr>
          <w:b/>
          <w:lang w:val="fr-FR"/>
        </w:rPr>
        <w:t> </w:t>
      </w:r>
      <w:r w:rsidRPr="002009D7">
        <w:rPr>
          <w:b/>
          <w:lang w:val="fr-FR"/>
        </w:rPr>
        <w:t>2-A</w:t>
      </w:r>
      <w:r w:rsidR="004A3B9C">
        <w:rPr>
          <w:b/>
          <w:lang w:val="fr-FR"/>
        </w:rPr>
        <w:t> </w:t>
      </w:r>
      <w:r w:rsidRPr="002009D7">
        <w:rPr>
          <w:b/>
          <w:lang w:val="fr-FR"/>
        </w:rPr>
        <w:t>: LES OBJECTIFS ET LE FINANCEMENT</w:t>
      </w:r>
    </w:p>
    <w:p w14:paraId="6CFA4237" w14:textId="77777777" w:rsidR="00480052" w:rsidRPr="002009D7" w:rsidRDefault="00480052" w:rsidP="00480052">
      <w:pPr>
        <w:rPr>
          <w:b/>
          <w:lang w:val="fr-FR"/>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80"/>
        <w:gridCol w:w="2066"/>
        <w:gridCol w:w="605"/>
        <w:gridCol w:w="530"/>
        <w:gridCol w:w="552"/>
        <w:gridCol w:w="552"/>
        <w:gridCol w:w="552"/>
        <w:gridCol w:w="552"/>
        <w:gridCol w:w="552"/>
        <w:gridCol w:w="552"/>
        <w:gridCol w:w="605"/>
        <w:gridCol w:w="530"/>
        <w:gridCol w:w="607"/>
        <w:gridCol w:w="657"/>
      </w:tblGrid>
      <w:tr w:rsidR="00480052" w:rsidRPr="002009D7" w14:paraId="28CDF88B" w14:textId="77777777" w:rsidTr="00932B6D">
        <w:tc>
          <w:tcPr>
            <w:tcW w:w="147" w:type="pct"/>
            <w:noWrap/>
            <w:tcMar>
              <w:left w:w="0" w:type="dxa"/>
              <w:right w:w="0" w:type="dxa"/>
            </w:tcMar>
          </w:tcPr>
          <w:p w14:paraId="57CB2034" w14:textId="77777777" w:rsidR="00480052" w:rsidRPr="002009D7" w:rsidRDefault="00480052" w:rsidP="00BB1DAF">
            <w:pPr>
              <w:rPr>
                <w:b/>
                <w:sz w:val="18"/>
                <w:szCs w:val="18"/>
                <w:lang w:val="fr-FR"/>
              </w:rPr>
            </w:pPr>
            <w:r w:rsidRPr="002009D7">
              <w:rPr>
                <w:b/>
                <w:sz w:val="18"/>
                <w:szCs w:val="18"/>
                <w:lang w:val="fr-FR"/>
              </w:rPr>
              <w:t>Rangée</w:t>
            </w:r>
          </w:p>
        </w:tc>
        <w:tc>
          <w:tcPr>
            <w:tcW w:w="1101" w:type="pct"/>
          </w:tcPr>
          <w:p w14:paraId="269F5E35" w14:textId="77777777" w:rsidR="00480052" w:rsidRPr="002009D7" w:rsidRDefault="00480052" w:rsidP="00BB1DAF">
            <w:pPr>
              <w:jc w:val="center"/>
              <w:rPr>
                <w:b/>
                <w:bCs/>
                <w:sz w:val="18"/>
                <w:szCs w:val="18"/>
                <w:lang w:val="fr-FR"/>
              </w:rPr>
            </w:pPr>
            <w:r w:rsidRPr="002009D7">
              <w:rPr>
                <w:b/>
                <w:bCs/>
                <w:sz w:val="18"/>
                <w:szCs w:val="18"/>
                <w:lang w:val="fr-FR"/>
              </w:rPr>
              <w:t>Détails</w:t>
            </w:r>
          </w:p>
        </w:tc>
        <w:tc>
          <w:tcPr>
            <w:tcW w:w="319" w:type="pct"/>
          </w:tcPr>
          <w:p w14:paraId="4AEDDFA2" w14:textId="77777777" w:rsidR="00480052" w:rsidRPr="002009D7" w:rsidRDefault="00480052" w:rsidP="00BB1DAF">
            <w:pPr>
              <w:jc w:val="center"/>
              <w:rPr>
                <w:b/>
                <w:bCs/>
                <w:sz w:val="18"/>
                <w:szCs w:val="18"/>
                <w:lang w:val="fr-FR"/>
              </w:rPr>
            </w:pPr>
            <w:r w:rsidRPr="002009D7">
              <w:rPr>
                <w:b/>
                <w:bCs/>
                <w:sz w:val="18"/>
                <w:szCs w:val="18"/>
                <w:lang w:val="fr-FR"/>
              </w:rPr>
              <w:t>2012</w:t>
            </w:r>
          </w:p>
        </w:tc>
        <w:tc>
          <w:tcPr>
            <w:tcW w:w="303" w:type="pct"/>
          </w:tcPr>
          <w:p w14:paraId="22A93587" w14:textId="77777777" w:rsidR="00480052" w:rsidRPr="002009D7" w:rsidRDefault="00480052" w:rsidP="00BB1DAF">
            <w:pPr>
              <w:jc w:val="center"/>
              <w:rPr>
                <w:b/>
                <w:bCs/>
                <w:sz w:val="18"/>
                <w:szCs w:val="18"/>
                <w:lang w:val="fr-FR"/>
              </w:rPr>
            </w:pPr>
            <w:r w:rsidRPr="002009D7">
              <w:rPr>
                <w:b/>
                <w:bCs/>
                <w:sz w:val="18"/>
                <w:szCs w:val="18"/>
                <w:lang w:val="fr-FR"/>
              </w:rPr>
              <w:t>2013</w:t>
            </w:r>
          </w:p>
        </w:tc>
        <w:tc>
          <w:tcPr>
            <w:tcW w:w="303" w:type="pct"/>
          </w:tcPr>
          <w:p w14:paraId="50773031" w14:textId="77777777" w:rsidR="00480052" w:rsidRPr="002009D7" w:rsidRDefault="00480052" w:rsidP="00BB1DAF">
            <w:pPr>
              <w:jc w:val="center"/>
              <w:rPr>
                <w:b/>
                <w:bCs/>
                <w:sz w:val="18"/>
                <w:szCs w:val="18"/>
                <w:lang w:val="fr-FR"/>
              </w:rPr>
            </w:pPr>
            <w:r w:rsidRPr="002009D7">
              <w:rPr>
                <w:b/>
                <w:bCs/>
                <w:sz w:val="18"/>
                <w:szCs w:val="18"/>
                <w:lang w:val="fr-FR"/>
              </w:rPr>
              <w:t>2014</w:t>
            </w:r>
          </w:p>
        </w:tc>
        <w:tc>
          <w:tcPr>
            <w:tcW w:w="303" w:type="pct"/>
          </w:tcPr>
          <w:p w14:paraId="0780B1D4" w14:textId="77777777" w:rsidR="00480052" w:rsidRPr="002009D7" w:rsidRDefault="00480052" w:rsidP="00BB1DAF">
            <w:pPr>
              <w:jc w:val="center"/>
              <w:rPr>
                <w:b/>
                <w:bCs/>
                <w:sz w:val="18"/>
                <w:szCs w:val="18"/>
                <w:lang w:val="fr-FR"/>
              </w:rPr>
            </w:pPr>
            <w:r w:rsidRPr="002009D7">
              <w:rPr>
                <w:b/>
                <w:bCs/>
                <w:sz w:val="18"/>
                <w:szCs w:val="18"/>
                <w:lang w:val="fr-FR"/>
              </w:rPr>
              <w:t>2015</w:t>
            </w:r>
          </w:p>
        </w:tc>
        <w:tc>
          <w:tcPr>
            <w:tcW w:w="303" w:type="pct"/>
          </w:tcPr>
          <w:p w14:paraId="6F32C650" w14:textId="77777777" w:rsidR="00480052" w:rsidRPr="002009D7" w:rsidRDefault="00480052" w:rsidP="00BB1DAF">
            <w:pPr>
              <w:jc w:val="center"/>
              <w:rPr>
                <w:b/>
                <w:bCs/>
                <w:sz w:val="18"/>
                <w:szCs w:val="18"/>
                <w:lang w:val="fr-FR"/>
              </w:rPr>
            </w:pPr>
            <w:r w:rsidRPr="002009D7">
              <w:rPr>
                <w:b/>
                <w:bCs/>
                <w:sz w:val="18"/>
                <w:szCs w:val="18"/>
                <w:lang w:val="fr-FR"/>
              </w:rPr>
              <w:t>2016</w:t>
            </w:r>
          </w:p>
        </w:tc>
        <w:tc>
          <w:tcPr>
            <w:tcW w:w="303" w:type="pct"/>
          </w:tcPr>
          <w:p w14:paraId="09EEE307" w14:textId="77777777" w:rsidR="00480052" w:rsidRPr="002009D7" w:rsidRDefault="00480052" w:rsidP="00BB1DAF">
            <w:pPr>
              <w:jc w:val="center"/>
              <w:rPr>
                <w:b/>
                <w:bCs/>
                <w:sz w:val="18"/>
                <w:szCs w:val="18"/>
                <w:lang w:val="fr-FR"/>
              </w:rPr>
            </w:pPr>
            <w:r w:rsidRPr="002009D7">
              <w:rPr>
                <w:b/>
                <w:bCs/>
                <w:sz w:val="18"/>
                <w:szCs w:val="18"/>
                <w:lang w:val="fr-FR"/>
              </w:rPr>
              <w:t>2017</w:t>
            </w:r>
          </w:p>
        </w:tc>
        <w:tc>
          <w:tcPr>
            <w:tcW w:w="303" w:type="pct"/>
          </w:tcPr>
          <w:p w14:paraId="2C882FAD" w14:textId="77777777" w:rsidR="00480052" w:rsidRPr="002009D7" w:rsidRDefault="00480052" w:rsidP="00BB1DAF">
            <w:pPr>
              <w:jc w:val="center"/>
              <w:rPr>
                <w:b/>
                <w:bCs/>
                <w:sz w:val="18"/>
                <w:szCs w:val="18"/>
                <w:lang w:val="fr-FR"/>
              </w:rPr>
            </w:pPr>
            <w:r w:rsidRPr="002009D7">
              <w:rPr>
                <w:b/>
                <w:bCs/>
                <w:sz w:val="18"/>
                <w:szCs w:val="18"/>
                <w:lang w:val="fr-FR"/>
              </w:rPr>
              <w:t>2018</w:t>
            </w:r>
          </w:p>
        </w:tc>
        <w:tc>
          <w:tcPr>
            <w:tcW w:w="303" w:type="pct"/>
          </w:tcPr>
          <w:p w14:paraId="7F99D929" w14:textId="77777777" w:rsidR="00480052" w:rsidRPr="002009D7" w:rsidRDefault="00480052" w:rsidP="00BB1DAF">
            <w:pPr>
              <w:jc w:val="center"/>
              <w:rPr>
                <w:b/>
                <w:bCs/>
                <w:sz w:val="18"/>
                <w:szCs w:val="18"/>
                <w:lang w:val="fr-FR"/>
              </w:rPr>
            </w:pPr>
            <w:r w:rsidRPr="002009D7">
              <w:rPr>
                <w:b/>
                <w:bCs/>
                <w:sz w:val="18"/>
                <w:szCs w:val="18"/>
                <w:lang w:val="fr-FR"/>
              </w:rPr>
              <w:t>2019</w:t>
            </w:r>
          </w:p>
        </w:tc>
        <w:tc>
          <w:tcPr>
            <w:tcW w:w="319" w:type="pct"/>
          </w:tcPr>
          <w:p w14:paraId="4C2CE784" w14:textId="77777777" w:rsidR="00480052" w:rsidRPr="002009D7" w:rsidRDefault="00480052" w:rsidP="00BB1DAF">
            <w:pPr>
              <w:jc w:val="center"/>
              <w:rPr>
                <w:b/>
                <w:bCs/>
                <w:sz w:val="18"/>
                <w:szCs w:val="18"/>
                <w:lang w:val="fr-FR"/>
              </w:rPr>
            </w:pPr>
            <w:r w:rsidRPr="002009D7">
              <w:rPr>
                <w:b/>
                <w:bCs/>
                <w:sz w:val="18"/>
                <w:szCs w:val="18"/>
                <w:lang w:val="fr-FR"/>
              </w:rPr>
              <w:t>2020</w:t>
            </w:r>
          </w:p>
        </w:tc>
        <w:tc>
          <w:tcPr>
            <w:tcW w:w="303" w:type="pct"/>
          </w:tcPr>
          <w:p w14:paraId="71BA82E6" w14:textId="77777777" w:rsidR="00480052" w:rsidRPr="002009D7" w:rsidRDefault="00480052" w:rsidP="00BB1DAF">
            <w:pPr>
              <w:jc w:val="center"/>
              <w:rPr>
                <w:b/>
                <w:bCs/>
                <w:sz w:val="18"/>
                <w:szCs w:val="18"/>
                <w:lang w:val="fr-FR"/>
              </w:rPr>
            </w:pPr>
            <w:r w:rsidRPr="002009D7">
              <w:rPr>
                <w:b/>
                <w:bCs/>
                <w:sz w:val="18"/>
                <w:szCs w:val="18"/>
                <w:lang w:val="fr-FR"/>
              </w:rPr>
              <w:t>2021</w:t>
            </w:r>
          </w:p>
        </w:tc>
        <w:tc>
          <w:tcPr>
            <w:tcW w:w="332" w:type="pct"/>
          </w:tcPr>
          <w:p w14:paraId="1B3CAA7E" w14:textId="77777777" w:rsidR="00480052" w:rsidRPr="002009D7" w:rsidRDefault="00480052" w:rsidP="00BB1DAF">
            <w:pPr>
              <w:jc w:val="center"/>
              <w:rPr>
                <w:b/>
                <w:bCs/>
                <w:sz w:val="18"/>
                <w:szCs w:val="18"/>
                <w:lang w:val="fr-FR"/>
              </w:rPr>
            </w:pPr>
            <w:r w:rsidRPr="002009D7">
              <w:rPr>
                <w:b/>
                <w:bCs/>
                <w:sz w:val="18"/>
                <w:szCs w:val="18"/>
                <w:lang w:val="fr-FR"/>
              </w:rPr>
              <w:t>2022</w:t>
            </w:r>
          </w:p>
        </w:tc>
        <w:tc>
          <w:tcPr>
            <w:tcW w:w="358" w:type="pct"/>
          </w:tcPr>
          <w:p w14:paraId="01655DD9" w14:textId="77777777" w:rsidR="00480052" w:rsidRPr="002009D7" w:rsidRDefault="00480052" w:rsidP="00BB1DAF">
            <w:pPr>
              <w:jc w:val="center"/>
              <w:rPr>
                <w:b/>
                <w:bCs/>
                <w:sz w:val="18"/>
                <w:szCs w:val="18"/>
                <w:lang w:val="fr-FR"/>
              </w:rPr>
            </w:pPr>
            <w:r w:rsidRPr="002009D7">
              <w:rPr>
                <w:b/>
                <w:bCs/>
                <w:sz w:val="18"/>
                <w:szCs w:val="18"/>
                <w:lang w:val="fr-FR"/>
              </w:rPr>
              <w:t xml:space="preserve">Total </w:t>
            </w:r>
          </w:p>
        </w:tc>
      </w:tr>
      <w:tr w:rsidR="00480052" w:rsidRPr="002009D7" w14:paraId="52EF6D2E" w14:textId="77777777" w:rsidTr="00932B6D">
        <w:tc>
          <w:tcPr>
            <w:tcW w:w="147" w:type="pct"/>
            <w:noWrap/>
            <w:tcMar>
              <w:left w:w="0" w:type="dxa"/>
              <w:right w:w="0" w:type="dxa"/>
            </w:tcMar>
          </w:tcPr>
          <w:p w14:paraId="00C4B482" w14:textId="680096F6" w:rsidR="00480052" w:rsidRPr="002009D7" w:rsidRDefault="00480052" w:rsidP="00BB1DAF">
            <w:pPr>
              <w:jc w:val="left"/>
              <w:rPr>
                <w:sz w:val="18"/>
                <w:szCs w:val="18"/>
                <w:lang w:val="fr-FR"/>
              </w:rPr>
            </w:pPr>
            <w:r w:rsidRPr="002009D7">
              <w:rPr>
                <w:sz w:val="18"/>
                <w:szCs w:val="18"/>
                <w:lang w:val="fr-FR"/>
              </w:rPr>
              <w:t>1</w:t>
            </w:r>
            <w:r w:rsidR="00B158CB">
              <w:rPr>
                <w:sz w:val="18"/>
                <w:szCs w:val="18"/>
                <w:lang w:val="fr-FR"/>
              </w:rPr>
              <w:t>.</w:t>
            </w:r>
            <w:r w:rsidRPr="002009D7">
              <w:rPr>
                <w:sz w:val="18"/>
                <w:szCs w:val="18"/>
                <w:lang w:val="fr-FR"/>
              </w:rPr>
              <w:t>1</w:t>
            </w:r>
          </w:p>
        </w:tc>
        <w:tc>
          <w:tcPr>
            <w:tcW w:w="1101" w:type="pct"/>
          </w:tcPr>
          <w:p w14:paraId="154D8D33" w14:textId="77777777" w:rsidR="00480052" w:rsidRPr="002009D7" w:rsidRDefault="00480052" w:rsidP="00BB1DAF">
            <w:pPr>
              <w:jc w:val="left"/>
              <w:rPr>
                <w:sz w:val="18"/>
                <w:szCs w:val="18"/>
                <w:lang w:val="fr-FR"/>
              </w:rPr>
            </w:pPr>
            <w:r w:rsidRPr="002009D7">
              <w:rPr>
                <w:sz w:val="18"/>
                <w:szCs w:val="18"/>
                <w:lang w:val="fr-FR"/>
              </w:rPr>
              <w:t>Calendrier de réduction des substances du groupe I de l’annexe C du Protocole de Montréal (tonnes PAO)</w:t>
            </w:r>
          </w:p>
        </w:tc>
        <w:tc>
          <w:tcPr>
            <w:tcW w:w="319" w:type="pct"/>
            <w:tcMar>
              <w:left w:w="14" w:type="dxa"/>
              <w:right w:w="14" w:type="dxa"/>
            </w:tcMar>
          </w:tcPr>
          <w:p w14:paraId="5B2E8E91" w14:textId="77777777" w:rsidR="00480052" w:rsidRPr="002009D7" w:rsidRDefault="00480052" w:rsidP="00BB1DAF">
            <w:pPr>
              <w:jc w:val="right"/>
              <w:rPr>
                <w:sz w:val="18"/>
                <w:szCs w:val="18"/>
                <w:lang w:val="fr-FR"/>
              </w:rPr>
            </w:pPr>
            <w:proofErr w:type="spellStart"/>
            <w:r w:rsidRPr="002009D7">
              <w:rPr>
                <w:sz w:val="18"/>
                <w:szCs w:val="18"/>
                <w:lang w:val="fr-FR"/>
              </w:rPr>
              <w:t>s.o</w:t>
            </w:r>
            <w:proofErr w:type="spellEnd"/>
            <w:r w:rsidRPr="002009D7">
              <w:rPr>
                <w:sz w:val="18"/>
                <w:szCs w:val="18"/>
                <w:lang w:val="fr-FR"/>
              </w:rPr>
              <w:t xml:space="preserve">. </w:t>
            </w:r>
          </w:p>
        </w:tc>
        <w:tc>
          <w:tcPr>
            <w:tcW w:w="303" w:type="pct"/>
            <w:tcMar>
              <w:left w:w="14" w:type="dxa"/>
              <w:right w:w="14" w:type="dxa"/>
            </w:tcMar>
          </w:tcPr>
          <w:p w14:paraId="242044BE" w14:textId="77777777" w:rsidR="00480052" w:rsidRPr="002009D7" w:rsidRDefault="00480052" w:rsidP="00BB1DAF">
            <w:pPr>
              <w:jc w:val="right"/>
              <w:rPr>
                <w:sz w:val="18"/>
                <w:szCs w:val="18"/>
                <w:lang w:val="fr-FR"/>
              </w:rPr>
            </w:pPr>
            <w:r w:rsidRPr="002009D7">
              <w:rPr>
                <w:sz w:val="18"/>
                <w:szCs w:val="18"/>
                <w:lang w:val="fr-FR"/>
              </w:rPr>
              <w:t>22,61</w:t>
            </w:r>
          </w:p>
        </w:tc>
        <w:tc>
          <w:tcPr>
            <w:tcW w:w="303" w:type="pct"/>
            <w:tcMar>
              <w:left w:w="14" w:type="dxa"/>
              <w:right w:w="14" w:type="dxa"/>
            </w:tcMar>
          </w:tcPr>
          <w:p w14:paraId="04F9EE5D" w14:textId="77777777" w:rsidR="00480052" w:rsidRPr="002009D7" w:rsidRDefault="00480052" w:rsidP="00BB1DAF">
            <w:pPr>
              <w:jc w:val="right"/>
              <w:rPr>
                <w:sz w:val="18"/>
                <w:szCs w:val="18"/>
                <w:lang w:val="fr-FR"/>
              </w:rPr>
            </w:pPr>
            <w:r w:rsidRPr="002009D7">
              <w:rPr>
                <w:sz w:val="18"/>
                <w:szCs w:val="18"/>
                <w:lang w:val="fr-FR"/>
              </w:rPr>
              <w:t>22,61</w:t>
            </w:r>
          </w:p>
        </w:tc>
        <w:tc>
          <w:tcPr>
            <w:tcW w:w="303" w:type="pct"/>
            <w:tcMar>
              <w:left w:w="14" w:type="dxa"/>
              <w:right w:w="14" w:type="dxa"/>
            </w:tcMar>
          </w:tcPr>
          <w:p w14:paraId="033A2840" w14:textId="77777777" w:rsidR="00480052" w:rsidRPr="002009D7" w:rsidRDefault="00480052" w:rsidP="00BB1DAF">
            <w:pPr>
              <w:jc w:val="right"/>
              <w:rPr>
                <w:sz w:val="18"/>
                <w:szCs w:val="18"/>
                <w:lang w:val="fr-FR"/>
              </w:rPr>
            </w:pPr>
            <w:r w:rsidRPr="002009D7">
              <w:rPr>
                <w:sz w:val="18"/>
                <w:szCs w:val="18"/>
                <w:lang w:val="fr-FR"/>
              </w:rPr>
              <w:t>20,35</w:t>
            </w:r>
          </w:p>
        </w:tc>
        <w:tc>
          <w:tcPr>
            <w:tcW w:w="303" w:type="pct"/>
            <w:tcMar>
              <w:left w:w="14" w:type="dxa"/>
              <w:right w:w="14" w:type="dxa"/>
            </w:tcMar>
          </w:tcPr>
          <w:p w14:paraId="6926D725" w14:textId="77777777" w:rsidR="00480052" w:rsidRPr="002009D7" w:rsidRDefault="00480052" w:rsidP="00BB1DAF">
            <w:pPr>
              <w:jc w:val="right"/>
              <w:rPr>
                <w:sz w:val="18"/>
                <w:szCs w:val="18"/>
                <w:lang w:val="fr-FR"/>
              </w:rPr>
            </w:pPr>
            <w:r w:rsidRPr="002009D7">
              <w:rPr>
                <w:sz w:val="18"/>
                <w:szCs w:val="18"/>
                <w:lang w:val="fr-FR"/>
              </w:rPr>
              <w:t>20,35</w:t>
            </w:r>
          </w:p>
        </w:tc>
        <w:tc>
          <w:tcPr>
            <w:tcW w:w="303" w:type="pct"/>
            <w:tcMar>
              <w:left w:w="14" w:type="dxa"/>
              <w:right w:w="14" w:type="dxa"/>
            </w:tcMar>
          </w:tcPr>
          <w:p w14:paraId="1218939E" w14:textId="77777777" w:rsidR="00480052" w:rsidRPr="002009D7" w:rsidRDefault="00480052" w:rsidP="00BB1DAF">
            <w:pPr>
              <w:jc w:val="right"/>
              <w:rPr>
                <w:sz w:val="18"/>
                <w:szCs w:val="18"/>
                <w:lang w:val="fr-FR"/>
              </w:rPr>
            </w:pPr>
            <w:r w:rsidRPr="002009D7">
              <w:rPr>
                <w:sz w:val="18"/>
                <w:szCs w:val="18"/>
                <w:lang w:val="fr-FR"/>
              </w:rPr>
              <w:t>20,35</w:t>
            </w:r>
          </w:p>
        </w:tc>
        <w:tc>
          <w:tcPr>
            <w:tcW w:w="303" w:type="pct"/>
            <w:tcMar>
              <w:left w:w="14" w:type="dxa"/>
              <w:right w:w="14" w:type="dxa"/>
            </w:tcMar>
          </w:tcPr>
          <w:p w14:paraId="53E3D177" w14:textId="77777777" w:rsidR="00480052" w:rsidRPr="002009D7" w:rsidRDefault="00480052" w:rsidP="00BB1DAF">
            <w:pPr>
              <w:jc w:val="right"/>
              <w:rPr>
                <w:sz w:val="18"/>
                <w:szCs w:val="18"/>
                <w:lang w:val="fr-FR"/>
              </w:rPr>
            </w:pPr>
            <w:r w:rsidRPr="002009D7">
              <w:rPr>
                <w:sz w:val="18"/>
                <w:szCs w:val="18"/>
                <w:lang w:val="fr-FR"/>
              </w:rPr>
              <w:t>20,35</w:t>
            </w:r>
          </w:p>
        </w:tc>
        <w:tc>
          <w:tcPr>
            <w:tcW w:w="303" w:type="pct"/>
            <w:tcMar>
              <w:left w:w="14" w:type="dxa"/>
              <w:right w:w="14" w:type="dxa"/>
            </w:tcMar>
          </w:tcPr>
          <w:p w14:paraId="65E79D7E" w14:textId="77777777" w:rsidR="00480052" w:rsidRPr="002009D7" w:rsidRDefault="00480052" w:rsidP="00BB1DAF">
            <w:pPr>
              <w:jc w:val="right"/>
              <w:rPr>
                <w:sz w:val="18"/>
                <w:szCs w:val="18"/>
                <w:lang w:val="fr-FR"/>
              </w:rPr>
            </w:pPr>
            <w:r w:rsidRPr="002009D7">
              <w:rPr>
                <w:sz w:val="18"/>
                <w:szCs w:val="18"/>
                <w:lang w:val="fr-FR"/>
              </w:rPr>
              <w:t>20,35</w:t>
            </w:r>
          </w:p>
        </w:tc>
        <w:tc>
          <w:tcPr>
            <w:tcW w:w="319" w:type="pct"/>
            <w:tcMar>
              <w:left w:w="14" w:type="dxa"/>
              <w:right w:w="14" w:type="dxa"/>
            </w:tcMar>
          </w:tcPr>
          <w:p w14:paraId="0191CDC2" w14:textId="77777777" w:rsidR="00480052" w:rsidRPr="002009D7" w:rsidRDefault="00480052" w:rsidP="00BB1DAF">
            <w:pPr>
              <w:jc w:val="right"/>
              <w:rPr>
                <w:sz w:val="18"/>
                <w:szCs w:val="18"/>
                <w:lang w:val="fr-FR"/>
              </w:rPr>
            </w:pPr>
            <w:r w:rsidRPr="002009D7">
              <w:rPr>
                <w:sz w:val="18"/>
                <w:szCs w:val="18"/>
                <w:lang w:val="fr-FR"/>
              </w:rPr>
              <w:t>14,70</w:t>
            </w:r>
          </w:p>
        </w:tc>
        <w:tc>
          <w:tcPr>
            <w:tcW w:w="303" w:type="pct"/>
            <w:tcMar>
              <w:left w:w="14" w:type="dxa"/>
              <w:right w:w="14" w:type="dxa"/>
            </w:tcMar>
          </w:tcPr>
          <w:p w14:paraId="518F3CEE" w14:textId="77777777" w:rsidR="00480052" w:rsidRPr="002009D7" w:rsidRDefault="00480052" w:rsidP="00BB1DAF">
            <w:pPr>
              <w:jc w:val="right"/>
              <w:rPr>
                <w:b/>
                <w:sz w:val="18"/>
                <w:szCs w:val="18"/>
                <w:lang w:val="fr-FR"/>
              </w:rPr>
            </w:pPr>
            <w:r w:rsidRPr="002009D7">
              <w:rPr>
                <w:b/>
                <w:sz w:val="18"/>
                <w:szCs w:val="18"/>
                <w:lang w:val="fr-FR"/>
              </w:rPr>
              <w:t>14,70</w:t>
            </w:r>
          </w:p>
        </w:tc>
        <w:tc>
          <w:tcPr>
            <w:tcW w:w="332" w:type="pct"/>
          </w:tcPr>
          <w:p w14:paraId="7F214BCD" w14:textId="77777777" w:rsidR="00480052" w:rsidRPr="002009D7" w:rsidRDefault="00480052" w:rsidP="00BB1DAF">
            <w:pPr>
              <w:jc w:val="right"/>
              <w:rPr>
                <w:b/>
                <w:sz w:val="18"/>
                <w:szCs w:val="18"/>
                <w:lang w:val="fr-FR"/>
              </w:rPr>
            </w:pPr>
            <w:r w:rsidRPr="002009D7">
              <w:rPr>
                <w:b/>
                <w:sz w:val="18"/>
                <w:szCs w:val="18"/>
                <w:lang w:val="fr-FR"/>
              </w:rPr>
              <w:t>14,70</w:t>
            </w:r>
          </w:p>
        </w:tc>
        <w:tc>
          <w:tcPr>
            <w:tcW w:w="358" w:type="pct"/>
            <w:tcMar>
              <w:left w:w="14" w:type="dxa"/>
              <w:right w:w="14" w:type="dxa"/>
            </w:tcMar>
          </w:tcPr>
          <w:p w14:paraId="3B65FEDE" w14:textId="77777777" w:rsidR="00480052" w:rsidRPr="002009D7" w:rsidRDefault="00480052" w:rsidP="00BB1DAF">
            <w:pPr>
              <w:jc w:val="right"/>
              <w:rPr>
                <w:sz w:val="18"/>
                <w:szCs w:val="18"/>
                <w:lang w:val="fr-FR"/>
              </w:rPr>
            </w:pPr>
            <w:proofErr w:type="spellStart"/>
            <w:r w:rsidRPr="002009D7">
              <w:rPr>
                <w:sz w:val="18"/>
                <w:szCs w:val="18"/>
                <w:lang w:val="fr-FR"/>
              </w:rPr>
              <w:t>s.o</w:t>
            </w:r>
            <w:proofErr w:type="spellEnd"/>
            <w:r w:rsidRPr="002009D7">
              <w:rPr>
                <w:sz w:val="18"/>
                <w:szCs w:val="18"/>
                <w:lang w:val="fr-FR"/>
              </w:rPr>
              <w:t>.</w:t>
            </w:r>
          </w:p>
        </w:tc>
      </w:tr>
      <w:tr w:rsidR="00480052" w:rsidRPr="002009D7" w14:paraId="11150A32" w14:textId="77777777" w:rsidTr="00932B6D">
        <w:tc>
          <w:tcPr>
            <w:tcW w:w="147" w:type="pct"/>
            <w:noWrap/>
            <w:tcMar>
              <w:left w:w="0" w:type="dxa"/>
              <w:right w:w="0" w:type="dxa"/>
            </w:tcMar>
          </w:tcPr>
          <w:p w14:paraId="463C5215" w14:textId="62B233AF" w:rsidR="00480052" w:rsidRPr="002009D7" w:rsidRDefault="00480052" w:rsidP="00BB1DAF">
            <w:pPr>
              <w:jc w:val="left"/>
              <w:rPr>
                <w:sz w:val="18"/>
                <w:szCs w:val="18"/>
                <w:lang w:val="fr-FR"/>
              </w:rPr>
            </w:pPr>
            <w:r w:rsidRPr="002009D7">
              <w:rPr>
                <w:sz w:val="18"/>
                <w:szCs w:val="18"/>
                <w:lang w:val="fr-FR"/>
              </w:rPr>
              <w:t>1</w:t>
            </w:r>
            <w:r w:rsidR="00B158CB">
              <w:rPr>
                <w:sz w:val="18"/>
                <w:szCs w:val="18"/>
                <w:lang w:val="fr-FR"/>
              </w:rPr>
              <w:t>.</w:t>
            </w:r>
            <w:r w:rsidRPr="002009D7">
              <w:rPr>
                <w:sz w:val="18"/>
                <w:szCs w:val="18"/>
                <w:lang w:val="fr-FR"/>
              </w:rPr>
              <w:t>2</w:t>
            </w:r>
          </w:p>
        </w:tc>
        <w:tc>
          <w:tcPr>
            <w:tcW w:w="1101" w:type="pct"/>
          </w:tcPr>
          <w:p w14:paraId="1325B757" w14:textId="77777777" w:rsidR="00480052" w:rsidRPr="002009D7" w:rsidRDefault="00480052" w:rsidP="00BB1DAF">
            <w:pPr>
              <w:jc w:val="left"/>
              <w:rPr>
                <w:sz w:val="18"/>
                <w:szCs w:val="18"/>
                <w:lang w:val="fr-FR"/>
              </w:rPr>
            </w:pPr>
            <w:r w:rsidRPr="002009D7">
              <w:rPr>
                <w:sz w:val="18"/>
                <w:szCs w:val="18"/>
                <w:lang w:val="fr-FR"/>
              </w:rPr>
              <w:t>Consommation maximum autorisée des substances du groupe I de l’annexe C (tonnes PAO)</w:t>
            </w:r>
          </w:p>
        </w:tc>
        <w:tc>
          <w:tcPr>
            <w:tcW w:w="319" w:type="pct"/>
            <w:tcMar>
              <w:left w:w="14" w:type="dxa"/>
              <w:right w:w="14" w:type="dxa"/>
            </w:tcMar>
          </w:tcPr>
          <w:p w14:paraId="28F73190" w14:textId="77777777" w:rsidR="00480052" w:rsidRPr="002009D7" w:rsidRDefault="00480052" w:rsidP="00BB1DAF">
            <w:pPr>
              <w:jc w:val="right"/>
              <w:rPr>
                <w:sz w:val="18"/>
                <w:szCs w:val="18"/>
                <w:lang w:val="fr-FR"/>
              </w:rPr>
            </w:pPr>
            <w:proofErr w:type="spellStart"/>
            <w:r w:rsidRPr="002009D7">
              <w:rPr>
                <w:sz w:val="18"/>
                <w:szCs w:val="18"/>
                <w:lang w:val="fr-FR"/>
              </w:rPr>
              <w:t>s.o</w:t>
            </w:r>
            <w:proofErr w:type="spellEnd"/>
            <w:r w:rsidRPr="002009D7">
              <w:rPr>
                <w:sz w:val="18"/>
                <w:szCs w:val="18"/>
                <w:lang w:val="fr-FR"/>
              </w:rPr>
              <w:t>.</w:t>
            </w:r>
          </w:p>
        </w:tc>
        <w:tc>
          <w:tcPr>
            <w:tcW w:w="303" w:type="pct"/>
            <w:tcMar>
              <w:left w:w="14" w:type="dxa"/>
              <w:right w:w="14" w:type="dxa"/>
            </w:tcMar>
          </w:tcPr>
          <w:p w14:paraId="2E353A8E" w14:textId="77777777" w:rsidR="00480052" w:rsidRPr="002009D7" w:rsidRDefault="00480052" w:rsidP="00BB1DAF">
            <w:pPr>
              <w:jc w:val="right"/>
              <w:rPr>
                <w:b/>
                <w:sz w:val="18"/>
                <w:szCs w:val="18"/>
                <w:lang w:val="fr-FR"/>
              </w:rPr>
            </w:pPr>
            <w:r w:rsidRPr="002009D7">
              <w:rPr>
                <w:b/>
                <w:sz w:val="18"/>
                <w:szCs w:val="18"/>
                <w:lang w:val="fr-FR"/>
              </w:rPr>
              <w:t>7,51</w:t>
            </w:r>
          </w:p>
        </w:tc>
        <w:tc>
          <w:tcPr>
            <w:tcW w:w="303" w:type="pct"/>
            <w:tcMar>
              <w:left w:w="14" w:type="dxa"/>
              <w:right w:w="14" w:type="dxa"/>
            </w:tcMar>
          </w:tcPr>
          <w:p w14:paraId="4B1419E0" w14:textId="77777777" w:rsidR="00480052" w:rsidRPr="002009D7" w:rsidRDefault="00480052" w:rsidP="00BB1DAF">
            <w:pPr>
              <w:jc w:val="right"/>
              <w:rPr>
                <w:b/>
                <w:sz w:val="18"/>
                <w:szCs w:val="18"/>
                <w:lang w:val="fr-FR"/>
              </w:rPr>
            </w:pPr>
            <w:r w:rsidRPr="002009D7">
              <w:rPr>
                <w:b/>
                <w:sz w:val="18"/>
                <w:szCs w:val="18"/>
                <w:lang w:val="fr-FR"/>
              </w:rPr>
              <w:t>7,51</w:t>
            </w:r>
          </w:p>
        </w:tc>
        <w:tc>
          <w:tcPr>
            <w:tcW w:w="303" w:type="pct"/>
            <w:tcMar>
              <w:left w:w="14" w:type="dxa"/>
              <w:right w:w="14" w:type="dxa"/>
            </w:tcMar>
          </w:tcPr>
          <w:p w14:paraId="5D317A5E" w14:textId="77777777" w:rsidR="00480052" w:rsidRPr="002009D7" w:rsidRDefault="00480052" w:rsidP="00BB1DAF">
            <w:pPr>
              <w:jc w:val="right"/>
              <w:rPr>
                <w:b/>
                <w:sz w:val="18"/>
                <w:szCs w:val="18"/>
                <w:lang w:val="fr-FR"/>
              </w:rPr>
            </w:pPr>
            <w:r w:rsidRPr="002009D7">
              <w:rPr>
                <w:b/>
                <w:sz w:val="18"/>
                <w:szCs w:val="18"/>
                <w:lang w:val="fr-FR"/>
              </w:rPr>
              <w:t>6,75</w:t>
            </w:r>
          </w:p>
        </w:tc>
        <w:tc>
          <w:tcPr>
            <w:tcW w:w="303" w:type="pct"/>
            <w:tcMar>
              <w:left w:w="14" w:type="dxa"/>
              <w:right w:w="14" w:type="dxa"/>
            </w:tcMar>
          </w:tcPr>
          <w:p w14:paraId="4E3059BD" w14:textId="77777777" w:rsidR="00480052" w:rsidRPr="002009D7" w:rsidRDefault="00480052" w:rsidP="00BB1DAF">
            <w:pPr>
              <w:jc w:val="right"/>
              <w:rPr>
                <w:b/>
                <w:sz w:val="18"/>
                <w:szCs w:val="18"/>
                <w:lang w:val="fr-FR"/>
              </w:rPr>
            </w:pPr>
            <w:r w:rsidRPr="002009D7">
              <w:rPr>
                <w:b/>
                <w:sz w:val="18"/>
                <w:szCs w:val="18"/>
                <w:lang w:val="fr-FR"/>
              </w:rPr>
              <w:t>6,75</w:t>
            </w:r>
          </w:p>
        </w:tc>
        <w:tc>
          <w:tcPr>
            <w:tcW w:w="303" w:type="pct"/>
            <w:tcMar>
              <w:left w:w="14" w:type="dxa"/>
              <w:right w:w="14" w:type="dxa"/>
            </w:tcMar>
          </w:tcPr>
          <w:p w14:paraId="2FEF8F96" w14:textId="77777777" w:rsidR="00480052" w:rsidRPr="002009D7" w:rsidRDefault="00480052" w:rsidP="00BB1DAF">
            <w:pPr>
              <w:jc w:val="right"/>
              <w:rPr>
                <w:b/>
                <w:sz w:val="18"/>
                <w:szCs w:val="18"/>
                <w:lang w:val="fr-FR"/>
              </w:rPr>
            </w:pPr>
            <w:r w:rsidRPr="002009D7">
              <w:rPr>
                <w:b/>
                <w:sz w:val="18"/>
                <w:szCs w:val="18"/>
                <w:lang w:val="fr-FR"/>
              </w:rPr>
              <w:t>6,75</w:t>
            </w:r>
          </w:p>
        </w:tc>
        <w:tc>
          <w:tcPr>
            <w:tcW w:w="303" w:type="pct"/>
            <w:tcMar>
              <w:left w:w="14" w:type="dxa"/>
              <w:right w:w="14" w:type="dxa"/>
            </w:tcMar>
          </w:tcPr>
          <w:p w14:paraId="146444DD" w14:textId="77777777" w:rsidR="00480052" w:rsidRPr="002009D7" w:rsidRDefault="00480052" w:rsidP="00BB1DAF">
            <w:pPr>
              <w:jc w:val="right"/>
              <w:rPr>
                <w:b/>
                <w:sz w:val="18"/>
                <w:szCs w:val="18"/>
                <w:lang w:val="fr-FR"/>
              </w:rPr>
            </w:pPr>
            <w:r w:rsidRPr="002009D7">
              <w:rPr>
                <w:b/>
                <w:sz w:val="18"/>
                <w:szCs w:val="18"/>
                <w:lang w:val="fr-FR"/>
              </w:rPr>
              <w:t>6,75</w:t>
            </w:r>
          </w:p>
        </w:tc>
        <w:tc>
          <w:tcPr>
            <w:tcW w:w="303" w:type="pct"/>
            <w:tcMar>
              <w:left w:w="14" w:type="dxa"/>
              <w:right w:w="14" w:type="dxa"/>
            </w:tcMar>
          </w:tcPr>
          <w:p w14:paraId="65B27DD1" w14:textId="77777777" w:rsidR="00480052" w:rsidRPr="002009D7" w:rsidRDefault="00480052" w:rsidP="00BB1DAF">
            <w:pPr>
              <w:jc w:val="right"/>
              <w:rPr>
                <w:b/>
                <w:sz w:val="18"/>
                <w:szCs w:val="18"/>
                <w:lang w:val="fr-FR"/>
              </w:rPr>
            </w:pPr>
            <w:r w:rsidRPr="002009D7">
              <w:rPr>
                <w:b/>
                <w:sz w:val="18"/>
                <w:szCs w:val="18"/>
                <w:lang w:val="fr-FR"/>
              </w:rPr>
              <w:t>6,75</w:t>
            </w:r>
          </w:p>
        </w:tc>
        <w:tc>
          <w:tcPr>
            <w:tcW w:w="319" w:type="pct"/>
            <w:tcMar>
              <w:left w:w="14" w:type="dxa"/>
              <w:right w:w="14" w:type="dxa"/>
            </w:tcMar>
          </w:tcPr>
          <w:p w14:paraId="0B91A939" w14:textId="77777777" w:rsidR="00480052" w:rsidRPr="002009D7" w:rsidRDefault="00480052" w:rsidP="00BB1DAF">
            <w:pPr>
              <w:jc w:val="right"/>
              <w:rPr>
                <w:b/>
                <w:sz w:val="18"/>
                <w:szCs w:val="18"/>
                <w:lang w:val="fr-FR"/>
              </w:rPr>
            </w:pPr>
            <w:r w:rsidRPr="002009D7">
              <w:rPr>
                <w:b/>
                <w:sz w:val="18"/>
                <w:szCs w:val="18"/>
                <w:lang w:val="fr-FR"/>
              </w:rPr>
              <w:t>4,87</w:t>
            </w:r>
          </w:p>
        </w:tc>
        <w:tc>
          <w:tcPr>
            <w:tcW w:w="303" w:type="pct"/>
            <w:tcMar>
              <w:left w:w="14" w:type="dxa"/>
              <w:right w:w="14" w:type="dxa"/>
            </w:tcMar>
          </w:tcPr>
          <w:p w14:paraId="6E15B191" w14:textId="77777777" w:rsidR="00480052" w:rsidRPr="002009D7" w:rsidRDefault="00480052" w:rsidP="00BB1DAF">
            <w:pPr>
              <w:jc w:val="right"/>
              <w:rPr>
                <w:b/>
                <w:sz w:val="18"/>
                <w:szCs w:val="18"/>
                <w:lang w:val="fr-FR"/>
              </w:rPr>
            </w:pPr>
            <w:r w:rsidRPr="002009D7">
              <w:rPr>
                <w:b/>
                <w:sz w:val="18"/>
                <w:szCs w:val="18"/>
                <w:lang w:val="fr-FR"/>
              </w:rPr>
              <w:t>4,87</w:t>
            </w:r>
          </w:p>
        </w:tc>
        <w:tc>
          <w:tcPr>
            <w:tcW w:w="332" w:type="pct"/>
          </w:tcPr>
          <w:p w14:paraId="5149FAEA" w14:textId="77777777" w:rsidR="00480052" w:rsidRPr="002009D7" w:rsidRDefault="00480052" w:rsidP="00BB1DAF">
            <w:pPr>
              <w:jc w:val="right"/>
              <w:rPr>
                <w:b/>
                <w:sz w:val="18"/>
                <w:szCs w:val="18"/>
                <w:lang w:val="fr-FR"/>
              </w:rPr>
            </w:pPr>
            <w:r w:rsidRPr="002009D7">
              <w:rPr>
                <w:b/>
                <w:sz w:val="18"/>
                <w:szCs w:val="18"/>
                <w:lang w:val="fr-FR"/>
              </w:rPr>
              <w:t>4,87</w:t>
            </w:r>
          </w:p>
        </w:tc>
        <w:tc>
          <w:tcPr>
            <w:tcW w:w="358" w:type="pct"/>
            <w:tcMar>
              <w:left w:w="14" w:type="dxa"/>
              <w:right w:w="14" w:type="dxa"/>
            </w:tcMar>
          </w:tcPr>
          <w:p w14:paraId="1E2BCAF0" w14:textId="77777777" w:rsidR="00480052" w:rsidRPr="002009D7" w:rsidRDefault="00480052" w:rsidP="00BB1DAF">
            <w:pPr>
              <w:jc w:val="right"/>
              <w:rPr>
                <w:sz w:val="18"/>
                <w:szCs w:val="18"/>
                <w:lang w:val="fr-FR"/>
              </w:rPr>
            </w:pPr>
            <w:proofErr w:type="spellStart"/>
            <w:r w:rsidRPr="002009D7">
              <w:rPr>
                <w:sz w:val="18"/>
                <w:szCs w:val="18"/>
                <w:lang w:val="fr-FR"/>
              </w:rPr>
              <w:t>s.o</w:t>
            </w:r>
            <w:proofErr w:type="spellEnd"/>
            <w:r w:rsidRPr="002009D7">
              <w:rPr>
                <w:sz w:val="18"/>
                <w:szCs w:val="18"/>
                <w:lang w:val="fr-FR"/>
              </w:rPr>
              <w:t>.</w:t>
            </w:r>
          </w:p>
        </w:tc>
      </w:tr>
      <w:tr w:rsidR="00480052" w:rsidRPr="002009D7" w14:paraId="4417C495" w14:textId="77777777" w:rsidTr="00932B6D">
        <w:tc>
          <w:tcPr>
            <w:tcW w:w="147" w:type="pct"/>
            <w:noWrap/>
            <w:tcMar>
              <w:left w:w="0" w:type="dxa"/>
              <w:right w:w="0" w:type="dxa"/>
            </w:tcMar>
          </w:tcPr>
          <w:p w14:paraId="6F34CBB2" w14:textId="64FE6923" w:rsidR="00480052" w:rsidRPr="002009D7" w:rsidRDefault="00480052" w:rsidP="00BB1DAF">
            <w:pPr>
              <w:jc w:val="left"/>
              <w:rPr>
                <w:sz w:val="18"/>
                <w:szCs w:val="18"/>
                <w:lang w:val="fr-FR"/>
              </w:rPr>
            </w:pPr>
            <w:r w:rsidRPr="002009D7">
              <w:rPr>
                <w:sz w:val="18"/>
                <w:szCs w:val="18"/>
                <w:lang w:val="fr-FR"/>
              </w:rPr>
              <w:t>2</w:t>
            </w:r>
            <w:r w:rsidR="00B158CB">
              <w:rPr>
                <w:sz w:val="18"/>
                <w:szCs w:val="18"/>
                <w:lang w:val="fr-FR"/>
              </w:rPr>
              <w:t>.</w:t>
            </w:r>
            <w:r w:rsidRPr="002009D7">
              <w:rPr>
                <w:sz w:val="18"/>
                <w:szCs w:val="18"/>
                <w:lang w:val="fr-FR"/>
              </w:rPr>
              <w:t>1</w:t>
            </w:r>
          </w:p>
        </w:tc>
        <w:tc>
          <w:tcPr>
            <w:tcW w:w="1101" w:type="pct"/>
          </w:tcPr>
          <w:p w14:paraId="577759F5" w14:textId="77777777" w:rsidR="00480052" w:rsidRPr="002009D7" w:rsidRDefault="00480052" w:rsidP="00BB1DAF">
            <w:pPr>
              <w:jc w:val="left"/>
              <w:rPr>
                <w:sz w:val="18"/>
                <w:szCs w:val="18"/>
                <w:lang w:val="fr-FR"/>
              </w:rPr>
            </w:pPr>
            <w:r w:rsidRPr="002009D7">
              <w:rPr>
                <w:sz w:val="18"/>
                <w:szCs w:val="18"/>
                <w:lang w:val="fr-FR"/>
              </w:rPr>
              <w:t>Financement convenu pour l’agence principale (PNUE) ($ US)</w:t>
            </w:r>
          </w:p>
        </w:tc>
        <w:tc>
          <w:tcPr>
            <w:tcW w:w="319" w:type="pct"/>
            <w:tcMar>
              <w:left w:w="14" w:type="dxa"/>
              <w:right w:w="14" w:type="dxa"/>
            </w:tcMar>
          </w:tcPr>
          <w:p w14:paraId="18C2F43B" w14:textId="77777777" w:rsidR="00480052" w:rsidRPr="002009D7" w:rsidRDefault="00480052" w:rsidP="00BB1DAF">
            <w:pPr>
              <w:jc w:val="right"/>
              <w:rPr>
                <w:sz w:val="18"/>
                <w:szCs w:val="18"/>
                <w:lang w:val="fr-FR"/>
              </w:rPr>
            </w:pPr>
            <w:r w:rsidRPr="002009D7">
              <w:rPr>
                <w:sz w:val="18"/>
                <w:szCs w:val="18"/>
                <w:lang w:val="fr-FR"/>
              </w:rPr>
              <w:t>85</w:t>
            </w:r>
            <w:r w:rsidR="004A3B9C">
              <w:rPr>
                <w:sz w:val="18"/>
                <w:szCs w:val="18"/>
                <w:lang w:val="fr-FR"/>
              </w:rPr>
              <w:t> </w:t>
            </w:r>
            <w:r w:rsidRPr="002009D7">
              <w:rPr>
                <w:sz w:val="18"/>
                <w:szCs w:val="18"/>
                <w:lang w:val="fr-FR"/>
              </w:rPr>
              <w:t xml:space="preserve">000 </w:t>
            </w:r>
          </w:p>
        </w:tc>
        <w:tc>
          <w:tcPr>
            <w:tcW w:w="303" w:type="pct"/>
            <w:tcMar>
              <w:left w:w="14" w:type="dxa"/>
              <w:right w:w="14" w:type="dxa"/>
            </w:tcMar>
          </w:tcPr>
          <w:p w14:paraId="0A204850" w14:textId="77777777" w:rsidR="00480052" w:rsidRPr="002009D7" w:rsidRDefault="00480052" w:rsidP="00BB1DAF">
            <w:pPr>
              <w:jc w:val="right"/>
              <w:rPr>
                <w:sz w:val="18"/>
                <w:szCs w:val="18"/>
                <w:lang w:val="fr-FR"/>
              </w:rPr>
            </w:pPr>
            <w:r w:rsidRPr="002009D7">
              <w:rPr>
                <w:sz w:val="18"/>
                <w:szCs w:val="18"/>
                <w:lang w:val="fr-FR"/>
              </w:rPr>
              <w:t xml:space="preserve">0 </w:t>
            </w:r>
          </w:p>
        </w:tc>
        <w:tc>
          <w:tcPr>
            <w:tcW w:w="303" w:type="pct"/>
            <w:tcMar>
              <w:left w:w="14" w:type="dxa"/>
              <w:right w:w="14" w:type="dxa"/>
            </w:tcMar>
          </w:tcPr>
          <w:p w14:paraId="1382E67A" w14:textId="77777777" w:rsidR="00480052" w:rsidRPr="002009D7" w:rsidRDefault="00480052" w:rsidP="00BB1DAF">
            <w:pPr>
              <w:jc w:val="right"/>
              <w:rPr>
                <w:b/>
                <w:sz w:val="18"/>
                <w:szCs w:val="18"/>
                <w:lang w:val="fr-FR"/>
              </w:rPr>
            </w:pPr>
            <w:r w:rsidRPr="002009D7">
              <w:rPr>
                <w:sz w:val="18"/>
                <w:szCs w:val="18"/>
                <w:lang w:val="fr-FR"/>
              </w:rPr>
              <w:t>60</w:t>
            </w:r>
            <w:r w:rsidR="004A3B9C">
              <w:rPr>
                <w:sz w:val="18"/>
                <w:szCs w:val="18"/>
                <w:lang w:val="fr-FR"/>
              </w:rPr>
              <w:t> </w:t>
            </w:r>
            <w:r w:rsidRPr="002009D7">
              <w:rPr>
                <w:sz w:val="18"/>
                <w:szCs w:val="18"/>
                <w:lang w:val="fr-FR"/>
              </w:rPr>
              <w:t>000</w:t>
            </w:r>
          </w:p>
        </w:tc>
        <w:tc>
          <w:tcPr>
            <w:tcW w:w="303" w:type="pct"/>
            <w:tcMar>
              <w:left w:w="14" w:type="dxa"/>
              <w:right w:w="14" w:type="dxa"/>
            </w:tcMar>
          </w:tcPr>
          <w:p w14:paraId="1FD09FC1" w14:textId="77777777" w:rsidR="00480052" w:rsidRPr="002009D7" w:rsidRDefault="00480052" w:rsidP="00BB1DAF">
            <w:pPr>
              <w:jc w:val="right"/>
              <w:rPr>
                <w:sz w:val="18"/>
                <w:szCs w:val="18"/>
                <w:lang w:val="fr-FR"/>
              </w:rPr>
            </w:pPr>
            <w:r w:rsidRPr="002009D7">
              <w:rPr>
                <w:sz w:val="18"/>
                <w:szCs w:val="18"/>
                <w:lang w:val="fr-FR"/>
              </w:rPr>
              <w:t xml:space="preserve">0 </w:t>
            </w:r>
          </w:p>
        </w:tc>
        <w:tc>
          <w:tcPr>
            <w:tcW w:w="303" w:type="pct"/>
            <w:tcMar>
              <w:left w:w="14" w:type="dxa"/>
              <w:right w:w="14" w:type="dxa"/>
            </w:tcMar>
          </w:tcPr>
          <w:p w14:paraId="218D62E4" w14:textId="77777777" w:rsidR="00480052" w:rsidRPr="002009D7" w:rsidRDefault="00480052" w:rsidP="00BB1DAF">
            <w:pPr>
              <w:jc w:val="right"/>
              <w:rPr>
                <w:b/>
                <w:sz w:val="18"/>
                <w:szCs w:val="18"/>
                <w:lang w:val="fr-FR"/>
              </w:rPr>
            </w:pPr>
            <w:r w:rsidRPr="002009D7">
              <w:rPr>
                <w:b/>
                <w:sz w:val="18"/>
                <w:szCs w:val="18"/>
                <w:lang w:val="fr-FR"/>
              </w:rPr>
              <w:t xml:space="preserve">0 </w:t>
            </w:r>
          </w:p>
        </w:tc>
        <w:tc>
          <w:tcPr>
            <w:tcW w:w="303" w:type="pct"/>
            <w:tcMar>
              <w:left w:w="14" w:type="dxa"/>
              <w:right w:w="14" w:type="dxa"/>
            </w:tcMar>
          </w:tcPr>
          <w:p w14:paraId="48178C03" w14:textId="77777777" w:rsidR="00480052" w:rsidRPr="002009D7" w:rsidRDefault="00480052" w:rsidP="00BB1DAF">
            <w:pPr>
              <w:jc w:val="right"/>
              <w:rPr>
                <w:b/>
                <w:sz w:val="18"/>
                <w:szCs w:val="18"/>
                <w:lang w:val="fr-FR"/>
              </w:rPr>
            </w:pPr>
            <w:r w:rsidRPr="002009D7">
              <w:rPr>
                <w:sz w:val="18"/>
                <w:szCs w:val="18"/>
                <w:lang w:val="fr-FR"/>
              </w:rPr>
              <w:t>0</w:t>
            </w:r>
          </w:p>
        </w:tc>
        <w:tc>
          <w:tcPr>
            <w:tcW w:w="303" w:type="pct"/>
            <w:tcMar>
              <w:left w:w="14" w:type="dxa"/>
              <w:right w:w="14" w:type="dxa"/>
            </w:tcMar>
          </w:tcPr>
          <w:p w14:paraId="4A6317FF" w14:textId="77777777" w:rsidR="00480052" w:rsidRPr="002009D7" w:rsidRDefault="00480052" w:rsidP="00BB1DAF">
            <w:pPr>
              <w:jc w:val="right"/>
              <w:rPr>
                <w:b/>
                <w:sz w:val="18"/>
                <w:szCs w:val="18"/>
                <w:lang w:val="fr-FR"/>
              </w:rPr>
            </w:pPr>
            <w:r w:rsidRPr="002009D7">
              <w:rPr>
                <w:b/>
                <w:sz w:val="18"/>
                <w:szCs w:val="18"/>
                <w:lang w:val="fr-FR"/>
              </w:rPr>
              <w:t>0</w:t>
            </w:r>
          </w:p>
        </w:tc>
        <w:tc>
          <w:tcPr>
            <w:tcW w:w="303" w:type="pct"/>
            <w:tcMar>
              <w:left w:w="14" w:type="dxa"/>
              <w:right w:w="14" w:type="dxa"/>
            </w:tcMar>
          </w:tcPr>
          <w:p w14:paraId="569C615C" w14:textId="77777777" w:rsidR="00480052" w:rsidRPr="002009D7" w:rsidRDefault="00480052" w:rsidP="00BB1DAF">
            <w:pPr>
              <w:jc w:val="right"/>
              <w:rPr>
                <w:sz w:val="18"/>
                <w:szCs w:val="18"/>
                <w:lang w:val="fr-FR"/>
              </w:rPr>
            </w:pPr>
            <w:r w:rsidRPr="002009D7">
              <w:rPr>
                <w:sz w:val="18"/>
                <w:szCs w:val="18"/>
                <w:lang w:val="fr-FR"/>
              </w:rPr>
              <w:t>0</w:t>
            </w:r>
          </w:p>
        </w:tc>
        <w:tc>
          <w:tcPr>
            <w:tcW w:w="319" w:type="pct"/>
            <w:tcMar>
              <w:left w:w="14" w:type="dxa"/>
              <w:right w:w="14" w:type="dxa"/>
            </w:tcMar>
          </w:tcPr>
          <w:p w14:paraId="484FEA73" w14:textId="77777777" w:rsidR="00480052" w:rsidRPr="002009D7" w:rsidRDefault="00480052" w:rsidP="00BB1DAF">
            <w:pPr>
              <w:jc w:val="right"/>
              <w:rPr>
                <w:b/>
                <w:sz w:val="18"/>
                <w:szCs w:val="18"/>
                <w:lang w:val="fr-FR"/>
              </w:rPr>
            </w:pPr>
            <w:r w:rsidRPr="002009D7">
              <w:rPr>
                <w:b/>
                <w:sz w:val="18"/>
                <w:szCs w:val="18"/>
                <w:lang w:val="fr-FR"/>
              </w:rPr>
              <w:t>100</w:t>
            </w:r>
            <w:r w:rsidR="004A3B9C">
              <w:rPr>
                <w:b/>
                <w:sz w:val="18"/>
                <w:szCs w:val="18"/>
                <w:lang w:val="fr-FR"/>
              </w:rPr>
              <w:t> </w:t>
            </w:r>
            <w:r w:rsidRPr="002009D7">
              <w:rPr>
                <w:b/>
                <w:sz w:val="18"/>
                <w:szCs w:val="18"/>
                <w:lang w:val="fr-FR"/>
              </w:rPr>
              <w:t>000</w:t>
            </w:r>
          </w:p>
        </w:tc>
        <w:tc>
          <w:tcPr>
            <w:tcW w:w="303" w:type="pct"/>
            <w:tcMar>
              <w:left w:w="14" w:type="dxa"/>
              <w:right w:w="14" w:type="dxa"/>
            </w:tcMar>
          </w:tcPr>
          <w:p w14:paraId="3CE22A6D" w14:textId="77777777" w:rsidR="00480052" w:rsidRPr="002009D7" w:rsidRDefault="00480052" w:rsidP="00BB1DAF">
            <w:pPr>
              <w:jc w:val="right"/>
              <w:rPr>
                <w:b/>
                <w:sz w:val="18"/>
                <w:szCs w:val="18"/>
                <w:lang w:val="fr-FR"/>
              </w:rPr>
            </w:pPr>
            <w:r w:rsidRPr="002009D7">
              <w:rPr>
                <w:b/>
                <w:sz w:val="18"/>
                <w:szCs w:val="18"/>
                <w:lang w:val="fr-FR"/>
              </w:rPr>
              <w:t xml:space="preserve">0 </w:t>
            </w:r>
          </w:p>
        </w:tc>
        <w:tc>
          <w:tcPr>
            <w:tcW w:w="332" w:type="pct"/>
          </w:tcPr>
          <w:p w14:paraId="4B82599C" w14:textId="77777777" w:rsidR="00480052" w:rsidRPr="002009D7" w:rsidRDefault="00480052" w:rsidP="00BB1DAF">
            <w:pPr>
              <w:jc w:val="right"/>
              <w:rPr>
                <w:b/>
                <w:sz w:val="18"/>
                <w:szCs w:val="18"/>
                <w:lang w:val="fr-FR"/>
              </w:rPr>
            </w:pPr>
            <w:r w:rsidRPr="002009D7">
              <w:rPr>
                <w:b/>
                <w:sz w:val="18"/>
                <w:szCs w:val="18"/>
                <w:lang w:val="fr-FR"/>
              </w:rPr>
              <w:t>0</w:t>
            </w:r>
          </w:p>
        </w:tc>
        <w:tc>
          <w:tcPr>
            <w:tcW w:w="358" w:type="pct"/>
            <w:tcMar>
              <w:left w:w="14" w:type="dxa"/>
              <w:right w:w="14" w:type="dxa"/>
            </w:tcMar>
          </w:tcPr>
          <w:p w14:paraId="62B4907C" w14:textId="77777777" w:rsidR="00480052" w:rsidRPr="002009D7" w:rsidRDefault="00480052" w:rsidP="00BB1DAF">
            <w:pPr>
              <w:jc w:val="right"/>
              <w:rPr>
                <w:b/>
                <w:sz w:val="18"/>
                <w:szCs w:val="18"/>
                <w:lang w:val="fr-FR"/>
              </w:rPr>
            </w:pPr>
            <w:r w:rsidRPr="002009D7">
              <w:rPr>
                <w:b/>
                <w:sz w:val="18"/>
                <w:szCs w:val="18"/>
                <w:lang w:val="fr-FR"/>
              </w:rPr>
              <w:t>245</w:t>
            </w:r>
            <w:r w:rsidR="004A3B9C">
              <w:rPr>
                <w:b/>
                <w:sz w:val="18"/>
                <w:szCs w:val="18"/>
                <w:lang w:val="fr-FR"/>
              </w:rPr>
              <w:t> </w:t>
            </w:r>
            <w:r w:rsidRPr="002009D7">
              <w:rPr>
                <w:b/>
                <w:sz w:val="18"/>
                <w:szCs w:val="18"/>
                <w:lang w:val="fr-FR"/>
              </w:rPr>
              <w:t>000</w:t>
            </w:r>
          </w:p>
        </w:tc>
      </w:tr>
      <w:tr w:rsidR="00480052" w:rsidRPr="002009D7" w14:paraId="1C0CCFA6" w14:textId="77777777" w:rsidTr="00932B6D">
        <w:tc>
          <w:tcPr>
            <w:tcW w:w="147" w:type="pct"/>
            <w:noWrap/>
            <w:tcMar>
              <w:left w:w="0" w:type="dxa"/>
              <w:right w:w="0" w:type="dxa"/>
            </w:tcMar>
          </w:tcPr>
          <w:p w14:paraId="5EDD524E" w14:textId="182DEF61" w:rsidR="00480052" w:rsidRPr="002009D7" w:rsidRDefault="00480052" w:rsidP="00BB1DAF">
            <w:pPr>
              <w:jc w:val="left"/>
              <w:rPr>
                <w:sz w:val="18"/>
                <w:szCs w:val="18"/>
                <w:lang w:val="fr-FR"/>
              </w:rPr>
            </w:pPr>
            <w:r w:rsidRPr="002009D7">
              <w:rPr>
                <w:sz w:val="18"/>
                <w:szCs w:val="18"/>
                <w:lang w:val="fr-FR"/>
              </w:rPr>
              <w:t>2</w:t>
            </w:r>
            <w:r w:rsidR="00B158CB">
              <w:rPr>
                <w:sz w:val="18"/>
                <w:szCs w:val="18"/>
                <w:lang w:val="fr-FR"/>
              </w:rPr>
              <w:t>.</w:t>
            </w:r>
            <w:r w:rsidRPr="002009D7">
              <w:rPr>
                <w:sz w:val="18"/>
                <w:szCs w:val="18"/>
                <w:lang w:val="fr-FR"/>
              </w:rPr>
              <w:t>2</w:t>
            </w:r>
          </w:p>
        </w:tc>
        <w:tc>
          <w:tcPr>
            <w:tcW w:w="1101" w:type="pct"/>
          </w:tcPr>
          <w:p w14:paraId="6BAB73CB" w14:textId="77777777" w:rsidR="00480052" w:rsidRPr="002009D7" w:rsidRDefault="00480052" w:rsidP="00BB1DAF">
            <w:pPr>
              <w:jc w:val="left"/>
              <w:rPr>
                <w:sz w:val="18"/>
                <w:szCs w:val="18"/>
                <w:lang w:val="fr-FR"/>
              </w:rPr>
            </w:pPr>
            <w:r w:rsidRPr="002009D7">
              <w:rPr>
                <w:sz w:val="18"/>
                <w:szCs w:val="18"/>
                <w:lang w:val="fr-FR"/>
              </w:rPr>
              <w:t>Coûts d’appui pour l’agence principale ($ US)</w:t>
            </w:r>
          </w:p>
        </w:tc>
        <w:tc>
          <w:tcPr>
            <w:tcW w:w="319" w:type="pct"/>
            <w:tcMar>
              <w:left w:w="14" w:type="dxa"/>
              <w:right w:w="14" w:type="dxa"/>
            </w:tcMar>
          </w:tcPr>
          <w:p w14:paraId="2B861D72" w14:textId="77777777" w:rsidR="00480052" w:rsidRPr="002009D7" w:rsidRDefault="00480052" w:rsidP="00BB1DAF">
            <w:pPr>
              <w:jc w:val="right"/>
              <w:rPr>
                <w:sz w:val="18"/>
                <w:szCs w:val="18"/>
                <w:lang w:val="fr-FR"/>
              </w:rPr>
            </w:pPr>
            <w:r w:rsidRPr="002009D7">
              <w:rPr>
                <w:sz w:val="18"/>
                <w:szCs w:val="18"/>
                <w:lang w:val="fr-FR"/>
              </w:rPr>
              <w:t>11</w:t>
            </w:r>
            <w:r w:rsidR="004A3B9C">
              <w:rPr>
                <w:sz w:val="18"/>
                <w:szCs w:val="18"/>
                <w:lang w:val="fr-FR"/>
              </w:rPr>
              <w:t> </w:t>
            </w:r>
            <w:r w:rsidRPr="002009D7">
              <w:rPr>
                <w:sz w:val="18"/>
                <w:szCs w:val="18"/>
                <w:lang w:val="fr-FR"/>
              </w:rPr>
              <w:t xml:space="preserve">050 </w:t>
            </w:r>
          </w:p>
        </w:tc>
        <w:tc>
          <w:tcPr>
            <w:tcW w:w="303" w:type="pct"/>
            <w:tcMar>
              <w:left w:w="14" w:type="dxa"/>
              <w:right w:w="14" w:type="dxa"/>
            </w:tcMar>
          </w:tcPr>
          <w:p w14:paraId="53246B11" w14:textId="77777777" w:rsidR="00480052" w:rsidRPr="002009D7" w:rsidRDefault="00480052" w:rsidP="00BB1DAF">
            <w:pPr>
              <w:jc w:val="right"/>
              <w:rPr>
                <w:sz w:val="18"/>
                <w:szCs w:val="18"/>
                <w:lang w:val="fr-FR"/>
              </w:rPr>
            </w:pPr>
            <w:r w:rsidRPr="002009D7">
              <w:rPr>
                <w:sz w:val="18"/>
                <w:szCs w:val="18"/>
                <w:lang w:val="fr-FR"/>
              </w:rPr>
              <w:t xml:space="preserve">0 </w:t>
            </w:r>
          </w:p>
        </w:tc>
        <w:tc>
          <w:tcPr>
            <w:tcW w:w="303" w:type="pct"/>
            <w:tcMar>
              <w:left w:w="14" w:type="dxa"/>
              <w:right w:w="14" w:type="dxa"/>
            </w:tcMar>
          </w:tcPr>
          <w:p w14:paraId="372C3E0C" w14:textId="77777777" w:rsidR="00480052" w:rsidRPr="002009D7" w:rsidRDefault="00480052" w:rsidP="00BB1DAF">
            <w:pPr>
              <w:jc w:val="right"/>
              <w:rPr>
                <w:b/>
                <w:sz w:val="18"/>
                <w:szCs w:val="18"/>
                <w:lang w:val="fr-FR"/>
              </w:rPr>
            </w:pPr>
            <w:r w:rsidRPr="002009D7">
              <w:rPr>
                <w:sz w:val="18"/>
                <w:szCs w:val="18"/>
                <w:lang w:val="fr-FR"/>
              </w:rPr>
              <w:t>7</w:t>
            </w:r>
            <w:r w:rsidR="004A3B9C">
              <w:rPr>
                <w:sz w:val="18"/>
                <w:szCs w:val="18"/>
                <w:lang w:val="fr-FR"/>
              </w:rPr>
              <w:t> </w:t>
            </w:r>
            <w:r w:rsidRPr="002009D7">
              <w:rPr>
                <w:sz w:val="18"/>
                <w:szCs w:val="18"/>
                <w:lang w:val="fr-FR"/>
              </w:rPr>
              <w:t xml:space="preserve">800 </w:t>
            </w:r>
          </w:p>
        </w:tc>
        <w:tc>
          <w:tcPr>
            <w:tcW w:w="303" w:type="pct"/>
            <w:tcMar>
              <w:left w:w="14" w:type="dxa"/>
              <w:right w:w="14" w:type="dxa"/>
            </w:tcMar>
          </w:tcPr>
          <w:p w14:paraId="37552827" w14:textId="77777777" w:rsidR="00480052" w:rsidRPr="002009D7" w:rsidRDefault="00480052" w:rsidP="00BB1DAF">
            <w:pPr>
              <w:jc w:val="right"/>
              <w:rPr>
                <w:sz w:val="18"/>
                <w:szCs w:val="18"/>
                <w:lang w:val="fr-FR"/>
              </w:rPr>
            </w:pPr>
            <w:r w:rsidRPr="002009D7">
              <w:rPr>
                <w:sz w:val="18"/>
                <w:szCs w:val="18"/>
                <w:lang w:val="fr-FR"/>
              </w:rPr>
              <w:t xml:space="preserve">0 </w:t>
            </w:r>
          </w:p>
        </w:tc>
        <w:tc>
          <w:tcPr>
            <w:tcW w:w="303" w:type="pct"/>
            <w:tcMar>
              <w:left w:w="14" w:type="dxa"/>
              <w:right w:w="14" w:type="dxa"/>
            </w:tcMar>
          </w:tcPr>
          <w:p w14:paraId="58F2392E" w14:textId="77777777" w:rsidR="00480052" w:rsidRPr="002009D7" w:rsidRDefault="00480052" w:rsidP="00BB1DAF">
            <w:pPr>
              <w:jc w:val="right"/>
              <w:rPr>
                <w:b/>
                <w:sz w:val="18"/>
                <w:szCs w:val="18"/>
                <w:lang w:val="fr-FR"/>
              </w:rPr>
            </w:pPr>
            <w:r w:rsidRPr="002009D7">
              <w:rPr>
                <w:b/>
                <w:sz w:val="18"/>
                <w:szCs w:val="18"/>
                <w:lang w:val="fr-FR"/>
              </w:rPr>
              <w:t xml:space="preserve">0 </w:t>
            </w:r>
          </w:p>
        </w:tc>
        <w:tc>
          <w:tcPr>
            <w:tcW w:w="303" w:type="pct"/>
            <w:tcMar>
              <w:left w:w="14" w:type="dxa"/>
              <w:right w:w="14" w:type="dxa"/>
            </w:tcMar>
          </w:tcPr>
          <w:p w14:paraId="5F8891D2" w14:textId="77777777" w:rsidR="00480052" w:rsidRPr="002009D7" w:rsidRDefault="00480052" w:rsidP="00BB1DAF">
            <w:pPr>
              <w:jc w:val="right"/>
              <w:rPr>
                <w:b/>
                <w:sz w:val="18"/>
                <w:szCs w:val="18"/>
                <w:lang w:val="fr-FR"/>
              </w:rPr>
            </w:pPr>
            <w:r w:rsidRPr="002009D7">
              <w:rPr>
                <w:sz w:val="18"/>
                <w:szCs w:val="18"/>
                <w:lang w:val="fr-FR"/>
              </w:rPr>
              <w:t>0</w:t>
            </w:r>
          </w:p>
        </w:tc>
        <w:tc>
          <w:tcPr>
            <w:tcW w:w="303" w:type="pct"/>
            <w:tcMar>
              <w:left w:w="14" w:type="dxa"/>
              <w:right w:w="14" w:type="dxa"/>
            </w:tcMar>
          </w:tcPr>
          <w:p w14:paraId="154F05A6" w14:textId="77777777" w:rsidR="00480052" w:rsidRPr="002009D7" w:rsidRDefault="00480052" w:rsidP="00BB1DAF">
            <w:pPr>
              <w:jc w:val="right"/>
              <w:rPr>
                <w:b/>
                <w:sz w:val="18"/>
                <w:szCs w:val="18"/>
                <w:lang w:val="fr-FR"/>
              </w:rPr>
            </w:pPr>
            <w:r w:rsidRPr="002009D7">
              <w:rPr>
                <w:b/>
                <w:sz w:val="18"/>
                <w:szCs w:val="18"/>
                <w:lang w:val="fr-FR"/>
              </w:rPr>
              <w:t>0</w:t>
            </w:r>
          </w:p>
        </w:tc>
        <w:tc>
          <w:tcPr>
            <w:tcW w:w="303" w:type="pct"/>
            <w:tcMar>
              <w:left w:w="14" w:type="dxa"/>
              <w:right w:w="14" w:type="dxa"/>
            </w:tcMar>
          </w:tcPr>
          <w:p w14:paraId="13987B69" w14:textId="77777777" w:rsidR="00480052" w:rsidRPr="002009D7" w:rsidRDefault="00480052" w:rsidP="00BB1DAF">
            <w:pPr>
              <w:jc w:val="right"/>
              <w:rPr>
                <w:sz w:val="18"/>
                <w:szCs w:val="18"/>
                <w:lang w:val="fr-FR"/>
              </w:rPr>
            </w:pPr>
            <w:r w:rsidRPr="002009D7">
              <w:rPr>
                <w:sz w:val="18"/>
                <w:szCs w:val="18"/>
                <w:lang w:val="fr-FR"/>
              </w:rPr>
              <w:t>0</w:t>
            </w:r>
          </w:p>
        </w:tc>
        <w:tc>
          <w:tcPr>
            <w:tcW w:w="319" w:type="pct"/>
            <w:tcMar>
              <w:left w:w="14" w:type="dxa"/>
              <w:right w:w="14" w:type="dxa"/>
            </w:tcMar>
          </w:tcPr>
          <w:p w14:paraId="5BC33745" w14:textId="77777777" w:rsidR="00480052" w:rsidRPr="002009D7" w:rsidRDefault="00480052" w:rsidP="00BB1DAF">
            <w:pPr>
              <w:jc w:val="right"/>
              <w:rPr>
                <w:b/>
                <w:sz w:val="18"/>
                <w:szCs w:val="18"/>
                <w:lang w:val="fr-FR"/>
              </w:rPr>
            </w:pPr>
            <w:r w:rsidRPr="002009D7">
              <w:rPr>
                <w:b/>
                <w:sz w:val="18"/>
                <w:szCs w:val="18"/>
                <w:lang w:val="fr-FR"/>
              </w:rPr>
              <w:t>13</w:t>
            </w:r>
            <w:r w:rsidR="004A3B9C">
              <w:rPr>
                <w:b/>
                <w:sz w:val="18"/>
                <w:szCs w:val="18"/>
                <w:lang w:val="fr-FR"/>
              </w:rPr>
              <w:t> </w:t>
            </w:r>
            <w:r w:rsidRPr="002009D7">
              <w:rPr>
                <w:b/>
                <w:sz w:val="18"/>
                <w:szCs w:val="18"/>
                <w:lang w:val="fr-FR"/>
              </w:rPr>
              <w:t>000</w:t>
            </w:r>
          </w:p>
        </w:tc>
        <w:tc>
          <w:tcPr>
            <w:tcW w:w="303" w:type="pct"/>
            <w:tcMar>
              <w:left w:w="14" w:type="dxa"/>
              <w:right w:w="14" w:type="dxa"/>
            </w:tcMar>
          </w:tcPr>
          <w:p w14:paraId="6B2C40E2" w14:textId="77777777" w:rsidR="00480052" w:rsidRPr="002009D7" w:rsidRDefault="00480052" w:rsidP="00BB1DAF">
            <w:pPr>
              <w:jc w:val="right"/>
              <w:rPr>
                <w:b/>
                <w:sz w:val="18"/>
                <w:szCs w:val="18"/>
                <w:lang w:val="fr-FR"/>
              </w:rPr>
            </w:pPr>
            <w:r w:rsidRPr="002009D7">
              <w:rPr>
                <w:b/>
                <w:sz w:val="18"/>
                <w:szCs w:val="18"/>
                <w:lang w:val="fr-FR"/>
              </w:rPr>
              <w:t xml:space="preserve">0 </w:t>
            </w:r>
          </w:p>
        </w:tc>
        <w:tc>
          <w:tcPr>
            <w:tcW w:w="332" w:type="pct"/>
          </w:tcPr>
          <w:p w14:paraId="1BC210BF" w14:textId="77777777" w:rsidR="00480052" w:rsidRPr="002009D7" w:rsidRDefault="00480052" w:rsidP="00BB1DAF">
            <w:pPr>
              <w:jc w:val="right"/>
              <w:rPr>
                <w:b/>
                <w:sz w:val="18"/>
                <w:szCs w:val="18"/>
                <w:lang w:val="fr-FR"/>
              </w:rPr>
            </w:pPr>
            <w:r w:rsidRPr="002009D7">
              <w:rPr>
                <w:b/>
                <w:sz w:val="18"/>
                <w:szCs w:val="18"/>
                <w:lang w:val="fr-FR"/>
              </w:rPr>
              <w:t>0</w:t>
            </w:r>
          </w:p>
        </w:tc>
        <w:tc>
          <w:tcPr>
            <w:tcW w:w="358" w:type="pct"/>
            <w:tcMar>
              <w:left w:w="14" w:type="dxa"/>
              <w:right w:w="14" w:type="dxa"/>
            </w:tcMar>
          </w:tcPr>
          <w:p w14:paraId="7F091F90" w14:textId="77777777" w:rsidR="00480052" w:rsidRPr="002009D7" w:rsidRDefault="00480052" w:rsidP="00BB1DAF">
            <w:pPr>
              <w:jc w:val="right"/>
              <w:rPr>
                <w:b/>
                <w:sz w:val="18"/>
                <w:szCs w:val="18"/>
                <w:lang w:val="fr-FR"/>
              </w:rPr>
            </w:pPr>
            <w:r w:rsidRPr="002009D7">
              <w:rPr>
                <w:b/>
                <w:sz w:val="18"/>
                <w:szCs w:val="18"/>
                <w:lang w:val="fr-FR"/>
              </w:rPr>
              <w:t>31</w:t>
            </w:r>
            <w:r w:rsidR="004A3B9C">
              <w:rPr>
                <w:b/>
                <w:sz w:val="18"/>
                <w:szCs w:val="18"/>
                <w:lang w:val="fr-FR"/>
              </w:rPr>
              <w:t> </w:t>
            </w:r>
            <w:r w:rsidRPr="002009D7">
              <w:rPr>
                <w:b/>
                <w:sz w:val="18"/>
                <w:szCs w:val="18"/>
                <w:lang w:val="fr-FR"/>
              </w:rPr>
              <w:t>850</w:t>
            </w:r>
          </w:p>
        </w:tc>
      </w:tr>
      <w:tr w:rsidR="00480052" w:rsidRPr="002009D7" w14:paraId="188E3CE6" w14:textId="77777777" w:rsidTr="00932B6D">
        <w:tc>
          <w:tcPr>
            <w:tcW w:w="147" w:type="pct"/>
            <w:noWrap/>
            <w:tcMar>
              <w:left w:w="0" w:type="dxa"/>
              <w:right w:w="0" w:type="dxa"/>
            </w:tcMar>
          </w:tcPr>
          <w:p w14:paraId="3286E25B" w14:textId="37391CFA" w:rsidR="00480052" w:rsidRPr="002009D7" w:rsidRDefault="00480052" w:rsidP="00BB1DAF">
            <w:pPr>
              <w:jc w:val="left"/>
              <w:rPr>
                <w:sz w:val="18"/>
                <w:szCs w:val="18"/>
                <w:lang w:val="fr-FR"/>
              </w:rPr>
            </w:pPr>
            <w:r w:rsidRPr="002009D7">
              <w:rPr>
                <w:sz w:val="18"/>
                <w:szCs w:val="18"/>
                <w:lang w:val="fr-FR"/>
              </w:rPr>
              <w:t>2</w:t>
            </w:r>
            <w:r w:rsidR="00B158CB">
              <w:rPr>
                <w:sz w:val="18"/>
                <w:szCs w:val="18"/>
                <w:lang w:val="fr-FR"/>
              </w:rPr>
              <w:t>.</w:t>
            </w:r>
            <w:r w:rsidRPr="002009D7">
              <w:rPr>
                <w:sz w:val="18"/>
                <w:szCs w:val="18"/>
                <w:lang w:val="fr-FR"/>
              </w:rPr>
              <w:t>3</w:t>
            </w:r>
          </w:p>
        </w:tc>
        <w:tc>
          <w:tcPr>
            <w:tcW w:w="1101" w:type="pct"/>
          </w:tcPr>
          <w:p w14:paraId="7BA688BC" w14:textId="77777777" w:rsidR="00480052" w:rsidRPr="002009D7" w:rsidRDefault="00480052" w:rsidP="00BB1DAF">
            <w:pPr>
              <w:jc w:val="left"/>
              <w:rPr>
                <w:sz w:val="18"/>
                <w:szCs w:val="18"/>
                <w:lang w:val="fr-FR"/>
              </w:rPr>
            </w:pPr>
            <w:r w:rsidRPr="002009D7">
              <w:rPr>
                <w:sz w:val="18"/>
                <w:szCs w:val="18"/>
                <w:lang w:val="fr-FR"/>
              </w:rPr>
              <w:t>Financement convenu pour l’agence de coopération (ONUDI) ($ US)</w:t>
            </w:r>
          </w:p>
        </w:tc>
        <w:tc>
          <w:tcPr>
            <w:tcW w:w="319" w:type="pct"/>
            <w:tcMar>
              <w:left w:w="14" w:type="dxa"/>
              <w:right w:w="14" w:type="dxa"/>
            </w:tcMar>
          </w:tcPr>
          <w:p w14:paraId="3ED87FAB" w14:textId="77777777" w:rsidR="00480052" w:rsidRPr="002009D7" w:rsidRDefault="00480052" w:rsidP="00BB1DAF">
            <w:pPr>
              <w:jc w:val="right"/>
              <w:rPr>
                <w:sz w:val="18"/>
                <w:szCs w:val="18"/>
                <w:lang w:val="fr-FR"/>
              </w:rPr>
            </w:pPr>
            <w:r w:rsidRPr="002009D7">
              <w:rPr>
                <w:sz w:val="18"/>
                <w:szCs w:val="18"/>
                <w:lang w:val="fr-FR"/>
              </w:rPr>
              <w:t>160</w:t>
            </w:r>
            <w:r w:rsidR="004A3B9C">
              <w:rPr>
                <w:sz w:val="18"/>
                <w:szCs w:val="18"/>
                <w:lang w:val="fr-FR"/>
              </w:rPr>
              <w:t> </w:t>
            </w:r>
            <w:r w:rsidRPr="002009D7">
              <w:rPr>
                <w:sz w:val="18"/>
                <w:szCs w:val="18"/>
                <w:lang w:val="fr-FR"/>
              </w:rPr>
              <w:t>000</w:t>
            </w:r>
          </w:p>
        </w:tc>
        <w:tc>
          <w:tcPr>
            <w:tcW w:w="303" w:type="pct"/>
            <w:tcMar>
              <w:left w:w="14" w:type="dxa"/>
              <w:right w:w="14" w:type="dxa"/>
            </w:tcMar>
          </w:tcPr>
          <w:p w14:paraId="12A6A834" w14:textId="77777777" w:rsidR="00480052" w:rsidRPr="002009D7" w:rsidRDefault="00480052" w:rsidP="00BB1DAF">
            <w:pPr>
              <w:jc w:val="right"/>
              <w:rPr>
                <w:sz w:val="18"/>
                <w:szCs w:val="18"/>
                <w:lang w:val="fr-FR"/>
              </w:rPr>
            </w:pPr>
            <w:r w:rsidRPr="002009D7">
              <w:rPr>
                <w:sz w:val="18"/>
                <w:szCs w:val="18"/>
                <w:lang w:val="fr-FR"/>
              </w:rPr>
              <w:t xml:space="preserve">0 </w:t>
            </w:r>
          </w:p>
        </w:tc>
        <w:tc>
          <w:tcPr>
            <w:tcW w:w="303" w:type="pct"/>
            <w:tcMar>
              <w:left w:w="14" w:type="dxa"/>
              <w:right w:w="14" w:type="dxa"/>
            </w:tcMar>
          </w:tcPr>
          <w:p w14:paraId="1E8F87A4" w14:textId="77777777" w:rsidR="00480052" w:rsidRPr="002009D7" w:rsidRDefault="00480052" w:rsidP="00BB1DAF">
            <w:pPr>
              <w:jc w:val="right"/>
              <w:rPr>
                <w:b/>
                <w:sz w:val="18"/>
                <w:szCs w:val="18"/>
                <w:lang w:val="fr-FR"/>
              </w:rPr>
            </w:pPr>
            <w:r w:rsidRPr="002009D7">
              <w:rPr>
                <w:sz w:val="18"/>
                <w:szCs w:val="18"/>
                <w:lang w:val="fr-FR"/>
              </w:rPr>
              <w:t>0</w:t>
            </w:r>
          </w:p>
        </w:tc>
        <w:tc>
          <w:tcPr>
            <w:tcW w:w="303" w:type="pct"/>
            <w:tcMar>
              <w:left w:w="14" w:type="dxa"/>
              <w:right w:w="14" w:type="dxa"/>
            </w:tcMar>
          </w:tcPr>
          <w:p w14:paraId="035373A0" w14:textId="77777777" w:rsidR="00480052" w:rsidRPr="002009D7" w:rsidRDefault="00480052" w:rsidP="00BB1DAF">
            <w:pPr>
              <w:jc w:val="right"/>
              <w:rPr>
                <w:sz w:val="18"/>
                <w:szCs w:val="18"/>
                <w:lang w:val="fr-FR"/>
              </w:rPr>
            </w:pPr>
            <w:r w:rsidRPr="002009D7">
              <w:rPr>
                <w:sz w:val="18"/>
                <w:szCs w:val="18"/>
                <w:lang w:val="fr-FR"/>
              </w:rPr>
              <w:t xml:space="preserve">0 </w:t>
            </w:r>
          </w:p>
        </w:tc>
        <w:tc>
          <w:tcPr>
            <w:tcW w:w="303" w:type="pct"/>
            <w:tcMar>
              <w:left w:w="14" w:type="dxa"/>
              <w:right w:w="14" w:type="dxa"/>
            </w:tcMar>
          </w:tcPr>
          <w:p w14:paraId="33877AD2" w14:textId="77777777" w:rsidR="00480052" w:rsidRPr="002009D7" w:rsidRDefault="00480052" w:rsidP="00BB1DAF">
            <w:pPr>
              <w:jc w:val="right"/>
              <w:rPr>
                <w:b/>
                <w:sz w:val="18"/>
                <w:szCs w:val="18"/>
                <w:lang w:val="fr-FR"/>
              </w:rPr>
            </w:pPr>
            <w:r w:rsidRPr="002009D7">
              <w:rPr>
                <w:b/>
                <w:sz w:val="18"/>
                <w:szCs w:val="18"/>
                <w:lang w:val="fr-FR"/>
              </w:rPr>
              <w:t xml:space="preserve">0 </w:t>
            </w:r>
          </w:p>
        </w:tc>
        <w:tc>
          <w:tcPr>
            <w:tcW w:w="303" w:type="pct"/>
            <w:tcMar>
              <w:left w:w="14" w:type="dxa"/>
              <w:right w:w="14" w:type="dxa"/>
            </w:tcMar>
          </w:tcPr>
          <w:p w14:paraId="6F7F9EE2" w14:textId="77777777" w:rsidR="00480052" w:rsidRPr="002009D7" w:rsidRDefault="00480052" w:rsidP="00BB1DAF">
            <w:pPr>
              <w:jc w:val="right"/>
              <w:rPr>
                <w:b/>
                <w:sz w:val="18"/>
                <w:szCs w:val="18"/>
                <w:lang w:val="fr-FR"/>
              </w:rPr>
            </w:pPr>
            <w:r w:rsidRPr="002009D7">
              <w:rPr>
                <w:sz w:val="18"/>
                <w:szCs w:val="18"/>
                <w:lang w:val="fr-FR"/>
              </w:rPr>
              <w:t>0</w:t>
            </w:r>
          </w:p>
        </w:tc>
        <w:tc>
          <w:tcPr>
            <w:tcW w:w="303" w:type="pct"/>
            <w:tcMar>
              <w:left w:w="14" w:type="dxa"/>
              <w:right w:w="14" w:type="dxa"/>
            </w:tcMar>
          </w:tcPr>
          <w:p w14:paraId="0DFF37B8" w14:textId="77777777" w:rsidR="00480052" w:rsidRPr="002009D7" w:rsidRDefault="00480052" w:rsidP="00BB1DAF">
            <w:pPr>
              <w:jc w:val="right"/>
              <w:rPr>
                <w:sz w:val="18"/>
                <w:szCs w:val="18"/>
                <w:lang w:val="fr-FR"/>
              </w:rPr>
            </w:pPr>
            <w:r w:rsidRPr="002009D7">
              <w:rPr>
                <w:sz w:val="18"/>
                <w:szCs w:val="18"/>
                <w:lang w:val="fr-FR"/>
              </w:rPr>
              <w:t>0</w:t>
            </w:r>
          </w:p>
        </w:tc>
        <w:tc>
          <w:tcPr>
            <w:tcW w:w="303" w:type="pct"/>
            <w:tcMar>
              <w:left w:w="14" w:type="dxa"/>
              <w:right w:w="14" w:type="dxa"/>
            </w:tcMar>
          </w:tcPr>
          <w:p w14:paraId="13094BD0" w14:textId="77777777" w:rsidR="00480052" w:rsidRPr="002009D7" w:rsidRDefault="00480052" w:rsidP="00BB1DAF">
            <w:pPr>
              <w:jc w:val="right"/>
              <w:rPr>
                <w:sz w:val="18"/>
                <w:szCs w:val="18"/>
                <w:lang w:val="fr-FR"/>
              </w:rPr>
            </w:pPr>
            <w:r w:rsidRPr="002009D7">
              <w:rPr>
                <w:sz w:val="18"/>
                <w:szCs w:val="18"/>
                <w:lang w:val="fr-FR"/>
              </w:rPr>
              <w:t>0</w:t>
            </w:r>
          </w:p>
        </w:tc>
        <w:tc>
          <w:tcPr>
            <w:tcW w:w="319" w:type="pct"/>
            <w:tcMar>
              <w:left w:w="14" w:type="dxa"/>
              <w:right w:w="14" w:type="dxa"/>
            </w:tcMar>
          </w:tcPr>
          <w:p w14:paraId="66AE265A" w14:textId="77777777" w:rsidR="00480052" w:rsidRPr="002009D7" w:rsidRDefault="00480052" w:rsidP="00BB1DAF">
            <w:pPr>
              <w:jc w:val="right"/>
              <w:rPr>
                <w:b/>
                <w:sz w:val="18"/>
                <w:szCs w:val="18"/>
                <w:lang w:val="fr-FR"/>
              </w:rPr>
            </w:pPr>
            <w:r w:rsidRPr="002009D7">
              <w:rPr>
                <w:b/>
                <w:sz w:val="18"/>
                <w:szCs w:val="18"/>
                <w:lang w:val="fr-FR"/>
              </w:rPr>
              <w:t>125</w:t>
            </w:r>
            <w:r w:rsidR="004A3B9C">
              <w:rPr>
                <w:b/>
                <w:sz w:val="18"/>
                <w:szCs w:val="18"/>
                <w:lang w:val="fr-FR"/>
              </w:rPr>
              <w:t> </w:t>
            </w:r>
            <w:r w:rsidRPr="002009D7">
              <w:rPr>
                <w:b/>
                <w:sz w:val="18"/>
                <w:szCs w:val="18"/>
                <w:lang w:val="fr-FR"/>
              </w:rPr>
              <w:t>000</w:t>
            </w:r>
          </w:p>
        </w:tc>
        <w:tc>
          <w:tcPr>
            <w:tcW w:w="303" w:type="pct"/>
            <w:tcMar>
              <w:left w:w="14" w:type="dxa"/>
              <w:right w:w="14" w:type="dxa"/>
            </w:tcMar>
          </w:tcPr>
          <w:p w14:paraId="420248F3" w14:textId="77777777" w:rsidR="00480052" w:rsidRPr="002009D7" w:rsidRDefault="00480052" w:rsidP="00BB1DAF">
            <w:pPr>
              <w:jc w:val="right"/>
              <w:rPr>
                <w:b/>
                <w:sz w:val="18"/>
                <w:szCs w:val="18"/>
                <w:lang w:val="fr-FR"/>
              </w:rPr>
            </w:pPr>
            <w:r w:rsidRPr="002009D7">
              <w:rPr>
                <w:b/>
                <w:sz w:val="18"/>
                <w:szCs w:val="18"/>
                <w:lang w:val="fr-FR"/>
              </w:rPr>
              <w:t xml:space="preserve">0 </w:t>
            </w:r>
          </w:p>
        </w:tc>
        <w:tc>
          <w:tcPr>
            <w:tcW w:w="332" w:type="pct"/>
          </w:tcPr>
          <w:p w14:paraId="6CB56E96" w14:textId="77777777" w:rsidR="00480052" w:rsidRPr="002009D7" w:rsidRDefault="00480052" w:rsidP="00BB1DAF">
            <w:pPr>
              <w:jc w:val="right"/>
              <w:rPr>
                <w:b/>
                <w:sz w:val="18"/>
                <w:szCs w:val="18"/>
                <w:lang w:val="fr-FR"/>
              </w:rPr>
            </w:pPr>
            <w:r w:rsidRPr="002009D7">
              <w:rPr>
                <w:b/>
                <w:sz w:val="18"/>
                <w:szCs w:val="18"/>
                <w:lang w:val="fr-FR"/>
              </w:rPr>
              <w:t>0</w:t>
            </w:r>
          </w:p>
        </w:tc>
        <w:tc>
          <w:tcPr>
            <w:tcW w:w="358" w:type="pct"/>
            <w:tcMar>
              <w:left w:w="14" w:type="dxa"/>
              <w:right w:w="14" w:type="dxa"/>
            </w:tcMar>
          </w:tcPr>
          <w:p w14:paraId="0760684E" w14:textId="77777777" w:rsidR="00480052" w:rsidRPr="002009D7" w:rsidRDefault="00480052" w:rsidP="00BB1DAF">
            <w:pPr>
              <w:jc w:val="right"/>
              <w:rPr>
                <w:b/>
                <w:sz w:val="18"/>
                <w:szCs w:val="18"/>
                <w:lang w:val="fr-FR"/>
              </w:rPr>
            </w:pPr>
            <w:r w:rsidRPr="002009D7">
              <w:rPr>
                <w:b/>
                <w:sz w:val="18"/>
                <w:szCs w:val="18"/>
                <w:lang w:val="fr-FR"/>
              </w:rPr>
              <w:t>285</w:t>
            </w:r>
            <w:r w:rsidR="004A3B9C">
              <w:rPr>
                <w:b/>
                <w:sz w:val="18"/>
                <w:szCs w:val="18"/>
                <w:lang w:val="fr-FR"/>
              </w:rPr>
              <w:t> </w:t>
            </w:r>
            <w:r w:rsidRPr="002009D7">
              <w:rPr>
                <w:b/>
                <w:sz w:val="18"/>
                <w:szCs w:val="18"/>
                <w:lang w:val="fr-FR"/>
              </w:rPr>
              <w:t>000</w:t>
            </w:r>
          </w:p>
        </w:tc>
      </w:tr>
      <w:tr w:rsidR="00480052" w:rsidRPr="002009D7" w14:paraId="01F3C581" w14:textId="77777777" w:rsidTr="00932B6D">
        <w:tc>
          <w:tcPr>
            <w:tcW w:w="147" w:type="pct"/>
            <w:noWrap/>
            <w:tcMar>
              <w:left w:w="0" w:type="dxa"/>
              <w:right w:w="0" w:type="dxa"/>
            </w:tcMar>
          </w:tcPr>
          <w:p w14:paraId="23C2FEC0" w14:textId="5F2361CE" w:rsidR="00480052" w:rsidRPr="002009D7" w:rsidRDefault="00480052" w:rsidP="00BB1DAF">
            <w:pPr>
              <w:jc w:val="left"/>
              <w:rPr>
                <w:sz w:val="18"/>
                <w:szCs w:val="18"/>
                <w:lang w:val="fr-FR"/>
              </w:rPr>
            </w:pPr>
            <w:r w:rsidRPr="002009D7">
              <w:rPr>
                <w:sz w:val="18"/>
                <w:szCs w:val="18"/>
                <w:lang w:val="fr-FR"/>
              </w:rPr>
              <w:t>2</w:t>
            </w:r>
            <w:r w:rsidR="00B158CB">
              <w:rPr>
                <w:sz w:val="18"/>
                <w:szCs w:val="18"/>
                <w:lang w:val="fr-FR"/>
              </w:rPr>
              <w:t>.</w:t>
            </w:r>
            <w:r w:rsidRPr="002009D7">
              <w:rPr>
                <w:sz w:val="18"/>
                <w:szCs w:val="18"/>
                <w:lang w:val="fr-FR"/>
              </w:rPr>
              <w:t>4</w:t>
            </w:r>
          </w:p>
        </w:tc>
        <w:tc>
          <w:tcPr>
            <w:tcW w:w="1101" w:type="pct"/>
          </w:tcPr>
          <w:p w14:paraId="0AB3D243" w14:textId="77777777" w:rsidR="00480052" w:rsidRPr="002009D7" w:rsidRDefault="00480052" w:rsidP="00BB1DAF">
            <w:pPr>
              <w:jc w:val="left"/>
              <w:rPr>
                <w:sz w:val="18"/>
                <w:szCs w:val="18"/>
                <w:lang w:val="fr-FR"/>
              </w:rPr>
            </w:pPr>
            <w:r w:rsidRPr="002009D7">
              <w:rPr>
                <w:sz w:val="18"/>
                <w:szCs w:val="18"/>
                <w:lang w:val="fr-FR"/>
              </w:rPr>
              <w:t>Coûts d’appui pour l’agence de coopération ($ US)</w:t>
            </w:r>
          </w:p>
        </w:tc>
        <w:tc>
          <w:tcPr>
            <w:tcW w:w="319" w:type="pct"/>
            <w:tcMar>
              <w:left w:w="14" w:type="dxa"/>
              <w:right w:w="14" w:type="dxa"/>
            </w:tcMar>
          </w:tcPr>
          <w:p w14:paraId="2F9604E5" w14:textId="77777777" w:rsidR="00480052" w:rsidRPr="002009D7" w:rsidRDefault="00480052" w:rsidP="00BB1DAF">
            <w:pPr>
              <w:jc w:val="right"/>
              <w:rPr>
                <w:sz w:val="18"/>
                <w:szCs w:val="18"/>
                <w:lang w:val="fr-FR"/>
              </w:rPr>
            </w:pPr>
            <w:r w:rsidRPr="002009D7">
              <w:rPr>
                <w:sz w:val="18"/>
                <w:szCs w:val="18"/>
                <w:lang w:val="fr-FR"/>
              </w:rPr>
              <w:t>12</w:t>
            </w:r>
            <w:r w:rsidR="004A3B9C">
              <w:rPr>
                <w:sz w:val="18"/>
                <w:szCs w:val="18"/>
                <w:lang w:val="fr-FR"/>
              </w:rPr>
              <w:t> </w:t>
            </w:r>
            <w:r w:rsidRPr="002009D7">
              <w:rPr>
                <w:sz w:val="18"/>
                <w:szCs w:val="18"/>
                <w:lang w:val="fr-FR"/>
              </w:rPr>
              <w:t>000</w:t>
            </w:r>
          </w:p>
        </w:tc>
        <w:tc>
          <w:tcPr>
            <w:tcW w:w="303" w:type="pct"/>
            <w:tcMar>
              <w:left w:w="14" w:type="dxa"/>
              <w:right w:w="14" w:type="dxa"/>
            </w:tcMar>
          </w:tcPr>
          <w:p w14:paraId="294693A5" w14:textId="77777777" w:rsidR="00480052" w:rsidRPr="002009D7" w:rsidRDefault="00480052" w:rsidP="00BB1DAF">
            <w:pPr>
              <w:jc w:val="right"/>
              <w:rPr>
                <w:sz w:val="18"/>
                <w:szCs w:val="18"/>
                <w:lang w:val="fr-FR"/>
              </w:rPr>
            </w:pPr>
            <w:r w:rsidRPr="002009D7">
              <w:rPr>
                <w:sz w:val="18"/>
                <w:szCs w:val="18"/>
                <w:lang w:val="fr-FR"/>
              </w:rPr>
              <w:t xml:space="preserve">0 </w:t>
            </w:r>
          </w:p>
        </w:tc>
        <w:tc>
          <w:tcPr>
            <w:tcW w:w="303" w:type="pct"/>
            <w:tcMar>
              <w:left w:w="14" w:type="dxa"/>
              <w:right w:w="14" w:type="dxa"/>
            </w:tcMar>
          </w:tcPr>
          <w:p w14:paraId="139ADB3D" w14:textId="77777777" w:rsidR="00480052" w:rsidRPr="002009D7" w:rsidRDefault="00480052" w:rsidP="00BB1DAF">
            <w:pPr>
              <w:jc w:val="right"/>
              <w:rPr>
                <w:b/>
                <w:sz w:val="18"/>
                <w:szCs w:val="18"/>
                <w:lang w:val="fr-FR"/>
              </w:rPr>
            </w:pPr>
            <w:r w:rsidRPr="002009D7">
              <w:rPr>
                <w:sz w:val="18"/>
                <w:szCs w:val="18"/>
                <w:lang w:val="fr-FR"/>
              </w:rPr>
              <w:t>0</w:t>
            </w:r>
          </w:p>
        </w:tc>
        <w:tc>
          <w:tcPr>
            <w:tcW w:w="303" w:type="pct"/>
            <w:tcMar>
              <w:left w:w="14" w:type="dxa"/>
              <w:right w:w="14" w:type="dxa"/>
            </w:tcMar>
          </w:tcPr>
          <w:p w14:paraId="36D972C6" w14:textId="77777777" w:rsidR="00480052" w:rsidRPr="002009D7" w:rsidRDefault="00480052" w:rsidP="00BB1DAF">
            <w:pPr>
              <w:jc w:val="right"/>
              <w:rPr>
                <w:sz w:val="18"/>
                <w:szCs w:val="18"/>
                <w:lang w:val="fr-FR"/>
              </w:rPr>
            </w:pPr>
            <w:r w:rsidRPr="002009D7">
              <w:rPr>
                <w:sz w:val="18"/>
                <w:szCs w:val="18"/>
                <w:lang w:val="fr-FR"/>
              </w:rPr>
              <w:t xml:space="preserve">0 </w:t>
            </w:r>
          </w:p>
        </w:tc>
        <w:tc>
          <w:tcPr>
            <w:tcW w:w="303" w:type="pct"/>
            <w:tcMar>
              <w:left w:w="14" w:type="dxa"/>
              <w:right w:w="14" w:type="dxa"/>
            </w:tcMar>
          </w:tcPr>
          <w:p w14:paraId="4F14F7EF" w14:textId="77777777" w:rsidR="00480052" w:rsidRPr="002009D7" w:rsidRDefault="00480052" w:rsidP="00BB1DAF">
            <w:pPr>
              <w:jc w:val="right"/>
              <w:rPr>
                <w:b/>
                <w:sz w:val="18"/>
                <w:szCs w:val="18"/>
                <w:lang w:val="fr-FR"/>
              </w:rPr>
            </w:pPr>
            <w:r w:rsidRPr="002009D7">
              <w:rPr>
                <w:b/>
                <w:sz w:val="18"/>
                <w:szCs w:val="18"/>
                <w:lang w:val="fr-FR"/>
              </w:rPr>
              <w:t xml:space="preserve">0 </w:t>
            </w:r>
          </w:p>
        </w:tc>
        <w:tc>
          <w:tcPr>
            <w:tcW w:w="303" w:type="pct"/>
            <w:tcMar>
              <w:left w:w="14" w:type="dxa"/>
              <w:right w:w="14" w:type="dxa"/>
            </w:tcMar>
          </w:tcPr>
          <w:p w14:paraId="72787C24" w14:textId="77777777" w:rsidR="00480052" w:rsidRPr="002009D7" w:rsidRDefault="00480052" w:rsidP="00BB1DAF">
            <w:pPr>
              <w:jc w:val="right"/>
              <w:rPr>
                <w:b/>
                <w:sz w:val="18"/>
                <w:szCs w:val="18"/>
                <w:lang w:val="fr-FR"/>
              </w:rPr>
            </w:pPr>
            <w:r w:rsidRPr="002009D7">
              <w:rPr>
                <w:sz w:val="18"/>
                <w:szCs w:val="18"/>
                <w:lang w:val="fr-FR"/>
              </w:rPr>
              <w:t>0</w:t>
            </w:r>
          </w:p>
        </w:tc>
        <w:tc>
          <w:tcPr>
            <w:tcW w:w="303" w:type="pct"/>
            <w:tcMar>
              <w:left w:w="14" w:type="dxa"/>
              <w:right w:w="14" w:type="dxa"/>
            </w:tcMar>
          </w:tcPr>
          <w:p w14:paraId="133F55A3" w14:textId="77777777" w:rsidR="00480052" w:rsidRPr="002009D7" w:rsidRDefault="00480052" w:rsidP="00BB1DAF">
            <w:pPr>
              <w:jc w:val="right"/>
              <w:rPr>
                <w:sz w:val="18"/>
                <w:szCs w:val="18"/>
                <w:lang w:val="fr-FR"/>
              </w:rPr>
            </w:pPr>
            <w:r w:rsidRPr="002009D7">
              <w:rPr>
                <w:sz w:val="18"/>
                <w:szCs w:val="18"/>
                <w:lang w:val="fr-FR"/>
              </w:rPr>
              <w:t>0</w:t>
            </w:r>
          </w:p>
        </w:tc>
        <w:tc>
          <w:tcPr>
            <w:tcW w:w="303" w:type="pct"/>
            <w:tcMar>
              <w:left w:w="14" w:type="dxa"/>
              <w:right w:w="14" w:type="dxa"/>
            </w:tcMar>
          </w:tcPr>
          <w:p w14:paraId="7FC4F8B2" w14:textId="77777777" w:rsidR="00480052" w:rsidRPr="002009D7" w:rsidRDefault="00480052" w:rsidP="00BB1DAF">
            <w:pPr>
              <w:jc w:val="right"/>
              <w:rPr>
                <w:sz w:val="18"/>
                <w:szCs w:val="18"/>
                <w:lang w:val="fr-FR"/>
              </w:rPr>
            </w:pPr>
            <w:r w:rsidRPr="002009D7">
              <w:rPr>
                <w:sz w:val="18"/>
                <w:szCs w:val="18"/>
                <w:lang w:val="fr-FR"/>
              </w:rPr>
              <w:t>0</w:t>
            </w:r>
          </w:p>
        </w:tc>
        <w:tc>
          <w:tcPr>
            <w:tcW w:w="319" w:type="pct"/>
            <w:tcMar>
              <w:left w:w="14" w:type="dxa"/>
              <w:right w:w="14" w:type="dxa"/>
            </w:tcMar>
          </w:tcPr>
          <w:p w14:paraId="4285C47E" w14:textId="77777777" w:rsidR="00480052" w:rsidRPr="002009D7" w:rsidRDefault="00480052" w:rsidP="00BB1DAF">
            <w:pPr>
              <w:jc w:val="right"/>
              <w:rPr>
                <w:b/>
                <w:sz w:val="18"/>
                <w:szCs w:val="18"/>
                <w:lang w:val="fr-FR"/>
              </w:rPr>
            </w:pPr>
            <w:r w:rsidRPr="002009D7">
              <w:rPr>
                <w:b/>
                <w:sz w:val="18"/>
                <w:szCs w:val="18"/>
                <w:lang w:val="fr-FR"/>
              </w:rPr>
              <w:t>8</w:t>
            </w:r>
            <w:r w:rsidR="004A3B9C">
              <w:rPr>
                <w:b/>
                <w:sz w:val="18"/>
                <w:szCs w:val="18"/>
                <w:lang w:val="fr-FR"/>
              </w:rPr>
              <w:t> </w:t>
            </w:r>
            <w:r w:rsidRPr="002009D7">
              <w:rPr>
                <w:b/>
                <w:sz w:val="18"/>
                <w:szCs w:val="18"/>
                <w:lang w:val="fr-FR"/>
              </w:rPr>
              <w:t>750</w:t>
            </w:r>
          </w:p>
        </w:tc>
        <w:tc>
          <w:tcPr>
            <w:tcW w:w="303" w:type="pct"/>
            <w:tcMar>
              <w:left w:w="14" w:type="dxa"/>
              <w:right w:w="14" w:type="dxa"/>
            </w:tcMar>
          </w:tcPr>
          <w:p w14:paraId="20CFEB1E" w14:textId="77777777" w:rsidR="00480052" w:rsidRPr="002009D7" w:rsidRDefault="00480052" w:rsidP="00BB1DAF">
            <w:pPr>
              <w:jc w:val="right"/>
              <w:rPr>
                <w:b/>
                <w:sz w:val="18"/>
                <w:szCs w:val="18"/>
                <w:lang w:val="fr-FR"/>
              </w:rPr>
            </w:pPr>
            <w:r w:rsidRPr="002009D7">
              <w:rPr>
                <w:b/>
                <w:sz w:val="18"/>
                <w:szCs w:val="18"/>
                <w:lang w:val="fr-FR"/>
              </w:rPr>
              <w:t xml:space="preserve">0 </w:t>
            </w:r>
          </w:p>
        </w:tc>
        <w:tc>
          <w:tcPr>
            <w:tcW w:w="332" w:type="pct"/>
          </w:tcPr>
          <w:p w14:paraId="637BB377" w14:textId="77777777" w:rsidR="00480052" w:rsidRPr="002009D7" w:rsidRDefault="00480052" w:rsidP="00BB1DAF">
            <w:pPr>
              <w:jc w:val="right"/>
              <w:rPr>
                <w:b/>
                <w:sz w:val="18"/>
                <w:szCs w:val="18"/>
                <w:lang w:val="fr-FR"/>
              </w:rPr>
            </w:pPr>
            <w:r w:rsidRPr="002009D7">
              <w:rPr>
                <w:b/>
                <w:sz w:val="18"/>
                <w:szCs w:val="18"/>
                <w:lang w:val="fr-FR"/>
              </w:rPr>
              <w:t>0</w:t>
            </w:r>
          </w:p>
        </w:tc>
        <w:tc>
          <w:tcPr>
            <w:tcW w:w="358" w:type="pct"/>
            <w:tcMar>
              <w:left w:w="14" w:type="dxa"/>
              <w:right w:w="14" w:type="dxa"/>
            </w:tcMar>
          </w:tcPr>
          <w:p w14:paraId="1BA0C6B5" w14:textId="77777777" w:rsidR="00480052" w:rsidRPr="002009D7" w:rsidRDefault="00480052" w:rsidP="00BB1DAF">
            <w:pPr>
              <w:jc w:val="right"/>
              <w:rPr>
                <w:b/>
                <w:sz w:val="18"/>
                <w:szCs w:val="18"/>
                <w:lang w:val="fr-FR"/>
              </w:rPr>
            </w:pPr>
            <w:r w:rsidRPr="002009D7">
              <w:rPr>
                <w:b/>
                <w:sz w:val="18"/>
                <w:szCs w:val="18"/>
                <w:lang w:val="fr-FR"/>
              </w:rPr>
              <w:t>20</w:t>
            </w:r>
            <w:r w:rsidR="004A3B9C">
              <w:rPr>
                <w:b/>
                <w:sz w:val="18"/>
                <w:szCs w:val="18"/>
                <w:lang w:val="fr-FR"/>
              </w:rPr>
              <w:t> </w:t>
            </w:r>
            <w:r w:rsidRPr="002009D7">
              <w:rPr>
                <w:b/>
                <w:sz w:val="18"/>
                <w:szCs w:val="18"/>
                <w:lang w:val="fr-FR"/>
              </w:rPr>
              <w:t>750</w:t>
            </w:r>
          </w:p>
        </w:tc>
      </w:tr>
      <w:tr w:rsidR="00480052" w:rsidRPr="002009D7" w14:paraId="2BDD2560" w14:textId="77777777" w:rsidTr="00932B6D">
        <w:tc>
          <w:tcPr>
            <w:tcW w:w="147" w:type="pct"/>
            <w:noWrap/>
            <w:tcMar>
              <w:left w:w="0" w:type="dxa"/>
              <w:right w:w="0" w:type="dxa"/>
            </w:tcMar>
          </w:tcPr>
          <w:p w14:paraId="7FEC9EBB" w14:textId="2988AAD4" w:rsidR="00480052" w:rsidRPr="002009D7" w:rsidRDefault="00480052" w:rsidP="00BB1DAF">
            <w:pPr>
              <w:jc w:val="left"/>
              <w:rPr>
                <w:sz w:val="18"/>
                <w:szCs w:val="18"/>
                <w:lang w:val="fr-FR"/>
              </w:rPr>
            </w:pPr>
            <w:r w:rsidRPr="002009D7">
              <w:rPr>
                <w:sz w:val="18"/>
                <w:szCs w:val="18"/>
                <w:lang w:val="fr-FR"/>
              </w:rPr>
              <w:t>3</w:t>
            </w:r>
            <w:r w:rsidR="00B158CB">
              <w:rPr>
                <w:sz w:val="18"/>
                <w:szCs w:val="18"/>
                <w:lang w:val="fr-FR"/>
              </w:rPr>
              <w:t>.</w:t>
            </w:r>
            <w:r w:rsidRPr="002009D7">
              <w:rPr>
                <w:sz w:val="18"/>
                <w:szCs w:val="18"/>
                <w:lang w:val="fr-FR"/>
              </w:rPr>
              <w:t>1</w:t>
            </w:r>
          </w:p>
        </w:tc>
        <w:tc>
          <w:tcPr>
            <w:tcW w:w="1101" w:type="pct"/>
          </w:tcPr>
          <w:p w14:paraId="339266F8" w14:textId="77777777" w:rsidR="00480052" w:rsidRPr="002009D7" w:rsidRDefault="00480052" w:rsidP="00BB1DAF">
            <w:pPr>
              <w:jc w:val="left"/>
              <w:rPr>
                <w:sz w:val="18"/>
                <w:szCs w:val="18"/>
                <w:lang w:val="fr-FR"/>
              </w:rPr>
            </w:pPr>
            <w:r w:rsidRPr="002009D7">
              <w:rPr>
                <w:sz w:val="18"/>
                <w:szCs w:val="18"/>
                <w:lang w:val="fr-FR"/>
              </w:rPr>
              <w:t>Total du financement convenu ($</w:t>
            </w:r>
            <w:r w:rsidR="004A3B9C">
              <w:rPr>
                <w:sz w:val="18"/>
                <w:szCs w:val="18"/>
                <w:lang w:val="fr-FR"/>
              </w:rPr>
              <w:t xml:space="preserve"> </w:t>
            </w:r>
            <w:r w:rsidRPr="002009D7">
              <w:rPr>
                <w:sz w:val="18"/>
                <w:szCs w:val="18"/>
                <w:lang w:val="fr-FR"/>
              </w:rPr>
              <w:t>US)</w:t>
            </w:r>
          </w:p>
        </w:tc>
        <w:tc>
          <w:tcPr>
            <w:tcW w:w="319" w:type="pct"/>
            <w:tcMar>
              <w:left w:w="14" w:type="dxa"/>
              <w:right w:w="14" w:type="dxa"/>
            </w:tcMar>
          </w:tcPr>
          <w:p w14:paraId="12850C64" w14:textId="77777777" w:rsidR="00480052" w:rsidRPr="002009D7" w:rsidRDefault="00480052" w:rsidP="00BB1DAF">
            <w:pPr>
              <w:jc w:val="right"/>
              <w:rPr>
                <w:sz w:val="18"/>
                <w:szCs w:val="18"/>
                <w:lang w:val="fr-FR"/>
              </w:rPr>
            </w:pPr>
            <w:r w:rsidRPr="002009D7">
              <w:rPr>
                <w:sz w:val="18"/>
                <w:szCs w:val="18"/>
                <w:lang w:val="fr-FR"/>
              </w:rPr>
              <w:t>245</w:t>
            </w:r>
            <w:r w:rsidR="004A3B9C">
              <w:rPr>
                <w:sz w:val="18"/>
                <w:szCs w:val="18"/>
                <w:lang w:val="fr-FR"/>
              </w:rPr>
              <w:t> </w:t>
            </w:r>
            <w:r w:rsidRPr="002009D7">
              <w:rPr>
                <w:sz w:val="18"/>
                <w:szCs w:val="18"/>
                <w:lang w:val="fr-FR"/>
              </w:rPr>
              <w:t>000</w:t>
            </w:r>
          </w:p>
        </w:tc>
        <w:tc>
          <w:tcPr>
            <w:tcW w:w="303" w:type="pct"/>
            <w:tcMar>
              <w:left w:w="14" w:type="dxa"/>
              <w:right w:w="14" w:type="dxa"/>
            </w:tcMar>
          </w:tcPr>
          <w:p w14:paraId="15391912" w14:textId="77777777" w:rsidR="00480052" w:rsidRPr="002009D7" w:rsidRDefault="00480052" w:rsidP="00BB1DAF">
            <w:pPr>
              <w:jc w:val="right"/>
              <w:rPr>
                <w:sz w:val="18"/>
                <w:szCs w:val="18"/>
                <w:lang w:val="fr-FR"/>
              </w:rPr>
            </w:pPr>
            <w:r w:rsidRPr="002009D7">
              <w:rPr>
                <w:sz w:val="18"/>
                <w:szCs w:val="18"/>
                <w:lang w:val="fr-FR"/>
              </w:rPr>
              <w:t>0</w:t>
            </w:r>
          </w:p>
        </w:tc>
        <w:tc>
          <w:tcPr>
            <w:tcW w:w="303" w:type="pct"/>
            <w:tcMar>
              <w:left w:w="14" w:type="dxa"/>
              <w:right w:w="14" w:type="dxa"/>
            </w:tcMar>
          </w:tcPr>
          <w:p w14:paraId="4A83789E" w14:textId="77777777" w:rsidR="00480052" w:rsidRPr="002009D7" w:rsidRDefault="00480052" w:rsidP="00BB1DAF">
            <w:pPr>
              <w:jc w:val="right"/>
              <w:rPr>
                <w:sz w:val="18"/>
                <w:szCs w:val="18"/>
                <w:lang w:val="fr-FR"/>
              </w:rPr>
            </w:pPr>
            <w:r w:rsidRPr="002009D7">
              <w:rPr>
                <w:sz w:val="18"/>
                <w:szCs w:val="18"/>
                <w:lang w:val="fr-FR"/>
              </w:rPr>
              <w:t>60</w:t>
            </w:r>
            <w:r w:rsidR="004A3B9C">
              <w:rPr>
                <w:sz w:val="18"/>
                <w:szCs w:val="18"/>
                <w:lang w:val="fr-FR"/>
              </w:rPr>
              <w:t> </w:t>
            </w:r>
            <w:r w:rsidRPr="002009D7">
              <w:rPr>
                <w:sz w:val="18"/>
                <w:szCs w:val="18"/>
                <w:lang w:val="fr-FR"/>
              </w:rPr>
              <w:t>000</w:t>
            </w:r>
          </w:p>
        </w:tc>
        <w:tc>
          <w:tcPr>
            <w:tcW w:w="303" w:type="pct"/>
            <w:tcMar>
              <w:left w:w="14" w:type="dxa"/>
              <w:right w:w="14" w:type="dxa"/>
            </w:tcMar>
          </w:tcPr>
          <w:p w14:paraId="30B71E44" w14:textId="77777777" w:rsidR="00480052" w:rsidRPr="002009D7" w:rsidRDefault="00480052" w:rsidP="00BB1DAF">
            <w:pPr>
              <w:jc w:val="right"/>
              <w:rPr>
                <w:b/>
                <w:sz w:val="18"/>
                <w:szCs w:val="18"/>
                <w:lang w:val="fr-FR"/>
              </w:rPr>
            </w:pPr>
            <w:r w:rsidRPr="002009D7">
              <w:rPr>
                <w:sz w:val="18"/>
                <w:szCs w:val="18"/>
                <w:lang w:val="fr-FR"/>
              </w:rPr>
              <w:t>0</w:t>
            </w:r>
          </w:p>
        </w:tc>
        <w:tc>
          <w:tcPr>
            <w:tcW w:w="303" w:type="pct"/>
            <w:tcMar>
              <w:left w:w="14" w:type="dxa"/>
              <w:right w:w="14" w:type="dxa"/>
            </w:tcMar>
          </w:tcPr>
          <w:p w14:paraId="7C10DA83" w14:textId="77777777" w:rsidR="00480052" w:rsidRPr="002009D7" w:rsidRDefault="00480052" w:rsidP="00BB1DAF">
            <w:pPr>
              <w:jc w:val="right"/>
              <w:rPr>
                <w:b/>
                <w:sz w:val="18"/>
                <w:szCs w:val="18"/>
                <w:lang w:val="fr-FR"/>
              </w:rPr>
            </w:pPr>
            <w:r w:rsidRPr="002009D7">
              <w:rPr>
                <w:b/>
                <w:sz w:val="18"/>
                <w:szCs w:val="18"/>
                <w:lang w:val="fr-FR"/>
              </w:rPr>
              <w:t>0</w:t>
            </w:r>
          </w:p>
        </w:tc>
        <w:tc>
          <w:tcPr>
            <w:tcW w:w="303" w:type="pct"/>
            <w:tcMar>
              <w:left w:w="14" w:type="dxa"/>
              <w:right w:w="14" w:type="dxa"/>
            </w:tcMar>
          </w:tcPr>
          <w:p w14:paraId="2D9BBC31" w14:textId="77777777" w:rsidR="00480052" w:rsidRPr="002009D7" w:rsidRDefault="00480052" w:rsidP="00BB1DAF">
            <w:pPr>
              <w:jc w:val="right"/>
              <w:rPr>
                <w:b/>
                <w:sz w:val="18"/>
                <w:szCs w:val="18"/>
                <w:lang w:val="fr-FR"/>
              </w:rPr>
            </w:pPr>
            <w:r w:rsidRPr="002009D7">
              <w:rPr>
                <w:sz w:val="18"/>
                <w:szCs w:val="18"/>
                <w:lang w:val="fr-FR"/>
              </w:rPr>
              <w:t>0</w:t>
            </w:r>
          </w:p>
        </w:tc>
        <w:tc>
          <w:tcPr>
            <w:tcW w:w="303" w:type="pct"/>
            <w:tcMar>
              <w:left w:w="14" w:type="dxa"/>
              <w:right w:w="14" w:type="dxa"/>
            </w:tcMar>
          </w:tcPr>
          <w:p w14:paraId="4A8F6D28" w14:textId="77777777" w:rsidR="00480052" w:rsidRPr="002009D7" w:rsidRDefault="00480052" w:rsidP="00BB1DAF">
            <w:pPr>
              <w:jc w:val="right"/>
              <w:rPr>
                <w:b/>
                <w:sz w:val="18"/>
                <w:szCs w:val="18"/>
                <w:lang w:val="fr-FR"/>
              </w:rPr>
            </w:pPr>
            <w:r w:rsidRPr="002009D7">
              <w:rPr>
                <w:b/>
                <w:sz w:val="18"/>
                <w:szCs w:val="18"/>
                <w:lang w:val="fr-FR"/>
              </w:rPr>
              <w:t>0</w:t>
            </w:r>
          </w:p>
        </w:tc>
        <w:tc>
          <w:tcPr>
            <w:tcW w:w="303" w:type="pct"/>
            <w:tcMar>
              <w:left w:w="14" w:type="dxa"/>
              <w:right w:w="14" w:type="dxa"/>
            </w:tcMar>
          </w:tcPr>
          <w:p w14:paraId="7B5B6AB3" w14:textId="77777777" w:rsidR="00480052" w:rsidRPr="002009D7" w:rsidRDefault="00480052" w:rsidP="00BB1DAF">
            <w:pPr>
              <w:jc w:val="right"/>
              <w:rPr>
                <w:b/>
                <w:sz w:val="18"/>
                <w:szCs w:val="18"/>
                <w:lang w:val="fr-FR"/>
              </w:rPr>
            </w:pPr>
            <w:r w:rsidRPr="002009D7">
              <w:rPr>
                <w:sz w:val="18"/>
                <w:szCs w:val="18"/>
                <w:lang w:val="fr-FR"/>
              </w:rPr>
              <w:t>0</w:t>
            </w:r>
          </w:p>
        </w:tc>
        <w:tc>
          <w:tcPr>
            <w:tcW w:w="319" w:type="pct"/>
            <w:tcMar>
              <w:left w:w="14" w:type="dxa"/>
              <w:right w:w="14" w:type="dxa"/>
            </w:tcMar>
          </w:tcPr>
          <w:p w14:paraId="7D1946B1" w14:textId="77777777" w:rsidR="00480052" w:rsidRPr="002009D7" w:rsidRDefault="00480052" w:rsidP="00BB1DAF">
            <w:pPr>
              <w:jc w:val="right"/>
              <w:rPr>
                <w:b/>
                <w:sz w:val="18"/>
                <w:szCs w:val="18"/>
                <w:lang w:val="fr-FR"/>
              </w:rPr>
            </w:pPr>
            <w:r w:rsidRPr="002009D7">
              <w:rPr>
                <w:b/>
                <w:sz w:val="18"/>
                <w:szCs w:val="18"/>
                <w:lang w:val="fr-FR"/>
              </w:rPr>
              <w:t>225</w:t>
            </w:r>
            <w:r w:rsidR="004A3B9C">
              <w:rPr>
                <w:b/>
                <w:sz w:val="18"/>
                <w:szCs w:val="18"/>
                <w:lang w:val="fr-FR"/>
              </w:rPr>
              <w:t> </w:t>
            </w:r>
            <w:r w:rsidRPr="002009D7">
              <w:rPr>
                <w:b/>
                <w:sz w:val="18"/>
                <w:szCs w:val="18"/>
                <w:lang w:val="fr-FR"/>
              </w:rPr>
              <w:t>000</w:t>
            </w:r>
          </w:p>
        </w:tc>
        <w:tc>
          <w:tcPr>
            <w:tcW w:w="303" w:type="pct"/>
            <w:tcMar>
              <w:left w:w="14" w:type="dxa"/>
              <w:right w:w="14" w:type="dxa"/>
            </w:tcMar>
          </w:tcPr>
          <w:p w14:paraId="4DB9E345" w14:textId="77777777" w:rsidR="00480052" w:rsidRPr="002009D7" w:rsidRDefault="00480052" w:rsidP="00BB1DAF">
            <w:pPr>
              <w:jc w:val="right"/>
              <w:rPr>
                <w:b/>
                <w:sz w:val="18"/>
                <w:szCs w:val="18"/>
                <w:lang w:val="fr-FR"/>
              </w:rPr>
            </w:pPr>
            <w:r w:rsidRPr="002009D7">
              <w:rPr>
                <w:b/>
                <w:sz w:val="18"/>
                <w:szCs w:val="18"/>
                <w:lang w:val="fr-FR"/>
              </w:rPr>
              <w:t>0</w:t>
            </w:r>
          </w:p>
        </w:tc>
        <w:tc>
          <w:tcPr>
            <w:tcW w:w="332" w:type="pct"/>
          </w:tcPr>
          <w:p w14:paraId="6F50A85A" w14:textId="77777777" w:rsidR="00480052" w:rsidRPr="002009D7" w:rsidRDefault="00480052" w:rsidP="00BB1DAF">
            <w:pPr>
              <w:jc w:val="right"/>
              <w:rPr>
                <w:b/>
                <w:sz w:val="18"/>
                <w:szCs w:val="18"/>
                <w:lang w:val="fr-FR"/>
              </w:rPr>
            </w:pPr>
            <w:r w:rsidRPr="002009D7">
              <w:rPr>
                <w:b/>
                <w:sz w:val="18"/>
                <w:szCs w:val="18"/>
                <w:lang w:val="fr-FR"/>
              </w:rPr>
              <w:t>0</w:t>
            </w:r>
          </w:p>
        </w:tc>
        <w:tc>
          <w:tcPr>
            <w:tcW w:w="358" w:type="pct"/>
            <w:tcMar>
              <w:left w:w="14" w:type="dxa"/>
              <w:right w:w="14" w:type="dxa"/>
            </w:tcMar>
          </w:tcPr>
          <w:p w14:paraId="0457802E" w14:textId="77777777" w:rsidR="00480052" w:rsidRPr="002009D7" w:rsidRDefault="00480052" w:rsidP="00BB1DAF">
            <w:pPr>
              <w:jc w:val="right"/>
              <w:rPr>
                <w:b/>
                <w:sz w:val="18"/>
                <w:szCs w:val="18"/>
                <w:lang w:val="fr-FR"/>
              </w:rPr>
            </w:pPr>
            <w:r w:rsidRPr="002009D7">
              <w:rPr>
                <w:b/>
                <w:sz w:val="18"/>
                <w:szCs w:val="18"/>
                <w:lang w:val="fr-FR"/>
              </w:rPr>
              <w:t>530</w:t>
            </w:r>
            <w:r w:rsidR="004A3B9C">
              <w:rPr>
                <w:b/>
                <w:sz w:val="18"/>
                <w:szCs w:val="18"/>
                <w:lang w:val="fr-FR"/>
              </w:rPr>
              <w:t> </w:t>
            </w:r>
            <w:r w:rsidRPr="002009D7">
              <w:rPr>
                <w:b/>
                <w:sz w:val="18"/>
                <w:szCs w:val="18"/>
                <w:lang w:val="fr-FR"/>
              </w:rPr>
              <w:t>000</w:t>
            </w:r>
          </w:p>
        </w:tc>
      </w:tr>
      <w:tr w:rsidR="00480052" w:rsidRPr="002009D7" w14:paraId="0B585901" w14:textId="77777777" w:rsidTr="00932B6D">
        <w:tc>
          <w:tcPr>
            <w:tcW w:w="147" w:type="pct"/>
            <w:noWrap/>
            <w:tcMar>
              <w:left w:w="0" w:type="dxa"/>
              <w:right w:w="0" w:type="dxa"/>
            </w:tcMar>
          </w:tcPr>
          <w:p w14:paraId="5DEFA459" w14:textId="70871029" w:rsidR="00480052" w:rsidRPr="002009D7" w:rsidRDefault="00480052" w:rsidP="00BB1DAF">
            <w:pPr>
              <w:jc w:val="left"/>
              <w:rPr>
                <w:sz w:val="18"/>
                <w:szCs w:val="18"/>
                <w:lang w:val="fr-FR"/>
              </w:rPr>
            </w:pPr>
            <w:r w:rsidRPr="002009D7">
              <w:rPr>
                <w:sz w:val="18"/>
                <w:szCs w:val="18"/>
                <w:lang w:val="fr-FR"/>
              </w:rPr>
              <w:t>3</w:t>
            </w:r>
            <w:r w:rsidR="00B158CB">
              <w:rPr>
                <w:sz w:val="18"/>
                <w:szCs w:val="18"/>
                <w:lang w:val="fr-FR"/>
              </w:rPr>
              <w:t>.</w:t>
            </w:r>
            <w:r w:rsidRPr="002009D7">
              <w:rPr>
                <w:sz w:val="18"/>
                <w:szCs w:val="18"/>
                <w:lang w:val="fr-FR"/>
              </w:rPr>
              <w:t>2</w:t>
            </w:r>
          </w:p>
        </w:tc>
        <w:tc>
          <w:tcPr>
            <w:tcW w:w="1101" w:type="pct"/>
          </w:tcPr>
          <w:p w14:paraId="4D80C751" w14:textId="77777777" w:rsidR="00480052" w:rsidRPr="002009D7" w:rsidRDefault="00480052" w:rsidP="00BB1DAF">
            <w:pPr>
              <w:jc w:val="left"/>
              <w:rPr>
                <w:sz w:val="18"/>
                <w:szCs w:val="18"/>
                <w:lang w:val="fr-FR"/>
              </w:rPr>
            </w:pPr>
            <w:r w:rsidRPr="002009D7">
              <w:rPr>
                <w:sz w:val="18"/>
                <w:szCs w:val="18"/>
                <w:lang w:val="fr-FR"/>
              </w:rPr>
              <w:t>Total des coûts d’appui ($</w:t>
            </w:r>
            <w:r w:rsidR="004A3B9C">
              <w:rPr>
                <w:sz w:val="18"/>
                <w:szCs w:val="18"/>
                <w:lang w:val="fr-FR"/>
              </w:rPr>
              <w:t xml:space="preserve"> </w:t>
            </w:r>
            <w:r w:rsidRPr="002009D7">
              <w:rPr>
                <w:sz w:val="18"/>
                <w:szCs w:val="18"/>
                <w:lang w:val="fr-FR"/>
              </w:rPr>
              <w:t>US)</w:t>
            </w:r>
          </w:p>
        </w:tc>
        <w:tc>
          <w:tcPr>
            <w:tcW w:w="319" w:type="pct"/>
            <w:tcMar>
              <w:left w:w="14" w:type="dxa"/>
              <w:right w:w="14" w:type="dxa"/>
            </w:tcMar>
          </w:tcPr>
          <w:p w14:paraId="606B5839" w14:textId="77777777" w:rsidR="00480052" w:rsidRPr="002009D7" w:rsidRDefault="00480052" w:rsidP="00BB1DAF">
            <w:pPr>
              <w:jc w:val="right"/>
              <w:rPr>
                <w:sz w:val="18"/>
                <w:szCs w:val="18"/>
                <w:lang w:val="fr-FR"/>
              </w:rPr>
            </w:pPr>
            <w:r w:rsidRPr="002009D7">
              <w:rPr>
                <w:sz w:val="18"/>
                <w:szCs w:val="18"/>
                <w:lang w:val="fr-FR"/>
              </w:rPr>
              <w:t>33</w:t>
            </w:r>
            <w:r w:rsidR="004A3B9C">
              <w:rPr>
                <w:sz w:val="18"/>
                <w:szCs w:val="18"/>
                <w:lang w:val="fr-FR"/>
              </w:rPr>
              <w:t> </w:t>
            </w:r>
            <w:r w:rsidRPr="002009D7">
              <w:rPr>
                <w:sz w:val="18"/>
                <w:szCs w:val="18"/>
                <w:lang w:val="fr-FR"/>
              </w:rPr>
              <w:t>050</w:t>
            </w:r>
          </w:p>
        </w:tc>
        <w:tc>
          <w:tcPr>
            <w:tcW w:w="303" w:type="pct"/>
            <w:tcMar>
              <w:left w:w="14" w:type="dxa"/>
              <w:right w:w="14" w:type="dxa"/>
            </w:tcMar>
          </w:tcPr>
          <w:p w14:paraId="11246ED5" w14:textId="77777777" w:rsidR="00480052" w:rsidRPr="002009D7" w:rsidRDefault="00480052" w:rsidP="00BB1DAF">
            <w:pPr>
              <w:jc w:val="right"/>
              <w:rPr>
                <w:sz w:val="18"/>
                <w:szCs w:val="18"/>
                <w:lang w:val="fr-FR"/>
              </w:rPr>
            </w:pPr>
            <w:r w:rsidRPr="002009D7">
              <w:rPr>
                <w:sz w:val="18"/>
                <w:szCs w:val="18"/>
                <w:lang w:val="fr-FR"/>
              </w:rPr>
              <w:t>0</w:t>
            </w:r>
          </w:p>
        </w:tc>
        <w:tc>
          <w:tcPr>
            <w:tcW w:w="303" w:type="pct"/>
            <w:tcMar>
              <w:left w:w="14" w:type="dxa"/>
              <w:right w:w="14" w:type="dxa"/>
            </w:tcMar>
          </w:tcPr>
          <w:p w14:paraId="3DBC98FA" w14:textId="77777777" w:rsidR="00480052" w:rsidRPr="002009D7" w:rsidRDefault="00480052" w:rsidP="00BB1DAF">
            <w:pPr>
              <w:jc w:val="right"/>
              <w:rPr>
                <w:sz w:val="18"/>
                <w:szCs w:val="18"/>
                <w:lang w:val="fr-FR"/>
              </w:rPr>
            </w:pPr>
            <w:r w:rsidRPr="002009D7">
              <w:rPr>
                <w:sz w:val="18"/>
                <w:szCs w:val="18"/>
                <w:lang w:val="fr-FR"/>
              </w:rPr>
              <w:t>7</w:t>
            </w:r>
            <w:r w:rsidR="004A3B9C">
              <w:rPr>
                <w:sz w:val="18"/>
                <w:szCs w:val="18"/>
                <w:lang w:val="fr-FR"/>
              </w:rPr>
              <w:t> </w:t>
            </w:r>
            <w:r w:rsidRPr="002009D7">
              <w:rPr>
                <w:sz w:val="18"/>
                <w:szCs w:val="18"/>
                <w:lang w:val="fr-FR"/>
              </w:rPr>
              <w:t>800</w:t>
            </w:r>
          </w:p>
        </w:tc>
        <w:tc>
          <w:tcPr>
            <w:tcW w:w="303" w:type="pct"/>
            <w:tcMar>
              <w:left w:w="14" w:type="dxa"/>
              <w:right w:w="14" w:type="dxa"/>
            </w:tcMar>
          </w:tcPr>
          <w:p w14:paraId="0745801F" w14:textId="77777777" w:rsidR="00480052" w:rsidRPr="002009D7" w:rsidRDefault="00480052" w:rsidP="00BB1DAF">
            <w:pPr>
              <w:jc w:val="right"/>
              <w:rPr>
                <w:b/>
                <w:sz w:val="18"/>
                <w:szCs w:val="18"/>
                <w:lang w:val="fr-FR"/>
              </w:rPr>
            </w:pPr>
            <w:r w:rsidRPr="002009D7">
              <w:rPr>
                <w:sz w:val="18"/>
                <w:szCs w:val="18"/>
                <w:lang w:val="fr-FR"/>
              </w:rPr>
              <w:t>0</w:t>
            </w:r>
          </w:p>
        </w:tc>
        <w:tc>
          <w:tcPr>
            <w:tcW w:w="303" w:type="pct"/>
            <w:tcMar>
              <w:left w:w="14" w:type="dxa"/>
              <w:right w:w="14" w:type="dxa"/>
            </w:tcMar>
          </w:tcPr>
          <w:p w14:paraId="1050DBD0" w14:textId="77777777" w:rsidR="00480052" w:rsidRPr="002009D7" w:rsidRDefault="00480052" w:rsidP="00BB1DAF">
            <w:pPr>
              <w:jc w:val="right"/>
              <w:rPr>
                <w:b/>
                <w:sz w:val="18"/>
                <w:szCs w:val="18"/>
                <w:lang w:val="fr-FR"/>
              </w:rPr>
            </w:pPr>
            <w:r w:rsidRPr="002009D7">
              <w:rPr>
                <w:b/>
                <w:sz w:val="18"/>
                <w:szCs w:val="18"/>
                <w:lang w:val="fr-FR"/>
              </w:rPr>
              <w:t>0</w:t>
            </w:r>
          </w:p>
        </w:tc>
        <w:tc>
          <w:tcPr>
            <w:tcW w:w="303" w:type="pct"/>
            <w:tcMar>
              <w:left w:w="14" w:type="dxa"/>
              <w:right w:w="14" w:type="dxa"/>
            </w:tcMar>
          </w:tcPr>
          <w:p w14:paraId="090D7709" w14:textId="77777777" w:rsidR="00480052" w:rsidRPr="002009D7" w:rsidRDefault="00480052" w:rsidP="00BB1DAF">
            <w:pPr>
              <w:jc w:val="right"/>
              <w:rPr>
                <w:b/>
                <w:sz w:val="18"/>
                <w:szCs w:val="18"/>
                <w:lang w:val="fr-FR"/>
              </w:rPr>
            </w:pPr>
            <w:r w:rsidRPr="002009D7">
              <w:rPr>
                <w:sz w:val="18"/>
                <w:szCs w:val="18"/>
                <w:lang w:val="fr-FR"/>
              </w:rPr>
              <w:t>0</w:t>
            </w:r>
          </w:p>
        </w:tc>
        <w:tc>
          <w:tcPr>
            <w:tcW w:w="303" w:type="pct"/>
            <w:tcMar>
              <w:left w:w="14" w:type="dxa"/>
              <w:right w:w="14" w:type="dxa"/>
            </w:tcMar>
          </w:tcPr>
          <w:p w14:paraId="649C37C9" w14:textId="77777777" w:rsidR="00480052" w:rsidRPr="002009D7" w:rsidRDefault="00480052" w:rsidP="00BB1DAF">
            <w:pPr>
              <w:jc w:val="right"/>
              <w:rPr>
                <w:b/>
                <w:sz w:val="18"/>
                <w:szCs w:val="18"/>
                <w:lang w:val="fr-FR"/>
              </w:rPr>
            </w:pPr>
            <w:r w:rsidRPr="002009D7">
              <w:rPr>
                <w:b/>
                <w:sz w:val="18"/>
                <w:szCs w:val="18"/>
                <w:lang w:val="fr-FR"/>
              </w:rPr>
              <w:t>0</w:t>
            </w:r>
          </w:p>
        </w:tc>
        <w:tc>
          <w:tcPr>
            <w:tcW w:w="303" w:type="pct"/>
            <w:tcMar>
              <w:left w:w="14" w:type="dxa"/>
              <w:right w:w="14" w:type="dxa"/>
            </w:tcMar>
          </w:tcPr>
          <w:p w14:paraId="5814F79B" w14:textId="77777777" w:rsidR="00480052" w:rsidRPr="002009D7" w:rsidRDefault="00480052" w:rsidP="00BB1DAF">
            <w:pPr>
              <w:jc w:val="right"/>
              <w:rPr>
                <w:b/>
                <w:sz w:val="18"/>
                <w:szCs w:val="18"/>
                <w:lang w:val="fr-FR"/>
              </w:rPr>
            </w:pPr>
            <w:r w:rsidRPr="002009D7">
              <w:rPr>
                <w:sz w:val="18"/>
                <w:szCs w:val="18"/>
                <w:lang w:val="fr-FR"/>
              </w:rPr>
              <w:t>0</w:t>
            </w:r>
          </w:p>
        </w:tc>
        <w:tc>
          <w:tcPr>
            <w:tcW w:w="319" w:type="pct"/>
            <w:tcMar>
              <w:left w:w="14" w:type="dxa"/>
              <w:right w:w="14" w:type="dxa"/>
            </w:tcMar>
          </w:tcPr>
          <w:p w14:paraId="376BCA21" w14:textId="77777777" w:rsidR="00480052" w:rsidRPr="002009D7" w:rsidRDefault="00480052" w:rsidP="00BB1DAF">
            <w:pPr>
              <w:jc w:val="right"/>
              <w:rPr>
                <w:b/>
                <w:sz w:val="18"/>
                <w:szCs w:val="18"/>
                <w:lang w:val="fr-FR"/>
              </w:rPr>
            </w:pPr>
            <w:r w:rsidRPr="002009D7">
              <w:rPr>
                <w:b/>
                <w:sz w:val="18"/>
                <w:szCs w:val="18"/>
                <w:lang w:val="fr-FR"/>
              </w:rPr>
              <w:t>21</w:t>
            </w:r>
            <w:r w:rsidR="004A3B9C">
              <w:rPr>
                <w:b/>
                <w:sz w:val="18"/>
                <w:szCs w:val="18"/>
                <w:lang w:val="fr-FR"/>
              </w:rPr>
              <w:t> </w:t>
            </w:r>
            <w:r w:rsidRPr="002009D7">
              <w:rPr>
                <w:b/>
                <w:sz w:val="18"/>
                <w:szCs w:val="18"/>
                <w:lang w:val="fr-FR"/>
              </w:rPr>
              <w:t>750</w:t>
            </w:r>
          </w:p>
        </w:tc>
        <w:tc>
          <w:tcPr>
            <w:tcW w:w="303" w:type="pct"/>
            <w:tcMar>
              <w:left w:w="14" w:type="dxa"/>
              <w:right w:w="14" w:type="dxa"/>
            </w:tcMar>
          </w:tcPr>
          <w:p w14:paraId="3D361F24" w14:textId="77777777" w:rsidR="00480052" w:rsidRPr="002009D7" w:rsidRDefault="00480052" w:rsidP="00BB1DAF">
            <w:pPr>
              <w:jc w:val="right"/>
              <w:rPr>
                <w:b/>
                <w:sz w:val="18"/>
                <w:szCs w:val="18"/>
                <w:lang w:val="fr-FR"/>
              </w:rPr>
            </w:pPr>
            <w:r w:rsidRPr="002009D7">
              <w:rPr>
                <w:b/>
                <w:sz w:val="18"/>
                <w:szCs w:val="18"/>
                <w:lang w:val="fr-FR"/>
              </w:rPr>
              <w:t>0</w:t>
            </w:r>
          </w:p>
        </w:tc>
        <w:tc>
          <w:tcPr>
            <w:tcW w:w="332" w:type="pct"/>
          </w:tcPr>
          <w:p w14:paraId="60558909" w14:textId="77777777" w:rsidR="00480052" w:rsidRPr="002009D7" w:rsidRDefault="00480052" w:rsidP="00BB1DAF">
            <w:pPr>
              <w:jc w:val="right"/>
              <w:rPr>
                <w:b/>
                <w:sz w:val="18"/>
                <w:szCs w:val="18"/>
                <w:lang w:val="fr-FR"/>
              </w:rPr>
            </w:pPr>
            <w:r w:rsidRPr="002009D7">
              <w:rPr>
                <w:b/>
                <w:sz w:val="18"/>
                <w:szCs w:val="18"/>
                <w:lang w:val="fr-FR"/>
              </w:rPr>
              <w:t>0</w:t>
            </w:r>
          </w:p>
        </w:tc>
        <w:tc>
          <w:tcPr>
            <w:tcW w:w="358" w:type="pct"/>
            <w:tcMar>
              <w:left w:w="14" w:type="dxa"/>
              <w:right w:w="14" w:type="dxa"/>
            </w:tcMar>
          </w:tcPr>
          <w:p w14:paraId="4C76F9C2" w14:textId="77777777" w:rsidR="00480052" w:rsidRPr="002009D7" w:rsidRDefault="00480052" w:rsidP="00BB1DAF">
            <w:pPr>
              <w:jc w:val="right"/>
              <w:rPr>
                <w:b/>
                <w:sz w:val="18"/>
                <w:szCs w:val="18"/>
                <w:lang w:val="fr-FR"/>
              </w:rPr>
            </w:pPr>
            <w:r w:rsidRPr="002009D7">
              <w:rPr>
                <w:b/>
                <w:sz w:val="18"/>
                <w:szCs w:val="18"/>
                <w:lang w:val="fr-FR"/>
              </w:rPr>
              <w:t>62</w:t>
            </w:r>
            <w:r w:rsidR="004A3B9C">
              <w:rPr>
                <w:b/>
                <w:sz w:val="18"/>
                <w:szCs w:val="18"/>
                <w:lang w:val="fr-FR"/>
              </w:rPr>
              <w:t> </w:t>
            </w:r>
            <w:r w:rsidRPr="002009D7">
              <w:rPr>
                <w:b/>
                <w:sz w:val="18"/>
                <w:szCs w:val="18"/>
                <w:lang w:val="fr-FR"/>
              </w:rPr>
              <w:t>600</w:t>
            </w:r>
          </w:p>
        </w:tc>
      </w:tr>
      <w:tr w:rsidR="00480052" w:rsidRPr="002009D7" w14:paraId="5B4AB277" w14:textId="77777777" w:rsidTr="00932B6D">
        <w:tc>
          <w:tcPr>
            <w:tcW w:w="147" w:type="pct"/>
            <w:noWrap/>
            <w:tcMar>
              <w:left w:w="0" w:type="dxa"/>
              <w:right w:w="0" w:type="dxa"/>
            </w:tcMar>
          </w:tcPr>
          <w:p w14:paraId="575B2074" w14:textId="47D7A36B" w:rsidR="00480052" w:rsidRPr="002009D7" w:rsidRDefault="00480052" w:rsidP="00BB1DAF">
            <w:pPr>
              <w:jc w:val="left"/>
              <w:rPr>
                <w:sz w:val="18"/>
                <w:szCs w:val="18"/>
                <w:lang w:val="fr-FR"/>
              </w:rPr>
            </w:pPr>
            <w:r w:rsidRPr="002009D7">
              <w:rPr>
                <w:sz w:val="18"/>
                <w:szCs w:val="18"/>
                <w:lang w:val="fr-FR"/>
              </w:rPr>
              <w:t>3</w:t>
            </w:r>
            <w:r w:rsidR="00B158CB">
              <w:rPr>
                <w:sz w:val="18"/>
                <w:szCs w:val="18"/>
                <w:lang w:val="fr-FR"/>
              </w:rPr>
              <w:t>.</w:t>
            </w:r>
            <w:r w:rsidRPr="002009D7">
              <w:rPr>
                <w:sz w:val="18"/>
                <w:szCs w:val="18"/>
                <w:lang w:val="fr-FR"/>
              </w:rPr>
              <w:t>3</w:t>
            </w:r>
          </w:p>
        </w:tc>
        <w:tc>
          <w:tcPr>
            <w:tcW w:w="1101" w:type="pct"/>
          </w:tcPr>
          <w:p w14:paraId="5DF8D89B" w14:textId="77777777" w:rsidR="00480052" w:rsidRPr="002009D7" w:rsidRDefault="00480052" w:rsidP="00BB1DAF">
            <w:pPr>
              <w:jc w:val="left"/>
              <w:rPr>
                <w:sz w:val="18"/>
                <w:szCs w:val="18"/>
                <w:lang w:val="fr-FR"/>
              </w:rPr>
            </w:pPr>
            <w:r w:rsidRPr="002009D7">
              <w:rPr>
                <w:sz w:val="18"/>
                <w:szCs w:val="18"/>
                <w:lang w:val="fr-FR"/>
              </w:rPr>
              <w:t>Total des coûts convenus ($</w:t>
            </w:r>
            <w:r w:rsidR="004A3B9C">
              <w:rPr>
                <w:sz w:val="18"/>
                <w:szCs w:val="18"/>
                <w:lang w:val="fr-FR"/>
              </w:rPr>
              <w:t xml:space="preserve"> </w:t>
            </w:r>
            <w:r w:rsidRPr="002009D7">
              <w:rPr>
                <w:sz w:val="18"/>
                <w:szCs w:val="18"/>
                <w:lang w:val="fr-FR"/>
              </w:rPr>
              <w:t>US)</w:t>
            </w:r>
          </w:p>
        </w:tc>
        <w:tc>
          <w:tcPr>
            <w:tcW w:w="319" w:type="pct"/>
            <w:tcMar>
              <w:left w:w="14" w:type="dxa"/>
              <w:right w:w="14" w:type="dxa"/>
            </w:tcMar>
          </w:tcPr>
          <w:p w14:paraId="2E9AA3AD" w14:textId="77777777" w:rsidR="00480052" w:rsidRPr="002009D7" w:rsidRDefault="00480052" w:rsidP="00BB1DAF">
            <w:pPr>
              <w:jc w:val="right"/>
              <w:rPr>
                <w:sz w:val="18"/>
                <w:szCs w:val="18"/>
                <w:lang w:val="fr-FR"/>
              </w:rPr>
            </w:pPr>
            <w:r w:rsidRPr="002009D7">
              <w:rPr>
                <w:sz w:val="18"/>
                <w:szCs w:val="18"/>
                <w:lang w:val="fr-FR"/>
              </w:rPr>
              <w:t>278</w:t>
            </w:r>
            <w:r w:rsidR="004A3B9C">
              <w:rPr>
                <w:sz w:val="18"/>
                <w:szCs w:val="18"/>
                <w:lang w:val="fr-FR"/>
              </w:rPr>
              <w:t> </w:t>
            </w:r>
            <w:r w:rsidRPr="002009D7">
              <w:rPr>
                <w:sz w:val="18"/>
                <w:szCs w:val="18"/>
                <w:lang w:val="fr-FR"/>
              </w:rPr>
              <w:t>050</w:t>
            </w:r>
          </w:p>
        </w:tc>
        <w:tc>
          <w:tcPr>
            <w:tcW w:w="303" w:type="pct"/>
            <w:tcMar>
              <w:left w:w="14" w:type="dxa"/>
              <w:right w:w="14" w:type="dxa"/>
            </w:tcMar>
          </w:tcPr>
          <w:p w14:paraId="7D85F6DD" w14:textId="77777777" w:rsidR="00480052" w:rsidRPr="002009D7" w:rsidRDefault="00480052" w:rsidP="00BB1DAF">
            <w:pPr>
              <w:jc w:val="right"/>
              <w:rPr>
                <w:sz w:val="18"/>
                <w:szCs w:val="18"/>
                <w:lang w:val="fr-FR"/>
              </w:rPr>
            </w:pPr>
            <w:r w:rsidRPr="002009D7">
              <w:rPr>
                <w:sz w:val="18"/>
                <w:szCs w:val="18"/>
                <w:lang w:val="fr-FR"/>
              </w:rPr>
              <w:t>0</w:t>
            </w:r>
          </w:p>
        </w:tc>
        <w:tc>
          <w:tcPr>
            <w:tcW w:w="303" w:type="pct"/>
            <w:tcMar>
              <w:left w:w="14" w:type="dxa"/>
              <w:right w:w="14" w:type="dxa"/>
            </w:tcMar>
          </w:tcPr>
          <w:p w14:paraId="175C8661" w14:textId="77777777" w:rsidR="00480052" w:rsidRPr="002009D7" w:rsidRDefault="00480052" w:rsidP="00BB1DAF">
            <w:pPr>
              <w:jc w:val="right"/>
              <w:rPr>
                <w:sz w:val="18"/>
                <w:szCs w:val="18"/>
                <w:lang w:val="fr-FR"/>
              </w:rPr>
            </w:pPr>
            <w:r w:rsidRPr="002009D7">
              <w:rPr>
                <w:sz w:val="18"/>
                <w:szCs w:val="18"/>
                <w:lang w:val="fr-FR"/>
              </w:rPr>
              <w:t>67</w:t>
            </w:r>
            <w:r w:rsidR="004A3B9C">
              <w:rPr>
                <w:sz w:val="18"/>
                <w:szCs w:val="18"/>
                <w:lang w:val="fr-FR"/>
              </w:rPr>
              <w:t> </w:t>
            </w:r>
            <w:r w:rsidRPr="002009D7">
              <w:rPr>
                <w:sz w:val="18"/>
                <w:szCs w:val="18"/>
                <w:lang w:val="fr-FR"/>
              </w:rPr>
              <w:t>800</w:t>
            </w:r>
          </w:p>
        </w:tc>
        <w:tc>
          <w:tcPr>
            <w:tcW w:w="303" w:type="pct"/>
            <w:tcMar>
              <w:left w:w="14" w:type="dxa"/>
              <w:right w:w="14" w:type="dxa"/>
            </w:tcMar>
          </w:tcPr>
          <w:p w14:paraId="539C0816" w14:textId="77777777" w:rsidR="00480052" w:rsidRPr="002009D7" w:rsidRDefault="00480052" w:rsidP="00BB1DAF">
            <w:pPr>
              <w:jc w:val="right"/>
              <w:rPr>
                <w:sz w:val="18"/>
                <w:szCs w:val="18"/>
                <w:lang w:val="fr-FR"/>
              </w:rPr>
            </w:pPr>
            <w:r w:rsidRPr="002009D7">
              <w:rPr>
                <w:sz w:val="18"/>
                <w:szCs w:val="18"/>
                <w:lang w:val="fr-FR"/>
              </w:rPr>
              <w:t>0</w:t>
            </w:r>
          </w:p>
        </w:tc>
        <w:tc>
          <w:tcPr>
            <w:tcW w:w="303" w:type="pct"/>
            <w:tcMar>
              <w:left w:w="14" w:type="dxa"/>
              <w:right w:w="14" w:type="dxa"/>
            </w:tcMar>
          </w:tcPr>
          <w:p w14:paraId="23EF0D75" w14:textId="77777777" w:rsidR="00480052" w:rsidRPr="002009D7" w:rsidRDefault="00480052" w:rsidP="00BB1DAF">
            <w:pPr>
              <w:jc w:val="right"/>
              <w:rPr>
                <w:sz w:val="18"/>
                <w:szCs w:val="18"/>
                <w:lang w:val="fr-FR"/>
              </w:rPr>
            </w:pPr>
            <w:r w:rsidRPr="002009D7">
              <w:rPr>
                <w:b/>
                <w:sz w:val="18"/>
                <w:szCs w:val="18"/>
                <w:lang w:val="fr-FR"/>
              </w:rPr>
              <w:t>0</w:t>
            </w:r>
          </w:p>
        </w:tc>
        <w:tc>
          <w:tcPr>
            <w:tcW w:w="303" w:type="pct"/>
            <w:tcMar>
              <w:left w:w="14" w:type="dxa"/>
              <w:right w:w="14" w:type="dxa"/>
            </w:tcMar>
          </w:tcPr>
          <w:p w14:paraId="24E416B3" w14:textId="77777777" w:rsidR="00480052" w:rsidRPr="002009D7" w:rsidRDefault="00480052" w:rsidP="00BB1DAF">
            <w:pPr>
              <w:jc w:val="right"/>
              <w:rPr>
                <w:sz w:val="18"/>
                <w:szCs w:val="18"/>
                <w:lang w:val="fr-FR"/>
              </w:rPr>
            </w:pPr>
            <w:r w:rsidRPr="002009D7">
              <w:rPr>
                <w:sz w:val="18"/>
                <w:szCs w:val="18"/>
                <w:lang w:val="fr-FR"/>
              </w:rPr>
              <w:t>0</w:t>
            </w:r>
          </w:p>
        </w:tc>
        <w:tc>
          <w:tcPr>
            <w:tcW w:w="303" w:type="pct"/>
            <w:tcMar>
              <w:left w:w="14" w:type="dxa"/>
              <w:right w:w="14" w:type="dxa"/>
            </w:tcMar>
          </w:tcPr>
          <w:p w14:paraId="5D4798A8" w14:textId="77777777" w:rsidR="00480052" w:rsidRPr="002009D7" w:rsidRDefault="00480052" w:rsidP="00BB1DAF">
            <w:pPr>
              <w:jc w:val="right"/>
              <w:rPr>
                <w:sz w:val="18"/>
                <w:szCs w:val="18"/>
                <w:lang w:val="fr-FR"/>
              </w:rPr>
            </w:pPr>
            <w:r w:rsidRPr="002009D7">
              <w:rPr>
                <w:b/>
                <w:sz w:val="18"/>
                <w:szCs w:val="18"/>
                <w:lang w:val="fr-FR"/>
              </w:rPr>
              <w:t>0</w:t>
            </w:r>
          </w:p>
        </w:tc>
        <w:tc>
          <w:tcPr>
            <w:tcW w:w="303" w:type="pct"/>
            <w:tcMar>
              <w:left w:w="14" w:type="dxa"/>
              <w:right w:w="14" w:type="dxa"/>
            </w:tcMar>
          </w:tcPr>
          <w:p w14:paraId="1EB857C0" w14:textId="77777777" w:rsidR="00480052" w:rsidRPr="002009D7" w:rsidRDefault="00480052" w:rsidP="00BB1DAF">
            <w:pPr>
              <w:jc w:val="right"/>
              <w:rPr>
                <w:sz w:val="18"/>
                <w:szCs w:val="18"/>
                <w:lang w:val="fr-FR"/>
              </w:rPr>
            </w:pPr>
            <w:r w:rsidRPr="002009D7">
              <w:rPr>
                <w:sz w:val="18"/>
                <w:szCs w:val="18"/>
                <w:lang w:val="fr-FR"/>
              </w:rPr>
              <w:t>0</w:t>
            </w:r>
          </w:p>
        </w:tc>
        <w:tc>
          <w:tcPr>
            <w:tcW w:w="319" w:type="pct"/>
            <w:tcMar>
              <w:left w:w="14" w:type="dxa"/>
              <w:right w:w="14" w:type="dxa"/>
            </w:tcMar>
          </w:tcPr>
          <w:p w14:paraId="210B17C0" w14:textId="77777777" w:rsidR="00480052" w:rsidRPr="002009D7" w:rsidRDefault="00480052" w:rsidP="00BB1DAF">
            <w:pPr>
              <w:jc w:val="right"/>
              <w:rPr>
                <w:sz w:val="18"/>
                <w:szCs w:val="18"/>
                <w:lang w:val="fr-FR"/>
              </w:rPr>
            </w:pPr>
            <w:r w:rsidRPr="002009D7">
              <w:rPr>
                <w:b/>
                <w:bCs/>
                <w:sz w:val="18"/>
                <w:szCs w:val="18"/>
                <w:lang w:val="fr-FR"/>
              </w:rPr>
              <w:t>246</w:t>
            </w:r>
            <w:r w:rsidR="004A3B9C">
              <w:rPr>
                <w:b/>
                <w:bCs/>
                <w:sz w:val="18"/>
                <w:szCs w:val="18"/>
                <w:lang w:val="fr-FR"/>
              </w:rPr>
              <w:t> </w:t>
            </w:r>
            <w:r w:rsidRPr="002009D7">
              <w:rPr>
                <w:b/>
                <w:bCs/>
                <w:sz w:val="18"/>
                <w:szCs w:val="18"/>
                <w:lang w:val="fr-FR"/>
              </w:rPr>
              <w:t>750</w:t>
            </w:r>
          </w:p>
        </w:tc>
        <w:tc>
          <w:tcPr>
            <w:tcW w:w="303" w:type="pct"/>
            <w:tcMar>
              <w:left w:w="14" w:type="dxa"/>
              <w:right w:w="14" w:type="dxa"/>
            </w:tcMar>
          </w:tcPr>
          <w:p w14:paraId="419AE0AA" w14:textId="77777777" w:rsidR="00480052" w:rsidRPr="002009D7" w:rsidRDefault="00480052" w:rsidP="00BB1DAF">
            <w:pPr>
              <w:jc w:val="right"/>
              <w:rPr>
                <w:b/>
                <w:sz w:val="18"/>
                <w:szCs w:val="18"/>
                <w:lang w:val="fr-FR"/>
              </w:rPr>
            </w:pPr>
            <w:r w:rsidRPr="002009D7">
              <w:rPr>
                <w:b/>
                <w:sz w:val="18"/>
                <w:szCs w:val="18"/>
                <w:lang w:val="fr-FR"/>
              </w:rPr>
              <w:t>0</w:t>
            </w:r>
          </w:p>
        </w:tc>
        <w:tc>
          <w:tcPr>
            <w:tcW w:w="332" w:type="pct"/>
          </w:tcPr>
          <w:p w14:paraId="6DA9B146" w14:textId="77777777" w:rsidR="00480052" w:rsidRPr="002009D7" w:rsidRDefault="00480052" w:rsidP="00BB1DAF">
            <w:pPr>
              <w:jc w:val="right"/>
              <w:rPr>
                <w:b/>
                <w:bCs/>
                <w:sz w:val="18"/>
                <w:szCs w:val="18"/>
                <w:lang w:val="fr-FR"/>
              </w:rPr>
            </w:pPr>
            <w:r w:rsidRPr="002009D7">
              <w:rPr>
                <w:b/>
                <w:bCs/>
                <w:sz w:val="18"/>
                <w:szCs w:val="18"/>
                <w:lang w:val="fr-FR"/>
              </w:rPr>
              <w:t>0</w:t>
            </w:r>
          </w:p>
        </w:tc>
        <w:tc>
          <w:tcPr>
            <w:tcW w:w="358" w:type="pct"/>
            <w:tcMar>
              <w:left w:w="14" w:type="dxa"/>
              <w:right w:w="14" w:type="dxa"/>
            </w:tcMar>
          </w:tcPr>
          <w:p w14:paraId="2202AA44" w14:textId="77777777" w:rsidR="00480052" w:rsidRPr="002009D7" w:rsidRDefault="00480052" w:rsidP="00BB1DAF">
            <w:pPr>
              <w:jc w:val="right"/>
              <w:rPr>
                <w:sz w:val="18"/>
                <w:szCs w:val="18"/>
                <w:lang w:val="fr-FR"/>
              </w:rPr>
            </w:pPr>
            <w:r w:rsidRPr="002009D7">
              <w:rPr>
                <w:b/>
                <w:bCs/>
                <w:sz w:val="18"/>
                <w:szCs w:val="18"/>
                <w:lang w:val="fr-FR"/>
              </w:rPr>
              <w:t>592</w:t>
            </w:r>
            <w:r w:rsidR="004A3B9C">
              <w:rPr>
                <w:b/>
                <w:bCs/>
                <w:sz w:val="18"/>
                <w:szCs w:val="18"/>
                <w:lang w:val="fr-FR"/>
              </w:rPr>
              <w:t> </w:t>
            </w:r>
            <w:r w:rsidRPr="002009D7">
              <w:rPr>
                <w:b/>
                <w:bCs/>
                <w:sz w:val="18"/>
                <w:szCs w:val="18"/>
                <w:lang w:val="fr-FR"/>
              </w:rPr>
              <w:t>600</w:t>
            </w:r>
          </w:p>
        </w:tc>
      </w:tr>
      <w:tr w:rsidR="00480052" w:rsidRPr="002009D7" w14:paraId="1CEC74C5" w14:textId="77777777" w:rsidTr="00932B6D">
        <w:tc>
          <w:tcPr>
            <w:tcW w:w="147" w:type="pct"/>
            <w:noWrap/>
            <w:tcMar>
              <w:left w:w="0" w:type="dxa"/>
              <w:right w:w="0" w:type="dxa"/>
            </w:tcMar>
          </w:tcPr>
          <w:p w14:paraId="5BAD6F2C" w14:textId="77777777" w:rsidR="00480052" w:rsidRPr="002009D7" w:rsidRDefault="00480052" w:rsidP="00BB1DAF">
            <w:pPr>
              <w:jc w:val="left"/>
              <w:rPr>
                <w:sz w:val="18"/>
                <w:szCs w:val="18"/>
                <w:lang w:val="fr-FR"/>
              </w:rPr>
            </w:pPr>
            <w:r w:rsidRPr="002009D7">
              <w:rPr>
                <w:lang w:val="fr-FR"/>
              </w:rPr>
              <w:br w:type="page"/>
            </w:r>
            <w:r w:rsidRPr="002009D7">
              <w:rPr>
                <w:lang w:val="fr-FR"/>
              </w:rPr>
              <w:br w:type="page"/>
            </w:r>
            <w:r w:rsidRPr="002009D7">
              <w:rPr>
                <w:sz w:val="18"/>
                <w:szCs w:val="18"/>
                <w:lang w:val="fr-FR"/>
              </w:rPr>
              <w:t>4.1.1</w:t>
            </w:r>
          </w:p>
        </w:tc>
        <w:tc>
          <w:tcPr>
            <w:tcW w:w="4495" w:type="pct"/>
            <w:gridSpan w:val="12"/>
          </w:tcPr>
          <w:p w14:paraId="278ED310" w14:textId="77777777" w:rsidR="00480052" w:rsidRPr="002009D7" w:rsidRDefault="00480052" w:rsidP="00BB1DAF">
            <w:pPr>
              <w:jc w:val="left"/>
              <w:rPr>
                <w:b/>
                <w:sz w:val="18"/>
                <w:szCs w:val="18"/>
                <w:lang w:val="fr-FR"/>
              </w:rPr>
            </w:pPr>
            <w:r w:rsidRPr="002009D7">
              <w:rPr>
                <w:sz w:val="18"/>
                <w:szCs w:val="18"/>
                <w:lang w:val="fr-FR"/>
              </w:rPr>
              <w:t>Élimination totale de HCFC-22 convenue aux termes du présent accord (tonnes PAO)</w:t>
            </w:r>
          </w:p>
        </w:tc>
        <w:tc>
          <w:tcPr>
            <w:tcW w:w="358" w:type="pct"/>
            <w:noWrap/>
          </w:tcPr>
          <w:p w14:paraId="2D43CBC1" w14:textId="77777777" w:rsidR="00480052" w:rsidRPr="002009D7" w:rsidRDefault="00480052" w:rsidP="00BB1DAF">
            <w:pPr>
              <w:jc w:val="right"/>
              <w:rPr>
                <w:b/>
                <w:sz w:val="18"/>
                <w:szCs w:val="18"/>
                <w:lang w:val="fr-FR"/>
              </w:rPr>
            </w:pPr>
            <w:r w:rsidRPr="002009D7">
              <w:rPr>
                <w:b/>
                <w:sz w:val="18"/>
                <w:szCs w:val="18"/>
                <w:lang w:val="fr-FR"/>
              </w:rPr>
              <w:t>2,63</w:t>
            </w:r>
          </w:p>
        </w:tc>
      </w:tr>
      <w:tr w:rsidR="00480052" w:rsidRPr="002009D7" w14:paraId="47B54E33" w14:textId="77777777" w:rsidTr="00932B6D">
        <w:tc>
          <w:tcPr>
            <w:tcW w:w="147" w:type="pct"/>
            <w:noWrap/>
            <w:tcMar>
              <w:left w:w="0" w:type="dxa"/>
              <w:right w:w="0" w:type="dxa"/>
            </w:tcMar>
          </w:tcPr>
          <w:p w14:paraId="3648723F" w14:textId="77777777" w:rsidR="00480052" w:rsidRPr="002009D7" w:rsidRDefault="00480052" w:rsidP="00BB1DAF">
            <w:pPr>
              <w:jc w:val="left"/>
              <w:rPr>
                <w:sz w:val="18"/>
                <w:szCs w:val="18"/>
                <w:lang w:val="fr-FR"/>
              </w:rPr>
            </w:pPr>
            <w:r w:rsidRPr="002009D7">
              <w:rPr>
                <w:sz w:val="18"/>
                <w:szCs w:val="18"/>
                <w:lang w:val="fr-FR"/>
              </w:rPr>
              <w:t>4.1.2</w:t>
            </w:r>
          </w:p>
        </w:tc>
        <w:tc>
          <w:tcPr>
            <w:tcW w:w="4495" w:type="pct"/>
            <w:gridSpan w:val="12"/>
          </w:tcPr>
          <w:p w14:paraId="1453BC12" w14:textId="77777777" w:rsidR="00480052" w:rsidRPr="002009D7" w:rsidRDefault="00480052" w:rsidP="00BB1DAF">
            <w:pPr>
              <w:jc w:val="left"/>
              <w:rPr>
                <w:sz w:val="18"/>
                <w:szCs w:val="18"/>
                <w:lang w:val="fr-FR"/>
              </w:rPr>
            </w:pPr>
            <w:r w:rsidRPr="002009D7">
              <w:rPr>
                <w:sz w:val="18"/>
                <w:szCs w:val="18"/>
                <w:lang w:val="fr-FR"/>
              </w:rPr>
              <w:t>Élimination de HCFC-22 par des projets approuvés ultérieurement (tonnes PAO)</w:t>
            </w:r>
          </w:p>
        </w:tc>
        <w:tc>
          <w:tcPr>
            <w:tcW w:w="358" w:type="pct"/>
            <w:noWrap/>
          </w:tcPr>
          <w:p w14:paraId="6B62C891" w14:textId="77777777" w:rsidR="00480052" w:rsidRPr="002009D7" w:rsidRDefault="00480052" w:rsidP="00BB1DAF">
            <w:pPr>
              <w:jc w:val="right"/>
              <w:rPr>
                <w:sz w:val="18"/>
                <w:szCs w:val="18"/>
                <w:lang w:val="fr-FR"/>
              </w:rPr>
            </w:pPr>
            <w:proofErr w:type="spellStart"/>
            <w:r w:rsidRPr="002009D7">
              <w:rPr>
                <w:sz w:val="18"/>
                <w:szCs w:val="18"/>
                <w:lang w:val="fr-FR"/>
              </w:rPr>
              <w:t>s.o</w:t>
            </w:r>
            <w:proofErr w:type="spellEnd"/>
            <w:r w:rsidRPr="002009D7">
              <w:rPr>
                <w:sz w:val="18"/>
                <w:szCs w:val="18"/>
                <w:lang w:val="fr-FR"/>
              </w:rPr>
              <w:t>.</w:t>
            </w:r>
          </w:p>
        </w:tc>
      </w:tr>
      <w:tr w:rsidR="00480052" w:rsidRPr="002009D7" w14:paraId="68B6ADBF" w14:textId="77777777" w:rsidTr="00932B6D">
        <w:tc>
          <w:tcPr>
            <w:tcW w:w="147" w:type="pct"/>
            <w:noWrap/>
            <w:tcMar>
              <w:left w:w="0" w:type="dxa"/>
              <w:right w:w="0" w:type="dxa"/>
            </w:tcMar>
          </w:tcPr>
          <w:p w14:paraId="1185C72F" w14:textId="77777777" w:rsidR="00480052" w:rsidRPr="002009D7" w:rsidRDefault="00480052" w:rsidP="00BB1DAF">
            <w:pPr>
              <w:jc w:val="left"/>
              <w:rPr>
                <w:sz w:val="18"/>
                <w:szCs w:val="18"/>
                <w:lang w:val="fr-FR"/>
              </w:rPr>
            </w:pPr>
            <w:r w:rsidRPr="002009D7">
              <w:rPr>
                <w:sz w:val="18"/>
                <w:szCs w:val="18"/>
                <w:lang w:val="fr-FR"/>
              </w:rPr>
              <w:t>4.1.3</w:t>
            </w:r>
          </w:p>
        </w:tc>
        <w:tc>
          <w:tcPr>
            <w:tcW w:w="4495" w:type="pct"/>
            <w:gridSpan w:val="12"/>
          </w:tcPr>
          <w:p w14:paraId="54370295" w14:textId="77777777" w:rsidR="00480052" w:rsidRPr="002009D7" w:rsidRDefault="00480052" w:rsidP="00BB1DAF">
            <w:pPr>
              <w:jc w:val="left"/>
              <w:rPr>
                <w:b/>
                <w:sz w:val="18"/>
                <w:szCs w:val="18"/>
                <w:lang w:val="fr-FR"/>
              </w:rPr>
            </w:pPr>
            <w:r w:rsidRPr="002009D7">
              <w:rPr>
                <w:sz w:val="18"/>
                <w:szCs w:val="18"/>
                <w:lang w:val="fr-FR"/>
              </w:rPr>
              <w:t>Consommation restante admissible pour le HCFC-22 (tonnes PAO)</w:t>
            </w:r>
          </w:p>
        </w:tc>
        <w:tc>
          <w:tcPr>
            <w:tcW w:w="358" w:type="pct"/>
            <w:noWrap/>
          </w:tcPr>
          <w:p w14:paraId="5D6AE3EC" w14:textId="77777777" w:rsidR="00480052" w:rsidRPr="002009D7" w:rsidRDefault="00480052" w:rsidP="00BB1DAF">
            <w:pPr>
              <w:jc w:val="right"/>
              <w:rPr>
                <w:b/>
                <w:sz w:val="18"/>
                <w:szCs w:val="18"/>
                <w:lang w:val="fr-FR"/>
              </w:rPr>
            </w:pPr>
            <w:r w:rsidRPr="002009D7">
              <w:rPr>
                <w:b/>
                <w:sz w:val="18"/>
                <w:szCs w:val="18"/>
                <w:lang w:val="fr-FR"/>
              </w:rPr>
              <w:t>4,87</w:t>
            </w:r>
          </w:p>
        </w:tc>
      </w:tr>
    </w:tbl>
    <w:p w14:paraId="4334707F" w14:textId="5FEB1BCE" w:rsidR="00480052" w:rsidRDefault="00480052" w:rsidP="00480052">
      <w:pPr>
        <w:spacing w:after="21" w:line="238" w:lineRule="auto"/>
        <w:rPr>
          <w:sz w:val="20"/>
          <w:szCs w:val="20"/>
          <w:lang w:val="fr-FR"/>
        </w:rPr>
      </w:pPr>
      <w:r w:rsidRPr="002009D7">
        <w:rPr>
          <w:sz w:val="20"/>
          <w:lang w:val="fr-FR"/>
        </w:rPr>
        <w:t>*La phase I du PGEH a été approuvé</w:t>
      </w:r>
      <w:r w:rsidR="00965BB0">
        <w:rPr>
          <w:sz w:val="20"/>
          <w:lang w:val="fr-FR"/>
        </w:rPr>
        <w:t>e à</w:t>
      </w:r>
      <w:r w:rsidRPr="002009D7">
        <w:rPr>
          <w:sz w:val="20"/>
          <w:lang w:val="fr-FR"/>
        </w:rPr>
        <w:t xml:space="preserve"> un niveau de financement de 647</w:t>
      </w:r>
      <w:r w:rsidR="004A3B9C">
        <w:rPr>
          <w:sz w:val="20"/>
          <w:lang w:val="fr-FR"/>
        </w:rPr>
        <w:t> </w:t>
      </w:r>
      <w:r w:rsidRPr="002009D7">
        <w:rPr>
          <w:sz w:val="20"/>
          <w:lang w:val="fr-FR"/>
        </w:rPr>
        <w:t>000</w:t>
      </w:r>
      <w:r w:rsidR="004A3B9C">
        <w:rPr>
          <w:sz w:val="20"/>
          <w:lang w:val="fr-FR"/>
        </w:rPr>
        <w:t> </w:t>
      </w:r>
      <w:r w:rsidRPr="002009D7">
        <w:rPr>
          <w:sz w:val="20"/>
          <w:lang w:val="fr-FR"/>
        </w:rPr>
        <w:t>$ US basé sur une consommation estimée de 22,6</w:t>
      </w:r>
      <w:r w:rsidR="004A3B9C">
        <w:rPr>
          <w:sz w:val="20"/>
          <w:lang w:val="fr-FR"/>
        </w:rPr>
        <w:t> </w:t>
      </w:r>
      <w:r w:rsidRPr="002009D7">
        <w:rPr>
          <w:sz w:val="20"/>
          <w:lang w:val="fr-FR"/>
        </w:rPr>
        <w:t>tonnes PAO.</w:t>
      </w:r>
      <w:r w:rsidRPr="002009D7">
        <w:rPr>
          <w:color w:val="FF0000"/>
          <w:sz w:val="20"/>
          <w:szCs w:val="20"/>
          <w:lang w:val="fr-FR"/>
        </w:rPr>
        <w:t xml:space="preserve"> </w:t>
      </w:r>
      <w:r w:rsidRPr="002009D7">
        <w:rPr>
          <w:sz w:val="20"/>
          <w:szCs w:val="20"/>
          <w:lang w:val="fr-FR"/>
        </w:rPr>
        <w:t>Cependant</w:t>
      </w:r>
      <w:r w:rsidR="004A3B9C">
        <w:rPr>
          <w:sz w:val="20"/>
          <w:szCs w:val="20"/>
          <w:lang w:val="fr-FR"/>
        </w:rPr>
        <w:t xml:space="preserve"> </w:t>
      </w:r>
      <w:r w:rsidRPr="002009D7">
        <w:rPr>
          <w:sz w:val="20"/>
          <w:szCs w:val="20"/>
          <w:lang w:val="fr-FR"/>
        </w:rPr>
        <w:t>le niveau de financement associé à la phase I du PGEH devrait être de 332</w:t>
      </w:r>
      <w:r w:rsidR="004A3B9C">
        <w:rPr>
          <w:sz w:val="20"/>
          <w:szCs w:val="20"/>
          <w:lang w:val="fr-FR"/>
        </w:rPr>
        <w:t> </w:t>
      </w:r>
      <w:r w:rsidRPr="002009D7">
        <w:rPr>
          <w:sz w:val="20"/>
          <w:szCs w:val="20"/>
          <w:lang w:val="fr-FR"/>
        </w:rPr>
        <w:t>500</w:t>
      </w:r>
      <w:r w:rsidR="004A3B9C">
        <w:rPr>
          <w:sz w:val="20"/>
          <w:szCs w:val="20"/>
          <w:lang w:val="fr-FR"/>
        </w:rPr>
        <w:t> </w:t>
      </w:r>
      <w:r w:rsidRPr="002009D7">
        <w:rPr>
          <w:sz w:val="20"/>
          <w:szCs w:val="20"/>
          <w:lang w:val="fr-FR"/>
        </w:rPr>
        <w:t xml:space="preserve">$ US basés sur un point de départ révisé pour une réduction globale </w:t>
      </w:r>
      <w:r w:rsidR="003A625D">
        <w:rPr>
          <w:sz w:val="20"/>
          <w:szCs w:val="20"/>
          <w:lang w:val="fr-FR"/>
        </w:rPr>
        <w:t>durable</w:t>
      </w:r>
      <w:r w:rsidRPr="002009D7">
        <w:rPr>
          <w:sz w:val="20"/>
          <w:szCs w:val="20"/>
          <w:lang w:val="fr-FR"/>
        </w:rPr>
        <w:t xml:space="preserve"> de la consommation de HCFC de </w:t>
      </w:r>
      <w:r w:rsidR="003A625D">
        <w:rPr>
          <w:sz w:val="20"/>
          <w:szCs w:val="20"/>
          <w:lang w:val="fr-FR"/>
        </w:rPr>
        <w:t>7,</w:t>
      </w:r>
      <w:r w:rsidRPr="002009D7">
        <w:rPr>
          <w:sz w:val="20"/>
          <w:szCs w:val="20"/>
          <w:lang w:val="fr-FR"/>
        </w:rPr>
        <w:t xml:space="preserve"> 51</w:t>
      </w:r>
      <w:r w:rsidR="004A3B9C">
        <w:rPr>
          <w:sz w:val="20"/>
          <w:szCs w:val="20"/>
          <w:lang w:val="fr-FR"/>
        </w:rPr>
        <w:t> </w:t>
      </w:r>
      <w:r w:rsidRPr="002009D7">
        <w:rPr>
          <w:sz w:val="20"/>
          <w:szCs w:val="20"/>
          <w:lang w:val="fr-FR"/>
        </w:rPr>
        <w:t>tonnes PAO.</w:t>
      </w:r>
      <w:r w:rsidRPr="002009D7">
        <w:rPr>
          <w:color w:val="FF0000"/>
          <w:sz w:val="20"/>
          <w:szCs w:val="20"/>
          <w:lang w:val="fr-FR"/>
        </w:rPr>
        <w:t xml:space="preserve"> </w:t>
      </w:r>
      <w:r w:rsidRPr="002009D7">
        <w:rPr>
          <w:sz w:val="20"/>
          <w:szCs w:val="20"/>
          <w:lang w:val="fr-FR"/>
        </w:rPr>
        <w:t>L’ajustement du financement sera réalisé au moment de l’approbation de la phase</w:t>
      </w:r>
      <w:r w:rsidR="009B2824">
        <w:rPr>
          <w:sz w:val="20"/>
          <w:szCs w:val="20"/>
          <w:lang w:val="fr-FR"/>
        </w:rPr>
        <w:t> </w:t>
      </w:r>
      <w:r w:rsidR="003A625D">
        <w:rPr>
          <w:sz w:val="20"/>
          <w:szCs w:val="20"/>
          <w:lang w:val="fr-FR"/>
        </w:rPr>
        <w:t xml:space="preserve">II </w:t>
      </w:r>
      <w:r w:rsidRPr="002009D7">
        <w:rPr>
          <w:sz w:val="20"/>
          <w:szCs w:val="20"/>
          <w:lang w:val="fr-FR"/>
        </w:rPr>
        <w:t xml:space="preserve">du PGEH.  </w:t>
      </w:r>
    </w:p>
    <w:p w14:paraId="55394B66" w14:textId="77777777" w:rsidR="003A625D" w:rsidRPr="002009D7" w:rsidRDefault="003A625D" w:rsidP="00480052">
      <w:pPr>
        <w:spacing w:after="21" w:line="238" w:lineRule="auto"/>
        <w:rPr>
          <w:sz w:val="20"/>
          <w:szCs w:val="20"/>
          <w:lang w:val="fr-FR"/>
        </w:rPr>
      </w:pPr>
    </w:p>
    <w:p w14:paraId="4DCC987E" w14:textId="77777777" w:rsidR="00480052" w:rsidRPr="002009D7" w:rsidRDefault="00480052" w:rsidP="00480052">
      <w:pPr>
        <w:keepNext/>
        <w:spacing w:after="11"/>
        <w:ind w:left="14"/>
        <w:jc w:val="left"/>
        <w:rPr>
          <w:lang w:val="fr-FR"/>
        </w:rPr>
      </w:pPr>
      <w:r w:rsidRPr="002009D7">
        <w:rPr>
          <w:b/>
          <w:sz w:val="21"/>
          <w:lang w:val="fr-FR"/>
        </w:rPr>
        <w:t>APPENDICE</w:t>
      </w:r>
      <w:r w:rsidR="004A3B9C">
        <w:rPr>
          <w:b/>
          <w:sz w:val="21"/>
          <w:lang w:val="fr-FR"/>
        </w:rPr>
        <w:t> </w:t>
      </w:r>
      <w:r w:rsidRPr="002009D7">
        <w:rPr>
          <w:b/>
          <w:sz w:val="21"/>
          <w:lang w:val="fr-FR"/>
        </w:rPr>
        <w:t>7-A</w:t>
      </w:r>
      <w:r w:rsidR="004A3B9C">
        <w:rPr>
          <w:b/>
          <w:sz w:val="21"/>
          <w:lang w:val="fr-FR"/>
        </w:rPr>
        <w:t> </w:t>
      </w:r>
      <w:r w:rsidRPr="002009D7">
        <w:rPr>
          <w:b/>
          <w:sz w:val="21"/>
          <w:lang w:val="fr-FR"/>
        </w:rPr>
        <w:t xml:space="preserve">: DIMINUTION DU FINANCEMENT EN RAISON DU MANQUEMENT À SE CONFORMER </w:t>
      </w:r>
    </w:p>
    <w:p w14:paraId="3D030A3E" w14:textId="77777777" w:rsidR="00480052" w:rsidRPr="002009D7" w:rsidRDefault="00480052" w:rsidP="00480052">
      <w:pPr>
        <w:jc w:val="left"/>
        <w:rPr>
          <w:lang w:val="fr-FR"/>
        </w:rPr>
      </w:pPr>
      <w:r w:rsidRPr="002009D7">
        <w:rPr>
          <w:sz w:val="21"/>
          <w:lang w:val="fr-FR"/>
        </w:rPr>
        <w:t xml:space="preserve"> </w:t>
      </w:r>
    </w:p>
    <w:p w14:paraId="38ACB8A7" w14:textId="5D8C5239" w:rsidR="00DE592E" w:rsidRPr="002009D7" w:rsidRDefault="00480052" w:rsidP="00DE592E">
      <w:pPr>
        <w:spacing w:after="190"/>
        <w:ind w:left="-15" w:right="45"/>
        <w:rPr>
          <w:sz w:val="21"/>
          <w:lang w:val="fr-FR"/>
        </w:rPr>
      </w:pPr>
      <w:r w:rsidRPr="002009D7">
        <w:rPr>
          <w:sz w:val="21"/>
          <w:lang w:val="fr-FR"/>
        </w:rPr>
        <w:t>1.</w:t>
      </w:r>
      <w:r w:rsidRPr="002009D7">
        <w:rPr>
          <w:rFonts w:ascii="Arial" w:hAnsi="Arial"/>
          <w:sz w:val="21"/>
          <w:lang w:val="fr-FR"/>
        </w:rPr>
        <w:t xml:space="preserve"> </w:t>
      </w:r>
      <w:r w:rsidRPr="002009D7">
        <w:rPr>
          <w:rFonts w:ascii="Arial" w:hAnsi="Arial"/>
          <w:sz w:val="21"/>
          <w:lang w:val="fr-FR"/>
        </w:rPr>
        <w:tab/>
      </w:r>
      <w:r w:rsidRPr="002009D7">
        <w:rPr>
          <w:sz w:val="21"/>
          <w:lang w:val="fr-FR"/>
        </w:rPr>
        <w:t>Conformément au paragraphe</w:t>
      </w:r>
      <w:r w:rsidR="004A3B9C">
        <w:rPr>
          <w:sz w:val="21"/>
          <w:lang w:val="fr-FR"/>
        </w:rPr>
        <w:t> </w:t>
      </w:r>
      <w:r w:rsidRPr="002009D7">
        <w:rPr>
          <w:sz w:val="21"/>
          <w:lang w:val="fr-FR"/>
        </w:rPr>
        <w:t>11 de l’Accord, le montant du financement fourni peut être réduit à 180</w:t>
      </w:r>
      <w:r w:rsidR="004A3B9C">
        <w:rPr>
          <w:sz w:val="21"/>
          <w:lang w:val="fr-FR"/>
        </w:rPr>
        <w:t> </w:t>
      </w:r>
      <w:r w:rsidRPr="002009D7">
        <w:rPr>
          <w:sz w:val="21"/>
          <w:lang w:val="fr-FR"/>
        </w:rPr>
        <w:t>$</w:t>
      </w:r>
      <w:r w:rsidR="00596612">
        <w:rPr>
          <w:sz w:val="21"/>
          <w:lang w:val="fr-FR"/>
        </w:rPr>
        <w:t> </w:t>
      </w:r>
      <w:r w:rsidRPr="002009D7">
        <w:rPr>
          <w:sz w:val="21"/>
          <w:lang w:val="fr-FR"/>
        </w:rPr>
        <w:t>US par kg PAO de consommation inférieure au niveau défini ligne</w:t>
      </w:r>
      <w:r w:rsidR="004A3B9C">
        <w:rPr>
          <w:sz w:val="21"/>
          <w:lang w:val="fr-FR"/>
        </w:rPr>
        <w:t> </w:t>
      </w:r>
      <w:r w:rsidRPr="002009D7">
        <w:rPr>
          <w:sz w:val="21"/>
          <w:lang w:val="fr-FR"/>
        </w:rPr>
        <w:t>1.2 de l’Appendice</w:t>
      </w:r>
      <w:r w:rsidR="004A3B9C">
        <w:rPr>
          <w:sz w:val="21"/>
          <w:lang w:val="fr-FR"/>
        </w:rPr>
        <w:t> </w:t>
      </w:r>
      <w:r w:rsidRPr="002009D7">
        <w:rPr>
          <w:sz w:val="21"/>
          <w:lang w:val="fr-FR"/>
        </w:rPr>
        <w:t>2-A pour chaque année pour laquelle l’objectif spécifié ligne 1</w:t>
      </w:r>
      <w:r w:rsidR="00B158CB">
        <w:rPr>
          <w:sz w:val="21"/>
          <w:lang w:val="fr-FR"/>
        </w:rPr>
        <w:t>.</w:t>
      </w:r>
      <w:r w:rsidRPr="002009D7">
        <w:rPr>
          <w:sz w:val="21"/>
          <w:lang w:val="fr-FR"/>
        </w:rPr>
        <w:t>2 de l’Appendice</w:t>
      </w:r>
      <w:r w:rsidR="004A3B9C">
        <w:rPr>
          <w:sz w:val="21"/>
          <w:lang w:val="fr-FR"/>
        </w:rPr>
        <w:t> </w:t>
      </w:r>
      <w:r w:rsidRPr="002009D7">
        <w:rPr>
          <w:sz w:val="21"/>
          <w:lang w:val="fr-FR"/>
        </w:rPr>
        <w:t>2-A n’a pas été atteint.</w:t>
      </w:r>
    </w:p>
    <w:p w14:paraId="5534A71F" w14:textId="77777777" w:rsidR="00441083" w:rsidRPr="002009D7" w:rsidRDefault="00441083">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41083" w:rsidRPr="00DE2412" w14:paraId="3C9E891B" w14:textId="77777777">
        <w:tc>
          <w:tcPr>
            <w:tcW w:w="1915" w:type="dxa"/>
          </w:tcPr>
          <w:p w14:paraId="5FFC42E6" w14:textId="77777777" w:rsidR="00441083" w:rsidRPr="002009D7" w:rsidRDefault="00441083">
            <w:pPr>
              <w:rPr>
                <w:lang w:val="fr-FR"/>
              </w:rPr>
            </w:pPr>
          </w:p>
        </w:tc>
        <w:tc>
          <w:tcPr>
            <w:tcW w:w="1915" w:type="dxa"/>
          </w:tcPr>
          <w:p w14:paraId="6B9F6E4F" w14:textId="77777777" w:rsidR="00441083" w:rsidRPr="002009D7" w:rsidRDefault="00441083">
            <w:pPr>
              <w:rPr>
                <w:lang w:val="fr-FR"/>
              </w:rPr>
            </w:pPr>
          </w:p>
        </w:tc>
        <w:tc>
          <w:tcPr>
            <w:tcW w:w="1915" w:type="dxa"/>
            <w:tcBorders>
              <w:bottom w:val="single" w:sz="4" w:space="0" w:color="auto"/>
            </w:tcBorders>
          </w:tcPr>
          <w:p w14:paraId="5E57B719" w14:textId="77777777" w:rsidR="00441083" w:rsidRPr="002009D7" w:rsidRDefault="00441083">
            <w:pPr>
              <w:rPr>
                <w:b/>
                <w:bCs/>
                <w:lang w:val="fr-FR"/>
              </w:rPr>
            </w:pPr>
          </w:p>
        </w:tc>
        <w:tc>
          <w:tcPr>
            <w:tcW w:w="1915" w:type="dxa"/>
          </w:tcPr>
          <w:p w14:paraId="66181139" w14:textId="77777777" w:rsidR="00441083" w:rsidRPr="002009D7" w:rsidRDefault="00441083">
            <w:pPr>
              <w:rPr>
                <w:lang w:val="fr-FR"/>
              </w:rPr>
            </w:pPr>
          </w:p>
        </w:tc>
        <w:tc>
          <w:tcPr>
            <w:tcW w:w="1916" w:type="dxa"/>
          </w:tcPr>
          <w:p w14:paraId="44599B10" w14:textId="77777777" w:rsidR="00441083" w:rsidRPr="002009D7" w:rsidRDefault="00441083">
            <w:pPr>
              <w:rPr>
                <w:lang w:val="fr-FR"/>
              </w:rPr>
            </w:pPr>
          </w:p>
        </w:tc>
      </w:tr>
    </w:tbl>
    <w:p w14:paraId="28FEB7E9" w14:textId="77777777" w:rsidR="00441083" w:rsidRPr="002009D7" w:rsidRDefault="00441083">
      <w:pPr>
        <w:rPr>
          <w:lang w:val="fr-FR"/>
        </w:rPr>
      </w:pPr>
    </w:p>
    <w:sectPr w:rsidR="00441083" w:rsidRPr="002009D7" w:rsidSect="00202DEB">
      <w:headerReference w:type="even" r:id="rId18"/>
      <w:headerReference w:type="default" r:id="rId19"/>
      <w:footerReference w:type="even" r:id="rId20"/>
      <w:footerReference w:type="default" r:id="rId21"/>
      <w:headerReference w:type="first" r:id="rId22"/>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55931" w14:textId="77777777" w:rsidR="001C0F7B" w:rsidRDefault="001C0F7B">
      <w:r>
        <w:separator/>
      </w:r>
    </w:p>
  </w:endnote>
  <w:endnote w:type="continuationSeparator" w:id="0">
    <w:p w14:paraId="4ED3D60A" w14:textId="77777777" w:rsidR="001C0F7B" w:rsidRDefault="001C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822723"/>
      <w:docPartObj>
        <w:docPartGallery w:val="Page Numbers (Bottom of Page)"/>
        <w:docPartUnique/>
      </w:docPartObj>
    </w:sdtPr>
    <w:sdtEndPr>
      <w:rPr>
        <w:rStyle w:val="PageNumber"/>
      </w:rPr>
    </w:sdtEndPr>
    <w:sdtContent>
      <w:p w14:paraId="417615FE" w14:textId="279E2292" w:rsidR="0036434B" w:rsidRDefault="0036434B" w:rsidP="003643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5F956FE" w14:textId="77777777" w:rsidR="0036434B" w:rsidRDefault="00364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2733736"/>
      <w:docPartObj>
        <w:docPartGallery w:val="Page Numbers (Bottom of Page)"/>
        <w:docPartUnique/>
      </w:docPartObj>
    </w:sdtPr>
    <w:sdtEndPr>
      <w:rPr>
        <w:rStyle w:val="PageNumber"/>
      </w:rPr>
    </w:sdtEndPr>
    <w:sdtContent>
      <w:p w14:paraId="78A11420" w14:textId="2A9A60AD" w:rsidR="0036434B" w:rsidRDefault="0036434B" w:rsidP="003643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AED8DF0" w14:textId="77777777" w:rsidR="0036434B" w:rsidRDefault="00364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708631"/>
      <w:docPartObj>
        <w:docPartGallery w:val="Page Numbers (Bottom of Page)"/>
        <w:docPartUnique/>
      </w:docPartObj>
    </w:sdtPr>
    <w:sdtEndPr>
      <w:rPr>
        <w:noProof/>
      </w:rPr>
    </w:sdtEndPr>
    <w:sdtContent>
      <w:p w14:paraId="6F329634" w14:textId="77777777" w:rsidR="0036434B" w:rsidRPr="00A567C1" w:rsidRDefault="0036434B" w:rsidP="00596612">
        <w:pPr>
          <w:pBdr>
            <w:top w:val="single" w:sz="4" w:space="1" w:color="auto"/>
            <w:left w:val="single" w:sz="4" w:space="4" w:color="auto"/>
            <w:bottom w:val="single" w:sz="4" w:space="10" w:color="auto"/>
            <w:right w:val="single" w:sz="4" w:space="4" w:color="auto"/>
          </w:pBdr>
          <w:jc w:val="center"/>
          <w:rPr>
            <w:rFonts w:cs="MS Serif"/>
            <w:sz w:val="20"/>
            <w:lang w:val="fr-CA"/>
          </w:rPr>
        </w:pPr>
        <w:r w:rsidRPr="00A567C1">
          <w:rPr>
            <w:rFonts w:cs="MS Serif"/>
            <w:sz w:val="20"/>
            <w:lang w:val="fr-CA"/>
          </w:rPr>
          <w:t xml:space="preserve">Les documents de présession du Comité exécutif du Fonds multilatéral aux fins d’application du Protocole de </w:t>
        </w:r>
      </w:p>
      <w:p w14:paraId="7F672159" w14:textId="7D99CE11" w:rsidR="0036434B" w:rsidRPr="00596612" w:rsidRDefault="0036434B" w:rsidP="00596612">
        <w:pPr>
          <w:pBdr>
            <w:top w:val="single" w:sz="4" w:space="1" w:color="auto"/>
            <w:left w:val="single" w:sz="4" w:space="4" w:color="auto"/>
            <w:bottom w:val="single" w:sz="4" w:space="10" w:color="auto"/>
            <w:right w:val="single" w:sz="4" w:space="4" w:color="auto"/>
          </w:pBdr>
          <w:jc w:val="center"/>
          <w:rPr>
            <w:noProof/>
            <w:lang w:val="fr-CA"/>
          </w:rPr>
        </w:pPr>
        <w:r w:rsidRPr="00A567C1">
          <w:rPr>
            <w:rFonts w:cs="MS Serif"/>
            <w:sz w:val="20"/>
            <w:lang w:val="fr-CA"/>
          </w:rPr>
          <w:t>Montréal sont présentés sous réserve des décisions pouvant être prises par le Comité exécutif après leur publication.</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8675242"/>
      <w:docPartObj>
        <w:docPartGallery w:val="Page Numbers (Bottom of Page)"/>
        <w:docPartUnique/>
      </w:docPartObj>
    </w:sdtPr>
    <w:sdtEndPr>
      <w:rPr>
        <w:rStyle w:val="PageNumber"/>
      </w:rPr>
    </w:sdtEndPr>
    <w:sdtContent>
      <w:p w14:paraId="0407F34A" w14:textId="77777777" w:rsidR="00B5050D" w:rsidRDefault="00B5050D" w:rsidP="003643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00D0871" w14:textId="77777777" w:rsidR="00B5050D" w:rsidRDefault="00B505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4445926"/>
      <w:docPartObj>
        <w:docPartGallery w:val="Page Numbers (Bottom of Page)"/>
        <w:docPartUnique/>
      </w:docPartObj>
    </w:sdtPr>
    <w:sdtEndPr>
      <w:rPr>
        <w:rStyle w:val="PageNumber"/>
      </w:rPr>
    </w:sdtEndPr>
    <w:sdtContent>
      <w:p w14:paraId="295B27DA" w14:textId="77777777" w:rsidR="00B5050D" w:rsidRDefault="00B5050D" w:rsidP="003643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9149C1B" w14:textId="77777777" w:rsidR="00B5050D" w:rsidRDefault="00B505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9918143"/>
      <w:docPartObj>
        <w:docPartGallery w:val="Page Numbers (Bottom of Page)"/>
        <w:docPartUnique/>
      </w:docPartObj>
    </w:sdtPr>
    <w:sdtEndPr>
      <w:rPr>
        <w:rStyle w:val="PageNumber"/>
      </w:rPr>
    </w:sdtEndPr>
    <w:sdtContent>
      <w:p w14:paraId="0755E373" w14:textId="77777777" w:rsidR="00B04104" w:rsidRDefault="00B04104" w:rsidP="003643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037791" w14:textId="77777777" w:rsidR="00B04104" w:rsidRDefault="00B041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128237"/>
      <w:docPartObj>
        <w:docPartGallery w:val="Page Numbers (Bottom of Page)"/>
        <w:docPartUnique/>
      </w:docPartObj>
    </w:sdtPr>
    <w:sdtEndPr>
      <w:rPr>
        <w:rStyle w:val="PageNumber"/>
      </w:rPr>
    </w:sdtEndPr>
    <w:sdtContent>
      <w:p w14:paraId="42C07CEC" w14:textId="77777777" w:rsidR="00B04104" w:rsidRDefault="00B04104" w:rsidP="003643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D854DD6" w14:textId="77777777" w:rsidR="00B04104" w:rsidRDefault="00B04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633EA" w14:textId="77777777" w:rsidR="001C0F7B" w:rsidRDefault="001C0F7B">
      <w:r>
        <w:separator/>
      </w:r>
    </w:p>
  </w:footnote>
  <w:footnote w:type="continuationSeparator" w:id="0">
    <w:p w14:paraId="71564EB2" w14:textId="77777777" w:rsidR="001C0F7B" w:rsidRDefault="001C0F7B">
      <w:r>
        <w:continuationSeparator/>
      </w:r>
    </w:p>
  </w:footnote>
  <w:footnote w:id="1">
    <w:p w14:paraId="492D79B9" w14:textId="15DB29A1" w:rsidR="0036434B" w:rsidRPr="004531B1" w:rsidRDefault="0036434B" w:rsidP="00480052">
      <w:pPr>
        <w:pStyle w:val="FootnoteText"/>
      </w:pPr>
      <w:r>
        <w:rPr>
          <w:rStyle w:val="FootnoteReference"/>
        </w:rPr>
        <w:footnoteRef/>
      </w:r>
      <w:r>
        <w:t xml:space="preserve"> UNEP/</w:t>
      </w:r>
      <w:proofErr w:type="spellStart"/>
      <w:r>
        <w:t>OzL.Pro</w:t>
      </w:r>
      <w:proofErr w:type="spellEnd"/>
      <w:r>
        <w:t>/</w:t>
      </w:r>
      <w:proofErr w:type="spellStart"/>
      <w:r>
        <w:t>ExCom</w:t>
      </w:r>
      <w:proofErr w:type="spellEnd"/>
      <w:r>
        <w:t>/66/37.</w:t>
      </w:r>
    </w:p>
  </w:footnote>
  <w:footnote w:id="2">
    <w:p w14:paraId="70A391A2" w14:textId="13D8CC73" w:rsidR="0036434B" w:rsidRPr="001B24A9" w:rsidRDefault="0036434B" w:rsidP="00480052">
      <w:pPr>
        <w:pStyle w:val="FootnoteText"/>
      </w:pPr>
      <w:r>
        <w:rPr>
          <w:rStyle w:val="FootnoteReference"/>
        </w:rPr>
        <w:footnoteRef/>
      </w:r>
      <w:r>
        <w:t xml:space="preserve"> UNEP/</w:t>
      </w:r>
      <w:proofErr w:type="spellStart"/>
      <w:r>
        <w:t>OzL.Pro</w:t>
      </w:r>
      <w:proofErr w:type="spellEnd"/>
      <w:r>
        <w:t>/</w:t>
      </w:r>
      <w:proofErr w:type="spellStart"/>
      <w:r>
        <w:t>ExCom</w:t>
      </w:r>
      <w:proofErr w:type="spellEnd"/>
      <w:r>
        <w:t>/72/28.</w:t>
      </w:r>
    </w:p>
  </w:footnote>
  <w:footnote w:id="3">
    <w:p w14:paraId="4E16F57A" w14:textId="7F280BC6" w:rsidR="0036434B" w:rsidRPr="00393F77" w:rsidRDefault="0036434B" w:rsidP="00480052">
      <w:pPr>
        <w:pStyle w:val="FootnoteText"/>
      </w:pPr>
      <w:r>
        <w:rPr>
          <w:rStyle w:val="FootnoteReference"/>
        </w:rPr>
        <w:footnoteRef/>
      </w:r>
      <w:r>
        <w:t xml:space="preserve"> Paragraphe 7 du document UNEP/</w:t>
      </w:r>
      <w:proofErr w:type="spellStart"/>
      <w:r>
        <w:t>OzL.Pro</w:t>
      </w:r>
      <w:proofErr w:type="spellEnd"/>
      <w:r>
        <w:t>/</w:t>
      </w:r>
      <w:proofErr w:type="spellStart"/>
      <w:r>
        <w:t>ExCom</w:t>
      </w:r>
      <w:proofErr w:type="spellEnd"/>
      <w:r>
        <w:t>/72/28.</w:t>
      </w:r>
    </w:p>
  </w:footnote>
  <w:footnote w:id="4">
    <w:p w14:paraId="61D42C73" w14:textId="04696C56" w:rsidR="0036434B" w:rsidRPr="00647CF1" w:rsidRDefault="0036434B" w:rsidP="00480052">
      <w:pPr>
        <w:pStyle w:val="FootnoteText"/>
      </w:pPr>
      <w:r>
        <w:rPr>
          <w:rStyle w:val="FootnoteReference"/>
        </w:rPr>
        <w:footnoteRef/>
      </w:r>
      <w:r>
        <w:t xml:space="preserve"> La légère différence provient de données issues d’importateurs qui n’avaient pas été prises en compte par l’UNO. </w:t>
      </w:r>
    </w:p>
  </w:footnote>
  <w:footnote w:id="5">
    <w:p w14:paraId="23BA1D88" w14:textId="55165F5E" w:rsidR="0036434B" w:rsidRPr="00527940" w:rsidRDefault="0036434B" w:rsidP="00480052">
      <w:pPr>
        <w:pStyle w:val="FootnoteText"/>
      </w:pPr>
      <w:r>
        <w:rPr>
          <w:rStyle w:val="FootnoteReference"/>
        </w:rPr>
        <w:footnoteRef/>
      </w:r>
      <w:r>
        <w:t xml:space="preserve"> L’épidémie de maladie à virus Ebola en Afrique de l’Ouest (2013-2016) est la flambée épidémique de maladie à virus Ebola la plus importante de l’histoire, entraînant de lourdes pertes humaines et d’importantes perturbations socio-économiques dans les régions touchées, principalement en Guinée (la), au Liberia (le) et en Sierra Leone (la).</w:t>
      </w:r>
    </w:p>
  </w:footnote>
  <w:footnote w:id="6">
    <w:p w14:paraId="360BB782" w14:textId="3A5B79A9" w:rsidR="0036434B" w:rsidRPr="00283CB7" w:rsidRDefault="0036434B" w:rsidP="00480052">
      <w:pPr>
        <w:pStyle w:val="FootnoteText"/>
      </w:pPr>
      <w:r>
        <w:rPr>
          <w:rStyle w:val="FootnoteReference"/>
        </w:rPr>
        <w:footnoteRef/>
      </w:r>
      <w:r>
        <w:t xml:space="preserve"> Des institutions de formation professionnelle et plusieurs grands ateliers de réparation ont été identifiés pour servir de centres de formation des techniciens et pour gérer l’équipement des techniciens dans les régions environnantes.</w:t>
      </w:r>
    </w:p>
  </w:footnote>
  <w:footnote w:id="7">
    <w:p w14:paraId="7A8BCC8A" w14:textId="77777777" w:rsidR="0036434B" w:rsidRPr="00562D99" w:rsidRDefault="0036434B" w:rsidP="00480052">
      <w:pPr>
        <w:pStyle w:val="FootnoteText"/>
      </w:pPr>
      <w:r>
        <w:rPr>
          <w:rStyle w:val="FootnoteReference"/>
        </w:rPr>
        <w:footnoteRef/>
      </w:r>
      <w:r>
        <w:t xml:space="preserve"> Cet ajustement n’a pas été appliqué à la deuxième tranche approuvée lors de la 72</w:t>
      </w:r>
      <w:r w:rsidRPr="00CA12EA">
        <w:rPr>
          <w:vertAlign w:val="superscript"/>
        </w:rPr>
        <w:t>e</w:t>
      </w:r>
      <w:r>
        <w:t> réunion, car cette tranche ne comprenait pas de composant relatif à l’ONUDI.</w:t>
      </w:r>
    </w:p>
  </w:footnote>
  <w:footnote w:id="8">
    <w:p w14:paraId="6032D3ED" w14:textId="1720B4C3" w:rsidR="0036434B" w:rsidRPr="003B545C" w:rsidRDefault="0036434B" w:rsidP="00480052">
      <w:pPr>
        <w:pStyle w:val="FootnoteText"/>
      </w:pPr>
      <w:r>
        <w:rPr>
          <w:rStyle w:val="FootnoteReference"/>
        </w:rPr>
        <w:footnoteRef/>
      </w:r>
      <w:r>
        <w:t xml:space="preserve"> La décision 84/92(d) demande aux agences bilatérales et d’exécution d’appliquer la politique opérationnelle sur la gendérisation durant tout le cycle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A4FDA" w14:textId="1F7073C5" w:rsidR="0036434B" w:rsidRDefault="0036434B">
    <w:pPr>
      <w:pStyle w:val="Header"/>
    </w:pPr>
    <w:r>
      <w:fldChar w:fldCharType="begin"/>
    </w:r>
    <w:r>
      <w:instrText xml:space="preserve"> DOCPROPERTY "Document number"  \* MERGEFORMAT </w:instrText>
    </w:r>
    <w:r>
      <w:fldChar w:fldCharType="separate"/>
    </w:r>
    <w:r w:rsidR="005A2406">
      <w:t>UNEP/</w:t>
    </w:r>
    <w:proofErr w:type="spellStart"/>
    <w:r w:rsidR="005A2406">
      <w:t>OzL.Pro</w:t>
    </w:r>
    <w:proofErr w:type="spellEnd"/>
    <w:r w:rsidR="005A2406">
      <w:t>/ExCom/85/29</w:t>
    </w:r>
    <w:r>
      <w:fldChar w:fldCharType="end"/>
    </w:r>
  </w:p>
  <w:p w14:paraId="3AC35A58" w14:textId="736DA57A" w:rsidR="0036434B" w:rsidRDefault="0036434B">
    <w:pPr>
      <w:pStyle w:val="Header"/>
    </w:pPr>
  </w:p>
  <w:p w14:paraId="50722C69" w14:textId="77777777" w:rsidR="0036434B" w:rsidRDefault="00364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0C1F" w14:textId="426DB0BE" w:rsidR="0036434B" w:rsidRDefault="0036434B" w:rsidP="00202DEB">
    <w:pPr>
      <w:pStyle w:val="Header"/>
      <w:jc w:val="left"/>
    </w:pPr>
    <w:r>
      <w:fldChar w:fldCharType="begin"/>
    </w:r>
    <w:r>
      <w:instrText xml:space="preserve"> DOCPROPERTY "Document number"  \* MERGEFORMAT </w:instrText>
    </w:r>
    <w:r>
      <w:fldChar w:fldCharType="separate"/>
    </w:r>
    <w:r w:rsidR="005A2406">
      <w:t>UNEP/</w:t>
    </w:r>
    <w:proofErr w:type="spellStart"/>
    <w:r w:rsidR="005A2406">
      <w:t>OzL.Pro</w:t>
    </w:r>
    <w:proofErr w:type="spellEnd"/>
    <w:r w:rsidR="005A2406">
      <w:t>/ExCom/85/29</w:t>
    </w:r>
    <w:r>
      <w:fldChar w:fldCharType="end"/>
    </w:r>
  </w:p>
  <w:p w14:paraId="2430D209" w14:textId="77777777" w:rsidR="0036434B" w:rsidRDefault="0036434B">
    <w:pPr>
      <w:pStyle w:val="Header"/>
    </w:pPr>
  </w:p>
  <w:p w14:paraId="7FF675C3" w14:textId="77777777" w:rsidR="0036434B" w:rsidRDefault="00364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D220E" w14:textId="0C6F20DA" w:rsidR="0036434B" w:rsidRDefault="0036434B" w:rsidP="0036434B">
    <w:pPr>
      <w:pStyle w:val="Header"/>
      <w:jc w:val="right"/>
    </w:pPr>
    <w:r>
      <w:fldChar w:fldCharType="begin"/>
    </w:r>
    <w:r>
      <w:instrText xml:space="preserve"> DOCPROPERTY "Document number"  \* MERGEFORMAT </w:instrText>
    </w:r>
    <w:r>
      <w:fldChar w:fldCharType="separate"/>
    </w:r>
    <w:r w:rsidR="005A2406">
      <w:t>UNEP/</w:t>
    </w:r>
    <w:proofErr w:type="spellStart"/>
    <w:r w:rsidR="005A2406">
      <w:t>OzL.Pro</w:t>
    </w:r>
    <w:proofErr w:type="spellEnd"/>
    <w:r w:rsidR="005A2406">
      <w:t>/ExCom/85/29</w:t>
    </w:r>
    <w:r>
      <w:fldChar w:fldCharType="end"/>
    </w:r>
  </w:p>
  <w:p w14:paraId="5B895F8B" w14:textId="4984CF0C" w:rsidR="0036434B" w:rsidRDefault="0036434B">
    <w:pPr>
      <w:pStyle w:val="Header"/>
    </w:pPr>
  </w:p>
  <w:p w14:paraId="0707CB57" w14:textId="77777777" w:rsidR="00B5050D" w:rsidRDefault="00B505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61FE" w14:textId="6478BE06" w:rsidR="0036434B" w:rsidRDefault="0036434B" w:rsidP="00B04104">
    <w:pPr>
      <w:pStyle w:val="Header"/>
      <w:jc w:val="left"/>
    </w:pPr>
    <w:r>
      <w:fldChar w:fldCharType="begin"/>
    </w:r>
    <w:r>
      <w:instrText xml:space="preserve"> DOCPROPERTY "Document number"  \* MERGEFORMAT </w:instrText>
    </w:r>
    <w:r>
      <w:fldChar w:fldCharType="separate"/>
    </w:r>
    <w:r w:rsidR="005A2406">
      <w:t>UNEP/</w:t>
    </w:r>
    <w:proofErr w:type="spellStart"/>
    <w:r w:rsidR="005A2406">
      <w:t>OzL.Pro</w:t>
    </w:r>
    <w:proofErr w:type="spellEnd"/>
    <w:r w:rsidR="005A2406">
      <w:t>/ExCom/85/29</w:t>
    </w:r>
    <w:r>
      <w:fldChar w:fldCharType="end"/>
    </w:r>
  </w:p>
  <w:p w14:paraId="76F418F3" w14:textId="4507B7F1" w:rsidR="0036434B" w:rsidRDefault="00B04104">
    <w:pPr>
      <w:pStyle w:val="Header"/>
    </w:pPr>
    <w:r>
      <w:t>Annexe I</w:t>
    </w:r>
  </w:p>
  <w:p w14:paraId="0D6E0DA7" w14:textId="77777777" w:rsidR="0036434B" w:rsidRDefault="003643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4B957" w14:textId="47AFE52A" w:rsidR="00B04104" w:rsidRDefault="00B04104" w:rsidP="0036434B">
    <w:pPr>
      <w:pStyle w:val="Header"/>
      <w:jc w:val="right"/>
    </w:pPr>
    <w:r>
      <w:fldChar w:fldCharType="begin"/>
    </w:r>
    <w:r>
      <w:instrText xml:space="preserve"> DOCPROPERTY "Document number"  \* MERGEFORMAT </w:instrText>
    </w:r>
    <w:r>
      <w:fldChar w:fldCharType="separate"/>
    </w:r>
    <w:r w:rsidR="005A2406">
      <w:t>UNEP/</w:t>
    </w:r>
    <w:proofErr w:type="spellStart"/>
    <w:r w:rsidR="005A2406">
      <w:t>OzL.Pro</w:t>
    </w:r>
    <w:proofErr w:type="spellEnd"/>
    <w:r w:rsidR="005A2406">
      <w:t>/ExCom/85/29</w:t>
    </w:r>
    <w:r>
      <w:fldChar w:fldCharType="end"/>
    </w:r>
  </w:p>
  <w:p w14:paraId="0DF7440E" w14:textId="77777777" w:rsidR="00B04104" w:rsidRDefault="00B04104" w:rsidP="00B04104">
    <w:pPr>
      <w:pStyle w:val="Header"/>
      <w:jc w:val="right"/>
    </w:pPr>
    <w:r>
      <w:t>Annexe I</w:t>
    </w:r>
  </w:p>
  <w:p w14:paraId="61FA93E4" w14:textId="77777777" w:rsidR="00B04104" w:rsidRDefault="00B041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5DA6" w14:textId="460B4D25" w:rsidR="0036434B" w:rsidRDefault="0036434B">
    <w:pPr>
      <w:pStyle w:val="Header"/>
    </w:pPr>
    <w:r>
      <w:fldChar w:fldCharType="begin"/>
    </w:r>
    <w:r>
      <w:instrText xml:space="preserve"> DOCPROPERTY "Document number"  \* MERGEFORMAT </w:instrText>
    </w:r>
    <w:r>
      <w:fldChar w:fldCharType="separate"/>
    </w:r>
    <w:r w:rsidR="005A2406">
      <w:t>UNEP/</w:t>
    </w:r>
    <w:proofErr w:type="spellStart"/>
    <w:r w:rsidR="005A2406">
      <w:t>OzL.Pro</w:t>
    </w:r>
    <w:proofErr w:type="spellEnd"/>
    <w:r w:rsidR="005A2406">
      <w:t>/ExCom/85/29</w:t>
    </w:r>
    <w:r>
      <w:fldChar w:fldCharType="end"/>
    </w:r>
  </w:p>
  <w:p w14:paraId="49CE6D57" w14:textId="77777777" w:rsidR="0036434B" w:rsidRDefault="0036434B">
    <w:pPr>
      <w:pStyle w:val="Header"/>
    </w:pPr>
  </w:p>
  <w:p w14:paraId="0F4579C0" w14:textId="76D2D26F" w:rsidR="0036434B" w:rsidRDefault="00DC39F4">
    <w:pPr>
      <w:pStyle w:val="Header"/>
    </w:pPr>
    <w:r>
      <w:fldChar w:fldCharType="begin"/>
    </w:r>
    <w:r>
      <w:instrText xml:space="preserve"> DOCPROPERTY "Document number"  \* MERGEFORMAT </w:instrText>
    </w:r>
    <w:r w:rsidR="00DE2412">
      <w:fldChar w:fldCharType="separate"/>
    </w:r>
    <w:r w:rsidR="005A2406">
      <w:t>UNEP/</w:t>
    </w:r>
    <w:proofErr w:type="spellStart"/>
    <w:r w:rsidR="005A2406">
      <w:t>OzL.Pro</w:t>
    </w:r>
    <w:proofErr w:type="spellEnd"/>
    <w:r w:rsidR="005A2406">
      <w:t>/ExCom/85/29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568DE9E"/>
    <w:lvl w:ilvl="0">
      <w:start w:val="1"/>
      <w:numFmt w:val="decimal"/>
      <w:pStyle w:val="Heading1"/>
      <w:lvlText w:val="%1."/>
      <w:lvlJc w:val="left"/>
      <w:pPr>
        <w:tabs>
          <w:tab w:val="num" w:pos="0"/>
        </w:tabs>
        <w:ind w:left="0" w:firstLine="0"/>
      </w:pPr>
      <w:rPr>
        <w:b w:val="0"/>
        <w:bCs/>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FE79AE"/>
    <w:multiLevelType w:val="hybridMultilevel"/>
    <w:tmpl w:val="6ADE4D38"/>
    <w:lvl w:ilvl="0" w:tplc="E4AC52E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9"/>
  </w:num>
  <w:num w:numId="20">
    <w:abstractNumId w:val="14"/>
  </w:num>
  <w:num w:numId="21">
    <w:abstractNumId w:val="11"/>
  </w:num>
  <w:num w:numId="22">
    <w:abstractNumId w:val="12"/>
  </w:num>
  <w:num w:numId="23">
    <w:abstractNumId w:val="18"/>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52"/>
    <w:rsid w:val="000464EF"/>
    <w:rsid w:val="000D67BA"/>
    <w:rsid w:val="000E7880"/>
    <w:rsid w:val="000F6C8E"/>
    <w:rsid w:val="0010591D"/>
    <w:rsid w:val="00125F83"/>
    <w:rsid w:val="001C0F7B"/>
    <w:rsid w:val="001C3D0C"/>
    <w:rsid w:val="001D4CE7"/>
    <w:rsid w:val="002009D7"/>
    <w:rsid w:val="00202DEB"/>
    <w:rsid w:val="00241026"/>
    <w:rsid w:val="00265AF0"/>
    <w:rsid w:val="002B2701"/>
    <w:rsid w:val="002B2BA8"/>
    <w:rsid w:val="002F0B57"/>
    <w:rsid w:val="0036434B"/>
    <w:rsid w:val="003A0CA4"/>
    <w:rsid w:val="003A625D"/>
    <w:rsid w:val="003A78FE"/>
    <w:rsid w:val="004024AB"/>
    <w:rsid w:val="004367FB"/>
    <w:rsid w:val="00441083"/>
    <w:rsid w:val="00480052"/>
    <w:rsid w:val="004A3B9C"/>
    <w:rsid w:val="004C2C87"/>
    <w:rsid w:val="004E3A36"/>
    <w:rsid w:val="00596612"/>
    <w:rsid w:val="005A2406"/>
    <w:rsid w:val="005B20E1"/>
    <w:rsid w:val="005B3CAD"/>
    <w:rsid w:val="005C278F"/>
    <w:rsid w:val="00605093"/>
    <w:rsid w:val="00693B34"/>
    <w:rsid w:val="007034FA"/>
    <w:rsid w:val="00715F09"/>
    <w:rsid w:val="0075750B"/>
    <w:rsid w:val="007A47EA"/>
    <w:rsid w:val="007B7BB5"/>
    <w:rsid w:val="008A31BD"/>
    <w:rsid w:val="008E3A0C"/>
    <w:rsid w:val="0091161A"/>
    <w:rsid w:val="00932B6D"/>
    <w:rsid w:val="00965BB0"/>
    <w:rsid w:val="009666A1"/>
    <w:rsid w:val="00972E99"/>
    <w:rsid w:val="009A5180"/>
    <w:rsid w:val="009B2824"/>
    <w:rsid w:val="009C05CE"/>
    <w:rsid w:val="00A172C9"/>
    <w:rsid w:val="00A664CB"/>
    <w:rsid w:val="00AC013C"/>
    <w:rsid w:val="00AE2F69"/>
    <w:rsid w:val="00AE63D8"/>
    <w:rsid w:val="00B04104"/>
    <w:rsid w:val="00B158CB"/>
    <w:rsid w:val="00B5050D"/>
    <w:rsid w:val="00B63AD0"/>
    <w:rsid w:val="00B811F2"/>
    <w:rsid w:val="00BB1DAF"/>
    <w:rsid w:val="00BC3C7D"/>
    <w:rsid w:val="00C27322"/>
    <w:rsid w:val="00C6443E"/>
    <w:rsid w:val="00CA12EA"/>
    <w:rsid w:val="00CD0608"/>
    <w:rsid w:val="00D7654A"/>
    <w:rsid w:val="00DA7FC1"/>
    <w:rsid w:val="00DB4E64"/>
    <w:rsid w:val="00DC39F4"/>
    <w:rsid w:val="00DD3433"/>
    <w:rsid w:val="00DE2412"/>
    <w:rsid w:val="00DE592E"/>
    <w:rsid w:val="00E348C6"/>
    <w:rsid w:val="00E41724"/>
    <w:rsid w:val="00E54871"/>
    <w:rsid w:val="00E60D9C"/>
    <w:rsid w:val="00E935FE"/>
    <w:rsid w:val="00EB2067"/>
    <w:rsid w:val="00F21458"/>
    <w:rsid w:val="00F37A42"/>
    <w:rsid w:val="00F557F5"/>
    <w:rsid w:val="00F856C2"/>
    <w:rsid w:val="00FB51B8"/>
    <w:rsid w:val="00FC0D87"/>
    <w:rsid w:val="00FC5578"/>
    <w:rsid w:val="00FC5A43"/>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EE320"/>
  <w15:docId w15:val="{56DD3AEA-9BE6-4F10-9033-77079D61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qFormat/>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ListParagraph">
    <w:name w:val="List Paragraph"/>
    <w:basedOn w:val="Normal"/>
    <w:link w:val="ListParagraphChar"/>
    <w:uiPriority w:val="34"/>
    <w:qFormat/>
    <w:rsid w:val="00480052"/>
    <w:pPr>
      <w:ind w:left="720"/>
      <w:contextualSpacing/>
    </w:pPr>
    <w:rPr>
      <w:lang w:val="fr-FR"/>
    </w:rPr>
  </w:style>
  <w:style w:type="character" w:customStyle="1" w:styleId="ListParagraphChar">
    <w:name w:val="List Paragraph Char"/>
    <w:link w:val="ListParagraph"/>
    <w:uiPriority w:val="34"/>
    <w:locked/>
    <w:rsid w:val="00480052"/>
    <w:rPr>
      <w:sz w:val="22"/>
      <w:szCs w:val="22"/>
      <w:lang w:val="fr-FR"/>
    </w:rPr>
  </w:style>
  <w:style w:type="paragraph" w:styleId="FootnoteText">
    <w:name w:val="footnote text"/>
    <w:aliases w:val="Char1,Char1 Char Char"/>
    <w:basedOn w:val="Normal"/>
    <w:link w:val="FootnoteTextChar"/>
    <w:uiPriority w:val="99"/>
    <w:unhideWhenUsed/>
    <w:qFormat/>
    <w:rsid w:val="00480052"/>
    <w:rPr>
      <w:sz w:val="20"/>
      <w:szCs w:val="20"/>
      <w:lang w:val="fr-FR"/>
    </w:rPr>
  </w:style>
  <w:style w:type="character" w:customStyle="1" w:styleId="FootnoteTextChar">
    <w:name w:val="Footnote Text Char"/>
    <w:aliases w:val="Char1 Char,Char1 Char Char Char"/>
    <w:basedOn w:val="DefaultParagraphFont"/>
    <w:link w:val="FootnoteText"/>
    <w:uiPriority w:val="99"/>
    <w:rsid w:val="00480052"/>
    <w:rPr>
      <w:lang w:val="fr-FR"/>
    </w:rPr>
  </w:style>
  <w:style w:type="character" w:styleId="FootnoteReference">
    <w:name w:val="footnote reference"/>
    <w:basedOn w:val="DefaultParagraphFont"/>
    <w:uiPriority w:val="99"/>
    <w:unhideWhenUsed/>
    <w:rsid w:val="00480052"/>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480052"/>
    <w:rPr>
      <w:sz w:val="22"/>
      <w:szCs w:val="22"/>
      <w:lang w:val="en-GB"/>
    </w:rPr>
  </w:style>
  <w:style w:type="character" w:styleId="PageNumber">
    <w:name w:val="page number"/>
    <w:basedOn w:val="DefaultParagraphFont"/>
    <w:uiPriority w:val="99"/>
    <w:semiHidden/>
    <w:unhideWhenUsed/>
    <w:rsid w:val="0020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F:\OneDrive%20-%20EURL%20FAE%20TRADUCTION\FAE%20Traduction\CLIENTS\UN\202005_session\F8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1B81A444E34248BBC988D4638CFC23" ma:contentTypeVersion="2" ma:contentTypeDescription="Create a new document." ma:contentTypeScope="" ma:versionID="e05846c08eb9788948ca12760dc24ca9">
  <xsd:schema xmlns:xsd="http://www.w3.org/2001/XMLSchema" xmlns:p="http://schemas.microsoft.com/office/2006/metadata/properties" xmlns:ns2="8662b4aa-cf42-4f00-a3f0-9d3b4acad230" xmlns:ns3="310e179b-1379-4e79-9b74-d5a32b1812d3" targetNamespace="http://schemas.microsoft.com/office/2006/metadata/properties" ma:root="true" ma:fieldsID="51b3e81c0f520dee15c313ac37b76417"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UNEP/OzL.Pro/ExCom/85/29</Document_x0020_Number>
  </documentManagement>
</p:properties>
</file>

<file path=customXml/itemProps1.xml><?xml version="1.0" encoding="utf-8"?>
<ds:datastoreItem xmlns:ds="http://schemas.openxmlformats.org/officeDocument/2006/customXml" ds:itemID="{D4B13834-5653-468E-AE50-CD7A60F06381}"/>
</file>

<file path=customXml/itemProps2.xml><?xml version="1.0" encoding="utf-8"?>
<ds:datastoreItem xmlns:ds="http://schemas.openxmlformats.org/officeDocument/2006/customXml" ds:itemID="{CA0166AD-C4DE-40CB-B59E-C86D78DF7BDC}"/>
</file>

<file path=customXml/itemProps3.xml><?xml version="1.0" encoding="utf-8"?>
<ds:datastoreItem xmlns:ds="http://schemas.openxmlformats.org/officeDocument/2006/customXml" ds:itemID="{A7A40A30-52AA-4BD9-9E23-5E27109C536A}"/>
</file>

<file path=customXml/itemProps4.xml><?xml version="1.0" encoding="utf-8"?>
<ds:datastoreItem xmlns:ds="http://schemas.openxmlformats.org/officeDocument/2006/customXml" ds:itemID="{E571E8DD-FB8C-4695-9164-0CB485D46593}"/>
</file>

<file path=docProps/app.xml><?xml version="1.0" encoding="utf-8"?>
<Properties xmlns="http://schemas.openxmlformats.org/officeDocument/2006/extended-properties" xmlns:vt="http://schemas.openxmlformats.org/officeDocument/2006/docPropsVTypes">
  <Template>F85-Template</Template>
  <TotalTime>11</TotalTime>
  <Pages>1</Pages>
  <Words>4376</Words>
  <Characters>24947</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projet: Guinée (la)</vt:lpstr>
      <vt:lpstr>Ordre du jour provisoire</vt:lpstr>
    </vt:vector>
  </TitlesOfParts>
  <Manager/>
  <Company>UNMFS</Company>
  <LinksUpToDate>false</LinksUpToDate>
  <CharactersWithSpaces>29265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Guinée (la)</dc:title>
  <dc:subject/>
  <dc:creator>Maïlys Lejosne</dc:creator>
  <cp:keywords/>
  <dc:description/>
  <cp:lastModifiedBy>Lynda</cp:lastModifiedBy>
  <cp:revision>14</cp:revision>
  <cp:lastPrinted>2020-05-26T21:15:00Z</cp:lastPrinted>
  <dcterms:created xsi:type="dcterms:W3CDTF">2020-05-21T02:10:00Z</dcterms:created>
  <dcterms:modified xsi:type="dcterms:W3CDTF">2020-05-26T21:15:00Z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UNEP/OzL.Pro/ExCom/85/29</vt:lpwstr>
  </property>
  <property fmtid="{D5CDD505-2E9C-101B-9397-08002B2CF9AE}" pid="3" name="Revision date">
    <vt:lpwstr>4 mai 2020</vt:lpwstr>
  </property>
  <property fmtid="{D5CDD505-2E9C-101B-9397-08002B2CF9AE}" pid="4" name="ContentTypeId">
    <vt:lpwstr>0x010100291B81A444E34248BBC988D4638CFC23</vt:lpwstr>
  </property>
</Properties>
</file>