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817FAE" w14:paraId="392A07F6" w14:textId="77777777" w:rsidTr="00817FAE">
        <w:trPr>
          <w:trHeight w:val="720"/>
        </w:trPr>
        <w:tc>
          <w:tcPr>
            <w:tcW w:w="5490" w:type="dxa"/>
            <w:gridSpan w:val="2"/>
            <w:tcBorders>
              <w:bottom w:val="single" w:sz="18" w:space="0" w:color="auto"/>
            </w:tcBorders>
          </w:tcPr>
          <w:p w14:paraId="2B295FF9" w14:textId="77777777" w:rsidR="00817FAE" w:rsidRPr="0000434E" w:rsidRDefault="00817FAE" w:rsidP="00817FA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NATIONS</w:t>
            </w:r>
            <w:r>
              <w:rPr>
                <w:rFonts w:ascii="Univers" w:hAnsi="Univers"/>
                <w:b/>
                <w:sz w:val="28"/>
                <w:szCs w:val="28"/>
              </w:rPr>
              <w:br/>
              <w:t>UNIES</w:t>
            </w:r>
          </w:p>
        </w:tc>
        <w:tc>
          <w:tcPr>
            <w:tcW w:w="4590" w:type="dxa"/>
            <w:tcBorders>
              <w:bottom w:val="single" w:sz="18" w:space="0" w:color="auto"/>
            </w:tcBorders>
          </w:tcPr>
          <w:p w14:paraId="6D538BE0" w14:textId="77777777" w:rsidR="00817FAE" w:rsidRPr="00493D40" w:rsidRDefault="00817FAE" w:rsidP="00817FAE">
            <w:pPr>
              <w:jc w:val="right"/>
              <w:rPr>
                <w:sz w:val="52"/>
                <w:szCs w:val="52"/>
              </w:rPr>
            </w:pPr>
            <w:r>
              <w:rPr>
                <w:rFonts w:ascii="Univers Bold" w:hAnsi="Univers Bold"/>
                <w:b/>
                <w:sz w:val="72"/>
              </w:rPr>
              <w:t>EP</w:t>
            </w:r>
          </w:p>
        </w:tc>
      </w:tr>
      <w:tr w:rsidR="00817FAE" w14:paraId="1AFEC8EA" w14:textId="77777777" w:rsidTr="00817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C803E50" w14:textId="77777777" w:rsidR="00817FAE" w:rsidRDefault="00817FAE" w:rsidP="00817FAE">
            <w:pPr>
              <w:spacing w:before="120"/>
            </w:pPr>
            <w:r>
              <w:rPr>
                <w:noProof/>
                <w:lang w:val="en-US"/>
              </w:rPr>
              <mc:AlternateContent>
                <mc:Choice Requires="wpg">
                  <w:drawing>
                    <wp:anchor distT="0" distB="0" distL="114300" distR="114300" simplePos="0" relativeHeight="251659264" behindDoc="0" locked="0" layoutInCell="1" allowOverlap="1" wp14:anchorId="5DEF4FE7" wp14:editId="40D929A2">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3F5F1578"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420" w:type="dxa"/>
            <w:tcBorders>
              <w:top w:val="nil"/>
              <w:left w:val="nil"/>
              <w:bottom w:val="single" w:sz="36" w:space="0" w:color="auto"/>
              <w:right w:val="nil"/>
            </w:tcBorders>
          </w:tcPr>
          <w:p w14:paraId="77210C42" w14:textId="77777777" w:rsidR="00054661" w:rsidRDefault="00054661" w:rsidP="00817FA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p>
          <w:p w14:paraId="7EE343A6" w14:textId="36946CDC" w:rsidR="00817FAE" w:rsidRDefault="00817FAE" w:rsidP="00817FA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Programme des</w:t>
            </w:r>
          </w:p>
          <w:p w14:paraId="6FA7272C" w14:textId="77777777" w:rsidR="00817FAE" w:rsidRDefault="00817FAE" w:rsidP="00817FA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Nations Unies pour</w:t>
            </w:r>
          </w:p>
          <w:p w14:paraId="7A96A42A" w14:textId="77777777" w:rsidR="00817FAE" w:rsidRDefault="00817FAE" w:rsidP="00817FA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l’environnement</w:t>
            </w:r>
          </w:p>
          <w:p w14:paraId="0024CFBB" w14:textId="77777777" w:rsidR="00817FAE" w:rsidRDefault="00817FAE" w:rsidP="00817FAE">
            <w:pPr>
              <w:spacing w:before="720"/>
              <w:ind w:left="158"/>
            </w:pPr>
          </w:p>
        </w:tc>
        <w:tc>
          <w:tcPr>
            <w:tcW w:w="4590" w:type="dxa"/>
            <w:tcBorders>
              <w:top w:val="nil"/>
              <w:left w:val="nil"/>
              <w:bottom w:val="single" w:sz="36" w:space="0" w:color="auto"/>
              <w:right w:val="nil"/>
            </w:tcBorders>
          </w:tcPr>
          <w:p w14:paraId="5E9B4E76" w14:textId="77777777" w:rsidR="00054661" w:rsidRDefault="00054661" w:rsidP="00817FAE"/>
          <w:p w14:paraId="1F41DEC6" w14:textId="199AB195" w:rsidR="00817FAE" w:rsidRPr="0033525D" w:rsidRDefault="00817FAE" w:rsidP="00817FAE">
            <w:r>
              <w:t>Distr.</w:t>
            </w:r>
          </w:p>
          <w:p w14:paraId="3D0C215B" w14:textId="77777777" w:rsidR="00817FAE" w:rsidRPr="0033525D" w:rsidRDefault="00817FAE" w:rsidP="00817FAE">
            <w:r>
              <w:t>GÉNÉRALE</w:t>
            </w:r>
          </w:p>
          <w:p w14:paraId="639AC3EA" w14:textId="77777777" w:rsidR="00817FAE" w:rsidRPr="003F73BA" w:rsidRDefault="00817FAE" w:rsidP="00817FAE"/>
          <w:p w14:paraId="435ADD45" w14:textId="63B941C9" w:rsidR="00817FAE" w:rsidRPr="003F73BA" w:rsidRDefault="00AB2EEE" w:rsidP="00817FAE">
            <w:fldSimple w:instr=" DOCPROPERTY &quot;Document number&quot;  \* MERGEFORMAT ">
              <w:r w:rsidR="009029C8">
                <w:t>UNEP/OzL.Pro/ExCom/85/28</w:t>
              </w:r>
            </w:fldSimple>
          </w:p>
          <w:p w14:paraId="0FE7842D" w14:textId="5490616B" w:rsidR="00817FAE" w:rsidRPr="003F73BA" w:rsidRDefault="00817FAE" w:rsidP="00817FAE">
            <w:r>
              <w:fldChar w:fldCharType="begin"/>
            </w:r>
            <w:r>
              <w:instrText xml:space="preserve"> DOCPROPERTY "Revision date" \@ "d MMMM YYYY"  \* MERGEFORMAT </w:instrText>
            </w:r>
            <w:r>
              <w:fldChar w:fldCharType="separate"/>
            </w:r>
            <w:r w:rsidR="009029C8">
              <w:t xml:space="preserve">27 </w:t>
            </w:r>
            <w:r w:rsidR="002C338C">
              <w:t>av</w:t>
            </w:r>
            <w:r w:rsidR="009029C8">
              <w:t>ril 2020</w:t>
            </w:r>
            <w:r>
              <w:fldChar w:fldCharType="end"/>
            </w:r>
          </w:p>
          <w:p w14:paraId="3FC6593C" w14:textId="77777777" w:rsidR="00817FAE" w:rsidRPr="00000FED" w:rsidRDefault="00817FAE" w:rsidP="00817FAE">
            <w:pPr>
              <w:rPr>
                <w:caps/>
              </w:rPr>
            </w:pPr>
          </w:p>
          <w:p w14:paraId="19C99F30" w14:textId="3F6C7BC5" w:rsidR="002C338C" w:rsidRDefault="002C338C" w:rsidP="00817FAE">
            <w:r>
              <w:t>FRANÇAIS</w:t>
            </w:r>
          </w:p>
          <w:p w14:paraId="375A370D" w14:textId="66ECC07D" w:rsidR="00817FAE" w:rsidRDefault="00817FAE" w:rsidP="00817FAE">
            <w:r>
              <w:t>ORIGINAL: ANGLAIS</w:t>
            </w:r>
          </w:p>
        </w:tc>
      </w:tr>
    </w:tbl>
    <w:p w14:paraId="3B6E6EA8" w14:textId="77777777" w:rsidR="00817FAE" w:rsidRPr="00612F2F" w:rsidRDefault="00817FAE" w:rsidP="00817FAE">
      <w:pPr>
        <w:jc w:val="left"/>
      </w:pPr>
      <w:r>
        <w:t xml:space="preserve">COMITÉ EXECUTIF </w:t>
      </w:r>
      <w:r>
        <w:br/>
        <w:t xml:space="preserve">DU FONDS MULTILATÉRAL AUX FINS </w:t>
      </w:r>
      <w:r>
        <w:br/>
        <w:t>D’APPLICATION DU PROTOCOLE DE MONTRÉAL</w:t>
      </w:r>
      <w:r>
        <w:br/>
        <w:t>Quatre-vingt-cinquième réunion</w:t>
      </w:r>
    </w:p>
    <w:p w14:paraId="1697FEF9" w14:textId="77777777" w:rsidR="00817FAE" w:rsidRPr="006C39CE" w:rsidRDefault="00817FAE" w:rsidP="00817FAE">
      <w:pPr>
        <w:jc w:val="left"/>
      </w:pPr>
      <w:r>
        <w:t>Montréal, 25-29 mai 2020</w:t>
      </w:r>
    </w:p>
    <w:p w14:paraId="601D4510" w14:textId="77777777" w:rsidR="00817FAE" w:rsidRDefault="00817FAE" w:rsidP="00817FAE">
      <w:pPr>
        <w:jc w:val="left"/>
      </w:pPr>
      <w:r>
        <w:t>Reportée: 19-22 juillet 2020*</w:t>
      </w:r>
    </w:p>
    <w:p w14:paraId="7DE2B9E9" w14:textId="1CDDE275" w:rsidR="00F205F9" w:rsidRDefault="00F205F9" w:rsidP="005D5A5E"/>
    <w:p w14:paraId="7E030CA9" w14:textId="77777777" w:rsidR="00F205F9" w:rsidRDefault="00F205F9" w:rsidP="005D5A5E">
      <w:pPr>
        <w:tabs>
          <w:tab w:val="left" w:pos="8280"/>
        </w:tabs>
      </w:pPr>
    </w:p>
    <w:p w14:paraId="47ADCCFA" w14:textId="77777777" w:rsidR="00F205F9" w:rsidRDefault="00F205F9" w:rsidP="005D5A5E">
      <w:pPr>
        <w:tabs>
          <w:tab w:val="left" w:pos="8280"/>
        </w:tabs>
      </w:pPr>
    </w:p>
    <w:p w14:paraId="5FE38CFB" w14:textId="77777777" w:rsidR="00D54581" w:rsidRPr="00054661" w:rsidRDefault="00D54581" w:rsidP="005D5A5E">
      <w:pPr>
        <w:rPr>
          <w:lang w:val="fr-CA"/>
        </w:rPr>
      </w:pPr>
    </w:p>
    <w:p w14:paraId="37A4513A" w14:textId="071DDA97" w:rsidR="00D54581" w:rsidRDefault="00D54581" w:rsidP="005D5A5E">
      <w:pPr>
        <w:jc w:val="center"/>
        <w:rPr>
          <w:b/>
        </w:rPr>
      </w:pPr>
      <w:r>
        <w:rPr>
          <w:b/>
        </w:rPr>
        <w:t>PROPOSITION DE PROJET : GUATEMALA</w:t>
      </w:r>
    </w:p>
    <w:p w14:paraId="1F577E8A" w14:textId="77777777" w:rsidR="00054661" w:rsidRPr="00FE3307" w:rsidRDefault="00054661" w:rsidP="005D5A5E">
      <w:pPr>
        <w:jc w:val="center"/>
        <w:rPr>
          <w:b/>
        </w:rPr>
      </w:pPr>
    </w:p>
    <w:p w14:paraId="35CCE1F5" w14:textId="77777777" w:rsidR="00D54581" w:rsidRPr="00054661" w:rsidRDefault="00D54581" w:rsidP="005D5A5E">
      <w:pPr>
        <w:rPr>
          <w:lang w:val="fr-CA"/>
        </w:rPr>
      </w:pPr>
    </w:p>
    <w:p w14:paraId="10053D36" w14:textId="77777777" w:rsidR="00D54581" w:rsidRPr="00054661" w:rsidRDefault="00D54581" w:rsidP="005D5A5E">
      <w:pPr>
        <w:rPr>
          <w:lang w:val="fr-CA"/>
        </w:rPr>
      </w:pPr>
    </w:p>
    <w:p w14:paraId="340A05DA" w14:textId="28B74B34" w:rsidR="00D54581" w:rsidRPr="00FE3307" w:rsidRDefault="00D54581" w:rsidP="005D5A5E">
      <w:pPr>
        <w:ind w:firstLine="720"/>
      </w:pPr>
      <w:r>
        <w:t xml:space="preserve">Ce document contient les </w:t>
      </w:r>
      <w:r w:rsidR="00620D3D">
        <w:t>observations</w:t>
      </w:r>
      <w:r>
        <w:t xml:space="preserve"> et l</w:t>
      </w:r>
      <w:r w:rsidR="00620D3D">
        <w:t>a</w:t>
      </w:r>
      <w:r>
        <w:t xml:space="preserve"> recommandation du Secrétariat sur la proposition de projet suivante : </w:t>
      </w:r>
    </w:p>
    <w:p w14:paraId="7F8F4FBD" w14:textId="77777777" w:rsidR="00D54581" w:rsidRPr="00054661" w:rsidRDefault="00D54581" w:rsidP="005D5A5E">
      <w:pPr>
        <w:rPr>
          <w:lang w:val="fr-CA"/>
        </w:rPr>
      </w:pPr>
    </w:p>
    <w:p w14:paraId="37F2F3CE" w14:textId="77777777" w:rsidR="00D54581" w:rsidRPr="00FE3307" w:rsidRDefault="00D54581" w:rsidP="005D5A5E">
      <w:pPr>
        <w:rPr>
          <w:u w:val="single"/>
        </w:rPr>
      </w:pPr>
      <w:r>
        <w:rPr>
          <w:u w:val="single"/>
        </w:rPr>
        <w:t>Élimination</w:t>
      </w:r>
    </w:p>
    <w:p w14:paraId="7E800045" w14:textId="77777777" w:rsidR="00D54581" w:rsidRPr="00FE3307" w:rsidRDefault="00D54581" w:rsidP="005D5A5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54581" w:rsidRPr="00FE3307" w14:paraId="406BA358" w14:textId="77777777" w:rsidTr="0045085F">
        <w:tc>
          <w:tcPr>
            <w:tcW w:w="6941" w:type="dxa"/>
          </w:tcPr>
          <w:p w14:paraId="0F97607D" w14:textId="77777777" w:rsidR="00D54581" w:rsidRPr="00FE3307" w:rsidRDefault="00D54581" w:rsidP="00FF17A4">
            <w:r>
              <w:t>Plan de gestion de l’élimination des HCFC (phase I, cinquième tranche)</w:t>
            </w:r>
          </w:p>
        </w:tc>
        <w:tc>
          <w:tcPr>
            <w:tcW w:w="2409" w:type="dxa"/>
          </w:tcPr>
          <w:p w14:paraId="3D5D53FB" w14:textId="77777777" w:rsidR="00D54581" w:rsidRPr="00FE3307" w:rsidRDefault="000A5743" w:rsidP="005D5A5E">
            <w:pPr>
              <w:jc w:val="right"/>
            </w:pPr>
            <w:r>
              <w:t>ONUDI et PNUE</w:t>
            </w:r>
          </w:p>
        </w:tc>
      </w:tr>
    </w:tbl>
    <w:p w14:paraId="7C6634AB" w14:textId="318A5AB0" w:rsidR="00D54581" w:rsidRDefault="00D54581" w:rsidP="005D5A5E">
      <w:pPr>
        <w:rPr>
          <w:lang w:val="en-CA"/>
        </w:rPr>
      </w:pPr>
    </w:p>
    <w:p w14:paraId="23C5F153" w14:textId="46527D91" w:rsidR="00817FAE" w:rsidRDefault="00817FAE" w:rsidP="005D5A5E">
      <w:pPr>
        <w:rPr>
          <w:lang w:val="en-CA"/>
        </w:rPr>
      </w:pPr>
    </w:p>
    <w:p w14:paraId="65A7FE56" w14:textId="78D52133" w:rsidR="00817FAE" w:rsidRDefault="00817FAE" w:rsidP="005D5A5E">
      <w:pPr>
        <w:rPr>
          <w:lang w:val="en-CA"/>
        </w:rPr>
      </w:pPr>
    </w:p>
    <w:p w14:paraId="23679A50" w14:textId="5897C168" w:rsidR="00817FAE" w:rsidRDefault="00817FAE" w:rsidP="005D5A5E">
      <w:pPr>
        <w:rPr>
          <w:lang w:val="en-CA"/>
        </w:rPr>
      </w:pPr>
    </w:p>
    <w:p w14:paraId="50E3A486" w14:textId="482B782E" w:rsidR="00817FAE" w:rsidRDefault="00817FAE" w:rsidP="005D5A5E">
      <w:pPr>
        <w:rPr>
          <w:lang w:val="en-CA"/>
        </w:rPr>
      </w:pPr>
    </w:p>
    <w:p w14:paraId="46AE4BD6" w14:textId="27A02364" w:rsidR="00817FAE" w:rsidRDefault="00817FAE" w:rsidP="005D5A5E">
      <w:pPr>
        <w:rPr>
          <w:lang w:val="en-CA"/>
        </w:rPr>
      </w:pPr>
    </w:p>
    <w:p w14:paraId="457A7437" w14:textId="05C9475D" w:rsidR="00817FAE" w:rsidRDefault="00817FAE" w:rsidP="005D5A5E">
      <w:pPr>
        <w:rPr>
          <w:lang w:val="en-CA"/>
        </w:rPr>
      </w:pPr>
    </w:p>
    <w:p w14:paraId="15C3650C" w14:textId="040841EC" w:rsidR="00817FAE" w:rsidRDefault="00817FAE" w:rsidP="005D5A5E">
      <w:pPr>
        <w:rPr>
          <w:lang w:val="en-CA"/>
        </w:rPr>
      </w:pPr>
    </w:p>
    <w:p w14:paraId="4BD5B5ED" w14:textId="60B131F7" w:rsidR="00817FAE" w:rsidRDefault="00817FAE" w:rsidP="005D5A5E">
      <w:pPr>
        <w:rPr>
          <w:lang w:val="en-CA"/>
        </w:rPr>
      </w:pPr>
    </w:p>
    <w:p w14:paraId="08D6CE04" w14:textId="33AA178A" w:rsidR="00817FAE" w:rsidRDefault="00817FAE" w:rsidP="005D5A5E">
      <w:pPr>
        <w:rPr>
          <w:lang w:val="en-CA"/>
        </w:rPr>
      </w:pPr>
    </w:p>
    <w:p w14:paraId="1F55E9CB" w14:textId="16D18725" w:rsidR="00817FAE" w:rsidRDefault="00817FAE" w:rsidP="005D5A5E">
      <w:pPr>
        <w:rPr>
          <w:lang w:val="en-CA"/>
        </w:rPr>
      </w:pPr>
    </w:p>
    <w:p w14:paraId="7F3A5394" w14:textId="76388F4A" w:rsidR="00817FAE" w:rsidRDefault="00817FAE" w:rsidP="005D5A5E">
      <w:pPr>
        <w:rPr>
          <w:lang w:val="en-CA"/>
        </w:rPr>
      </w:pPr>
    </w:p>
    <w:p w14:paraId="72DE04EA" w14:textId="4A6F68BD" w:rsidR="00817FAE" w:rsidRDefault="00817FAE" w:rsidP="005D5A5E">
      <w:pPr>
        <w:rPr>
          <w:lang w:val="en-CA"/>
        </w:rPr>
      </w:pPr>
    </w:p>
    <w:p w14:paraId="2F11EB82" w14:textId="5D84B3B1" w:rsidR="00817FAE" w:rsidRDefault="00817FAE" w:rsidP="005D5A5E">
      <w:pPr>
        <w:rPr>
          <w:lang w:val="en-CA"/>
        </w:rPr>
      </w:pPr>
    </w:p>
    <w:p w14:paraId="46EE627F" w14:textId="424569C5" w:rsidR="00817FAE" w:rsidRDefault="00817FAE" w:rsidP="005D5A5E">
      <w:pPr>
        <w:rPr>
          <w:lang w:val="en-CA"/>
        </w:rPr>
      </w:pPr>
    </w:p>
    <w:p w14:paraId="3001D65D" w14:textId="2C1B80B6" w:rsidR="00817FAE" w:rsidRPr="00817FAE" w:rsidRDefault="00817FAE" w:rsidP="005D5A5E">
      <w:pPr>
        <w:rPr>
          <w:sz w:val="20"/>
          <w:szCs w:val="20"/>
          <w:lang w:val="en-CA"/>
        </w:rPr>
      </w:pPr>
    </w:p>
    <w:p w14:paraId="1CD8401E" w14:textId="75F716DA" w:rsidR="00D54581" w:rsidRPr="0015064F" w:rsidRDefault="00817FAE" w:rsidP="005D5A5E">
      <w:pPr>
        <w:rPr>
          <w:sz w:val="20"/>
          <w:szCs w:val="20"/>
        </w:rPr>
      </w:pPr>
      <w:r>
        <w:rPr>
          <w:sz w:val="20"/>
          <w:szCs w:val="20"/>
        </w:rPr>
        <w:t>* En raison de la maladie due au coronavirus (COVID-19)</w:t>
      </w:r>
    </w:p>
    <w:p w14:paraId="2F2076DF" w14:textId="77777777" w:rsidR="00D54581" w:rsidRPr="00FE3307" w:rsidRDefault="00D54581" w:rsidP="005D5A5E">
      <w:r>
        <w:br w:type="page"/>
      </w:r>
    </w:p>
    <w:p w14:paraId="0B7D16CA" w14:textId="3ED5547E" w:rsidR="00D54581" w:rsidRPr="000A5743" w:rsidRDefault="00D54581" w:rsidP="005D5A5E">
      <w:pPr>
        <w:jc w:val="center"/>
        <w:rPr>
          <w:b/>
          <w:sz w:val="20"/>
          <w:szCs w:val="20"/>
        </w:rPr>
      </w:pPr>
      <w:r>
        <w:rPr>
          <w:b/>
          <w:sz w:val="20"/>
          <w:szCs w:val="20"/>
        </w:rPr>
        <w:lastRenderedPageBreak/>
        <w:t>FICHE D</w:t>
      </w:r>
      <w:r w:rsidR="00FF17A4">
        <w:rPr>
          <w:b/>
          <w:sz w:val="20"/>
          <w:szCs w:val="20"/>
        </w:rPr>
        <w:t>’</w:t>
      </w:r>
      <w:r>
        <w:rPr>
          <w:b/>
          <w:sz w:val="20"/>
          <w:szCs w:val="20"/>
        </w:rPr>
        <w:t>ÉVALUATION DE PROJET - PROJETS PLURIANNUELS</w:t>
      </w:r>
    </w:p>
    <w:p w14:paraId="51EFDA89" w14:textId="7A9E49FF" w:rsidR="00B508E7" w:rsidRPr="00054661" w:rsidRDefault="000A5743" w:rsidP="00054661">
      <w:pPr>
        <w:jc w:val="center"/>
        <w:rPr>
          <w:b/>
          <w:sz w:val="20"/>
          <w:szCs w:val="20"/>
        </w:rPr>
      </w:pPr>
      <w:r>
        <w:rPr>
          <w:b/>
          <w:sz w:val="20"/>
          <w:szCs w:val="20"/>
        </w:rPr>
        <w:t>Guatemala</w:t>
      </w:r>
    </w:p>
    <w:tbl>
      <w:tblPr>
        <w:tblStyle w:val="TableGrid"/>
        <w:tblW w:w="10534" w:type="dxa"/>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874"/>
        <w:gridCol w:w="1890"/>
        <w:gridCol w:w="2250"/>
        <w:gridCol w:w="2520"/>
      </w:tblGrid>
      <w:tr w:rsidR="00073C30" w:rsidRPr="00FB3E75" w14:paraId="6E831A13" w14:textId="77777777" w:rsidTr="00054661">
        <w:trPr>
          <w:trHeight w:val="254"/>
        </w:trPr>
        <w:tc>
          <w:tcPr>
            <w:tcW w:w="3874" w:type="dxa"/>
            <w:shd w:val="clear" w:color="auto" w:fill="auto"/>
          </w:tcPr>
          <w:p w14:paraId="3188C937" w14:textId="20B48673" w:rsidR="00073C30" w:rsidRPr="009029C8" w:rsidRDefault="00073C30" w:rsidP="005D5A5E">
            <w:pPr>
              <w:spacing w:after="80"/>
              <w:rPr>
                <w:b/>
                <w:sz w:val="18"/>
                <w:szCs w:val="18"/>
              </w:rPr>
            </w:pPr>
            <w:r>
              <w:rPr>
                <w:b/>
                <w:sz w:val="18"/>
                <w:szCs w:val="18"/>
              </w:rPr>
              <w:t>(I) TITRE DU PROJET</w:t>
            </w:r>
          </w:p>
        </w:tc>
        <w:tc>
          <w:tcPr>
            <w:tcW w:w="1890" w:type="dxa"/>
            <w:shd w:val="clear" w:color="auto" w:fill="auto"/>
          </w:tcPr>
          <w:p w14:paraId="679C0644" w14:textId="77777777" w:rsidR="00073C30" w:rsidRPr="009029C8" w:rsidRDefault="00073C30" w:rsidP="005D5A5E">
            <w:pPr>
              <w:spacing w:after="80"/>
              <w:jc w:val="center"/>
              <w:rPr>
                <w:b/>
                <w:sz w:val="18"/>
                <w:szCs w:val="18"/>
              </w:rPr>
            </w:pPr>
            <w:r>
              <w:rPr>
                <w:b/>
                <w:sz w:val="18"/>
                <w:szCs w:val="18"/>
              </w:rPr>
              <w:t>AGENCE</w:t>
            </w:r>
          </w:p>
        </w:tc>
        <w:tc>
          <w:tcPr>
            <w:tcW w:w="2250" w:type="dxa"/>
            <w:shd w:val="clear" w:color="auto" w:fill="auto"/>
          </w:tcPr>
          <w:p w14:paraId="6291B6AA" w14:textId="0344E6CF" w:rsidR="00073C30" w:rsidRPr="009029C8" w:rsidRDefault="00073C30" w:rsidP="00026332">
            <w:pPr>
              <w:spacing w:after="80"/>
              <w:jc w:val="center"/>
              <w:rPr>
                <w:b/>
                <w:sz w:val="18"/>
                <w:szCs w:val="18"/>
              </w:rPr>
            </w:pPr>
            <w:r>
              <w:rPr>
                <w:b/>
                <w:sz w:val="18"/>
                <w:szCs w:val="18"/>
              </w:rPr>
              <w:t xml:space="preserve">RÉUNION </w:t>
            </w:r>
            <w:r w:rsidR="00026332">
              <w:rPr>
                <w:b/>
                <w:sz w:val="18"/>
                <w:szCs w:val="18"/>
              </w:rPr>
              <w:t>D’APPROBATION</w:t>
            </w:r>
          </w:p>
        </w:tc>
        <w:tc>
          <w:tcPr>
            <w:tcW w:w="2520" w:type="dxa"/>
            <w:shd w:val="clear" w:color="auto" w:fill="auto"/>
          </w:tcPr>
          <w:p w14:paraId="0B198EAC" w14:textId="77777777" w:rsidR="00073C30" w:rsidRPr="009029C8" w:rsidRDefault="00073C30" w:rsidP="005D5A5E">
            <w:pPr>
              <w:spacing w:after="80"/>
              <w:jc w:val="center"/>
              <w:rPr>
                <w:b/>
                <w:sz w:val="18"/>
                <w:szCs w:val="18"/>
              </w:rPr>
            </w:pPr>
            <w:r>
              <w:rPr>
                <w:b/>
                <w:sz w:val="18"/>
                <w:szCs w:val="18"/>
              </w:rPr>
              <w:t>MESURE DE CONTRÔLE</w:t>
            </w:r>
          </w:p>
        </w:tc>
      </w:tr>
      <w:tr w:rsidR="00073C30" w:rsidRPr="00FB3E75" w14:paraId="34F7A37E" w14:textId="77777777" w:rsidTr="00054661">
        <w:trPr>
          <w:trHeight w:val="254"/>
        </w:trPr>
        <w:tc>
          <w:tcPr>
            <w:tcW w:w="3874" w:type="dxa"/>
            <w:shd w:val="clear" w:color="auto" w:fill="auto"/>
          </w:tcPr>
          <w:p w14:paraId="368C3095" w14:textId="77777777" w:rsidR="00073C30" w:rsidRPr="009029C8" w:rsidRDefault="00073C30" w:rsidP="005D5A5E">
            <w:pPr>
              <w:spacing w:after="80"/>
              <w:jc w:val="center"/>
              <w:rPr>
                <w:sz w:val="18"/>
                <w:szCs w:val="18"/>
              </w:rPr>
            </w:pPr>
            <w:r>
              <w:rPr>
                <w:sz w:val="18"/>
                <w:szCs w:val="18"/>
              </w:rPr>
              <w:t>Plan de gestion de l’élimination des HCFC (phase I)</w:t>
            </w:r>
          </w:p>
        </w:tc>
        <w:tc>
          <w:tcPr>
            <w:tcW w:w="1890" w:type="dxa"/>
            <w:shd w:val="clear" w:color="auto" w:fill="auto"/>
          </w:tcPr>
          <w:p w14:paraId="3B308A56" w14:textId="77777777" w:rsidR="00073C30" w:rsidRPr="009029C8" w:rsidRDefault="00073C30" w:rsidP="005D5A5E">
            <w:pPr>
              <w:spacing w:after="80"/>
              <w:jc w:val="center"/>
              <w:rPr>
                <w:sz w:val="18"/>
                <w:szCs w:val="18"/>
              </w:rPr>
            </w:pPr>
            <w:r>
              <w:rPr>
                <w:sz w:val="18"/>
                <w:szCs w:val="18"/>
              </w:rPr>
              <w:t>PNUE, ONUDI (principal)</w:t>
            </w:r>
          </w:p>
        </w:tc>
        <w:tc>
          <w:tcPr>
            <w:tcW w:w="2250" w:type="dxa"/>
            <w:shd w:val="clear" w:color="auto" w:fill="auto"/>
          </w:tcPr>
          <w:p w14:paraId="0B984D3E" w14:textId="77777777" w:rsidR="00073C30" w:rsidRPr="009029C8" w:rsidRDefault="00073C30" w:rsidP="005D5A5E">
            <w:pPr>
              <w:spacing w:after="80"/>
              <w:jc w:val="center"/>
              <w:rPr>
                <w:sz w:val="18"/>
                <w:szCs w:val="18"/>
              </w:rPr>
            </w:pPr>
            <w:r>
              <w:rPr>
                <w:sz w:val="18"/>
                <w:szCs w:val="18"/>
              </w:rPr>
              <w:t>64</w:t>
            </w:r>
            <w:r>
              <w:rPr>
                <w:sz w:val="18"/>
                <w:szCs w:val="18"/>
                <w:vertAlign w:val="superscript"/>
              </w:rPr>
              <w:t>e</w:t>
            </w:r>
          </w:p>
        </w:tc>
        <w:tc>
          <w:tcPr>
            <w:tcW w:w="2520" w:type="dxa"/>
            <w:shd w:val="clear" w:color="auto" w:fill="auto"/>
          </w:tcPr>
          <w:p w14:paraId="6CD7FC51" w14:textId="77777777" w:rsidR="00073C30" w:rsidRPr="009029C8" w:rsidRDefault="00073C30" w:rsidP="005D5A5E">
            <w:pPr>
              <w:spacing w:after="80"/>
              <w:jc w:val="center"/>
              <w:rPr>
                <w:sz w:val="18"/>
                <w:szCs w:val="18"/>
              </w:rPr>
            </w:pPr>
            <w:r>
              <w:rPr>
                <w:sz w:val="18"/>
                <w:szCs w:val="18"/>
              </w:rPr>
              <w:t>35 pour cent d’ici 2020</w:t>
            </w:r>
          </w:p>
        </w:tc>
      </w:tr>
    </w:tbl>
    <w:p w14:paraId="1B47DA30" w14:textId="77777777" w:rsidR="000A5743" w:rsidRPr="00FB3E75" w:rsidRDefault="000A5743" w:rsidP="00054661">
      <w:pPr>
        <w:jc w:val="center"/>
        <w:rPr>
          <w:sz w:val="16"/>
          <w:szCs w:val="16"/>
        </w:rPr>
      </w:pPr>
    </w:p>
    <w:tbl>
      <w:tblPr>
        <w:tblStyle w:val="TableGrid"/>
        <w:tblW w:w="10318" w:type="dxa"/>
        <w:tblInd w:w="-31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518"/>
        <w:gridCol w:w="2400"/>
        <w:gridCol w:w="2400"/>
      </w:tblGrid>
      <w:tr w:rsidR="000A5743" w:rsidRPr="00000576" w14:paraId="41FC4995" w14:textId="77777777" w:rsidTr="00054661">
        <w:trPr>
          <w:trHeight w:val="240"/>
        </w:trPr>
        <w:tc>
          <w:tcPr>
            <w:tcW w:w="5518" w:type="dxa"/>
            <w:shd w:val="clear" w:color="auto" w:fill="auto"/>
          </w:tcPr>
          <w:p w14:paraId="2E8A2CDE" w14:textId="2D6E98E5" w:rsidR="000A5743" w:rsidRPr="009029C8" w:rsidRDefault="000A5743" w:rsidP="005D5A5E">
            <w:pPr>
              <w:spacing w:after="60"/>
              <w:rPr>
                <w:b/>
                <w:sz w:val="18"/>
                <w:szCs w:val="18"/>
              </w:rPr>
            </w:pPr>
            <w:r>
              <w:rPr>
                <w:b/>
                <w:sz w:val="18"/>
                <w:szCs w:val="18"/>
              </w:rPr>
              <w:t>(II) DERNIÈRES DONNÉES AU TITRE DE L</w:t>
            </w:r>
            <w:r w:rsidR="00FF17A4">
              <w:rPr>
                <w:b/>
                <w:sz w:val="18"/>
                <w:szCs w:val="18"/>
              </w:rPr>
              <w:t>’</w:t>
            </w:r>
            <w:r>
              <w:rPr>
                <w:b/>
                <w:sz w:val="18"/>
                <w:szCs w:val="18"/>
              </w:rPr>
              <w:t>ARTICLE 7 (Annexe C Groupe l)</w:t>
            </w:r>
          </w:p>
        </w:tc>
        <w:tc>
          <w:tcPr>
            <w:tcW w:w="2400" w:type="dxa"/>
            <w:shd w:val="clear" w:color="auto" w:fill="auto"/>
          </w:tcPr>
          <w:p w14:paraId="05E81ACB" w14:textId="4A7D2010" w:rsidR="000A5743" w:rsidRPr="009029C8" w:rsidRDefault="000A5743" w:rsidP="005D5A5E">
            <w:pPr>
              <w:spacing w:after="60"/>
              <w:jc w:val="center"/>
              <w:rPr>
                <w:sz w:val="18"/>
                <w:szCs w:val="18"/>
              </w:rPr>
            </w:pPr>
            <w:r>
              <w:rPr>
                <w:sz w:val="18"/>
                <w:szCs w:val="18"/>
              </w:rPr>
              <w:t>Année : 2018</w:t>
            </w:r>
          </w:p>
        </w:tc>
        <w:tc>
          <w:tcPr>
            <w:tcW w:w="2400" w:type="dxa"/>
            <w:shd w:val="clear" w:color="auto" w:fill="auto"/>
          </w:tcPr>
          <w:p w14:paraId="34587E91" w14:textId="77777777" w:rsidR="000A5743" w:rsidRPr="009029C8" w:rsidRDefault="000A5743" w:rsidP="005D5A5E">
            <w:pPr>
              <w:spacing w:after="60"/>
              <w:jc w:val="right"/>
              <w:rPr>
                <w:sz w:val="18"/>
                <w:szCs w:val="18"/>
              </w:rPr>
            </w:pPr>
            <w:r>
              <w:rPr>
                <w:sz w:val="18"/>
                <w:szCs w:val="18"/>
              </w:rPr>
              <w:t>4,31 (tonnes PAO)</w:t>
            </w:r>
          </w:p>
        </w:tc>
      </w:tr>
    </w:tbl>
    <w:p w14:paraId="069FA8DB" w14:textId="77777777" w:rsidR="000A5743" w:rsidRPr="00000576" w:rsidRDefault="000A5743" w:rsidP="00054661">
      <w:pPr>
        <w:spacing w:after="60" w:line="60" w:lineRule="exact"/>
        <w:jc w:val="center"/>
        <w:rPr>
          <w:sz w:val="16"/>
          <w:szCs w:val="16"/>
        </w:rPr>
      </w:pPr>
    </w:p>
    <w:tbl>
      <w:tblPr>
        <w:tblStyle w:val="TableGrid"/>
        <w:tblW w:w="10459" w:type="dxa"/>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843"/>
        <w:gridCol w:w="599"/>
        <w:gridCol w:w="777"/>
        <w:gridCol w:w="950"/>
        <w:gridCol w:w="1051"/>
        <w:gridCol w:w="883"/>
        <w:gridCol w:w="767"/>
        <w:gridCol w:w="1276"/>
        <w:gridCol w:w="996"/>
        <w:gridCol w:w="1317"/>
      </w:tblGrid>
      <w:tr w:rsidR="000A5743" w:rsidRPr="0026283A" w14:paraId="20472F13" w14:textId="77777777" w:rsidTr="00054661">
        <w:trPr>
          <w:trHeight w:val="240"/>
        </w:trPr>
        <w:tc>
          <w:tcPr>
            <w:tcW w:w="8146" w:type="dxa"/>
            <w:gridSpan w:val="8"/>
            <w:shd w:val="clear" w:color="auto" w:fill="auto"/>
          </w:tcPr>
          <w:p w14:paraId="361D973A" w14:textId="5B726C07" w:rsidR="000A5743" w:rsidRPr="009029C8" w:rsidRDefault="000A5743" w:rsidP="006306B0">
            <w:pPr>
              <w:spacing w:after="60"/>
              <w:rPr>
                <w:b/>
                <w:sz w:val="18"/>
                <w:szCs w:val="18"/>
              </w:rPr>
            </w:pPr>
            <w:r>
              <w:rPr>
                <w:b/>
                <w:sz w:val="18"/>
                <w:szCs w:val="18"/>
              </w:rPr>
              <w:t>(III) DERNIÈRES DONNÉES SECTORIELLES DU PROGRAMME PAR PAYS (tonnes PAO)</w:t>
            </w:r>
          </w:p>
        </w:tc>
        <w:tc>
          <w:tcPr>
            <w:tcW w:w="2313" w:type="dxa"/>
            <w:gridSpan w:val="2"/>
            <w:shd w:val="clear" w:color="auto" w:fill="auto"/>
          </w:tcPr>
          <w:p w14:paraId="283F525B" w14:textId="14CB37EC" w:rsidR="000A5743" w:rsidRPr="0026283A" w:rsidRDefault="000A5743" w:rsidP="006306B0">
            <w:pPr>
              <w:spacing w:after="60"/>
              <w:jc w:val="right"/>
              <w:rPr>
                <w:b/>
                <w:sz w:val="18"/>
                <w:szCs w:val="18"/>
              </w:rPr>
            </w:pPr>
            <w:r>
              <w:rPr>
                <w:b/>
                <w:sz w:val="18"/>
                <w:szCs w:val="18"/>
              </w:rPr>
              <w:t>Année : 2018</w:t>
            </w:r>
          </w:p>
        </w:tc>
      </w:tr>
      <w:tr w:rsidR="00B508E7" w:rsidRPr="0026283A" w14:paraId="6F7FF500" w14:textId="77777777" w:rsidTr="00054661">
        <w:trPr>
          <w:trHeight w:val="240"/>
        </w:trPr>
        <w:tc>
          <w:tcPr>
            <w:tcW w:w="1843" w:type="dxa"/>
            <w:shd w:val="clear" w:color="auto" w:fill="auto"/>
          </w:tcPr>
          <w:p w14:paraId="65E5A05A" w14:textId="77777777" w:rsidR="000A5743" w:rsidRPr="009029C8" w:rsidRDefault="000A5743" w:rsidP="005D5A5E">
            <w:pPr>
              <w:spacing w:after="60"/>
              <w:jc w:val="center"/>
              <w:rPr>
                <w:sz w:val="18"/>
                <w:szCs w:val="18"/>
              </w:rPr>
            </w:pPr>
            <w:r>
              <w:rPr>
                <w:sz w:val="18"/>
                <w:szCs w:val="18"/>
              </w:rPr>
              <w:t>Produit chimique</w:t>
            </w:r>
          </w:p>
        </w:tc>
        <w:tc>
          <w:tcPr>
            <w:tcW w:w="599" w:type="dxa"/>
            <w:shd w:val="clear" w:color="auto" w:fill="auto"/>
          </w:tcPr>
          <w:p w14:paraId="35457C3B" w14:textId="77777777" w:rsidR="000A5743" w:rsidRPr="009029C8" w:rsidRDefault="000A5743" w:rsidP="005D5A5E">
            <w:pPr>
              <w:spacing w:after="60"/>
              <w:jc w:val="center"/>
              <w:rPr>
                <w:sz w:val="18"/>
                <w:szCs w:val="18"/>
              </w:rPr>
            </w:pPr>
            <w:r>
              <w:rPr>
                <w:sz w:val="18"/>
                <w:szCs w:val="18"/>
              </w:rPr>
              <w:t>Aérosol</w:t>
            </w:r>
          </w:p>
        </w:tc>
        <w:tc>
          <w:tcPr>
            <w:tcW w:w="777" w:type="dxa"/>
            <w:shd w:val="clear" w:color="auto" w:fill="auto"/>
          </w:tcPr>
          <w:p w14:paraId="45BBAD9D" w14:textId="77777777" w:rsidR="000A5743" w:rsidRPr="009029C8" w:rsidRDefault="000A5743" w:rsidP="005D5A5E">
            <w:pPr>
              <w:spacing w:after="60"/>
              <w:jc w:val="center"/>
              <w:rPr>
                <w:sz w:val="18"/>
                <w:szCs w:val="18"/>
              </w:rPr>
            </w:pPr>
            <w:r>
              <w:rPr>
                <w:sz w:val="18"/>
                <w:szCs w:val="18"/>
              </w:rPr>
              <w:t>Mousse</w:t>
            </w:r>
          </w:p>
        </w:tc>
        <w:tc>
          <w:tcPr>
            <w:tcW w:w="950" w:type="dxa"/>
            <w:shd w:val="clear" w:color="auto" w:fill="auto"/>
          </w:tcPr>
          <w:p w14:paraId="4C003321" w14:textId="77777777" w:rsidR="000A5743" w:rsidRPr="009029C8" w:rsidRDefault="000A5743" w:rsidP="005D5A5E">
            <w:pPr>
              <w:spacing w:after="60"/>
              <w:jc w:val="center"/>
              <w:rPr>
                <w:sz w:val="18"/>
                <w:szCs w:val="18"/>
              </w:rPr>
            </w:pPr>
            <w:r>
              <w:rPr>
                <w:sz w:val="18"/>
                <w:szCs w:val="18"/>
              </w:rPr>
              <w:t>Lutte contre l’incendie</w:t>
            </w:r>
          </w:p>
        </w:tc>
        <w:tc>
          <w:tcPr>
            <w:tcW w:w="1934" w:type="dxa"/>
            <w:gridSpan w:val="2"/>
            <w:shd w:val="clear" w:color="auto" w:fill="auto"/>
          </w:tcPr>
          <w:p w14:paraId="3EB663B0" w14:textId="77777777" w:rsidR="000A5743" w:rsidRPr="009029C8" w:rsidRDefault="000A5743" w:rsidP="005D5A5E">
            <w:pPr>
              <w:spacing w:after="60"/>
              <w:jc w:val="center"/>
              <w:rPr>
                <w:sz w:val="18"/>
                <w:szCs w:val="18"/>
              </w:rPr>
            </w:pPr>
            <w:r>
              <w:rPr>
                <w:sz w:val="18"/>
                <w:szCs w:val="18"/>
              </w:rPr>
              <w:t>Réfrigérant</w:t>
            </w:r>
          </w:p>
        </w:tc>
        <w:tc>
          <w:tcPr>
            <w:tcW w:w="767" w:type="dxa"/>
            <w:shd w:val="clear" w:color="auto" w:fill="auto"/>
          </w:tcPr>
          <w:p w14:paraId="761B2396" w14:textId="77777777" w:rsidR="000A5743" w:rsidRPr="009029C8" w:rsidRDefault="000A5743" w:rsidP="005D5A5E">
            <w:pPr>
              <w:spacing w:after="60"/>
              <w:jc w:val="center"/>
              <w:rPr>
                <w:sz w:val="18"/>
                <w:szCs w:val="18"/>
              </w:rPr>
            </w:pPr>
            <w:r>
              <w:rPr>
                <w:sz w:val="18"/>
                <w:szCs w:val="18"/>
              </w:rPr>
              <w:t>Solvant</w:t>
            </w:r>
          </w:p>
        </w:tc>
        <w:tc>
          <w:tcPr>
            <w:tcW w:w="1276" w:type="dxa"/>
            <w:shd w:val="clear" w:color="auto" w:fill="auto"/>
          </w:tcPr>
          <w:p w14:paraId="0A312ABB" w14:textId="77777777" w:rsidR="000A5743" w:rsidRPr="009029C8" w:rsidRDefault="000A5743" w:rsidP="005D5A5E">
            <w:pPr>
              <w:spacing w:after="60"/>
              <w:jc w:val="center"/>
              <w:rPr>
                <w:sz w:val="18"/>
                <w:szCs w:val="18"/>
              </w:rPr>
            </w:pPr>
            <w:r>
              <w:rPr>
                <w:sz w:val="18"/>
                <w:szCs w:val="18"/>
              </w:rPr>
              <w:t>Agent de transformation</w:t>
            </w:r>
          </w:p>
        </w:tc>
        <w:tc>
          <w:tcPr>
            <w:tcW w:w="996" w:type="dxa"/>
            <w:shd w:val="clear" w:color="auto" w:fill="auto"/>
          </w:tcPr>
          <w:p w14:paraId="1B40F784" w14:textId="77777777" w:rsidR="000A5743" w:rsidRPr="009029C8" w:rsidRDefault="000A5743" w:rsidP="005D5A5E">
            <w:pPr>
              <w:spacing w:after="60"/>
              <w:jc w:val="center"/>
              <w:rPr>
                <w:sz w:val="18"/>
                <w:szCs w:val="18"/>
              </w:rPr>
            </w:pPr>
            <w:r>
              <w:rPr>
                <w:sz w:val="18"/>
                <w:szCs w:val="18"/>
              </w:rPr>
              <w:t>Utilisation en laboratoire</w:t>
            </w:r>
          </w:p>
        </w:tc>
        <w:tc>
          <w:tcPr>
            <w:tcW w:w="1317" w:type="dxa"/>
            <w:shd w:val="clear" w:color="auto" w:fill="auto"/>
          </w:tcPr>
          <w:p w14:paraId="2664438B" w14:textId="77777777" w:rsidR="000A5743" w:rsidRPr="0026283A" w:rsidRDefault="000A5743" w:rsidP="005D5A5E">
            <w:pPr>
              <w:spacing w:after="60"/>
              <w:jc w:val="center"/>
              <w:rPr>
                <w:sz w:val="18"/>
                <w:szCs w:val="18"/>
              </w:rPr>
            </w:pPr>
            <w:r>
              <w:rPr>
                <w:sz w:val="18"/>
                <w:szCs w:val="18"/>
              </w:rPr>
              <w:t>Consommation totale du secteur</w:t>
            </w:r>
          </w:p>
        </w:tc>
      </w:tr>
      <w:tr w:rsidR="000A5743" w:rsidRPr="0026283A" w14:paraId="6A2B1404" w14:textId="77777777" w:rsidTr="00054661">
        <w:trPr>
          <w:trHeight w:val="240"/>
        </w:trPr>
        <w:tc>
          <w:tcPr>
            <w:tcW w:w="4169" w:type="dxa"/>
            <w:gridSpan w:val="4"/>
            <w:shd w:val="clear" w:color="auto" w:fill="auto"/>
          </w:tcPr>
          <w:p w14:paraId="1AE6E21C" w14:textId="77777777" w:rsidR="000A5743" w:rsidRPr="009029C8" w:rsidRDefault="000A5743" w:rsidP="005D5A5E">
            <w:pPr>
              <w:spacing w:after="60"/>
              <w:jc w:val="center"/>
              <w:rPr>
                <w:sz w:val="18"/>
                <w:szCs w:val="18"/>
              </w:rPr>
            </w:pPr>
            <w:r>
              <w:rPr>
                <w:sz w:val="18"/>
                <w:szCs w:val="18"/>
              </w:rPr>
              <w:t xml:space="preserve"> </w:t>
            </w:r>
          </w:p>
        </w:tc>
        <w:tc>
          <w:tcPr>
            <w:tcW w:w="1051" w:type="dxa"/>
            <w:shd w:val="clear" w:color="auto" w:fill="auto"/>
          </w:tcPr>
          <w:p w14:paraId="267D0F3C" w14:textId="77777777" w:rsidR="000A5743" w:rsidRPr="009029C8" w:rsidRDefault="000A5743" w:rsidP="005D5A5E">
            <w:pPr>
              <w:spacing w:after="60"/>
              <w:jc w:val="center"/>
              <w:rPr>
                <w:sz w:val="18"/>
                <w:szCs w:val="18"/>
              </w:rPr>
            </w:pPr>
            <w:r>
              <w:rPr>
                <w:sz w:val="18"/>
                <w:szCs w:val="18"/>
              </w:rPr>
              <w:t>Fabrication</w:t>
            </w:r>
          </w:p>
        </w:tc>
        <w:tc>
          <w:tcPr>
            <w:tcW w:w="883" w:type="dxa"/>
            <w:shd w:val="clear" w:color="auto" w:fill="auto"/>
          </w:tcPr>
          <w:p w14:paraId="26BE3A14" w14:textId="77777777" w:rsidR="000A5743" w:rsidRPr="009029C8" w:rsidRDefault="000A5743" w:rsidP="005D5A5E">
            <w:pPr>
              <w:spacing w:after="60"/>
              <w:jc w:val="center"/>
              <w:rPr>
                <w:sz w:val="18"/>
                <w:szCs w:val="18"/>
              </w:rPr>
            </w:pPr>
            <w:r>
              <w:rPr>
                <w:sz w:val="18"/>
                <w:szCs w:val="18"/>
              </w:rPr>
              <w:t>Entretien</w:t>
            </w:r>
          </w:p>
        </w:tc>
        <w:tc>
          <w:tcPr>
            <w:tcW w:w="4356" w:type="dxa"/>
            <w:gridSpan w:val="4"/>
            <w:shd w:val="clear" w:color="auto" w:fill="auto"/>
          </w:tcPr>
          <w:p w14:paraId="6AC6DD77" w14:textId="77777777" w:rsidR="000A5743" w:rsidRPr="0026283A" w:rsidRDefault="000A5743" w:rsidP="005D5A5E">
            <w:pPr>
              <w:spacing w:after="60"/>
              <w:jc w:val="center"/>
              <w:rPr>
                <w:sz w:val="18"/>
                <w:szCs w:val="18"/>
              </w:rPr>
            </w:pPr>
          </w:p>
        </w:tc>
      </w:tr>
      <w:tr w:rsidR="00B508E7" w:rsidRPr="0026283A" w14:paraId="56C8DEA2" w14:textId="77777777" w:rsidTr="00054661">
        <w:trPr>
          <w:trHeight w:val="248"/>
        </w:trPr>
        <w:tc>
          <w:tcPr>
            <w:tcW w:w="1843" w:type="dxa"/>
            <w:shd w:val="clear" w:color="auto" w:fill="auto"/>
          </w:tcPr>
          <w:p w14:paraId="11ABCBFA" w14:textId="77777777" w:rsidR="000A5743" w:rsidRPr="009029C8" w:rsidRDefault="000A5743" w:rsidP="005D5A5E">
            <w:pPr>
              <w:spacing w:after="60"/>
              <w:rPr>
                <w:sz w:val="18"/>
                <w:szCs w:val="18"/>
              </w:rPr>
            </w:pPr>
            <w:r>
              <w:rPr>
                <w:sz w:val="18"/>
                <w:szCs w:val="18"/>
              </w:rPr>
              <w:t>HCFC-123</w:t>
            </w:r>
          </w:p>
        </w:tc>
        <w:tc>
          <w:tcPr>
            <w:tcW w:w="599" w:type="dxa"/>
            <w:shd w:val="clear" w:color="auto" w:fill="auto"/>
          </w:tcPr>
          <w:p w14:paraId="06BCE63A" w14:textId="77777777" w:rsidR="000A5743" w:rsidRPr="009029C8" w:rsidRDefault="000A5743" w:rsidP="005D5A5E">
            <w:pPr>
              <w:spacing w:after="60"/>
              <w:jc w:val="right"/>
              <w:rPr>
                <w:sz w:val="18"/>
                <w:szCs w:val="18"/>
              </w:rPr>
            </w:pPr>
          </w:p>
        </w:tc>
        <w:tc>
          <w:tcPr>
            <w:tcW w:w="777" w:type="dxa"/>
            <w:shd w:val="clear" w:color="auto" w:fill="auto"/>
          </w:tcPr>
          <w:p w14:paraId="17D8FF96" w14:textId="77777777" w:rsidR="000A5743" w:rsidRPr="009029C8" w:rsidRDefault="000A5743" w:rsidP="005D5A5E">
            <w:pPr>
              <w:spacing w:after="60"/>
              <w:jc w:val="right"/>
              <w:rPr>
                <w:sz w:val="18"/>
                <w:szCs w:val="18"/>
              </w:rPr>
            </w:pPr>
          </w:p>
        </w:tc>
        <w:tc>
          <w:tcPr>
            <w:tcW w:w="950" w:type="dxa"/>
            <w:shd w:val="clear" w:color="auto" w:fill="auto"/>
          </w:tcPr>
          <w:p w14:paraId="7AD1E006" w14:textId="77777777" w:rsidR="000A5743" w:rsidRPr="009029C8" w:rsidRDefault="000A5743" w:rsidP="005D5A5E">
            <w:pPr>
              <w:spacing w:after="60"/>
              <w:jc w:val="right"/>
              <w:rPr>
                <w:sz w:val="18"/>
                <w:szCs w:val="18"/>
              </w:rPr>
            </w:pPr>
          </w:p>
        </w:tc>
        <w:tc>
          <w:tcPr>
            <w:tcW w:w="1051" w:type="dxa"/>
            <w:shd w:val="clear" w:color="auto" w:fill="auto"/>
          </w:tcPr>
          <w:p w14:paraId="608C51C5" w14:textId="77777777" w:rsidR="000A5743" w:rsidRPr="009029C8" w:rsidRDefault="000A5743" w:rsidP="005D5A5E">
            <w:pPr>
              <w:spacing w:after="60"/>
              <w:jc w:val="right"/>
              <w:rPr>
                <w:sz w:val="18"/>
                <w:szCs w:val="18"/>
              </w:rPr>
            </w:pPr>
          </w:p>
        </w:tc>
        <w:tc>
          <w:tcPr>
            <w:tcW w:w="883" w:type="dxa"/>
            <w:shd w:val="clear" w:color="auto" w:fill="auto"/>
          </w:tcPr>
          <w:p w14:paraId="0229DBB2" w14:textId="2D349479" w:rsidR="004D1DEE" w:rsidRPr="009029C8" w:rsidRDefault="004D1DEE" w:rsidP="005D5A5E">
            <w:pPr>
              <w:spacing w:after="60"/>
              <w:jc w:val="right"/>
              <w:rPr>
                <w:sz w:val="18"/>
                <w:szCs w:val="18"/>
              </w:rPr>
            </w:pPr>
            <w:r>
              <w:rPr>
                <w:sz w:val="18"/>
                <w:szCs w:val="18"/>
              </w:rPr>
              <w:t>0</w:t>
            </w:r>
          </w:p>
        </w:tc>
        <w:tc>
          <w:tcPr>
            <w:tcW w:w="767" w:type="dxa"/>
            <w:shd w:val="clear" w:color="auto" w:fill="auto"/>
          </w:tcPr>
          <w:p w14:paraId="1ADDE913" w14:textId="77777777" w:rsidR="000A5743" w:rsidRPr="009029C8" w:rsidRDefault="000A5743" w:rsidP="005D5A5E">
            <w:pPr>
              <w:spacing w:after="60"/>
              <w:jc w:val="right"/>
              <w:rPr>
                <w:sz w:val="18"/>
                <w:szCs w:val="18"/>
              </w:rPr>
            </w:pPr>
          </w:p>
        </w:tc>
        <w:tc>
          <w:tcPr>
            <w:tcW w:w="1276" w:type="dxa"/>
            <w:shd w:val="clear" w:color="auto" w:fill="auto"/>
          </w:tcPr>
          <w:p w14:paraId="4E43343A" w14:textId="77777777" w:rsidR="000A5743" w:rsidRPr="009029C8" w:rsidRDefault="000A5743" w:rsidP="005D5A5E">
            <w:pPr>
              <w:spacing w:after="60"/>
              <w:jc w:val="right"/>
              <w:rPr>
                <w:sz w:val="18"/>
                <w:szCs w:val="18"/>
              </w:rPr>
            </w:pPr>
          </w:p>
        </w:tc>
        <w:tc>
          <w:tcPr>
            <w:tcW w:w="996" w:type="dxa"/>
            <w:shd w:val="clear" w:color="auto" w:fill="auto"/>
          </w:tcPr>
          <w:p w14:paraId="03377A01" w14:textId="77777777" w:rsidR="000A5743" w:rsidRPr="009029C8" w:rsidRDefault="000A5743" w:rsidP="005D5A5E">
            <w:pPr>
              <w:spacing w:after="60"/>
              <w:jc w:val="right"/>
              <w:rPr>
                <w:sz w:val="18"/>
                <w:szCs w:val="18"/>
              </w:rPr>
            </w:pPr>
          </w:p>
        </w:tc>
        <w:tc>
          <w:tcPr>
            <w:tcW w:w="1317" w:type="dxa"/>
            <w:shd w:val="clear" w:color="auto" w:fill="auto"/>
          </w:tcPr>
          <w:p w14:paraId="02501F2E" w14:textId="3FC92F1C" w:rsidR="000A5743" w:rsidRPr="0026283A" w:rsidRDefault="004D1DEE" w:rsidP="005D5A5E">
            <w:pPr>
              <w:spacing w:after="60"/>
              <w:jc w:val="right"/>
              <w:rPr>
                <w:sz w:val="18"/>
                <w:szCs w:val="18"/>
              </w:rPr>
            </w:pPr>
            <w:r>
              <w:rPr>
                <w:sz w:val="18"/>
                <w:szCs w:val="18"/>
              </w:rPr>
              <w:t>0</w:t>
            </w:r>
          </w:p>
        </w:tc>
      </w:tr>
      <w:tr w:rsidR="00B508E7" w:rsidRPr="0026283A" w14:paraId="2B239594" w14:textId="77777777" w:rsidTr="00054661">
        <w:trPr>
          <w:trHeight w:val="240"/>
        </w:trPr>
        <w:tc>
          <w:tcPr>
            <w:tcW w:w="1843" w:type="dxa"/>
            <w:shd w:val="clear" w:color="auto" w:fill="auto"/>
          </w:tcPr>
          <w:p w14:paraId="7311E328" w14:textId="77777777" w:rsidR="000A5743" w:rsidRPr="009029C8" w:rsidRDefault="000A5743" w:rsidP="005D5A5E">
            <w:pPr>
              <w:spacing w:after="60"/>
              <w:rPr>
                <w:sz w:val="18"/>
                <w:szCs w:val="18"/>
              </w:rPr>
            </w:pPr>
            <w:r>
              <w:rPr>
                <w:sz w:val="18"/>
                <w:szCs w:val="18"/>
              </w:rPr>
              <w:t>HCFC-124</w:t>
            </w:r>
          </w:p>
        </w:tc>
        <w:tc>
          <w:tcPr>
            <w:tcW w:w="599" w:type="dxa"/>
            <w:shd w:val="clear" w:color="auto" w:fill="auto"/>
          </w:tcPr>
          <w:p w14:paraId="104466D3" w14:textId="77777777" w:rsidR="000A5743" w:rsidRPr="009029C8" w:rsidRDefault="000A5743" w:rsidP="005D5A5E">
            <w:pPr>
              <w:spacing w:after="60"/>
              <w:jc w:val="right"/>
              <w:rPr>
                <w:sz w:val="18"/>
                <w:szCs w:val="18"/>
              </w:rPr>
            </w:pPr>
          </w:p>
        </w:tc>
        <w:tc>
          <w:tcPr>
            <w:tcW w:w="777" w:type="dxa"/>
            <w:shd w:val="clear" w:color="auto" w:fill="auto"/>
          </w:tcPr>
          <w:p w14:paraId="2B2978B5" w14:textId="77777777" w:rsidR="000A5743" w:rsidRPr="009029C8" w:rsidRDefault="000A5743" w:rsidP="005D5A5E">
            <w:pPr>
              <w:spacing w:after="60"/>
              <w:jc w:val="right"/>
              <w:rPr>
                <w:sz w:val="18"/>
                <w:szCs w:val="18"/>
              </w:rPr>
            </w:pPr>
          </w:p>
        </w:tc>
        <w:tc>
          <w:tcPr>
            <w:tcW w:w="950" w:type="dxa"/>
            <w:shd w:val="clear" w:color="auto" w:fill="auto"/>
          </w:tcPr>
          <w:p w14:paraId="7108793D" w14:textId="77777777" w:rsidR="000A5743" w:rsidRPr="009029C8" w:rsidRDefault="000A5743" w:rsidP="005D5A5E">
            <w:pPr>
              <w:spacing w:after="60"/>
              <w:jc w:val="right"/>
              <w:rPr>
                <w:sz w:val="18"/>
                <w:szCs w:val="18"/>
              </w:rPr>
            </w:pPr>
          </w:p>
        </w:tc>
        <w:tc>
          <w:tcPr>
            <w:tcW w:w="1051" w:type="dxa"/>
            <w:shd w:val="clear" w:color="auto" w:fill="auto"/>
          </w:tcPr>
          <w:p w14:paraId="6D200FEB" w14:textId="77777777" w:rsidR="000A5743" w:rsidRPr="009029C8" w:rsidRDefault="000A5743" w:rsidP="005D5A5E">
            <w:pPr>
              <w:spacing w:after="60"/>
              <w:jc w:val="right"/>
              <w:rPr>
                <w:sz w:val="18"/>
                <w:szCs w:val="18"/>
              </w:rPr>
            </w:pPr>
          </w:p>
        </w:tc>
        <w:tc>
          <w:tcPr>
            <w:tcW w:w="883" w:type="dxa"/>
            <w:shd w:val="clear" w:color="auto" w:fill="auto"/>
          </w:tcPr>
          <w:p w14:paraId="020FA6D5" w14:textId="77777777" w:rsidR="000A5743" w:rsidRPr="009029C8" w:rsidRDefault="000A5743" w:rsidP="005D5A5E">
            <w:pPr>
              <w:spacing w:after="60"/>
              <w:jc w:val="right"/>
              <w:rPr>
                <w:sz w:val="18"/>
                <w:szCs w:val="18"/>
              </w:rPr>
            </w:pPr>
          </w:p>
        </w:tc>
        <w:tc>
          <w:tcPr>
            <w:tcW w:w="767" w:type="dxa"/>
            <w:shd w:val="clear" w:color="auto" w:fill="auto"/>
          </w:tcPr>
          <w:p w14:paraId="2D7FE19E" w14:textId="77777777" w:rsidR="000A5743" w:rsidRPr="009029C8" w:rsidRDefault="000A5743" w:rsidP="005D5A5E">
            <w:pPr>
              <w:spacing w:after="60"/>
              <w:jc w:val="right"/>
              <w:rPr>
                <w:sz w:val="18"/>
                <w:szCs w:val="18"/>
              </w:rPr>
            </w:pPr>
          </w:p>
        </w:tc>
        <w:tc>
          <w:tcPr>
            <w:tcW w:w="1276" w:type="dxa"/>
            <w:shd w:val="clear" w:color="auto" w:fill="auto"/>
          </w:tcPr>
          <w:p w14:paraId="1DFF32A2" w14:textId="77777777" w:rsidR="000A5743" w:rsidRPr="009029C8" w:rsidRDefault="000A5743" w:rsidP="005D5A5E">
            <w:pPr>
              <w:spacing w:after="60"/>
              <w:jc w:val="right"/>
              <w:rPr>
                <w:sz w:val="18"/>
                <w:szCs w:val="18"/>
              </w:rPr>
            </w:pPr>
          </w:p>
        </w:tc>
        <w:tc>
          <w:tcPr>
            <w:tcW w:w="996" w:type="dxa"/>
            <w:shd w:val="clear" w:color="auto" w:fill="auto"/>
          </w:tcPr>
          <w:p w14:paraId="62463F3A" w14:textId="77777777" w:rsidR="000A5743" w:rsidRPr="009029C8" w:rsidRDefault="000A5743" w:rsidP="005D5A5E">
            <w:pPr>
              <w:spacing w:after="60"/>
              <w:jc w:val="right"/>
              <w:rPr>
                <w:sz w:val="18"/>
                <w:szCs w:val="18"/>
              </w:rPr>
            </w:pPr>
          </w:p>
        </w:tc>
        <w:tc>
          <w:tcPr>
            <w:tcW w:w="1317" w:type="dxa"/>
            <w:shd w:val="clear" w:color="auto" w:fill="auto"/>
          </w:tcPr>
          <w:p w14:paraId="3BF46DC3" w14:textId="77777777" w:rsidR="000A5743" w:rsidRPr="0026283A" w:rsidRDefault="000A5743" w:rsidP="005D5A5E">
            <w:pPr>
              <w:spacing w:after="60"/>
              <w:jc w:val="right"/>
              <w:rPr>
                <w:sz w:val="18"/>
                <w:szCs w:val="18"/>
              </w:rPr>
            </w:pPr>
          </w:p>
        </w:tc>
      </w:tr>
      <w:tr w:rsidR="00B508E7" w:rsidRPr="0026283A" w14:paraId="27FFBD33" w14:textId="77777777" w:rsidTr="00054661">
        <w:trPr>
          <w:trHeight w:val="240"/>
        </w:trPr>
        <w:tc>
          <w:tcPr>
            <w:tcW w:w="1843" w:type="dxa"/>
            <w:shd w:val="clear" w:color="auto" w:fill="auto"/>
          </w:tcPr>
          <w:p w14:paraId="0F2E0A0A" w14:textId="77777777" w:rsidR="000A5743" w:rsidRPr="009029C8" w:rsidRDefault="000A5743" w:rsidP="005D5A5E">
            <w:pPr>
              <w:spacing w:after="60"/>
              <w:rPr>
                <w:sz w:val="18"/>
                <w:szCs w:val="18"/>
              </w:rPr>
            </w:pPr>
            <w:r>
              <w:rPr>
                <w:sz w:val="18"/>
                <w:szCs w:val="18"/>
              </w:rPr>
              <w:t>HCFC-141b</w:t>
            </w:r>
          </w:p>
        </w:tc>
        <w:tc>
          <w:tcPr>
            <w:tcW w:w="599" w:type="dxa"/>
            <w:shd w:val="clear" w:color="auto" w:fill="auto"/>
          </w:tcPr>
          <w:p w14:paraId="7443C8BE" w14:textId="77777777" w:rsidR="000A5743" w:rsidRPr="009029C8" w:rsidRDefault="000A5743" w:rsidP="005D5A5E">
            <w:pPr>
              <w:spacing w:after="60"/>
              <w:jc w:val="right"/>
              <w:rPr>
                <w:sz w:val="18"/>
                <w:szCs w:val="18"/>
              </w:rPr>
            </w:pPr>
          </w:p>
        </w:tc>
        <w:tc>
          <w:tcPr>
            <w:tcW w:w="777" w:type="dxa"/>
            <w:shd w:val="clear" w:color="auto" w:fill="auto"/>
          </w:tcPr>
          <w:p w14:paraId="67791A2E" w14:textId="77777777" w:rsidR="000A5743" w:rsidRPr="009029C8" w:rsidRDefault="000A5743" w:rsidP="005D5A5E">
            <w:pPr>
              <w:spacing w:after="60"/>
              <w:jc w:val="right"/>
              <w:rPr>
                <w:sz w:val="18"/>
                <w:szCs w:val="18"/>
              </w:rPr>
            </w:pPr>
          </w:p>
        </w:tc>
        <w:tc>
          <w:tcPr>
            <w:tcW w:w="950" w:type="dxa"/>
            <w:shd w:val="clear" w:color="auto" w:fill="auto"/>
          </w:tcPr>
          <w:p w14:paraId="2BEE4BFA" w14:textId="77777777" w:rsidR="000A5743" w:rsidRPr="009029C8" w:rsidRDefault="000A5743" w:rsidP="005D5A5E">
            <w:pPr>
              <w:spacing w:after="60"/>
              <w:jc w:val="right"/>
              <w:rPr>
                <w:sz w:val="18"/>
                <w:szCs w:val="18"/>
              </w:rPr>
            </w:pPr>
          </w:p>
        </w:tc>
        <w:tc>
          <w:tcPr>
            <w:tcW w:w="1051" w:type="dxa"/>
            <w:shd w:val="clear" w:color="auto" w:fill="auto"/>
          </w:tcPr>
          <w:p w14:paraId="6FE5738F" w14:textId="77777777" w:rsidR="000A5743" w:rsidRPr="009029C8" w:rsidRDefault="000A5743" w:rsidP="005D5A5E">
            <w:pPr>
              <w:spacing w:after="60"/>
              <w:jc w:val="right"/>
              <w:rPr>
                <w:sz w:val="18"/>
                <w:szCs w:val="18"/>
              </w:rPr>
            </w:pPr>
          </w:p>
        </w:tc>
        <w:tc>
          <w:tcPr>
            <w:tcW w:w="883" w:type="dxa"/>
            <w:shd w:val="clear" w:color="auto" w:fill="auto"/>
          </w:tcPr>
          <w:p w14:paraId="508F2890" w14:textId="2C0E0128" w:rsidR="000A5743" w:rsidRPr="0026283A" w:rsidRDefault="00571C00" w:rsidP="006306B0">
            <w:pPr>
              <w:spacing w:after="60"/>
              <w:jc w:val="right"/>
              <w:rPr>
                <w:sz w:val="18"/>
                <w:szCs w:val="18"/>
              </w:rPr>
            </w:pPr>
            <w:r>
              <w:rPr>
                <w:sz w:val="18"/>
                <w:szCs w:val="18"/>
              </w:rPr>
              <w:t>0,57</w:t>
            </w:r>
          </w:p>
        </w:tc>
        <w:tc>
          <w:tcPr>
            <w:tcW w:w="767" w:type="dxa"/>
            <w:shd w:val="clear" w:color="auto" w:fill="auto"/>
          </w:tcPr>
          <w:p w14:paraId="1F1400A5" w14:textId="77777777" w:rsidR="000A5743" w:rsidRPr="009029C8" w:rsidRDefault="000A5743" w:rsidP="005D5A5E">
            <w:pPr>
              <w:spacing w:after="60"/>
              <w:jc w:val="right"/>
              <w:rPr>
                <w:sz w:val="18"/>
                <w:szCs w:val="18"/>
                <w:highlight w:val="yellow"/>
              </w:rPr>
            </w:pPr>
          </w:p>
        </w:tc>
        <w:tc>
          <w:tcPr>
            <w:tcW w:w="1276" w:type="dxa"/>
            <w:shd w:val="clear" w:color="auto" w:fill="auto"/>
          </w:tcPr>
          <w:p w14:paraId="5D6975BC" w14:textId="77777777" w:rsidR="000A5743" w:rsidRPr="009029C8" w:rsidRDefault="000A5743" w:rsidP="005D5A5E">
            <w:pPr>
              <w:spacing w:after="60"/>
              <w:jc w:val="right"/>
              <w:rPr>
                <w:sz w:val="18"/>
                <w:szCs w:val="18"/>
                <w:highlight w:val="yellow"/>
              </w:rPr>
            </w:pPr>
          </w:p>
        </w:tc>
        <w:tc>
          <w:tcPr>
            <w:tcW w:w="996" w:type="dxa"/>
            <w:shd w:val="clear" w:color="auto" w:fill="auto"/>
          </w:tcPr>
          <w:p w14:paraId="31D68530" w14:textId="77777777" w:rsidR="000A5743" w:rsidRPr="009029C8" w:rsidRDefault="000A5743" w:rsidP="005D5A5E">
            <w:pPr>
              <w:spacing w:after="60"/>
              <w:jc w:val="right"/>
              <w:rPr>
                <w:sz w:val="18"/>
                <w:szCs w:val="18"/>
                <w:highlight w:val="yellow"/>
              </w:rPr>
            </w:pPr>
          </w:p>
        </w:tc>
        <w:tc>
          <w:tcPr>
            <w:tcW w:w="1317" w:type="dxa"/>
            <w:shd w:val="clear" w:color="auto" w:fill="auto"/>
          </w:tcPr>
          <w:p w14:paraId="0DC05EC1" w14:textId="5808811A" w:rsidR="000A5743" w:rsidRPr="0026283A" w:rsidRDefault="00571C00" w:rsidP="006306B0">
            <w:pPr>
              <w:spacing w:after="60"/>
              <w:jc w:val="right"/>
              <w:rPr>
                <w:sz w:val="18"/>
                <w:szCs w:val="18"/>
              </w:rPr>
            </w:pPr>
            <w:r>
              <w:rPr>
                <w:sz w:val="18"/>
                <w:szCs w:val="18"/>
              </w:rPr>
              <w:t>0,57</w:t>
            </w:r>
          </w:p>
        </w:tc>
      </w:tr>
      <w:tr w:rsidR="00B508E7" w:rsidRPr="0026283A" w14:paraId="764C96B3" w14:textId="77777777" w:rsidTr="00054661">
        <w:trPr>
          <w:trHeight w:val="467"/>
        </w:trPr>
        <w:tc>
          <w:tcPr>
            <w:tcW w:w="1843" w:type="dxa"/>
            <w:shd w:val="clear" w:color="auto" w:fill="auto"/>
          </w:tcPr>
          <w:p w14:paraId="190A1204" w14:textId="1CF596C7" w:rsidR="000A5743" w:rsidRPr="009029C8" w:rsidRDefault="000A5743" w:rsidP="00B508E7">
            <w:pPr>
              <w:spacing w:after="60"/>
              <w:jc w:val="left"/>
              <w:rPr>
                <w:sz w:val="18"/>
                <w:szCs w:val="18"/>
              </w:rPr>
            </w:pPr>
            <w:r>
              <w:rPr>
                <w:sz w:val="18"/>
                <w:szCs w:val="18"/>
              </w:rPr>
              <w:t xml:space="preserve">HCFC‑141b contenus dans les polyols </w:t>
            </w:r>
            <w:r w:rsidR="00FF17A4">
              <w:rPr>
                <w:sz w:val="18"/>
                <w:szCs w:val="18"/>
              </w:rPr>
              <w:t>prémélanges</w:t>
            </w:r>
            <w:r>
              <w:rPr>
                <w:sz w:val="18"/>
                <w:szCs w:val="18"/>
              </w:rPr>
              <w:t xml:space="preserve"> importés</w:t>
            </w:r>
          </w:p>
        </w:tc>
        <w:tc>
          <w:tcPr>
            <w:tcW w:w="599" w:type="dxa"/>
            <w:shd w:val="clear" w:color="auto" w:fill="auto"/>
          </w:tcPr>
          <w:p w14:paraId="3261D7AE" w14:textId="77777777" w:rsidR="000A5743" w:rsidRPr="009029C8" w:rsidRDefault="000A5743" w:rsidP="005D5A5E">
            <w:pPr>
              <w:spacing w:after="60"/>
              <w:jc w:val="right"/>
              <w:rPr>
                <w:sz w:val="18"/>
                <w:szCs w:val="18"/>
              </w:rPr>
            </w:pPr>
          </w:p>
        </w:tc>
        <w:tc>
          <w:tcPr>
            <w:tcW w:w="777" w:type="dxa"/>
            <w:shd w:val="clear" w:color="auto" w:fill="auto"/>
          </w:tcPr>
          <w:p w14:paraId="6E9BF8D6" w14:textId="402B2358" w:rsidR="004D1DEE" w:rsidRPr="009029C8" w:rsidRDefault="004D1DEE" w:rsidP="005D5A5E">
            <w:pPr>
              <w:spacing w:after="60"/>
              <w:jc w:val="right"/>
              <w:rPr>
                <w:sz w:val="18"/>
                <w:szCs w:val="18"/>
              </w:rPr>
            </w:pPr>
            <w:r>
              <w:rPr>
                <w:sz w:val="18"/>
                <w:szCs w:val="18"/>
              </w:rPr>
              <w:t>0</w:t>
            </w:r>
          </w:p>
        </w:tc>
        <w:tc>
          <w:tcPr>
            <w:tcW w:w="950" w:type="dxa"/>
            <w:shd w:val="clear" w:color="auto" w:fill="auto"/>
          </w:tcPr>
          <w:p w14:paraId="70A626A5" w14:textId="77777777" w:rsidR="000A5743" w:rsidRPr="009029C8" w:rsidRDefault="000A5743" w:rsidP="005D5A5E">
            <w:pPr>
              <w:spacing w:after="60"/>
              <w:jc w:val="right"/>
              <w:rPr>
                <w:sz w:val="18"/>
                <w:szCs w:val="18"/>
              </w:rPr>
            </w:pPr>
          </w:p>
        </w:tc>
        <w:tc>
          <w:tcPr>
            <w:tcW w:w="1051" w:type="dxa"/>
            <w:shd w:val="clear" w:color="auto" w:fill="auto"/>
          </w:tcPr>
          <w:p w14:paraId="3125805A" w14:textId="77777777" w:rsidR="000A5743" w:rsidRPr="009029C8" w:rsidRDefault="000A5743" w:rsidP="005D5A5E">
            <w:pPr>
              <w:spacing w:after="60"/>
              <w:jc w:val="right"/>
              <w:rPr>
                <w:sz w:val="18"/>
                <w:szCs w:val="18"/>
              </w:rPr>
            </w:pPr>
          </w:p>
        </w:tc>
        <w:tc>
          <w:tcPr>
            <w:tcW w:w="883" w:type="dxa"/>
            <w:shd w:val="clear" w:color="auto" w:fill="auto"/>
          </w:tcPr>
          <w:p w14:paraId="06B9D2A4" w14:textId="77777777" w:rsidR="000A5743" w:rsidRPr="0026283A" w:rsidRDefault="000A5743" w:rsidP="005D5A5E">
            <w:pPr>
              <w:spacing w:after="60"/>
              <w:jc w:val="right"/>
              <w:rPr>
                <w:sz w:val="18"/>
                <w:szCs w:val="18"/>
              </w:rPr>
            </w:pPr>
          </w:p>
        </w:tc>
        <w:tc>
          <w:tcPr>
            <w:tcW w:w="767" w:type="dxa"/>
            <w:shd w:val="clear" w:color="auto" w:fill="auto"/>
          </w:tcPr>
          <w:p w14:paraId="21D29E2B" w14:textId="77777777" w:rsidR="000A5743" w:rsidRPr="009029C8" w:rsidRDefault="000A5743" w:rsidP="005D5A5E">
            <w:pPr>
              <w:spacing w:after="60"/>
              <w:jc w:val="right"/>
              <w:rPr>
                <w:sz w:val="18"/>
                <w:szCs w:val="18"/>
              </w:rPr>
            </w:pPr>
          </w:p>
        </w:tc>
        <w:tc>
          <w:tcPr>
            <w:tcW w:w="1276" w:type="dxa"/>
            <w:shd w:val="clear" w:color="auto" w:fill="auto"/>
          </w:tcPr>
          <w:p w14:paraId="280AA121" w14:textId="77777777" w:rsidR="000A5743" w:rsidRPr="009029C8" w:rsidRDefault="000A5743" w:rsidP="005D5A5E">
            <w:pPr>
              <w:spacing w:after="60"/>
              <w:jc w:val="right"/>
              <w:rPr>
                <w:sz w:val="18"/>
                <w:szCs w:val="18"/>
              </w:rPr>
            </w:pPr>
          </w:p>
        </w:tc>
        <w:tc>
          <w:tcPr>
            <w:tcW w:w="996" w:type="dxa"/>
            <w:shd w:val="clear" w:color="auto" w:fill="auto"/>
          </w:tcPr>
          <w:p w14:paraId="3AD429BC" w14:textId="77777777" w:rsidR="000A5743" w:rsidRPr="009029C8" w:rsidRDefault="000A5743" w:rsidP="005D5A5E">
            <w:pPr>
              <w:spacing w:after="60"/>
              <w:jc w:val="right"/>
              <w:rPr>
                <w:sz w:val="18"/>
                <w:szCs w:val="18"/>
              </w:rPr>
            </w:pPr>
          </w:p>
        </w:tc>
        <w:tc>
          <w:tcPr>
            <w:tcW w:w="1317" w:type="dxa"/>
            <w:shd w:val="clear" w:color="auto" w:fill="auto"/>
          </w:tcPr>
          <w:p w14:paraId="7851D45B" w14:textId="6C65F8B6" w:rsidR="000A5743" w:rsidRPr="0026283A" w:rsidRDefault="000A5743" w:rsidP="005D5A5E">
            <w:pPr>
              <w:spacing w:after="60"/>
              <w:jc w:val="right"/>
              <w:rPr>
                <w:sz w:val="18"/>
                <w:szCs w:val="18"/>
              </w:rPr>
            </w:pPr>
          </w:p>
        </w:tc>
      </w:tr>
      <w:tr w:rsidR="00B508E7" w:rsidRPr="0026283A" w14:paraId="5C73BA34" w14:textId="77777777" w:rsidTr="00054661">
        <w:trPr>
          <w:trHeight w:val="240"/>
        </w:trPr>
        <w:tc>
          <w:tcPr>
            <w:tcW w:w="1843" w:type="dxa"/>
            <w:shd w:val="clear" w:color="auto" w:fill="auto"/>
          </w:tcPr>
          <w:p w14:paraId="733E43BD" w14:textId="77777777" w:rsidR="000A5743" w:rsidRPr="009029C8" w:rsidRDefault="000A5743" w:rsidP="005D5A5E">
            <w:pPr>
              <w:spacing w:after="60"/>
              <w:rPr>
                <w:sz w:val="18"/>
                <w:szCs w:val="18"/>
              </w:rPr>
            </w:pPr>
            <w:r>
              <w:rPr>
                <w:sz w:val="18"/>
                <w:szCs w:val="18"/>
              </w:rPr>
              <w:t>HCFC-142b</w:t>
            </w:r>
          </w:p>
        </w:tc>
        <w:tc>
          <w:tcPr>
            <w:tcW w:w="599" w:type="dxa"/>
            <w:shd w:val="clear" w:color="auto" w:fill="auto"/>
          </w:tcPr>
          <w:p w14:paraId="36B9AD76" w14:textId="77777777" w:rsidR="000A5743" w:rsidRPr="009029C8" w:rsidRDefault="000A5743" w:rsidP="005D5A5E">
            <w:pPr>
              <w:spacing w:after="60"/>
              <w:jc w:val="right"/>
              <w:rPr>
                <w:sz w:val="18"/>
                <w:szCs w:val="18"/>
              </w:rPr>
            </w:pPr>
          </w:p>
        </w:tc>
        <w:tc>
          <w:tcPr>
            <w:tcW w:w="777" w:type="dxa"/>
            <w:shd w:val="clear" w:color="auto" w:fill="auto"/>
          </w:tcPr>
          <w:p w14:paraId="0C404ED4" w14:textId="77777777" w:rsidR="000A5743" w:rsidRPr="009029C8" w:rsidRDefault="000A5743" w:rsidP="005D5A5E">
            <w:pPr>
              <w:spacing w:after="60"/>
              <w:jc w:val="right"/>
              <w:rPr>
                <w:sz w:val="18"/>
                <w:szCs w:val="18"/>
              </w:rPr>
            </w:pPr>
          </w:p>
        </w:tc>
        <w:tc>
          <w:tcPr>
            <w:tcW w:w="950" w:type="dxa"/>
            <w:shd w:val="clear" w:color="auto" w:fill="auto"/>
          </w:tcPr>
          <w:p w14:paraId="1A1CCF05" w14:textId="77777777" w:rsidR="000A5743" w:rsidRPr="009029C8" w:rsidRDefault="000A5743" w:rsidP="005D5A5E">
            <w:pPr>
              <w:spacing w:after="60"/>
              <w:jc w:val="right"/>
              <w:rPr>
                <w:sz w:val="18"/>
                <w:szCs w:val="18"/>
              </w:rPr>
            </w:pPr>
          </w:p>
        </w:tc>
        <w:tc>
          <w:tcPr>
            <w:tcW w:w="1051" w:type="dxa"/>
            <w:shd w:val="clear" w:color="auto" w:fill="auto"/>
          </w:tcPr>
          <w:p w14:paraId="5E3EA88A" w14:textId="77777777" w:rsidR="000A5743" w:rsidRPr="009029C8" w:rsidRDefault="000A5743" w:rsidP="005D5A5E">
            <w:pPr>
              <w:spacing w:after="60"/>
              <w:jc w:val="right"/>
              <w:rPr>
                <w:sz w:val="18"/>
                <w:szCs w:val="18"/>
              </w:rPr>
            </w:pPr>
          </w:p>
        </w:tc>
        <w:tc>
          <w:tcPr>
            <w:tcW w:w="883" w:type="dxa"/>
            <w:shd w:val="clear" w:color="auto" w:fill="auto"/>
          </w:tcPr>
          <w:p w14:paraId="24D4990A" w14:textId="77777777" w:rsidR="000A5743" w:rsidRPr="0026283A" w:rsidRDefault="000A5743" w:rsidP="005D5A5E">
            <w:pPr>
              <w:spacing w:after="60"/>
              <w:jc w:val="right"/>
              <w:rPr>
                <w:sz w:val="18"/>
                <w:szCs w:val="18"/>
              </w:rPr>
            </w:pPr>
          </w:p>
        </w:tc>
        <w:tc>
          <w:tcPr>
            <w:tcW w:w="767" w:type="dxa"/>
            <w:shd w:val="clear" w:color="auto" w:fill="auto"/>
          </w:tcPr>
          <w:p w14:paraId="0AFFE57C" w14:textId="77777777" w:rsidR="000A5743" w:rsidRPr="009029C8" w:rsidRDefault="000A5743" w:rsidP="005D5A5E">
            <w:pPr>
              <w:spacing w:after="60"/>
              <w:jc w:val="right"/>
              <w:rPr>
                <w:sz w:val="18"/>
                <w:szCs w:val="18"/>
              </w:rPr>
            </w:pPr>
          </w:p>
        </w:tc>
        <w:tc>
          <w:tcPr>
            <w:tcW w:w="1276" w:type="dxa"/>
            <w:shd w:val="clear" w:color="auto" w:fill="auto"/>
          </w:tcPr>
          <w:p w14:paraId="16137927" w14:textId="77777777" w:rsidR="000A5743" w:rsidRPr="009029C8" w:rsidRDefault="000A5743" w:rsidP="005D5A5E">
            <w:pPr>
              <w:spacing w:after="60"/>
              <w:jc w:val="right"/>
              <w:rPr>
                <w:sz w:val="18"/>
                <w:szCs w:val="18"/>
              </w:rPr>
            </w:pPr>
          </w:p>
        </w:tc>
        <w:tc>
          <w:tcPr>
            <w:tcW w:w="996" w:type="dxa"/>
            <w:shd w:val="clear" w:color="auto" w:fill="auto"/>
          </w:tcPr>
          <w:p w14:paraId="041B7C01" w14:textId="77777777" w:rsidR="000A5743" w:rsidRPr="009029C8" w:rsidRDefault="000A5743" w:rsidP="005D5A5E">
            <w:pPr>
              <w:spacing w:after="60"/>
              <w:jc w:val="right"/>
              <w:rPr>
                <w:sz w:val="18"/>
                <w:szCs w:val="18"/>
              </w:rPr>
            </w:pPr>
          </w:p>
        </w:tc>
        <w:tc>
          <w:tcPr>
            <w:tcW w:w="1317" w:type="dxa"/>
            <w:shd w:val="clear" w:color="auto" w:fill="auto"/>
          </w:tcPr>
          <w:p w14:paraId="2D70D3A2" w14:textId="77777777" w:rsidR="000A5743" w:rsidRPr="0026283A" w:rsidRDefault="000A5743" w:rsidP="005D5A5E">
            <w:pPr>
              <w:spacing w:after="60"/>
              <w:jc w:val="right"/>
              <w:rPr>
                <w:sz w:val="18"/>
                <w:szCs w:val="18"/>
              </w:rPr>
            </w:pPr>
          </w:p>
        </w:tc>
      </w:tr>
      <w:tr w:rsidR="00B508E7" w:rsidRPr="0026283A" w14:paraId="5BA21BA3" w14:textId="77777777" w:rsidTr="00054661">
        <w:trPr>
          <w:trHeight w:val="240"/>
        </w:trPr>
        <w:tc>
          <w:tcPr>
            <w:tcW w:w="1843" w:type="dxa"/>
            <w:shd w:val="clear" w:color="auto" w:fill="auto"/>
          </w:tcPr>
          <w:p w14:paraId="5EBB3A40" w14:textId="77777777" w:rsidR="000A5743" w:rsidRPr="009029C8" w:rsidRDefault="000A5743" w:rsidP="005D5A5E">
            <w:pPr>
              <w:spacing w:after="60"/>
              <w:rPr>
                <w:sz w:val="18"/>
                <w:szCs w:val="18"/>
              </w:rPr>
            </w:pPr>
            <w:r>
              <w:rPr>
                <w:sz w:val="18"/>
                <w:szCs w:val="18"/>
              </w:rPr>
              <w:t>HCFC-22</w:t>
            </w:r>
          </w:p>
        </w:tc>
        <w:tc>
          <w:tcPr>
            <w:tcW w:w="599" w:type="dxa"/>
            <w:shd w:val="clear" w:color="auto" w:fill="auto"/>
          </w:tcPr>
          <w:p w14:paraId="4FB68F87" w14:textId="77777777" w:rsidR="000A5743" w:rsidRPr="009029C8" w:rsidRDefault="000A5743" w:rsidP="005D5A5E">
            <w:pPr>
              <w:spacing w:after="60"/>
              <w:jc w:val="right"/>
              <w:rPr>
                <w:sz w:val="18"/>
                <w:szCs w:val="18"/>
              </w:rPr>
            </w:pPr>
          </w:p>
        </w:tc>
        <w:tc>
          <w:tcPr>
            <w:tcW w:w="777" w:type="dxa"/>
            <w:shd w:val="clear" w:color="auto" w:fill="auto"/>
          </w:tcPr>
          <w:p w14:paraId="29AD0590" w14:textId="77777777" w:rsidR="000A5743" w:rsidRPr="009029C8" w:rsidRDefault="000A5743" w:rsidP="005D5A5E">
            <w:pPr>
              <w:spacing w:after="60"/>
              <w:jc w:val="right"/>
              <w:rPr>
                <w:sz w:val="18"/>
                <w:szCs w:val="18"/>
              </w:rPr>
            </w:pPr>
          </w:p>
        </w:tc>
        <w:tc>
          <w:tcPr>
            <w:tcW w:w="950" w:type="dxa"/>
            <w:shd w:val="clear" w:color="auto" w:fill="auto"/>
          </w:tcPr>
          <w:p w14:paraId="6DBB1EC8" w14:textId="77777777" w:rsidR="000A5743" w:rsidRPr="009029C8" w:rsidRDefault="000A5743" w:rsidP="005D5A5E">
            <w:pPr>
              <w:spacing w:after="60"/>
              <w:jc w:val="right"/>
              <w:rPr>
                <w:sz w:val="18"/>
                <w:szCs w:val="18"/>
              </w:rPr>
            </w:pPr>
          </w:p>
        </w:tc>
        <w:tc>
          <w:tcPr>
            <w:tcW w:w="1051" w:type="dxa"/>
            <w:shd w:val="clear" w:color="auto" w:fill="auto"/>
          </w:tcPr>
          <w:p w14:paraId="3E98C4B6" w14:textId="77777777" w:rsidR="000A5743" w:rsidRPr="009029C8" w:rsidRDefault="000A5743" w:rsidP="005D5A5E">
            <w:pPr>
              <w:spacing w:after="60"/>
              <w:jc w:val="right"/>
              <w:rPr>
                <w:sz w:val="18"/>
                <w:szCs w:val="18"/>
              </w:rPr>
            </w:pPr>
          </w:p>
        </w:tc>
        <w:tc>
          <w:tcPr>
            <w:tcW w:w="883" w:type="dxa"/>
            <w:shd w:val="clear" w:color="auto" w:fill="auto"/>
          </w:tcPr>
          <w:p w14:paraId="05BF3CE2" w14:textId="11A7A1ED" w:rsidR="000A5743" w:rsidRPr="0026283A" w:rsidRDefault="006306B0" w:rsidP="005D5A5E">
            <w:pPr>
              <w:spacing w:after="60"/>
              <w:jc w:val="right"/>
              <w:rPr>
                <w:sz w:val="18"/>
                <w:szCs w:val="18"/>
              </w:rPr>
            </w:pPr>
            <w:r>
              <w:rPr>
                <w:sz w:val="18"/>
                <w:szCs w:val="18"/>
              </w:rPr>
              <w:t>3,54</w:t>
            </w:r>
          </w:p>
        </w:tc>
        <w:tc>
          <w:tcPr>
            <w:tcW w:w="767" w:type="dxa"/>
            <w:shd w:val="clear" w:color="auto" w:fill="auto"/>
          </w:tcPr>
          <w:p w14:paraId="148F5783" w14:textId="77777777" w:rsidR="000A5743" w:rsidRPr="009029C8" w:rsidRDefault="000A5743" w:rsidP="005D5A5E">
            <w:pPr>
              <w:spacing w:after="60"/>
              <w:jc w:val="right"/>
              <w:rPr>
                <w:sz w:val="18"/>
                <w:szCs w:val="18"/>
                <w:highlight w:val="yellow"/>
              </w:rPr>
            </w:pPr>
          </w:p>
        </w:tc>
        <w:tc>
          <w:tcPr>
            <w:tcW w:w="1276" w:type="dxa"/>
            <w:shd w:val="clear" w:color="auto" w:fill="auto"/>
          </w:tcPr>
          <w:p w14:paraId="5A1CF2E9" w14:textId="77777777" w:rsidR="000A5743" w:rsidRPr="009029C8" w:rsidRDefault="000A5743" w:rsidP="005D5A5E">
            <w:pPr>
              <w:spacing w:after="60"/>
              <w:jc w:val="right"/>
              <w:rPr>
                <w:sz w:val="18"/>
                <w:szCs w:val="18"/>
                <w:highlight w:val="yellow"/>
              </w:rPr>
            </w:pPr>
          </w:p>
        </w:tc>
        <w:tc>
          <w:tcPr>
            <w:tcW w:w="996" w:type="dxa"/>
            <w:shd w:val="clear" w:color="auto" w:fill="auto"/>
          </w:tcPr>
          <w:p w14:paraId="239FC8EF" w14:textId="77777777" w:rsidR="000A5743" w:rsidRPr="009029C8" w:rsidRDefault="000A5743" w:rsidP="005D5A5E">
            <w:pPr>
              <w:spacing w:after="60"/>
              <w:jc w:val="right"/>
              <w:rPr>
                <w:sz w:val="18"/>
                <w:szCs w:val="18"/>
                <w:highlight w:val="yellow"/>
              </w:rPr>
            </w:pPr>
          </w:p>
        </w:tc>
        <w:tc>
          <w:tcPr>
            <w:tcW w:w="1317" w:type="dxa"/>
            <w:shd w:val="clear" w:color="auto" w:fill="auto"/>
          </w:tcPr>
          <w:p w14:paraId="43EC4F11" w14:textId="5404EA3A" w:rsidR="000A5743" w:rsidRPr="0026283A" w:rsidRDefault="006306B0" w:rsidP="005D5A5E">
            <w:pPr>
              <w:spacing w:after="60"/>
              <w:jc w:val="right"/>
              <w:rPr>
                <w:sz w:val="18"/>
                <w:szCs w:val="18"/>
              </w:rPr>
            </w:pPr>
            <w:r>
              <w:rPr>
                <w:sz w:val="18"/>
                <w:szCs w:val="18"/>
              </w:rPr>
              <w:t>3,54</w:t>
            </w:r>
          </w:p>
        </w:tc>
      </w:tr>
      <w:tr w:rsidR="00B508E7" w:rsidRPr="0026283A" w14:paraId="53465B08" w14:textId="77777777" w:rsidTr="00054661">
        <w:trPr>
          <w:trHeight w:val="240"/>
        </w:trPr>
        <w:tc>
          <w:tcPr>
            <w:tcW w:w="1843" w:type="dxa"/>
            <w:shd w:val="clear" w:color="auto" w:fill="auto"/>
          </w:tcPr>
          <w:p w14:paraId="750B1B98" w14:textId="77777777" w:rsidR="000A5743" w:rsidRPr="009029C8" w:rsidRDefault="000A5743" w:rsidP="005D5A5E">
            <w:pPr>
              <w:spacing w:after="60"/>
              <w:rPr>
                <w:sz w:val="18"/>
                <w:szCs w:val="18"/>
              </w:rPr>
            </w:pPr>
            <w:r>
              <w:rPr>
                <w:sz w:val="18"/>
                <w:szCs w:val="18"/>
              </w:rPr>
              <w:t>HCFC-225cb</w:t>
            </w:r>
          </w:p>
        </w:tc>
        <w:tc>
          <w:tcPr>
            <w:tcW w:w="599" w:type="dxa"/>
            <w:shd w:val="clear" w:color="auto" w:fill="auto"/>
          </w:tcPr>
          <w:p w14:paraId="462E9F30" w14:textId="77777777" w:rsidR="000A5743" w:rsidRPr="009029C8" w:rsidRDefault="000A5743" w:rsidP="005D5A5E">
            <w:pPr>
              <w:spacing w:after="60"/>
              <w:jc w:val="right"/>
              <w:rPr>
                <w:sz w:val="18"/>
                <w:szCs w:val="18"/>
              </w:rPr>
            </w:pPr>
          </w:p>
        </w:tc>
        <w:tc>
          <w:tcPr>
            <w:tcW w:w="777" w:type="dxa"/>
            <w:shd w:val="clear" w:color="auto" w:fill="auto"/>
          </w:tcPr>
          <w:p w14:paraId="059DCFC7" w14:textId="77777777" w:rsidR="000A5743" w:rsidRPr="009029C8" w:rsidRDefault="000A5743" w:rsidP="005D5A5E">
            <w:pPr>
              <w:spacing w:after="60"/>
              <w:jc w:val="right"/>
              <w:rPr>
                <w:sz w:val="18"/>
                <w:szCs w:val="18"/>
              </w:rPr>
            </w:pPr>
          </w:p>
        </w:tc>
        <w:tc>
          <w:tcPr>
            <w:tcW w:w="950" w:type="dxa"/>
            <w:shd w:val="clear" w:color="auto" w:fill="auto"/>
          </w:tcPr>
          <w:p w14:paraId="1238C8E2" w14:textId="77777777" w:rsidR="000A5743" w:rsidRPr="009029C8" w:rsidRDefault="000A5743" w:rsidP="005D5A5E">
            <w:pPr>
              <w:spacing w:after="60"/>
              <w:jc w:val="right"/>
              <w:rPr>
                <w:sz w:val="18"/>
                <w:szCs w:val="18"/>
              </w:rPr>
            </w:pPr>
          </w:p>
        </w:tc>
        <w:tc>
          <w:tcPr>
            <w:tcW w:w="1051" w:type="dxa"/>
            <w:shd w:val="clear" w:color="auto" w:fill="auto"/>
          </w:tcPr>
          <w:p w14:paraId="277F336F" w14:textId="77777777" w:rsidR="000A5743" w:rsidRPr="009029C8" w:rsidRDefault="000A5743" w:rsidP="005D5A5E">
            <w:pPr>
              <w:spacing w:after="60"/>
              <w:jc w:val="right"/>
              <w:rPr>
                <w:sz w:val="18"/>
                <w:szCs w:val="18"/>
              </w:rPr>
            </w:pPr>
          </w:p>
        </w:tc>
        <w:tc>
          <w:tcPr>
            <w:tcW w:w="883" w:type="dxa"/>
            <w:shd w:val="clear" w:color="auto" w:fill="auto"/>
          </w:tcPr>
          <w:p w14:paraId="55E4FF0B" w14:textId="77777777" w:rsidR="000A5743" w:rsidRPr="009029C8" w:rsidRDefault="000A5743" w:rsidP="005D5A5E">
            <w:pPr>
              <w:spacing w:after="60"/>
              <w:jc w:val="right"/>
              <w:rPr>
                <w:sz w:val="18"/>
                <w:szCs w:val="18"/>
              </w:rPr>
            </w:pPr>
          </w:p>
        </w:tc>
        <w:tc>
          <w:tcPr>
            <w:tcW w:w="767" w:type="dxa"/>
            <w:shd w:val="clear" w:color="auto" w:fill="auto"/>
          </w:tcPr>
          <w:p w14:paraId="4D191B0B" w14:textId="77777777" w:rsidR="000A5743" w:rsidRPr="009029C8" w:rsidRDefault="000A5743" w:rsidP="005D5A5E">
            <w:pPr>
              <w:spacing w:after="60"/>
              <w:jc w:val="right"/>
              <w:rPr>
                <w:sz w:val="18"/>
                <w:szCs w:val="18"/>
              </w:rPr>
            </w:pPr>
          </w:p>
        </w:tc>
        <w:tc>
          <w:tcPr>
            <w:tcW w:w="1276" w:type="dxa"/>
            <w:shd w:val="clear" w:color="auto" w:fill="auto"/>
          </w:tcPr>
          <w:p w14:paraId="572F4ADD" w14:textId="77777777" w:rsidR="000A5743" w:rsidRPr="009029C8" w:rsidRDefault="000A5743" w:rsidP="005D5A5E">
            <w:pPr>
              <w:spacing w:after="60"/>
              <w:jc w:val="right"/>
              <w:rPr>
                <w:sz w:val="18"/>
                <w:szCs w:val="18"/>
              </w:rPr>
            </w:pPr>
          </w:p>
        </w:tc>
        <w:tc>
          <w:tcPr>
            <w:tcW w:w="996" w:type="dxa"/>
            <w:shd w:val="clear" w:color="auto" w:fill="auto"/>
          </w:tcPr>
          <w:p w14:paraId="4C57E045" w14:textId="77777777" w:rsidR="000A5743" w:rsidRPr="009029C8" w:rsidRDefault="000A5743" w:rsidP="005D5A5E">
            <w:pPr>
              <w:spacing w:after="60"/>
              <w:jc w:val="right"/>
              <w:rPr>
                <w:sz w:val="18"/>
                <w:szCs w:val="18"/>
              </w:rPr>
            </w:pPr>
          </w:p>
        </w:tc>
        <w:tc>
          <w:tcPr>
            <w:tcW w:w="1317" w:type="dxa"/>
            <w:shd w:val="clear" w:color="auto" w:fill="auto"/>
          </w:tcPr>
          <w:p w14:paraId="624384B1" w14:textId="77777777" w:rsidR="000A5743" w:rsidRPr="0026283A" w:rsidRDefault="000A5743" w:rsidP="005D5A5E">
            <w:pPr>
              <w:spacing w:after="60"/>
              <w:jc w:val="right"/>
              <w:rPr>
                <w:sz w:val="18"/>
                <w:szCs w:val="18"/>
              </w:rPr>
            </w:pPr>
          </w:p>
        </w:tc>
      </w:tr>
    </w:tbl>
    <w:p w14:paraId="4D1F2EDA" w14:textId="77777777" w:rsidR="000A5743" w:rsidRPr="00FB3E75" w:rsidRDefault="000A5743" w:rsidP="00054661">
      <w:pPr>
        <w:spacing w:after="60" w:line="60" w:lineRule="exact"/>
        <w:jc w:val="center"/>
        <w:rPr>
          <w:sz w:val="16"/>
          <w:szCs w:val="16"/>
        </w:rPr>
      </w:pPr>
    </w:p>
    <w:tbl>
      <w:tblPr>
        <w:tblStyle w:val="TableGrid"/>
        <w:tblW w:w="10459" w:type="dxa"/>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348"/>
        <w:gridCol w:w="578"/>
        <w:gridCol w:w="4955"/>
        <w:gridCol w:w="578"/>
      </w:tblGrid>
      <w:tr w:rsidR="000A5743" w:rsidRPr="005674CD" w14:paraId="2161D2F6" w14:textId="77777777" w:rsidTr="00054661">
        <w:trPr>
          <w:trHeight w:val="240"/>
        </w:trPr>
        <w:tc>
          <w:tcPr>
            <w:tcW w:w="10459" w:type="dxa"/>
            <w:gridSpan w:val="4"/>
            <w:shd w:val="clear" w:color="auto" w:fill="auto"/>
          </w:tcPr>
          <w:p w14:paraId="40553F15" w14:textId="77777777" w:rsidR="000A5743" w:rsidRPr="009029C8" w:rsidRDefault="000A5743" w:rsidP="005D5A5E">
            <w:pPr>
              <w:spacing w:after="60"/>
              <w:rPr>
                <w:b/>
                <w:sz w:val="18"/>
                <w:szCs w:val="18"/>
              </w:rPr>
            </w:pPr>
            <w:r>
              <w:rPr>
                <w:b/>
                <w:sz w:val="18"/>
                <w:szCs w:val="18"/>
              </w:rPr>
              <w:t>(IV) DONNÉES SUR LA CONSOMMATION (tonnes PAO)</w:t>
            </w:r>
          </w:p>
        </w:tc>
      </w:tr>
      <w:tr w:rsidR="000A5743" w:rsidRPr="005674CD" w14:paraId="022D8457" w14:textId="77777777" w:rsidTr="00054661">
        <w:trPr>
          <w:trHeight w:val="240"/>
        </w:trPr>
        <w:tc>
          <w:tcPr>
            <w:tcW w:w="3318" w:type="dxa"/>
            <w:shd w:val="clear" w:color="auto" w:fill="auto"/>
          </w:tcPr>
          <w:p w14:paraId="40E6E209" w14:textId="16A7DD0B" w:rsidR="000A5743" w:rsidRPr="009029C8" w:rsidRDefault="00026332" w:rsidP="005D5A5E">
            <w:pPr>
              <w:spacing w:after="60"/>
              <w:jc w:val="center"/>
              <w:rPr>
                <w:sz w:val="18"/>
                <w:szCs w:val="18"/>
              </w:rPr>
            </w:pPr>
            <w:r>
              <w:rPr>
                <w:sz w:val="18"/>
                <w:szCs w:val="18"/>
              </w:rPr>
              <w:t>R</w:t>
            </w:r>
            <w:r w:rsidR="000A5743">
              <w:rPr>
                <w:sz w:val="18"/>
                <w:szCs w:val="18"/>
              </w:rPr>
              <w:t>éférence 2009-2010 :</w:t>
            </w:r>
          </w:p>
        </w:tc>
        <w:tc>
          <w:tcPr>
            <w:tcW w:w="0" w:type="auto"/>
            <w:shd w:val="clear" w:color="auto" w:fill="auto"/>
          </w:tcPr>
          <w:p w14:paraId="747A55B9" w14:textId="77777777" w:rsidR="000A5743" w:rsidRPr="009029C8" w:rsidRDefault="000A5743" w:rsidP="005D5A5E">
            <w:pPr>
              <w:spacing w:after="60"/>
              <w:jc w:val="right"/>
              <w:rPr>
                <w:sz w:val="18"/>
                <w:szCs w:val="18"/>
              </w:rPr>
            </w:pPr>
            <w:r>
              <w:rPr>
                <w:sz w:val="18"/>
                <w:szCs w:val="18"/>
              </w:rPr>
              <w:t>8,3</w:t>
            </w:r>
          </w:p>
        </w:tc>
        <w:tc>
          <w:tcPr>
            <w:tcW w:w="0" w:type="auto"/>
            <w:shd w:val="clear" w:color="auto" w:fill="auto"/>
          </w:tcPr>
          <w:p w14:paraId="14378DF9" w14:textId="77777777" w:rsidR="000A5743" w:rsidRPr="009029C8" w:rsidRDefault="000A5743" w:rsidP="005D5A5E">
            <w:pPr>
              <w:spacing w:after="60"/>
              <w:jc w:val="center"/>
              <w:rPr>
                <w:sz w:val="18"/>
                <w:szCs w:val="18"/>
              </w:rPr>
            </w:pPr>
            <w:r>
              <w:rPr>
                <w:sz w:val="18"/>
                <w:szCs w:val="18"/>
              </w:rPr>
              <w:t>Point de départ des réductions globales durables :</w:t>
            </w:r>
          </w:p>
        </w:tc>
        <w:tc>
          <w:tcPr>
            <w:tcW w:w="0" w:type="auto"/>
            <w:shd w:val="clear" w:color="auto" w:fill="auto"/>
          </w:tcPr>
          <w:p w14:paraId="324E555C" w14:textId="570D43A7" w:rsidR="000A5743" w:rsidRPr="009029C8" w:rsidRDefault="000A5743" w:rsidP="005D5A5E">
            <w:pPr>
              <w:spacing w:after="60"/>
              <w:jc w:val="right"/>
              <w:rPr>
                <w:sz w:val="18"/>
                <w:szCs w:val="18"/>
              </w:rPr>
            </w:pPr>
            <w:r>
              <w:rPr>
                <w:sz w:val="18"/>
                <w:szCs w:val="18"/>
              </w:rPr>
              <w:t>9,7</w:t>
            </w:r>
          </w:p>
        </w:tc>
      </w:tr>
      <w:tr w:rsidR="000A5743" w:rsidRPr="005674CD" w14:paraId="117A4660" w14:textId="77777777" w:rsidTr="00054661">
        <w:trPr>
          <w:trHeight w:val="240"/>
        </w:trPr>
        <w:tc>
          <w:tcPr>
            <w:tcW w:w="10459" w:type="dxa"/>
            <w:gridSpan w:val="4"/>
            <w:shd w:val="clear" w:color="auto" w:fill="auto"/>
          </w:tcPr>
          <w:p w14:paraId="273AAFE2" w14:textId="77777777" w:rsidR="000A5743" w:rsidRPr="009029C8" w:rsidRDefault="000A5743" w:rsidP="005D5A5E">
            <w:pPr>
              <w:spacing w:after="60"/>
              <w:jc w:val="center"/>
              <w:rPr>
                <w:b/>
                <w:sz w:val="18"/>
                <w:szCs w:val="18"/>
              </w:rPr>
            </w:pPr>
            <w:r>
              <w:rPr>
                <w:b/>
                <w:sz w:val="18"/>
                <w:szCs w:val="18"/>
              </w:rPr>
              <w:t>CONSOMMATION ADMISSIBLE AU FINANCEMENT (tonnes PAO)</w:t>
            </w:r>
          </w:p>
        </w:tc>
      </w:tr>
      <w:tr w:rsidR="000A5743" w:rsidRPr="00FB3E75" w14:paraId="2DEEA71C" w14:textId="77777777" w:rsidTr="00054661">
        <w:trPr>
          <w:trHeight w:val="240"/>
        </w:trPr>
        <w:tc>
          <w:tcPr>
            <w:tcW w:w="3318" w:type="dxa"/>
            <w:shd w:val="clear" w:color="auto" w:fill="auto"/>
          </w:tcPr>
          <w:p w14:paraId="1AEA901E" w14:textId="77777777" w:rsidR="000A5743" w:rsidRPr="009029C8" w:rsidRDefault="000A5743" w:rsidP="005D5A5E">
            <w:pPr>
              <w:spacing w:after="60"/>
              <w:jc w:val="center"/>
              <w:rPr>
                <w:sz w:val="18"/>
                <w:szCs w:val="18"/>
              </w:rPr>
            </w:pPr>
            <w:r>
              <w:rPr>
                <w:sz w:val="18"/>
                <w:szCs w:val="18"/>
              </w:rPr>
              <w:t>Déjà approuvée :</w:t>
            </w:r>
          </w:p>
        </w:tc>
        <w:tc>
          <w:tcPr>
            <w:tcW w:w="0" w:type="auto"/>
            <w:shd w:val="clear" w:color="auto" w:fill="auto"/>
          </w:tcPr>
          <w:p w14:paraId="33A78E10" w14:textId="77777777" w:rsidR="000A5743" w:rsidRPr="009029C8" w:rsidRDefault="000A5743" w:rsidP="005D5A5E">
            <w:pPr>
              <w:spacing w:after="60"/>
              <w:jc w:val="right"/>
              <w:rPr>
                <w:sz w:val="18"/>
                <w:szCs w:val="18"/>
              </w:rPr>
            </w:pPr>
            <w:r>
              <w:rPr>
                <w:sz w:val="18"/>
                <w:szCs w:val="18"/>
              </w:rPr>
              <w:t>4,3</w:t>
            </w:r>
          </w:p>
        </w:tc>
        <w:tc>
          <w:tcPr>
            <w:tcW w:w="0" w:type="auto"/>
            <w:shd w:val="clear" w:color="auto" w:fill="auto"/>
          </w:tcPr>
          <w:p w14:paraId="3E01DA5F" w14:textId="77777777" w:rsidR="000A5743" w:rsidRPr="009029C8" w:rsidRDefault="000A5743" w:rsidP="005D5A5E">
            <w:pPr>
              <w:spacing w:after="60"/>
              <w:jc w:val="center"/>
              <w:rPr>
                <w:sz w:val="18"/>
                <w:szCs w:val="18"/>
              </w:rPr>
            </w:pPr>
            <w:r>
              <w:rPr>
                <w:sz w:val="18"/>
                <w:szCs w:val="18"/>
              </w:rPr>
              <w:t>Reste :</w:t>
            </w:r>
          </w:p>
        </w:tc>
        <w:tc>
          <w:tcPr>
            <w:tcW w:w="0" w:type="auto"/>
            <w:shd w:val="clear" w:color="auto" w:fill="auto"/>
          </w:tcPr>
          <w:p w14:paraId="68235131" w14:textId="77777777" w:rsidR="000A5743" w:rsidRPr="009029C8" w:rsidRDefault="000A5743" w:rsidP="005D5A5E">
            <w:pPr>
              <w:spacing w:after="60"/>
              <w:jc w:val="right"/>
              <w:rPr>
                <w:sz w:val="18"/>
                <w:szCs w:val="18"/>
              </w:rPr>
            </w:pPr>
            <w:r>
              <w:rPr>
                <w:sz w:val="18"/>
                <w:szCs w:val="18"/>
              </w:rPr>
              <w:t>5,4</w:t>
            </w:r>
          </w:p>
        </w:tc>
      </w:tr>
    </w:tbl>
    <w:p w14:paraId="378D9CA3" w14:textId="77777777" w:rsidR="000A5743" w:rsidRPr="00FB3E75" w:rsidRDefault="000A5743" w:rsidP="00054661">
      <w:pPr>
        <w:spacing w:after="60" w:line="60" w:lineRule="exact"/>
        <w:jc w:val="center"/>
        <w:rPr>
          <w:sz w:val="16"/>
          <w:szCs w:val="16"/>
        </w:rPr>
      </w:pPr>
    </w:p>
    <w:tbl>
      <w:tblPr>
        <w:tblStyle w:val="TableGrid"/>
        <w:tblW w:w="5589" w:type="pct"/>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90"/>
        <w:gridCol w:w="5388"/>
        <w:gridCol w:w="1291"/>
        <w:gridCol w:w="1935"/>
      </w:tblGrid>
      <w:tr w:rsidR="000A5743" w:rsidRPr="00FB3E75" w14:paraId="0C60CB44" w14:textId="77777777" w:rsidTr="00054661">
        <w:trPr>
          <w:trHeight w:val="262"/>
        </w:trPr>
        <w:tc>
          <w:tcPr>
            <w:tcW w:w="3493" w:type="pct"/>
            <w:gridSpan w:val="2"/>
            <w:shd w:val="clear" w:color="auto" w:fill="auto"/>
          </w:tcPr>
          <w:p w14:paraId="4EBEED49" w14:textId="77777777" w:rsidR="000A5743" w:rsidRPr="009029C8" w:rsidRDefault="000A5743" w:rsidP="005D5A5E">
            <w:pPr>
              <w:spacing w:after="60"/>
              <w:rPr>
                <w:b/>
                <w:sz w:val="18"/>
                <w:szCs w:val="18"/>
              </w:rPr>
            </w:pPr>
            <w:r>
              <w:rPr>
                <w:b/>
                <w:sz w:val="18"/>
                <w:szCs w:val="18"/>
              </w:rPr>
              <w:t>PLAN D’ACTIVITÉS</w:t>
            </w:r>
          </w:p>
        </w:tc>
        <w:tc>
          <w:tcPr>
            <w:tcW w:w="603" w:type="pct"/>
            <w:shd w:val="clear" w:color="auto" w:fill="auto"/>
          </w:tcPr>
          <w:p w14:paraId="0DA1DBB8" w14:textId="77777777" w:rsidR="000A5743" w:rsidRPr="009029C8" w:rsidRDefault="000A5743" w:rsidP="005D5A5E">
            <w:pPr>
              <w:spacing w:after="60"/>
              <w:jc w:val="center"/>
              <w:rPr>
                <w:b/>
                <w:sz w:val="18"/>
                <w:szCs w:val="18"/>
              </w:rPr>
            </w:pPr>
            <w:r>
              <w:rPr>
                <w:b/>
                <w:sz w:val="18"/>
                <w:szCs w:val="18"/>
              </w:rPr>
              <w:t>2020</w:t>
            </w:r>
          </w:p>
        </w:tc>
        <w:tc>
          <w:tcPr>
            <w:tcW w:w="904" w:type="pct"/>
            <w:shd w:val="clear" w:color="auto" w:fill="auto"/>
          </w:tcPr>
          <w:p w14:paraId="1576DF4A" w14:textId="77777777" w:rsidR="000A5743" w:rsidRPr="009029C8" w:rsidRDefault="000A5743" w:rsidP="005D5A5E">
            <w:pPr>
              <w:spacing w:after="60"/>
              <w:jc w:val="center"/>
              <w:rPr>
                <w:b/>
                <w:sz w:val="18"/>
                <w:szCs w:val="18"/>
              </w:rPr>
            </w:pPr>
            <w:r>
              <w:rPr>
                <w:b/>
                <w:sz w:val="18"/>
                <w:szCs w:val="18"/>
              </w:rPr>
              <w:t>Total</w:t>
            </w:r>
          </w:p>
        </w:tc>
      </w:tr>
      <w:tr w:rsidR="000A5743" w:rsidRPr="00FB3E75" w14:paraId="5D6B9BA2" w14:textId="77777777" w:rsidTr="00054661">
        <w:trPr>
          <w:trHeight w:val="262"/>
        </w:trPr>
        <w:tc>
          <w:tcPr>
            <w:tcW w:w="976" w:type="pct"/>
            <w:vMerge w:val="restart"/>
            <w:shd w:val="clear" w:color="auto" w:fill="auto"/>
          </w:tcPr>
          <w:p w14:paraId="786297B6" w14:textId="77777777" w:rsidR="000A5743" w:rsidRPr="009029C8" w:rsidRDefault="000A5743" w:rsidP="005D5A5E">
            <w:pPr>
              <w:spacing w:after="60"/>
              <w:jc w:val="center"/>
              <w:rPr>
                <w:sz w:val="18"/>
                <w:szCs w:val="18"/>
              </w:rPr>
            </w:pPr>
            <w:r>
              <w:rPr>
                <w:sz w:val="18"/>
                <w:szCs w:val="18"/>
              </w:rPr>
              <w:t>PNUE</w:t>
            </w:r>
          </w:p>
        </w:tc>
        <w:tc>
          <w:tcPr>
            <w:tcW w:w="2517" w:type="pct"/>
            <w:shd w:val="clear" w:color="auto" w:fill="auto"/>
          </w:tcPr>
          <w:p w14:paraId="7963212B" w14:textId="77777777" w:rsidR="000A5743" w:rsidRPr="009029C8" w:rsidRDefault="000A5743" w:rsidP="005D5A5E">
            <w:pPr>
              <w:spacing w:after="60"/>
              <w:rPr>
                <w:sz w:val="18"/>
                <w:szCs w:val="18"/>
              </w:rPr>
            </w:pPr>
            <w:r>
              <w:rPr>
                <w:sz w:val="18"/>
                <w:szCs w:val="18"/>
              </w:rPr>
              <w:t>Élimination des SAO (tonnes PAO)</w:t>
            </w:r>
          </w:p>
        </w:tc>
        <w:tc>
          <w:tcPr>
            <w:tcW w:w="603" w:type="pct"/>
            <w:shd w:val="clear" w:color="auto" w:fill="auto"/>
          </w:tcPr>
          <w:p w14:paraId="6AFC58CB" w14:textId="77777777" w:rsidR="000A5743" w:rsidRPr="009029C8" w:rsidRDefault="000A5743" w:rsidP="005D5A5E">
            <w:pPr>
              <w:spacing w:after="60"/>
              <w:jc w:val="right"/>
              <w:rPr>
                <w:sz w:val="18"/>
                <w:szCs w:val="18"/>
              </w:rPr>
            </w:pPr>
            <w:r>
              <w:rPr>
                <w:sz w:val="18"/>
                <w:szCs w:val="18"/>
              </w:rPr>
              <w:t>0,0</w:t>
            </w:r>
          </w:p>
        </w:tc>
        <w:tc>
          <w:tcPr>
            <w:tcW w:w="904" w:type="pct"/>
            <w:shd w:val="clear" w:color="auto" w:fill="auto"/>
          </w:tcPr>
          <w:p w14:paraId="6DE74C6B" w14:textId="77777777" w:rsidR="000A5743" w:rsidRPr="009029C8" w:rsidRDefault="000A5743" w:rsidP="005D5A5E">
            <w:pPr>
              <w:spacing w:after="60"/>
              <w:jc w:val="right"/>
              <w:rPr>
                <w:sz w:val="18"/>
                <w:szCs w:val="18"/>
              </w:rPr>
            </w:pPr>
            <w:r>
              <w:rPr>
                <w:sz w:val="18"/>
                <w:szCs w:val="18"/>
              </w:rPr>
              <w:t>0,0</w:t>
            </w:r>
          </w:p>
        </w:tc>
      </w:tr>
      <w:tr w:rsidR="000A5743" w:rsidRPr="00FB3E75" w14:paraId="5173A4C0" w14:textId="77777777" w:rsidTr="00054661">
        <w:trPr>
          <w:trHeight w:val="262"/>
        </w:trPr>
        <w:tc>
          <w:tcPr>
            <w:tcW w:w="976" w:type="pct"/>
            <w:vMerge/>
            <w:shd w:val="clear" w:color="auto" w:fill="auto"/>
          </w:tcPr>
          <w:p w14:paraId="043E6BF3" w14:textId="77777777" w:rsidR="000A5743" w:rsidRPr="009029C8" w:rsidRDefault="000A5743" w:rsidP="005D5A5E">
            <w:pPr>
              <w:spacing w:after="60"/>
              <w:jc w:val="center"/>
              <w:rPr>
                <w:sz w:val="18"/>
                <w:szCs w:val="18"/>
              </w:rPr>
            </w:pPr>
          </w:p>
        </w:tc>
        <w:tc>
          <w:tcPr>
            <w:tcW w:w="2517" w:type="pct"/>
            <w:shd w:val="clear" w:color="auto" w:fill="auto"/>
          </w:tcPr>
          <w:p w14:paraId="69BFF170" w14:textId="0D7BD174" w:rsidR="000A5743" w:rsidRPr="009029C8" w:rsidRDefault="000A5743" w:rsidP="005D5A5E">
            <w:pPr>
              <w:spacing w:after="60"/>
              <w:rPr>
                <w:sz w:val="18"/>
                <w:szCs w:val="18"/>
              </w:rPr>
            </w:pPr>
            <w:r>
              <w:rPr>
                <w:sz w:val="18"/>
                <w:szCs w:val="18"/>
              </w:rPr>
              <w:t>Financement ($US)</w:t>
            </w:r>
          </w:p>
        </w:tc>
        <w:tc>
          <w:tcPr>
            <w:tcW w:w="603" w:type="pct"/>
            <w:shd w:val="clear" w:color="auto" w:fill="auto"/>
          </w:tcPr>
          <w:p w14:paraId="039E3D51" w14:textId="77777777" w:rsidR="000A5743" w:rsidRPr="009029C8" w:rsidRDefault="000A5743" w:rsidP="005D5A5E">
            <w:pPr>
              <w:spacing w:after="60"/>
              <w:jc w:val="right"/>
              <w:rPr>
                <w:sz w:val="18"/>
                <w:szCs w:val="18"/>
              </w:rPr>
            </w:pPr>
            <w:r>
              <w:rPr>
                <w:sz w:val="18"/>
                <w:szCs w:val="18"/>
              </w:rPr>
              <w:t>0</w:t>
            </w:r>
          </w:p>
        </w:tc>
        <w:tc>
          <w:tcPr>
            <w:tcW w:w="904" w:type="pct"/>
            <w:shd w:val="clear" w:color="auto" w:fill="auto"/>
          </w:tcPr>
          <w:p w14:paraId="68A307EB" w14:textId="77777777" w:rsidR="000A5743" w:rsidRPr="009029C8" w:rsidRDefault="000A5743" w:rsidP="005D5A5E">
            <w:pPr>
              <w:spacing w:after="60"/>
              <w:jc w:val="right"/>
              <w:rPr>
                <w:sz w:val="18"/>
                <w:szCs w:val="18"/>
              </w:rPr>
            </w:pPr>
            <w:r>
              <w:rPr>
                <w:sz w:val="18"/>
                <w:szCs w:val="18"/>
              </w:rPr>
              <w:t>0</w:t>
            </w:r>
          </w:p>
        </w:tc>
      </w:tr>
      <w:tr w:rsidR="000A5743" w:rsidRPr="00FB3E75" w14:paraId="4C590668" w14:textId="77777777" w:rsidTr="00054661">
        <w:trPr>
          <w:trHeight w:val="262"/>
        </w:trPr>
        <w:tc>
          <w:tcPr>
            <w:tcW w:w="976" w:type="pct"/>
            <w:vMerge w:val="restart"/>
            <w:shd w:val="clear" w:color="auto" w:fill="auto"/>
          </w:tcPr>
          <w:p w14:paraId="5C84468B" w14:textId="77777777" w:rsidR="000A5743" w:rsidRPr="009029C8" w:rsidRDefault="000A5743" w:rsidP="005D5A5E">
            <w:pPr>
              <w:spacing w:after="60"/>
              <w:jc w:val="center"/>
              <w:rPr>
                <w:sz w:val="18"/>
                <w:szCs w:val="18"/>
              </w:rPr>
            </w:pPr>
            <w:r>
              <w:rPr>
                <w:sz w:val="18"/>
                <w:szCs w:val="18"/>
              </w:rPr>
              <w:t>ONUDI</w:t>
            </w:r>
          </w:p>
        </w:tc>
        <w:tc>
          <w:tcPr>
            <w:tcW w:w="2517" w:type="pct"/>
            <w:shd w:val="clear" w:color="auto" w:fill="auto"/>
          </w:tcPr>
          <w:p w14:paraId="599338CE" w14:textId="77777777" w:rsidR="000A5743" w:rsidRPr="009029C8" w:rsidRDefault="000A5743" w:rsidP="005D5A5E">
            <w:pPr>
              <w:spacing w:after="60"/>
              <w:rPr>
                <w:sz w:val="18"/>
                <w:szCs w:val="18"/>
              </w:rPr>
            </w:pPr>
            <w:r>
              <w:rPr>
                <w:sz w:val="18"/>
                <w:szCs w:val="18"/>
              </w:rPr>
              <w:t>Élimination des SAO (tonnes PAO)</w:t>
            </w:r>
          </w:p>
        </w:tc>
        <w:tc>
          <w:tcPr>
            <w:tcW w:w="603" w:type="pct"/>
            <w:shd w:val="clear" w:color="auto" w:fill="auto"/>
          </w:tcPr>
          <w:p w14:paraId="7FF72FC4" w14:textId="77777777" w:rsidR="000A5743" w:rsidRPr="009029C8" w:rsidRDefault="000A5743" w:rsidP="005D5A5E">
            <w:pPr>
              <w:spacing w:after="60"/>
              <w:jc w:val="right"/>
              <w:rPr>
                <w:sz w:val="18"/>
                <w:szCs w:val="18"/>
              </w:rPr>
            </w:pPr>
            <w:r>
              <w:rPr>
                <w:sz w:val="18"/>
                <w:szCs w:val="18"/>
              </w:rPr>
              <w:t>0,3</w:t>
            </w:r>
          </w:p>
        </w:tc>
        <w:tc>
          <w:tcPr>
            <w:tcW w:w="904" w:type="pct"/>
            <w:shd w:val="clear" w:color="auto" w:fill="auto"/>
          </w:tcPr>
          <w:p w14:paraId="48F078D9" w14:textId="77777777" w:rsidR="000A5743" w:rsidRPr="009029C8" w:rsidRDefault="000A5743" w:rsidP="005D5A5E">
            <w:pPr>
              <w:spacing w:after="60"/>
              <w:jc w:val="right"/>
              <w:rPr>
                <w:sz w:val="18"/>
                <w:szCs w:val="18"/>
              </w:rPr>
            </w:pPr>
            <w:r>
              <w:rPr>
                <w:sz w:val="18"/>
                <w:szCs w:val="18"/>
              </w:rPr>
              <w:t>0,3</w:t>
            </w:r>
          </w:p>
        </w:tc>
      </w:tr>
      <w:tr w:rsidR="000A5743" w:rsidRPr="00FB3E75" w14:paraId="19A98498" w14:textId="77777777" w:rsidTr="00054661">
        <w:trPr>
          <w:trHeight w:val="262"/>
        </w:trPr>
        <w:tc>
          <w:tcPr>
            <w:tcW w:w="976" w:type="pct"/>
            <w:vMerge/>
            <w:shd w:val="clear" w:color="auto" w:fill="auto"/>
          </w:tcPr>
          <w:p w14:paraId="0E579B00" w14:textId="77777777" w:rsidR="000A5743" w:rsidRPr="009029C8" w:rsidRDefault="000A5743" w:rsidP="005D5A5E">
            <w:pPr>
              <w:spacing w:after="60"/>
              <w:jc w:val="center"/>
              <w:rPr>
                <w:sz w:val="18"/>
                <w:szCs w:val="18"/>
              </w:rPr>
            </w:pPr>
          </w:p>
        </w:tc>
        <w:tc>
          <w:tcPr>
            <w:tcW w:w="2517" w:type="pct"/>
            <w:shd w:val="clear" w:color="auto" w:fill="auto"/>
          </w:tcPr>
          <w:p w14:paraId="51E212F6" w14:textId="59BA2452" w:rsidR="000A5743" w:rsidRPr="009029C8" w:rsidRDefault="000A5743" w:rsidP="005D5A5E">
            <w:pPr>
              <w:spacing w:after="60"/>
              <w:rPr>
                <w:sz w:val="18"/>
                <w:szCs w:val="18"/>
              </w:rPr>
            </w:pPr>
            <w:r>
              <w:rPr>
                <w:sz w:val="18"/>
                <w:szCs w:val="18"/>
              </w:rPr>
              <w:t>Financement ($US)</w:t>
            </w:r>
          </w:p>
        </w:tc>
        <w:tc>
          <w:tcPr>
            <w:tcW w:w="603" w:type="pct"/>
            <w:shd w:val="clear" w:color="auto" w:fill="auto"/>
          </w:tcPr>
          <w:p w14:paraId="68FE378A" w14:textId="77777777" w:rsidR="000A5743" w:rsidRPr="009029C8" w:rsidRDefault="000A5743" w:rsidP="005D5A5E">
            <w:pPr>
              <w:spacing w:after="60"/>
              <w:jc w:val="right"/>
              <w:rPr>
                <w:sz w:val="18"/>
                <w:szCs w:val="18"/>
              </w:rPr>
            </w:pPr>
            <w:r>
              <w:rPr>
                <w:sz w:val="18"/>
                <w:szCs w:val="18"/>
              </w:rPr>
              <w:t>35 475</w:t>
            </w:r>
          </w:p>
        </w:tc>
        <w:tc>
          <w:tcPr>
            <w:tcW w:w="904" w:type="pct"/>
            <w:shd w:val="clear" w:color="auto" w:fill="auto"/>
          </w:tcPr>
          <w:p w14:paraId="7BA5909B" w14:textId="77777777" w:rsidR="000A5743" w:rsidRPr="009029C8" w:rsidRDefault="000A5743" w:rsidP="005D5A5E">
            <w:pPr>
              <w:spacing w:after="60"/>
              <w:jc w:val="right"/>
              <w:rPr>
                <w:sz w:val="18"/>
                <w:szCs w:val="18"/>
              </w:rPr>
            </w:pPr>
            <w:r>
              <w:rPr>
                <w:sz w:val="18"/>
                <w:szCs w:val="18"/>
              </w:rPr>
              <w:t>35 475</w:t>
            </w:r>
          </w:p>
        </w:tc>
      </w:tr>
    </w:tbl>
    <w:p w14:paraId="17507F7B" w14:textId="77777777" w:rsidR="000A5743" w:rsidRPr="00FB3E75" w:rsidRDefault="000A5743" w:rsidP="00054661">
      <w:pPr>
        <w:spacing w:after="60" w:line="60" w:lineRule="exact"/>
        <w:jc w:val="center"/>
        <w:rPr>
          <w:sz w:val="16"/>
          <w:szCs w:val="16"/>
        </w:rPr>
      </w:pPr>
    </w:p>
    <w:tbl>
      <w:tblPr>
        <w:tblStyle w:val="TableGrid"/>
        <w:tblW w:w="10476" w:type="dxa"/>
        <w:tblInd w:w="-459"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54"/>
        <w:gridCol w:w="810"/>
        <w:gridCol w:w="1350"/>
        <w:gridCol w:w="720"/>
        <w:gridCol w:w="630"/>
        <w:gridCol w:w="540"/>
        <w:gridCol w:w="540"/>
        <w:gridCol w:w="720"/>
        <w:gridCol w:w="630"/>
        <w:gridCol w:w="540"/>
        <w:gridCol w:w="630"/>
        <w:gridCol w:w="540"/>
        <w:gridCol w:w="630"/>
        <w:gridCol w:w="842"/>
      </w:tblGrid>
      <w:tr w:rsidR="0036736D" w:rsidRPr="00FB3E75" w14:paraId="6FB14EEF" w14:textId="77777777" w:rsidTr="00054661">
        <w:trPr>
          <w:trHeight w:val="291"/>
        </w:trPr>
        <w:tc>
          <w:tcPr>
            <w:tcW w:w="3514" w:type="dxa"/>
            <w:gridSpan w:val="3"/>
            <w:shd w:val="clear" w:color="auto" w:fill="auto"/>
          </w:tcPr>
          <w:p w14:paraId="0637575F" w14:textId="77777777" w:rsidR="000A5743" w:rsidRPr="009029C8" w:rsidRDefault="000A5743" w:rsidP="005D5A5E">
            <w:pPr>
              <w:spacing w:after="60"/>
              <w:rPr>
                <w:b/>
                <w:sz w:val="18"/>
                <w:szCs w:val="18"/>
              </w:rPr>
            </w:pPr>
            <w:r>
              <w:rPr>
                <w:b/>
                <w:sz w:val="18"/>
                <w:szCs w:val="18"/>
              </w:rPr>
              <w:t>(VI) DONNÉES DU PROJET</w:t>
            </w:r>
          </w:p>
        </w:tc>
        <w:tc>
          <w:tcPr>
            <w:tcW w:w="720" w:type="dxa"/>
            <w:shd w:val="clear" w:color="auto" w:fill="auto"/>
            <w:tcMar>
              <w:left w:w="14" w:type="dxa"/>
              <w:right w:w="14" w:type="dxa"/>
            </w:tcMar>
          </w:tcPr>
          <w:p w14:paraId="141F8825" w14:textId="77777777" w:rsidR="000A5743" w:rsidRPr="009029C8" w:rsidRDefault="000A5743" w:rsidP="005D5A5E">
            <w:pPr>
              <w:spacing w:after="60"/>
              <w:jc w:val="center"/>
              <w:rPr>
                <w:b/>
                <w:sz w:val="18"/>
                <w:szCs w:val="18"/>
              </w:rPr>
            </w:pPr>
            <w:r>
              <w:rPr>
                <w:b/>
                <w:sz w:val="18"/>
                <w:szCs w:val="18"/>
              </w:rPr>
              <w:t>2011</w:t>
            </w:r>
          </w:p>
        </w:tc>
        <w:tc>
          <w:tcPr>
            <w:tcW w:w="630" w:type="dxa"/>
            <w:shd w:val="clear" w:color="auto" w:fill="auto"/>
            <w:tcMar>
              <w:left w:w="14" w:type="dxa"/>
              <w:right w:w="14" w:type="dxa"/>
            </w:tcMar>
          </w:tcPr>
          <w:p w14:paraId="18B6A280" w14:textId="77777777" w:rsidR="000A5743" w:rsidRPr="009029C8" w:rsidRDefault="000A5743" w:rsidP="005D5A5E">
            <w:pPr>
              <w:spacing w:after="60"/>
              <w:jc w:val="center"/>
              <w:rPr>
                <w:b/>
                <w:sz w:val="18"/>
                <w:szCs w:val="18"/>
              </w:rPr>
            </w:pPr>
            <w:r>
              <w:rPr>
                <w:b/>
                <w:sz w:val="18"/>
                <w:szCs w:val="18"/>
              </w:rPr>
              <w:t>2012</w:t>
            </w:r>
          </w:p>
        </w:tc>
        <w:tc>
          <w:tcPr>
            <w:tcW w:w="540" w:type="dxa"/>
            <w:shd w:val="clear" w:color="auto" w:fill="auto"/>
            <w:tcMar>
              <w:left w:w="14" w:type="dxa"/>
              <w:right w:w="14" w:type="dxa"/>
            </w:tcMar>
          </w:tcPr>
          <w:p w14:paraId="3184BEAD" w14:textId="77777777" w:rsidR="000A5743" w:rsidRPr="009029C8" w:rsidRDefault="000A5743" w:rsidP="005D5A5E">
            <w:pPr>
              <w:spacing w:after="60"/>
              <w:jc w:val="center"/>
              <w:rPr>
                <w:b/>
                <w:sz w:val="18"/>
                <w:szCs w:val="18"/>
              </w:rPr>
            </w:pPr>
            <w:r>
              <w:rPr>
                <w:b/>
                <w:sz w:val="18"/>
                <w:szCs w:val="18"/>
              </w:rPr>
              <w:t>2013</w:t>
            </w:r>
          </w:p>
        </w:tc>
        <w:tc>
          <w:tcPr>
            <w:tcW w:w="540" w:type="dxa"/>
            <w:shd w:val="clear" w:color="auto" w:fill="auto"/>
            <w:tcMar>
              <w:left w:w="14" w:type="dxa"/>
              <w:right w:w="14" w:type="dxa"/>
            </w:tcMar>
          </w:tcPr>
          <w:p w14:paraId="4C93B2D6" w14:textId="77777777" w:rsidR="000A5743" w:rsidRPr="009029C8" w:rsidRDefault="000A5743" w:rsidP="005D5A5E">
            <w:pPr>
              <w:spacing w:after="60"/>
              <w:jc w:val="center"/>
              <w:rPr>
                <w:b/>
                <w:sz w:val="18"/>
                <w:szCs w:val="18"/>
              </w:rPr>
            </w:pPr>
            <w:r>
              <w:rPr>
                <w:b/>
                <w:sz w:val="18"/>
                <w:szCs w:val="18"/>
              </w:rPr>
              <w:t>2014</w:t>
            </w:r>
          </w:p>
        </w:tc>
        <w:tc>
          <w:tcPr>
            <w:tcW w:w="720" w:type="dxa"/>
            <w:shd w:val="clear" w:color="auto" w:fill="auto"/>
            <w:tcMar>
              <w:left w:w="14" w:type="dxa"/>
              <w:right w:w="14" w:type="dxa"/>
            </w:tcMar>
          </w:tcPr>
          <w:p w14:paraId="59409A3A" w14:textId="77777777" w:rsidR="000A5743" w:rsidRPr="009029C8" w:rsidRDefault="000A5743" w:rsidP="005D5A5E">
            <w:pPr>
              <w:spacing w:after="60"/>
              <w:jc w:val="center"/>
              <w:rPr>
                <w:b/>
                <w:sz w:val="18"/>
                <w:szCs w:val="18"/>
              </w:rPr>
            </w:pPr>
            <w:r>
              <w:rPr>
                <w:b/>
                <w:sz w:val="18"/>
                <w:szCs w:val="18"/>
              </w:rPr>
              <w:t>2015</w:t>
            </w:r>
          </w:p>
        </w:tc>
        <w:tc>
          <w:tcPr>
            <w:tcW w:w="630" w:type="dxa"/>
            <w:shd w:val="clear" w:color="auto" w:fill="auto"/>
            <w:tcMar>
              <w:left w:w="14" w:type="dxa"/>
              <w:right w:w="14" w:type="dxa"/>
            </w:tcMar>
          </w:tcPr>
          <w:p w14:paraId="1E697EC9" w14:textId="77777777" w:rsidR="000A5743" w:rsidRPr="009029C8" w:rsidRDefault="000A5743" w:rsidP="005D5A5E">
            <w:pPr>
              <w:spacing w:after="60"/>
              <w:jc w:val="center"/>
              <w:rPr>
                <w:b/>
                <w:sz w:val="18"/>
                <w:szCs w:val="18"/>
              </w:rPr>
            </w:pPr>
            <w:r>
              <w:rPr>
                <w:b/>
                <w:sz w:val="18"/>
                <w:szCs w:val="18"/>
              </w:rPr>
              <w:t>2016</w:t>
            </w:r>
          </w:p>
        </w:tc>
        <w:tc>
          <w:tcPr>
            <w:tcW w:w="540" w:type="dxa"/>
            <w:shd w:val="clear" w:color="auto" w:fill="auto"/>
            <w:tcMar>
              <w:left w:w="14" w:type="dxa"/>
              <w:right w:w="14" w:type="dxa"/>
            </w:tcMar>
          </w:tcPr>
          <w:p w14:paraId="5031A515" w14:textId="77777777" w:rsidR="000A5743" w:rsidRPr="009029C8" w:rsidRDefault="000A5743" w:rsidP="005D5A5E">
            <w:pPr>
              <w:spacing w:after="60"/>
              <w:jc w:val="center"/>
              <w:rPr>
                <w:b/>
                <w:sz w:val="18"/>
                <w:szCs w:val="18"/>
              </w:rPr>
            </w:pPr>
            <w:r>
              <w:rPr>
                <w:b/>
                <w:sz w:val="18"/>
                <w:szCs w:val="18"/>
              </w:rPr>
              <w:t>2017</w:t>
            </w:r>
          </w:p>
        </w:tc>
        <w:tc>
          <w:tcPr>
            <w:tcW w:w="630" w:type="dxa"/>
            <w:shd w:val="clear" w:color="auto" w:fill="auto"/>
            <w:tcMar>
              <w:left w:w="14" w:type="dxa"/>
              <w:right w:w="14" w:type="dxa"/>
            </w:tcMar>
          </w:tcPr>
          <w:p w14:paraId="1B96FC16" w14:textId="77777777" w:rsidR="000A5743" w:rsidRPr="009029C8" w:rsidRDefault="000A5743" w:rsidP="005D5A5E">
            <w:pPr>
              <w:spacing w:after="60"/>
              <w:jc w:val="center"/>
              <w:rPr>
                <w:b/>
                <w:sz w:val="18"/>
                <w:szCs w:val="18"/>
              </w:rPr>
            </w:pPr>
            <w:r>
              <w:rPr>
                <w:b/>
                <w:sz w:val="18"/>
                <w:szCs w:val="18"/>
              </w:rPr>
              <w:t>2018</w:t>
            </w:r>
          </w:p>
        </w:tc>
        <w:tc>
          <w:tcPr>
            <w:tcW w:w="540" w:type="dxa"/>
            <w:shd w:val="clear" w:color="auto" w:fill="auto"/>
            <w:tcMar>
              <w:left w:w="14" w:type="dxa"/>
              <w:right w:w="14" w:type="dxa"/>
            </w:tcMar>
          </w:tcPr>
          <w:p w14:paraId="0A518939" w14:textId="77777777" w:rsidR="000A5743" w:rsidRPr="009029C8" w:rsidRDefault="000A5743" w:rsidP="005D5A5E">
            <w:pPr>
              <w:spacing w:after="60"/>
              <w:jc w:val="center"/>
              <w:rPr>
                <w:b/>
                <w:sz w:val="18"/>
                <w:szCs w:val="18"/>
              </w:rPr>
            </w:pPr>
            <w:r>
              <w:rPr>
                <w:b/>
                <w:sz w:val="18"/>
                <w:szCs w:val="18"/>
              </w:rPr>
              <w:t>2019</w:t>
            </w:r>
          </w:p>
        </w:tc>
        <w:tc>
          <w:tcPr>
            <w:tcW w:w="630" w:type="dxa"/>
            <w:shd w:val="clear" w:color="auto" w:fill="auto"/>
            <w:tcMar>
              <w:left w:w="14" w:type="dxa"/>
              <w:right w:w="14" w:type="dxa"/>
            </w:tcMar>
          </w:tcPr>
          <w:p w14:paraId="750A1024" w14:textId="77777777" w:rsidR="000A5743" w:rsidRPr="009029C8" w:rsidRDefault="000A5743" w:rsidP="005D5A5E">
            <w:pPr>
              <w:spacing w:after="60"/>
              <w:jc w:val="center"/>
              <w:rPr>
                <w:b/>
                <w:sz w:val="18"/>
                <w:szCs w:val="18"/>
              </w:rPr>
            </w:pPr>
            <w:r>
              <w:rPr>
                <w:b/>
                <w:sz w:val="18"/>
                <w:szCs w:val="18"/>
              </w:rPr>
              <w:t>2020</w:t>
            </w:r>
          </w:p>
        </w:tc>
        <w:tc>
          <w:tcPr>
            <w:tcW w:w="842" w:type="dxa"/>
            <w:shd w:val="clear" w:color="auto" w:fill="auto"/>
            <w:tcMar>
              <w:left w:w="14" w:type="dxa"/>
              <w:right w:w="14" w:type="dxa"/>
            </w:tcMar>
          </w:tcPr>
          <w:p w14:paraId="1E1A3D60" w14:textId="77777777" w:rsidR="000A5743" w:rsidRPr="009029C8" w:rsidRDefault="000A5743" w:rsidP="005D5A5E">
            <w:pPr>
              <w:spacing w:after="60"/>
              <w:jc w:val="center"/>
              <w:rPr>
                <w:b/>
                <w:sz w:val="18"/>
                <w:szCs w:val="18"/>
              </w:rPr>
            </w:pPr>
            <w:r>
              <w:rPr>
                <w:b/>
                <w:sz w:val="18"/>
                <w:szCs w:val="18"/>
              </w:rPr>
              <w:t>Total</w:t>
            </w:r>
          </w:p>
        </w:tc>
      </w:tr>
      <w:tr w:rsidR="0036736D" w:rsidRPr="00FB3E75" w14:paraId="05F7D93F" w14:textId="77777777" w:rsidTr="00054661">
        <w:trPr>
          <w:trHeight w:val="291"/>
        </w:trPr>
        <w:tc>
          <w:tcPr>
            <w:tcW w:w="3514" w:type="dxa"/>
            <w:gridSpan w:val="3"/>
            <w:shd w:val="clear" w:color="auto" w:fill="auto"/>
          </w:tcPr>
          <w:p w14:paraId="002E1679" w14:textId="77777777" w:rsidR="000A5743" w:rsidRPr="009029C8" w:rsidRDefault="000A5743" w:rsidP="005D5A5E">
            <w:pPr>
              <w:spacing w:after="60"/>
              <w:rPr>
                <w:sz w:val="18"/>
                <w:szCs w:val="18"/>
              </w:rPr>
            </w:pPr>
            <w:r>
              <w:rPr>
                <w:sz w:val="18"/>
                <w:szCs w:val="18"/>
              </w:rPr>
              <w:t>Limites de consommation du Protocole de Montréal</w:t>
            </w:r>
          </w:p>
        </w:tc>
        <w:tc>
          <w:tcPr>
            <w:tcW w:w="720" w:type="dxa"/>
            <w:shd w:val="clear" w:color="auto" w:fill="auto"/>
            <w:tcMar>
              <w:left w:w="14" w:type="dxa"/>
              <w:right w:w="14" w:type="dxa"/>
            </w:tcMar>
          </w:tcPr>
          <w:p w14:paraId="0320C5F3" w14:textId="77777777" w:rsidR="000A5743" w:rsidRPr="009029C8" w:rsidRDefault="000A5743" w:rsidP="005D5A5E">
            <w:pPr>
              <w:spacing w:after="60"/>
              <w:jc w:val="center"/>
              <w:rPr>
                <w:sz w:val="18"/>
                <w:szCs w:val="18"/>
              </w:rPr>
            </w:pPr>
            <w:r>
              <w:rPr>
                <w:sz w:val="18"/>
                <w:szCs w:val="18"/>
              </w:rPr>
              <w:t>s.o.</w:t>
            </w:r>
          </w:p>
        </w:tc>
        <w:tc>
          <w:tcPr>
            <w:tcW w:w="630" w:type="dxa"/>
            <w:shd w:val="clear" w:color="auto" w:fill="auto"/>
            <w:tcMar>
              <w:left w:w="14" w:type="dxa"/>
              <w:right w:w="14" w:type="dxa"/>
            </w:tcMar>
          </w:tcPr>
          <w:p w14:paraId="1B56B247" w14:textId="77777777" w:rsidR="000A5743" w:rsidRPr="009029C8" w:rsidRDefault="000A5743" w:rsidP="005D5A5E">
            <w:pPr>
              <w:spacing w:after="60"/>
              <w:jc w:val="center"/>
              <w:rPr>
                <w:sz w:val="18"/>
                <w:szCs w:val="18"/>
              </w:rPr>
            </w:pPr>
            <w:r>
              <w:rPr>
                <w:sz w:val="18"/>
                <w:szCs w:val="18"/>
              </w:rPr>
              <w:t>s.o.</w:t>
            </w:r>
          </w:p>
        </w:tc>
        <w:tc>
          <w:tcPr>
            <w:tcW w:w="540" w:type="dxa"/>
            <w:shd w:val="clear" w:color="auto" w:fill="auto"/>
            <w:tcMar>
              <w:left w:w="14" w:type="dxa"/>
              <w:right w:w="14" w:type="dxa"/>
            </w:tcMar>
          </w:tcPr>
          <w:p w14:paraId="68021C14" w14:textId="77777777" w:rsidR="000A5743" w:rsidRPr="009029C8" w:rsidRDefault="000A5743" w:rsidP="005D5A5E">
            <w:pPr>
              <w:spacing w:after="60"/>
              <w:jc w:val="right"/>
              <w:rPr>
                <w:sz w:val="18"/>
                <w:szCs w:val="18"/>
              </w:rPr>
            </w:pPr>
            <w:r>
              <w:rPr>
                <w:sz w:val="18"/>
                <w:szCs w:val="18"/>
              </w:rPr>
              <w:t>8,3</w:t>
            </w:r>
          </w:p>
        </w:tc>
        <w:tc>
          <w:tcPr>
            <w:tcW w:w="540" w:type="dxa"/>
            <w:shd w:val="clear" w:color="auto" w:fill="auto"/>
            <w:tcMar>
              <w:left w:w="14" w:type="dxa"/>
              <w:right w:w="14" w:type="dxa"/>
            </w:tcMar>
          </w:tcPr>
          <w:p w14:paraId="33FC2477" w14:textId="77777777" w:rsidR="000A5743" w:rsidRPr="009029C8" w:rsidRDefault="000A5743" w:rsidP="005D5A5E">
            <w:pPr>
              <w:spacing w:after="60"/>
              <w:jc w:val="right"/>
              <w:rPr>
                <w:sz w:val="18"/>
                <w:szCs w:val="18"/>
              </w:rPr>
            </w:pPr>
            <w:r>
              <w:rPr>
                <w:sz w:val="18"/>
                <w:szCs w:val="18"/>
              </w:rPr>
              <w:t>8,3</w:t>
            </w:r>
          </w:p>
        </w:tc>
        <w:tc>
          <w:tcPr>
            <w:tcW w:w="720" w:type="dxa"/>
            <w:shd w:val="clear" w:color="auto" w:fill="auto"/>
            <w:tcMar>
              <w:left w:w="14" w:type="dxa"/>
              <w:right w:w="14" w:type="dxa"/>
            </w:tcMar>
          </w:tcPr>
          <w:p w14:paraId="6B0FA851"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52B92961" w14:textId="77777777" w:rsidR="000A5743" w:rsidRPr="009029C8" w:rsidRDefault="000A5743" w:rsidP="005D5A5E">
            <w:pPr>
              <w:spacing w:after="60"/>
              <w:jc w:val="right"/>
              <w:rPr>
                <w:sz w:val="18"/>
                <w:szCs w:val="18"/>
              </w:rPr>
            </w:pPr>
            <w:r>
              <w:rPr>
                <w:sz w:val="18"/>
                <w:szCs w:val="18"/>
              </w:rPr>
              <w:t>7,5</w:t>
            </w:r>
          </w:p>
        </w:tc>
        <w:tc>
          <w:tcPr>
            <w:tcW w:w="540" w:type="dxa"/>
            <w:shd w:val="clear" w:color="auto" w:fill="auto"/>
            <w:tcMar>
              <w:left w:w="14" w:type="dxa"/>
              <w:right w:w="14" w:type="dxa"/>
            </w:tcMar>
          </w:tcPr>
          <w:p w14:paraId="2475551E"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444F226F" w14:textId="77777777" w:rsidR="000A5743" w:rsidRPr="009029C8" w:rsidRDefault="000A5743" w:rsidP="005D5A5E">
            <w:pPr>
              <w:spacing w:after="60"/>
              <w:jc w:val="right"/>
              <w:rPr>
                <w:sz w:val="18"/>
                <w:szCs w:val="18"/>
              </w:rPr>
            </w:pPr>
            <w:r>
              <w:rPr>
                <w:sz w:val="18"/>
                <w:szCs w:val="18"/>
              </w:rPr>
              <w:t>7,5</w:t>
            </w:r>
          </w:p>
        </w:tc>
        <w:tc>
          <w:tcPr>
            <w:tcW w:w="540" w:type="dxa"/>
            <w:shd w:val="clear" w:color="auto" w:fill="auto"/>
            <w:tcMar>
              <w:left w:w="14" w:type="dxa"/>
              <w:right w:w="14" w:type="dxa"/>
            </w:tcMar>
          </w:tcPr>
          <w:p w14:paraId="2AE8E18E"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4321C746" w14:textId="77777777" w:rsidR="000A5743" w:rsidRPr="009029C8" w:rsidRDefault="000A5743" w:rsidP="005D5A5E">
            <w:pPr>
              <w:spacing w:after="60"/>
              <w:jc w:val="right"/>
              <w:rPr>
                <w:sz w:val="18"/>
                <w:szCs w:val="18"/>
              </w:rPr>
            </w:pPr>
            <w:r>
              <w:rPr>
                <w:sz w:val="18"/>
                <w:szCs w:val="18"/>
              </w:rPr>
              <w:t>5,4</w:t>
            </w:r>
          </w:p>
        </w:tc>
        <w:tc>
          <w:tcPr>
            <w:tcW w:w="842" w:type="dxa"/>
            <w:shd w:val="clear" w:color="auto" w:fill="auto"/>
            <w:tcMar>
              <w:left w:w="14" w:type="dxa"/>
              <w:right w:w="14" w:type="dxa"/>
            </w:tcMar>
          </w:tcPr>
          <w:p w14:paraId="01E6953C" w14:textId="77777777" w:rsidR="000A5743" w:rsidRPr="009029C8" w:rsidRDefault="000A5743" w:rsidP="005D5A5E">
            <w:pPr>
              <w:spacing w:after="60"/>
              <w:jc w:val="center"/>
              <w:rPr>
                <w:sz w:val="18"/>
                <w:szCs w:val="18"/>
              </w:rPr>
            </w:pPr>
            <w:r>
              <w:rPr>
                <w:sz w:val="18"/>
                <w:szCs w:val="18"/>
              </w:rPr>
              <w:t>s.o.</w:t>
            </w:r>
          </w:p>
        </w:tc>
      </w:tr>
      <w:tr w:rsidR="0036736D" w:rsidRPr="00FB3E75" w14:paraId="48521500" w14:textId="77777777" w:rsidTr="00054661">
        <w:trPr>
          <w:trHeight w:val="291"/>
        </w:trPr>
        <w:tc>
          <w:tcPr>
            <w:tcW w:w="3514" w:type="dxa"/>
            <w:gridSpan w:val="3"/>
            <w:shd w:val="clear" w:color="auto" w:fill="auto"/>
          </w:tcPr>
          <w:p w14:paraId="1055ED14" w14:textId="77777777" w:rsidR="000A5743" w:rsidRPr="009029C8" w:rsidRDefault="000A5743" w:rsidP="005D5A5E">
            <w:pPr>
              <w:spacing w:after="60"/>
              <w:jc w:val="left"/>
              <w:rPr>
                <w:sz w:val="18"/>
                <w:szCs w:val="18"/>
              </w:rPr>
            </w:pPr>
            <w:r>
              <w:rPr>
                <w:sz w:val="18"/>
                <w:szCs w:val="18"/>
              </w:rPr>
              <w:t>Consommation maximale admissible (tonnes PAO)</w:t>
            </w:r>
          </w:p>
        </w:tc>
        <w:tc>
          <w:tcPr>
            <w:tcW w:w="720" w:type="dxa"/>
            <w:shd w:val="clear" w:color="auto" w:fill="auto"/>
            <w:tcMar>
              <w:left w:w="14" w:type="dxa"/>
              <w:right w:w="14" w:type="dxa"/>
            </w:tcMar>
          </w:tcPr>
          <w:p w14:paraId="4B74E2A9" w14:textId="77777777" w:rsidR="000A5743" w:rsidRPr="009029C8" w:rsidRDefault="000A5743" w:rsidP="005D5A5E">
            <w:pPr>
              <w:spacing w:after="60"/>
              <w:jc w:val="center"/>
              <w:rPr>
                <w:sz w:val="18"/>
                <w:szCs w:val="18"/>
              </w:rPr>
            </w:pPr>
            <w:r>
              <w:rPr>
                <w:sz w:val="18"/>
                <w:szCs w:val="18"/>
              </w:rPr>
              <w:t>s.o.</w:t>
            </w:r>
          </w:p>
        </w:tc>
        <w:tc>
          <w:tcPr>
            <w:tcW w:w="630" w:type="dxa"/>
            <w:shd w:val="clear" w:color="auto" w:fill="auto"/>
            <w:tcMar>
              <w:left w:w="14" w:type="dxa"/>
              <w:right w:w="14" w:type="dxa"/>
            </w:tcMar>
          </w:tcPr>
          <w:p w14:paraId="5E284625" w14:textId="77777777" w:rsidR="000A5743" w:rsidRPr="009029C8" w:rsidRDefault="000A5743" w:rsidP="005D5A5E">
            <w:pPr>
              <w:spacing w:after="60"/>
              <w:jc w:val="center"/>
              <w:rPr>
                <w:sz w:val="18"/>
                <w:szCs w:val="18"/>
              </w:rPr>
            </w:pPr>
            <w:r>
              <w:rPr>
                <w:sz w:val="18"/>
                <w:szCs w:val="18"/>
              </w:rPr>
              <w:t>s.o.</w:t>
            </w:r>
          </w:p>
        </w:tc>
        <w:tc>
          <w:tcPr>
            <w:tcW w:w="540" w:type="dxa"/>
            <w:shd w:val="clear" w:color="auto" w:fill="auto"/>
            <w:tcMar>
              <w:left w:w="14" w:type="dxa"/>
              <w:right w:w="14" w:type="dxa"/>
            </w:tcMar>
          </w:tcPr>
          <w:p w14:paraId="4A17EC62" w14:textId="77777777" w:rsidR="000A5743" w:rsidRPr="009029C8" w:rsidRDefault="000A5743" w:rsidP="005D5A5E">
            <w:pPr>
              <w:spacing w:after="60"/>
              <w:jc w:val="right"/>
              <w:rPr>
                <w:sz w:val="18"/>
                <w:szCs w:val="18"/>
              </w:rPr>
            </w:pPr>
            <w:r>
              <w:rPr>
                <w:sz w:val="18"/>
                <w:szCs w:val="18"/>
              </w:rPr>
              <w:t>8,3</w:t>
            </w:r>
          </w:p>
        </w:tc>
        <w:tc>
          <w:tcPr>
            <w:tcW w:w="540" w:type="dxa"/>
            <w:shd w:val="clear" w:color="auto" w:fill="auto"/>
            <w:tcMar>
              <w:left w:w="14" w:type="dxa"/>
              <w:right w:w="14" w:type="dxa"/>
            </w:tcMar>
          </w:tcPr>
          <w:p w14:paraId="12D43782" w14:textId="77777777" w:rsidR="000A5743" w:rsidRPr="009029C8" w:rsidRDefault="000A5743" w:rsidP="005D5A5E">
            <w:pPr>
              <w:spacing w:after="60"/>
              <w:jc w:val="right"/>
              <w:rPr>
                <w:sz w:val="18"/>
                <w:szCs w:val="18"/>
              </w:rPr>
            </w:pPr>
            <w:r>
              <w:rPr>
                <w:sz w:val="18"/>
                <w:szCs w:val="18"/>
              </w:rPr>
              <w:t>8,3</w:t>
            </w:r>
          </w:p>
        </w:tc>
        <w:tc>
          <w:tcPr>
            <w:tcW w:w="720" w:type="dxa"/>
            <w:shd w:val="clear" w:color="auto" w:fill="auto"/>
            <w:tcMar>
              <w:left w:w="14" w:type="dxa"/>
              <w:right w:w="14" w:type="dxa"/>
            </w:tcMar>
          </w:tcPr>
          <w:p w14:paraId="726229C6"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3AE98FEF" w14:textId="77777777" w:rsidR="000A5743" w:rsidRPr="009029C8" w:rsidRDefault="000A5743" w:rsidP="005D5A5E">
            <w:pPr>
              <w:spacing w:after="60"/>
              <w:jc w:val="right"/>
              <w:rPr>
                <w:sz w:val="18"/>
                <w:szCs w:val="18"/>
              </w:rPr>
            </w:pPr>
            <w:r>
              <w:rPr>
                <w:sz w:val="18"/>
                <w:szCs w:val="18"/>
              </w:rPr>
              <w:t>7,5</w:t>
            </w:r>
          </w:p>
        </w:tc>
        <w:tc>
          <w:tcPr>
            <w:tcW w:w="540" w:type="dxa"/>
            <w:shd w:val="clear" w:color="auto" w:fill="auto"/>
            <w:tcMar>
              <w:left w:w="14" w:type="dxa"/>
              <w:right w:w="14" w:type="dxa"/>
            </w:tcMar>
          </w:tcPr>
          <w:p w14:paraId="2D43992B"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1557DC31" w14:textId="77777777" w:rsidR="000A5743" w:rsidRPr="009029C8" w:rsidRDefault="000A5743" w:rsidP="005D5A5E">
            <w:pPr>
              <w:spacing w:after="60"/>
              <w:jc w:val="right"/>
              <w:rPr>
                <w:sz w:val="18"/>
                <w:szCs w:val="18"/>
              </w:rPr>
            </w:pPr>
            <w:r>
              <w:rPr>
                <w:sz w:val="18"/>
                <w:szCs w:val="18"/>
              </w:rPr>
              <w:t>7,5</w:t>
            </w:r>
          </w:p>
        </w:tc>
        <w:tc>
          <w:tcPr>
            <w:tcW w:w="540" w:type="dxa"/>
            <w:shd w:val="clear" w:color="auto" w:fill="auto"/>
            <w:tcMar>
              <w:left w:w="14" w:type="dxa"/>
              <w:right w:w="14" w:type="dxa"/>
            </w:tcMar>
          </w:tcPr>
          <w:p w14:paraId="66A707E9" w14:textId="77777777" w:rsidR="000A5743" w:rsidRPr="009029C8" w:rsidRDefault="000A5743" w:rsidP="005D5A5E">
            <w:pPr>
              <w:spacing w:after="60"/>
              <w:jc w:val="right"/>
              <w:rPr>
                <w:sz w:val="18"/>
                <w:szCs w:val="18"/>
              </w:rPr>
            </w:pPr>
            <w:r>
              <w:rPr>
                <w:sz w:val="18"/>
                <w:szCs w:val="18"/>
              </w:rPr>
              <w:t>7,5</w:t>
            </w:r>
          </w:p>
        </w:tc>
        <w:tc>
          <w:tcPr>
            <w:tcW w:w="630" w:type="dxa"/>
            <w:shd w:val="clear" w:color="auto" w:fill="auto"/>
            <w:tcMar>
              <w:left w:w="14" w:type="dxa"/>
              <w:right w:w="14" w:type="dxa"/>
            </w:tcMar>
          </w:tcPr>
          <w:p w14:paraId="30E753C1" w14:textId="77777777" w:rsidR="000A5743" w:rsidRPr="009029C8" w:rsidRDefault="000A5743" w:rsidP="005D5A5E">
            <w:pPr>
              <w:spacing w:after="60"/>
              <w:jc w:val="right"/>
              <w:rPr>
                <w:sz w:val="18"/>
                <w:szCs w:val="18"/>
              </w:rPr>
            </w:pPr>
            <w:r>
              <w:rPr>
                <w:sz w:val="18"/>
                <w:szCs w:val="18"/>
              </w:rPr>
              <w:t>5,4</w:t>
            </w:r>
          </w:p>
        </w:tc>
        <w:tc>
          <w:tcPr>
            <w:tcW w:w="842" w:type="dxa"/>
            <w:shd w:val="clear" w:color="auto" w:fill="auto"/>
            <w:tcMar>
              <w:left w:w="14" w:type="dxa"/>
              <w:right w:w="14" w:type="dxa"/>
            </w:tcMar>
          </w:tcPr>
          <w:p w14:paraId="3584F259" w14:textId="77777777" w:rsidR="000A5743" w:rsidRPr="009029C8" w:rsidRDefault="000A5743" w:rsidP="005D5A5E">
            <w:pPr>
              <w:spacing w:after="60"/>
              <w:jc w:val="center"/>
              <w:rPr>
                <w:sz w:val="18"/>
                <w:szCs w:val="18"/>
              </w:rPr>
            </w:pPr>
            <w:r>
              <w:rPr>
                <w:sz w:val="18"/>
                <w:szCs w:val="18"/>
              </w:rPr>
              <w:t>s.o.</w:t>
            </w:r>
          </w:p>
        </w:tc>
      </w:tr>
      <w:tr w:rsidR="0036736D" w:rsidRPr="00FB3E75" w14:paraId="1C5B7FED" w14:textId="77777777" w:rsidTr="00054661">
        <w:trPr>
          <w:trHeight w:val="291"/>
        </w:trPr>
        <w:tc>
          <w:tcPr>
            <w:tcW w:w="1354" w:type="dxa"/>
            <w:vMerge w:val="restart"/>
            <w:shd w:val="clear" w:color="auto" w:fill="auto"/>
          </w:tcPr>
          <w:p w14:paraId="0FFC8495" w14:textId="4DC756E3" w:rsidR="000A5743" w:rsidRPr="009029C8" w:rsidRDefault="000A5743" w:rsidP="00026332">
            <w:pPr>
              <w:spacing w:after="60"/>
              <w:rPr>
                <w:sz w:val="18"/>
                <w:szCs w:val="18"/>
              </w:rPr>
            </w:pPr>
            <w:r>
              <w:rPr>
                <w:sz w:val="18"/>
                <w:szCs w:val="18"/>
              </w:rPr>
              <w:t xml:space="preserve">Financement </w:t>
            </w:r>
            <w:r w:rsidR="00026332">
              <w:rPr>
                <w:sz w:val="18"/>
                <w:szCs w:val="18"/>
              </w:rPr>
              <w:t>convenu</w:t>
            </w:r>
            <w:r>
              <w:rPr>
                <w:sz w:val="18"/>
                <w:szCs w:val="18"/>
              </w:rPr>
              <w:t xml:space="preserve"> ($US)</w:t>
            </w:r>
          </w:p>
        </w:tc>
        <w:tc>
          <w:tcPr>
            <w:tcW w:w="810" w:type="dxa"/>
            <w:vMerge w:val="restart"/>
            <w:shd w:val="clear" w:color="auto" w:fill="auto"/>
          </w:tcPr>
          <w:p w14:paraId="65770AF7" w14:textId="77777777" w:rsidR="000A5743" w:rsidRPr="009029C8" w:rsidRDefault="000A5743" w:rsidP="005D5A5E">
            <w:pPr>
              <w:spacing w:after="60"/>
              <w:jc w:val="center"/>
              <w:rPr>
                <w:sz w:val="18"/>
                <w:szCs w:val="18"/>
              </w:rPr>
            </w:pPr>
            <w:r>
              <w:rPr>
                <w:sz w:val="18"/>
                <w:szCs w:val="18"/>
              </w:rPr>
              <w:t>PNUE*</w:t>
            </w:r>
          </w:p>
        </w:tc>
        <w:tc>
          <w:tcPr>
            <w:tcW w:w="1350" w:type="dxa"/>
            <w:shd w:val="clear" w:color="auto" w:fill="auto"/>
          </w:tcPr>
          <w:p w14:paraId="22EC8079" w14:textId="77777777" w:rsidR="000A5743" w:rsidRPr="009029C8" w:rsidRDefault="000A5743" w:rsidP="005D5A5E">
            <w:pPr>
              <w:spacing w:after="60"/>
              <w:rPr>
                <w:sz w:val="18"/>
                <w:szCs w:val="18"/>
              </w:rPr>
            </w:pPr>
            <w:r>
              <w:rPr>
                <w:sz w:val="18"/>
                <w:szCs w:val="18"/>
              </w:rPr>
              <w:t>Coûts de projet</w:t>
            </w:r>
          </w:p>
        </w:tc>
        <w:tc>
          <w:tcPr>
            <w:tcW w:w="720" w:type="dxa"/>
            <w:shd w:val="clear" w:color="auto" w:fill="auto"/>
            <w:tcMar>
              <w:left w:w="14" w:type="dxa"/>
              <w:right w:w="14" w:type="dxa"/>
            </w:tcMar>
          </w:tcPr>
          <w:p w14:paraId="66095428" w14:textId="77777777" w:rsidR="000A5743" w:rsidRPr="009029C8" w:rsidRDefault="000A5743" w:rsidP="005D5A5E">
            <w:pPr>
              <w:spacing w:after="60"/>
              <w:jc w:val="right"/>
              <w:rPr>
                <w:sz w:val="18"/>
                <w:szCs w:val="18"/>
              </w:rPr>
            </w:pPr>
            <w:r>
              <w:rPr>
                <w:sz w:val="18"/>
                <w:szCs w:val="18"/>
              </w:rPr>
              <w:t>28 250</w:t>
            </w:r>
          </w:p>
        </w:tc>
        <w:tc>
          <w:tcPr>
            <w:tcW w:w="630" w:type="dxa"/>
            <w:shd w:val="clear" w:color="auto" w:fill="auto"/>
            <w:tcMar>
              <w:left w:w="14" w:type="dxa"/>
              <w:right w:w="14" w:type="dxa"/>
            </w:tcMar>
          </w:tcPr>
          <w:p w14:paraId="0EEE7733"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6D5F8BE2"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05864B53" w14:textId="77777777" w:rsidR="000A5743" w:rsidRPr="009029C8" w:rsidRDefault="000A5743"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0C046A20" w14:textId="77777777" w:rsidR="000A5743" w:rsidRPr="009029C8" w:rsidRDefault="000A5743" w:rsidP="005D5A5E">
            <w:pPr>
              <w:spacing w:after="60"/>
              <w:jc w:val="right"/>
              <w:rPr>
                <w:sz w:val="18"/>
                <w:szCs w:val="18"/>
              </w:rPr>
            </w:pPr>
            <w:r>
              <w:rPr>
                <w:sz w:val="18"/>
                <w:szCs w:val="18"/>
              </w:rPr>
              <w:t>30 184*</w:t>
            </w:r>
          </w:p>
        </w:tc>
        <w:tc>
          <w:tcPr>
            <w:tcW w:w="630" w:type="dxa"/>
            <w:shd w:val="clear" w:color="auto" w:fill="auto"/>
            <w:tcMar>
              <w:left w:w="14" w:type="dxa"/>
              <w:right w:w="14" w:type="dxa"/>
            </w:tcMar>
          </w:tcPr>
          <w:p w14:paraId="2067FF3B"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50B73759"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1FD34506" w14:textId="77777777" w:rsidR="000A5743" w:rsidRPr="009029C8" w:rsidRDefault="000A5743" w:rsidP="005D5A5E">
            <w:pPr>
              <w:spacing w:after="60"/>
              <w:jc w:val="right"/>
              <w:rPr>
                <w:sz w:val="18"/>
                <w:szCs w:val="18"/>
              </w:rPr>
            </w:pPr>
            <w:r>
              <w:rPr>
                <w:sz w:val="18"/>
                <w:szCs w:val="18"/>
              </w:rPr>
              <w:t>23 250</w:t>
            </w:r>
          </w:p>
        </w:tc>
        <w:tc>
          <w:tcPr>
            <w:tcW w:w="540" w:type="dxa"/>
            <w:shd w:val="clear" w:color="auto" w:fill="auto"/>
            <w:tcMar>
              <w:left w:w="14" w:type="dxa"/>
              <w:right w:w="14" w:type="dxa"/>
            </w:tcMar>
          </w:tcPr>
          <w:p w14:paraId="070BBC0B"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6839A2B3" w14:textId="77777777" w:rsidR="000A5743" w:rsidRPr="009029C8" w:rsidRDefault="000A5743" w:rsidP="005D5A5E">
            <w:pPr>
              <w:spacing w:after="60"/>
              <w:jc w:val="right"/>
              <w:rPr>
                <w:sz w:val="18"/>
                <w:szCs w:val="18"/>
              </w:rPr>
            </w:pPr>
            <w:r>
              <w:rPr>
                <w:sz w:val="18"/>
                <w:szCs w:val="18"/>
              </w:rPr>
              <w:t>0</w:t>
            </w:r>
          </w:p>
        </w:tc>
        <w:tc>
          <w:tcPr>
            <w:tcW w:w="842" w:type="dxa"/>
            <w:shd w:val="clear" w:color="auto" w:fill="auto"/>
            <w:tcMar>
              <w:left w:w="14" w:type="dxa"/>
              <w:right w:w="14" w:type="dxa"/>
            </w:tcMar>
          </w:tcPr>
          <w:p w14:paraId="0623896B" w14:textId="77777777" w:rsidR="000A5743" w:rsidRPr="009029C8" w:rsidRDefault="000A5743" w:rsidP="005D5A5E">
            <w:pPr>
              <w:spacing w:after="60"/>
              <w:jc w:val="right"/>
              <w:rPr>
                <w:sz w:val="18"/>
                <w:szCs w:val="18"/>
              </w:rPr>
            </w:pPr>
            <w:r>
              <w:rPr>
                <w:sz w:val="18"/>
                <w:szCs w:val="18"/>
              </w:rPr>
              <w:t>81 684*</w:t>
            </w:r>
          </w:p>
        </w:tc>
      </w:tr>
      <w:tr w:rsidR="0036736D" w:rsidRPr="00FB3E75" w14:paraId="272FFC16" w14:textId="77777777" w:rsidTr="00054661">
        <w:trPr>
          <w:trHeight w:val="291"/>
        </w:trPr>
        <w:tc>
          <w:tcPr>
            <w:tcW w:w="1354" w:type="dxa"/>
            <w:vMerge/>
            <w:shd w:val="clear" w:color="auto" w:fill="auto"/>
          </w:tcPr>
          <w:p w14:paraId="7D476775" w14:textId="77777777" w:rsidR="000A5743" w:rsidRPr="009029C8" w:rsidRDefault="000A5743" w:rsidP="005D5A5E">
            <w:pPr>
              <w:spacing w:after="60"/>
              <w:jc w:val="center"/>
              <w:rPr>
                <w:sz w:val="18"/>
                <w:szCs w:val="18"/>
              </w:rPr>
            </w:pPr>
          </w:p>
        </w:tc>
        <w:tc>
          <w:tcPr>
            <w:tcW w:w="810" w:type="dxa"/>
            <w:vMerge/>
            <w:shd w:val="clear" w:color="auto" w:fill="auto"/>
          </w:tcPr>
          <w:p w14:paraId="3758F4D5" w14:textId="77777777" w:rsidR="000A5743" w:rsidRPr="009029C8" w:rsidRDefault="000A5743" w:rsidP="005D5A5E">
            <w:pPr>
              <w:spacing w:after="60"/>
              <w:jc w:val="center"/>
              <w:rPr>
                <w:sz w:val="18"/>
                <w:szCs w:val="18"/>
              </w:rPr>
            </w:pPr>
          </w:p>
        </w:tc>
        <w:tc>
          <w:tcPr>
            <w:tcW w:w="1350" w:type="dxa"/>
            <w:shd w:val="clear" w:color="auto" w:fill="auto"/>
          </w:tcPr>
          <w:p w14:paraId="6AB556A2" w14:textId="77777777" w:rsidR="000A5743" w:rsidRPr="009029C8" w:rsidRDefault="000A5743" w:rsidP="005D5A5E">
            <w:pPr>
              <w:spacing w:after="60"/>
              <w:rPr>
                <w:sz w:val="18"/>
                <w:szCs w:val="18"/>
              </w:rPr>
            </w:pPr>
            <w:r>
              <w:rPr>
                <w:sz w:val="18"/>
                <w:szCs w:val="18"/>
              </w:rPr>
              <w:t>Coûts d’appui</w:t>
            </w:r>
          </w:p>
        </w:tc>
        <w:tc>
          <w:tcPr>
            <w:tcW w:w="720" w:type="dxa"/>
            <w:shd w:val="clear" w:color="auto" w:fill="auto"/>
            <w:tcMar>
              <w:left w:w="14" w:type="dxa"/>
              <w:right w:w="14" w:type="dxa"/>
            </w:tcMar>
          </w:tcPr>
          <w:p w14:paraId="49C97B17" w14:textId="77777777" w:rsidR="000A5743" w:rsidRPr="009029C8" w:rsidRDefault="000A5743" w:rsidP="005D5A5E">
            <w:pPr>
              <w:spacing w:after="60"/>
              <w:jc w:val="right"/>
              <w:rPr>
                <w:sz w:val="18"/>
                <w:szCs w:val="18"/>
              </w:rPr>
            </w:pPr>
            <w:r>
              <w:rPr>
                <w:sz w:val="18"/>
                <w:szCs w:val="18"/>
              </w:rPr>
              <w:t>3 673</w:t>
            </w:r>
          </w:p>
        </w:tc>
        <w:tc>
          <w:tcPr>
            <w:tcW w:w="630" w:type="dxa"/>
            <w:shd w:val="clear" w:color="auto" w:fill="auto"/>
            <w:tcMar>
              <w:left w:w="14" w:type="dxa"/>
              <w:right w:w="14" w:type="dxa"/>
            </w:tcMar>
          </w:tcPr>
          <w:p w14:paraId="5183ECF5"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4D265768"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52F419E8" w14:textId="77777777" w:rsidR="000A5743" w:rsidRPr="009029C8" w:rsidRDefault="000A5743"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7992AD0C" w14:textId="77777777" w:rsidR="000A5743" w:rsidRPr="009029C8" w:rsidRDefault="000A5743" w:rsidP="005D5A5E">
            <w:pPr>
              <w:spacing w:after="60"/>
              <w:jc w:val="right"/>
              <w:rPr>
                <w:sz w:val="18"/>
                <w:szCs w:val="18"/>
              </w:rPr>
            </w:pPr>
            <w:r>
              <w:rPr>
                <w:sz w:val="18"/>
                <w:szCs w:val="18"/>
              </w:rPr>
              <w:t>3 924*</w:t>
            </w:r>
          </w:p>
        </w:tc>
        <w:tc>
          <w:tcPr>
            <w:tcW w:w="630" w:type="dxa"/>
            <w:shd w:val="clear" w:color="auto" w:fill="auto"/>
            <w:tcMar>
              <w:left w:w="14" w:type="dxa"/>
              <w:right w:w="14" w:type="dxa"/>
            </w:tcMar>
          </w:tcPr>
          <w:p w14:paraId="0B05A86A"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731A9224"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5D6572A7" w14:textId="77777777" w:rsidR="000A5743" w:rsidRPr="009029C8" w:rsidRDefault="000A5743" w:rsidP="005D5A5E">
            <w:pPr>
              <w:spacing w:after="60"/>
              <w:jc w:val="right"/>
              <w:rPr>
                <w:sz w:val="18"/>
                <w:szCs w:val="18"/>
              </w:rPr>
            </w:pPr>
            <w:r>
              <w:rPr>
                <w:sz w:val="18"/>
                <w:szCs w:val="18"/>
              </w:rPr>
              <w:t>3 023</w:t>
            </w:r>
          </w:p>
        </w:tc>
        <w:tc>
          <w:tcPr>
            <w:tcW w:w="540" w:type="dxa"/>
            <w:shd w:val="clear" w:color="auto" w:fill="auto"/>
            <w:tcMar>
              <w:left w:w="14" w:type="dxa"/>
              <w:right w:w="14" w:type="dxa"/>
            </w:tcMar>
          </w:tcPr>
          <w:p w14:paraId="17EC4903"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5EB9B17C" w14:textId="77777777" w:rsidR="000A5743" w:rsidRPr="009029C8" w:rsidRDefault="000A5743" w:rsidP="005D5A5E">
            <w:pPr>
              <w:spacing w:after="60"/>
              <w:jc w:val="right"/>
              <w:rPr>
                <w:sz w:val="18"/>
                <w:szCs w:val="18"/>
              </w:rPr>
            </w:pPr>
            <w:r>
              <w:rPr>
                <w:sz w:val="18"/>
                <w:szCs w:val="18"/>
              </w:rPr>
              <w:t>0</w:t>
            </w:r>
          </w:p>
        </w:tc>
        <w:tc>
          <w:tcPr>
            <w:tcW w:w="842" w:type="dxa"/>
            <w:shd w:val="clear" w:color="auto" w:fill="auto"/>
            <w:tcMar>
              <w:left w:w="14" w:type="dxa"/>
              <w:right w:w="14" w:type="dxa"/>
            </w:tcMar>
          </w:tcPr>
          <w:p w14:paraId="14DAC122" w14:textId="77777777" w:rsidR="000A5743" w:rsidRPr="009029C8" w:rsidRDefault="000A5743" w:rsidP="005D5A5E">
            <w:pPr>
              <w:spacing w:after="60"/>
              <w:jc w:val="right"/>
              <w:rPr>
                <w:sz w:val="18"/>
                <w:szCs w:val="18"/>
              </w:rPr>
            </w:pPr>
            <w:r>
              <w:rPr>
                <w:sz w:val="18"/>
                <w:szCs w:val="18"/>
              </w:rPr>
              <w:t>10 620*</w:t>
            </w:r>
          </w:p>
        </w:tc>
      </w:tr>
      <w:tr w:rsidR="0036736D" w:rsidRPr="00FB3E75" w14:paraId="687EE21C" w14:textId="77777777" w:rsidTr="00054661">
        <w:trPr>
          <w:trHeight w:val="291"/>
        </w:trPr>
        <w:tc>
          <w:tcPr>
            <w:tcW w:w="1354" w:type="dxa"/>
            <w:vMerge/>
            <w:shd w:val="clear" w:color="auto" w:fill="auto"/>
          </w:tcPr>
          <w:p w14:paraId="76E69D73" w14:textId="77777777" w:rsidR="00FA7CBB" w:rsidRPr="009029C8" w:rsidRDefault="00FA7CBB" w:rsidP="005D5A5E">
            <w:pPr>
              <w:spacing w:after="60"/>
              <w:jc w:val="center"/>
              <w:rPr>
                <w:sz w:val="18"/>
                <w:szCs w:val="18"/>
              </w:rPr>
            </w:pPr>
          </w:p>
        </w:tc>
        <w:tc>
          <w:tcPr>
            <w:tcW w:w="810" w:type="dxa"/>
            <w:vMerge w:val="restart"/>
            <w:shd w:val="clear" w:color="auto" w:fill="auto"/>
          </w:tcPr>
          <w:p w14:paraId="08332D3B" w14:textId="77777777" w:rsidR="00FA7CBB" w:rsidRPr="009029C8" w:rsidRDefault="00FA7CBB" w:rsidP="005D5A5E">
            <w:pPr>
              <w:spacing w:after="60"/>
              <w:jc w:val="center"/>
              <w:rPr>
                <w:sz w:val="18"/>
                <w:szCs w:val="18"/>
              </w:rPr>
            </w:pPr>
            <w:r>
              <w:rPr>
                <w:sz w:val="18"/>
                <w:szCs w:val="18"/>
              </w:rPr>
              <w:t>ONUDI</w:t>
            </w:r>
          </w:p>
        </w:tc>
        <w:tc>
          <w:tcPr>
            <w:tcW w:w="1350" w:type="dxa"/>
            <w:shd w:val="clear" w:color="auto" w:fill="auto"/>
          </w:tcPr>
          <w:p w14:paraId="2E5AEC01" w14:textId="77777777" w:rsidR="00FA7CBB" w:rsidRPr="009029C8" w:rsidRDefault="00FA7CBB" w:rsidP="005D5A5E">
            <w:pPr>
              <w:spacing w:after="60"/>
              <w:rPr>
                <w:sz w:val="18"/>
                <w:szCs w:val="18"/>
              </w:rPr>
            </w:pPr>
            <w:r>
              <w:rPr>
                <w:sz w:val="18"/>
                <w:szCs w:val="18"/>
              </w:rPr>
              <w:t>Coûts de projet</w:t>
            </w:r>
          </w:p>
        </w:tc>
        <w:tc>
          <w:tcPr>
            <w:tcW w:w="720" w:type="dxa"/>
            <w:shd w:val="clear" w:color="auto" w:fill="auto"/>
            <w:tcMar>
              <w:left w:w="14" w:type="dxa"/>
              <w:right w:w="14" w:type="dxa"/>
            </w:tcMar>
          </w:tcPr>
          <w:p w14:paraId="711CA559" w14:textId="77777777" w:rsidR="00FA7CBB" w:rsidRPr="009029C8" w:rsidRDefault="00FA7CBB" w:rsidP="005D5A5E">
            <w:pPr>
              <w:spacing w:after="60"/>
              <w:jc w:val="right"/>
              <w:rPr>
                <w:sz w:val="18"/>
                <w:szCs w:val="18"/>
              </w:rPr>
            </w:pPr>
            <w:r>
              <w:rPr>
                <w:sz w:val="18"/>
                <w:szCs w:val="18"/>
              </w:rPr>
              <w:t>118 087</w:t>
            </w:r>
          </w:p>
        </w:tc>
        <w:tc>
          <w:tcPr>
            <w:tcW w:w="630" w:type="dxa"/>
            <w:shd w:val="clear" w:color="auto" w:fill="auto"/>
            <w:tcMar>
              <w:left w:w="14" w:type="dxa"/>
              <w:right w:w="14" w:type="dxa"/>
            </w:tcMar>
          </w:tcPr>
          <w:p w14:paraId="73003001" w14:textId="77777777" w:rsidR="00FA7CBB" w:rsidRPr="009029C8" w:rsidRDefault="00FA7CBB" w:rsidP="005D5A5E">
            <w:pPr>
              <w:spacing w:after="60"/>
              <w:jc w:val="right"/>
              <w:rPr>
                <w:sz w:val="18"/>
                <w:szCs w:val="18"/>
              </w:rPr>
            </w:pPr>
            <w:r>
              <w:rPr>
                <w:sz w:val="18"/>
                <w:szCs w:val="18"/>
              </w:rPr>
              <w:t>97 925</w:t>
            </w:r>
          </w:p>
        </w:tc>
        <w:tc>
          <w:tcPr>
            <w:tcW w:w="540" w:type="dxa"/>
            <w:shd w:val="clear" w:color="auto" w:fill="auto"/>
            <w:tcMar>
              <w:left w:w="14" w:type="dxa"/>
              <w:right w:w="14" w:type="dxa"/>
            </w:tcMar>
          </w:tcPr>
          <w:p w14:paraId="693E8D1F" w14:textId="77777777" w:rsidR="00FA7CBB" w:rsidRPr="009029C8" w:rsidRDefault="00FA7CBB"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1FB8DAB8" w14:textId="77777777" w:rsidR="00FA7CBB" w:rsidRPr="009029C8" w:rsidRDefault="00FA7CBB"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11AB935F" w14:textId="77777777" w:rsidR="00FA7CBB" w:rsidRPr="009029C8" w:rsidRDefault="00FA7CBB" w:rsidP="005D5A5E">
            <w:pPr>
              <w:spacing w:after="60"/>
              <w:jc w:val="right"/>
              <w:rPr>
                <w:sz w:val="18"/>
                <w:szCs w:val="18"/>
              </w:rPr>
            </w:pPr>
            <w:r>
              <w:rPr>
                <w:sz w:val="18"/>
                <w:szCs w:val="18"/>
              </w:rPr>
              <w:t>53 775</w:t>
            </w:r>
          </w:p>
        </w:tc>
        <w:tc>
          <w:tcPr>
            <w:tcW w:w="630" w:type="dxa"/>
            <w:shd w:val="clear" w:color="auto" w:fill="auto"/>
            <w:tcMar>
              <w:left w:w="14" w:type="dxa"/>
              <w:right w:w="14" w:type="dxa"/>
            </w:tcMar>
          </w:tcPr>
          <w:p w14:paraId="7E4164C5" w14:textId="77777777" w:rsidR="00FA7CBB" w:rsidRPr="009029C8" w:rsidRDefault="00FA7CBB"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2DC3E1CA" w14:textId="77777777" w:rsidR="00FA7CBB" w:rsidRPr="009029C8" w:rsidRDefault="00FA7CBB"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4EB9BE8D" w14:textId="77777777" w:rsidR="00FA7CBB" w:rsidRPr="009029C8" w:rsidRDefault="00FA7CBB" w:rsidP="005D5A5E">
            <w:pPr>
              <w:spacing w:after="60"/>
              <w:jc w:val="right"/>
              <w:rPr>
                <w:sz w:val="18"/>
                <w:szCs w:val="18"/>
              </w:rPr>
            </w:pPr>
            <w:bookmarkStart w:id="0" w:name="_Hlk37148720"/>
            <w:r>
              <w:rPr>
                <w:sz w:val="18"/>
                <w:szCs w:val="18"/>
              </w:rPr>
              <w:t>42 850</w:t>
            </w:r>
            <w:bookmarkEnd w:id="0"/>
          </w:p>
        </w:tc>
        <w:tc>
          <w:tcPr>
            <w:tcW w:w="540" w:type="dxa"/>
            <w:shd w:val="clear" w:color="auto" w:fill="auto"/>
            <w:tcMar>
              <w:left w:w="14" w:type="dxa"/>
              <w:right w:w="14" w:type="dxa"/>
            </w:tcMar>
          </w:tcPr>
          <w:p w14:paraId="46CFFB98" w14:textId="77777777" w:rsidR="00FA7CBB" w:rsidRPr="009029C8" w:rsidRDefault="00FA7CBB"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33F3BDED" w14:textId="77777777" w:rsidR="00FA7CBB" w:rsidRPr="009029C8" w:rsidRDefault="00FA7CBB" w:rsidP="005D5A5E">
            <w:pPr>
              <w:spacing w:after="60"/>
              <w:jc w:val="right"/>
              <w:rPr>
                <w:sz w:val="18"/>
                <w:szCs w:val="18"/>
              </w:rPr>
            </w:pPr>
            <w:r>
              <w:rPr>
                <w:sz w:val="18"/>
                <w:szCs w:val="18"/>
              </w:rPr>
              <w:t>33 000</w:t>
            </w:r>
          </w:p>
        </w:tc>
        <w:tc>
          <w:tcPr>
            <w:tcW w:w="842" w:type="dxa"/>
            <w:shd w:val="clear" w:color="auto" w:fill="auto"/>
            <w:tcMar>
              <w:left w:w="14" w:type="dxa"/>
              <w:right w:w="14" w:type="dxa"/>
            </w:tcMar>
          </w:tcPr>
          <w:p w14:paraId="28CA006B" w14:textId="77777777" w:rsidR="00FA7CBB" w:rsidRPr="009029C8" w:rsidRDefault="00FA7CBB" w:rsidP="005D5A5E">
            <w:pPr>
              <w:spacing w:after="60"/>
              <w:jc w:val="right"/>
              <w:rPr>
                <w:sz w:val="18"/>
                <w:szCs w:val="18"/>
              </w:rPr>
            </w:pPr>
            <w:r>
              <w:rPr>
                <w:sz w:val="18"/>
                <w:szCs w:val="18"/>
              </w:rPr>
              <w:t>345 637</w:t>
            </w:r>
          </w:p>
        </w:tc>
      </w:tr>
      <w:tr w:rsidR="0036736D" w:rsidRPr="00FB3E75" w14:paraId="44483F1A" w14:textId="77777777" w:rsidTr="00054661">
        <w:trPr>
          <w:trHeight w:val="291"/>
        </w:trPr>
        <w:tc>
          <w:tcPr>
            <w:tcW w:w="1354" w:type="dxa"/>
            <w:vMerge/>
            <w:shd w:val="clear" w:color="auto" w:fill="auto"/>
          </w:tcPr>
          <w:p w14:paraId="66B532D2" w14:textId="77777777" w:rsidR="00FA7CBB" w:rsidRPr="009029C8" w:rsidRDefault="00FA7CBB" w:rsidP="005D5A5E">
            <w:pPr>
              <w:spacing w:after="60"/>
              <w:jc w:val="center"/>
              <w:rPr>
                <w:sz w:val="18"/>
                <w:szCs w:val="18"/>
              </w:rPr>
            </w:pPr>
          </w:p>
        </w:tc>
        <w:tc>
          <w:tcPr>
            <w:tcW w:w="810" w:type="dxa"/>
            <w:vMerge/>
            <w:shd w:val="clear" w:color="auto" w:fill="auto"/>
          </w:tcPr>
          <w:p w14:paraId="506B9CA5" w14:textId="77777777" w:rsidR="00FA7CBB" w:rsidRPr="009029C8" w:rsidRDefault="00FA7CBB" w:rsidP="005D5A5E">
            <w:pPr>
              <w:spacing w:after="60"/>
              <w:jc w:val="center"/>
              <w:rPr>
                <w:sz w:val="18"/>
                <w:szCs w:val="18"/>
              </w:rPr>
            </w:pPr>
          </w:p>
        </w:tc>
        <w:tc>
          <w:tcPr>
            <w:tcW w:w="1350" w:type="dxa"/>
            <w:shd w:val="clear" w:color="auto" w:fill="auto"/>
          </w:tcPr>
          <w:p w14:paraId="4B655788" w14:textId="77777777" w:rsidR="00FA7CBB" w:rsidRPr="009029C8" w:rsidRDefault="00FA7CBB" w:rsidP="005D5A5E">
            <w:pPr>
              <w:spacing w:after="60"/>
              <w:rPr>
                <w:sz w:val="18"/>
                <w:szCs w:val="18"/>
              </w:rPr>
            </w:pPr>
            <w:r>
              <w:rPr>
                <w:sz w:val="18"/>
                <w:szCs w:val="18"/>
              </w:rPr>
              <w:t>Coûts d’appui</w:t>
            </w:r>
          </w:p>
        </w:tc>
        <w:tc>
          <w:tcPr>
            <w:tcW w:w="720" w:type="dxa"/>
            <w:shd w:val="clear" w:color="auto" w:fill="auto"/>
            <w:tcMar>
              <w:left w:w="14" w:type="dxa"/>
              <w:right w:w="14" w:type="dxa"/>
            </w:tcMar>
          </w:tcPr>
          <w:p w14:paraId="09DBE456" w14:textId="77777777" w:rsidR="00FA7CBB" w:rsidRPr="009029C8" w:rsidRDefault="00FA7CBB" w:rsidP="005D5A5E">
            <w:pPr>
              <w:spacing w:after="60"/>
              <w:jc w:val="right"/>
              <w:rPr>
                <w:sz w:val="18"/>
                <w:szCs w:val="18"/>
              </w:rPr>
            </w:pPr>
            <w:r>
              <w:rPr>
                <w:sz w:val="18"/>
                <w:szCs w:val="18"/>
              </w:rPr>
              <w:t>8 857</w:t>
            </w:r>
          </w:p>
        </w:tc>
        <w:tc>
          <w:tcPr>
            <w:tcW w:w="630" w:type="dxa"/>
            <w:shd w:val="clear" w:color="auto" w:fill="auto"/>
            <w:tcMar>
              <w:left w:w="14" w:type="dxa"/>
              <w:right w:w="14" w:type="dxa"/>
            </w:tcMar>
          </w:tcPr>
          <w:p w14:paraId="53D3683F" w14:textId="77777777" w:rsidR="00FA7CBB" w:rsidRPr="009029C8" w:rsidRDefault="00FA7CBB" w:rsidP="005D5A5E">
            <w:pPr>
              <w:spacing w:after="60"/>
              <w:jc w:val="right"/>
              <w:rPr>
                <w:sz w:val="18"/>
                <w:szCs w:val="18"/>
              </w:rPr>
            </w:pPr>
            <w:r>
              <w:rPr>
                <w:sz w:val="18"/>
                <w:szCs w:val="18"/>
              </w:rPr>
              <w:t>7 344</w:t>
            </w:r>
          </w:p>
        </w:tc>
        <w:tc>
          <w:tcPr>
            <w:tcW w:w="540" w:type="dxa"/>
            <w:shd w:val="clear" w:color="auto" w:fill="auto"/>
            <w:tcMar>
              <w:left w:w="14" w:type="dxa"/>
              <w:right w:w="14" w:type="dxa"/>
            </w:tcMar>
          </w:tcPr>
          <w:p w14:paraId="70530AC8" w14:textId="77777777" w:rsidR="00FA7CBB" w:rsidRPr="009029C8" w:rsidRDefault="00FA7CBB"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3CD188F4" w14:textId="77777777" w:rsidR="00FA7CBB" w:rsidRPr="009029C8" w:rsidRDefault="00FA7CBB"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4D7FBA81" w14:textId="77777777" w:rsidR="00FA7CBB" w:rsidRPr="009029C8" w:rsidRDefault="00FA7CBB" w:rsidP="005D5A5E">
            <w:pPr>
              <w:spacing w:after="60"/>
              <w:jc w:val="right"/>
              <w:rPr>
                <w:sz w:val="18"/>
                <w:szCs w:val="18"/>
              </w:rPr>
            </w:pPr>
            <w:r>
              <w:rPr>
                <w:sz w:val="18"/>
                <w:szCs w:val="18"/>
              </w:rPr>
              <w:t>4 033</w:t>
            </w:r>
          </w:p>
        </w:tc>
        <w:tc>
          <w:tcPr>
            <w:tcW w:w="630" w:type="dxa"/>
            <w:shd w:val="clear" w:color="auto" w:fill="auto"/>
            <w:tcMar>
              <w:left w:w="14" w:type="dxa"/>
              <w:right w:w="14" w:type="dxa"/>
            </w:tcMar>
          </w:tcPr>
          <w:p w14:paraId="3822B3BE" w14:textId="77777777" w:rsidR="00FA7CBB" w:rsidRPr="009029C8" w:rsidRDefault="00FA7CBB"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26564170" w14:textId="77777777" w:rsidR="00FA7CBB" w:rsidRPr="009029C8" w:rsidRDefault="00FA7CBB"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56192F1E" w14:textId="77777777" w:rsidR="00FA7CBB" w:rsidRPr="009029C8" w:rsidRDefault="00FA7CBB" w:rsidP="005D5A5E">
            <w:pPr>
              <w:spacing w:after="60"/>
              <w:jc w:val="right"/>
              <w:rPr>
                <w:sz w:val="18"/>
                <w:szCs w:val="18"/>
              </w:rPr>
            </w:pPr>
            <w:r>
              <w:rPr>
                <w:sz w:val="18"/>
                <w:szCs w:val="18"/>
              </w:rPr>
              <w:t>3 214</w:t>
            </w:r>
          </w:p>
        </w:tc>
        <w:tc>
          <w:tcPr>
            <w:tcW w:w="540" w:type="dxa"/>
            <w:shd w:val="clear" w:color="auto" w:fill="auto"/>
            <w:tcMar>
              <w:left w:w="14" w:type="dxa"/>
              <w:right w:w="14" w:type="dxa"/>
            </w:tcMar>
          </w:tcPr>
          <w:p w14:paraId="1F316C0A" w14:textId="77777777" w:rsidR="00FA7CBB" w:rsidRPr="009029C8" w:rsidRDefault="00FA7CBB"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460A82D1" w14:textId="77777777" w:rsidR="00FA7CBB" w:rsidRPr="009029C8" w:rsidRDefault="00FA7CBB" w:rsidP="005D5A5E">
            <w:pPr>
              <w:spacing w:after="60"/>
              <w:jc w:val="right"/>
              <w:rPr>
                <w:sz w:val="18"/>
                <w:szCs w:val="18"/>
              </w:rPr>
            </w:pPr>
            <w:r>
              <w:rPr>
                <w:sz w:val="18"/>
                <w:szCs w:val="18"/>
              </w:rPr>
              <w:t>2 475</w:t>
            </w:r>
          </w:p>
        </w:tc>
        <w:tc>
          <w:tcPr>
            <w:tcW w:w="842" w:type="dxa"/>
            <w:shd w:val="clear" w:color="auto" w:fill="auto"/>
            <w:tcMar>
              <w:left w:w="14" w:type="dxa"/>
              <w:right w:w="14" w:type="dxa"/>
            </w:tcMar>
          </w:tcPr>
          <w:p w14:paraId="1C4954D5" w14:textId="77777777" w:rsidR="00FA7CBB" w:rsidRPr="009029C8" w:rsidRDefault="00FA7CBB" w:rsidP="005D5A5E">
            <w:pPr>
              <w:spacing w:after="60"/>
              <w:jc w:val="right"/>
              <w:rPr>
                <w:sz w:val="18"/>
                <w:szCs w:val="18"/>
              </w:rPr>
            </w:pPr>
            <w:r>
              <w:rPr>
                <w:sz w:val="18"/>
                <w:szCs w:val="18"/>
              </w:rPr>
              <w:t>25 923</w:t>
            </w:r>
          </w:p>
        </w:tc>
      </w:tr>
      <w:tr w:rsidR="00B508E7" w:rsidRPr="00FB3E75" w14:paraId="50DC71F1" w14:textId="77777777" w:rsidTr="00054661">
        <w:trPr>
          <w:trHeight w:val="291"/>
        </w:trPr>
        <w:tc>
          <w:tcPr>
            <w:tcW w:w="2164" w:type="dxa"/>
            <w:gridSpan w:val="2"/>
            <w:vMerge w:val="restart"/>
            <w:shd w:val="clear" w:color="auto" w:fill="auto"/>
          </w:tcPr>
          <w:p w14:paraId="22A9AC7A" w14:textId="6C1E770B" w:rsidR="000A5743" w:rsidRPr="009029C8" w:rsidRDefault="000A5743" w:rsidP="005D5A5E">
            <w:pPr>
              <w:spacing w:after="60"/>
              <w:rPr>
                <w:sz w:val="18"/>
                <w:szCs w:val="18"/>
              </w:rPr>
            </w:pPr>
            <w:r>
              <w:rPr>
                <w:sz w:val="18"/>
                <w:szCs w:val="18"/>
              </w:rPr>
              <w:t>Financement approuvé par ExCom ($US)</w:t>
            </w:r>
          </w:p>
        </w:tc>
        <w:tc>
          <w:tcPr>
            <w:tcW w:w="1350" w:type="dxa"/>
            <w:shd w:val="clear" w:color="auto" w:fill="auto"/>
          </w:tcPr>
          <w:p w14:paraId="624A8A9A" w14:textId="77777777" w:rsidR="000A5743" w:rsidRPr="009029C8" w:rsidRDefault="000A5743" w:rsidP="005D5A5E">
            <w:pPr>
              <w:spacing w:after="60"/>
              <w:rPr>
                <w:sz w:val="18"/>
                <w:szCs w:val="18"/>
              </w:rPr>
            </w:pPr>
            <w:r>
              <w:rPr>
                <w:sz w:val="18"/>
                <w:szCs w:val="18"/>
              </w:rPr>
              <w:t>Coûts de projet</w:t>
            </w:r>
          </w:p>
        </w:tc>
        <w:tc>
          <w:tcPr>
            <w:tcW w:w="720" w:type="dxa"/>
            <w:shd w:val="clear" w:color="auto" w:fill="auto"/>
            <w:tcMar>
              <w:left w:w="14" w:type="dxa"/>
              <w:right w:w="14" w:type="dxa"/>
            </w:tcMar>
          </w:tcPr>
          <w:p w14:paraId="60B41E52" w14:textId="77777777" w:rsidR="000A5743" w:rsidRPr="009029C8" w:rsidRDefault="000A5743" w:rsidP="005D5A5E">
            <w:pPr>
              <w:spacing w:after="60"/>
              <w:jc w:val="right"/>
              <w:rPr>
                <w:sz w:val="18"/>
                <w:szCs w:val="18"/>
              </w:rPr>
            </w:pPr>
            <w:r>
              <w:rPr>
                <w:sz w:val="18"/>
                <w:szCs w:val="18"/>
              </w:rPr>
              <w:t>146 337</w:t>
            </w:r>
          </w:p>
        </w:tc>
        <w:tc>
          <w:tcPr>
            <w:tcW w:w="630" w:type="dxa"/>
            <w:shd w:val="clear" w:color="auto" w:fill="auto"/>
            <w:tcMar>
              <w:left w:w="14" w:type="dxa"/>
              <w:right w:w="14" w:type="dxa"/>
            </w:tcMar>
          </w:tcPr>
          <w:p w14:paraId="78FC0A99" w14:textId="77777777" w:rsidR="000A5743" w:rsidRPr="009029C8" w:rsidRDefault="000A5743" w:rsidP="005D5A5E">
            <w:pPr>
              <w:spacing w:after="60"/>
              <w:jc w:val="right"/>
              <w:rPr>
                <w:sz w:val="18"/>
                <w:szCs w:val="18"/>
              </w:rPr>
            </w:pPr>
            <w:r>
              <w:rPr>
                <w:sz w:val="18"/>
                <w:szCs w:val="18"/>
              </w:rPr>
              <w:t>97 925</w:t>
            </w:r>
          </w:p>
        </w:tc>
        <w:tc>
          <w:tcPr>
            <w:tcW w:w="540" w:type="dxa"/>
            <w:shd w:val="clear" w:color="auto" w:fill="auto"/>
            <w:tcMar>
              <w:left w:w="14" w:type="dxa"/>
              <w:right w:w="14" w:type="dxa"/>
            </w:tcMar>
          </w:tcPr>
          <w:p w14:paraId="782F957A"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548659F0" w14:textId="77777777" w:rsidR="000A5743" w:rsidRPr="009029C8" w:rsidRDefault="000A5743"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41352654" w14:textId="77777777" w:rsidR="000A5743" w:rsidRPr="009029C8" w:rsidRDefault="000A5743" w:rsidP="005D5A5E">
            <w:pPr>
              <w:spacing w:after="60"/>
              <w:jc w:val="right"/>
              <w:rPr>
                <w:sz w:val="18"/>
                <w:szCs w:val="18"/>
              </w:rPr>
            </w:pPr>
            <w:r>
              <w:rPr>
                <w:sz w:val="18"/>
                <w:szCs w:val="18"/>
              </w:rPr>
              <w:t>83 959*</w:t>
            </w:r>
          </w:p>
        </w:tc>
        <w:tc>
          <w:tcPr>
            <w:tcW w:w="630" w:type="dxa"/>
            <w:shd w:val="clear" w:color="auto" w:fill="auto"/>
            <w:tcMar>
              <w:left w:w="14" w:type="dxa"/>
              <w:right w:w="14" w:type="dxa"/>
            </w:tcMar>
          </w:tcPr>
          <w:p w14:paraId="2F0C2BB3"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00F53AF0"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5AE2B28C" w14:textId="77777777" w:rsidR="000A5743" w:rsidRPr="009029C8" w:rsidRDefault="000A5743" w:rsidP="005D5A5E">
            <w:pPr>
              <w:spacing w:after="60"/>
              <w:jc w:val="right"/>
              <w:rPr>
                <w:sz w:val="18"/>
                <w:szCs w:val="18"/>
              </w:rPr>
            </w:pPr>
            <w:r>
              <w:rPr>
                <w:sz w:val="18"/>
                <w:szCs w:val="18"/>
              </w:rPr>
              <w:t>66 100</w:t>
            </w:r>
          </w:p>
        </w:tc>
        <w:tc>
          <w:tcPr>
            <w:tcW w:w="540" w:type="dxa"/>
            <w:shd w:val="clear" w:color="auto" w:fill="auto"/>
            <w:tcMar>
              <w:left w:w="14" w:type="dxa"/>
              <w:right w:w="14" w:type="dxa"/>
            </w:tcMar>
          </w:tcPr>
          <w:p w14:paraId="45E888E4"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04D86494" w14:textId="77777777" w:rsidR="000A5743" w:rsidRPr="009029C8" w:rsidRDefault="000A5743" w:rsidP="005D5A5E">
            <w:pPr>
              <w:spacing w:after="60"/>
              <w:jc w:val="right"/>
              <w:rPr>
                <w:sz w:val="18"/>
                <w:szCs w:val="18"/>
              </w:rPr>
            </w:pPr>
            <w:r>
              <w:rPr>
                <w:sz w:val="18"/>
                <w:szCs w:val="18"/>
              </w:rPr>
              <w:t>0</w:t>
            </w:r>
          </w:p>
        </w:tc>
        <w:tc>
          <w:tcPr>
            <w:tcW w:w="842" w:type="dxa"/>
            <w:shd w:val="clear" w:color="auto" w:fill="auto"/>
            <w:tcMar>
              <w:left w:w="14" w:type="dxa"/>
              <w:right w:w="14" w:type="dxa"/>
            </w:tcMar>
          </w:tcPr>
          <w:p w14:paraId="7C973BC2" w14:textId="77777777" w:rsidR="000A5743" w:rsidRPr="009029C8" w:rsidRDefault="000A5743" w:rsidP="005D5A5E">
            <w:pPr>
              <w:spacing w:after="60"/>
              <w:jc w:val="right"/>
              <w:rPr>
                <w:sz w:val="18"/>
                <w:szCs w:val="18"/>
              </w:rPr>
            </w:pPr>
            <w:r>
              <w:rPr>
                <w:sz w:val="18"/>
                <w:szCs w:val="18"/>
              </w:rPr>
              <w:t>394 321*</w:t>
            </w:r>
          </w:p>
        </w:tc>
      </w:tr>
      <w:tr w:rsidR="00B508E7" w:rsidRPr="00FB3E75" w14:paraId="71564E6B" w14:textId="77777777" w:rsidTr="00054661">
        <w:trPr>
          <w:trHeight w:val="291"/>
        </w:trPr>
        <w:tc>
          <w:tcPr>
            <w:tcW w:w="2164" w:type="dxa"/>
            <w:gridSpan w:val="2"/>
            <w:vMerge/>
            <w:shd w:val="clear" w:color="auto" w:fill="auto"/>
          </w:tcPr>
          <w:p w14:paraId="340C1D1E" w14:textId="77777777" w:rsidR="000A5743" w:rsidRPr="009029C8" w:rsidRDefault="000A5743" w:rsidP="005D5A5E">
            <w:pPr>
              <w:spacing w:after="60"/>
              <w:jc w:val="center"/>
              <w:rPr>
                <w:sz w:val="18"/>
                <w:szCs w:val="18"/>
              </w:rPr>
            </w:pPr>
          </w:p>
        </w:tc>
        <w:tc>
          <w:tcPr>
            <w:tcW w:w="1350" w:type="dxa"/>
            <w:shd w:val="clear" w:color="auto" w:fill="auto"/>
          </w:tcPr>
          <w:p w14:paraId="4FC5D752" w14:textId="77777777" w:rsidR="000A5743" w:rsidRPr="009029C8" w:rsidRDefault="000A5743" w:rsidP="005D5A5E">
            <w:pPr>
              <w:spacing w:after="60"/>
              <w:rPr>
                <w:sz w:val="18"/>
                <w:szCs w:val="18"/>
              </w:rPr>
            </w:pPr>
            <w:r>
              <w:rPr>
                <w:sz w:val="18"/>
                <w:szCs w:val="18"/>
              </w:rPr>
              <w:t>Coûts d’appui</w:t>
            </w:r>
          </w:p>
        </w:tc>
        <w:tc>
          <w:tcPr>
            <w:tcW w:w="720" w:type="dxa"/>
            <w:shd w:val="clear" w:color="auto" w:fill="auto"/>
            <w:tcMar>
              <w:left w:w="14" w:type="dxa"/>
              <w:right w:w="14" w:type="dxa"/>
            </w:tcMar>
          </w:tcPr>
          <w:p w14:paraId="73E2534E" w14:textId="77777777" w:rsidR="000A5743" w:rsidRPr="009029C8" w:rsidRDefault="000A5743" w:rsidP="005D5A5E">
            <w:pPr>
              <w:spacing w:after="60"/>
              <w:jc w:val="right"/>
              <w:rPr>
                <w:sz w:val="18"/>
                <w:szCs w:val="18"/>
              </w:rPr>
            </w:pPr>
            <w:r>
              <w:rPr>
                <w:sz w:val="18"/>
                <w:szCs w:val="18"/>
              </w:rPr>
              <w:t>12 530</w:t>
            </w:r>
          </w:p>
        </w:tc>
        <w:tc>
          <w:tcPr>
            <w:tcW w:w="630" w:type="dxa"/>
            <w:shd w:val="clear" w:color="auto" w:fill="auto"/>
            <w:tcMar>
              <w:left w:w="14" w:type="dxa"/>
              <w:right w:w="14" w:type="dxa"/>
            </w:tcMar>
          </w:tcPr>
          <w:p w14:paraId="4CA2D477" w14:textId="77777777" w:rsidR="000A5743" w:rsidRPr="009029C8" w:rsidRDefault="000A5743" w:rsidP="005D5A5E">
            <w:pPr>
              <w:spacing w:after="60"/>
              <w:jc w:val="right"/>
              <w:rPr>
                <w:sz w:val="18"/>
                <w:szCs w:val="18"/>
              </w:rPr>
            </w:pPr>
            <w:r>
              <w:rPr>
                <w:sz w:val="18"/>
                <w:szCs w:val="18"/>
              </w:rPr>
              <w:t>7 344</w:t>
            </w:r>
          </w:p>
        </w:tc>
        <w:tc>
          <w:tcPr>
            <w:tcW w:w="540" w:type="dxa"/>
            <w:shd w:val="clear" w:color="auto" w:fill="auto"/>
            <w:tcMar>
              <w:left w:w="14" w:type="dxa"/>
              <w:right w:w="14" w:type="dxa"/>
            </w:tcMar>
          </w:tcPr>
          <w:p w14:paraId="1DBDC042"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13857474" w14:textId="77777777" w:rsidR="000A5743" w:rsidRPr="009029C8" w:rsidRDefault="000A5743" w:rsidP="005D5A5E">
            <w:pPr>
              <w:spacing w:after="60"/>
              <w:jc w:val="right"/>
              <w:rPr>
                <w:sz w:val="18"/>
                <w:szCs w:val="18"/>
              </w:rPr>
            </w:pPr>
            <w:r>
              <w:rPr>
                <w:sz w:val="18"/>
                <w:szCs w:val="18"/>
              </w:rPr>
              <w:t>0</w:t>
            </w:r>
          </w:p>
        </w:tc>
        <w:tc>
          <w:tcPr>
            <w:tcW w:w="720" w:type="dxa"/>
            <w:shd w:val="clear" w:color="auto" w:fill="auto"/>
            <w:tcMar>
              <w:left w:w="14" w:type="dxa"/>
              <w:right w:w="14" w:type="dxa"/>
            </w:tcMar>
          </w:tcPr>
          <w:p w14:paraId="01D13CC4" w14:textId="77777777" w:rsidR="000A5743" w:rsidRPr="009029C8" w:rsidRDefault="000A5743" w:rsidP="005D5A5E">
            <w:pPr>
              <w:spacing w:after="60"/>
              <w:jc w:val="right"/>
              <w:rPr>
                <w:sz w:val="18"/>
                <w:szCs w:val="18"/>
              </w:rPr>
            </w:pPr>
            <w:r>
              <w:rPr>
                <w:sz w:val="18"/>
                <w:szCs w:val="18"/>
              </w:rPr>
              <w:t>7 957*</w:t>
            </w:r>
          </w:p>
        </w:tc>
        <w:tc>
          <w:tcPr>
            <w:tcW w:w="630" w:type="dxa"/>
            <w:shd w:val="clear" w:color="auto" w:fill="auto"/>
            <w:tcMar>
              <w:left w:w="14" w:type="dxa"/>
              <w:right w:w="14" w:type="dxa"/>
            </w:tcMar>
          </w:tcPr>
          <w:p w14:paraId="5314EEA3" w14:textId="77777777" w:rsidR="000A5743" w:rsidRPr="009029C8" w:rsidRDefault="000A5743" w:rsidP="005D5A5E">
            <w:pPr>
              <w:spacing w:after="60"/>
              <w:jc w:val="right"/>
              <w:rPr>
                <w:sz w:val="18"/>
                <w:szCs w:val="18"/>
              </w:rPr>
            </w:pPr>
            <w:r>
              <w:rPr>
                <w:sz w:val="18"/>
                <w:szCs w:val="18"/>
              </w:rPr>
              <w:t>0</w:t>
            </w:r>
          </w:p>
        </w:tc>
        <w:tc>
          <w:tcPr>
            <w:tcW w:w="540" w:type="dxa"/>
            <w:shd w:val="clear" w:color="auto" w:fill="auto"/>
            <w:tcMar>
              <w:left w:w="14" w:type="dxa"/>
              <w:right w:w="14" w:type="dxa"/>
            </w:tcMar>
          </w:tcPr>
          <w:p w14:paraId="6513CF56"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44060B35" w14:textId="77777777" w:rsidR="000A5743" w:rsidRPr="009029C8" w:rsidRDefault="000A5743" w:rsidP="005D5A5E">
            <w:pPr>
              <w:spacing w:after="60"/>
              <w:jc w:val="right"/>
              <w:rPr>
                <w:sz w:val="18"/>
                <w:szCs w:val="18"/>
              </w:rPr>
            </w:pPr>
            <w:r>
              <w:rPr>
                <w:sz w:val="18"/>
                <w:szCs w:val="18"/>
              </w:rPr>
              <w:t>6 237</w:t>
            </w:r>
          </w:p>
        </w:tc>
        <w:tc>
          <w:tcPr>
            <w:tcW w:w="540" w:type="dxa"/>
            <w:shd w:val="clear" w:color="auto" w:fill="auto"/>
            <w:tcMar>
              <w:left w:w="14" w:type="dxa"/>
              <w:right w:w="14" w:type="dxa"/>
            </w:tcMar>
          </w:tcPr>
          <w:p w14:paraId="36E8B87C" w14:textId="77777777" w:rsidR="000A5743" w:rsidRPr="009029C8" w:rsidRDefault="000A5743" w:rsidP="005D5A5E">
            <w:pPr>
              <w:spacing w:after="60"/>
              <w:jc w:val="right"/>
              <w:rPr>
                <w:sz w:val="18"/>
                <w:szCs w:val="18"/>
              </w:rPr>
            </w:pPr>
            <w:r>
              <w:rPr>
                <w:sz w:val="18"/>
                <w:szCs w:val="18"/>
              </w:rPr>
              <w:t>0</w:t>
            </w:r>
          </w:p>
        </w:tc>
        <w:tc>
          <w:tcPr>
            <w:tcW w:w="630" w:type="dxa"/>
            <w:shd w:val="clear" w:color="auto" w:fill="auto"/>
            <w:tcMar>
              <w:left w:w="14" w:type="dxa"/>
              <w:right w:w="14" w:type="dxa"/>
            </w:tcMar>
          </w:tcPr>
          <w:p w14:paraId="18FA4AC9" w14:textId="77777777" w:rsidR="000A5743" w:rsidRPr="009029C8" w:rsidRDefault="000A5743" w:rsidP="005D5A5E">
            <w:pPr>
              <w:spacing w:after="60"/>
              <w:jc w:val="right"/>
              <w:rPr>
                <w:sz w:val="18"/>
                <w:szCs w:val="18"/>
              </w:rPr>
            </w:pPr>
            <w:r>
              <w:rPr>
                <w:sz w:val="18"/>
                <w:szCs w:val="18"/>
              </w:rPr>
              <w:t>0</w:t>
            </w:r>
          </w:p>
        </w:tc>
        <w:tc>
          <w:tcPr>
            <w:tcW w:w="842" w:type="dxa"/>
            <w:shd w:val="clear" w:color="auto" w:fill="auto"/>
            <w:tcMar>
              <w:left w:w="14" w:type="dxa"/>
              <w:right w:w="14" w:type="dxa"/>
            </w:tcMar>
          </w:tcPr>
          <w:p w14:paraId="5513BD69" w14:textId="77777777" w:rsidR="000A5743" w:rsidRPr="009029C8" w:rsidRDefault="000A5743" w:rsidP="005D5A5E">
            <w:pPr>
              <w:spacing w:after="60"/>
              <w:jc w:val="right"/>
              <w:rPr>
                <w:sz w:val="18"/>
                <w:szCs w:val="18"/>
              </w:rPr>
            </w:pPr>
            <w:r>
              <w:rPr>
                <w:sz w:val="18"/>
                <w:szCs w:val="18"/>
              </w:rPr>
              <w:t>34 068*</w:t>
            </w:r>
          </w:p>
        </w:tc>
      </w:tr>
      <w:tr w:rsidR="00B508E7" w:rsidRPr="00FB3E75" w14:paraId="4344A5FD" w14:textId="77777777" w:rsidTr="00054661">
        <w:trPr>
          <w:trHeight w:val="427"/>
        </w:trPr>
        <w:tc>
          <w:tcPr>
            <w:tcW w:w="2164" w:type="dxa"/>
            <w:gridSpan w:val="2"/>
            <w:vMerge w:val="restart"/>
            <w:shd w:val="clear" w:color="auto" w:fill="auto"/>
          </w:tcPr>
          <w:p w14:paraId="170B4095" w14:textId="44A0AC6B" w:rsidR="000A5743" w:rsidRPr="009029C8" w:rsidRDefault="000A5743" w:rsidP="0036736D">
            <w:pPr>
              <w:spacing w:after="60"/>
              <w:jc w:val="left"/>
              <w:rPr>
                <w:sz w:val="18"/>
                <w:szCs w:val="18"/>
              </w:rPr>
            </w:pPr>
            <w:r>
              <w:rPr>
                <w:sz w:val="18"/>
                <w:szCs w:val="18"/>
              </w:rPr>
              <w:t>Fonds totaux demandés pour approbation à cette réunion ($US)</w:t>
            </w:r>
          </w:p>
        </w:tc>
        <w:tc>
          <w:tcPr>
            <w:tcW w:w="1350" w:type="dxa"/>
            <w:shd w:val="clear" w:color="auto" w:fill="auto"/>
          </w:tcPr>
          <w:p w14:paraId="25B94236" w14:textId="77777777" w:rsidR="000A5743" w:rsidRPr="009029C8" w:rsidRDefault="000A5743" w:rsidP="005D5A5E">
            <w:pPr>
              <w:spacing w:after="60"/>
              <w:rPr>
                <w:sz w:val="18"/>
                <w:szCs w:val="18"/>
              </w:rPr>
            </w:pPr>
            <w:r>
              <w:rPr>
                <w:sz w:val="18"/>
                <w:szCs w:val="18"/>
              </w:rPr>
              <w:t>Coûts de projet</w:t>
            </w:r>
          </w:p>
        </w:tc>
        <w:tc>
          <w:tcPr>
            <w:tcW w:w="720" w:type="dxa"/>
            <w:shd w:val="clear" w:color="auto" w:fill="auto"/>
            <w:tcMar>
              <w:left w:w="14" w:type="dxa"/>
              <w:right w:w="14" w:type="dxa"/>
            </w:tcMar>
          </w:tcPr>
          <w:p w14:paraId="4F2DE04B"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2E026C72"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2E072B08"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640A8EAC" w14:textId="77777777" w:rsidR="000A5743" w:rsidRPr="009029C8" w:rsidRDefault="000A5743" w:rsidP="005D5A5E">
            <w:pPr>
              <w:spacing w:after="60"/>
              <w:jc w:val="right"/>
              <w:rPr>
                <w:sz w:val="18"/>
                <w:szCs w:val="18"/>
              </w:rPr>
            </w:pPr>
          </w:p>
        </w:tc>
        <w:tc>
          <w:tcPr>
            <w:tcW w:w="720" w:type="dxa"/>
            <w:shd w:val="clear" w:color="auto" w:fill="auto"/>
            <w:tcMar>
              <w:left w:w="14" w:type="dxa"/>
              <w:right w:w="14" w:type="dxa"/>
            </w:tcMar>
          </w:tcPr>
          <w:p w14:paraId="0410423E"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7EC9EB42"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23533FA9"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4BBDF376"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5131D121"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7F30C1F7" w14:textId="77777777" w:rsidR="000A5743" w:rsidRPr="009029C8" w:rsidRDefault="000A5743" w:rsidP="005D5A5E">
            <w:pPr>
              <w:spacing w:after="60"/>
              <w:jc w:val="right"/>
              <w:rPr>
                <w:sz w:val="18"/>
                <w:szCs w:val="18"/>
              </w:rPr>
            </w:pPr>
            <w:r>
              <w:rPr>
                <w:sz w:val="18"/>
                <w:szCs w:val="18"/>
              </w:rPr>
              <w:t>33 000</w:t>
            </w:r>
          </w:p>
        </w:tc>
        <w:tc>
          <w:tcPr>
            <w:tcW w:w="842" w:type="dxa"/>
            <w:shd w:val="clear" w:color="auto" w:fill="auto"/>
            <w:tcMar>
              <w:left w:w="14" w:type="dxa"/>
              <w:right w:w="14" w:type="dxa"/>
            </w:tcMar>
          </w:tcPr>
          <w:p w14:paraId="0C8E1EEA" w14:textId="77777777" w:rsidR="000A5743" w:rsidRPr="009029C8" w:rsidRDefault="000A5743" w:rsidP="005D5A5E">
            <w:pPr>
              <w:spacing w:after="60"/>
              <w:jc w:val="right"/>
              <w:rPr>
                <w:sz w:val="18"/>
                <w:szCs w:val="18"/>
              </w:rPr>
            </w:pPr>
            <w:r>
              <w:rPr>
                <w:sz w:val="18"/>
                <w:szCs w:val="18"/>
              </w:rPr>
              <w:t>33 000</w:t>
            </w:r>
          </w:p>
        </w:tc>
      </w:tr>
      <w:tr w:rsidR="00B508E7" w:rsidRPr="00FB3E75" w14:paraId="48FFAE0A" w14:textId="77777777" w:rsidTr="00054661">
        <w:trPr>
          <w:trHeight w:val="259"/>
        </w:trPr>
        <w:tc>
          <w:tcPr>
            <w:tcW w:w="2164" w:type="dxa"/>
            <w:gridSpan w:val="2"/>
            <w:vMerge/>
            <w:shd w:val="clear" w:color="auto" w:fill="auto"/>
          </w:tcPr>
          <w:p w14:paraId="3BA0B07B" w14:textId="77777777" w:rsidR="000A5743" w:rsidRPr="009029C8" w:rsidRDefault="000A5743" w:rsidP="005D5A5E">
            <w:pPr>
              <w:spacing w:after="60"/>
              <w:jc w:val="center"/>
              <w:rPr>
                <w:sz w:val="18"/>
                <w:szCs w:val="18"/>
              </w:rPr>
            </w:pPr>
          </w:p>
        </w:tc>
        <w:tc>
          <w:tcPr>
            <w:tcW w:w="1350" w:type="dxa"/>
            <w:shd w:val="clear" w:color="auto" w:fill="auto"/>
          </w:tcPr>
          <w:p w14:paraId="1E9F22CC" w14:textId="77777777" w:rsidR="000A5743" w:rsidRPr="009029C8" w:rsidRDefault="000A5743" w:rsidP="005D5A5E">
            <w:pPr>
              <w:spacing w:after="60"/>
              <w:rPr>
                <w:sz w:val="18"/>
                <w:szCs w:val="18"/>
              </w:rPr>
            </w:pPr>
            <w:r>
              <w:rPr>
                <w:sz w:val="18"/>
                <w:szCs w:val="18"/>
              </w:rPr>
              <w:t>Coûts d’appui</w:t>
            </w:r>
          </w:p>
        </w:tc>
        <w:tc>
          <w:tcPr>
            <w:tcW w:w="720" w:type="dxa"/>
            <w:shd w:val="clear" w:color="auto" w:fill="auto"/>
            <w:tcMar>
              <w:left w:w="14" w:type="dxa"/>
              <w:right w:w="14" w:type="dxa"/>
            </w:tcMar>
          </w:tcPr>
          <w:p w14:paraId="5A06A3DB"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4BC8E7CB"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75712B6A"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119B6517" w14:textId="77777777" w:rsidR="000A5743" w:rsidRPr="009029C8" w:rsidRDefault="000A5743" w:rsidP="005D5A5E">
            <w:pPr>
              <w:spacing w:after="60"/>
              <w:jc w:val="right"/>
              <w:rPr>
                <w:sz w:val="18"/>
                <w:szCs w:val="18"/>
              </w:rPr>
            </w:pPr>
          </w:p>
        </w:tc>
        <w:tc>
          <w:tcPr>
            <w:tcW w:w="720" w:type="dxa"/>
            <w:shd w:val="clear" w:color="auto" w:fill="auto"/>
            <w:tcMar>
              <w:left w:w="14" w:type="dxa"/>
              <w:right w:w="14" w:type="dxa"/>
            </w:tcMar>
          </w:tcPr>
          <w:p w14:paraId="1181E645"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3F6BA069"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1EF5B097"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52845F88" w14:textId="77777777" w:rsidR="000A5743" w:rsidRPr="009029C8" w:rsidRDefault="000A5743" w:rsidP="005D5A5E">
            <w:pPr>
              <w:spacing w:after="60"/>
              <w:jc w:val="right"/>
              <w:rPr>
                <w:sz w:val="18"/>
                <w:szCs w:val="18"/>
              </w:rPr>
            </w:pPr>
          </w:p>
        </w:tc>
        <w:tc>
          <w:tcPr>
            <w:tcW w:w="540" w:type="dxa"/>
            <w:shd w:val="clear" w:color="auto" w:fill="auto"/>
            <w:tcMar>
              <w:left w:w="14" w:type="dxa"/>
              <w:right w:w="14" w:type="dxa"/>
            </w:tcMar>
          </w:tcPr>
          <w:p w14:paraId="3B51B39B" w14:textId="77777777" w:rsidR="000A5743" w:rsidRPr="009029C8" w:rsidRDefault="000A5743" w:rsidP="005D5A5E">
            <w:pPr>
              <w:spacing w:after="60"/>
              <w:jc w:val="right"/>
              <w:rPr>
                <w:sz w:val="18"/>
                <w:szCs w:val="18"/>
              </w:rPr>
            </w:pPr>
          </w:p>
        </w:tc>
        <w:tc>
          <w:tcPr>
            <w:tcW w:w="630" w:type="dxa"/>
            <w:shd w:val="clear" w:color="auto" w:fill="auto"/>
            <w:tcMar>
              <w:left w:w="14" w:type="dxa"/>
              <w:right w:w="14" w:type="dxa"/>
            </w:tcMar>
          </w:tcPr>
          <w:p w14:paraId="48641AEC" w14:textId="77777777" w:rsidR="000A5743" w:rsidRPr="009029C8" w:rsidRDefault="000A5743" w:rsidP="005D5A5E">
            <w:pPr>
              <w:spacing w:after="60"/>
              <w:jc w:val="right"/>
              <w:rPr>
                <w:sz w:val="18"/>
                <w:szCs w:val="18"/>
              </w:rPr>
            </w:pPr>
            <w:r>
              <w:rPr>
                <w:sz w:val="18"/>
                <w:szCs w:val="18"/>
              </w:rPr>
              <w:t>2 475</w:t>
            </w:r>
          </w:p>
        </w:tc>
        <w:tc>
          <w:tcPr>
            <w:tcW w:w="842" w:type="dxa"/>
            <w:shd w:val="clear" w:color="auto" w:fill="auto"/>
            <w:tcMar>
              <w:left w:w="14" w:type="dxa"/>
              <w:right w:w="14" w:type="dxa"/>
            </w:tcMar>
          </w:tcPr>
          <w:p w14:paraId="4369B2DD" w14:textId="77777777" w:rsidR="000A5743" w:rsidRPr="009029C8" w:rsidRDefault="000A5743" w:rsidP="005D5A5E">
            <w:pPr>
              <w:spacing w:after="60"/>
              <w:jc w:val="right"/>
              <w:rPr>
                <w:sz w:val="18"/>
                <w:szCs w:val="18"/>
              </w:rPr>
            </w:pPr>
            <w:r>
              <w:rPr>
                <w:sz w:val="18"/>
                <w:szCs w:val="18"/>
              </w:rPr>
              <w:t>2 475</w:t>
            </w:r>
          </w:p>
        </w:tc>
      </w:tr>
    </w:tbl>
    <w:p w14:paraId="52CE9672" w14:textId="12841812" w:rsidR="009029C8" w:rsidRPr="00054661" w:rsidRDefault="000A5743" w:rsidP="00054661">
      <w:pPr>
        <w:rPr>
          <w:spacing w:val="-4"/>
          <w:sz w:val="16"/>
          <w:szCs w:val="16"/>
        </w:rPr>
      </w:pPr>
      <w:r>
        <w:rPr>
          <w:sz w:val="16"/>
          <w:szCs w:val="16"/>
        </w:rPr>
        <w:t>* Y compris la déduction de la clause de pénalité de 15 pour cent appliquée au financement convenu de 45 000 $US et aux coûts d’appui de l</w:t>
      </w:r>
      <w:r w:rsidR="00FF17A4">
        <w:rPr>
          <w:sz w:val="16"/>
          <w:szCs w:val="16"/>
        </w:rPr>
        <w:t>’</w:t>
      </w:r>
      <w:r>
        <w:rPr>
          <w:sz w:val="16"/>
          <w:szCs w:val="16"/>
        </w:rPr>
        <w:t>agence de 5 850 $US pour la troisième tranche (décision 75/59(c)).</w:t>
      </w: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0A5743" w:rsidRPr="00FB3E75" w14:paraId="05284E92" w14:textId="77777777" w:rsidTr="000A5743">
        <w:trPr>
          <w:trHeight w:val="240"/>
        </w:trPr>
        <w:tc>
          <w:tcPr>
            <w:tcW w:w="3000" w:type="dxa"/>
            <w:shd w:val="clear" w:color="auto" w:fill="auto"/>
          </w:tcPr>
          <w:p w14:paraId="74D83C9D" w14:textId="3E441165" w:rsidR="000A5743" w:rsidRPr="00FB3E75" w:rsidRDefault="00620D3D" w:rsidP="005D5A5E">
            <w:pPr>
              <w:spacing w:after="60"/>
              <w:rPr>
                <w:b/>
                <w:sz w:val="16"/>
                <w:szCs w:val="16"/>
              </w:rPr>
            </w:pPr>
            <w:r>
              <w:rPr>
                <w:b/>
                <w:sz w:val="16"/>
                <w:szCs w:val="16"/>
              </w:rPr>
              <w:t>Recommandation</w:t>
            </w:r>
            <w:r w:rsidR="000A5743">
              <w:rPr>
                <w:b/>
                <w:sz w:val="16"/>
                <w:szCs w:val="16"/>
              </w:rPr>
              <w:t xml:space="preserve"> du Secrétariat :</w:t>
            </w:r>
          </w:p>
        </w:tc>
        <w:tc>
          <w:tcPr>
            <w:tcW w:w="7000" w:type="dxa"/>
            <w:shd w:val="clear" w:color="auto" w:fill="auto"/>
          </w:tcPr>
          <w:p w14:paraId="269A3678" w14:textId="77777777" w:rsidR="000A5743" w:rsidRPr="00FB3E75" w:rsidRDefault="000A5743" w:rsidP="005D5A5E">
            <w:pPr>
              <w:spacing w:after="60"/>
              <w:jc w:val="center"/>
              <w:rPr>
                <w:sz w:val="16"/>
                <w:szCs w:val="16"/>
              </w:rPr>
            </w:pPr>
            <w:r>
              <w:rPr>
                <w:sz w:val="16"/>
                <w:szCs w:val="16"/>
              </w:rPr>
              <w:t>Approbation générale</w:t>
            </w:r>
          </w:p>
        </w:tc>
      </w:tr>
    </w:tbl>
    <w:p w14:paraId="442D8297" w14:textId="3C0D3D0D" w:rsidR="0015064F" w:rsidRDefault="0015064F" w:rsidP="005D5A5E">
      <w:pPr>
        <w:jc w:val="center"/>
        <w:rPr>
          <w:b/>
          <w:lang w:val="en-CA"/>
        </w:rPr>
      </w:pPr>
    </w:p>
    <w:p w14:paraId="62EC0286" w14:textId="77777777" w:rsidR="0015064F" w:rsidRDefault="0015064F">
      <w:pPr>
        <w:jc w:val="left"/>
        <w:rPr>
          <w:b/>
          <w:lang w:val="en-CA"/>
        </w:rPr>
      </w:pPr>
      <w:r>
        <w:rPr>
          <w:b/>
          <w:lang w:val="en-CA"/>
        </w:rPr>
        <w:lastRenderedPageBreak/>
        <w:br w:type="page"/>
      </w:r>
    </w:p>
    <w:p w14:paraId="5BADF7EE" w14:textId="77777777" w:rsidR="009029C8" w:rsidRDefault="009029C8" w:rsidP="005D5A5E">
      <w:pPr>
        <w:jc w:val="center"/>
        <w:rPr>
          <w:b/>
          <w:lang w:val="en-CA"/>
        </w:rPr>
      </w:pPr>
    </w:p>
    <w:p w14:paraId="23349060" w14:textId="77777777" w:rsidR="0015064F" w:rsidRDefault="0015064F" w:rsidP="005D5A5E">
      <w:pPr>
        <w:jc w:val="center"/>
        <w:rPr>
          <w:b/>
          <w:lang w:val="en-CA"/>
        </w:rPr>
      </w:pPr>
    </w:p>
    <w:p w14:paraId="1B4D9FD3" w14:textId="398388E7" w:rsidR="00D54581" w:rsidRPr="00FE3307" w:rsidRDefault="00D54581" w:rsidP="005D5A5E">
      <w:pPr>
        <w:jc w:val="center"/>
        <w:rPr>
          <w:b/>
        </w:rPr>
      </w:pPr>
      <w:r>
        <w:rPr>
          <w:b/>
        </w:rPr>
        <w:t>DESCRIPTION DU PROJET</w:t>
      </w:r>
    </w:p>
    <w:p w14:paraId="0BF91116" w14:textId="77777777" w:rsidR="00D54581" w:rsidRPr="00FE3307" w:rsidRDefault="00D54581" w:rsidP="005D5A5E">
      <w:pPr>
        <w:rPr>
          <w:lang w:val="en-CA"/>
        </w:rPr>
      </w:pPr>
    </w:p>
    <w:p w14:paraId="6D112BA4" w14:textId="1114F2A5" w:rsidR="00D54581" w:rsidRPr="00FE3307" w:rsidRDefault="000A5743" w:rsidP="005D5A5E">
      <w:pPr>
        <w:pStyle w:val="Heading1"/>
      </w:pPr>
      <w:r>
        <w:t>Au nom du gouvernement du Guatemala, l</w:t>
      </w:r>
      <w:r w:rsidR="00FF17A4">
        <w:t>’</w:t>
      </w:r>
      <w:r w:rsidR="00620D3D">
        <w:t>ONUDI</w:t>
      </w:r>
      <w:r>
        <w:t xml:space="preserve"> a présenté</w:t>
      </w:r>
      <w:r w:rsidR="00620D3D">
        <w:t>,</w:t>
      </w:r>
      <w:r>
        <w:t xml:space="preserve"> en sa qualité d’agence d</w:t>
      </w:r>
      <w:r w:rsidR="00FF17A4">
        <w:t>’</w:t>
      </w:r>
      <w:r>
        <w:t>exécution désignée, une demande de financement pour la cinquième et dernière tranche de la phase I du plan de gestion de l</w:t>
      </w:r>
      <w:r w:rsidR="00FF17A4">
        <w:t>’</w:t>
      </w:r>
      <w:r>
        <w:t xml:space="preserve">élimination progressive des HCFC (PGEH), pour un montant de 33 000 $US, plus </w:t>
      </w:r>
      <w:r w:rsidR="00620D3D">
        <w:t>les coûts</w:t>
      </w:r>
      <w:r>
        <w:t xml:space="preserve"> d</w:t>
      </w:r>
      <w:r w:rsidR="00FF17A4">
        <w:t>’</w:t>
      </w:r>
      <w:r>
        <w:t>appui d’agence de 2 475 $US pour l</w:t>
      </w:r>
      <w:r w:rsidR="00FF17A4">
        <w:t>’</w:t>
      </w:r>
      <w:r>
        <w:t>ONUDI seulement.</w:t>
      </w:r>
      <w:r w:rsidR="00D54581" w:rsidRPr="00CF641A">
        <w:rPr>
          <w:rStyle w:val="FootnoteReference"/>
          <w:lang w:val="en-CA"/>
        </w:rPr>
        <w:footnoteReference w:id="1"/>
      </w:r>
      <w:r>
        <w:t xml:space="preserve"> La présentation comporte un rapport périodique sur la mise en œuvre de la quatrième tranche, et le plan de mise en œuvre de la tranche pour 2020 à 2021.</w:t>
      </w:r>
    </w:p>
    <w:p w14:paraId="46C42AB0" w14:textId="77777777" w:rsidR="00D54581" w:rsidRPr="00CF074B" w:rsidRDefault="00D54581" w:rsidP="005D5A5E">
      <w:pPr>
        <w:rPr>
          <w:u w:val="single"/>
        </w:rPr>
      </w:pPr>
      <w:r>
        <w:rPr>
          <w:u w:val="single"/>
        </w:rPr>
        <w:t>Rapport sur la consommation de HCFC</w:t>
      </w:r>
    </w:p>
    <w:p w14:paraId="6EA6825E" w14:textId="77777777" w:rsidR="00D54581" w:rsidRPr="00054661" w:rsidRDefault="00D54581" w:rsidP="005D5A5E">
      <w:pPr>
        <w:rPr>
          <w:lang w:val="fr-CA"/>
        </w:rPr>
      </w:pPr>
    </w:p>
    <w:p w14:paraId="04E44797" w14:textId="73FC7AD1" w:rsidR="00D54581" w:rsidRPr="00CF074B" w:rsidRDefault="00620D3D" w:rsidP="005D5A5E">
      <w:pPr>
        <w:pStyle w:val="Heading1"/>
      </w:pPr>
      <w:r>
        <w:t>Le gouvernement du Guatemala a fait état d’</w:t>
      </w:r>
      <w:r w:rsidR="00D54581">
        <w:t xml:space="preserve">une consommation de 3,19 tonnes PAO de HCFC en 2019, ce qui est </w:t>
      </w:r>
      <w:r>
        <w:t xml:space="preserve">inférieur à </w:t>
      </w:r>
      <w:r w:rsidR="00D54581">
        <w:t xml:space="preserve">62 pour cent </w:t>
      </w:r>
      <w:r>
        <w:t>par rapport</w:t>
      </w:r>
      <w:r w:rsidR="00D54581">
        <w:t xml:space="preserve"> à la valeur de référence de HCFC requise pour garantir une conformité. La consommation de HCFC pour la période 2015-2019 est présentée dans le Tableau 1 ci-après : </w:t>
      </w:r>
    </w:p>
    <w:p w14:paraId="449B0DA6" w14:textId="77777777" w:rsidR="00D54581" w:rsidRPr="00FE3307" w:rsidRDefault="00D54581" w:rsidP="005D5A5E">
      <w:pPr>
        <w:rPr>
          <w:b/>
        </w:rPr>
      </w:pPr>
      <w:bookmarkStart w:id="1" w:name="_Hlk37147660"/>
      <w:r>
        <w:rPr>
          <w:b/>
        </w:rPr>
        <w:t>Tableau 1. Consommation de HPFC au Guatemala (données de l’article 7 pour 2015‑2019)</w:t>
      </w:r>
    </w:p>
    <w:tbl>
      <w:tblPr>
        <w:tblW w:w="9511" w:type="dxa"/>
        <w:tblLayout w:type="fixed"/>
        <w:tblLook w:val="04A0" w:firstRow="1" w:lastRow="0" w:firstColumn="1" w:lastColumn="0" w:noHBand="0" w:noVBand="1"/>
      </w:tblPr>
      <w:tblGrid>
        <w:gridCol w:w="3020"/>
        <w:gridCol w:w="851"/>
        <w:gridCol w:w="992"/>
        <w:gridCol w:w="992"/>
        <w:gridCol w:w="992"/>
        <w:gridCol w:w="807"/>
        <w:gridCol w:w="1857"/>
      </w:tblGrid>
      <w:tr w:rsidR="0015064F" w:rsidRPr="006C1FD2" w14:paraId="0C820C53" w14:textId="77777777" w:rsidTr="0015064F">
        <w:trPr>
          <w:trHeight w:val="253"/>
          <w:tblHeader/>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677013" w14:textId="77777777" w:rsidR="00D54581" w:rsidRPr="006C1FD2" w:rsidRDefault="00D54581" w:rsidP="005D5A5E">
            <w:pPr>
              <w:widowControl w:val="0"/>
              <w:jc w:val="left"/>
              <w:rPr>
                <w:b/>
                <w:bCs/>
                <w:color w:val="000000"/>
                <w:sz w:val="20"/>
                <w:szCs w:val="20"/>
              </w:rPr>
            </w:pPr>
            <w:r>
              <w:rPr>
                <w:b/>
                <w:bCs/>
                <w:color w:val="000000"/>
                <w:sz w:val="20"/>
                <w:szCs w:val="20"/>
              </w:rPr>
              <w:t>HCFC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43496B" w14:textId="77777777" w:rsidR="00D54581" w:rsidRPr="006C1FD2" w:rsidRDefault="00D54581" w:rsidP="005D5A5E">
            <w:pPr>
              <w:widowControl w:val="0"/>
              <w:jc w:val="center"/>
              <w:rPr>
                <w:b/>
                <w:bCs/>
                <w:color w:val="000000"/>
                <w:sz w:val="20"/>
                <w:szCs w:val="20"/>
              </w:rPr>
            </w:pPr>
            <w:r>
              <w:rPr>
                <w:b/>
                <w:bCs/>
                <w:color w:val="000000"/>
                <w:sz w:val="20"/>
                <w:szCs w:val="20"/>
              </w:rPr>
              <w:t>2015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645069" w14:textId="77777777" w:rsidR="00D54581" w:rsidRPr="006C1FD2" w:rsidRDefault="00D54581" w:rsidP="005D5A5E">
            <w:pPr>
              <w:widowControl w:val="0"/>
              <w:jc w:val="center"/>
              <w:rPr>
                <w:b/>
                <w:bCs/>
                <w:color w:val="000000"/>
                <w:sz w:val="20"/>
                <w:szCs w:val="20"/>
              </w:rPr>
            </w:pPr>
            <w:r>
              <w:rPr>
                <w:b/>
                <w:bCs/>
                <w:color w:val="000000"/>
                <w:sz w:val="20"/>
                <w:szCs w:val="20"/>
              </w:rPr>
              <w:t>2016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6D8B02" w14:textId="77777777" w:rsidR="00D54581" w:rsidRPr="006C1FD2" w:rsidRDefault="00D54581" w:rsidP="005D5A5E">
            <w:pPr>
              <w:widowControl w:val="0"/>
              <w:jc w:val="center"/>
              <w:rPr>
                <w:b/>
                <w:bCs/>
                <w:color w:val="000000"/>
                <w:sz w:val="20"/>
                <w:szCs w:val="20"/>
              </w:rPr>
            </w:pPr>
            <w:r>
              <w:rPr>
                <w:b/>
                <w:bCs/>
                <w:color w:val="000000"/>
                <w:sz w:val="20"/>
                <w:szCs w:val="20"/>
              </w:rPr>
              <w:t>2017</w:t>
            </w:r>
          </w:p>
        </w:tc>
        <w:tc>
          <w:tcPr>
            <w:tcW w:w="992" w:type="dxa"/>
            <w:tcBorders>
              <w:top w:val="single" w:sz="4" w:space="0" w:color="auto"/>
              <w:left w:val="nil"/>
              <w:bottom w:val="single" w:sz="4" w:space="0" w:color="auto"/>
              <w:right w:val="single" w:sz="4" w:space="0" w:color="auto"/>
            </w:tcBorders>
          </w:tcPr>
          <w:p w14:paraId="6E7AB4C6" w14:textId="77777777" w:rsidR="00D54581" w:rsidRPr="006C1FD2" w:rsidRDefault="00D54581" w:rsidP="005D5A5E">
            <w:pPr>
              <w:widowControl w:val="0"/>
              <w:jc w:val="center"/>
              <w:rPr>
                <w:b/>
                <w:bCs/>
                <w:color w:val="000000"/>
                <w:sz w:val="20"/>
                <w:szCs w:val="20"/>
              </w:rPr>
            </w:pPr>
            <w:r>
              <w:rPr>
                <w:b/>
                <w:bCs/>
                <w:color w:val="000000"/>
                <w:sz w:val="20"/>
                <w:szCs w:val="20"/>
              </w:rPr>
              <w:t>2018</w:t>
            </w:r>
          </w:p>
        </w:tc>
        <w:tc>
          <w:tcPr>
            <w:tcW w:w="807" w:type="dxa"/>
            <w:tcBorders>
              <w:top w:val="single" w:sz="4" w:space="0" w:color="auto"/>
              <w:left w:val="single" w:sz="4" w:space="0" w:color="auto"/>
              <w:bottom w:val="single" w:sz="4" w:space="0" w:color="auto"/>
              <w:right w:val="single" w:sz="4" w:space="0" w:color="auto"/>
            </w:tcBorders>
          </w:tcPr>
          <w:p w14:paraId="7476033E" w14:textId="77777777" w:rsidR="00D54581" w:rsidRPr="006C1FD2" w:rsidRDefault="00D54581" w:rsidP="005D5A5E">
            <w:pPr>
              <w:widowControl w:val="0"/>
              <w:jc w:val="center"/>
              <w:rPr>
                <w:b/>
                <w:bCs/>
                <w:color w:val="000000"/>
                <w:sz w:val="20"/>
                <w:szCs w:val="20"/>
              </w:rPr>
            </w:pPr>
            <w:r>
              <w:rPr>
                <w:b/>
                <w:bCs/>
                <w:color w:val="000000"/>
                <w:sz w:val="20"/>
                <w:szCs w:val="20"/>
              </w:rPr>
              <w:t>2019*</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5057" w14:textId="77777777" w:rsidR="00D54581" w:rsidRPr="006C1FD2" w:rsidRDefault="00D54581" w:rsidP="005D5A5E">
            <w:pPr>
              <w:widowControl w:val="0"/>
              <w:jc w:val="center"/>
              <w:rPr>
                <w:b/>
                <w:bCs/>
                <w:color w:val="000000"/>
                <w:sz w:val="20"/>
                <w:szCs w:val="20"/>
              </w:rPr>
            </w:pPr>
            <w:r>
              <w:rPr>
                <w:b/>
                <w:bCs/>
                <w:color w:val="000000"/>
                <w:sz w:val="20"/>
                <w:szCs w:val="20"/>
              </w:rPr>
              <w:t>Valeur de référence</w:t>
            </w:r>
          </w:p>
        </w:tc>
      </w:tr>
      <w:tr w:rsidR="0036736D" w:rsidRPr="006C1FD2" w14:paraId="5CC61E1A" w14:textId="77777777" w:rsidTr="0015064F">
        <w:trPr>
          <w:trHeight w:val="253"/>
        </w:trPr>
        <w:tc>
          <w:tcPr>
            <w:tcW w:w="9511" w:type="dxa"/>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B05552" w14:textId="449D0969" w:rsidR="0036736D" w:rsidRPr="006C1FD2" w:rsidRDefault="0036736D" w:rsidP="0036736D">
            <w:pPr>
              <w:widowControl w:val="0"/>
              <w:jc w:val="left"/>
              <w:rPr>
                <w:b/>
                <w:bCs/>
                <w:color w:val="000000"/>
                <w:sz w:val="20"/>
                <w:szCs w:val="20"/>
              </w:rPr>
            </w:pPr>
            <w:r>
              <w:rPr>
                <w:b/>
                <w:bCs/>
                <w:color w:val="000000"/>
                <w:sz w:val="20"/>
                <w:szCs w:val="20"/>
              </w:rPr>
              <w:t>Tonnes métriques (tm)</w:t>
            </w:r>
          </w:p>
        </w:tc>
      </w:tr>
      <w:tr w:rsidR="0015064F" w:rsidRPr="006C1FD2" w14:paraId="50D5B8F0"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7DBA31" w14:textId="77777777" w:rsidR="00FA7CBB" w:rsidRPr="006C1FD2" w:rsidRDefault="00FA7CBB" w:rsidP="005D5A5E">
            <w:pPr>
              <w:widowControl w:val="0"/>
              <w:jc w:val="left"/>
              <w:rPr>
                <w:color w:val="000000"/>
                <w:sz w:val="20"/>
                <w:szCs w:val="20"/>
              </w:rPr>
            </w:pPr>
            <w:r>
              <w:rPr>
                <w:color w:val="000000"/>
                <w:sz w:val="20"/>
                <w:szCs w:val="20"/>
              </w:rPr>
              <w:t>HCFC-22</w:t>
            </w:r>
          </w:p>
        </w:tc>
        <w:tc>
          <w:tcPr>
            <w:tcW w:w="851"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6D5CAF1B" w14:textId="77777777" w:rsidR="00FA7CBB" w:rsidRPr="006C1FD2" w:rsidRDefault="00FA7CBB" w:rsidP="0015064F">
            <w:pPr>
              <w:widowControl w:val="0"/>
              <w:jc w:val="right"/>
              <w:rPr>
                <w:color w:val="000000"/>
                <w:sz w:val="20"/>
                <w:szCs w:val="20"/>
              </w:rPr>
            </w:pPr>
            <w:r>
              <w:rPr>
                <w:color w:val="000000"/>
                <w:sz w:val="20"/>
                <w:szCs w:val="20"/>
              </w:rPr>
              <w:t>61,80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7B69FB0" w14:textId="77777777" w:rsidR="00FA7CBB" w:rsidRPr="006C1FD2" w:rsidRDefault="00FA7CBB" w:rsidP="0015064F">
            <w:pPr>
              <w:widowControl w:val="0"/>
              <w:jc w:val="right"/>
              <w:rPr>
                <w:color w:val="000000"/>
                <w:sz w:val="20"/>
                <w:szCs w:val="20"/>
              </w:rPr>
            </w:pPr>
            <w:r>
              <w:rPr>
                <w:color w:val="000000"/>
                <w:sz w:val="20"/>
                <w:szCs w:val="20"/>
              </w:rPr>
              <w:t>66,97</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5418E699" w14:textId="77777777" w:rsidR="00FA7CBB" w:rsidRPr="006C1FD2" w:rsidRDefault="00FA7CBB" w:rsidP="0015064F">
            <w:pPr>
              <w:widowControl w:val="0"/>
              <w:jc w:val="right"/>
              <w:rPr>
                <w:color w:val="000000"/>
                <w:sz w:val="20"/>
                <w:szCs w:val="20"/>
              </w:rPr>
            </w:pPr>
            <w:r>
              <w:rPr>
                <w:color w:val="000000"/>
                <w:sz w:val="20"/>
                <w:szCs w:val="20"/>
              </w:rPr>
              <w:t>49,66</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5A53563E" w14:textId="3DE97083" w:rsidR="00FA7CBB" w:rsidRPr="006C1FD2" w:rsidRDefault="00991869" w:rsidP="0015064F">
            <w:pPr>
              <w:widowControl w:val="0"/>
              <w:jc w:val="right"/>
              <w:rPr>
                <w:color w:val="000000"/>
                <w:sz w:val="20"/>
                <w:szCs w:val="20"/>
              </w:rPr>
            </w:pPr>
            <w:r>
              <w:rPr>
                <w:color w:val="000000"/>
                <w:sz w:val="20"/>
                <w:szCs w:val="20"/>
              </w:rPr>
              <w:t>67,97</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4A20807C" w14:textId="67F64A67" w:rsidR="00FA7CBB" w:rsidRPr="006C1FD2" w:rsidRDefault="00991869" w:rsidP="0015064F">
            <w:pPr>
              <w:widowControl w:val="0"/>
              <w:jc w:val="right"/>
              <w:rPr>
                <w:color w:val="000000"/>
                <w:sz w:val="20"/>
                <w:szCs w:val="20"/>
              </w:rPr>
            </w:pPr>
            <w:r>
              <w:rPr>
                <w:color w:val="000000"/>
                <w:sz w:val="20"/>
                <w:szCs w:val="20"/>
              </w:rPr>
              <w:t>50,78</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5BEDE777" w14:textId="77777777" w:rsidR="00FA7CBB" w:rsidRPr="006C1FD2" w:rsidRDefault="00FA7CBB" w:rsidP="0015064F">
            <w:pPr>
              <w:widowControl w:val="0"/>
              <w:jc w:val="right"/>
              <w:rPr>
                <w:color w:val="000000"/>
                <w:sz w:val="20"/>
                <w:szCs w:val="20"/>
              </w:rPr>
            </w:pPr>
            <w:r>
              <w:rPr>
                <w:color w:val="000000"/>
                <w:sz w:val="20"/>
                <w:szCs w:val="20"/>
              </w:rPr>
              <w:t>126,9</w:t>
            </w:r>
          </w:p>
        </w:tc>
      </w:tr>
      <w:tr w:rsidR="0015064F" w:rsidRPr="006C1FD2" w14:paraId="756FFEA6"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24C0EE" w14:textId="77777777" w:rsidR="00FA7CBB" w:rsidRPr="006C1FD2" w:rsidRDefault="00FA7CBB" w:rsidP="005D5A5E">
            <w:pPr>
              <w:widowControl w:val="0"/>
              <w:jc w:val="left"/>
              <w:rPr>
                <w:color w:val="000000"/>
                <w:sz w:val="20"/>
                <w:szCs w:val="20"/>
              </w:rPr>
            </w:pPr>
            <w:r>
              <w:rPr>
                <w:color w:val="000000"/>
                <w:sz w:val="20"/>
                <w:szCs w:val="20"/>
              </w:rPr>
              <w:t>HCFC-123</w:t>
            </w:r>
          </w:p>
        </w:tc>
        <w:tc>
          <w:tcPr>
            <w:tcW w:w="851"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470A39F6"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6E5E617D" w14:textId="77777777" w:rsidR="00FA7CBB" w:rsidRPr="006C1FD2" w:rsidRDefault="00FA7CBB" w:rsidP="0015064F">
            <w:pPr>
              <w:widowControl w:val="0"/>
              <w:jc w:val="right"/>
              <w:rPr>
                <w:color w:val="000000"/>
                <w:sz w:val="20"/>
                <w:szCs w:val="20"/>
              </w:rPr>
            </w:pPr>
            <w:r>
              <w:rPr>
                <w:color w:val="000000"/>
                <w:sz w:val="20"/>
                <w:szCs w:val="20"/>
              </w:rPr>
              <w:t>0,45</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35CEF16C" w14:textId="77777777" w:rsidR="00FA7CBB" w:rsidRPr="006C1FD2" w:rsidRDefault="00FA7CBB" w:rsidP="0015064F">
            <w:pPr>
              <w:widowControl w:val="0"/>
              <w:jc w:val="right"/>
              <w:rPr>
                <w:color w:val="000000"/>
                <w:sz w:val="20"/>
                <w:szCs w:val="20"/>
              </w:rPr>
            </w:pPr>
            <w:r>
              <w:rPr>
                <w:color w:val="000000"/>
                <w:sz w:val="20"/>
                <w:szCs w:val="20"/>
              </w:rPr>
              <w:t>0,73</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5F107D32" w14:textId="4C7C69F2" w:rsidR="00FA7CBB" w:rsidRPr="006C1FD2" w:rsidRDefault="00991869" w:rsidP="0015064F">
            <w:pPr>
              <w:widowControl w:val="0"/>
              <w:jc w:val="right"/>
              <w:rPr>
                <w:color w:val="000000"/>
                <w:sz w:val="20"/>
                <w:szCs w:val="20"/>
              </w:rPr>
            </w:pPr>
            <w:r>
              <w:rPr>
                <w:color w:val="000000"/>
                <w:sz w:val="20"/>
                <w:szCs w:val="20"/>
              </w:rPr>
              <w:t>0,00</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169FD383" w14:textId="3C48C922" w:rsidR="00FA7CBB" w:rsidRPr="006C1FD2" w:rsidRDefault="00991869" w:rsidP="0015064F">
            <w:pPr>
              <w:widowControl w:val="0"/>
              <w:jc w:val="right"/>
              <w:rPr>
                <w:color w:val="000000"/>
                <w:sz w:val="20"/>
                <w:szCs w:val="20"/>
              </w:rPr>
            </w:pPr>
            <w:r>
              <w:rPr>
                <w:color w:val="000000"/>
                <w:sz w:val="20"/>
                <w:szCs w:val="20"/>
              </w:rPr>
              <w:t>0,54</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0C821518" w14:textId="77777777" w:rsidR="00FA7CBB" w:rsidRPr="006C1FD2" w:rsidRDefault="00FA7CBB" w:rsidP="0015064F">
            <w:pPr>
              <w:widowControl w:val="0"/>
              <w:jc w:val="right"/>
              <w:rPr>
                <w:color w:val="000000"/>
                <w:sz w:val="20"/>
                <w:szCs w:val="20"/>
              </w:rPr>
            </w:pPr>
            <w:r>
              <w:rPr>
                <w:color w:val="000000"/>
                <w:sz w:val="20"/>
                <w:szCs w:val="20"/>
              </w:rPr>
              <w:t>0,1</w:t>
            </w:r>
          </w:p>
        </w:tc>
      </w:tr>
      <w:tr w:rsidR="0015064F" w:rsidRPr="006C1FD2" w14:paraId="646970BF"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4892AB3" w14:textId="77777777" w:rsidR="00FA7CBB" w:rsidRPr="006C1FD2" w:rsidRDefault="00FA7CBB" w:rsidP="005D5A5E">
            <w:pPr>
              <w:widowControl w:val="0"/>
              <w:jc w:val="left"/>
              <w:rPr>
                <w:color w:val="000000"/>
                <w:sz w:val="20"/>
                <w:szCs w:val="20"/>
              </w:rPr>
            </w:pPr>
            <w:r>
              <w:rPr>
                <w:color w:val="000000"/>
                <w:sz w:val="20"/>
                <w:szCs w:val="20"/>
              </w:rPr>
              <w:t>HCFC-124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D3813BA" w14:textId="77777777" w:rsidR="00FA7CBB" w:rsidRPr="006C1FD2" w:rsidRDefault="00FA7CBB" w:rsidP="0015064F">
            <w:pPr>
              <w:widowControl w:val="0"/>
              <w:jc w:val="right"/>
              <w:rPr>
                <w:color w:val="000000"/>
                <w:sz w:val="20"/>
                <w:szCs w:val="20"/>
              </w:rPr>
            </w:pPr>
            <w:r>
              <w:rPr>
                <w:color w:val="000000"/>
                <w:sz w:val="20"/>
                <w:szCs w:val="20"/>
              </w:rPr>
              <w:t>0,49</w:t>
            </w:r>
          </w:p>
        </w:tc>
        <w:tc>
          <w:tcPr>
            <w:tcW w:w="992" w:type="dxa"/>
            <w:tcBorders>
              <w:top w:val="single" w:sz="4" w:space="0" w:color="auto"/>
              <w:left w:val="nil"/>
              <w:bottom w:val="single" w:sz="4" w:space="0" w:color="auto"/>
              <w:right w:val="single" w:sz="4" w:space="0" w:color="auto"/>
            </w:tcBorders>
            <w:noWrap/>
            <w:tcMar>
              <w:left w:w="115" w:type="dxa"/>
              <w:right w:w="173" w:type="dxa"/>
            </w:tcMar>
            <w:vAlign w:val="center"/>
          </w:tcPr>
          <w:p w14:paraId="6B59CCB1"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6F0E8188"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1A8C3984" w14:textId="5BF947FF" w:rsidR="00FA7CBB" w:rsidRPr="006C1FD2" w:rsidRDefault="00991869" w:rsidP="0015064F">
            <w:pPr>
              <w:widowControl w:val="0"/>
              <w:jc w:val="right"/>
              <w:rPr>
                <w:color w:val="000000"/>
                <w:sz w:val="20"/>
                <w:szCs w:val="20"/>
              </w:rPr>
            </w:pPr>
            <w:r>
              <w:rPr>
                <w:color w:val="000000"/>
                <w:sz w:val="20"/>
                <w:szCs w:val="20"/>
              </w:rPr>
              <w:t>0,00</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10874137" w14:textId="53A06DA6" w:rsidR="00FA7CBB" w:rsidRPr="006C1FD2" w:rsidRDefault="00991869" w:rsidP="0015064F">
            <w:pPr>
              <w:widowControl w:val="0"/>
              <w:jc w:val="right"/>
              <w:rPr>
                <w:color w:val="000000"/>
                <w:sz w:val="20"/>
                <w:szCs w:val="20"/>
              </w:rPr>
            </w:pPr>
            <w:r>
              <w:rPr>
                <w:color w:val="000000"/>
                <w:sz w:val="20"/>
                <w:szCs w:val="20"/>
              </w:rPr>
              <w:t>0,00</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2FDDA0AA" w14:textId="77777777" w:rsidR="00FA7CBB" w:rsidRPr="006C1FD2" w:rsidRDefault="00FA7CBB" w:rsidP="0015064F">
            <w:pPr>
              <w:widowControl w:val="0"/>
              <w:jc w:val="right"/>
              <w:rPr>
                <w:color w:val="000000"/>
                <w:sz w:val="20"/>
                <w:szCs w:val="20"/>
              </w:rPr>
            </w:pPr>
            <w:r>
              <w:rPr>
                <w:color w:val="000000"/>
                <w:sz w:val="20"/>
                <w:szCs w:val="20"/>
              </w:rPr>
              <w:t>5,2</w:t>
            </w:r>
          </w:p>
        </w:tc>
      </w:tr>
      <w:tr w:rsidR="0015064F" w:rsidRPr="006C1FD2" w14:paraId="274F5334"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174B2B" w14:textId="77777777" w:rsidR="00FA7CBB" w:rsidRPr="006C1FD2" w:rsidRDefault="00FA7CBB" w:rsidP="005D5A5E">
            <w:pPr>
              <w:widowControl w:val="0"/>
              <w:jc w:val="left"/>
              <w:rPr>
                <w:color w:val="000000"/>
                <w:sz w:val="20"/>
                <w:szCs w:val="20"/>
              </w:rPr>
            </w:pPr>
            <w:r>
              <w:rPr>
                <w:color w:val="000000"/>
                <w:sz w:val="20"/>
                <w:szCs w:val="20"/>
              </w:rPr>
              <w:t>HCFC-141b</w:t>
            </w:r>
          </w:p>
        </w:tc>
        <w:tc>
          <w:tcPr>
            <w:tcW w:w="851"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64AB8D28" w14:textId="77777777" w:rsidR="00FA7CBB" w:rsidRPr="006C1FD2" w:rsidRDefault="00FA7CBB" w:rsidP="0015064F">
            <w:pPr>
              <w:widowControl w:val="0"/>
              <w:jc w:val="right"/>
              <w:rPr>
                <w:color w:val="000000"/>
                <w:sz w:val="20"/>
                <w:szCs w:val="20"/>
              </w:rPr>
            </w:pPr>
            <w:r>
              <w:rPr>
                <w:color w:val="000000"/>
                <w:sz w:val="20"/>
                <w:szCs w:val="20"/>
              </w:rPr>
              <w:t>9,89</w:t>
            </w:r>
          </w:p>
        </w:tc>
        <w:tc>
          <w:tcPr>
            <w:tcW w:w="992" w:type="dxa"/>
            <w:tcBorders>
              <w:top w:val="single" w:sz="4" w:space="0" w:color="auto"/>
              <w:left w:val="nil"/>
              <w:bottom w:val="single" w:sz="4" w:space="0" w:color="auto"/>
              <w:right w:val="single" w:sz="4" w:space="0" w:color="auto"/>
            </w:tcBorders>
            <w:noWrap/>
            <w:tcMar>
              <w:left w:w="115" w:type="dxa"/>
              <w:right w:w="173" w:type="dxa"/>
            </w:tcMar>
            <w:vAlign w:val="center"/>
          </w:tcPr>
          <w:p w14:paraId="24531DE3" w14:textId="77777777" w:rsidR="00FA7CBB" w:rsidRPr="006C1FD2" w:rsidRDefault="00FA7CBB" w:rsidP="0015064F">
            <w:pPr>
              <w:widowControl w:val="0"/>
              <w:jc w:val="right"/>
              <w:rPr>
                <w:color w:val="000000"/>
                <w:sz w:val="20"/>
                <w:szCs w:val="20"/>
              </w:rPr>
            </w:pPr>
            <w:r>
              <w:rPr>
                <w:color w:val="000000"/>
                <w:sz w:val="20"/>
                <w:szCs w:val="20"/>
              </w:rPr>
              <w:t>17,29</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23AE4597" w14:textId="77777777" w:rsidR="00FA7CBB" w:rsidRPr="006C1FD2" w:rsidRDefault="00FA7CBB" w:rsidP="0015064F">
            <w:pPr>
              <w:widowControl w:val="0"/>
              <w:jc w:val="right"/>
              <w:rPr>
                <w:color w:val="000000"/>
                <w:sz w:val="20"/>
                <w:szCs w:val="20"/>
              </w:rPr>
            </w:pPr>
            <w:r>
              <w:rPr>
                <w:color w:val="000000"/>
                <w:sz w:val="20"/>
                <w:szCs w:val="20"/>
              </w:rPr>
              <w:t>5,53</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6FB06734" w14:textId="2936526F" w:rsidR="00FA7CBB" w:rsidRPr="006C1FD2" w:rsidRDefault="00991869" w:rsidP="0015064F">
            <w:pPr>
              <w:widowControl w:val="0"/>
              <w:jc w:val="right"/>
              <w:rPr>
                <w:color w:val="000000"/>
                <w:sz w:val="20"/>
                <w:szCs w:val="20"/>
              </w:rPr>
            </w:pPr>
            <w:r>
              <w:rPr>
                <w:color w:val="000000"/>
                <w:sz w:val="20"/>
                <w:szCs w:val="20"/>
              </w:rPr>
              <w:t>5,22</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5D741C51" w14:textId="490A4CFF" w:rsidR="00FA7CBB" w:rsidRPr="006C1FD2" w:rsidRDefault="00991869" w:rsidP="0015064F">
            <w:pPr>
              <w:widowControl w:val="0"/>
              <w:jc w:val="right"/>
              <w:rPr>
                <w:color w:val="000000"/>
                <w:sz w:val="20"/>
                <w:szCs w:val="20"/>
              </w:rPr>
            </w:pPr>
            <w:r>
              <w:rPr>
                <w:color w:val="000000"/>
                <w:sz w:val="20"/>
                <w:szCs w:val="20"/>
              </w:rPr>
              <w:t>3,59</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4A6F34F4" w14:textId="77777777" w:rsidR="00FA7CBB" w:rsidRPr="006C1FD2" w:rsidRDefault="00FA7CBB" w:rsidP="0015064F">
            <w:pPr>
              <w:widowControl w:val="0"/>
              <w:jc w:val="right"/>
              <w:rPr>
                <w:color w:val="000000"/>
                <w:sz w:val="20"/>
                <w:szCs w:val="20"/>
              </w:rPr>
            </w:pPr>
            <w:r>
              <w:rPr>
                <w:color w:val="000000"/>
                <w:sz w:val="20"/>
                <w:szCs w:val="20"/>
              </w:rPr>
              <w:t>9,8</w:t>
            </w:r>
          </w:p>
        </w:tc>
      </w:tr>
      <w:tr w:rsidR="0015064F" w:rsidRPr="006C1FD2" w14:paraId="3DC2750B"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37AE36" w14:textId="77777777" w:rsidR="00FA7CBB" w:rsidRPr="006C1FD2" w:rsidRDefault="00FA7CBB" w:rsidP="005D5A5E">
            <w:pPr>
              <w:widowControl w:val="0"/>
              <w:jc w:val="left"/>
              <w:rPr>
                <w:color w:val="000000"/>
                <w:sz w:val="20"/>
                <w:szCs w:val="20"/>
              </w:rPr>
            </w:pPr>
            <w:r>
              <w:rPr>
                <w:color w:val="000000"/>
                <w:sz w:val="20"/>
                <w:szCs w:val="20"/>
              </w:rPr>
              <w:t>HCFC-142b</w:t>
            </w:r>
          </w:p>
        </w:tc>
        <w:tc>
          <w:tcPr>
            <w:tcW w:w="851"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5823098F"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nil"/>
              <w:bottom w:val="single" w:sz="4" w:space="0" w:color="auto"/>
              <w:right w:val="single" w:sz="4" w:space="0" w:color="auto"/>
            </w:tcBorders>
            <w:noWrap/>
            <w:tcMar>
              <w:left w:w="115" w:type="dxa"/>
              <w:right w:w="173" w:type="dxa"/>
            </w:tcMar>
            <w:vAlign w:val="center"/>
          </w:tcPr>
          <w:p w14:paraId="533298C7"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571BDE5D"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632E67FB" w14:textId="1E3AAFF1" w:rsidR="00FA7CBB" w:rsidRPr="006C1FD2" w:rsidRDefault="00991869" w:rsidP="0015064F">
            <w:pPr>
              <w:widowControl w:val="0"/>
              <w:jc w:val="right"/>
              <w:rPr>
                <w:color w:val="000000"/>
                <w:sz w:val="20"/>
                <w:szCs w:val="20"/>
              </w:rPr>
            </w:pPr>
            <w:r>
              <w:rPr>
                <w:color w:val="000000"/>
                <w:sz w:val="20"/>
                <w:szCs w:val="20"/>
              </w:rPr>
              <w:t>0,00</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0657EBFE" w14:textId="36776A6D" w:rsidR="00FA7CBB" w:rsidRPr="006C1FD2" w:rsidRDefault="00991869" w:rsidP="0015064F">
            <w:pPr>
              <w:widowControl w:val="0"/>
              <w:jc w:val="right"/>
              <w:rPr>
                <w:color w:val="000000"/>
                <w:sz w:val="20"/>
                <w:szCs w:val="20"/>
              </w:rPr>
            </w:pPr>
            <w:r>
              <w:rPr>
                <w:color w:val="000000"/>
                <w:sz w:val="20"/>
                <w:szCs w:val="20"/>
              </w:rPr>
              <w:t>0,00</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760520A6" w14:textId="77777777" w:rsidR="00FA7CBB" w:rsidRPr="006C1FD2" w:rsidRDefault="00FA7CBB" w:rsidP="0015064F">
            <w:pPr>
              <w:widowControl w:val="0"/>
              <w:jc w:val="right"/>
              <w:rPr>
                <w:color w:val="000000"/>
                <w:sz w:val="20"/>
                <w:szCs w:val="20"/>
              </w:rPr>
            </w:pPr>
            <w:r>
              <w:rPr>
                <w:color w:val="000000"/>
                <w:sz w:val="20"/>
                <w:szCs w:val="20"/>
              </w:rPr>
              <w:t>1,7</w:t>
            </w:r>
          </w:p>
        </w:tc>
      </w:tr>
      <w:tr w:rsidR="0015064F" w:rsidRPr="006C1FD2" w14:paraId="5A383752"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81100D5" w14:textId="1D36E20D" w:rsidR="00FA7CBB" w:rsidRPr="006C1FD2" w:rsidRDefault="00FA7CBB" w:rsidP="006150BE">
            <w:pPr>
              <w:jc w:val="left"/>
              <w:rPr>
                <w:rFonts w:eastAsiaTheme="minorHAnsi"/>
                <w:b/>
                <w:color w:val="000000"/>
                <w:sz w:val="20"/>
                <w:szCs w:val="20"/>
              </w:rPr>
            </w:pPr>
            <w:r>
              <w:rPr>
                <w:b/>
                <w:color w:val="000000"/>
                <w:sz w:val="20"/>
                <w:szCs w:val="20"/>
              </w:rPr>
              <w:t>Total (tm)</w:t>
            </w:r>
          </w:p>
        </w:tc>
        <w:tc>
          <w:tcPr>
            <w:tcW w:w="851"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6F59E369" w14:textId="77777777" w:rsidR="00FA7CBB" w:rsidRPr="006C1FD2" w:rsidRDefault="00FA7CBB" w:rsidP="0015064F">
            <w:pPr>
              <w:widowControl w:val="0"/>
              <w:jc w:val="right"/>
              <w:rPr>
                <w:b/>
                <w:color w:val="000000"/>
                <w:sz w:val="20"/>
                <w:szCs w:val="20"/>
              </w:rPr>
            </w:pPr>
            <w:r>
              <w:rPr>
                <w:b/>
                <w:color w:val="000000"/>
                <w:sz w:val="20"/>
                <w:szCs w:val="20"/>
              </w:rPr>
              <w:t>72,18</w:t>
            </w:r>
          </w:p>
        </w:tc>
        <w:tc>
          <w:tcPr>
            <w:tcW w:w="992" w:type="dxa"/>
            <w:tcBorders>
              <w:top w:val="single" w:sz="4" w:space="0" w:color="auto"/>
              <w:left w:val="nil"/>
              <w:bottom w:val="single" w:sz="4" w:space="0" w:color="auto"/>
              <w:right w:val="single" w:sz="4" w:space="0" w:color="auto"/>
            </w:tcBorders>
            <w:noWrap/>
            <w:tcMar>
              <w:left w:w="115" w:type="dxa"/>
              <w:right w:w="173" w:type="dxa"/>
            </w:tcMar>
            <w:vAlign w:val="center"/>
          </w:tcPr>
          <w:p w14:paraId="667632E5" w14:textId="77777777" w:rsidR="00FA7CBB" w:rsidRPr="006C1FD2" w:rsidRDefault="00FA7CBB" w:rsidP="0015064F">
            <w:pPr>
              <w:widowControl w:val="0"/>
              <w:jc w:val="right"/>
              <w:rPr>
                <w:b/>
                <w:color w:val="000000"/>
                <w:sz w:val="20"/>
                <w:szCs w:val="20"/>
              </w:rPr>
            </w:pPr>
            <w:r>
              <w:rPr>
                <w:b/>
                <w:color w:val="000000"/>
                <w:sz w:val="20"/>
                <w:szCs w:val="20"/>
              </w:rPr>
              <w:t>84,71</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5F8B6FDA" w14:textId="78A0832A" w:rsidR="00FA7CBB" w:rsidRPr="006C1FD2" w:rsidRDefault="00FA7CBB" w:rsidP="0015064F">
            <w:pPr>
              <w:widowControl w:val="0"/>
              <w:jc w:val="right"/>
              <w:rPr>
                <w:b/>
                <w:color w:val="000000"/>
                <w:sz w:val="20"/>
                <w:szCs w:val="20"/>
              </w:rPr>
            </w:pPr>
            <w:r>
              <w:rPr>
                <w:b/>
                <w:color w:val="000000"/>
                <w:sz w:val="20"/>
                <w:szCs w:val="20"/>
              </w:rPr>
              <w:t>55,93</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034EF749" w14:textId="5568BD7D" w:rsidR="00FA7CBB" w:rsidRPr="006C1FD2" w:rsidRDefault="008E0645" w:rsidP="0015064F">
            <w:pPr>
              <w:widowControl w:val="0"/>
              <w:jc w:val="right"/>
              <w:rPr>
                <w:b/>
                <w:bCs/>
                <w:color w:val="000000"/>
                <w:sz w:val="20"/>
                <w:szCs w:val="20"/>
              </w:rPr>
            </w:pPr>
            <w:r>
              <w:rPr>
                <w:b/>
                <w:bCs/>
                <w:color w:val="000000"/>
                <w:sz w:val="20"/>
                <w:szCs w:val="20"/>
              </w:rPr>
              <w:t>73,19</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07714D04" w14:textId="797C5DAA" w:rsidR="00FA7CBB" w:rsidRPr="006C1FD2" w:rsidRDefault="008E0645" w:rsidP="0015064F">
            <w:pPr>
              <w:widowControl w:val="0"/>
              <w:jc w:val="right"/>
              <w:rPr>
                <w:b/>
                <w:color w:val="000000"/>
                <w:sz w:val="20"/>
                <w:szCs w:val="20"/>
              </w:rPr>
            </w:pPr>
            <w:r>
              <w:rPr>
                <w:b/>
                <w:color w:val="000000"/>
                <w:sz w:val="20"/>
                <w:szCs w:val="20"/>
              </w:rPr>
              <w:t>54,91</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20A44D5A" w14:textId="77777777" w:rsidR="00FA7CBB" w:rsidRPr="006C1FD2" w:rsidRDefault="00FA7CBB" w:rsidP="0015064F">
            <w:pPr>
              <w:jc w:val="right"/>
              <w:rPr>
                <w:b/>
                <w:sz w:val="20"/>
                <w:szCs w:val="20"/>
              </w:rPr>
            </w:pPr>
            <w:r>
              <w:rPr>
                <w:b/>
                <w:sz w:val="20"/>
                <w:szCs w:val="20"/>
              </w:rPr>
              <w:t>143,8</w:t>
            </w:r>
          </w:p>
        </w:tc>
      </w:tr>
      <w:tr w:rsidR="0015064F" w:rsidRPr="006C1FD2" w14:paraId="47C769B3" w14:textId="77777777" w:rsidTr="0015064F">
        <w:trPr>
          <w:trHeight w:val="253"/>
        </w:trPr>
        <w:tc>
          <w:tcPr>
            <w:tcW w:w="3020" w:type="dxa"/>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9AF3A3D" w14:textId="0C254EC0" w:rsidR="00FA7CBB" w:rsidRPr="006C1FD2" w:rsidRDefault="00FA7CBB" w:rsidP="005D5A5E">
            <w:pPr>
              <w:jc w:val="left"/>
              <w:rPr>
                <w:b/>
                <w:bCs/>
                <w:color w:val="000000"/>
                <w:sz w:val="20"/>
                <w:szCs w:val="20"/>
              </w:rPr>
            </w:pPr>
            <w:r>
              <w:rPr>
                <w:color w:val="000000"/>
                <w:sz w:val="20"/>
                <w:szCs w:val="20"/>
              </w:rPr>
              <w:t>HCFC-141b dans les polyols prémélangés importés**</w:t>
            </w:r>
          </w:p>
        </w:tc>
        <w:tc>
          <w:tcPr>
            <w:tcW w:w="851" w:type="dxa"/>
            <w:tcBorders>
              <w:top w:val="nil"/>
              <w:left w:val="nil"/>
              <w:bottom w:val="single" w:sz="4" w:space="0" w:color="auto"/>
              <w:right w:val="single" w:sz="4" w:space="0" w:color="auto"/>
            </w:tcBorders>
            <w:shd w:val="clear" w:color="auto" w:fill="auto"/>
            <w:noWrap/>
            <w:tcMar>
              <w:left w:w="115" w:type="dxa"/>
              <w:right w:w="173" w:type="dxa"/>
            </w:tcMar>
            <w:vAlign w:val="center"/>
          </w:tcPr>
          <w:p w14:paraId="125A1878" w14:textId="77777777" w:rsidR="00FA7CBB" w:rsidRPr="006C1FD2" w:rsidRDefault="00FA7CBB" w:rsidP="0015064F">
            <w:pPr>
              <w:jc w:val="right"/>
              <w:rPr>
                <w:color w:val="000000"/>
                <w:sz w:val="20"/>
                <w:szCs w:val="20"/>
              </w:rPr>
            </w:pPr>
            <w:r>
              <w:rPr>
                <w:color w:val="000000"/>
                <w:sz w:val="20"/>
                <w:szCs w:val="20"/>
              </w:rPr>
              <w:t>13,81</w:t>
            </w:r>
          </w:p>
        </w:tc>
        <w:tc>
          <w:tcPr>
            <w:tcW w:w="992" w:type="dxa"/>
            <w:tcBorders>
              <w:top w:val="single" w:sz="4" w:space="0" w:color="auto"/>
              <w:left w:val="nil"/>
              <w:bottom w:val="single" w:sz="4" w:space="0" w:color="auto"/>
              <w:right w:val="single" w:sz="4" w:space="0" w:color="auto"/>
            </w:tcBorders>
            <w:noWrap/>
            <w:tcMar>
              <w:left w:w="115" w:type="dxa"/>
              <w:right w:w="173" w:type="dxa"/>
            </w:tcMar>
            <w:vAlign w:val="center"/>
          </w:tcPr>
          <w:p w14:paraId="2569730F" w14:textId="77777777" w:rsidR="00FA7CBB" w:rsidRPr="006C1FD2" w:rsidRDefault="00FA7CBB" w:rsidP="0015064F">
            <w:pPr>
              <w:jc w:val="right"/>
              <w:rPr>
                <w:color w:val="000000"/>
                <w:sz w:val="20"/>
                <w:szCs w:val="20"/>
              </w:rPr>
            </w:pPr>
            <w:r>
              <w:rPr>
                <w:color w:val="000000"/>
                <w:sz w:val="20"/>
                <w:szCs w:val="20"/>
              </w:rPr>
              <w:t>7,74</w:t>
            </w:r>
          </w:p>
        </w:tc>
        <w:tc>
          <w:tcPr>
            <w:tcW w:w="992" w:type="dxa"/>
            <w:tcBorders>
              <w:top w:val="nil"/>
              <w:left w:val="single" w:sz="4" w:space="0" w:color="auto"/>
              <w:bottom w:val="single" w:sz="4" w:space="0" w:color="auto"/>
              <w:right w:val="single" w:sz="4" w:space="0" w:color="auto"/>
            </w:tcBorders>
            <w:noWrap/>
            <w:tcMar>
              <w:left w:w="115" w:type="dxa"/>
              <w:right w:w="173" w:type="dxa"/>
            </w:tcMar>
            <w:vAlign w:val="center"/>
          </w:tcPr>
          <w:p w14:paraId="596FDA84" w14:textId="289AA041" w:rsidR="00FA7CBB" w:rsidRPr="004E5B04" w:rsidRDefault="00FA7CBB" w:rsidP="0015064F">
            <w:pPr>
              <w:jc w:val="right"/>
              <w:rPr>
                <w:sz w:val="20"/>
                <w:szCs w:val="20"/>
              </w:rPr>
            </w:pPr>
            <w:r>
              <w:rPr>
                <w:sz w:val="20"/>
                <w:szCs w:val="20"/>
              </w:rPr>
              <w:t>0,27</w:t>
            </w:r>
          </w:p>
        </w:tc>
        <w:tc>
          <w:tcPr>
            <w:tcW w:w="992" w:type="dxa"/>
            <w:tcBorders>
              <w:top w:val="single" w:sz="4" w:space="0" w:color="auto"/>
              <w:left w:val="nil"/>
              <w:bottom w:val="single" w:sz="4" w:space="0" w:color="auto"/>
              <w:right w:val="single" w:sz="4" w:space="0" w:color="auto"/>
            </w:tcBorders>
            <w:tcMar>
              <w:left w:w="115" w:type="dxa"/>
              <w:right w:w="173" w:type="dxa"/>
            </w:tcMar>
            <w:vAlign w:val="center"/>
          </w:tcPr>
          <w:p w14:paraId="331EF284" w14:textId="22754A5B" w:rsidR="00FA7CBB" w:rsidRPr="006C1FD2" w:rsidRDefault="00991869" w:rsidP="0015064F">
            <w:pPr>
              <w:jc w:val="right"/>
              <w:rPr>
                <w:color w:val="000000"/>
                <w:sz w:val="20"/>
                <w:szCs w:val="20"/>
              </w:rPr>
            </w:pPr>
            <w:r>
              <w:rPr>
                <w:color w:val="000000"/>
                <w:sz w:val="20"/>
                <w:szCs w:val="20"/>
              </w:rPr>
              <w:t>0,00</w:t>
            </w:r>
          </w:p>
        </w:tc>
        <w:tc>
          <w:tcPr>
            <w:tcW w:w="807" w:type="dxa"/>
            <w:tcBorders>
              <w:top w:val="nil"/>
              <w:left w:val="single" w:sz="4" w:space="0" w:color="auto"/>
              <w:bottom w:val="single" w:sz="4" w:space="0" w:color="auto"/>
              <w:right w:val="single" w:sz="4" w:space="0" w:color="auto"/>
            </w:tcBorders>
            <w:tcMar>
              <w:left w:w="115" w:type="dxa"/>
              <w:right w:w="173" w:type="dxa"/>
            </w:tcMar>
            <w:vAlign w:val="center"/>
          </w:tcPr>
          <w:p w14:paraId="454A6F65" w14:textId="6B117874" w:rsidR="00FA7CBB" w:rsidRPr="006C1FD2" w:rsidRDefault="00991869" w:rsidP="0015064F">
            <w:pPr>
              <w:jc w:val="right"/>
              <w:rPr>
                <w:sz w:val="20"/>
                <w:szCs w:val="20"/>
              </w:rPr>
            </w:pPr>
            <w:r>
              <w:rPr>
                <w:color w:val="000000"/>
                <w:sz w:val="20"/>
                <w:szCs w:val="20"/>
              </w:rPr>
              <w:t>0,00</w:t>
            </w:r>
          </w:p>
        </w:tc>
        <w:tc>
          <w:tcPr>
            <w:tcW w:w="1857" w:type="dxa"/>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53A04D6E" w14:textId="0E4AD453" w:rsidR="00FA7CBB" w:rsidRPr="006C1FD2" w:rsidRDefault="00FA7CBB" w:rsidP="0015064F">
            <w:pPr>
              <w:jc w:val="right"/>
              <w:rPr>
                <w:sz w:val="20"/>
                <w:szCs w:val="20"/>
              </w:rPr>
            </w:pPr>
            <w:r>
              <w:rPr>
                <w:sz w:val="20"/>
                <w:szCs w:val="20"/>
              </w:rPr>
              <w:t>12,73***</w:t>
            </w:r>
          </w:p>
        </w:tc>
      </w:tr>
      <w:bookmarkEnd w:id="1"/>
      <w:tr w:rsidR="0036736D" w:rsidRPr="006C1FD2" w14:paraId="1F6B8CC6" w14:textId="77777777" w:rsidTr="0015064F">
        <w:trPr>
          <w:trHeight w:val="253"/>
        </w:trPr>
        <w:tc>
          <w:tcPr>
            <w:tcW w:w="9511" w:type="dxa"/>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D16669E" w14:textId="55675E1F" w:rsidR="0036736D" w:rsidRPr="006C1FD2" w:rsidRDefault="0036736D" w:rsidP="0015064F">
            <w:pPr>
              <w:widowControl w:val="0"/>
              <w:jc w:val="left"/>
              <w:rPr>
                <w:color w:val="000000"/>
                <w:sz w:val="20"/>
                <w:szCs w:val="20"/>
              </w:rPr>
            </w:pPr>
            <w:r>
              <w:rPr>
                <w:b/>
                <w:bCs/>
                <w:color w:val="000000"/>
                <w:sz w:val="20"/>
                <w:szCs w:val="20"/>
              </w:rPr>
              <w:t>Tonnes PAO</w:t>
            </w:r>
          </w:p>
        </w:tc>
      </w:tr>
      <w:tr w:rsidR="0015064F" w:rsidRPr="006C1FD2" w14:paraId="7AD2A8B4"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044571" w14:textId="77777777" w:rsidR="00FA7CBB" w:rsidRPr="006C1FD2" w:rsidRDefault="00FA7CBB" w:rsidP="005D5A5E">
            <w:pPr>
              <w:widowControl w:val="0"/>
              <w:jc w:val="left"/>
              <w:rPr>
                <w:color w:val="000000"/>
                <w:sz w:val="20"/>
                <w:szCs w:val="20"/>
              </w:rPr>
            </w:pPr>
            <w:r>
              <w:rPr>
                <w:color w:val="000000"/>
                <w:sz w:val="20"/>
                <w:szCs w:val="20"/>
              </w:rPr>
              <w:t>HCFC-22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4AE90520" w14:textId="77777777" w:rsidR="00FA7CBB" w:rsidRPr="006C1FD2" w:rsidRDefault="00FA7CBB" w:rsidP="0015064F">
            <w:pPr>
              <w:widowControl w:val="0"/>
              <w:jc w:val="right"/>
              <w:rPr>
                <w:color w:val="000000"/>
                <w:sz w:val="20"/>
                <w:szCs w:val="20"/>
              </w:rPr>
            </w:pPr>
            <w:r>
              <w:rPr>
                <w:color w:val="000000"/>
                <w:sz w:val="20"/>
                <w:szCs w:val="20"/>
              </w:rPr>
              <w:t>3,40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687666E0" w14:textId="77777777" w:rsidR="00FA7CBB" w:rsidRPr="006C1FD2" w:rsidRDefault="00FA7CBB" w:rsidP="0015064F">
            <w:pPr>
              <w:widowControl w:val="0"/>
              <w:jc w:val="right"/>
              <w:rPr>
                <w:color w:val="000000"/>
                <w:sz w:val="20"/>
                <w:szCs w:val="20"/>
              </w:rPr>
            </w:pPr>
            <w:r>
              <w:rPr>
                <w:color w:val="000000"/>
                <w:sz w:val="20"/>
                <w:szCs w:val="20"/>
              </w:rPr>
              <w:t>3,68</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21559FCE" w14:textId="77777777" w:rsidR="00FA7CBB" w:rsidRPr="004E5B04" w:rsidRDefault="00FA7CBB" w:rsidP="0015064F">
            <w:pPr>
              <w:widowControl w:val="0"/>
              <w:jc w:val="right"/>
              <w:rPr>
                <w:color w:val="000000"/>
                <w:sz w:val="20"/>
                <w:szCs w:val="20"/>
              </w:rPr>
            </w:pPr>
            <w:r>
              <w:rPr>
                <w:color w:val="000000"/>
                <w:sz w:val="20"/>
                <w:szCs w:val="20"/>
              </w:rPr>
              <w:t>2,73</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6CE0620C" w14:textId="529D31FB" w:rsidR="00FA7CBB" w:rsidRPr="006C1FD2" w:rsidRDefault="004D1DEE" w:rsidP="0015064F">
            <w:pPr>
              <w:widowControl w:val="0"/>
              <w:jc w:val="right"/>
              <w:rPr>
                <w:color w:val="000000"/>
                <w:sz w:val="20"/>
                <w:szCs w:val="20"/>
              </w:rPr>
            </w:pPr>
            <w:r>
              <w:rPr>
                <w:color w:val="000000"/>
                <w:sz w:val="20"/>
                <w:szCs w:val="20"/>
              </w:rPr>
              <w:t>3,74</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71E59BF" w14:textId="62F93A69" w:rsidR="00FA7CBB" w:rsidRPr="006C1FD2" w:rsidRDefault="004D1DEE" w:rsidP="0015064F">
            <w:pPr>
              <w:widowControl w:val="0"/>
              <w:jc w:val="right"/>
              <w:rPr>
                <w:color w:val="000000"/>
                <w:sz w:val="20"/>
                <w:szCs w:val="20"/>
              </w:rPr>
            </w:pPr>
            <w:r>
              <w:rPr>
                <w:color w:val="000000"/>
                <w:sz w:val="20"/>
                <w:szCs w:val="20"/>
              </w:rPr>
              <w:t>2,79</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265EA19" w14:textId="77777777" w:rsidR="00FA7CBB" w:rsidRPr="006C1FD2" w:rsidRDefault="00FA7CBB" w:rsidP="0015064F">
            <w:pPr>
              <w:widowControl w:val="0"/>
              <w:jc w:val="right"/>
              <w:rPr>
                <w:color w:val="000000"/>
                <w:sz w:val="20"/>
                <w:szCs w:val="20"/>
              </w:rPr>
            </w:pPr>
            <w:r>
              <w:rPr>
                <w:color w:val="000000"/>
                <w:sz w:val="20"/>
                <w:szCs w:val="20"/>
              </w:rPr>
              <w:t>7,0</w:t>
            </w:r>
          </w:p>
        </w:tc>
      </w:tr>
      <w:tr w:rsidR="0015064F" w:rsidRPr="006C1FD2" w14:paraId="109640DD"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E9F099B" w14:textId="77777777" w:rsidR="00FA7CBB" w:rsidRPr="006C1FD2" w:rsidRDefault="00FA7CBB" w:rsidP="005D5A5E">
            <w:pPr>
              <w:widowControl w:val="0"/>
              <w:jc w:val="left"/>
              <w:rPr>
                <w:color w:val="000000"/>
                <w:sz w:val="20"/>
                <w:szCs w:val="20"/>
              </w:rPr>
            </w:pPr>
            <w:r>
              <w:rPr>
                <w:color w:val="000000"/>
                <w:sz w:val="20"/>
                <w:szCs w:val="20"/>
              </w:rPr>
              <w:t>HCFC-123</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36408834"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64B60755" w14:textId="77777777" w:rsidR="00FA7CBB" w:rsidRPr="006C1FD2" w:rsidRDefault="00FA7CBB" w:rsidP="0015064F">
            <w:pPr>
              <w:widowControl w:val="0"/>
              <w:jc w:val="right"/>
              <w:rPr>
                <w:color w:val="000000"/>
                <w:sz w:val="20"/>
                <w:szCs w:val="20"/>
              </w:rPr>
            </w:pPr>
            <w:r>
              <w:rPr>
                <w:color w:val="000000"/>
                <w:sz w:val="20"/>
                <w:szCs w:val="20"/>
              </w:rPr>
              <w:t>0,01</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36443CEB" w14:textId="77777777" w:rsidR="00FA7CBB" w:rsidRPr="004E5B04" w:rsidRDefault="00FA7CBB" w:rsidP="0015064F">
            <w:pPr>
              <w:widowControl w:val="0"/>
              <w:jc w:val="right"/>
              <w:rPr>
                <w:color w:val="000000"/>
                <w:sz w:val="20"/>
                <w:szCs w:val="20"/>
              </w:rPr>
            </w:pPr>
            <w:r>
              <w:rPr>
                <w:color w:val="000000"/>
                <w:sz w:val="20"/>
                <w:szCs w:val="20"/>
              </w:rPr>
              <w:t>0,01</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2E1D291" w14:textId="47C1B887" w:rsidR="00FA7CBB" w:rsidRPr="006C1FD2" w:rsidRDefault="004D1DEE" w:rsidP="0015064F">
            <w:pPr>
              <w:widowControl w:val="0"/>
              <w:jc w:val="right"/>
              <w:rPr>
                <w:color w:val="000000"/>
                <w:sz w:val="20"/>
                <w:szCs w:val="20"/>
              </w:rPr>
            </w:pPr>
            <w:r>
              <w:rPr>
                <w:color w:val="000000"/>
                <w:sz w:val="20"/>
                <w:szCs w:val="20"/>
              </w:rPr>
              <w:t>0,00</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C5804A7" w14:textId="75DB1030" w:rsidR="00FA7CBB" w:rsidRPr="006C1FD2" w:rsidRDefault="0000562C" w:rsidP="0015064F">
            <w:pPr>
              <w:widowControl w:val="0"/>
              <w:jc w:val="right"/>
              <w:rPr>
                <w:color w:val="000000"/>
                <w:sz w:val="20"/>
                <w:szCs w:val="20"/>
              </w:rPr>
            </w:pPr>
            <w:r>
              <w:rPr>
                <w:color w:val="000000"/>
                <w:sz w:val="20"/>
                <w:szCs w:val="20"/>
              </w:rPr>
              <w:t>0,01</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37B75DCD" w14:textId="77777777" w:rsidR="00FA7CBB" w:rsidRPr="006C1FD2" w:rsidRDefault="00FA7CBB" w:rsidP="0015064F">
            <w:pPr>
              <w:widowControl w:val="0"/>
              <w:jc w:val="right"/>
              <w:rPr>
                <w:color w:val="000000"/>
                <w:sz w:val="20"/>
                <w:szCs w:val="20"/>
              </w:rPr>
            </w:pPr>
            <w:r>
              <w:rPr>
                <w:color w:val="000000"/>
                <w:sz w:val="20"/>
                <w:szCs w:val="20"/>
              </w:rPr>
              <w:t>0,0</w:t>
            </w:r>
          </w:p>
        </w:tc>
      </w:tr>
      <w:tr w:rsidR="0015064F" w:rsidRPr="006C1FD2" w14:paraId="16FDAA7A"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F432B62" w14:textId="77777777" w:rsidR="00FA7CBB" w:rsidRPr="006C1FD2" w:rsidRDefault="00FA7CBB" w:rsidP="005D5A5E">
            <w:pPr>
              <w:widowControl w:val="0"/>
              <w:jc w:val="left"/>
              <w:rPr>
                <w:color w:val="000000"/>
                <w:sz w:val="20"/>
                <w:szCs w:val="20"/>
              </w:rPr>
            </w:pPr>
            <w:r>
              <w:rPr>
                <w:color w:val="000000"/>
                <w:sz w:val="20"/>
                <w:szCs w:val="20"/>
              </w:rPr>
              <w:t>HCFC-124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EE44B47" w14:textId="77777777" w:rsidR="00FA7CBB" w:rsidRPr="006C1FD2" w:rsidRDefault="00FA7CBB" w:rsidP="0015064F">
            <w:pPr>
              <w:widowControl w:val="0"/>
              <w:jc w:val="right"/>
              <w:rPr>
                <w:color w:val="000000"/>
                <w:sz w:val="20"/>
                <w:szCs w:val="20"/>
              </w:rPr>
            </w:pPr>
            <w:r>
              <w:rPr>
                <w:color w:val="000000"/>
                <w:sz w:val="20"/>
                <w:szCs w:val="20"/>
              </w:rPr>
              <w:t>0,01</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1728EC97"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180911D5" w14:textId="77777777" w:rsidR="00FA7CBB" w:rsidRPr="004E5B04"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2EFDDBF7" w14:textId="0B4EED52" w:rsidR="00FA7CBB" w:rsidRPr="006C1FD2" w:rsidRDefault="004D1DEE" w:rsidP="0015064F">
            <w:pPr>
              <w:widowControl w:val="0"/>
              <w:jc w:val="right"/>
              <w:rPr>
                <w:color w:val="000000"/>
                <w:sz w:val="20"/>
                <w:szCs w:val="20"/>
              </w:rPr>
            </w:pPr>
            <w:r>
              <w:rPr>
                <w:color w:val="000000"/>
                <w:sz w:val="20"/>
                <w:szCs w:val="20"/>
              </w:rPr>
              <w:t>0,00</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BEC666D" w14:textId="4D8BAB4A" w:rsidR="00FA7CBB" w:rsidRPr="006C1FD2" w:rsidRDefault="0000562C" w:rsidP="0015064F">
            <w:pPr>
              <w:widowControl w:val="0"/>
              <w:jc w:val="right"/>
              <w:rPr>
                <w:color w:val="000000"/>
                <w:sz w:val="20"/>
                <w:szCs w:val="20"/>
              </w:rPr>
            </w:pPr>
            <w:r>
              <w:rPr>
                <w:color w:val="000000"/>
                <w:sz w:val="20"/>
                <w:szCs w:val="20"/>
              </w:rPr>
              <w:t>0,00</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7223952" w14:textId="77777777" w:rsidR="00FA7CBB" w:rsidRPr="006C1FD2" w:rsidRDefault="00FA7CBB" w:rsidP="0015064F">
            <w:pPr>
              <w:widowControl w:val="0"/>
              <w:jc w:val="right"/>
              <w:rPr>
                <w:color w:val="000000"/>
                <w:sz w:val="20"/>
                <w:szCs w:val="20"/>
              </w:rPr>
            </w:pPr>
            <w:r>
              <w:rPr>
                <w:color w:val="000000"/>
                <w:sz w:val="20"/>
                <w:szCs w:val="20"/>
              </w:rPr>
              <w:t>0,1</w:t>
            </w:r>
          </w:p>
        </w:tc>
      </w:tr>
      <w:tr w:rsidR="0015064F" w:rsidRPr="006C1FD2" w14:paraId="41EAC616"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C81B9D4" w14:textId="77777777" w:rsidR="00FA7CBB" w:rsidRPr="006C1FD2" w:rsidRDefault="00FA7CBB" w:rsidP="005D5A5E">
            <w:pPr>
              <w:widowControl w:val="0"/>
              <w:jc w:val="left"/>
              <w:rPr>
                <w:color w:val="000000"/>
                <w:sz w:val="20"/>
                <w:szCs w:val="20"/>
              </w:rPr>
            </w:pPr>
            <w:r>
              <w:rPr>
                <w:color w:val="000000"/>
                <w:sz w:val="20"/>
                <w:szCs w:val="20"/>
              </w:rPr>
              <w:t>HCFC-141b</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37C2B3A3" w14:textId="77777777" w:rsidR="00FA7CBB" w:rsidRPr="006C1FD2" w:rsidRDefault="00FA7CBB" w:rsidP="0015064F">
            <w:pPr>
              <w:widowControl w:val="0"/>
              <w:jc w:val="right"/>
              <w:rPr>
                <w:color w:val="000000"/>
                <w:sz w:val="20"/>
                <w:szCs w:val="20"/>
              </w:rPr>
            </w:pPr>
            <w:r>
              <w:rPr>
                <w:color w:val="000000"/>
                <w:sz w:val="20"/>
                <w:szCs w:val="20"/>
              </w:rPr>
              <w:t>1,09</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437241D7" w14:textId="77777777" w:rsidR="00FA7CBB" w:rsidRPr="006C1FD2" w:rsidRDefault="00FA7CBB" w:rsidP="0015064F">
            <w:pPr>
              <w:widowControl w:val="0"/>
              <w:jc w:val="right"/>
              <w:rPr>
                <w:color w:val="000000"/>
                <w:sz w:val="20"/>
                <w:szCs w:val="20"/>
              </w:rPr>
            </w:pPr>
            <w:r>
              <w:rPr>
                <w:color w:val="000000"/>
                <w:sz w:val="20"/>
                <w:szCs w:val="20"/>
              </w:rPr>
              <w:t>1,90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1154B5D7" w14:textId="77777777" w:rsidR="00FA7CBB" w:rsidRPr="004E5B04" w:rsidRDefault="00FA7CBB" w:rsidP="0015064F">
            <w:pPr>
              <w:widowControl w:val="0"/>
              <w:jc w:val="right"/>
              <w:rPr>
                <w:color w:val="000000"/>
                <w:sz w:val="20"/>
                <w:szCs w:val="20"/>
              </w:rPr>
            </w:pPr>
            <w:r>
              <w:rPr>
                <w:color w:val="000000"/>
                <w:sz w:val="20"/>
                <w:szCs w:val="20"/>
              </w:rPr>
              <w:t>0,61</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79D0BFAF" w14:textId="2167BE14" w:rsidR="00FA7CBB" w:rsidRPr="006C1FD2" w:rsidRDefault="004D1DEE" w:rsidP="0015064F">
            <w:pPr>
              <w:widowControl w:val="0"/>
              <w:jc w:val="right"/>
              <w:rPr>
                <w:color w:val="000000"/>
                <w:sz w:val="20"/>
                <w:szCs w:val="20"/>
              </w:rPr>
            </w:pPr>
            <w:r>
              <w:rPr>
                <w:color w:val="000000"/>
                <w:sz w:val="20"/>
                <w:szCs w:val="20"/>
              </w:rPr>
              <w:t>0,57</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856A0D2" w14:textId="455607B1" w:rsidR="00FA7CBB" w:rsidRPr="006C1FD2" w:rsidRDefault="0000562C" w:rsidP="0015064F">
            <w:pPr>
              <w:widowControl w:val="0"/>
              <w:jc w:val="right"/>
              <w:rPr>
                <w:color w:val="000000"/>
                <w:sz w:val="20"/>
                <w:szCs w:val="20"/>
              </w:rPr>
            </w:pPr>
            <w:r>
              <w:rPr>
                <w:color w:val="000000"/>
                <w:sz w:val="20"/>
                <w:szCs w:val="20"/>
              </w:rPr>
              <w:t>0,39</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E64890F" w14:textId="77777777" w:rsidR="00FA7CBB" w:rsidRPr="006C1FD2" w:rsidRDefault="00FA7CBB" w:rsidP="0015064F">
            <w:pPr>
              <w:widowControl w:val="0"/>
              <w:jc w:val="right"/>
              <w:rPr>
                <w:color w:val="000000"/>
                <w:sz w:val="20"/>
                <w:szCs w:val="20"/>
              </w:rPr>
            </w:pPr>
            <w:r>
              <w:rPr>
                <w:color w:val="000000"/>
                <w:sz w:val="20"/>
                <w:szCs w:val="20"/>
              </w:rPr>
              <w:t>1,1</w:t>
            </w:r>
          </w:p>
        </w:tc>
      </w:tr>
      <w:tr w:rsidR="0015064F" w:rsidRPr="006C1FD2" w14:paraId="7D197A27"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6BE1853" w14:textId="77777777" w:rsidR="00FA7CBB" w:rsidRPr="006C1FD2" w:rsidRDefault="00FA7CBB" w:rsidP="005D5A5E">
            <w:pPr>
              <w:widowControl w:val="0"/>
              <w:jc w:val="left"/>
              <w:rPr>
                <w:color w:val="000000"/>
                <w:sz w:val="20"/>
                <w:szCs w:val="20"/>
              </w:rPr>
            </w:pPr>
            <w:r>
              <w:rPr>
                <w:color w:val="000000"/>
                <w:sz w:val="20"/>
                <w:szCs w:val="20"/>
              </w:rPr>
              <w:t>HCFC-142b</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25B81C4B"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2322318E" w14:textId="77777777" w:rsidR="00FA7CBB" w:rsidRPr="006C1FD2"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71D3D2EC" w14:textId="77777777" w:rsidR="00FA7CBB" w:rsidRPr="004E5B04" w:rsidRDefault="00FA7CBB" w:rsidP="0015064F">
            <w:pPr>
              <w:widowControl w:val="0"/>
              <w:jc w:val="right"/>
              <w:rPr>
                <w:color w:val="000000"/>
                <w:sz w:val="20"/>
                <w:szCs w:val="20"/>
              </w:rPr>
            </w:pPr>
            <w:r>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664FACBB" w14:textId="6F7E5A56" w:rsidR="00FA7CBB" w:rsidRPr="006C1FD2" w:rsidRDefault="004D1DEE" w:rsidP="0015064F">
            <w:pPr>
              <w:widowControl w:val="0"/>
              <w:jc w:val="right"/>
              <w:rPr>
                <w:color w:val="000000"/>
                <w:sz w:val="20"/>
                <w:szCs w:val="20"/>
              </w:rPr>
            </w:pPr>
            <w:r>
              <w:rPr>
                <w:color w:val="000000"/>
                <w:sz w:val="20"/>
                <w:szCs w:val="20"/>
              </w:rPr>
              <w:t>0,00</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9A26BA9" w14:textId="4851BBD5" w:rsidR="00FA7CBB" w:rsidRPr="006C1FD2" w:rsidRDefault="0000562C" w:rsidP="0015064F">
            <w:pPr>
              <w:widowControl w:val="0"/>
              <w:jc w:val="right"/>
              <w:rPr>
                <w:color w:val="000000"/>
                <w:sz w:val="20"/>
                <w:szCs w:val="20"/>
              </w:rPr>
            </w:pPr>
            <w:r>
              <w:rPr>
                <w:color w:val="000000"/>
                <w:sz w:val="20"/>
                <w:szCs w:val="20"/>
              </w:rPr>
              <w:t>0,00</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0708F130" w14:textId="77777777" w:rsidR="00FA7CBB" w:rsidRPr="006C1FD2" w:rsidRDefault="00FA7CBB" w:rsidP="0015064F">
            <w:pPr>
              <w:widowControl w:val="0"/>
              <w:jc w:val="right"/>
              <w:rPr>
                <w:color w:val="000000"/>
                <w:sz w:val="20"/>
                <w:szCs w:val="20"/>
              </w:rPr>
            </w:pPr>
            <w:r>
              <w:rPr>
                <w:color w:val="000000"/>
                <w:sz w:val="20"/>
                <w:szCs w:val="20"/>
              </w:rPr>
              <w:t>0,1</w:t>
            </w:r>
          </w:p>
        </w:tc>
      </w:tr>
      <w:tr w:rsidR="0015064F" w:rsidRPr="006C1FD2" w14:paraId="6D005071"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55702174" w14:textId="4AF35F42" w:rsidR="00FA7CBB" w:rsidRPr="006C1FD2" w:rsidRDefault="00FA7CBB" w:rsidP="006150BE">
            <w:pPr>
              <w:jc w:val="left"/>
              <w:rPr>
                <w:rFonts w:eastAsiaTheme="minorHAnsi"/>
                <w:b/>
                <w:sz w:val="20"/>
                <w:szCs w:val="20"/>
              </w:rPr>
            </w:pPr>
            <w:r>
              <w:rPr>
                <w:b/>
                <w:sz w:val="20"/>
                <w:szCs w:val="20"/>
              </w:rPr>
              <w:t>Total (tonnes PAO)</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49C03F93" w14:textId="77777777" w:rsidR="00FA7CBB" w:rsidRPr="006C1FD2" w:rsidRDefault="00FA7CBB" w:rsidP="0015064F">
            <w:pPr>
              <w:widowControl w:val="0"/>
              <w:jc w:val="right"/>
              <w:rPr>
                <w:b/>
                <w:color w:val="000000"/>
                <w:sz w:val="20"/>
                <w:szCs w:val="20"/>
              </w:rPr>
            </w:pPr>
            <w:r>
              <w:rPr>
                <w:b/>
                <w:color w:val="000000"/>
                <w:sz w:val="20"/>
                <w:szCs w:val="20"/>
              </w:rPr>
              <w:t>4,50</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6F53BB79" w14:textId="77777777" w:rsidR="00FA7CBB" w:rsidRPr="006C1FD2" w:rsidRDefault="00FA7CBB" w:rsidP="0015064F">
            <w:pPr>
              <w:jc w:val="right"/>
              <w:rPr>
                <w:b/>
                <w:color w:val="000000"/>
                <w:sz w:val="20"/>
                <w:szCs w:val="20"/>
              </w:rPr>
            </w:pPr>
            <w:r>
              <w:rPr>
                <w:b/>
                <w:color w:val="000000"/>
                <w:sz w:val="20"/>
                <w:szCs w:val="20"/>
              </w:rPr>
              <w:t>5,59</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7A4BFF53" w14:textId="77777777" w:rsidR="00FA7CBB" w:rsidRPr="004E5B04" w:rsidRDefault="00FA7CBB" w:rsidP="0015064F">
            <w:pPr>
              <w:jc w:val="right"/>
              <w:rPr>
                <w:b/>
                <w:color w:val="000000"/>
                <w:sz w:val="20"/>
                <w:szCs w:val="20"/>
              </w:rPr>
            </w:pPr>
            <w:r>
              <w:rPr>
                <w:b/>
                <w:color w:val="000000"/>
                <w:sz w:val="20"/>
                <w:szCs w:val="20"/>
              </w:rPr>
              <w:t>3,36</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08F026C" w14:textId="6BC946A4" w:rsidR="00FA7CBB" w:rsidRPr="006C1FD2" w:rsidRDefault="004D1DEE" w:rsidP="0015064F">
            <w:pPr>
              <w:jc w:val="right"/>
              <w:rPr>
                <w:b/>
                <w:color w:val="000000"/>
                <w:sz w:val="20"/>
                <w:szCs w:val="20"/>
              </w:rPr>
            </w:pPr>
            <w:r>
              <w:rPr>
                <w:b/>
                <w:color w:val="000000"/>
                <w:sz w:val="20"/>
                <w:szCs w:val="20"/>
              </w:rPr>
              <w:t>4,31</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95CB909" w14:textId="4470F938" w:rsidR="00FA7CBB" w:rsidRPr="006C1FD2" w:rsidRDefault="000824B6" w:rsidP="0015064F">
            <w:pPr>
              <w:jc w:val="right"/>
              <w:rPr>
                <w:b/>
                <w:color w:val="000000"/>
                <w:sz w:val="20"/>
                <w:szCs w:val="20"/>
              </w:rPr>
            </w:pPr>
            <w:r>
              <w:rPr>
                <w:b/>
                <w:color w:val="000000"/>
                <w:sz w:val="20"/>
                <w:szCs w:val="20"/>
              </w:rPr>
              <w:t>3,19</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153352E8" w14:textId="77777777" w:rsidR="00FA7CBB" w:rsidRPr="006C1FD2" w:rsidRDefault="00FA7CBB" w:rsidP="0015064F">
            <w:pPr>
              <w:widowControl w:val="0"/>
              <w:jc w:val="right"/>
              <w:rPr>
                <w:b/>
                <w:color w:val="000000"/>
                <w:sz w:val="20"/>
                <w:szCs w:val="20"/>
              </w:rPr>
            </w:pPr>
            <w:r>
              <w:rPr>
                <w:b/>
                <w:color w:val="000000"/>
                <w:sz w:val="20"/>
                <w:szCs w:val="20"/>
              </w:rPr>
              <w:t>8,3</w:t>
            </w:r>
          </w:p>
        </w:tc>
      </w:tr>
      <w:tr w:rsidR="0015064F" w:rsidRPr="006C1FD2" w14:paraId="1BFDFA36" w14:textId="77777777" w:rsidTr="0015064F">
        <w:trPr>
          <w:trHeight w:val="253"/>
        </w:trPr>
        <w:tc>
          <w:tcPr>
            <w:tcW w:w="30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01AE7CD" w14:textId="0920B254" w:rsidR="00FA7CBB" w:rsidRPr="006C1FD2" w:rsidRDefault="00FA7CBB" w:rsidP="005D5A5E">
            <w:pPr>
              <w:jc w:val="left"/>
              <w:rPr>
                <w:color w:val="000000"/>
                <w:sz w:val="20"/>
                <w:szCs w:val="20"/>
              </w:rPr>
            </w:pPr>
            <w:r>
              <w:rPr>
                <w:color w:val="000000"/>
                <w:sz w:val="20"/>
                <w:szCs w:val="20"/>
              </w:rPr>
              <w:t>HCFC-141b dans les polyols prémélangés importés**</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33B7AEA" w14:textId="77777777" w:rsidR="00FA7CBB" w:rsidRPr="006C1FD2" w:rsidRDefault="00FA7CBB" w:rsidP="0015064F">
            <w:pPr>
              <w:jc w:val="right"/>
              <w:rPr>
                <w:rFonts w:eastAsiaTheme="minorHAnsi"/>
                <w:color w:val="000000"/>
                <w:sz w:val="20"/>
                <w:szCs w:val="20"/>
              </w:rPr>
            </w:pPr>
            <w:r>
              <w:rPr>
                <w:color w:val="000000"/>
                <w:sz w:val="20"/>
                <w:szCs w:val="20"/>
              </w:rPr>
              <w:t>1,52</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7BE73BDF" w14:textId="77777777" w:rsidR="00FA7CBB" w:rsidRPr="006C1FD2" w:rsidRDefault="00FA7CBB" w:rsidP="0015064F">
            <w:pPr>
              <w:jc w:val="right"/>
              <w:rPr>
                <w:color w:val="000000"/>
                <w:sz w:val="20"/>
                <w:szCs w:val="20"/>
              </w:rPr>
            </w:pPr>
            <w:r>
              <w:rPr>
                <w:color w:val="000000"/>
                <w:sz w:val="20"/>
                <w:szCs w:val="20"/>
              </w:rPr>
              <w:t>0,85</w:t>
            </w:r>
          </w:p>
        </w:tc>
        <w:tc>
          <w:tcPr>
            <w:tcW w:w="992" w:type="dxa"/>
            <w:tcBorders>
              <w:top w:val="single" w:sz="4" w:space="0" w:color="auto"/>
              <w:left w:val="single" w:sz="4" w:space="0" w:color="auto"/>
              <w:bottom w:val="single" w:sz="4" w:space="0" w:color="auto"/>
              <w:right w:val="single" w:sz="4" w:space="0" w:color="auto"/>
            </w:tcBorders>
            <w:noWrap/>
            <w:tcMar>
              <w:left w:w="115" w:type="dxa"/>
              <w:right w:w="173" w:type="dxa"/>
            </w:tcMar>
            <w:vAlign w:val="center"/>
          </w:tcPr>
          <w:p w14:paraId="70F0C42F" w14:textId="77777777" w:rsidR="00FA7CBB" w:rsidRPr="004E5B04" w:rsidRDefault="00FA7CBB" w:rsidP="0015064F">
            <w:pPr>
              <w:jc w:val="right"/>
              <w:rPr>
                <w:rFonts w:eastAsiaTheme="minorHAnsi"/>
                <w:color w:val="000000"/>
                <w:sz w:val="20"/>
                <w:szCs w:val="20"/>
              </w:rPr>
            </w:pPr>
            <w:r>
              <w:rPr>
                <w:color w:val="000000"/>
                <w:sz w:val="20"/>
                <w:szCs w:val="20"/>
              </w:rPr>
              <w:t>0,03</w:t>
            </w:r>
          </w:p>
        </w:tc>
        <w:tc>
          <w:tcPr>
            <w:tcW w:w="992"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5FA327BF" w14:textId="595AD95E" w:rsidR="00FA7CBB" w:rsidRPr="006C1FD2" w:rsidRDefault="004D1DEE" w:rsidP="0015064F">
            <w:pPr>
              <w:jc w:val="right"/>
              <w:rPr>
                <w:color w:val="000000"/>
                <w:sz w:val="20"/>
                <w:szCs w:val="20"/>
              </w:rPr>
            </w:pPr>
            <w:r>
              <w:rPr>
                <w:color w:val="000000"/>
                <w:sz w:val="20"/>
                <w:szCs w:val="20"/>
              </w:rPr>
              <w:t>0,00</w:t>
            </w:r>
          </w:p>
        </w:tc>
        <w:tc>
          <w:tcPr>
            <w:tcW w:w="807" w:type="dxa"/>
            <w:tcBorders>
              <w:top w:val="single" w:sz="4" w:space="0" w:color="auto"/>
              <w:left w:val="single" w:sz="4" w:space="0" w:color="auto"/>
              <w:bottom w:val="single" w:sz="4" w:space="0" w:color="auto"/>
              <w:right w:val="single" w:sz="4" w:space="0" w:color="auto"/>
            </w:tcBorders>
            <w:tcMar>
              <w:left w:w="115" w:type="dxa"/>
              <w:right w:w="173" w:type="dxa"/>
            </w:tcMar>
            <w:vAlign w:val="center"/>
          </w:tcPr>
          <w:p w14:paraId="1138C127" w14:textId="4EA634D5" w:rsidR="00FA7CBB" w:rsidRPr="006C1FD2" w:rsidRDefault="004D1DEE" w:rsidP="0015064F">
            <w:pPr>
              <w:jc w:val="right"/>
              <w:rPr>
                <w:rFonts w:eastAsiaTheme="minorHAnsi"/>
                <w:color w:val="000000"/>
                <w:sz w:val="20"/>
                <w:szCs w:val="20"/>
              </w:rPr>
            </w:pPr>
            <w:r>
              <w:rPr>
                <w:color w:val="000000"/>
                <w:sz w:val="20"/>
                <w:szCs w:val="20"/>
              </w:rPr>
              <w:t>0,00</w:t>
            </w:r>
          </w:p>
        </w:tc>
        <w:tc>
          <w:tcPr>
            <w:tcW w:w="185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4956A4D2" w14:textId="440FD823" w:rsidR="00FA7CBB" w:rsidRPr="006C1FD2" w:rsidRDefault="00FA7CBB" w:rsidP="0015064F">
            <w:pPr>
              <w:jc w:val="right"/>
              <w:rPr>
                <w:rFonts w:eastAsiaTheme="minorHAnsi"/>
                <w:color w:val="000000"/>
                <w:sz w:val="20"/>
                <w:szCs w:val="20"/>
              </w:rPr>
            </w:pPr>
            <w:r>
              <w:rPr>
                <w:color w:val="000000"/>
                <w:sz w:val="20"/>
                <w:szCs w:val="20"/>
              </w:rPr>
              <w:t>1,4***</w:t>
            </w:r>
          </w:p>
        </w:tc>
      </w:tr>
    </w:tbl>
    <w:p w14:paraId="7974AEFF" w14:textId="41DB21FE" w:rsidR="00D54581" w:rsidRPr="005D5A5E" w:rsidRDefault="0000562C" w:rsidP="005D5A5E">
      <w:pPr>
        <w:rPr>
          <w:strike/>
          <w:sz w:val="19"/>
          <w:szCs w:val="19"/>
        </w:rPr>
      </w:pPr>
      <w:r>
        <w:rPr>
          <w:sz w:val="19"/>
          <w:szCs w:val="19"/>
        </w:rPr>
        <w:t>* Estimation du PGEH.</w:t>
      </w:r>
    </w:p>
    <w:p w14:paraId="528933FA" w14:textId="6C89AF64" w:rsidR="007F1E87" w:rsidRPr="005D5A5E" w:rsidRDefault="00D54581" w:rsidP="005D5A5E">
      <w:pPr>
        <w:rPr>
          <w:sz w:val="19"/>
          <w:szCs w:val="19"/>
        </w:rPr>
      </w:pPr>
      <w:r>
        <w:rPr>
          <w:sz w:val="19"/>
          <w:szCs w:val="19"/>
        </w:rPr>
        <w:t>** Données de programme de pays.</w:t>
      </w:r>
    </w:p>
    <w:p w14:paraId="0C6A747C" w14:textId="320294C8" w:rsidR="00D54581" w:rsidRPr="00FE3307" w:rsidRDefault="007F1E87" w:rsidP="005D5A5E">
      <w:pPr>
        <w:rPr>
          <w:sz w:val="16"/>
          <w:szCs w:val="16"/>
        </w:rPr>
      </w:pPr>
      <w:r>
        <w:rPr>
          <w:sz w:val="19"/>
          <w:szCs w:val="19"/>
        </w:rPr>
        <w:t>*** Consommation moyenne de 2007 à 2009.</w:t>
      </w:r>
    </w:p>
    <w:p w14:paraId="6B0378A9" w14:textId="77777777" w:rsidR="00D54581" w:rsidRPr="00FE3307" w:rsidRDefault="00D54581" w:rsidP="005D5A5E">
      <w:pPr>
        <w:rPr>
          <w:lang w:val="en-CA"/>
        </w:rPr>
      </w:pPr>
    </w:p>
    <w:p w14:paraId="7F38CD66" w14:textId="76C49C95" w:rsidR="00D54581" w:rsidRPr="007D1E1E" w:rsidRDefault="00EB4EC8" w:rsidP="005D5A5E">
      <w:pPr>
        <w:pStyle w:val="Heading1"/>
      </w:pPr>
      <w:r>
        <w:t>Depuis 2015, la consommation de HCFC a été maintenue en dessous des quotas émis par le gouvernement grâce à l</w:t>
      </w:r>
      <w:r w:rsidR="00FF17A4">
        <w:t>’</w:t>
      </w:r>
      <w:r>
        <w:t>application stricte du système d</w:t>
      </w:r>
      <w:r w:rsidR="00FF17A4">
        <w:t>’</w:t>
      </w:r>
      <w:r>
        <w:t>octroi de licences et à la mise en œuvre des activités prévues par le PGEH, notamment les activités de renforcement des capacités des agents des douanes et des techniciens en réfrigération, et l</w:t>
      </w:r>
      <w:r w:rsidR="00FF17A4">
        <w:t>’</w:t>
      </w:r>
      <w:r>
        <w:t>assistance technique fournie au secteur de l</w:t>
      </w:r>
      <w:r w:rsidR="00FF17A4">
        <w:t>’</w:t>
      </w:r>
      <w:r>
        <w:t>entretien des installations de réfrigération. La consommation de HCFC a également été réduite grâce à l</w:t>
      </w:r>
      <w:r w:rsidR="00FF17A4">
        <w:t>’</w:t>
      </w:r>
      <w:r>
        <w:t>augmentation des importations d</w:t>
      </w:r>
      <w:r w:rsidR="00FF17A4">
        <w:t>’</w:t>
      </w:r>
      <w:r>
        <w:t>équipements de réfrigération et de climatisation ne contenant pas de HCFC. En 2017 et 2019, la consommation de HCFC-22 a fortement diminué, car les huit importateurs n</w:t>
      </w:r>
      <w:r w:rsidR="00FF17A4">
        <w:t>’</w:t>
      </w:r>
      <w:r>
        <w:t xml:space="preserve">ont pas tous </w:t>
      </w:r>
      <w:r>
        <w:lastRenderedPageBreak/>
        <w:t>utilisé leurs quotas annuels de HCFC en raison d</w:t>
      </w:r>
      <w:r w:rsidR="00FF17A4">
        <w:t>’</w:t>
      </w:r>
      <w:r>
        <w:t>une taxe à l</w:t>
      </w:r>
      <w:r w:rsidR="00FF17A4">
        <w:t>’</w:t>
      </w:r>
      <w:r>
        <w:t>importation; cette tendance devrait se poursuivre. Aucune importation de HCFC-141b contenus dans les polyols prémélangés n</w:t>
      </w:r>
      <w:r w:rsidR="00FF17A4">
        <w:t>’</w:t>
      </w:r>
      <w:r>
        <w:t>a eu lieu depuis 2018 en raison de l</w:t>
      </w:r>
      <w:r w:rsidR="00FF17A4">
        <w:t>’</w:t>
      </w:r>
      <w:r>
        <w:t xml:space="preserve">élimination totale du secteur des mousses. </w:t>
      </w:r>
    </w:p>
    <w:p w14:paraId="412CB25F" w14:textId="57D1DC38" w:rsidR="00D54581" w:rsidRPr="00FE3307" w:rsidRDefault="00D54581" w:rsidP="00817FAE">
      <w:pPr>
        <w:widowControl w:val="0"/>
        <w:rPr>
          <w:i/>
        </w:rPr>
      </w:pPr>
      <w:r>
        <w:rPr>
          <w:i/>
        </w:rPr>
        <w:t xml:space="preserve">Rapport </w:t>
      </w:r>
      <w:r w:rsidR="00620D3D">
        <w:rPr>
          <w:i/>
        </w:rPr>
        <w:t>sur la</w:t>
      </w:r>
      <w:r>
        <w:rPr>
          <w:i/>
        </w:rPr>
        <w:t xml:space="preserve"> mise en œuvre du programme de pays</w:t>
      </w:r>
    </w:p>
    <w:p w14:paraId="6AC3CB23" w14:textId="77777777" w:rsidR="00D54581" w:rsidRPr="00054661" w:rsidRDefault="00D54581" w:rsidP="00817FAE">
      <w:pPr>
        <w:widowControl w:val="0"/>
        <w:rPr>
          <w:lang w:val="fr-CA"/>
        </w:rPr>
      </w:pPr>
    </w:p>
    <w:p w14:paraId="7AB91A07" w14:textId="2B950578" w:rsidR="005A1AFF" w:rsidRDefault="00FA7CBB" w:rsidP="00817FAE">
      <w:pPr>
        <w:pStyle w:val="Heading1"/>
        <w:widowControl w:val="0"/>
      </w:pPr>
      <w:r>
        <w:t>Le gouvernement du Guatemala a communiqué des données sur la consommation du secteur des HCFC dans le cadre du rapport de mise en œuvre du programme de pays 2018, lesquelles correspondent aux données communiquées au titre de l</w:t>
      </w:r>
      <w:r w:rsidR="00FF17A4">
        <w:t>’</w:t>
      </w:r>
      <w:r>
        <w:t>article 7 du protocole de Montréal. Le rapport de mise en œuvre du programme de pays de 2019 sera présenté d</w:t>
      </w:r>
      <w:r w:rsidR="00FF17A4">
        <w:t>’</w:t>
      </w:r>
      <w:r>
        <w:t>ici le 1</w:t>
      </w:r>
      <w:r>
        <w:rPr>
          <w:vertAlign w:val="superscript"/>
        </w:rPr>
        <w:t>e</w:t>
      </w:r>
      <w:r w:rsidR="00FF17A4">
        <w:rPr>
          <w:vertAlign w:val="superscript"/>
        </w:rPr>
        <w:t>r</w:t>
      </w:r>
      <w:r>
        <w:t xml:space="preserve"> mai 2020. </w:t>
      </w:r>
    </w:p>
    <w:p w14:paraId="48B4D2EB" w14:textId="77777777" w:rsidR="003244BD" w:rsidRPr="002222FF" w:rsidRDefault="003244BD" w:rsidP="005D5A5E">
      <w:pPr>
        <w:rPr>
          <w:i/>
        </w:rPr>
      </w:pPr>
      <w:r>
        <w:rPr>
          <w:i/>
        </w:rPr>
        <w:t xml:space="preserve">Rapport de vérification </w:t>
      </w:r>
    </w:p>
    <w:p w14:paraId="5C0C5B5C" w14:textId="77777777" w:rsidR="003244BD" w:rsidRPr="0085400A" w:rsidRDefault="003244BD" w:rsidP="005D5A5E">
      <w:pPr>
        <w:rPr>
          <w:highlight w:val="yellow"/>
          <w:lang w:val="en-CA"/>
        </w:rPr>
      </w:pPr>
    </w:p>
    <w:p w14:paraId="598B1BC2" w14:textId="520FF634" w:rsidR="003244BD" w:rsidRPr="00053B2A" w:rsidRDefault="002222FF" w:rsidP="005D5A5E">
      <w:pPr>
        <w:pStyle w:val="Heading1"/>
      </w:pPr>
      <w:r>
        <w:t>La vérification de la consommation de HCFC de 2018 à 2019 a été effectuée avant la demande de la cinquième tranche de financement. Cependant une mission au Guatemala a été annulée en raison des restrictions de déplacements liées à la pandémie de COVID-19. Au moment de la publication du présent document, le rapport n</w:t>
      </w:r>
      <w:r w:rsidR="00FF17A4">
        <w:t>’</w:t>
      </w:r>
      <w:r>
        <w:t>avait pas encore été soumis. L</w:t>
      </w:r>
      <w:r w:rsidR="00FF17A4">
        <w:t>’</w:t>
      </w:r>
      <w:r>
        <w:t>ONUDI prévoit cependant de le soumettre au plus tard 12 semaines avant la 86</w:t>
      </w:r>
      <w:r>
        <w:rPr>
          <w:vertAlign w:val="superscript"/>
        </w:rPr>
        <w:t>e</w:t>
      </w:r>
      <w:r>
        <w:t xml:space="preserve"> réunion. </w:t>
      </w:r>
    </w:p>
    <w:p w14:paraId="34D20CB1" w14:textId="77777777" w:rsidR="00D54581" w:rsidRPr="00FE3307" w:rsidRDefault="00D54581" w:rsidP="005D5A5E">
      <w:pPr>
        <w:keepNext/>
        <w:rPr>
          <w:u w:val="single"/>
        </w:rPr>
      </w:pPr>
      <w:r>
        <w:rPr>
          <w:u w:val="single"/>
        </w:rPr>
        <w:t>Rapport périodique sur la mise en œuvre de la quatrième tranche du PGEH</w:t>
      </w:r>
    </w:p>
    <w:p w14:paraId="793DA150" w14:textId="141F4015" w:rsidR="00D54581" w:rsidRPr="00054661" w:rsidRDefault="00D54581" w:rsidP="005D5A5E">
      <w:pPr>
        <w:keepNext/>
        <w:rPr>
          <w:lang w:val="fr-CA"/>
        </w:rPr>
      </w:pPr>
    </w:p>
    <w:p w14:paraId="4C62710C" w14:textId="77777777" w:rsidR="00D54581" w:rsidRPr="00FE3307" w:rsidRDefault="00D54581" w:rsidP="005D5A5E">
      <w:pPr>
        <w:keepNext/>
        <w:rPr>
          <w:i/>
        </w:rPr>
      </w:pPr>
      <w:r>
        <w:rPr>
          <w:i/>
        </w:rPr>
        <w:t>Cadre juridique</w:t>
      </w:r>
    </w:p>
    <w:p w14:paraId="7797C447" w14:textId="15A32B94" w:rsidR="00D54581" w:rsidRDefault="00D54581" w:rsidP="005D5A5E">
      <w:pPr>
        <w:rPr>
          <w:lang w:val="en-CA"/>
        </w:rPr>
      </w:pPr>
    </w:p>
    <w:p w14:paraId="0B20C4D6" w14:textId="6A0C3788" w:rsidR="009156A1" w:rsidRPr="00D76A11" w:rsidRDefault="00631999" w:rsidP="005D5A5E">
      <w:pPr>
        <w:pStyle w:val="Heading1"/>
        <w:numPr>
          <w:ilvl w:val="0"/>
          <w:numId w:val="1"/>
        </w:numPr>
      </w:pPr>
      <w:r>
        <w:t>Le Guatemala a poursuivi la mise en œuvre de son système d’octroi de licences et de quotas d</w:t>
      </w:r>
      <w:r w:rsidR="00FF17A4">
        <w:t>’</w:t>
      </w:r>
      <w:r>
        <w:t>importation et d</w:t>
      </w:r>
      <w:r w:rsidR="00FF17A4">
        <w:t>’</w:t>
      </w:r>
      <w:r>
        <w:t>exportation de HCFC et la collecte de données douanières sur le commerce des HCFC. Un nouveau module de formation sur le contrôle des SAO a été préparé dans le cadre du programme ordinaire de formation des douanes. Sept ateliers ont permis de former 247 agents des douanes supplémentaires dans quatre villes, en mettant l</w:t>
      </w:r>
      <w:r w:rsidR="00FF17A4">
        <w:t>’</w:t>
      </w:r>
      <w:r>
        <w:t>accent sur les substances contrôlées et leurs solutions de remplacement, ainsi que sur la prévention du commerce illégal. Cinq identificateurs de réfrigérant ont été achetés pour les bureaux de douane. Un programme de surveillance a été mis en place pour garantir le maintien de l</w:t>
      </w:r>
      <w:r w:rsidR="00FF17A4">
        <w:t>’</w:t>
      </w:r>
      <w:r>
        <w:t>interdiction de fabrication et d</w:t>
      </w:r>
      <w:r w:rsidR="00FF17A4">
        <w:t>’</w:t>
      </w:r>
      <w:r>
        <w:t>importation d</w:t>
      </w:r>
      <w:r w:rsidR="00FF17A4">
        <w:t>’</w:t>
      </w:r>
      <w:r>
        <w:t>équipements à base de HCFC. Le Guatemala a participé à l</w:t>
      </w:r>
      <w:r w:rsidR="00FF17A4">
        <w:t>’</w:t>
      </w:r>
      <w:r>
        <w:t>opération Demeter-V</w:t>
      </w:r>
      <w:r w:rsidR="009156A1">
        <w:rPr>
          <w:rStyle w:val="FootnoteReference"/>
          <w:lang w:val="en-CA"/>
        </w:rPr>
        <w:footnoteReference w:id="2"/>
      </w:r>
      <w:r>
        <w:t xml:space="preserve"> dans le cadre de l</w:t>
      </w:r>
      <w:r w:rsidR="00FF17A4">
        <w:t>’</w:t>
      </w:r>
      <w:r>
        <w:t>Organisation mondiale des douanes, qui a abouti à la saisie de 83 climatiseurs à base de HCFC-22 et à neuf inspections sur des sites douaniers.</w:t>
      </w:r>
    </w:p>
    <w:p w14:paraId="071E28CF" w14:textId="08A96AC7" w:rsidR="009156A1" w:rsidRPr="009156A1" w:rsidRDefault="009156A1" w:rsidP="005D5A5E">
      <w:pPr>
        <w:pStyle w:val="Heading1"/>
      </w:pPr>
      <w:r>
        <w:t>L</w:t>
      </w:r>
      <w:r w:rsidR="00FF17A4">
        <w:t>’</w:t>
      </w:r>
      <w:r>
        <w:t>Unité nationale de l</w:t>
      </w:r>
      <w:r w:rsidR="00FF17A4">
        <w:t>’</w:t>
      </w:r>
      <w:r>
        <w:t>ozone (NOU) a contacté la Commission des normes du Guatemala (COGUANOR) afin d</w:t>
      </w:r>
      <w:r w:rsidR="00FF17A4">
        <w:t>’</w:t>
      </w:r>
      <w:r>
        <w:t>identifier les parties prenantes et les rôles potentiels concernant l</w:t>
      </w:r>
      <w:r w:rsidR="00FF17A4">
        <w:t>’</w:t>
      </w:r>
      <w:r>
        <w:t>adoption de normes pour la manipulation des réfrigérants inflammables. La norme de compétence du travail pour les bonnes pratiques de manipulation des réfrigérants et des systèmes de réfrigération, qui servira de référence pour la certification des techniciens de la réfrigération et de la climatisation, est en cours d</w:t>
      </w:r>
      <w:r w:rsidR="00FF17A4">
        <w:t>’</w:t>
      </w:r>
      <w:r>
        <w:t>élaboration en alliance avec l</w:t>
      </w:r>
      <w:r w:rsidR="00FF17A4">
        <w:t>’</w:t>
      </w:r>
      <w:r>
        <w:t xml:space="preserve">Institut technique pour la formation et la productivité (INTECAP). </w:t>
      </w:r>
    </w:p>
    <w:p w14:paraId="6C66D5E9" w14:textId="2F26AEC9" w:rsidR="00340272" w:rsidRPr="00C733DC" w:rsidRDefault="00B9311D" w:rsidP="005D5A5E">
      <w:pPr>
        <w:pStyle w:val="Heading1"/>
      </w:pPr>
      <w:r>
        <w:t>Conformément à la décision 68/25, en janvier 2020, le gouvernement du Guatemala a mis en œuvre une interdiction d</w:t>
      </w:r>
      <w:r w:rsidR="00FF17A4">
        <w:t>’</w:t>
      </w:r>
      <w:r>
        <w:t>importation de HCFC-141b en vrac et contenu dans des polyols prémélangés, mais a ensuite été retiré car la position tarifaire incluait les polyols et d</w:t>
      </w:r>
      <w:r w:rsidR="00FF17A4">
        <w:t>’</w:t>
      </w:r>
      <w:r>
        <w:t>autres substances non SAO largement utilisées dans l</w:t>
      </w:r>
      <w:r w:rsidR="00FF17A4">
        <w:t>’</w:t>
      </w:r>
      <w:r>
        <w:t>industrie. Le NOU a conclu un accord avec le gouvernement pour interdire l</w:t>
      </w:r>
      <w:r w:rsidR="00FF17A4">
        <w:t>’</w:t>
      </w:r>
      <w:r>
        <w:t xml:space="preserve">importation de HCFC-141b en vrac et dans les polyols </w:t>
      </w:r>
      <w:r w:rsidR="00FF17A4">
        <w:t>prémélangés</w:t>
      </w:r>
      <w:r>
        <w:t xml:space="preserve">, qui devrait entrer en vigueur en octobre 2020. Le HCFC-141b contenu dans les polyols </w:t>
      </w:r>
      <w:r w:rsidR="00FF17A4">
        <w:t>prémélangés</w:t>
      </w:r>
      <w:r>
        <w:t xml:space="preserve"> importés n</w:t>
      </w:r>
      <w:r w:rsidR="00FF17A4">
        <w:t>’</w:t>
      </w:r>
      <w:r>
        <w:t xml:space="preserve">est plus utilisé dans le </w:t>
      </w:r>
      <w:r>
        <w:lastRenderedPageBreak/>
        <w:t>secteur des mousses et des agents nettoyants de remplacement pour le secteur de la réfrigération et de la climatisation ont été promulgués dans les ateliers de formation, au lieu du HCFC-141b pur.</w:t>
      </w:r>
    </w:p>
    <w:p w14:paraId="0478CA2F" w14:textId="04F216D4" w:rsidR="00D54581" w:rsidRDefault="00D54581" w:rsidP="005D5A5E">
      <w:pPr>
        <w:rPr>
          <w:i/>
        </w:rPr>
      </w:pPr>
      <w:r>
        <w:rPr>
          <w:i/>
        </w:rPr>
        <w:t>Secteur de l’entretien de la réfrigération</w:t>
      </w:r>
    </w:p>
    <w:p w14:paraId="566281CE" w14:textId="1C1A9DEB" w:rsidR="009D7F65" w:rsidRPr="00054661" w:rsidRDefault="009D7F65" w:rsidP="005D5A5E">
      <w:pPr>
        <w:rPr>
          <w:i/>
          <w:lang w:val="fr-CA"/>
        </w:rPr>
      </w:pPr>
    </w:p>
    <w:p w14:paraId="6AB7C22C" w14:textId="1360F233" w:rsidR="00F92588" w:rsidRPr="0026283A" w:rsidRDefault="00F92588" w:rsidP="005D5A5E">
      <w:pPr>
        <w:pStyle w:val="Heading1"/>
      </w:pPr>
      <w:r>
        <w:t>Les activités suivantes ont été mises en œuvre :</w:t>
      </w:r>
    </w:p>
    <w:p w14:paraId="06100946" w14:textId="51F10F4F" w:rsidR="00FF2EDA" w:rsidRPr="0026283A" w:rsidRDefault="00232C68" w:rsidP="006210AB">
      <w:pPr>
        <w:pStyle w:val="Heading2"/>
        <w:rPr>
          <w:color w:val="000000"/>
        </w:rPr>
      </w:pPr>
      <w:r>
        <w:t>Programme de formation et de certification en réfrigération par l</w:t>
      </w:r>
      <w:r w:rsidR="00FF17A4">
        <w:t>’</w:t>
      </w:r>
      <w:r>
        <w:t>intermédiaire de l</w:t>
      </w:r>
      <w:r w:rsidR="00FF17A4">
        <w:t>’</w:t>
      </w:r>
      <w:r>
        <w:t>INTECAP et participation d</w:t>
      </w:r>
      <w:r w:rsidR="00FF17A4">
        <w:t>’</w:t>
      </w:r>
      <w:r>
        <w:t>autres institutions, notamment l’</w:t>
      </w:r>
      <w:r>
        <w:rPr>
          <w:color w:val="000000"/>
        </w:rPr>
        <w:t xml:space="preserve">association nationale des techniciens (ASFRIGUA), qui </w:t>
      </w:r>
      <w:r>
        <w:t>a</w:t>
      </w:r>
      <w:r>
        <w:rPr>
          <w:color w:val="000000"/>
        </w:rPr>
        <w:t xml:space="preserve"> mené</w:t>
      </w:r>
      <w:r>
        <w:t xml:space="preserve"> une étude pour caractériser le niveau d</w:t>
      </w:r>
      <w:r w:rsidR="00FF17A4">
        <w:t>’</w:t>
      </w:r>
      <w:r>
        <w:t>éducation des techniciens dans le secteur de la maintenance de la réfrigération et qui participera activement à la validation de la norme du code de conduite à utiliser pour la certification</w:t>
      </w:r>
      <w:r>
        <w:rPr>
          <w:color w:val="000000"/>
        </w:rPr>
        <w:t xml:space="preserve">; </w:t>
      </w:r>
    </w:p>
    <w:p w14:paraId="593992BA" w14:textId="13E9AD67" w:rsidR="00AF420D" w:rsidRPr="0026283A" w:rsidRDefault="00EF56C5" w:rsidP="0036736D">
      <w:pPr>
        <w:pStyle w:val="Heading2"/>
        <w:keepNext/>
        <w:keepLines/>
        <w:widowControl/>
        <w:rPr>
          <w:color w:val="000000"/>
        </w:rPr>
      </w:pPr>
      <w:r>
        <w:t>Soixante-quatre réunions et ateliers ont été organisés pour former 1 200 techniciens parmi les quelques 4 000 techniciens des secteurs formel et informel du Guatemala</w:t>
      </w:r>
      <w:r w:rsidR="00713C1A" w:rsidRPr="0026283A">
        <w:rPr>
          <w:rStyle w:val="FootnoteReference"/>
          <w:lang w:val="en-CA"/>
        </w:rPr>
        <w:footnoteReference w:id="3"/>
      </w:r>
      <w:r>
        <w:t xml:space="preserve"> aux bonnes pratiques d’entretien en matière de réfrigération; et 238 étudiants en réfrigération et en climatisation de l</w:t>
      </w:r>
      <w:r w:rsidR="00FF17A4">
        <w:t>’</w:t>
      </w:r>
      <w:r>
        <w:t xml:space="preserve">INTECAP ont </w:t>
      </w:r>
      <w:r w:rsidR="00FF17A4">
        <w:t xml:space="preserve">été formés sur les solutions de remplacement à </w:t>
      </w:r>
      <w:r>
        <w:t xml:space="preserve">faible potentiel de réchauffement global; </w:t>
      </w:r>
    </w:p>
    <w:p w14:paraId="311804FE" w14:textId="5CB0175E" w:rsidR="009D7F65" w:rsidRPr="0026283A" w:rsidRDefault="00FF17A4" w:rsidP="005D5A5E">
      <w:pPr>
        <w:pStyle w:val="Heading2"/>
        <w:rPr>
          <w:color w:val="000000"/>
        </w:rPr>
      </w:pPr>
      <w:r>
        <w:t xml:space="preserve">Un expert en </w:t>
      </w:r>
      <w:r w:rsidR="009A7939">
        <w:t>efficacité énergétique a organisé deux sessions de formation pour les techniciens de la réfrigération et de la climatisation dans les installations de l</w:t>
      </w:r>
      <w:r>
        <w:t>’</w:t>
      </w:r>
      <w:r w:rsidR="009A7939">
        <w:t>INTECAP sur l</w:t>
      </w:r>
      <w:r>
        <w:t>’</w:t>
      </w:r>
      <w:r w:rsidR="009A7939">
        <w:t>efficacité énergétique des équipements à base d</w:t>
      </w:r>
      <w:r>
        <w:t>’</w:t>
      </w:r>
      <w:r w:rsidR="009A7939">
        <w:t>hydrocarbures (HC), et une réunion avec Fogel, l</w:t>
      </w:r>
      <w:r>
        <w:t>’</w:t>
      </w:r>
      <w:r w:rsidR="009A7939">
        <w:t>entreprise qui fabrique des réfrigérateurs domestiques et commerciaux (et convertis avec l</w:t>
      </w:r>
      <w:r>
        <w:t>’</w:t>
      </w:r>
      <w:r w:rsidR="009A7939">
        <w:t>aide du Fonds multilatéral) pour améliorer l</w:t>
      </w:r>
      <w:r>
        <w:t>’</w:t>
      </w:r>
      <w:r w:rsidR="009A7939">
        <w:t>efficacité énergétique des équipements fabriqués et évaluer les coûts d</w:t>
      </w:r>
      <w:r>
        <w:t>’</w:t>
      </w:r>
      <w:r w:rsidR="009A7939">
        <w:t>investissement et de fonctionnement su</w:t>
      </w:r>
      <w:r w:rsidR="0026740E">
        <w:t>pplémentaires associés</w:t>
      </w:r>
      <w:r w:rsidR="009A7939">
        <w:t>;</w:t>
      </w:r>
    </w:p>
    <w:p w14:paraId="3285C299" w14:textId="67EB6CF4" w:rsidR="00B50FE3" w:rsidRPr="0026283A" w:rsidRDefault="006711AB" w:rsidP="005D5A5E">
      <w:pPr>
        <w:pStyle w:val="Heading2"/>
      </w:pPr>
      <w:r>
        <w:t>Un consultant international a été engagé pour améliorer le système d</w:t>
      </w:r>
      <w:r w:rsidR="0026740E">
        <w:t>e certification des techniciens</w:t>
      </w:r>
      <w:r>
        <w:t xml:space="preserve">; et la </w:t>
      </w:r>
      <w:r>
        <w:rPr>
          <w:color w:val="000000"/>
        </w:rPr>
        <w:t xml:space="preserve">norme de compétence du travail pour les bonnes pratiques de manipulation des réfrigérants et des systèmes de réfrigération qui les contiennent est en cours de formulation et sera validée </w:t>
      </w:r>
      <w:r w:rsidR="0026740E">
        <w:rPr>
          <w:color w:val="000000"/>
        </w:rPr>
        <w:t>par un groupe technique en 2020</w:t>
      </w:r>
      <w:r>
        <w:rPr>
          <w:color w:val="000000"/>
        </w:rPr>
        <w:t xml:space="preserve">; </w:t>
      </w:r>
    </w:p>
    <w:p w14:paraId="2EA05C92" w14:textId="7324FEE6" w:rsidR="00773023" w:rsidRPr="003402A1" w:rsidRDefault="009A7939" w:rsidP="0079077D">
      <w:pPr>
        <w:pStyle w:val="Heading2"/>
      </w:pPr>
      <w:r>
        <w:t>Achat de kits d</w:t>
      </w:r>
      <w:r w:rsidR="00FF17A4">
        <w:t>’</w:t>
      </w:r>
      <w:r>
        <w:t xml:space="preserve">entretien pour renforcer les centres de formation supplémentaires, y compris 10 climatiseurs à base de </w:t>
      </w:r>
      <w:r w:rsidR="00FF17A4">
        <w:rPr>
          <w:color w:val="212121"/>
        </w:rPr>
        <w:t>R</w:t>
      </w:r>
      <w:r w:rsidR="00FF17A4">
        <w:rPr>
          <w:color w:val="212121"/>
        </w:rPr>
        <w:noBreakHyphen/>
        <w:t>290</w:t>
      </w:r>
      <w:r>
        <w:rPr>
          <w:color w:val="212121"/>
        </w:rPr>
        <w:t>, huit</w:t>
      </w:r>
      <w:r>
        <w:t xml:space="preserve"> </w:t>
      </w:r>
      <w:r>
        <w:rPr>
          <w:color w:val="000000"/>
        </w:rPr>
        <w:t>kits de base pour l</w:t>
      </w:r>
      <w:r w:rsidR="00FF17A4">
        <w:rPr>
          <w:color w:val="000000"/>
        </w:rPr>
        <w:t>’</w:t>
      </w:r>
      <w:r>
        <w:rPr>
          <w:color w:val="000000"/>
        </w:rPr>
        <w:t>entretien des équipements R-290, des détecteurs de fuites HC, des identificateurs de réfrigérant</w:t>
      </w:r>
      <w:r w:rsidR="00FF17A4">
        <w:rPr>
          <w:color w:val="000000"/>
        </w:rPr>
        <w:t>s</w:t>
      </w:r>
      <w:r>
        <w:rPr>
          <w:color w:val="000000"/>
        </w:rPr>
        <w:t xml:space="preserve"> et des manomètres</w:t>
      </w:r>
      <w:r w:rsidR="00624188">
        <w:rPr>
          <w:color w:val="000000"/>
        </w:rPr>
        <w:t> ;</w:t>
      </w:r>
      <w:r>
        <w:rPr>
          <w:color w:val="000000"/>
        </w:rPr>
        <w:t xml:space="preserve"> </w:t>
      </w:r>
      <w:r>
        <w:t xml:space="preserve">et </w:t>
      </w:r>
    </w:p>
    <w:p w14:paraId="6A3DD275" w14:textId="70B8270A" w:rsidR="00F546A1" w:rsidRPr="004E125F" w:rsidRDefault="009A7939" w:rsidP="006210AB">
      <w:pPr>
        <w:pStyle w:val="Heading2"/>
      </w:pPr>
      <w:r>
        <w:t>Un programme pilote « Zéro fuite » pour promouvoir le confinement des réfrigérants dans une entreprise du secteur de la transformation des ali</w:t>
      </w:r>
      <w:r w:rsidR="00705590">
        <w:t>ments/du transport frigorifique</w:t>
      </w:r>
      <w:r>
        <w:t>; le</w:t>
      </w:r>
      <w:r>
        <w:rPr>
          <w:color w:val="000000"/>
        </w:rPr>
        <w:t xml:space="preserve"> rapport documentant le projet est attendu pour la fin de l</w:t>
      </w:r>
      <w:r w:rsidR="00FF17A4">
        <w:rPr>
          <w:color w:val="000000"/>
        </w:rPr>
        <w:t>’</w:t>
      </w:r>
      <w:r>
        <w:rPr>
          <w:color w:val="000000"/>
        </w:rPr>
        <w:t xml:space="preserve">année 2020. </w:t>
      </w:r>
    </w:p>
    <w:p w14:paraId="1FE992D2" w14:textId="0E9E55A0" w:rsidR="00D54581" w:rsidRPr="00FE3307" w:rsidRDefault="00D54581" w:rsidP="005D5A5E">
      <w:pPr>
        <w:pStyle w:val="Heading1"/>
        <w:numPr>
          <w:ilvl w:val="0"/>
          <w:numId w:val="0"/>
        </w:numPr>
        <w:rPr>
          <w:i/>
        </w:rPr>
      </w:pPr>
      <w:r>
        <w:rPr>
          <w:i/>
        </w:rPr>
        <w:t>Mise en œuvre et surveillance de projet</w:t>
      </w:r>
    </w:p>
    <w:p w14:paraId="0441DB40" w14:textId="2388AD31" w:rsidR="00631999" w:rsidRDefault="00631999" w:rsidP="005D5A5E">
      <w:pPr>
        <w:pStyle w:val="Heading1"/>
        <w:numPr>
          <w:ilvl w:val="0"/>
          <w:numId w:val="1"/>
        </w:numPr>
      </w:pPr>
      <w:r>
        <w:t>La surveillance et le suivi des activités du projet sont assurés par des experts nationaux sous la supervision du responsable national de l</w:t>
      </w:r>
      <w:r w:rsidR="00FF17A4">
        <w:t>’</w:t>
      </w:r>
      <w:r>
        <w:t xml:space="preserve">ozone. Au total, 42 719 $US ont été déboursés pour les activités de surveillance des projets au cours des huit années de mise en œuvre de la première phase, y compris le personnel et les consultants (18 091 $US), les déplacements (8 535 $US) et les ateliers (16 093 $US). </w:t>
      </w:r>
    </w:p>
    <w:p w14:paraId="59B131E5" w14:textId="6D53A720" w:rsidR="00D54581" w:rsidRPr="00624188" w:rsidRDefault="00D54581" w:rsidP="00624188">
      <w:pPr>
        <w:keepNext/>
        <w:keepLines/>
        <w:spacing w:before="120" w:after="240"/>
        <w:rPr>
          <w:u w:val="single"/>
        </w:rPr>
      </w:pPr>
      <w:r>
        <w:rPr>
          <w:u w:val="single"/>
        </w:rPr>
        <w:lastRenderedPageBreak/>
        <w:t>Niveau de décaissement des fonds</w:t>
      </w:r>
    </w:p>
    <w:p w14:paraId="7DD4110E" w14:textId="505FD78B" w:rsidR="00D54581" w:rsidRPr="00FE3307" w:rsidRDefault="00D54581" w:rsidP="005D5A5E">
      <w:pPr>
        <w:pStyle w:val="Heading1"/>
      </w:pPr>
      <w:r>
        <w:t>En mars 2020, sur les 394 321 $US approuvés à ce jour, 341 953 $US avaient été décaissés (296 828 $US pour l</w:t>
      </w:r>
      <w:r w:rsidR="00FF17A4">
        <w:t>’</w:t>
      </w:r>
      <w:r>
        <w:t xml:space="preserve">ONUDI et 45 125 $US pour le PNUE), comme le montre le tableau 2. Le solde de 52 368 $US sera décaissé en 2020. </w:t>
      </w:r>
    </w:p>
    <w:p w14:paraId="4B9F3162" w14:textId="4661D2A1" w:rsidR="00D54581" w:rsidRPr="00FA7CBB" w:rsidRDefault="00D54581" w:rsidP="005D5A5E">
      <w:pPr>
        <w:rPr>
          <w:b/>
        </w:rPr>
      </w:pPr>
      <w:r>
        <w:rPr>
          <w:b/>
        </w:rPr>
        <w:t>Tableau 2. Rapport financier de la phase I du PGEH pour le Guatemala ($US)</w:t>
      </w:r>
    </w:p>
    <w:tbl>
      <w:tblPr>
        <w:tblW w:w="9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76"/>
        <w:gridCol w:w="1418"/>
        <w:gridCol w:w="1999"/>
        <w:gridCol w:w="1418"/>
        <w:gridCol w:w="2048"/>
      </w:tblGrid>
      <w:tr w:rsidR="00D54581" w:rsidRPr="00FE3307" w14:paraId="520AD687" w14:textId="77777777" w:rsidTr="00624188">
        <w:trPr>
          <w:tblHeader/>
        </w:trPr>
        <w:tc>
          <w:tcPr>
            <w:tcW w:w="2500" w:type="dxa"/>
            <w:gridSpan w:val="2"/>
            <w:shd w:val="clear" w:color="auto" w:fill="auto"/>
            <w:noWrap/>
            <w:vAlign w:val="center"/>
            <w:hideMark/>
          </w:tcPr>
          <w:p w14:paraId="35365AA3" w14:textId="77777777" w:rsidR="00D54581" w:rsidRPr="00FE3307" w:rsidRDefault="00D54581" w:rsidP="005D5A5E">
            <w:pPr>
              <w:rPr>
                <w:b/>
                <w:bCs/>
                <w:color w:val="000000"/>
                <w:sz w:val="20"/>
                <w:szCs w:val="20"/>
              </w:rPr>
            </w:pPr>
            <w:r>
              <w:rPr>
                <w:b/>
                <w:bCs/>
                <w:color w:val="000000"/>
                <w:sz w:val="20"/>
                <w:szCs w:val="20"/>
              </w:rPr>
              <w:t>Tranche</w:t>
            </w:r>
          </w:p>
        </w:tc>
        <w:tc>
          <w:tcPr>
            <w:tcW w:w="1418" w:type="dxa"/>
            <w:shd w:val="clear" w:color="auto" w:fill="auto"/>
            <w:noWrap/>
            <w:vAlign w:val="center"/>
            <w:hideMark/>
          </w:tcPr>
          <w:p w14:paraId="013FF77C" w14:textId="77777777" w:rsidR="00D54581" w:rsidRPr="00FE3307" w:rsidRDefault="00FA7CBB" w:rsidP="005D5A5E">
            <w:pPr>
              <w:jc w:val="center"/>
              <w:rPr>
                <w:b/>
                <w:color w:val="000000"/>
                <w:sz w:val="20"/>
                <w:szCs w:val="20"/>
              </w:rPr>
            </w:pPr>
            <w:r>
              <w:rPr>
                <w:b/>
                <w:color w:val="000000"/>
                <w:sz w:val="20"/>
                <w:szCs w:val="20"/>
              </w:rPr>
              <w:t>ONUDI</w:t>
            </w:r>
          </w:p>
        </w:tc>
        <w:tc>
          <w:tcPr>
            <w:tcW w:w="1999" w:type="dxa"/>
            <w:vAlign w:val="center"/>
          </w:tcPr>
          <w:p w14:paraId="0E06027A" w14:textId="77777777" w:rsidR="00D54581" w:rsidRPr="00FE3307" w:rsidRDefault="00FA7CBB" w:rsidP="005D5A5E">
            <w:pPr>
              <w:jc w:val="center"/>
              <w:rPr>
                <w:b/>
                <w:color w:val="000000"/>
                <w:sz w:val="20"/>
                <w:szCs w:val="20"/>
              </w:rPr>
            </w:pPr>
            <w:r>
              <w:rPr>
                <w:b/>
                <w:color w:val="000000"/>
                <w:sz w:val="20"/>
                <w:szCs w:val="20"/>
              </w:rPr>
              <w:t>PNUE</w:t>
            </w:r>
          </w:p>
        </w:tc>
        <w:tc>
          <w:tcPr>
            <w:tcW w:w="1418" w:type="dxa"/>
            <w:shd w:val="clear" w:color="auto" w:fill="auto"/>
            <w:noWrap/>
            <w:vAlign w:val="center"/>
            <w:hideMark/>
          </w:tcPr>
          <w:p w14:paraId="1799BF2B" w14:textId="77777777" w:rsidR="00D54581" w:rsidRPr="00FE3307" w:rsidRDefault="00D54581" w:rsidP="005D5A5E">
            <w:pPr>
              <w:jc w:val="center"/>
              <w:rPr>
                <w:b/>
                <w:color w:val="000000"/>
                <w:sz w:val="20"/>
                <w:szCs w:val="20"/>
              </w:rPr>
            </w:pPr>
            <w:r>
              <w:rPr>
                <w:b/>
                <w:color w:val="000000"/>
                <w:sz w:val="20"/>
                <w:szCs w:val="20"/>
              </w:rPr>
              <w:t>Total</w:t>
            </w:r>
          </w:p>
        </w:tc>
        <w:tc>
          <w:tcPr>
            <w:tcW w:w="2048" w:type="dxa"/>
            <w:shd w:val="clear" w:color="auto" w:fill="auto"/>
            <w:noWrap/>
            <w:tcMar>
              <w:left w:w="0" w:type="dxa"/>
              <w:right w:w="0" w:type="dxa"/>
            </w:tcMar>
            <w:vAlign w:val="center"/>
            <w:hideMark/>
          </w:tcPr>
          <w:p w14:paraId="0047801F" w14:textId="77777777" w:rsidR="00D54581" w:rsidRPr="00FE3307" w:rsidRDefault="00D54581" w:rsidP="005D5A5E">
            <w:pPr>
              <w:jc w:val="center"/>
              <w:rPr>
                <w:b/>
                <w:color w:val="000000"/>
                <w:sz w:val="20"/>
                <w:szCs w:val="20"/>
              </w:rPr>
            </w:pPr>
            <w:r>
              <w:rPr>
                <w:b/>
                <w:color w:val="000000"/>
                <w:sz w:val="20"/>
                <w:szCs w:val="20"/>
              </w:rPr>
              <w:t>Taux de décaissement</w:t>
            </w:r>
          </w:p>
        </w:tc>
      </w:tr>
      <w:tr w:rsidR="00F7289A" w:rsidRPr="00FE3307" w14:paraId="59FF87BE" w14:textId="77777777" w:rsidTr="00624188">
        <w:tc>
          <w:tcPr>
            <w:tcW w:w="1224" w:type="dxa"/>
            <w:vMerge w:val="restart"/>
            <w:shd w:val="clear" w:color="auto" w:fill="auto"/>
            <w:noWrap/>
            <w:vAlign w:val="center"/>
            <w:hideMark/>
          </w:tcPr>
          <w:p w14:paraId="04D4D027" w14:textId="5E2C3A97" w:rsidR="00F7289A" w:rsidRPr="00FE3307" w:rsidRDefault="00F7289A" w:rsidP="005D5A5E">
            <w:pPr>
              <w:jc w:val="left"/>
              <w:rPr>
                <w:bCs/>
                <w:color w:val="000000"/>
                <w:sz w:val="20"/>
                <w:szCs w:val="20"/>
              </w:rPr>
            </w:pPr>
            <w:r>
              <w:rPr>
                <w:bCs/>
                <w:color w:val="000000"/>
                <w:sz w:val="20"/>
                <w:szCs w:val="20"/>
              </w:rPr>
              <w:t xml:space="preserve">Première </w:t>
            </w:r>
          </w:p>
        </w:tc>
        <w:tc>
          <w:tcPr>
            <w:tcW w:w="1276" w:type="dxa"/>
            <w:shd w:val="clear" w:color="auto" w:fill="auto"/>
            <w:noWrap/>
            <w:vAlign w:val="center"/>
            <w:hideMark/>
          </w:tcPr>
          <w:p w14:paraId="73421CD7" w14:textId="77777777" w:rsidR="00F7289A" w:rsidRPr="00FE3307" w:rsidRDefault="00F7289A" w:rsidP="005D5A5E">
            <w:pPr>
              <w:rPr>
                <w:bCs/>
                <w:color w:val="000000"/>
                <w:sz w:val="20"/>
                <w:szCs w:val="20"/>
              </w:rPr>
            </w:pPr>
            <w:r>
              <w:rPr>
                <w:bCs/>
                <w:color w:val="000000"/>
                <w:sz w:val="20"/>
                <w:szCs w:val="20"/>
              </w:rPr>
              <w:t xml:space="preserve">Approuvé </w:t>
            </w:r>
          </w:p>
        </w:tc>
        <w:tc>
          <w:tcPr>
            <w:tcW w:w="1418" w:type="dxa"/>
            <w:shd w:val="clear" w:color="auto" w:fill="auto"/>
            <w:noWrap/>
            <w:tcMar>
              <w:left w:w="115" w:type="dxa"/>
              <w:right w:w="288" w:type="dxa"/>
            </w:tcMar>
            <w:vAlign w:val="center"/>
          </w:tcPr>
          <w:p w14:paraId="4A59588B" w14:textId="77777777" w:rsidR="00F7289A" w:rsidRPr="00FD2416" w:rsidRDefault="00F7289A" w:rsidP="005D5A5E">
            <w:pPr>
              <w:jc w:val="right"/>
              <w:rPr>
                <w:color w:val="000000"/>
                <w:sz w:val="20"/>
                <w:szCs w:val="20"/>
              </w:rPr>
            </w:pPr>
            <w:r>
              <w:rPr>
                <w:color w:val="000000"/>
                <w:sz w:val="20"/>
                <w:szCs w:val="20"/>
              </w:rPr>
              <w:t>118 087</w:t>
            </w:r>
          </w:p>
        </w:tc>
        <w:tc>
          <w:tcPr>
            <w:tcW w:w="1999" w:type="dxa"/>
            <w:tcMar>
              <w:left w:w="115" w:type="dxa"/>
              <w:right w:w="288" w:type="dxa"/>
            </w:tcMar>
            <w:vAlign w:val="center"/>
          </w:tcPr>
          <w:p w14:paraId="60A6B0D3" w14:textId="77777777" w:rsidR="00F7289A" w:rsidRPr="00FD2416" w:rsidRDefault="00F7289A" w:rsidP="005D5A5E">
            <w:pPr>
              <w:jc w:val="right"/>
              <w:rPr>
                <w:color w:val="000000"/>
                <w:sz w:val="20"/>
                <w:szCs w:val="20"/>
              </w:rPr>
            </w:pPr>
            <w:r>
              <w:rPr>
                <w:color w:val="000000"/>
                <w:sz w:val="20"/>
                <w:szCs w:val="20"/>
              </w:rPr>
              <w:t>28 250</w:t>
            </w:r>
          </w:p>
        </w:tc>
        <w:tc>
          <w:tcPr>
            <w:tcW w:w="1418" w:type="dxa"/>
            <w:shd w:val="clear" w:color="auto" w:fill="auto"/>
            <w:noWrap/>
            <w:tcMar>
              <w:left w:w="115" w:type="dxa"/>
              <w:right w:w="288" w:type="dxa"/>
            </w:tcMar>
            <w:vAlign w:val="center"/>
          </w:tcPr>
          <w:p w14:paraId="75DA70CE" w14:textId="77777777" w:rsidR="00F7289A" w:rsidRPr="00FD2416" w:rsidRDefault="00F7289A" w:rsidP="005D5A5E">
            <w:pPr>
              <w:jc w:val="right"/>
              <w:rPr>
                <w:color w:val="000000"/>
                <w:sz w:val="20"/>
                <w:szCs w:val="20"/>
              </w:rPr>
            </w:pPr>
            <w:r>
              <w:rPr>
                <w:color w:val="000000"/>
                <w:sz w:val="20"/>
                <w:szCs w:val="20"/>
              </w:rPr>
              <w:t>146 337</w:t>
            </w:r>
          </w:p>
        </w:tc>
        <w:tc>
          <w:tcPr>
            <w:tcW w:w="2048" w:type="dxa"/>
            <w:vMerge w:val="restart"/>
            <w:shd w:val="clear" w:color="auto" w:fill="auto"/>
            <w:noWrap/>
            <w:vAlign w:val="center"/>
          </w:tcPr>
          <w:p w14:paraId="58268D17" w14:textId="2950BB9D" w:rsidR="00F7289A" w:rsidRPr="00FE3307" w:rsidRDefault="0007062C" w:rsidP="005D5A5E">
            <w:pPr>
              <w:jc w:val="center"/>
              <w:rPr>
                <w:color w:val="000000"/>
                <w:sz w:val="20"/>
                <w:szCs w:val="20"/>
              </w:rPr>
            </w:pPr>
            <w:r>
              <w:rPr>
                <w:color w:val="000000"/>
                <w:sz w:val="20"/>
                <w:szCs w:val="20"/>
              </w:rPr>
              <w:t>100</w:t>
            </w:r>
          </w:p>
        </w:tc>
      </w:tr>
      <w:tr w:rsidR="00D54581" w:rsidRPr="00FE3307" w14:paraId="29157FE5" w14:textId="77777777" w:rsidTr="00624188">
        <w:tc>
          <w:tcPr>
            <w:tcW w:w="1224" w:type="dxa"/>
            <w:vMerge/>
            <w:vAlign w:val="center"/>
            <w:hideMark/>
          </w:tcPr>
          <w:p w14:paraId="3B075C70" w14:textId="77777777" w:rsidR="00D54581" w:rsidRPr="00FE3307" w:rsidRDefault="00D54581" w:rsidP="005D5A5E">
            <w:pPr>
              <w:jc w:val="left"/>
              <w:rPr>
                <w:bCs/>
                <w:color w:val="000000"/>
                <w:sz w:val="20"/>
                <w:szCs w:val="20"/>
                <w:lang w:val="en-CA" w:eastAsia="en-CA"/>
              </w:rPr>
            </w:pPr>
          </w:p>
        </w:tc>
        <w:tc>
          <w:tcPr>
            <w:tcW w:w="1276" w:type="dxa"/>
            <w:shd w:val="clear" w:color="auto" w:fill="auto"/>
            <w:noWrap/>
            <w:vAlign w:val="center"/>
            <w:hideMark/>
          </w:tcPr>
          <w:p w14:paraId="24721B6B" w14:textId="77777777" w:rsidR="00D54581" w:rsidRPr="00FE3307" w:rsidRDefault="00D54581" w:rsidP="005D5A5E">
            <w:pPr>
              <w:rPr>
                <w:bCs/>
                <w:color w:val="000000"/>
                <w:sz w:val="20"/>
                <w:szCs w:val="20"/>
              </w:rPr>
            </w:pPr>
            <w:r>
              <w:rPr>
                <w:bCs/>
                <w:color w:val="000000"/>
                <w:sz w:val="20"/>
                <w:szCs w:val="20"/>
              </w:rPr>
              <w:t xml:space="preserve">Décaissé </w:t>
            </w:r>
          </w:p>
        </w:tc>
        <w:tc>
          <w:tcPr>
            <w:tcW w:w="1418" w:type="dxa"/>
            <w:shd w:val="clear" w:color="auto" w:fill="auto"/>
            <w:noWrap/>
            <w:tcMar>
              <w:left w:w="115" w:type="dxa"/>
              <w:right w:w="288" w:type="dxa"/>
            </w:tcMar>
            <w:vAlign w:val="center"/>
          </w:tcPr>
          <w:p w14:paraId="48928C78" w14:textId="2BB3A2C5" w:rsidR="00D54581" w:rsidRPr="00FE3307" w:rsidRDefault="0007062C" w:rsidP="005D5A5E">
            <w:pPr>
              <w:jc w:val="right"/>
              <w:rPr>
                <w:color w:val="000000"/>
                <w:sz w:val="20"/>
                <w:szCs w:val="20"/>
              </w:rPr>
            </w:pPr>
            <w:r>
              <w:rPr>
                <w:color w:val="000000"/>
                <w:sz w:val="20"/>
                <w:szCs w:val="20"/>
              </w:rPr>
              <w:t>118 087</w:t>
            </w:r>
          </w:p>
        </w:tc>
        <w:tc>
          <w:tcPr>
            <w:tcW w:w="1999" w:type="dxa"/>
            <w:tcMar>
              <w:left w:w="115" w:type="dxa"/>
              <w:right w:w="288" w:type="dxa"/>
            </w:tcMar>
            <w:vAlign w:val="center"/>
          </w:tcPr>
          <w:p w14:paraId="3923C511" w14:textId="56206154" w:rsidR="00D54581" w:rsidRPr="00FE3307" w:rsidRDefault="0007062C" w:rsidP="005D5A5E">
            <w:pPr>
              <w:jc w:val="right"/>
              <w:rPr>
                <w:color w:val="000000"/>
                <w:sz w:val="20"/>
                <w:szCs w:val="20"/>
              </w:rPr>
            </w:pPr>
            <w:r>
              <w:rPr>
                <w:color w:val="000000"/>
                <w:sz w:val="20"/>
                <w:szCs w:val="20"/>
                <w:bdr w:val="none" w:sz="0" w:space="0" w:color="auto" w:frame="1"/>
              </w:rPr>
              <w:t>28 250</w:t>
            </w:r>
          </w:p>
        </w:tc>
        <w:tc>
          <w:tcPr>
            <w:tcW w:w="1418" w:type="dxa"/>
            <w:shd w:val="clear" w:color="auto" w:fill="auto"/>
            <w:noWrap/>
            <w:tcMar>
              <w:left w:w="115" w:type="dxa"/>
              <w:right w:w="288" w:type="dxa"/>
            </w:tcMar>
            <w:vAlign w:val="center"/>
          </w:tcPr>
          <w:p w14:paraId="2C4BDF1D" w14:textId="1E8A8595" w:rsidR="00D54581" w:rsidRPr="00FE3307" w:rsidRDefault="0007062C" w:rsidP="005D5A5E">
            <w:pPr>
              <w:jc w:val="right"/>
              <w:rPr>
                <w:color w:val="000000"/>
                <w:sz w:val="20"/>
                <w:szCs w:val="20"/>
              </w:rPr>
            </w:pPr>
            <w:r>
              <w:rPr>
                <w:color w:val="000000"/>
                <w:sz w:val="20"/>
                <w:szCs w:val="20"/>
              </w:rPr>
              <w:t>146 337</w:t>
            </w:r>
          </w:p>
        </w:tc>
        <w:tc>
          <w:tcPr>
            <w:tcW w:w="2048" w:type="dxa"/>
            <w:vMerge/>
            <w:vAlign w:val="center"/>
          </w:tcPr>
          <w:p w14:paraId="75BB2F61" w14:textId="77777777" w:rsidR="00D54581" w:rsidRPr="00FE3307" w:rsidRDefault="00D54581" w:rsidP="005D5A5E">
            <w:pPr>
              <w:jc w:val="center"/>
              <w:rPr>
                <w:color w:val="000000"/>
                <w:sz w:val="20"/>
                <w:szCs w:val="20"/>
                <w:lang w:val="en-CA" w:eastAsia="en-CA"/>
              </w:rPr>
            </w:pPr>
          </w:p>
        </w:tc>
      </w:tr>
      <w:tr w:rsidR="00F7289A" w:rsidRPr="00FE3307" w14:paraId="75520647" w14:textId="77777777" w:rsidTr="00624188">
        <w:tc>
          <w:tcPr>
            <w:tcW w:w="1224" w:type="dxa"/>
            <w:vMerge w:val="restart"/>
            <w:shd w:val="clear" w:color="auto" w:fill="auto"/>
            <w:noWrap/>
            <w:vAlign w:val="center"/>
            <w:hideMark/>
          </w:tcPr>
          <w:p w14:paraId="38D83E25" w14:textId="66970AA3" w:rsidR="00F7289A" w:rsidRPr="00FE3307" w:rsidRDefault="00F7289A" w:rsidP="005D5A5E">
            <w:pPr>
              <w:jc w:val="left"/>
              <w:rPr>
                <w:bCs/>
                <w:color w:val="000000"/>
                <w:sz w:val="20"/>
                <w:szCs w:val="20"/>
              </w:rPr>
            </w:pPr>
            <w:r>
              <w:rPr>
                <w:bCs/>
                <w:color w:val="000000"/>
                <w:sz w:val="20"/>
                <w:szCs w:val="20"/>
              </w:rPr>
              <w:t xml:space="preserve">Seconde </w:t>
            </w:r>
          </w:p>
        </w:tc>
        <w:tc>
          <w:tcPr>
            <w:tcW w:w="1276" w:type="dxa"/>
            <w:shd w:val="clear" w:color="auto" w:fill="auto"/>
            <w:noWrap/>
            <w:vAlign w:val="center"/>
            <w:hideMark/>
          </w:tcPr>
          <w:p w14:paraId="5AD4F5FE" w14:textId="77777777" w:rsidR="00F7289A" w:rsidRPr="00C27B8A" w:rsidRDefault="00F7289A" w:rsidP="005D5A5E">
            <w:pPr>
              <w:rPr>
                <w:bCs/>
                <w:color w:val="000000"/>
                <w:sz w:val="20"/>
                <w:szCs w:val="20"/>
              </w:rPr>
            </w:pPr>
            <w:r>
              <w:rPr>
                <w:bCs/>
                <w:color w:val="000000"/>
                <w:sz w:val="20"/>
                <w:szCs w:val="20"/>
              </w:rPr>
              <w:t xml:space="preserve">Approuvé </w:t>
            </w:r>
          </w:p>
        </w:tc>
        <w:tc>
          <w:tcPr>
            <w:tcW w:w="1418" w:type="dxa"/>
            <w:shd w:val="clear" w:color="auto" w:fill="auto"/>
            <w:noWrap/>
            <w:tcMar>
              <w:left w:w="115" w:type="dxa"/>
              <w:right w:w="288" w:type="dxa"/>
            </w:tcMar>
            <w:vAlign w:val="center"/>
          </w:tcPr>
          <w:p w14:paraId="36EE0856" w14:textId="77777777" w:rsidR="00F7289A" w:rsidRPr="00C27B8A" w:rsidRDefault="00F7289A" w:rsidP="005D5A5E">
            <w:pPr>
              <w:jc w:val="right"/>
              <w:rPr>
                <w:color w:val="000000"/>
                <w:sz w:val="20"/>
                <w:szCs w:val="20"/>
              </w:rPr>
            </w:pPr>
            <w:r>
              <w:rPr>
                <w:color w:val="000000"/>
                <w:sz w:val="20"/>
                <w:szCs w:val="20"/>
              </w:rPr>
              <w:t>97 925</w:t>
            </w:r>
          </w:p>
        </w:tc>
        <w:tc>
          <w:tcPr>
            <w:tcW w:w="1999" w:type="dxa"/>
            <w:tcMar>
              <w:left w:w="115" w:type="dxa"/>
              <w:right w:w="288" w:type="dxa"/>
            </w:tcMar>
            <w:vAlign w:val="center"/>
          </w:tcPr>
          <w:p w14:paraId="64C296C5" w14:textId="7D973B63" w:rsidR="00F7289A" w:rsidRPr="00C27B8A" w:rsidRDefault="009A31CE" w:rsidP="005D5A5E">
            <w:pPr>
              <w:jc w:val="right"/>
              <w:rPr>
                <w:color w:val="000000"/>
                <w:sz w:val="20"/>
                <w:szCs w:val="20"/>
              </w:rPr>
            </w:pPr>
            <w:r>
              <w:rPr>
                <w:color w:val="000000"/>
                <w:sz w:val="20"/>
                <w:szCs w:val="20"/>
                <w:bdr w:val="none" w:sz="0" w:space="0" w:color="auto" w:frame="1"/>
              </w:rPr>
              <w:t>0</w:t>
            </w:r>
          </w:p>
        </w:tc>
        <w:tc>
          <w:tcPr>
            <w:tcW w:w="1418" w:type="dxa"/>
            <w:shd w:val="clear" w:color="auto" w:fill="auto"/>
            <w:noWrap/>
            <w:tcMar>
              <w:left w:w="115" w:type="dxa"/>
              <w:right w:w="288" w:type="dxa"/>
            </w:tcMar>
            <w:vAlign w:val="center"/>
          </w:tcPr>
          <w:p w14:paraId="181EE101" w14:textId="77777777" w:rsidR="00F7289A" w:rsidRPr="00C27B8A" w:rsidRDefault="00F7289A" w:rsidP="005D5A5E">
            <w:pPr>
              <w:jc w:val="right"/>
              <w:rPr>
                <w:color w:val="000000"/>
                <w:sz w:val="20"/>
                <w:szCs w:val="20"/>
              </w:rPr>
            </w:pPr>
            <w:r>
              <w:rPr>
                <w:color w:val="000000"/>
                <w:sz w:val="20"/>
                <w:szCs w:val="20"/>
              </w:rPr>
              <w:t>97 925</w:t>
            </w:r>
          </w:p>
        </w:tc>
        <w:tc>
          <w:tcPr>
            <w:tcW w:w="2048" w:type="dxa"/>
            <w:vMerge w:val="restart"/>
            <w:shd w:val="clear" w:color="auto" w:fill="auto"/>
            <w:noWrap/>
            <w:vAlign w:val="center"/>
          </w:tcPr>
          <w:p w14:paraId="73AAAA3E" w14:textId="39260C91" w:rsidR="00F7289A" w:rsidRPr="00C27B8A" w:rsidRDefault="00464AE2" w:rsidP="005D5A5E">
            <w:pPr>
              <w:jc w:val="center"/>
              <w:rPr>
                <w:color w:val="000000"/>
                <w:sz w:val="20"/>
                <w:szCs w:val="20"/>
              </w:rPr>
            </w:pPr>
            <w:r>
              <w:rPr>
                <w:color w:val="000000"/>
                <w:sz w:val="20"/>
                <w:szCs w:val="20"/>
              </w:rPr>
              <w:t>100</w:t>
            </w:r>
          </w:p>
        </w:tc>
      </w:tr>
      <w:tr w:rsidR="00D54581" w:rsidRPr="00FE3307" w14:paraId="7ECF8A56" w14:textId="77777777" w:rsidTr="00624188">
        <w:tc>
          <w:tcPr>
            <w:tcW w:w="1224" w:type="dxa"/>
            <w:vMerge/>
            <w:vAlign w:val="center"/>
            <w:hideMark/>
          </w:tcPr>
          <w:p w14:paraId="66C7D870" w14:textId="77777777" w:rsidR="00D54581" w:rsidRPr="00FE3307" w:rsidRDefault="00D54581" w:rsidP="005D5A5E">
            <w:pPr>
              <w:jc w:val="left"/>
              <w:rPr>
                <w:bCs/>
                <w:color w:val="000000"/>
                <w:sz w:val="20"/>
                <w:szCs w:val="20"/>
                <w:lang w:val="en-CA" w:eastAsia="en-CA"/>
              </w:rPr>
            </w:pPr>
          </w:p>
        </w:tc>
        <w:tc>
          <w:tcPr>
            <w:tcW w:w="1276" w:type="dxa"/>
            <w:shd w:val="clear" w:color="auto" w:fill="auto"/>
            <w:noWrap/>
            <w:vAlign w:val="center"/>
            <w:hideMark/>
          </w:tcPr>
          <w:p w14:paraId="1BC72A44" w14:textId="77777777" w:rsidR="00D54581" w:rsidRPr="00C27B8A" w:rsidRDefault="00D54581" w:rsidP="005D5A5E">
            <w:pPr>
              <w:rPr>
                <w:bCs/>
                <w:color w:val="000000"/>
                <w:sz w:val="20"/>
                <w:szCs w:val="20"/>
              </w:rPr>
            </w:pPr>
            <w:r>
              <w:rPr>
                <w:bCs/>
                <w:color w:val="000000"/>
                <w:sz w:val="20"/>
                <w:szCs w:val="20"/>
              </w:rPr>
              <w:t xml:space="preserve">Décaissé </w:t>
            </w:r>
          </w:p>
        </w:tc>
        <w:tc>
          <w:tcPr>
            <w:tcW w:w="1418" w:type="dxa"/>
            <w:shd w:val="clear" w:color="auto" w:fill="auto"/>
            <w:noWrap/>
            <w:tcMar>
              <w:left w:w="115" w:type="dxa"/>
              <w:right w:w="288" w:type="dxa"/>
            </w:tcMar>
            <w:vAlign w:val="center"/>
          </w:tcPr>
          <w:p w14:paraId="42AD238E" w14:textId="11EFB90E" w:rsidR="00D54581" w:rsidRPr="00C27B8A" w:rsidRDefault="0007062C" w:rsidP="005D5A5E">
            <w:pPr>
              <w:jc w:val="right"/>
              <w:rPr>
                <w:color w:val="000000"/>
                <w:sz w:val="20"/>
                <w:szCs w:val="20"/>
              </w:rPr>
            </w:pPr>
            <w:r>
              <w:rPr>
                <w:color w:val="000000"/>
                <w:sz w:val="20"/>
                <w:szCs w:val="20"/>
              </w:rPr>
              <w:t>97 925</w:t>
            </w:r>
          </w:p>
        </w:tc>
        <w:tc>
          <w:tcPr>
            <w:tcW w:w="1999" w:type="dxa"/>
            <w:tcMar>
              <w:left w:w="115" w:type="dxa"/>
              <w:right w:w="288" w:type="dxa"/>
            </w:tcMar>
            <w:vAlign w:val="center"/>
          </w:tcPr>
          <w:p w14:paraId="0739E8EA" w14:textId="5B5E9E8B" w:rsidR="00D54581" w:rsidRPr="00C27B8A" w:rsidRDefault="009A31CE" w:rsidP="005D5A5E">
            <w:pPr>
              <w:jc w:val="right"/>
              <w:rPr>
                <w:color w:val="000000"/>
                <w:sz w:val="20"/>
                <w:szCs w:val="20"/>
              </w:rPr>
            </w:pPr>
            <w:r>
              <w:rPr>
                <w:color w:val="000000"/>
                <w:sz w:val="20"/>
                <w:szCs w:val="20"/>
              </w:rPr>
              <w:t>0</w:t>
            </w:r>
          </w:p>
        </w:tc>
        <w:tc>
          <w:tcPr>
            <w:tcW w:w="1418" w:type="dxa"/>
            <w:shd w:val="clear" w:color="auto" w:fill="auto"/>
            <w:noWrap/>
            <w:tcMar>
              <w:left w:w="115" w:type="dxa"/>
              <w:right w:w="288" w:type="dxa"/>
            </w:tcMar>
            <w:vAlign w:val="center"/>
          </w:tcPr>
          <w:p w14:paraId="53A902D1" w14:textId="5B09F9C0" w:rsidR="00D54581" w:rsidRPr="00C27B8A" w:rsidRDefault="0007062C" w:rsidP="005D5A5E">
            <w:pPr>
              <w:jc w:val="right"/>
              <w:rPr>
                <w:color w:val="000000"/>
                <w:sz w:val="20"/>
                <w:szCs w:val="20"/>
              </w:rPr>
            </w:pPr>
            <w:r>
              <w:rPr>
                <w:color w:val="000000"/>
                <w:sz w:val="20"/>
                <w:szCs w:val="20"/>
              </w:rPr>
              <w:t>97 925</w:t>
            </w:r>
          </w:p>
        </w:tc>
        <w:tc>
          <w:tcPr>
            <w:tcW w:w="2048" w:type="dxa"/>
            <w:vMerge/>
            <w:vAlign w:val="center"/>
          </w:tcPr>
          <w:p w14:paraId="15DDF368" w14:textId="77777777" w:rsidR="00D54581" w:rsidRPr="00C27B8A" w:rsidRDefault="00D54581" w:rsidP="005D5A5E">
            <w:pPr>
              <w:jc w:val="center"/>
              <w:rPr>
                <w:color w:val="000000"/>
                <w:sz w:val="20"/>
                <w:szCs w:val="20"/>
                <w:lang w:val="en-CA" w:eastAsia="en-CA"/>
              </w:rPr>
            </w:pPr>
          </w:p>
        </w:tc>
      </w:tr>
      <w:tr w:rsidR="00F7289A" w:rsidRPr="00FE3307" w14:paraId="0338F1F5" w14:textId="77777777" w:rsidTr="00624188">
        <w:tc>
          <w:tcPr>
            <w:tcW w:w="1224" w:type="dxa"/>
            <w:vMerge w:val="restart"/>
            <w:shd w:val="clear" w:color="auto" w:fill="auto"/>
            <w:noWrap/>
            <w:vAlign w:val="center"/>
            <w:hideMark/>
          </w:tcPr>
          <w:p w14:paraId="7AFAEFDD" w14:textId="79BE3B9D" w:rsidR="00F7289A" w:rsidRPr="00FE3307" w:rsidRDefault="00F7289A" w:rsidP="005D5A5E">
            <w:pPr>
              <w:jc w:val="left"/>
              <w:rPr>
                <w:bCs/>
                <w:color w:val="000000"/>
                <w:sz w:val="20"/>
                <w:szCs w:val="20"/>
              </w:rPr>
            </w:pPr>
            <w:r>
              <w:rPr>
                <w:bCs/>
                <w:color w:val="000000"/>
                <w:sz w:val="20"/>
                <w:szCs w:val="20"/>
              </w:rPr>
              <w:t xml:space="preserve">Troisième </w:t>
            </w:r>
          </w:p>
        </w:tc>
        <w:tc>
          <w:tcPr>
            <w:tcW w:w="1276" w:type="dxa"/>
            <w:shd w:val="clear" w:color="auto" w:fill="auto"/>
            <w:noWrap/>
            <w:vAlign w:val="center"/>
            <w:hideMark/>
          </w:tcPr>
          <w:p w14:paraId="07D0DD69" w14:textId="77777777" w:rsidR="00F7289A" w:rsidRPr="00C27B8A" w:rsidRDefault="00F7289A" w:rsidP="005D5A5E">
            <w:pPr>
              <w:rPr>
                <w:bCs/>
                <w:color w:val="000000"/>
                <w:sz w:val="20"/>
                <w:szCs w:val="20"/>
              </w:rPr>
            </w:pPr>
            <w:r>
              <w:rPr>
                <w:bCs/>
                <w:color w:val="000000"/>
                <w:sz w:val="20"/>
                <w:szCs w:val="20"/>
              </w:rPr>
              <w:t xml:space="preserve">Approuvé </w:t>
            </w:r>
          </w:p>
        </w:tc>
        <w:tc>
          <w:tcPr>
            <w:tcW w:w="1418" w:type="dxa"/>
            <w:shd w:val="clear" w:color="auto" w:fill="auto"/>
            <w:noWrap/>
            <w:tcMar>
              <w:left w:w="115" w:type="dxa"/>
              <w:right w:w="288" w:type="dxa"/>
            </w:tcMar>
            <w:vAlign w:val="center"/>
          </w:tcPr>
          <w:p w14:paraId="72CABCD0" w14:textId="77777777" w:rsidR="00F7289A" w:rsidRPr="00C27B8A" w:rsidRDefault="00F7289A" w:rsidP="005D5A5E">
            <w:pPr>
              <w:jc w:val="right"/>
              <w:rPr>
                <w:color w:val="000000"/>
                <w:sz w:val="20"/>
                <w:szCs w:val="20"/>
              </w:rPr>
            </w:pPr>
            <w:r>
              <w:rPr>
                <w:color w:val="000000"/>
                <w:sz w:val="20"/>
                <w:szCs w:val="20"/>
              </w:rPr>
              <w:t>53 775</w:t>
            </w:r>
          </w:p>
        </w:tc>
        <w:tc>
          <w:tcPr>
            <w:tcW w:w="1999" w:type="dxa"/>
            <w:tcMar>
              <w:left w:w="115" w:type="dxa"/>
              <w:right w:w="288" w:type="dxa"/>
            </w:tcMar>
            <w:vAlign w:val="center"/>
          </w:tcPr>
          <w:p w14:paraId="66BA7630" w14:textId="77777777" w:rsidR="00F7289A" w:rsidRPr="00C27B8A" w:rsidRDefault="00F7289A" w:rsidP="005D5A5E">
            <w:pPr>
              <w:jc w:val="right"/>
              <w:rPr>
                <w:color w:val="000000"/>
                <w:sz w:val="20"/>
                <w:szCs w:val="20"/>
              </w:rPr>
            </w:pPr>
            <w:r>
              <w:rPr>
                <w:color w:val="000000"/>
                <w:sz w:val="20"/>
                <w:szCs w:val="20"/>
              </w:rPr>
              <w:t>30 184*</w:t>
            </w:r>
          </w:p>
        </w:tc>
        <w:tc>
          <w:tcPr>
            <w:tcW w:w="1418" w:type="dxa"/>
            <w:shd w:val="clear" w:color="auto" w:fill="auto"/>
            <w:noWrap/>
            <w:tcMar>
              <w:left w:w="115" w:type="dxa"/>
              <w:right w:w="288" w:type="dxa"/>
            </w:tcMar>
            <w:vAlign w:val="center"/>
          </w:tcPr>
          <w:p w14:paraId="1A550EBE" w14:textId="77777777" w:rsidR="00F7289A" w:rsidRPr="00C27B8A" w:rsidRDefault="00F7289A" w:rsidP="005D5A5E">
            <w:pPr>
              <w:jc w:val="right"/>
              <w:rPr>
                <w:color w:val="000000"/>
                <w:sz w:val="20"/>
                <w:szCs w:val="20"/>
              </w:rPr>
            </w:pPr>
            <w:r>
              <w:rPr>
                <w:color w:val="000000"/>
                <w:sz w:val="20"/>
                <w:szCs w:val="20"/>
              </w:rPr>
              <w:t>83 959</w:t>
            </w:r>
          </w:p>
        </w:tc>
        <w:tc>
          <w:tcPr>
            <w:tcW w:w="2048" w:type="dxa"/>
            <w:vMerge w:val="restart"/>
            <w:shd w:val="clear" w:color="auto" w:fill="auto"/>
            <w:noWrap/>
            <w:vAlign w:val="center"/>
          </w:tcPr>
          <w:p w14:paraId="4C2359CD" w14:textId="22C0DD31" w:rsidR="00F7289A" w:rsidRPr="00C27B8A" w:rsidRDefault="00464AE2" w:rsidP="005D5A5E">
            <w:pPr>
              <w:jc w:val="center"/>
              <w:rPr>
                <w:color w:val="000000"/>
                <w:sz w:val="20"/>
                <w:szCs w:val="20"/>
              </w:rPr>
            </w:pPr>
            <w:r>
              <w:rPr>
                <w:color w:val="000000"/>
                <w:sz w:val="20"/>
                <w:szCs w:val="20"/>
              </w:rPr>
              <w:t>66</w:t>
            </w:r>
          </w:p>
        </w:tc>
      </w:tr>
      <w:tr w:rsidR="00D54581" w:rsidRPr="00FE3307" w14:paraId="3A910855" w14:textId="77777777" w:rsidTr="00624188">
        <w:tc>
          <w:tcPr>
            <w:tcW w:w="1224" w:type="dxa"/>
            <w:vMerge/>
            <w:vAlign w:val="center"/>
            <w:hideMark/>
          </w:tcPr>
          <w:p w14:paraId="3AA6E75F" w14:textId="77777777" w:rsidR="00D54581" w:rsidRPr="00FE3307" w:rsidRDefault="00D54581" w:rsidP="005D5A5E">
            <w:pPr>
              <w:jc w:val="left"/>
              <w:rPr>
                <w:bCs/>
                <w:color w:val="000000"/>
                <w:sz w:val="20"/>
                <w:szCs w:val="20"/>
                <w:lang w:val="en-CA" w:eastAsia="en-CA"/>
              </w:rPr>
            </w:pPr>
          </w:p>
        </w:tc>
        <w:tc>
          <w:tcPr>
            <w:tcW w:w="1276" w:type="dxa"/>
            <w:shd w:val="clear" w:color="auto" w:fill="auto"/>
            <w:noWrap/>
            <w:vAlign w:val="center"/>
            <w:hideMark/>
          </w:tcPr>
          <w:p w14:paraId="3006F72A" w14:textId="77777777" w:rsidR="00D54581" w:rsidRPr="00C27B8A" w:rsidRDefault="00D54581" w:rsidP="005D5A5E">
            <w:pPr>
              <w:rPr>
                <w:bCs/>
                <w:color w:val="000000"/>
                <w:sz w:val="20"/>
                <w:szCs w:val="20"/>
              </w:rPr>
            </w:pPr>
            <w:r>
              <w:rPr>
                <w:bCs/>
                <w:color w:val="000000"/>
                <w:sz w:val="20"/>
                <w:szCs w:val="20"/>
              </w:rPr>
              <w:t xml:space="preserve">Décaissé </w:t>
            </w:r>
          </w:p>
        </w:tc>
        <w:tc>
          <w:tcPr>
            <w:tcW w:w="1418" w:type="dxa"/>
            <w:shd w:val="clear" w:color="auto" w:fill="auto"/>
            <w:noWrap/>
            <w:tcMar>
              <w:left w:w="115" w:type="dxa"/>
              <w:right w:w="288" w:type="dxa"/>
            </w:tcMar>
            <w:vAlign w:val="center"/>
          </w:tcPr>
          <w:p w14:paraId="1644D3F6" w14:textId="7C268D3F" w:rsidR="00D54581" w:rsidRPr="00C27B8A" w:rsidRDefault="00464AE2" w:rsidP="005D5A5E">
            <w:pPr>
              <w:jc w:val="right"/>
              <w:rPr>
                <w:color w:val="000000"/>
                <w:sz w:val="20"/>
                <w:szCs w:val="20"/>
              </w:rPr>
            </w:pPr>
            <w:r>
              <w:rPr>
                <w:color w:val="000000"/>
                <w:sz w:val="20"/>
                <w:szCs w:val="20"/>
              </w:rPr>
              <w:t>52 469</w:t>
            </w:r>
          </w:p>
        </w:tc>
        <w:tc>
          <w:tcPr>
            <w:tcW w:w="1999" w:type="dxa"/>
            <w:tcMar>
              <w:left w:w="115" w:type="dxa"/>
              <w:right w:w="288" w:type="dxa"/>
            </w:tcMar>
            <w:vAlign w:val="center"/>
          </w:tcPr>
          <w:p w14:paraId="698445B4" w14:textId="531E9C7E" w:rsidR="00D54581" w:rsidRPr="00C27B8A" w:rsidRDefault="0007062C" w:rsidP="005D5A5E">
            <w:pPr>
              <w:jc w:val="right"/>
              <w:rPr>
                <w:color w:val="000000"/>
                <w:sz w:val="20"/>
                <w:szCs w:val="20"/>
              </w:rPr>
            </w:pPr>
            <w:r>
              <w:rPr>
                <w:color w:val="000000"/>
                <w:sz w:val="20"/>
                <w:szCs w:val="20"/>
                <w:bdr w:val="none" w:sz="0" w:space="0" w:color="auto" w:frame="1"/>
              </w:rPr>
              <w:t>2 985 </w:t>
            </w:r>
          </w:p>
        </w:tc>
        <w:tc>
          <w:tcPr>
            <w:tcW w:w="1418" w:type="dxa"/>
            <w:shd w:val="clear" w:color="auto" w:fill="auto"/>
            <w:noWrap/>
            <w:tcMar>
              <w:left w:w="115" w:type="dxa"/>
              <w:right w:w="288" w:type="dxa"/>
            </w:tcMar>
            <w:vAlign w:val="center"/>
          </w:tcPr>
          <w:p w14:paraId="1272F338" w14:textId="4966FC99" w:rsidR="00D54581" w:rsidRPr="00C27B8A" w:rsidRDefault="00464AE2" w:rsidP="005D5A5E">
            <w:pPr>
              <w:jc w:val="right"/>
              <w:rPr>
                <w:color w:val="000000"/>
                <w:sz w:val="20"/>
                <w:szCs w:val="20"/>
              </w:rPr>
            </w:pPr>
            <w:r>
              <w:rPr>
                <w:color w:val="000000"/>
                <w:sz w:val="20"/>
                <w:szCs w:val="20"/>
              </w:rPr>
              <w:t>55 454</w:t>
            </w:r>
          </w:p>
        </w:tc>
        <w:tc>
          <w:tcPr>
            <w:tcW w:w="2048" w:type="dxa"/>
            <w:vMerge/>
            <w:vAlign w:val="center"/>
          </w:tcPr>
          <w:p w14:paraId="5EE9633D" w14:textId="77777777" w:rsidR="00D54581" w:rsidRPr="00C27B8A" w:rsidRDefault="00D54581" w:rsidP="005D5A5E">
            <w:pPr>
              <w:jc w:val="center"/>
              <w:rPr>
                <w:color w:val="000000"/>
                <w:sz w:val="20"/>
                <w:szCs w:val="20"/>
                <w:lang w:val="en-CA" w:eastAsia="en-CA"/>
              </w:rPr>
            </w:pPr>
          </w:p>
        </w:tc>
      </w:tr>
      <w:tr w:rsidR="00D54581" w:rsidRPr="00FE3307" w14:paraId="7781F674" w14:textId="77777777" w:rsidTr="00624188">
        <w:tc>
          <w:tcPr>
            <w:tcW w:w="1224" w:type="dxa"/>
            <w:vMerge w:val="restart"/>
            <w:shd w:val="clear" w:color="auto" w:fill="auto"/>
            <w:noWrap/>
            <w:vAlign w:val="center"/>
            <w:hideMark/>
          </w:tcPr>
          <w:p w14:paraId="68F9714E" w14:textId="43ACA0FF" w:rsidR="00D54581" w:rsidRPr="00FE3307" w:rsidRDefault="00D54581" w:rsidP="005D5A5E">
            <w:pPr>
              <w:jc w:val="left"/>
              <w:rPr>
                <w:bCs/>
                <w:color w:val="000000"/>
                <w:sz w:val="20"/>
                <w:szCs w:val="20"/>
              </w:rPr>
            </w:pPr>
            <w:r>
              <w:rPr>
                <w:bCs/>
                <w:color w:val="000000"/>
                <w:sz w:val="20"/>
                <w:szCs w:val="20"/>
              </w:rPr>
              <w:t>Quatrième</w:t>
            </w:r>
          </w:p>
        </w:tc>
        <w:tc>
          <w:tcPr>
            <w:tcW w:w="1276" w:type="dxa"/>
            <w:shd w:val="clear" w:color="auto" w:fill="auto"/>
            <w:noWrap/>
            <w:vAlign w:val="center"/>
            <w:hideMark/>
          </w:tcPr>
          <w:p w14:paraId="447CA1AA" w14:textId="77777777" w:rsidR="00D54581" w:rsidRPr="00C27B8A" w:rsidRDefault="00D54581" w:rsidP="005D5A5E">
            <w:pPr>
              <w:rPr>
                <w:bCs/>
                <w:color w:val="000000"/>
                <w:sz w:val="20"/>
                <w:szCs w:val="20"/>
              </w:rPr>
            </w:pPr>
            <w:r>
              <w:rPr>
                <w:bCs/>
                <w:color w:val="000000"/>
                <w:sz w:val="20"/>
                <w:szCs w:val="20"/>
              </w:rPr>
              <w:t xml:space="preserve">Approuvé </w:t>
            </w:r>
          </w:p>
        </w:tc>
        <w:tc>
          <w:tcPr>
            <w:tcW w:w="1418" w:type="dxa"/>
            <w:shd w:val="clear" w:color="auto" w:fill="auto"/>
            <w:noWrap/>
            <w:tcMar>
              <w:left w:w="115" w:type="dxa"/>
              <w:right w:w="288" w:type="dxa"/>
            </w:tcMar>
            <w:vAlign w:val="center"/>
          </w:tcPr>
          <w:p w14:paraId="7C52D8E9" w14:textId="77777777" w:rsidR="00D54581" w:rsidRPr="00C27B8A" w:rsidRDefault="006167DE" w:rsidP="005D5A5E">
            <w:pPr>
              <w:jc w:val="right"/>
              <w:rPr>
                <w:color w:val="000000"/>
                <w:sz w:val="20"/>
                <w:szCs w:val="20"/>
              </w:rPr>
            </w:pPr>
            <w:r>
              <w:rPr>
                <w:color w:val="000000"/>
                <w:sz w:val="20"/>
                <w:szCs w:val="20"/>
              </w:rPr>
              <w:t>42 850</w:t>
            </w:r>
          </w:p>
        </w:tc>
        <w:tc>
          <w:tcPr>
            <w:tcW w:w="1999" w:type="dxa"/>
            <w:tcMar>
              <w:left w:w="115" w:type="dxa"/>
              <w:right w:w="288" w:type="dxa"/>
            </w:tcMar>
            <w:vAlign w:val="center"/>
          </w:tcPr>
          <w:p w14:paraId="115860E7" w14:textId="77777777" w:rsidR="00D54581" w:rsidRPr="00C27B8A" w:rsidRDefault="006167DE" w:rsidP="005D5A5E">
            <w:pPr>
              <w:jc w:val="right"/>
              <w:rPr>
                <w:color w:val="000000"/>
                <w:sz w:val="20"/>
                <w:szCs w:val="20"/>
              </w:rPr>
            </w:pPr>
            <w:r>
              <w:rPr>
                <w:color w:val="000000"/>
                <w:sz w:val="20"/>
                <w:szCs w:val="20"/>
              </w:rPr>
              <w:t>23 250</w:t>
            </w:r>
          </w:p>
        </w:tc>
        <w:tc>
          <w:tcPr>
            <w:tcW w:w="1418" w:type="dxa"/>
            <w:shd w:val="clear" w:color="auto" w:fill="auto"/>
            <w:noWrap/>
            <w:tcMar>
              <w:left w:w="115" w:type="dxa"/>
              <w:right w:w="288" w:type="dxa"/>
            </w:tcMar>
            <w:vAlign w:val="center"/>
          </w:tcPr>
          <w:p w14:paraId="068A33F2" w14:textId="77777777" w:rsidR="00D54581" w:rsidRPr="00C27B8A" w:rsidRDefault="006167DE" w:rsidP="005D5A5E">
            <w:pPr>
              <w:jc w:val="right"/>
              <w:rPr>
                <w:color w:val="000000"/>
                <w:sz w:val="20"/>
                <w:szCs w:val="20"/>
              </w:rPr>
            </w:pPr>
            <w:r>
              <w:rPr>
                <w:color w:val="000000"/>
                <w:sz w:val="20"/>
                <w:szCs w:val="20"/>
              </w:rPr>
              <w:t>66 100</w:t>
            </w:r>
          </w:p>
        </w:tc>
        <w:tc>
          <w:tcPr>
            <w:tcW w:w="2048" w:type="dxa"/>
            <w:vMerge w:val="restart"/>
            <w:shd w:val="clear" w:color="auto" w:fill="auto"/>
            <w:noWrap/>
            <w:vAlign w:val="center"/>
          </w:tcPr>
          <w:p w14:paraId="7EF77CF6" w14:textId="6D1FE736" w:rsidR="00D54581" w:rsidRPr="00C27B8A" w:rsidRDefault="00464AE2" w:rsidP="005D5A5E">
            <w:pPr>
              <w:jc w:val="center"/>
              <w:rPr>
                <w:color w:val="000000"/>
                <w:sz w:val="20"/>
                <w:szCs w:val="20"/>
              </w:rPr>
            </w:pPr>
            <w:r>
              <w:rPr>
                <w:color w:val="000000"/>
                <w:sz w:val="20"/>
                <w:szCs w:val="20"/>
              </w:rPr>
              <w:t>64</w:t>
            </w:r>
          </w:p>
        </w:tc>
      </w:tr>
      <w:tr w:rsidR="00D54581" w:rsidRPr="00FE3307" w14:paraId="1BAF9638" w14:textId="77777777" w:rsidTr="00624188">
        <w:tc>
          <w:tcPr>
            <w:tcW w:w="1224" w:type="dxa"/>
            <w:vMerge/>
            <w:vAlign w:val="center"/>
            <w:hideMark/>
          </w:tcPr>
          <w:p w14:paraId="4FD8C18B" w14:textId="77777777" w:rsidR="00D54581" w:rsidRPr="00FE3307" w:rsidRDefault="00D54581" w:rsidP="005D5A5E">
            <w:pPr>
              <w:jc w:val="left"/>
              <w:rPr>
                <w:bCs/>
                <w:color w:val="000000"/>
                <w:sz w:val="20"/>
                <w:szCs w:val="20"/>
                <w:lang w:val="en-CA" w:eastAsia="en-CA"/>
              </w:rPr>
            </w:pPr>
          </w:p>
        </w:tc>
        <w:tc>
          <w:tcPr>
            <w:tcW w:w="1276" w:type="dxa"/>
            <w:shd w:val="clear" w:color="auto" w:fill="auto"/>
            <w:noWrap/>
            <w:vAlign w:val="center"/>
            <w:hideMark/>
          </w:tcPr>
          <w:p w14:paraId="4985BFA5" w14:textId="77777777" w:rsidR="00D54581" w:rsidRPr="00C27B8A" w:rsidRDefault="00D54581" w:rsidP="005D5A5E">
            <w:pPr>
              <w:rPr>
                <w:bCs/>
                <w:color w:val="000000"/>
                <w:sz w:val="20"/>
                <w:szCs w:val="20"/>
              </w:rPr>
            </w:pPr>
            <w:r>
              <w:rPr>
                <w:bCs/>
                <w:color w:val="000000"/>
                <w:sz w:val="20"/>
                <w:szCs w:val="20"/>
              </w:rPr>
              <w:t xml:space="preserve">Décaissé </w:t>
            </w:r>
          </w:p>
        </w:tc>
        <w:tc>
          <w:tcPr>
            <w:tcW w:w="1418" w:type="dxa"/>
            <w:shd w:val="clear" w:color="auto" w:fill="auto"/>
            <w:noWrap/>
            <w:tcMar>
              <w:left w:w="115" w:type="dxa"/>
              <w:right w:w="288" w:type="dxa"/>
            </w:tcMar>
            <w:vAlign w:val="center"/>
          </w:tcPr>
          <w:p w14:paraId="2B160817" w14:textId="48FCF8BE" w:rsidR="00D54581" w:rsidRPr="00C27B8A" w:rsidRDefault="0007062C" w:rsidP="005D5A5E">
            <w:pPr>
              <w:jc w:val="right"/>
              <w:rPr>
                <w:color w:val="000000"/>
                <w:sz w:val="20"/>
                <w:szCs w:val="20"/>
              </w:rPr>
            </w:pPr>
            <w:r>
              <w:rPr>
                <w:color w:val="000000"/>
                <w:sz w:val="20"/>
                <w:szCs w:val="20"/>
              </w:rPr>
              <w:t>28 347</w:t>
            </w:r>
          </w:p>
        </w:tc>
        <w:tc>
          <w:tcPr>
            <w:tcW w:w="1999" w:type="dxa"/>
            <w:tcMar>
              <w:left w:w="115" w:type="dxa"/>
              <w:right w:w="288" w:type="dxa"/>
            </w:tcMar>
            <w:vAlign w:val="center"/>
          </w:tcPr>
          <w:p w14:paraId="07412A75" w14:textId="68A6E98B" w:rsidR="00D54581" w:rsidRPr="00C27B8A" w:rsidRDefault="0007062C" w:rsidP="005D5A5E">
            <w:pPr>
              <w:jc w:val="right"/>
              <w:rPr>
                <w:color w:val="000000"/>
                <w:sz w:val="20"/>
                <w:szCs w:val="20"/>
              </w:rPr>
            </w:pPr>
            <w:r>
              <w:rPr>
                <w:color w:val="000000"/>
                <w:sz w:val="20"/>
                <w:szCs w:val="20"/>
                <w:bdr w:val="none" w:sz="0" w:space="0" w:color="auto" w:frame="1"/>
              </w:rPr>
              <w:t>13 890</w:t>
            </w:r>
          </w:p>
        </w:tc>
        <w:tc>
          <w:tcPr>
            <w:tcW w:w="1418" w:type="dxa"/>
            <w:shd w:val="clear" w:color="auto" w:fill="auto"/>
            <w:noWrap/>
            <w:tcMar>
              <w:left w:w="115" w:type="dxa"/>
              <w:right w:w="288" w:type="dxa"/>
            </w:tcMar>
            <w:vAlign w:val="center"/>
          </w:tcPr>
          <w:p w14:paraId="6A0684A5" w14:textId="591E4424" w:rsidR="00D54581" w:rsidRPr="00C27B8A" w:rsidRDefault="00464AE2" w:rsidP="005D5A5E">
            <w:pPr>
              <w:jc w:val="right"/>
              <w:rPr>
                <w:color w:val="000000"/>
                <w:sz w:val="20"/>
                <w:szCs w:val="20"/>
              </w:rPr>
            </w:pPr>
            <w:r>
              <w:rPr>
                <w:color w:val="000000"/>
                <w:sz w:val="20"/>
                <w:szCs w:val="20"/>
              </w:rPr>
              <w:t>42 237</w:t>
            </w:r>
          </w:p>
        </w:tc>
        <w:tc>
          <w:tcPr>
            <w:tcW w:w="2048" w:type="dxa"/>
            <w:vMerge/>
            <w:vAlign w:val="center"/>
          </w:tcPr>
          <w:p w14:paraId="171BAC59" w14:textId="77777777" w:rsidR="00D54581" w:rsidRPr="00C27B8A" w:rsidRDefault="00D54581" w:rsidP="005D5A5E">
            <w:pPr>
              <w:jc w:val="center"/>
              <w:rPr>
                <w:color w:val="000000"/>
                <w:sz w:val="20"/>
                <w:szCs w:val="20"/>
                <w:lang w:val="en-CA" w:eastAsia="en-CA"/>
              </w:rPr>
            </w:pPr>
          </w:p>
        </w:tc>
      </w:tr>
      <w:tr w:rsidR="00D54581" w:rsidRPr="00FE3307" w14:paraId="0E89F68D" w14:textId="77777777" w:rsidTr="00624188">
        <w:tc>
          <w:tcPr>
            <w:tcW w:w="1224" w:type="dxa"/>
            <w:vMerge w:val="restart"/>
            <w:shd w:val="clear" w:color="auto" w:fill="auto"/>
            <w:vAlign w:val="center"/>
            <w:hideMark/>
          </w:tcPr>
          <w:p w14:paraId="3A22AB8D" w14:textId="77777777" w:rsidR="00D54581" w:rsidRPr="00447603" w:rsidRDefault="00D54581" w:rsidP="005D5A5E">
            <w:pPr>
              <w:jc w:val="left"/>
              <w:rPr>
                <w:b/>
                <w:bCs/>
                <w:color w:val="000000"/>
                <w:sz w:val="20"/>
                <w:szCs w:val="20"/>
              </w:rPr>
            </w:pPr>
            <w:r>
              <w:rPr>
                <w:b/>
                <w:bCs/>
                <w:color w:val="000000"/>
                <w:sz w:val="20"/>
                <w:szCs w:val="20"/>
              </w:rPr>
              <w:t>Total</w:t>
            </w:r>
          </w:p>
        </w:tc>
        <w:tc>
          <w:tcPr>
            <w:tcW w:w="1276" w:type="dxa"/>
            <w:shd w:val="clear" w:color="auto" w:fill="auto"/>
            <w:vAlign w:val="center"/>
            <w:hideMark/>
          </w:tcPr>
          <w:p w14:paraId="5F1C0574" w14:textId="77777777" w:rsidR="00D54581" w:rsidRPr="00C27B8A" w:rsidRDefault="00D54581" w:rsidP="005D5A5E">
            <w:pPr>
              <w:rPr>
                <w:b/>
                <w:bCs/>
                <w:color w:val="000000"/>
                <w:sz w:val="20"/>
                <w:szCs w:val="20"/>
              </w:rPr>
            </w:pPr>
            <w:r>
              <w:rPr>
                <w:b/>
                <w:bCs/>
                <w:color w:val="000000"/>
                <w:sz w:val="20"/>
                <w:szCs w:val="20"/>
              </w:rPr>
              <w:t xml:space="preserve">Approuvé </w:t>
            </w:r>
          </w:p>
        </w:tc>
        <w:tc>
          <w:tcPr>
            <w:tcW w:w="1418" w:type="dxa"/>
            <w:shd w:val="clear" w:color="auto" w:fill="auto"/>
            <w:tcMar>
              <w:left w:w="115" w:type="dxa"/>
              <w:right w:w="288" w:type="dxa"/>
            </w:tcMar>
            <w:vAlign w:val="center"/>
          </w:tcPr>
          <w:p w14:paraId="510A2D0C" w14:textId="77777777" w:rsidR="00D54581" w:rsidRPr="00C27B8A" w:rsidRDefault="006167DE" w:rsidP="005D5A5E">
            <w:pPr>
              <w:jc w:val="right"/>
              <w:rPr>
                <w:b/>
                <w:color w:val="000000"/>
                <w:sz w:val="20"/>
                <w:szCs w:val="20"/>
              </w:rPr>
            </w:pPr>
            <w:r>
              <w:rPr>
                <w:b/>
                <w:color w:val="000000"/>
                <w:sz w:val="20"/>
                <w:szCs w:val="20"/>
              </w:rPr>
              <w:t>312 637</w:t>
            </w:r>
          </w:p>
        </w:tc>
        <w:tc>
          <w:tcPr>
            <w:tcW w:w="1999" w:type="dxa"/>
            <w:tcMar>
              <w:left w:w="115" w:type="dxa"/>
              <w:right w:w="288" w:type="dxa"/>
            </w:tcMar>
            <w:vAlign w:val="center"/>
          </w:tcPr>
          <w:p w14:paraId="0E6F1382" w14:textId="3B57822B" w:rsidR="00D54581" w:rsidRPr="00C27B8A" w:rsidRDefault="009A31CE" w:rsidP="005D5A5E">
            <w:pPr>
              <w:jc w:val="right"/>
              <w:rPr>
                <w:b/>
                <w:color w:val="000000"/>
                <w:sz w:val="20"/>
                <w:szCs w:val="20"/>
              </w:rPr>
            </w:pPr>
            <w:r>
              <w:rPr>
                <w:b/>
                <w:color w:val="000000"/>
                <w:sz w:val="20"/>
                <w:szCs w:val="20"/>
              </w:rPr>
              <w:t>81 684</w:t>
            </w:r>
          </w:p>
        </w:tc>
        <w:tc>
          <w:tcPr>
            <w:tcW w:w="1418" w:type="dxa"/>
            <w:shd w:val="clear" w:color="auto" w:fill="auto"/>
            <w:tcMar>
              <w:left w:w="115" w:type="dxa"/>
              <w:right w:w="288" w:type="dxa"/>
            </w:tcMar>
            <w:vAlign w:val="center"/>
          </w:tcPr>
          <w:p w14:paraId="564C1627" w14:textId="77777777" w:rsidR="00D54581" w:rsidRPr="00C27B8A" w:rsidRDefault="006167DE" w:rsidP="005D5A5E">
            <w:pPr>
              <w:jc w:val="right"/>
              <w:rPr>
                <w:b/>
                <w:color w:val="000000"/>
                <w:sz w:val="20"/>
                <w:szCs w:val="20"/>
              </w:rPr>
            </w:pPr>
            <w:r>
              <w:rPr>
                <w:b/>
                <w:color w:val="000000"/>
                <w:sz w:val="20"/>
                <w:szCs w:val="20"/>
              </w:rPr>
              <w:t>394 321</w:t>
            </w:r>
          </w:p>
        </w:tc>
        <w:tc>
          <w:tcPr>
            <w:tcW w:w="2048" w:type="dxa"/>
            <w:vMerge w:val="restart"/>
            <w:shd w:val="clear" w:color="auto" w:fill="auto"/>
            <w:vAlign w:val="center"/>
          </w:tcPr>
          <w:p w14:paraId="3FFAAB49" w14:textId="5AC2B09B" w:rsidR="00D54581" w:rsidRPr="00C27B8A" w:rsidRDefault="00A41FC4" w:rsidP="005D5A5E">
            <w:pPr>
              <w:jc w:val="center"/>
              <w:rPr>
                <w:b/>
                <w:color w:val="000000"/>
                <w:sz w:val="20"/>
                <w:szCs w:val="20"/>
              </w:rPr>
            </w:pPr>
            <w:r>
              <w:rPr>
                <w:b/>
                <w:color w:val="000000"/>
                <w:sz w:val="20"/>
                <w:szCs w:val="20"/>
              </w:rPr>
              <w:t>87</w:t>
            </w:r>
          </w:p>
        </w:tc>
      </w:tr>
      <w:tr w:rsidR="00D54581" w:rsidRPr="00FE3307" w14:paraId="1F0A986C" w14:textId="77777777" w:rsidTr="00624188">
        <w:tc>
          <w:tcPr>
            <w:tcW w:w="1224" w:type="dxa"/>
            <w:vMerge/>
            <w:shd w:val="clear" w:color="auto" w:fill="auto"/>
            <w:vAlign w:val="center"/>
          </w:tcPr>
          <w:p w14:paraId="5DC42955" w14:textId="77777777" w:rsidR="00D54581" w:rsidRPr="00FE3307" w:rsidRDefault="00D54581" w:rsidP="005D5A5E">
            <w:pPr>
              <w:jc w:val="left"/>
              <w:rPr>
                <w:b/>
                <w:bCs/>
                <w:color w:val="000000"/>
                <w:sz w:val="20"/>
                <w:szCs w:val="20"/>
                <w:lang w:val="en-CA" w:eastAsia="en-CA"/>
              </w:rPr>
            </w:pPr>
          </w:p>
        </w:tc>
        <w:tc>
          <w:tcPr>
            <w:tcW w:w="1276" w:type="dxa"/>
            <w:shd w:val="clear" w:color="auto" w:fill="auto"/>
            <w:vAlign w:val="center"/>
          </w:tcPr>
          <w:p w14:paraId="49727EDD" w14:textId="77777777" w:rsidR="00D54581" w:rsidRPr="00356BB8" w:rsidRDefault="00D54581" w:rsidP="005D5A5E">
            <w:pPr>
              <w:rPr>
                <w:b/>
                <w:bCs/>
                <w:color w:val="000000"/>
                <w:sz w:val="20"/>
                <w:szCs w:val="20"/>
              </w:rPr>
            </w:pPr>
            <w:r>
              <w:rPr>
                <w:b/>
                <w:bCs/>
                <w:color w:val="000000"/>
                <w:sz w:val="20"/>
                <w:szCs w:val="20"/>
              </w:rPr>
              <w:t xml:space="preserve">Décaissé </w:t>
            </w:r>
          </w:p>
        </w:tc>
        <w:tc>
          <w:tcPr>
            <w:tcW w:w="1418" w:type="dxa"/>
            <w:shd w:val="clear" w:color="auto" w:fill="auto"/>
            <w:tcMar>
              <w:left w:w="115" w:type="dxa"/>
              <w:right w:w="288" w:type="dxa"/>
            </w:tcMar>
            <w:vAlign w:val="center"/>
          </w:tcPr>
          <w:p w14:paraId="4879CE15" w14:textId="2A8A3E60" w:rsidR="00D54581" w:rsidRPr="009E3864" w:rsidRDefault="009E3864" w:rsidP="005D5A5E">
            <w:pPr>
              <w:jc w:val="right"/>
              <w:rPr>
                <w:b/>
                <w:bCs/>
                <w:color w:val="000000"/>
                <w:sz w:val="20"/>
                <w:szCs w:val="20"/>
              </w:rPr>
            </w:pPr>
            <w:r>
              <w:rPr>
                <w:b/>
                <w:bCs/>
                <w:color w:val="000000"/>
                <w:sz w:val="20"/>
                <w:szCs w:val="20"/>
              </w:rPr>
              <w:t>296 828</w:t>
            </w:r>
          </w:p>
        </w:tc>
        <w:tc>
          <w:tcPr>
            <w:tcW w:w="1999" w:type="dxa"/>
            <w:tcMar>
              <w:left w:w="115" w:type="dxa"/>
              <w:right w:w="288" w:type="dxa"/>
            </w:tcMar>
            <w:vAlign w:val="center"/>
          </w:tcPr>
          <w:p w14:paraId="03E3E7C1" w14:textId="15FA6507" w:rsidR="00D54581" w:rsidRPr="009E3864" w:rsidRDefault="009A31CE" w:rsidP="005D5A5E">
            <w:pPr>
              <w:jc w:val="right"/>
              <w:rPr>
                <w:b/>
                <w:bCs/>
                <w:color w:val="000000"/>
                <w:sz w:val="20"/>
                <w:szCs w:val="20"/>
              </w:rPr>
            </w:pPr>
            <w:r>
              <w:rPr>
                <w:b/>
                <w:bCs/>
                <w:color w:val="000000"/>
                <w:sz w:val="20"/>
                <w:szCs w:val="20"/>
              </w:rPr>
              <w:t>45 125</w:t>
            </w:r>
          </w:p>
        </w:tc>
        <w:tc>
          <w:tcPr>
            <w:tcW w:w="1418" w:type="dxa"/>
            <w:shd w:val="clear" w:color="auto" w:fill="auto"/>
            <w:tcMar>
              <w:left w:w="115" w:type="dxa"/>
              <w:right w:w="288" w:type="dxa"/>
            </w:tcMar>
            <w:vAlign w:val="center"/>
          </w:tcPr>
          <w:p w14:paraId="593E8EB5" w14:textId="2CF68F37" w:rsidR="00D54581" w:rsidRPr="009E3864" w:rsidRDefault="009E3864" w:rsidP="005D5A5E">
            <w:pPr>
              <w:jc w:val="right"/>
              <w:rPr>
                <w:b/>
                <w:bCs/>
                <w:color w:val="000000"/>
                <w:sz w:val="20"/>
                <w:szCs w:val="20"/>
              </w:rPr>
            </w:pPr>
            <w:r>
              <w:rPr>
                <w:b/>
                <w:bCs/>
                <w:color w:val="000000"/>
                <w:sz w:val="20"/>
                <w:szCs w:val="20"/>
              </w:rPr>
              <w:t>341 953</w:t>
            </w:r>
          </w:p>
        </w:tc>
        <w:tc>
          <w:tcPr>
            <w:tcW w:w="2048" w:type="dxa"/>
            <w:vMerge/>
            <w:shd w:val="clear" w:color="auto" w:fill="auto"/>
            <w:vAlign w:val="center"/>
          </w:tcPr>
          <w:p w14:paraId="4FF5AD6A" w14:textId="77777777" w:rsidR="00D54581" w:rsidRPr="00FE3307" w:rsidRDefault="00D54581" w:rsidP="005D5A5E">
            <w:pPr>
              <w:jc w:val="center"/>
              <w:rPr>
                <w:color w:val="000000"/>
                <w:sz w:val="20"/>
                <w:szCs w:val="20"/>
                <w:lang w:val="en-CA" w:eastAsia="en-CA"/>
              </w:rPr>
            </w:pPr>
          </w:p>
        </w:tc>
      </w:tr>
    </w:tbl>
    <w:p w14:paraId="748623B3" w14:textId="4709DE20" w:rsidR="00D54581" w:rsidRDefault="00F7289A" w:rsidP="005D5A5E">
      <w:pPr>
        <w:rPr>
          <w:sz w:val="20"/>
          <w:szCs w:val="20"/>
        </w:rPr>
      </w:pPr>
      <w:r>
        <w:rPr>
          <w:sz w:val="20"/>
          <w:szCs w:val="20"/>
        </w:rPr>
        <w:t>* Y compris la déduction de la clause de pénalité de 15 pour cent appliquée au financement convenu de 45 000 $US pour la troisième tranche (décision 75/59(c)).</w:t>
      </w:r>
    </w:p>
    <w:p w14:paraId="28FA3859" w14:textId="77777777" w:rsidR="00620D3D" w:rsidRPr="005D5A5E" w:rsidRDefault="00620D3D" w:rsidP="005D5A5E">
      <w:pPr>
        <w:rPr>
          <w:sz w:val="20"/>
          <w:szCs w:val="20"/>
        </w:rPr>
      </w:pPr>
    </w:p>
    <w:p w14:paraId="01A386CE" w14:textId="77777777" w:rsidR="00D54581" w:rsidRPr="001946C3" w:rsidRDefault="00D54581" w:rsidP="005D5A5E">
      <w:pPr>
        <w:keepNext/>
        <w:rPr>
          <w:u w:val="single"/>
        </w:rPr>
      </w:pPr>
      <w:r>
        <w:rPr>
          <w:u w:val="single"/>
        </w:rPr>
        <w:t>Plan de mise en œuvre de la cinquième et dernière tranche du PGEH</w:t>
      </w:r>
    </w:p>
    <w:p w14:paraId="7977493A" w14:textId="77777777" w:rsidR="00D54581" w:rsidRPr="00054661" w:rsidRDefault="00D54581" w:rsidP="005D5A5E">
      <w:pPr>
        <w:keepNext/>
        <w:rPr>
          <w:lang w:val="fr-CA"/>
        </w:rPr>
      </w:pPr>
    </w:p>
    <w:p w14:paraId="70411F58" w14:textId="425A117F" w:rsidR="00D54581" w:rsidRPr="001946C3" w:rsidRDefault="00D54581" w:rsidP="005D5A5E">
      <w:pPr>
        <w:pStyle w:val="Heading1"/>
        <w:keepNext/>
      </w:pPr>
      <w:r>
        <w:t>Les activités suivantes seront mises en œuvre jusqu’en décembre 2021 :</w:t>
      </w:r>
    </w:p>
    <w:p w14:paraId="1A49ED92" w14:textId="3F271741" w:rsidR="00930191" w:rsidRDefault="00F950B4" w:rsidP="005D5A5E">
      <w:pPr>
        <w:pStyle w:val="Heading2"/>
      </w:pPr>
      <w:r>
        <w:rPr>
          <w:i/>
        </w:rPr>
        <w:t>Assistance technique pour un contrôle renforcé du commerce des substances et équipements à base de HCFC </w:t>
      </w:r>
      <w:r>
        <w:rPr>
          <w:i/>
          <w:iCs/>
        </w:rPr>
        <w:t xml:space="preserve">: </w:t>
      </w:r>
      <w:r>
        <w:t>formation de 80 agents des douanes et des services de répression supplémentaires sur les substances contrôlées et leurs solutions de remplacement, et prévention du commerce illégal; et finalisation du processus d</w:t>
      </w:r>
      <w:r w:rsidR="00FF17A4">
        <w:t>’</w:t>
      </w:r>
      <w:r>
        <w:t>adoption des normes de manipulation des réfrigérants (PNUE) (soldes des fonds des tranches en cours);</w:t>
      </w:r>
    </w:p>
    <w:p w14:paraId="7F615240" w14:textId="53A8DC5C" w:rsidR="00D54581" w:rsidRPr="00434567" w:rsidRDefault="00161583" w:rsidP="005D5A5E">
      <w:pPr>
        <w:pStyle w:val="Heading2"/>
        <w:numPr>
          <w:ilvl w:val="1"/>
          <w:numId w:val="1"/>
        </w:numPr>
        <w:rPr>
          <w:i/>
          <w:iCs/>
        </w:rPr>
      </w:pPr>
      <w:r>
        <w:rPr>
          <w:i/>
        </w:rPr>
        <w:t>Assistance technique pour la réduction de l</w:t>
      </w:r>
      <w:r w:rsidR="00FF17A4">
        <w:rPr>
          <w:i/>
        </w:rPr>
        <w:t>’</w:t>
      </w:r>
      <w:r>
        <w:rPr>
          <w:i/>
        </w:rPr>
        <w:t>utilisation des HCFC</w:t>
      </w:r>
      <w:r>
        <w:t> : formation sur les bonnes pratiques de réfrigération et certification de 500 techniciens de la réfrigération et de la climatisation; poursuite des travaux menés avec l</w:t>
      </w:r>
      <w:r w:rsidR="00FF17A4">
        <w:t>’</w:t>
      </w:r>
      <w:r>
        <w:t>INTECAP pour institutionnaliser le système de certification en lien avec les efforts régionaux de normalisation des programmes de formation en coopération avec le PNUE; fourniture de trousses d</w:t>
      </w:r>
      <w:r w:rsidR="00FF17A4">
        <w:t>’</w:t>
      </w:r>
      <w:r>
        <w:t>outils aux centres de formation hors de l</w:t>
      </w:r>
      <w:r w:rsidR="00FF17A4">
        <w:t>’</w:t>
      </w:r>
      <w:r>
        <w:t>INTECAP (équipement et outils à déterminer en fonction des besoins); amélioration des services fournis par la récupération des réfrigérants, en particulier aux gros utilisateurs finaux, et modernisation du centre de récupération et de valorisation et évaluation de la possibilité d</w:t>
      </w:r>
      <w:r w:rsidR="00FF17A4">
        <w:t>’</w:t>
      </w:r>
      <w:r>
        <w:t>acheter une unité de récupération; et développement d</w:t>
      </w:r>
      <w:r w:rsidR="00FF17A4">
        <w:t>’</w:t>
      </w:r>
      <w:r>
        <w:t>un programme de confinement des réfrigérants pour les utilisateurs finaux afin d</w:t>
      </w:r>
      <w:r w:rsidR="00FF17A4">
        <w:t>’</w:t>
      </w:r>
      <w:r>
        <w:t>économiser l</w:t>
      </w:r>
      <w:r w:rsidR="00FF17A4">
        <w:t>’</w:t>
      </w:r>
      <w:r>
        <w:t>électricité et de réduire les fuites de réfrigérants, destiné aux supermarchés, aux producteurs de melons et aux prestataires de services (ONUDI) (27 000 $US); et</w:t>
      </w:r>
    </w:p>
    <w:p w14:paraId="1D432387" w14:textId="0490FEBE" w:rsidR="00D54581" w:rsidRPr="00434567" w:rsidRDefault="00D54581" w:rsidP="005D5A5E">
      <w:pPr>
        <w:pStyle w:val="Heading2"/>
      </w:pPr>
      <w:r>
        <w:t xml:space="preserve">Gestion et surveillance de projets (ONUDI) (6 000 $US) : personnel et consultants (3 000 $US); et ateliers/réunions (3 000 $US). </w:t>
      </w:r>
    </w:p>
    <w:p w14:paraId="0445CAF8" w14:textId="5A6A7EB7" w:rsidR="00D54581" w:rsidRPr="00624188" w:rsidRDefault="00620D3D" w:rsidP="00624188">
      <w:pPr>
        <w:keepNext/>
        <w:keepLines/>
        <w:spacing w:before="120" w:after="240"/>
        <w:jc w:val="center"/>
        <w:rPr>
          <w:b/>
        </w:rPr>
      </w:pPr>
      <w:r>
        <w:rPr>
          <w:b/>
        </w:rPr>
        <w:lastRenderedPageBreak/>
        <w:t>OBSERVATION</w:t>
      </w:r>
      <w:r w:rsidR="00D54581">
        <w:rPr>
          <w:b/>
        </w:rPr>
        <w:t>S ET RECOMMANDATION DU SECRÉTARIAT</w:t>
      </w:r>
    </w:p>
    <w:p w14:paraId="7C517ACF" w14:textId="28FBAEB8" w:rsidR="00D54581" w:rsidRPr="00624188" w:rsidRDefault="00620D3D" w:rsidP="00624188">
      <w:pPr>
        <w:keepNext/>
        <w:keepLines/>
        <w:spacing w:before="120" w:after="240"/>
        <w:rPr>
          <w:b/>
        </w:rPr>
      </w:pPr>
      <w:r>
        <w:rPr>
          <w:b/>
        </w:rPr>
        <w:t>OBSERVATIONS</w:t>
      </w:r>
    </w:p>
    <w:p w14:paraId="668D2BBF" w14:textId="6F04DF69" w:rsidR="00A339A6" w:rsidRPr="00624188" w:rsidRDefault="00A339A6" w:rsidP="00624188">
      <w:pPr>
        <w:keepNext/>
        <w:keepLines/>
        <w:spacing w:before="120" w:after="240"/>
        <w:rPr>
          <w:i/>
        </w:rPr>
      </w:pPr>
      <w:r>
        <w:rPr>
          <w:i/>
        </w:rPr>
        <w:t xml:space="preserve">Rapport de vérification </w:t>
      </w:r>
    </w:p>
    <w:p w14:paraId="27066513" w14:textId="4422AC24" w:rsidR="005F1CF4" w:rsidRPr="00434567" w:rsidRDefault="005F1CF4" w:rsidP="00624188">
      <w:pPr>
        <w:pStyle w:val="Heading1"/>
        <w:keepNext/>
        <w:keepLines/>
        <w:spacing w:before="120"/>
      </w:pPr>
      <w:r>
        <w:t>La cinquième tranche de la phase I du PGEH exige la présentation d</w:t>
      </w:r>
      <w:r w:rsidR="00FF17A4">
        <w:t>’</w:t>
      </w:r>
      <w:r>
        <w:t>un rapport de vérification. Notant que l</w:t>
      </w:r>
      <w:r w:rsidR="00FF17A4">
        <w:t>’</w:t>
      </w:r>
      <w:r>
        <w:t>achèvement du rapport de vérification serait retardé de plusieurs mois en raison des contraintes liées à l</w:t>
      </w:r>
      <w:r w:rsidR="00FF17A4">
        <w:t>’</w:t>
      </w:r>
      <w:r>
        <w:t>épidémie de COVID-19, et que la consommation de HCFC estimée pour 2019 était inférieure de 62 pour cent à la valeur de référence, le Secrétariat recommande l</w:t>
      </w:r>
      <w:r w:rsidR="00FF17A4">
        <w:t>’</w:t>
      </w:r>
      <w:r>
        <w:t xml:space="preserve">approbation de cette demande de tranche de financement, à titre exceptionnel et sans créer de précédent, étant entendu que : </w:t>
      </w:r>
    </w:p>
    <w:p w14:paraId="3B60585A" w14:textId="141105D6" w:rsidR="005F1CF4" w:rsidRPr="00434567" w:rsidRDefault="005F1CF4" w:rsidP="005D5A5E">
      <w:pPr>
        <w:pStyle w:val="Heading2"/>
      </w:pPr>
      <w:r>
        <w:t>Le trésorier sera prié de transférer les fonds approuvés à l</w:t>
      </w:r>
      <w:r w:rsidR="00FF17A4">
        <w:t>’</w:t>
      </w:r>
      <w:r>
        <w:t>ONUDI;</w:t>
      </w:r>
      <w:r w:rsidRPr="00434567">
        <w:rPr>
          <w:rStyle w:val="FootnoteReference"/>
          <w:lang w:val="en-CA"/>
        </w:rPr>
        <w:footnoteReference w:id="4"/>
      </w:r>
      <w:r>
        <w:t xml:space="preserve"> </w:t>
      </w:r>
    </w:p>
    <w:p w14:paraId="7A2A5559" w14:textId="720E5F5E" w:rsidR="005F1CF4" w:rsidRPr="00434567" w:rsidRDefault="005F1CF4" w:rsidP="00404A43">
      <w:pPr>
        <w:pStyle w:val="Heading2"/>
        <w:spacing w:after="120"/>
      </w:pPr>
      <w:r>
        <w:t>L</w:t>
      </w:r>
      <w:r w:rsidR="00FF17A4">
        <w:t>’</w:t>
      </w:r>
      <w:r>
        <w:t>ONUDI s</w:t>
      </w:r>
      <w:r w:rsidR="00FF17A4">
        <w:t>’</w:t>
      </w:r>
      <w:r>
        <w:t>était engagée à soumettre le rapport de vérification au plus tard 12 semaines avant la 86</w:t>
      </w:r>
      <w:r>
        <w:rPr>
          <w:vertAlign w:val="superscript"/>
        </w:rPr>
        <w:t>e</w:t>
      </w:r>
      <w:r>
        <w:t xml:space="preserve"> réunion; </w:t>
      </w:r>
    </w:p>
    <w:p w14:paraId="451943AC" w14:textId="428C2353" w:rsidR="005F1CF4" w:rsidRPr="00434567" w:rsidRDefault="005F1CF4" w:rsidP="00404A43">
      <w:pPr>
        <w:pStyle w:val="Heading2"/>
        <w:spacing w:after="120"/>
      </w:pPr>
      <w:r>
        <w:t>Les recommandations incluses dans le rapport de vérification seront traitées lors de la mise en œuvre de la cinquième tranche et les actions mises en œuvre à cette fin seront incluses dans le rapport périodique de la phase I du PGHP qui sera soumis dans le cadre de la demande du pays pour sa phase</w:t>
      </w:r>
      <w:r w:rsidR="00FF17A4">
        <w:t> </w:t>
      </w:r>
      <w:r>
        <w:t>II du PGEH;</w:t>
      </w:r>
      <w:r w:rsidR="00624188">
        <w:t xml:space="preserve"> et</w:t>
      </w:r>
    </w:p>
    <w:p w14:paraId="7545FF90" w14:textId="07E9EDC3" w:rsidR="005F1CF4" w:rsidRDefault="005F1CF4" w:rsidP="005D5A5E">
      <w:pPr>
        <w:pStyle w:val="Heading2"/>
      </w:pPr>
      <w:r>
        <w:t>Dans le cas peu probable où le gouvernement du Guatemala ne respecterait pas son accord avec le Comité exécutif, des mesures pertinentes seraient prises par le Comité exécutif.</w:t>
      </w:r>
    </w:p>
    <w:p w14:paraId="49D7B3B4" w14:textId="7FF4F202" w:rsidR="00D54581" w:rsidRDefault="000852D2" w:rsidP="005D5A5E">
      <w:pPr>
        <w:keepNext/>
        <w:rPr>
          <w:u w:val="single"/>
        </w:rPr>
      </w:pPr>
      <w:r>
        <w:rPr>
          <w:u w:val="single"/>
        </w:rPr>
        <w:t>Rapport périodique sur la mise en œuvre de la quatrième tranche du PGEH</w:t>
      </w:r>
    </w:p>
    <w:p w14:paraId="58C56C97" w14:textId="77777777" w:rsidR="000852D2" w:rsidRPr="00054661" w:rsidRDefault="000852D2" w:rsidP="005D5A5E">
      <w:pPr>
        <w:keepNext/>
        <w:rPr>
          <w:lang w:val="fr-CA"/>
        </w:rPr>
      </w:pPr>
    </w:p>
    <w:p w14:paraId="074751FE" w14:textId="77777777" w:rsidR="00D54581" w:rsidRPr="0026283A" w:rsidRDefault="00D54581" w:rsidP="005D5A5E">
      <w:pPr>
        <w:keepNext/>
        <w:rPr>
          <w:i/>
        </w:rPr>
      </w:pPr>
      <w:r>
        <w:rPr>
          <w:i/>
        </w:rPr>
        <w:t>Cadre juridique</w:t>
      </w:r>
    </w:p>
    <w:p w14:paraId="56214248" w14:textId="77777777" w:rsidR="00D54581" w:rsidRPr="0026283A" w:rsidRDefault="00D54581" w:rsidP="005D5A5E">
      <w:pPr>
        <w:rPr>
          <w:lang w:val="en-CA"/>
        </w:rPr>
      </w:pPr>
    </w:p>
    <w:p w14:paraId="54F8A929" w14:textId="68CA6885" w:rsidR="00D54581" w:rsidRPr="0026283A" w:rsidRDefault="00D54581" w:rsidP="005D5A5E">
      <w:pPr>
        <w:pStyle w:val="Heading1"/>
      </w:pPr>
      <w:r>
        <w:t>Le gouvernement du Guatemala a déjà émis des quotas d</w:t>
      </w:r>
      <w:r w:rsidR="00FF17A4">
        <w:t>’</w:t>
      </w:r>
      <w:r>
        <w:t>importation de HCFC pour 2020 à hauteur de 4,59 tonnes</w:t>
      </w:r>
      <w:r w:rsidR="006210AB" w:rsidRPr="0026283A">
        <w:rPr>
          <w:rStyle w:val="FootnoteReference"/>
          <w:lang w:val="en-CA"/>
        </w:rPr>
        <w:footnoteReference w:id="5"/>
      </w:r>
      <w:r>
        <w:t xml:space="preserve"> PAO (68,31 tm), ce qui est inférieur de 15 </w:t>
      </w:r>
      <w:r w:rsidR="00AF3021">
        <w:t>pour cent</w:t>
      </w:r>
      <w:r>
        <w:t xml:space="preserve"> aux objectifs de contrôle du protocole de Montréal.</w:t>
      </w:r>
    </w:p>
    <w:p w14:paraId="09DC3EDE" w14:textId="5B66357D" w:rsidR="00D54581" w:rsidRPr="0026283A" w:rsidRDefault="00D54581" w:rsidP="005D5A5E">
      <w:pPr>
        <w:rPr>
          <w:i/>
        </w:rPr>
      </w:pPr>
      <w:r>
        <w:rPr>
          <w:i/>
        </w:rPr>
        <w:t>Secteur de l’entretien de la réfrigération</w:t>
      </w:r>
    </w:p>
    <w:p w14:paraId="61646F23" w14:textId="77777777" w:rsidR="00D54581" w:rsidRPr="00054661" w:rsidRDefault="00D54581" w:rsidP="005D5A5E">
      <w:pPr>
        <w:rPr>
          <w:lang w:val="fr-CA"/>
        </w:rPr>
      </w:pPr>
    </w:p>
    <w:p w14:paraId="622BE147" w14:textId="13FB7DDE" w:rsidR="00227A2B" w:rsidRPr="00E54762" w:rsidRDefault="00915B89" w:rsidP="005D5A5E">
      <w:pPr>
        <w:pStyle w:val="Heading1"/>
      </w:pPr>
      <w:r>
        <w:t>À la suite d</w:t>
      </w:r>
      <w:r w:rsidR="00FF17A4">
        <w:t>’</w:t>
      </w:r>
      <w:r>
        <w:t>une demande de clarification, l</w:t>
      </w:r>
      <w:r w:rsidR="00FF17A4">
        <w:t>’</w:t>
      </w:r>
      <w:r>
        <w:t>ONUDI a indiqué que le projet destiné à un utilisateur final du secteur de la réfrigération commerciale ne vise pas à installer de nouveaux équipements, mais plutôt à aider une entreprise du secteur de la réfrigération commerciale à réduire les fuites de HCFC-22 en examinant l</w:t>
      </w:r>
      <w:r w:rsidR="00FF17A4">
        <w:t>’</w:t>
      </w:r>
      <w:r>
        <w:t>ensemble du processus de réfrigération (c</w:t>
      </w:r>
      <w:r w:rsidR="00FF17A4">
        <w:t>’</w:t>
      </w:r>
      <w:r>
        <w:t>est-à-dire la consommation de réfrigérant, l</w:t>
      </w:r>
      <w:r w:rsidR="00FF17A4">
        <w:t>’</w:t>
      </w:r>
      <w:r>
        <w:t>identification des fuites, les outils, la certification, les carnets de bord, la consommation d</w:t>
      </w:r>
      <w:r w:rsidR="00FF17A4">
        <w:t>’</w:t>
      </w:r>
      <w:r>
        <w:t>énergie, la qualité du réfrigérant et les besoins en formation). Comme le programme « Zéro fuite » mis en œuvre dans la tranche précédente, le processus sera documenté pour sensibiliser et aider d</w:t>
      </w:r>
      <w:r w:rsidR="00FF17A4">
        <w:t>’</w:t>
      </w:r>
      <w:r>
        <w:t>autres entreprises à mieux gérer leur HCFC-22.</w:t>
      </w:r>
    </w:p>
    <w:p w14:paraId="33873A7B" w14:textId="77777777" w:rsidR="00D54581" w:rsidRPr="00893146" w:rsidRDefault="00D54581" w:rsidP="00033115">
      <w:pPr>
        <w:keepNext/>
        <w:keepLines/>
        <w:rPr>
          <w:u w:val="single"/>
        </w:rPr>
      </w:pPr>
      <w:r>
        <w:rPr>
          <w:u w:val="single"/>
        </w:rPr>
        <w:lastRenderedPageBreak/>
        <w:t>Niveau de décaissement des fonds</w:t>
      </w:r>
    </w:p>
    <w:p w14:paraId="65DB4D68" w14:textId="77777777" w:rsidR="00D54581" w:rsidRPr="00893146" w:rsidRDefault="00D54581" w:rsidP="00033115">
      <w:pPr>
        <w:keepNext/>
        <w:keepLines/>
        <w:rPr>
          <w:lang w:val="en-CA"/>
        </w:rPr>
      </w:pPr>
    </w:p>
    <w:p w14:paraId="29358EFC" w14:textId="6AC30540" w:rsidR="00D54581" w:rsidRPr="007D4F0F" w:rsidRDefault="00115760" w:rsidP="00033115">
      <w:pPr>
        <w:pStyle w:val="Heading1"/>
        <w:keepNext/>
        <w:keepLines/>
      </w:pPr>
      <w:r>
        <w:t>Le Secrétariat a noté que seuls 2 985 $US des 30 184 $US approuvés pour la composante PNUE de la troisième tranche avaient été décaissés. L</w:t>
      </w:r>
      <w:r w:rsidR="00FF17A4">
        <w:t>’</w:t>
      </w:r>
      <w:r>
        <w:t>ONUDI a expliqué que 22 000 $US supplémentaires ont déjà été engagés pour deux consultations : sur l</w:t>
      </w:r>
      <w:r w:rsidR="00FF17A4">
        <w:t>’</w:t>
      </w:r>
      <w:r>
        <w:t>adoption de normes de sécurité pour la manipulation des réfrigérants inflammables; et sur la mise en place d</w:t>
      </w:r>
      <w:r w:rsidR="00FF17A4">
        <w:t>’</w:t>
      </w:r>
      <w:r>
        <w:t>un système de certification des techniciens de la réfrigération et de la climatisation en matière de bonnes pratiques de réfrigération. Le solde restant sera utilisé pour l</w:t>
      </w:r>
      <w:r w:rsidR="00FF17A4">
        <w:t>’</w:t>
      </w:r>
      <w:r>
        <w:t xml:space="preserve">assistance technique afin de renforcer le contrôle du commerce des HCFC. </w:t>
      </w:r>
    </w:p>
    <w:p w14:paraId="450D1FB2" w14:textId="5453A9E8" w:rsidR="00962A10" w:rsidRDefault="00962A10" w:rsidP="005D5A5E">
      <w:pPr>
        <w:rPr>
          <w:u w:val="single"/>
        </w:rPr>
      </w:pPr>
      <w:r>
        <w:rPr>
          <w:u w:val="single"/>
        </w:rPr>
        <w:t>Mise en œuvre de la politique d</w:t>
      </w:r>
      <w:r w:rsidR="00FF17A4">
        <w:rPr>
          <w:u w:val="single"/>
        </w:rPr>
        <w:t>’</w:t>
      </w:r>
      <w:r>
        <w:rPr>
          <w:u w:val="single"/>
        </w:rPr>
        <w:t>égalité des sexes</w:t>
      </w:r>
      <w:r>
        <w:rPr>
          <w:rStyle w:val="FootnoteReference"/>
          <w:u w:val="single"/>
          <w:lang w:val="en-CA"/>
        </w:rPr>
        <w:footnoteReference w:id="6"/>
      </w:r>
    </w:p>
    <w:p w14:paraId="2385CDED" w14:textId="77777777" w:rsidR="00962A10" w:rsidRPr="00054661" w:rsidRDefault="00962A10" w:rsidP="005D5A5E">
      <w:pPr>
        <w:rPr>
          <w:lang w:val="fr-CA"/>
        </w:rPr>
      </w:pPr>
    </w:p>
    <w:p w14:paraId="6B34A6C3" w14:textId="51BBCA2C" w:rsidR="00962A10" w:rsidRPr="005313DA" w:rsidRDefault="00962A10" w:rsidP="005D5A5E">
      <w:pPr>
        <w:pStyle w:val="Heading1"/>
      </w:pPr>
      <w:r>
        <w:t>L</w:t>
      </w:r>
      <w:r w:rsidR="00FF17A4">
        <w:t>’</w:t>
      </w:r>
      <w:r>
        <w:t>ONUDI a indiqué que le gouvernement s</w:t>
      </w:r>
      <w:r w:rsidR="00FF17A4">
        <w:t>’</w:t>
      </w:r>
      <w:r>
        <w:t>est engagé à lancer des activités sur l’égalité des sexes au cours de la phase I. Le NOU communiquera des données sur le nombre de femmes formées dans le secteur des douanes et le secteur de l’entretien de la réfrigération et facilitera l</w:t>
      </w:r>
      <w:r w:rsidR="00FF17A4">
        <w:t>’</w:t>
      </w:r>
      <w:r>
        <w:t xml:space="preserve">égalité des chances pour les consultantes nationales et internationales. </w:t>
      </w:r>
    </w:p>
    <w:p w14:paraId="4431EBBF" w14:textId="5D8175B3" w:rsidR="005A2CF3" w:rsidRPr="00AC336C" w:rsidRDefault="005A2CF3" w:rsidP="005D5A5E">
      <w:r>
        <w:rPr>
          <w:u w:val="single"/>
        </w:rPr>
        <w:t>Durabilité de l</w:t>
      </w:r>
      <w:r w:rsidR="00FF17A4">
        <w:rPr>
          <w:u w:val="single"/>
        </w:rPr>
        <w:t>’</w:t>
      </w:r>
      <w:r>
        <w:rPr>
          <w:u w:val="single"/>
        </w:rPr>
        <w:t>élimination progressive des HCFC</w:t>
      </w:r>
    </w:p>
    <w:p w14:paraId="5AE70516" w14:textId="77777777" w:rsidR="005A2CF3" w:rsidRPr="00AC336C" w:rsidRDefault="005A2CF3" w:rsidP="005D5A5E"/>
    <w:p w14:paraId="00D174EB" w14:textId="15F8765F" w:rsidR="006F6269" w:rsidRPr="00670389" w:rsidRDefault="00501576" w:rsidP="005D5A5E">
      <w:pPr>
        <w:pStyle w:val="Heading1"/>
        <w:rPr>
          <w:color w:val="212121"/>
        </w:rPr>
      </w:pPr>
      <w:r>
        <w:t>L</w:t>
      </w:r>
      <w:r w:rsidR="00FF17A4">
        <w:t>’</w:t>
      </w:r>
      <w:r>
        <w:t>interdiction des importations de HCFC-141b en vrac et de polyols prémélangés devrait entrer en vigueur en octobre 2020 et soutiendra la durabilité à long terme de l</w:t>
      </w:r>
      <w:r w:rsidR="00FF17A4">
        <w:t>’</w:t>
      </w:r>
      <w:r>
        <w:t xml:space="preserve">élimination progressive dans le secteur des mousses et des agents de nettoyage du secteur de la réfrigération et de la climatisation. </w:t>
      </w:r>
      <w:r>
        <w:rPr>
          <w:color w:val="212121"/>
        </w:rPr>
        <w:t>Des</w:t>
      </w:r>
      <w:r>
        <w:rPr>
          <w:color w:val="000000"/>
        </w:rPr>
        <w:t xml:space="preserve"> accords gouvernementaux et ministériels interdisant la consommation de substances éliminées dans le cadre du protocole de Montréal sont déjà en place. Les fabricants de mousse et les opérations commerciales sont surveillés en étroite coordination avec les douanes, et les réglementations nationales interdisent l</w:t>
      </w:r>
      <w:r w:rsidR="00FF17A4">
        <w:rPr>
          <w:color w:val="000000"/>
        </w:rPr>
        <w:t>’</w:t>
      </w:r>
      <w:r>
        <w:rPr>
          <w:color w:val="000000"/>
        </w:rPr>
        <w:t>importation de bromure de méthyle, sauf pour des utilisations en quarantaine et avant</w:t>
      </w:r>
      <w:r>
        <w:rPr>
          <w:color w:val="212121"/>
        </w:rPr>
        <w:t xml:space="preserve"> expédition. L</w:t>
      </w:r>
      <w:r w:rsidR="00FF17A4">
        <w:rPr>
          <w:color w:val="212121"/>
        </w:rPr>
        <w:t>’</w:t>
      </w:r>
      <w:r>
        <w:rPr>
          <w:color w:val="212121"/>
        </w:rPr>
        <w:t>ONUDI a indiqué qu</w:t>
      </w:r>
      <w:r w:rsidR="00FF17A4">
        <w:rPr>
          <w:color w:val="212121"/>
        </w:rPr>
        <w:t>’</w:t>
      </w:r>
      <w:r>
        <w:rPr>
          <w:color w:val="212121"/>
        </w:rPr>
        <w:t>elle n</w:t>
      </w:r>
      <w:r w:rsidR="00FF17A4">
        <w:rPr>
          <w:color w:val="212121"/>
        </w:rPr>
        <w:t>’</w:t>
      </w:r>
      <w:r>
        <w:rPr>
          <w:color w:val="212121"/>
        </w:rPr>
        <w:t>avait connaissance d</w:t>
      </w:r>
      <w:r w:rsidR="00FF17A4">
        <w:rPr>
          <w:color w:val="212121"/>
        </w:rPr>
        <w:t>’</w:t>
      </w:r>
      <w:r>
        <w:rPr>
          <w:color w:val="212121"/>
        </w:rPr>
        <w:t>aucune utilisation ou d</w:t>
      </w:r>
      <w:r w:rsidR="00FF17A4">
        <w:rPr>
          <w:color w:val="212121"/>
        </w:rPr>
        <w:t>’</w:t>
      </w:r>
      <w:r>
        <w:rPr>
          <w:color w:val="212121"/>
        </w:rPr>
        <w:t xml:space="preserve">aucun stock de substances contrôlées qui ont été progressivement éliminées dans le pays. </w:t>
      </w:r>
    </w:p>
    <w:p w14:paraId="4A80B5A6" w14:textId="5F633FA9" w:rsidR="00020051" w:rsidRPr="00541C9B" w:rsidRDefault="002F6D04" w:rsidP="005D5A5E">
      <w:pPr>
        <w:pStyle w:val="Heading1"/>
        <w:rPr>
          <w:color w:val="212121"/>
        </w:rPr>
      </w:pPr>
      <w:r>
        <w:rPr>
          <w:color w:val="212121"/>
        </w:rPr>
        <w:t>L</w:t>
      </w:r>
      <w:r w:rsidR="00FF17A4">
        <w:rPr>
          <w:color w:val="212121"/>
        </w:rPr>
        <w:t>’</w:t>
      </w:r>
      <w:r>
        <w:rPr>
          <w:color w:val="212121"/>
        </w:rPr>
        <w:t xml:space="preserve">ONUDI a demandé </w:t>
      </w:r>
      <w:r>
        <w:rPr>
          <w:color w:val="000000"/>
        </w:rPr>
        <w:t>à l</w:t>
      </w:r>
      <w:r w:rsidR="00FF17A4">
        <w:rPr>
          <w:color w:val="000000"/>
        </w:rPr>
        <w:t>’</w:t>
      </w:r>
      <w:r>
        <w:rPr>
          <w:color w:val="000000"/>
        </w:rPr>
        <w:t>école des douanes d</w:t>
      </w:r>
      <w:r w:rsidR="00FF17A4">
        <w:rPr>
          <w:color w:val="000000"/>
        </w:rPr>
        <w:t>’</w:t>
      </w:r>
      <w:r>
        <w:rPr>
          <w:color w:val="000000"/>
        </w:rPr>
        <w:t xml:space="preserve">inclure dans ses programmes des sujets liés aux substances réglementées par le protocole et a fourni des identificateurs de réfrigérants. </w:t>
      </w:r>
      <w:r>
        <w:rPr>
          <w:color w:val="212121"/>
        </w:rPr>
        <w:t>Les programmes nationaux de formation des étudiants en réfrigération et en climatisation comprennent des sujets liés au protocole de Montréal. Des kits d</w:t>
      </w:r>
      <w:r w:rsidR="00FF17A4">
        <w:rPr>
          <w:color w:val="212121"/>
        </w:rPr>
        <w:t>’</w:t>
      </w:r>
      <w:r>
        <w:rPr>
          <w:color w:val="212121"/>
        </w:rPr>
        <w:t>outils ont été fournis aux collèges généraux et techniques enseignant les programmes liés à la réfrigération et à la climatisation, et les instructeurs reçoivent une formation continue et des mises à jour sur les bonnes pratiques et la manipulation des substances de remplacement.</w:t>
      </w:r>
    </w:p>
    <w:p w14:paraId="52575BD3" w14:textId="533BE3FA" w:rsidR="00BC45FB" w:rsidRPr="00541C9B" w:rsidRDefault="00BC45FB" w:rsidP="005D5A5E">
      <w:pPr>
        <w:keepNext/>
        <w:rPr>
          <w:u w:val="single"/>
        </w:rPr>
      </w:pPr>
      <w:r>
        <w:rPr>
          <w:u w:val="single"/>
        </w:rPr>
        <w:t>Date d</w:t>
      </w:r>
      <w:r w:rsidR="00FF17A4">
        <w:rPr>
          <w:u w:val="single"/>
        </w:rPr>
        <w:t>’</w:t>
      </w:r>
      <w:r>
        <w:rPr>
          <w:u w:val="single"/>
        </w:rPr>
        <w:t>achèvement de la phase I du PGEH</w:t>
      </w:r>
    </w:p>
    <w:p w14:paraId="1F21397D" w14:textId="77777777" w:rsidR="00BC45FB" w:rsidRPr="00054661" w:rsidRDefault="00BC45FB" w:rsidP="005D5A5E">
      <w:pPr>
        <w:rPr>
          <w:u w:val="single"/>
          <w:lang w:val="fr-CA"/>
        </w:rPr>
      </w:pPr>
    </w:p>
    <w:p w14:paraId="1D2872CA" w14:textId="16C6A683" w:rsidR="00BC45FB" w:rsidRPr="00541C9B" w:rsidRDefault="00BC45FB" w:rsidP="005D5A5E">
      <w:pPr>
        <w:pStyle w:val="Heading1"/>
      </w:pPr>
      <w:r>
        <w:t>L</w:t>
      </w:r>
      <w:r w:rsidR="00FF17A4">
        <w:t>’</w:t>
      </w:r>
      <w:r>
        <w:t>ONUDI a indiqué que toutes les activités mises en œuvre par le PNUE et l</w:t>
      </w:r>
      <w:r w:rsidR="00FF17A4">
        <w:t>’</w:t>
      </w:r>
      <w:r>
        <w:t>ONUDI dans le cadre de la première étape du PGEH pour le Guatemala devraient être achevées d</w:t>
      </w:r>
      <w:r w:rsidR="00FF17A4">
        <w:t>’</w:t>
      </w:r>
      <w:r>
        <w:t>ici décembre 2021, comme le prévoit l</w:t>
      </w:r>
      <w:r w:rsidR="00FF17A4">
        <w:t>’</w:t>
      </w:r>
      <w:r>
        <w:t>accord.</w:t>
      </w:r>
    </w:p>
    <w:p w14:paraId="4F26BEDB" w14:textId="58A7374B" w:rsidR="00D54581" w:rsidRPr="00D87296" w:rsidRDefault="00D54581" w:rsidP="005D5A5E">
      <w:pPr>
        <w:rPr>
          <w:u w:val="single"/>
        </w:rPr>
      </w:pPr>
      <w:r>
        <w:rPr>
          <w:u w:val="single"/>
        </w:rPr>
        <w:t>Conclusion</w:t>
      </w:r>
    </w:p>
    <w:p w14:paraId="1C74AC15" w14:textId="77777777" w:rsidR="00D54581" w:rsidRPr="00D87296" w:rsidRDefault="00D54581" w:rsidP="005D5A5E">
      <w:pPr>
        <w:rPr>
          <w:lang w:val="en-CA"/>
        </w:rPr>
      </w:pPr>
    </w:p>
    <w:p w14:paraId="5ACE64D7" w14:textId="5EF40ACF" w:rsidR="00460C11" w:rsidRPr="00D87296" w:rsidRDefault="00B12566" w:rsidP="005D5A5E">
      <w:pPr>
        <w:pStyle w:val="Heading1"/>
      </w:pPr>
      <w:r>
        <w:t>Le gouvernement du Guatemala a continué à mettre en œuvre efficacement son système d’octroi de licences et de quotas d</w:t>
      </w:r>
      <w:r w:rsidR="00FF17A4">
        <w:t>’</w:t>
      </w:r>
      <w:r>
        <w:t>importation et d</w:t>
      </w:r>
      <w:r w:rsidR="00FF17A4">
        <w:t>’</w:t>
      </w:r>
      <w:r>
        <w:t>exportation de HCFC et a maintenu le respect du protocole de Montréal et de son accord avec le Comité exécutif. En 2019, la consommation de HCFC étant inférieure de 62 pour cent à la valeur de référence. Le Guatemala a continué d’améliorer son système juridique relatif aux SAO en maintenant l</w:t>
      </w:r>
      <w:r w:rsidR="00FF17A4">
        <w:t>’</w:t>
      </w:r>
      <w:r>
        <w:t>interdiction de la fabrication et de l</w:t>
      </w:r>
      <w:r w:rsidR="00FF17A4">
        <w:t>’</w:t>
      </w:r>
      <w:r>
        <w:t>importation d</w:t>
      </w:r>
      <w:r w:rsidR="00FF17A4">
        <w:t>’</w:t>
      </w:r>
      <w:r>
        <w:t>équipements et de produits contenant des HCFC et, malgré un certain retard, l</w:t>
      </w:r>
      <w:r w:rsidR="00FF17A4">
        <w:t>’</w:t>
      </w:r>
      <w:r>
        <w:t>interdiction d</w:t>
      </w:r>
      <w:r w:rsidR="00FF17A4">
        <w:t>’</w:t>
      </w:r>
      <w:r>
        <w:t>importation de HCFC</w:t>
      </w:r>
      <w:r>
        <w:noBreakHyphen/>
        <w:t xml:space="preserve">141b en vrac et contenus dans des polyols </w:t>
      </w:r>
      <w:r w:rsidR="00FF17A4">
        <w:t>prémélangés</w:t>
      </w:r>
      <w:r>
        <w:t xml:space="preserve"> devrait être en place d</w:t>
      </w:r>
      <w:r w:rsidR="00FF17A4">
        <w:t>’</w:t>
      </w:r>
      <w:r>
        <w:t xml:space="preserve">ici octobre 2020. Les activités dans </w:t>
      </w:r>
      <w:r>
        <w:lastRenderedPageBreak/>
        <w:t>le secteur de l</w:t>
      </w:r>
      <w:r w:rsidR="00FF17A4">
        <w:t>’</w:t>
      </w:r>
      <w:r>
        <w:t>entretien de la réfrigération se sont poursuivies avec la distribution d</w:t>
      </w:r>
      <w:r w:rsidR="00FF17A4">
        <w:t>’</w:t>
      </w:r>
      <w:r>
        <w:t>équipements aux centres de formation et la formation complémentaire des techniciens. Un programme destiné aux utilisateurs</w:t>
      </w:r>
      <w:r w:rsidR="00FF17A4">
        <w:t xml:space="preserve"> </w:t>
      </w:r>
      <w:r>
        <w:t>finaux est en cours de mise en œuvre et vise à réduire les fuites de réfrigérants. Le niveau gl</w:t>
      </w:r>
      <w:r w:rsidR="00624188">
        <w:t>obal de décaissement est de 87 pour cent</w:t>
      </w:r>
      <w:r>
        <w:t xml:space="preserve"> des fonds approuvés jusqu</w:t>
      </w:r>
      <w:r w:rsidR="00FF17A4">
        <w:t>’</w:t>
      </w:r>
      <w:r>
        <w:t xml:space="preserve">à présent. </w:t>
      </w:r>
    </w:p>
    <w:p w14:paraId="23F42433" w14:textId="77777777" w:rsidR="00D54581" w:rsidRDefault="00D54581" w:rsidP="00341F4B">
      <w:pPr>
        <w:keepNext/>
        <w:keepLines/>
        <w:rPr>
          <w:highlight w:val="magenta"/>
        </w:rPr>
      </w:pPr>
      <w:r>
        <w:rPr>
          <w:b/>
        </w:rPr>
        <w:t xml:space="preserve">RECOMMANDATION </w:t>
      </w:r>
    </w:p>
    <w:p w14:paraId="681D71C5" w14:textId="77777777" w:rsidR="00D54581" w:rsidRPr="00FE3307" w:rsidRDefault="00D54581" w:rsidP="00341F4B">
      <w:pPr>
        <w:keepNext/>
        <w:keepLines/>
        <w:rPr>
          <w:lang w:val="en-CA"/>
        </w:rPr>
      </w:pPr>
    </w:p>
    <w:p w14:paraId="499702FF" w14:textId="031EC0A2" w:rsidR="00093069" w:rsidRPr="007B0D18" w:rsidRDefault="00D54581" w:rsidP="00341F4B">
      <w:pPr>
        <w:pStyle w:val="Heading1"/>
        <w:keepNext/>
        <w:keepLines/>
      </w:pPr>
      <w:r>
        <w:t>Le Secrétariat du Fonds recommande au Comité exécutif de prendre note du rapport périodique sur la mise en œuvre de la quatrième tranche de la phase I du plan de gestion de l</w:t>
      </w:r>
      <w:r w:rsidR="00FF17A4">
        <w:t>’</w:t>
      </w:r>
      <w:r>
        <w:t>élimination des HCFC (PGEH) pour le Guatemala, et recommande en outre l</w:t>
      </w:r>
      <w:r w:rsidR="00FF17A4">
        <w:t>’</w:t>
      </w:r>
      <w:r>
        <w:t xml:space="preserve">approbation générale de la cinquième et dernière tranche de la phase I du PGEH pour le Guatemala, et du plan de mise en œuvre correspondant pour la tranche de 2020-2021, au niveau de financement indiqué dans le tableau ci-dessous, étant entendu que : </w:t>
      </w:r>
    </w:p>
    <w:p w14:paraId="452E42E7" w14:textId="5C10141C" w:rsidR="00093069" w:rsidRPr="009A730D" w:rsidRDefault="00093069" w:rsidP="005D5A5E">
      <w:pPr>
        <w:pStyle w:val="Heading2"/>
        <w:tabs>
          <w:tab w:val="num" w:pos="1560"/>
        </w:tabs>
        <w:ind w:left="1560"/>
      </w:pPr>
      <w:r>
        <w:t>Le trésorier sera prié de transférer les fonds à l</w:t>
      </w:r>
      <w:r w:rsidR="00FF17A4">
        <w:t>’</w:t>
      </w:r>
      <w:r>
        <w:t>ONUDI après approbation;</w:t>
      </w:r>
    </w:p>
    <w:p w14:paraId="2019684A" w14:textId="68D65B5D" w:rsidR="00C81DF7" w:rsidRDefault="00093069" w:rsidP="005D5A5E">
      <w:pPr>
        <w:pStyle w:val="Heading2"/>
        <w:tabs>
          <w:tab w:val="num" w:pos="1560"/>
        </w:tabs>
        <w:ind w:left="1560"/>
      </w:pPr>
      <w:r>
        <w:t>L</w:t>
      </w:r>
      <w:r w:rsidR="00FF17A4">
        <w:t>’</w:t>
      </w:r>
      <w:r>
        <w:t>ONUDI s</w:t>
      </w:r>
      <w:r w:rsidR="00FF17A4">
        <w:t>’</w:t>
      </w:r>
      <w:r>
        <w:t>était engagée à soumettre le rapport de vérification au Secrétariat au plus tard 12 semaines avant la 86</w:t>
      </w:r>
      <w:r>
        <w:rPr>
          <w:vertAlign w:val="superscript"/>
        </w:rPr>
        <w:t>e</w:t>
      </w:r>
      <w:r>
        <w:t xml:space="preserve"> réunion;</w:t>
      </w:r>
    </w:p>
    <w:p w14:paraId="1AC96DB7" w14:textId="2A4D921C" w:rsidR="00093069" w:rsidRPr="009A730D" w:rsidRDefault="00C81DF7" w:rsidP="005D5A5E">
      <w:pPr>
        <w:pStyle w:val="Heading2"/>
        <w:tabs>
          <w:tab w:val="num" w:pos="1560"/>
        </w:tabs>
        <w:ind w:left="1560"/>
      </w:pPr>
      <w:r>
        <w:t>Les recommandations incluses dans le rapport de vérification seront traitées lors de la mise en œuvre de la cinquième tranche de la phase I du PGEH et les actions mises en œuvre à cette fin seront incluses dans le rapport périodique de la phase I du PEGH qui sera soumis dans le cadre de la demande du pays pour la phase</w:t>
      </w:r>
      <w:r w:rsidR="00FF17A4">
        <w:t> </w:t>
      </w:r>
      <w:r>
        <w:t>II du PGEH pour le Guatemala; et</w:t>
      </w:r>
    </w:p>
    <w:p w14:paraId="3C82B822" w14:textId="40D356A6" w:rsidR="00093069" w:rsidRPr="009A730D" w:rsidRDefault="00093069" w:rsidP="005D5A5E">
      <w:pPr>
        <w:pStyle w:val="Heading2"/>
        <w:tabs>
          <w:tab w:val="num" w:pos="1560"/>
        </w:tabs>
        <w:ind w:left="1560"/>
      </w:pPr>
      <w:r>
        <w:t>Dans le cas où le rapport de vérification confirmerait que le Guatemala n</w:t>
      </w:r>
      <w:r w:rsidR="00FF17A4">
        <w:t>’</w:t>
      </w:r>
      <w:r>
        <w:t>a pas respecté le Protocole de Montréal et son accord avec le Comité exécutif, le Secrétariat en informera le Comité exécutif afin que des actions pertinentes, notamment l</w:t>
      </w:r>
      <w:r w:rsidR="00FF17A4">
        <w:t>’</w:t>
      </w:r>
      <w:r>
        <w:t>application de la clause pénale, puissent être envisagées lors de la 86</w:t>
      </w:r>
      <w:r w:rsidRPr="0026740E">
        <w:rPr>
          <w:vertAlign w:val="superscript"/>
        </w:rPr>
        <w:t>e</w:t>
      </w:r>
      <w:r>
        <w:t xml:space="preserve"> réunion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4590"/>
        <w:gridCol w:w="1446"/>
        <w:gridCol w:w="1446"/>
        <w:gridCol w:w="1446"/>
      </w:tblGrid>
      <w:tr w:rsidR="00D54581" w:rsidRPr="00FE3307" w14:paraId="20434FB9" w14:textId="77777777" w:rsidTr="006E71AA">
        <w:tc>
          <w:tcPr>
            <w:tcW w:w="517" w:type="dxa"/>
          </w:tcPr>
          <w:p w14:paraId="4C59CDBA" w14:textId="77777777" w:rsidR="00D54581" w:rsidRPr="00054661" w:rsidRDefault="00D54581" w:rsidP="005D5A5E">
            <w:pPr>
              <w:jc w:val="center"/>
              <w:rPr>
                <w:b/>
                <w:bCs/>
                <w:sz w:val="20"/>
                <w:szCs w:val="20"/>
                <w:lang w:val="fr-CA"/>
              </w:rPr>
            </w:pPr>
          </w:p>
        </w:tc>
        <w:tc>
          <w:tcPr>
            <w:tcW w:w="4590" w:type="dxa"/>
          </w:tcPr>
          <w:p w14:paraId="2C36303D" w14:textId="77777777" w:rsidR="00D54581" w:rsidRPr="00FE3307" w:rsidRDefault="00D54581" w:rsidP="005D5A5E">
            <w:pPr>
              <w:jc w:val="center"/>
              <w:rPr>
                <w:b/>
                <w:bCs/>
                <w:sz w:val="20"/>
                <w:szCs w:val="20"/>
              </w:rPr>
            </w:pPr>
            <w:r>
              <w:rPr>
                <w:b/>
                <w:bCs/>
                <w:sz w:val="20"/>
                <w:szCs w:val="20"/>
              </w:rPr>
              <w:t>Titre du projet ($US)</w:t>
            </w:r>
          </w:p>
        </w:tc>
        <w:tc>
          <w:tcPr>
            <w:tcW w:w="1446" w:type="dxa"/>
            <w:tcMar>
              <w:left w:w="29" w:type="dxa"/>
              <w:right w:w="29" w:type="dxa"/>
            </w:tcMar>
          </w:tcPr>
          <w:p w14:paraId="35E55B91" w14:textId="7961D4A9" w:rsidR="00D54581" w:rsidRPr="00FE3307" w:rsidRDefault="00D54581" w:rsidP="005D5A5E">
            <w:pPr>
              <w:jc w:val="center"/>
              <w:rPr>
                <w:b/>
                <w:bCs/>
                <w:sz w:val="20"/>
                <w:szCs w:val="20"/>
              </w:rPr>
            </w:pPr>
            <w:r>
              <w:rPr>
                <w:b/>
                <w:bCs/>
                <w:sz w:val="20"/>
                <w:szCs w:val="20"/>
              </w:rPr>
              <w:t>Fonds du projet ($US)</w:t>
            </w:r>
          </w:p>
        </w:tc>
        <w:tc>
          <w:tcPr>
            <w:tcW w:w="1446" w:type="dxa"/>
            <w:tcMar>
              <w:left w:w="29" w:type="dxa"/>
              <w:right w:w="29" w:type="dxa"/>
            </w:tcMar>
          </w:tcPr>
          <w:p w14:paraId="3AF6A77D" w14:textId="586B204C" w:rsidR="00D54581" w:rsidRPr="00FE3307" w:rsidRDefault="00D54581" w:rsidP="005D5A5E">
            <w:pPr>
              <w:jc w:val="center"/>
              <w:rPr>
                <w:b/>
                <w:bCs/>
                <w:sz w:val="20"/>
                <w:szCs w:val="20"/>
              </w:rPr>
            </w:pPr>
            <w:r>
              <w:rPr>
                <w:b/>
                <w:bCs/>
                <w:sz w:val="20"/>
                <w:szCs w:val="20"/>
              </w:rPr>
              <w:t>Dépenses d’appui ($US)</w:t>
            </w:r>
          </w:p>
        </w:tc>
        <w:tc>
          <w:tcPr>
            <w:tcW w:w="1446" w:type="dxa"/>
            <w:tcMar>
              <w:left w:w="29" w:type="dxa"/>
              <w:right w:w="29" w:type="dxa"/>
            </w:tcMar>
          </w:tcPr>
          <w:p w14:paraId="238429C6" w14:textId="77777777" w:rsidR="00D54581" w:rsidRPr="00FE3307" w:rsidRDefault="00D54581" w:rsidP="005D5A5E">
            <w:pPr>
              <w:jc w:val="center"/>
              <w:rPr>
                <w:b/>
                <w:bCs/>
                <w:sz w:val="20"/>
                <w:szCs w:val="20"/>
              </w:rPr>
            </w:pPr>
            <w:r>
              <w:rPr>
                <w:b/>
                <w:bCs/>
                <w:sz w:val="20"/>
                <w:szCs w:val="20"/>
              </w:rPr>
              <w:t>Agence d’exécution</w:t>
            </w:r>
          </w:p>
        </w:tc>
      </w:tr>
      <w:tr w:rsidR="00D54581" w:rsidRPr="00FE3307" w14:paraId="6B84F7C3" w14:textId="77777777" w:rsidTr="006E71AA">
        <w:tc>
          <w:tcPr>
            <w:tcW w:w="517" w:type="dxa"/>
          </w:tcPr>
          <w:p w14:paraId="515627ED" w14:textId="77777777" w:rsidR="00D54581" w:rsidRPr="00FE3307" w:rsidRDefault="00D54581" w:rsidP="005D5A5E">
            <w:pPr>
              <w:rPr>
                <w:sz w:val="20"/>
                <w:szCs w:val="20"/>
              </w:rPr>
            </w:pPr>
            <w:r>
              <w:rPr>
                <w:sz w:val="20"/>
                <w:szCs w:val="20"/>
              </w:rPr>
              <w:t>(a)</w:t>
            </w:r>
          </w:p>
        </w:tc>
        <w:tc>
          <w:tcPr>
            <w:tcW w:w="4590" w:type="dxa"/>
          </w:tcPr>
          <w:p w14:paraId="71468004" w14:textId="1D99F1B4" w:rsidR="00D54581" w:rsidRPr="00FE3307" w:rsidRDefault="00D54581" w:rsidP="007C4F5D">
            <w:pPr>
              <w:rPr>
                <w:sz w:val="20"/>
                <w:szCs w:val="20"/>
              </w:rPr>
            </w:pPr>
            <w:r>
              <w:rPr>
                <w:sz w:val="20"/>
                <w:szCs w:val="20"/>
              </w:rPr>
              <w:t>Plan de gestion de l’élimination des HCFC (phase I, cinquième tranche)</w:t>
            </w:r>
          </w:p>
        </w:tc>
        <w:tc>
          <w:tcPr>
            <w:tcW w:w="1446" w:type="dxa"/>
          </w:tcPr>
          <w:p w14:paraId="38AA2040" w14:textId="77777777" w:rsidR="00D54581" w:rsidRPr="00F7289A" w:rsidRDefault="00F7289A" w:rsidP="005D5A5E">
            <w:pPr>
              <w:jc w:val="right"/>
              <w:rPr>
                <w:sz w:val="20"/>
                <w:szCs w:val="20"/>
                <w:highlight w:val="cyan"/>
              </w:rPr>
            </w:pPr>
            <w:r>
              <w:rPr>
                <w:sz w:val="20"/>
                <w:szCs w:val="20"/>
              </w:rPr>
              <w:t>33 000</w:t>
            </w:r>
          </w:p>
        </w:tc>
        <w:tc>
          <w:tcPr>
            <w:tcW w:w="1446" w:type="dxa"/>
          </w:tcPr>
          <w:p w14:paraId="71A40865" w14:textId="77777777" w:rsidR="00D54581" w:rsidRPr="00F7289A" w:rsidRDefault="00F7289A" w:rsidP="005D5A5E">
            <w:pPr>
              <w:jc w:val="right"/>
              <w:rPr>
                <w:sz w:val="20"/>
                <w:szCs w:val="20"/>
              </w:rPr>
            </w:pPr>
            <w:r>
              <w:rPr>
                <w:sz w:val="20"/>
                <w:szCs w:val="20"/>
              </w:rPr>
              <w:t>2 475</w:t>
            </w:r>
          </w:p>
        </w:tc>
        <w:tc>
          <w:tcPr>
            <w:tcW w:w="1446" w:type="dxa"/>
          </w:tcPr>
          <w:p w14:paraId="3CE30008" w14:textId="77777777" w:rsidR="00D54581" w:rsidRPr="00F7289A" w:rsidRDefault="00F7289A" w:rsidP="005D5A5E">
            <w:pPr>
              <w:jc w:val="center"/>
              <w:rPr>
                <w:sz w:val="20"/>
                <w:szCs w:val="20"/>
              </w:rPr>
            </w:pPr>
            <w:r>
              <w:rPr>
                <w:sz w:val="20"/>
                <w:szCs w:val="20"/>
              </w:rPr>
              <w:t>ONUDI</w:t>
            </w:r>
          </w:p>
        </w:tc>
      </w:tr>
    </w:tbl>
    <w:p w14:paraId="6721F145" w14:textId="4E097672" w:rsidR="00D54581" w:rsidRDefault="00D54581" w:rsidP="005D5A5E">
      <w:pPr>
        <w:rPr>
          <w:lang w:val="en-CA"/>
        </w:rPr>
      </w:pPr>
    </w:p>
    <w:p w14:paraId="5C11D99D" w14:textId="77777777" w:rsidR="005D5A5E" w:rsidRPr="00FE3307" w:rsidRDefault="005D5A5E" w:rsidP="005D5A5E">
      <w:pPr>
        <w:rPr>
          <w:lang w:val="en-CA"/>
        </w:rPr>
      </w:pPr>
    </w:p>
    <w:p w14:paraId="1C31C09B" w14:textId="77777777" w:rsidR="00D54581" w:rsidRPr="00FE3307" w:rsidRDefault="00D54581" w:rsidP="005D5A5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54581" w14:paraId="1D7D227D" w14:textId="77777777" w:rsidTr="0045085F">
        <w:tc>
          <w:tcPr>
            <w:tcW w:w="1871" w:type="dxa"/>
          </w:tcPr>
          <w:p w14:paraId="02476F4B" w14:textId="77777777" w:rsidR="00D54581" w:rsidRDefault="00D54581" w:rsidP="005D5A5E"/>
        </w:tc>
        <w:tc>
          <w:tcPr>
            <w:tcW w:w="1872" w:type="dxa"/>
          </w:tcPr>
          <w:p w14:paraId="09853A49" w14:textId="77777777" w:rsidR="00D54581" w:rsidRDefault="00D54581" w:rsidP="005D5A5E"/>
        </w:tc>
        <w:tc>
          <w:tcPr>
            <w:tcW w:w="1872" w:type="dxa"/>
            <w:tcBorders>
              <w:bottom w:val="single" w:sz="4" w:space="0" w:color="auto"/>
            </w:tcBorders>
          </w:tcPr>
          <w:p w14:paraId="5719B22D" w14:textId="77777777" w:rsidR="00D54581" w:rsidRDefault="00D54581" w:rsidP="005D5A5E"/>
        </w:tc>
        <w:tc>
          <w:tcPr>
            <w:tcW w:w="1872" w:type="dxa"/>
          </w:tcPr>
          <w:p w14:paraId="0FD546E7" w14:textId="77777777" w:rsidR="00D54581" w:rsidRDefault="00D54581" w:rsidP="005D5A5E"/>
        </w:tc>
        <w:tc>
          <w:tcPr>
            <w:tcW w:w="1873" w:type="dxa"/>
          </w:tcPr>
          <w:p w14:paraId="040DB8F4" w14:textId="77777777" w:rsidR="00D54581" w:rsidRDefault="00D54581" w:rsidP="005D5A5E"/>
        </w:tc>
      </w:tr>
    </w:tbl>
    <w:p w14:paraId="64A0D193" w14:textId="77777777" w:rsidR="00D54581" w:rsidRPr="00B04161" w:rsidRDefault="00D54581" w:rsidP="005D5A5E">
      <w:pPr>
        <w:rPr>
          <w:lang w:val="en-CA"/>
        </w:rPr>
      </w:pPr>
    </w:p>
    <w:sectPr w:rsidR="00D54581" w:rsidRPr="00B0416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4A33" w14:textId="77777777" w:rsidR="00E21F72" w:rsidRDefault="00E21F72" w:rsidP="004A504B">
      <w:r>
        <w:separator/>
      </w:r>
    </w:p>
  </w:endnote>
  <w:endnote w:type="continuationSeparator" w:id="0">
    <w:p w14:paraId="1F7353C7" w14:textId="77777777" w:rsidR="00E21F72" w:rsidRDefault="00E21F7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C1A2" w14:textId="2D498FAB" w:rsidR="00AF3021" w:rsidRPr="0033525D" w:rsidRDefault="00AF3021">
    <w:pPr>
      <w:jc w:val="center"/>
    </w:pPr>
    <w:r>
      <w:fldChar w:fldCharType="begin"/>
    </w:r>
    <w:r>
      <w:instrText xml:space="preserve"> PAGE </w:instrText>
    </w:r>
    <w:r>
      <w:fldChar w:fldCharType="separate"/>
    </w:r>
    <w:r w:rsidR="004963F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BC00" w14:textId="1F33C9F2" w:rsidR="00AF3021" w:rsidRPr="0033525D" w:rsidRDefault="00AF3021">
    <w:pPr>
      <w:jc w:val="center"/>
    </w:pPr>
    <w:r>
      <w:fldChar w:fldCharType="begin"/>
    </w:r>
    <w:r>
      <w:instrText xml:space="preserve"> PAGE </w:instrText>
    </w:r>
    <w:r>
      <w:fldChar w:fldCharType="separate"/>
    </w:r>
    <w:r w:rsidR="004963F4">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3DAD" w14:textId="77777777" w:rsidR="00AF3021" w:rsidRDefault="00AF3021" w:rsidP="004E7F9C">
    <w:pPr>
      <w:pBdr>
        <w:top w:val="single" w:sz="4" w:space="1" w:color="auto"/>
        <w:left w:val="single" w:sz="4" w:space="4" w:color="auto"/>
        <w:bottom w:val="single" w:sz="4" w:space="1" w:color="auto"/>
        <w:right w:val="single" w:sz="4" w:space="4" w:color="auto"/>
      </w:pBdr>
      <w:jc w:val="center"/>
      <w:rPr>
        <w:sz w:val="18"/>
        <w:szCs w:val="18"/>
      </w:rPr>
    </w:pPr>
    <w:r>
      <w:rPr>
        <w:sz w:val="18"/>
        <w:szCs w:val="18"/>
      </w:rPr>
      <w:t>Les documents de présession du Comité exécutif du Fonds multilatéral aux fins d’application du Protocole de Montréal sont présentés sous réserve des décisions pouvant être prises par le Comité exécutif après leur publication.</w:t>
    </w:r>
  </w:p>
  <w:p w14:paraId="40820F28" w14:textId="77777777" w:rsidR="00AF3021" w:rsidRDefault="00AF302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37495" w14:textId="77777777" w:rsidR="00E21F72" w:rsidRDefault="00E21F72" w:rsidP="004A504B">
      <w:r>
        <w:separator/>
      </w:r>
    </w:p>
  </w:footnote>
  <w:footnote w:type="continuationSeparator" w:id="0">
    <w:p w14:paraId="71E454F0" w14:textId="77777777" w:rsidR="00E21F72" w:rsidRDefault="00E21F72" w:rsidP="004A504B">
      <w:r>
        <w:continuationSeparator/>
      </w:r>
    </w:p>
  </w:footnote>
  <w:footnote w:id="1">
    <w:p w14:paraId="41826917" w14:textId="5F9A03EE" w:rsidR="00AF3021" w:rsidRPr="00FE3307" w:rsidRDefault="00AF3021" w:rsidP="0045085F">
      <w:pPr>
        <w:pStyle w:val="FootnoteText"/>
      </w:pPr>
      <w:r>
        <w:rPr>
          <w:rStyle w:val="FootnoteReference"/>
        </w:rPr>
        <w:footnoteRef/>
      </w:r>
      <w:r>
        <w:t xml:space="preserve"> Selon </w:t>
      </w:r>
      <w:r w:rsidR="00620D3D">
        <w:t>la lettre adressée</w:t>
      </w:r>
      <w:r>
        <w:t xml:space="preserve"> le 13 mars 2020 par le ministère de l’environnement et des ressources naturelles du Guatemala à l’ONUDI.</w:t>
      </w:r>
    </w:p>
  </w:footnote>
  <w:footnote w:id="2">
    <w:p w14:paraId="48A02689" w14:textId="11E4FD5A" w:rsidR="00AF3021" w:rsidRPr="00652895" w:rsidRDefault="00AF3021" w:rsidP="009156A1">
      <w:pPr>
        <w:pStyle w:val="FootnoteText"/>
      </w:pPr>
      <w:r>
        <w:rPr>
          <w:rStyle w:val="FootnoteReference"/>
        </w:rPr>
        <w:footnoteRef/>
      </w:r>
      <w:r>
        <w:t xml:space="preserve"> L’opération Demeter-V, qui s’est déroulée du 1er au 30 septembre 2019, a permis aux administrations douanières de surveiller et de contrôler les mouvements transfrontaliers de marchandises sensibles sur le plan environnemental, et d’assurer le respect des dispositions relatives au commerce stipulées par les accords multilatéraux sur l’environnement (AME), notamment le protocole de Montréal. Demeter-V est un projet du Plan général d’opérations de la Commission interinstitutionnelle contre la contrebande et la fraude douanière (COINCON).</w:t>
      </w:r>
    </w:p>
  </w:footnote>
  <w:footnote w:id="3">
    <w:p w14:paraId="48894A25" w14:textId="5686590B" w:rsidR="00AF3021" w:rsidRPr="00713C1A" w:rsidRDefault="00AF3021">
      <w:pPr>
        <w:pStyle w:val="FootnoteText"/>
      </w:pPr>
      <w:r>
        <w:rPr>
          <w:rStyle w:val="FootnoteReference"/>
        </w:rPr>
        <w:footnoteRef/>
      </w:r>
      <w:r>
        <w:t xml:space="preserve"> Estimation de </w:t>
      </w:r>
      <w:r>
        <w:rPr>
          <w:color w:val="000000"/>
        </w:rPr>
        <w:t xml:space="preserve">l’ASFRIGUA. </w:t>
      </w:r>
    </w:p>
  </w:footnote>
  <w:footnote w:id="4">
    <w:p w14:paraId="196A2E9A" w14:textId="5EF80272" w:rsidR="00AF3021" w:rsidRDefault="00AF3021" w:rsidP="005F1CF4">
      <w:pPr>
        <w:pStyle w:val="FootnoteText"/>
      </w:pPr>
      <w:r>
        <w:rPr>
          <w:rStyle w:val="FootnoteReference"/>
        </w:rPr>
        <w:footnoteRef/>
      </w:r>
      <w:r>
        <w:t xml:space="preserve"> La décision 72/19(b) stipule que si le rapport de vérification n’était pas prêt à temps, le transfert des fonds approuvés aux agences n’aurait lieu qu’après réception par le Secrétariat du rapport de vérification confirmant que le pays est en conformité. Compte tenu des circonstances actuelles, il est proposé qu’à titre exceptionnel, les fonds soient transférés à l’agence au moment de l’approbation.</w:t>
      </w:r>
    </w:p>
  </w:footnote>
  <w:footnote w:id="5">
    <w:p w14:paraId="72B62ED8" w14:textId="2F642658" w:rsidR="00AF3021" w:rsidRPr="00E43853" w:rsidRDefault="00AF3021">
      <w:pPr>
        <w:pStyle w:val="FootnoteText"/>
        <w:rPr>
          <w:highlight w:val="yellow"/>
        </w:rPr>
      </w:pPr>
      <w:r>
        <w:rPr>
          <w:rStyle w:val="FootnoteReference"/>
        </w:rPr>
        <w:footnoteRef/>
      </w:r>
      <w:r>
        <w:t xml:space="preserve"> Le quota comprend 2,93 tonnes PAO (53,24 tm) de HCFC-22 et 1,66 tonnes PAO (15,07 tm) de HCFC-141b. En outre, le gouvernement se réserve la prérogative d’allouer des quotas supplémentaires jusqu’au seuil de garantie de 15 pour cent inférieur à l’objectif du protocole de Montréal, si nécessaire, pour répondre à des situations exceptionnelles telles qu’une importation de HCFC-123 ou de HCFC-124, une demande de quotas d’importation par une entreprise sans quotas, ou des besoins spécifiques pour une nouvelle utilisation.</w:t>
      </w:r>
    </w:p>
  </w:footnote>
  <w:footnote w:id="6">
    <w:p w14:paraId="6671A90F" w14:textId="5F2B6207" w:rsidR="00AF3021" w:rsidRDefault="00AF3021" w:rsidP="00962A10">
      <w:pPr>
        <w:pStyle w:val="FootnoteText"/>
      </w:pPr>
      <w:r>
        <w:rPr>
          <w:rStyle w:val="FootnoteReference"/>
        </w:rPr>
        <w:footnoteRef/>
      </w:r>
      <w:r>
        <w:t xml:space="preserve"> La décision 84/92(d) demandait aux agences bilatérales et d’exécution d’appliquer la politique opérationnelle d’intégration en faveur de l’égalité des sexes tout au long du cycle de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D3D0" w14:textId="462B6708" w:rsidR="00AF3021" w:rsidRPr="0033525D" w:rsidRDefault="00AB2EEE">
    <w:fldSimple w:instr=" DOCPROPERTY &quot;Document number&quot;  \* MERGEFORMAT ">
      <w:r w:rsidR="0015064F">
        <w:t>UNEP/OzL.Pro/ExCom/85/28</w:t>
      </w:r>
    </w:fldSimple>
  </w:p>
  <w:p w14:paraId="11DCC01C" w14:textId="77777777" w:rsidR="00AF3021" w:rsidRPr="0033525D" w:rsidRDefault="00AF3021"/>
  <w:p w14:paraId="5CC2BB13" w14:textId="77777777" w:rsidR="00AF3021" w:rsidRPr="0033525D" w:rsidRDefault="00AF30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76F0" w14:textId="2919CE7B" w:rsidR="00AF3021" w:rsidRPr="0033525D" w:rsidRDefault="00AB2EEE">
    <w:pPr>
      <w:jc w:val="right"/>
    </w:pPr>
    <w:fldSimple w:instr=" DOCPROPERTY &quot;Document number&quot;  \* MERGEFORMAT ">
      <w:r w:rsidR="00AF3021">
        <w:t>UNEP/OzL.Pro/ExCom/85/28</w:t>
      </w:r>
    </w:fldSimple>
  </w:p>
  <w:p w14:paraId="3677C1D6" w14:textId="77777777" w:rsidR="00AF3021" w:rsidRPr="0033525D" w:rsidRDefault="00AF3021"/>
  <w:p w14:paraId="2B53F0C1" w14:textId="77777777" w:rsidR="00AF3021" w:rsidRPr="0033525D" w:rsidRDefault="00AF3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BE230B2"/>
    <w:lvl w:ilvl="0">
      <w:start w:val="1"/>
      <w:numFmt w:val="decimal"/>
      <w:pStyle w:val="Heading1"/>
      <w:lvlText w:val="%1."/>
      <w:lvlJc w:val="left"/>
      <w:pPr>
        <w:tabs>
          <w:tab w:val="num" w:pos="0"/>
        </w:tabs>
        <w:ind w:left="0" w:firstLine="0"/>
      </w:pPr>
      <w:rPr>
        <w:rFonts w:hint="eastAsia"/>
      </w:rPr>
    </w:lvl>
    <w:lvl w:ilvl="1">
      <w:start w:val="1"/>
      <w:numFmt w:val="lowerLetter"/>
      <w:pStyle w:val="Heading2"/>
      <w:lvlText w:val="(%2)"/>
      <w:lvlJc w:val="left"/>
      <w:pPr>
        <w:tabs>
          <w:tab w:val="num" w:pos="0"/>
        </w:tabs>
        <w:ind w:left="1440" w:hanging="720"/>
      </w:pPr>
      <w:rPr>
        <w:rFonts w:hint="eastAsia"/>
        <w:i w:val="0"/>
      </w:rPr>
    </w:lvl>
    <w:lvl w:ilvl="2">
      <w:start w:val="1"/>
      <w:numFmt w:val="lowerRoman"/>
      <w:pStyle w:val="Heading3"/>
      <w:lvlText w:val="(%3)"/>
      <w:lvlJc w:val="left"/>
      <w:pPr>
        <w:tabs>
          <w:tab w:val="num" w:pos="0"/>
        </w:tabs>
        <w:ind w:left="2160" w:hanging="720"/>
      </w:pPr>
      <w:rPr>
        <w:rFonts w:hint="eastAsia"/>
      </w:rPr>
    </w:lvl>
    <w:lvl w:ilvl="3">
      <w:start w:val="1"/>
      <w:numFmt w:val="lowerLetter"/>
      <w:pStyle w:val="Heading4"/>
      <w:lvlText w:val="%4)"/>
      <w:lvlJc w:val="left"/>
      <w:pPr>
        <w:tabs>
          <w:tab w:val="num" w:pos="-90"/>
        </w:tabs>
        <w:ind w:left="2776" w:hanging="706"/>
      </w:pPr>
      <w:rPr>
        <w:rFonts w:hint="eastAsia"/>
        <w:b w:val="0"/>
        <w:i w:val="0"/>
      </w:rPr>
    </w:lvl>
    <w:lvl w:ilvl="4">
      <w:start w:val="1"/>
      <w:numFmt w:val="decimal"/>
      <w:lvlText w:val="(%5)"/>
      <w:lvlJc w:val="left"/>
      <w:pPr>
        <w:tabs>
          <w:tab w:val="num" w:pos="0"/>
        </w:tabs>
        <w:ind w:left="3571" w:hanging="705"/>
      </w:pPr>
      <w:rPr>
        <w:rFonts w:hint="eastAsia"/>
      </w:rPr>
    </w:lvl>
    <w:lvl w:ilvl="5">
      <w:start w:val="1"/>
      <w:numFmt w:val="lowerLetter"/>
      <w:pStyle w:val="Heading6"/>
      <w:lvlText w:val="(%6)"/>
      <w:lvlJc w:val="left"/>
      <w:pPr>
        <w:tabs>
          <w:tab w:val="num" w:pos="0"/>
        </w:tabs>
        <w:ind w:left="4291" w:hanging="720"/>
      </w:pPr>
      <w:rPr>
        <w:rFonts w:hint="eastAsia"/>
      </w:rPr>
    </w:lvl>
    <w:lvl w:ilvl="6">
      <w:start w:val="1"/>
      <w:numFmt w:val="lowerRoman"/>
      <w:pStyle w:val="Heading7"/>
      <w:lvlText w:val="(%7)"/>
      <w:lvlJc w:val="left"/>
      <w:pPr>
        <w:tabs>
          <w:tab w:val="num" w:pos="0"/>
        </w:tabs>
        <w:ind w:left="4997" w:hanging="706"/>
      </w:pPr>
      <w:rPr>
        <w:rFonts w:hint="eastAsia"/>
      </w:rPr>
    </w:lvl>
    <w:lvl w:ilvl="7">
      <w:start w:val="1"/>
      <w:numFmt w:val="lowerLetter"/>
      <w:lvlText w:val="(%8)"/>
      <w:lvlJc w:val="left"/>
      <w:pPr>
        <w:tabs>
          <w:tab w:val="num" w:pos="0"/>
        </w:tabs>
        <w:ind w:left="5702" w:hanging="705"/>
      </w:pPr>
      <w:rPr>
        <w:rFonts w:hint="eastAsia"/>
      </w:rPr>
    </w:lvl>
    <w:lvl w:ilvl="8">
      <w:start w:val="1"/>
      <w:numFmt w:val="lowerRoman"/>
      <w:pStyle w:val="Heading9"/>
      <w:lvlText w:val="(%9)"/>
      <w:lvlJc w:val="left"/>
      <w:pPr>
        <w:tabs>
          <w:tab w:val="num" w:pos="0"/>
        </w:tabs>
        <w:ind w:left="6408" w:hanging="706"/>
      </w:pPr>
      <w:rPr>
        <w:rFonts w:hint="eastAsia"/>
      </w:rPr>
    </w:lvl>
  </w:abstractNum>
  <w:abstractNum w:abstractNumId="1" w15:restartNumberingAfterBreak="0">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2B3343"/>
    <w:multiLevelType w:val="hybridMultilevel"/>
    <w:tmpl w:val="88EA09B8"/>
    <w:lvl w:ilvl="0" w:tplc="D8ACBF5A">
      <w:start w:val="1"/>
      <w:numFmt w:val="lowerLetter"/>
      <w:lvlText w:val="%1)"/>
      <w:lvlJc w:val="left"/>
      <w:pPr>
        <w:ind w:left="720" w:hanging="360"/>
      </w:pPr>
      <w:rPr>
        <w:rFonts w:ascii="Times New Roman" w:hAnsi="Times New Roman" w:cs="Times New Roman" w:hint="default"/>
        <w:sz w:val="22"/>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2"/>
  </w:num>
  <w:num w:numId="4">
    <w:abstractNumId w:val="4"/>
  </w:num>
  <w:num w:numId="5">
    <w:abstractNumId w:val="6"/>
  </w:num>
  <w:num w:numId="6">
    <w:abstractNumId w:val="8"/>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D54581"/>
    <w:rsid w:val="00000576"/>
    <w:rsid w:val="00000FED"/>
    <w:rsid w:val="0000187E"/>
    <w:rsid w:val="0000434E"/>
    <w:rsid w:val="00004831"/>
    <w:rsid w:val="0000562C"/>
    <w:rsid w:val="00020051"/>
    <w:rsid w:val="000211A9"/>
    <w:rsid w:val="00022543"/>
    <w:rsid w:val="00025CED"/>
    <w:rsid w:val="00026332"/>
    <w:rsid w:val="00031260"/>
    <w:rsid w:val="00033115"/>
    <w:rsid w:val="00033823"/>
    <w:rsid w:val="0003681A"/>
    <w:rsid w:val="000372B7"/>
    <w:rsid w:val="0004127B"/>
    <w:rsid w:val="00047667"/>
    <w:rsid w:val="00053B2A"/>
    <w:rsid w:val="00054661"/>
    <w:rsid w:val="00061EC2"/>
    <w:rsid w:val="00064831"/>
    <w:rsid w:val="0007062C"/>
    <w:rsid w:val="00073C30"/>
    <w:rsid w:val="00080ED0"/>
    <w:rsid w:val="000824B6"/>
    <w:rsid w:val="000852D2"/>
    <w:rsid w:val="00085B8F"/>
    <w:rsid w:val="00087561"/>
    <w:rsid w:val="00090481"/>
    <w:rsid w:val="00092E4F"/>
    <w:rsid w:val="00093069"/>
    <w:rsid w:val="000A573E"/>
    <w:rsid w:val="000A5743"/>
    <w:rsid w:val="000A6C26"/>
    <w:rsid w:val="000D52A4"/>
    <w:rsid w:val="000E07BC"/>
    <w:rsid w:val="000E2B18"/>
    <w:rsid w:val="000E31CD"/>
    <w:rsid w:val="000E5A29"/>
    <w:rsid w:val="000E5F12"/>
    <w:rsid w:val="000F1CD4"/>
    <w:rsid w:val="000F4103"/>
    <w:rsid w:val="000F6AFC"/>
    <w:rsid w:val="000F701C"/>
    <w:rsid w:val="000F70A7"/>
    <w:rsid w:val="00112326"/>
    <w:rsid w:val="00113CCA"/>
    <w:rsid w:val="00115760"/>
    <w:rsid w:val="00120770"/>
    <w:rsid w:val="00122F25"/>
    <w:rsid w:val="00135980"/>
    <w:rsid w:val="001419C0"/>
    <w:rsid w:val="0015064F"/>
    <w:rsid w:val="00151402"/>
    <w:rsid w:val="00154F4F"/>
    <w:rsid w:val="00160730"/>
    <w:rsid w:val="00161583"/>
    <w:rsid w:val="00164719"/>
    <w:rsid w:val="001653FA"/>
    <w:rsid w:val="00166FC4"/>
    <w:rsid w:val="001677AC"/>
    <w:rsid w:val="00172C21"/>
    <w:rsid w:val="00172D38"/>
    <w:rsid w:val="0017446E"/>
    <w:rsid w:val="001804EA"/>
    <w:rsid w:val="00190A61"/>
    <w:rsid w:val="001946C3"/>
    <w:rsid w:val="001A3342"/>
    <w:rsid w:val="001A3E3D"/>
    <w:rsid w:val="001A7049"/>
    <w:rsid w:val="001B1E40"/>
    <w:rsid w:val="001B79DA"/>
    <w:rsid w:val="001C187F"/>
    <w:rsid w:val="001C764E"/>
    <w:rsid w:val="001D53FF"/>
    <w:rsid w:val="001E1052"/>
    <w:rsid w:val="001E21B1"/>
    <w:rsid w:val="001E2F93"/>
    <w:rsid w:val="001E371A"/>
    <w:rsid w:val="001E3FD8"/>
    <w:rsid w:val="001E590B"/>
    <w:rsid w:val="001E61E5"/>
    <w:rsid w:val="001F2159"/>
    <w:rsid w:val="001F647B"/>
    <w:rsid w:val="00200224"/>
    <w:rsid w:val="0020161F"/>
    <w:rsid w:val="00214863"/>
    <w:rsid w:val="00214BBD"/>
    <w:rsid w:val="002156B4"/>
    <w:rsid w:val="00215E94"/>
    <w:rsid w:val="002203AC"/>
    <w:rsid w:val="002222FF"/>
    <w:rsid w:val="00224AF0"/>
    <w:rsid w:val="00227A2B"/>
    <w:rsid w:val="00232C68"/>
    <w:rsid w:val="00253222"/>
    <w:rsid w:val="00253CF8"/>
    <w:rsid w:val="00262439"/>
    <w:rsid w:val="0026283A"/>
    <w:rsid w:val="00262847"/>
    <w:rsid w:val="0026740E"/>
    <w:rsid w:val="002723CA"/>
    <w:rsid w:val="00281BB2"/>
    <w:rsid w:val="002B3ABC"/>
    <w:rsid w:val="002B6B72"/>
    <w:rsid w:val="002B72E9"/>
    <w:rsid w:val="002C01C9"/>
    <w:rsid w:val="002C07CB"/>
    <w:rsid w:val="002C338C"/>
    <w:rsid w:val="002C7998"/>
    <w:rsid w:val="002D2A1D"/>
    <w:rsid w:val="002D2D56"/>
    <w:rsid w:val="002E507B"/>
    <w:rsid w:val="002E62A3"/>
    <w:rsid w:val="002F1E53"/>
    <w:rsid w:val="002F2CAA"/>
    <w:rsid w:val="002F2E54"/>
    <w:rsid w:val="002F6D04"/>
    <w:rsid w:val="0030052C"/>
    <w:rsid w:val="00302367"/>
    <w:rsid w:val="00306647"/>
    <w:rsid w:val="00320A83"/>
    <w:rsid w:val="003244BD"/>
    <w:rsid w:val="003306E1"/>
    <w:rsid w:val="003320E4"/>
    <w:rsid w:val="0033525D"/>
    <w:rsid w:val="00340272"/>
    <w:rsid w:val="003402A1"/>
    <w:rsid w:val="00340D36"/>
    <w:rsid w:val="003414F3"/>
    <w:rsid w:val="00341F4B"/>
    <w:rsid w:val="0035613E"/>
    <w:rsid w:val="00356BB8"/>
    <w:rsid w:val="00363EE9"/>
    <w:rsid w:val="0036736D"/>
    <w:rsid w:val="00372BE9"/>
    <w:rsid w:val="00373A4B"/>
    <w:rsid w:val="00376128"/>
    <w:rsid w:val="00376FE1"/>
    <w:rsid w:val="0037742E"/>
    <w:rsid w:val="00377D56"/>
    <w:rsid w:val="0038245A"/>
    <w:rsid w:val="003840E6"/>
    <w:rsid w:val="00385CFC"/>
    <w:rsid w:val="0039337A"/>
    <w:rsid w:val="003941E0"/>
    <w:rsid w:val="0039792B"/>
    <w:rsid w:val="003A3189"/>
    <w:rsid w:val="003A3CA7"/>
    <w:rsid w:val="003A3E0A"/>
    <w:rsid w:val="003B2173"/>
    <w:rsid w:val="003B259F"/>
    <w:rsid w:val="003B33BD"/>
    <w:rsid w:val="003B569D"/>
    <w:rsid w:val="003C3C0E"/>
    <w:rsid w:val="003C6F43"/>
    <w:rsid w:val="003D42A6"/>
    <w:rsid w:val="003D4812"/>
    <w:rsid w:val="003D4FAC"/>
    <w:rsid w:val="003D682D"/>
    <w:rsid w:val="003E7906"/>
    <w:rsid w:val="003F2B8A"/>
    <w:rsid w:val="003F3C50"/>
    <w:rsid w:val="00404A43"/>
    <w:rsid w:val="00405B31"/>
    <w:rsid w:val="00406A6A"/>
    <w:rsid w:val="00406B22"/>
    <w:rsid w:val="00406E42"/>
    <w:rsid w:val="004328A7"/>
    <w:rsid w:val="00433751"/>
    <w:rsid w:val="00434567"/>
    <w:rsid w:val="00434C74"/>
    <w:rsid w:val="00437E66"/>
    <w:rsid w:val="00443669"/>
    <w:rsid w:val="00447603"/>
    <w:rsid w:val="0045085F"/>
    <w:rsid w:val="004529EB"/>
    <w:rsid w:val="00456D31"/>
    <w:rsid w:val="00456EB4"/>
    <w:rsid w:val="00460C11"/>
    <w:rsid w:val="00464193"/>
    <w:rsid w:val="00464AE2"/>
    <w:rsid w:val="004663C5"/>
    <w:rsid w:val="004718F3"/>
    <w:rsid w:val="00475040"/>
    <w:rsid w:val="00493D40"/>
    <w:rsid w:val="004963F4"/>
    <w:rsid w:val="004967B6"/>
    <w:rsid w:val="004A1DF2"/>
    <w:rsid w:val="004A321D"/>
    <w:rsid w:val="004A504B"/>
    <w:rsid w:val="004A6911"/>
    <w:rsid w:val="004B54E0"/>
    <w:rsid w:val="004B7384"/>
    <w:rsid w:val="004B77B1"/>
    <w:rsid w:val="004C0A03"/>
    <w:rsid w:val="004C2620"/>
    <w:rsid w:val="004C4269"/>
    <w:rsid w:val="004D1DEE"/>
    <w:rsid w:val="004D6236"/>
    <w:rsid w:val="004D7F90"/>
    <w:rsid w:val="004E125F"/>
    <w:rsid w:val="004E21A1"/>
    <w:rsid w:val="004E4DBB"/>
    <w:rsid w:val="004E4E41"/>
    <w:rsid w:val="004E5B04"/>
    <w:rsid w:val="004E7F9C"/>
    <w:rsid w:val="004F3493"/>
    <w:rsid w:val="004F5143"/>
    <w:rsid w:val="00501576"/>
    <w:rsid w:val="00512B09"/>
    <w:rsid w:val="00527405"/>
    <w:rsid w:val="005313DA"/>
    <w:rsid w:val="005315C1"/>
    <w:rsid w:val="00531C1B"/>
    <w:rsid w:val="00533796"/>
    <w:rsid w:val="00537343"/>
    <w:rsid w:val="005413F3"/>
    <w:rsid w:val="00541C9B"/>
    <w:rsid w:val="005427CF"/>
    <w:rsid w:val="0054491A"/>
    <w:rsid w:val="00552513"/>
    <w:rsid w:val="00555D75"/>
    <w:rsid w:val="0055623A"/>
    <w:rsid w:val="00560DF0"/>
    <w:rsid w:val="00565F6B"/>
    <w:rsid w:val="00566B86"/>
    <w:rsid w:val="0056759C"/>
    <w:rsid w:val="00571C00"/>
    <w:rsid w:val="0059513E"/>
    <w:rsid w:val="005A1AFF"/>
    <w:rsid w:val="005A2CF3"/>
    <w:rsid w:val="005B48FF"/>
    <w:rsid w:val="005B73D9"/>
    <w:rsid w:val="005C0A6A"/>
    <w:rsid w:val="005C6431"/>
    <w:rsid w:val="005D21A5"/>
    <w:rsid w:val="005D5A5E"/>
    <w:rsid w:val="005D5F78"/>
    <w:rsid w:val="005E4BBE"/>
    <w:rsid w:val="005E727F"/>
    <w:rsid w:val="005F1CF4"/>
    <w:rsid w:val="00600673"/>
    <w:rsid w:val="00604C15"/>
    <w:rsid w:val="0061367D"/>
    <w:rsid w:val="006150BE"/>
    <w:rsid w:val="006158D5"/>
    <w:rsid w:val="006167DE"/>
    <w:rsid w:val="00620D3D"/>
    <w:rsid w:val="006210AB"/>
    <w:rsid w:val="00624188"/>
    <w:rsid w:val="00625D83"/>
    <w:rsid w:val="00627635"/>
    <w:rsid w:val="006306B0"/>
    <w:rsid w:val="00631999"/>
    <w:rsid w:val="00637A22"/>
    <w:rsid w:val="006423D7"/>
    <w:rsid w:val="00642475"/>
    <w:rsid w:val="00653B2E"/>
    <w:rsid w:val="0065439A"/>
    <w:rsid w:val="0065450E"/>
    <w:rsid w:val="006623E7"/>
    <w:rsid w:val="00662B80"/>
    <w:rsid w:val="00665573"/>
    <w:rsid w:val="00670389"/>
    <w:rsid w:val="00670F6C"/>
    <w:rsid w:val="006711AB"/>
    <w:rsid w:val="006818E1"/>
    <w:rsid w:val="00683D2B"/>
    <w:rsid w:val="00685048"/>
    <w:rsid w:val="006852C7"/>
    <w:rsid w:val="006852CE"/>
    <w:rsid w:val="00694420"/>
    <w:rsid w:val="006B25A0"/>
    <w:rsid w:val="006B2908"/>
    <w:rsid w:val="006B6B79"/>
    <w:rsid w:val="006C1727"/>
    <w:rsid w:val="006C1FD2"/>
    <w:rsid w:val="006C2EB0"/>
    <w:rsid w:val="006C32FD"/>
    <w:rsid w:val="006C39CE"/>
    <w:rsid w:val="006C565B"/>
    <w:rsid w:val="006D0FCC"/>
    <w:rsid w:val="006D1EB1"/>
    <w:rsid w:val="006D2085"/>
    <w:rsid w:val="006E1FC3"/>
    <w:rsid w:val="006E71AA"/>
    <w:rsid w:val="006F0386"/>
    <w:rsid w:val="006F6269"/>
    <w:rsid w:val="00704312"/>
    <w:rsid w:val="00705590"/>
    <w:rsid w:val="0070616B"/>
    <w:rsid w:val="00706FDA"/>
    <w:rsid w:val="00707871"/>
    <w:rsid w:val="0071070E"/>
    <w:rsid w:val="00711BBC"/>
    <w:rsid w:val="00711F9A"/>
    <w:rsid w:val="00713810"/>
    <w:rsid w:val="00713C1A"/>
    <w:rsid w:val="007303A5"/>
    <w:rsid w:val="00730B3E"/>
    <w:rsid w:val="0073420B"/>
    <w:rsid w:val="007352A7"/>
    <w:rsid w:val="0074760E"/>
    <w:rsid w:val="00754ABA"/>
    <w:rsid w:val="00761358"/>
    <w:rsid w:val="00762137"/>
    <w:rsid w:val="00773023"/>
    <w:rsid w:val="0077372D"/>
    <w:rsid w:val="007756DE"/>
    <w:rsid w:val="0077704A"/>
    <w:rsid w:val="00781D98"/>
    <w:rsid w:val="0079077D"/>
    <w:rsid w:val="00793601"/>
    <w:rsid w:val="007A1546"/>
    <w:rsid w:val="007A228C"/>
    <w:rsid w:val="007A368E"/>
    <w:rsid w:val="007A5868"/>
    <w:rsid w:val="007B04CE"/>
    <w:rsid w:val="007B0D18"/>
    <w:rsid w:val="007B6871"/>
    <w:rsid w:val="007B7448"/>
    <w:rsid w:val="007B7A2F"/>
    <w:rsid w:val="007C0728"/>
    <w:rsid w:val="007C3D33"/>
    <w:rsid w:val="007C4D79"/>
    <w:rsid w:val="007C4F5D"/>
    <w:rsid w:val="007D1E1E"/>
    <w:rsid w:val="007D294A"/>
    <w:rsid w:val="007D2ED3"/>
    <w:rsid w:val="007D4532"/>
    <w:rsid w:val="007D47D2"/>
    <w:rsid w:val="007D4A57"/>
    <w:rsid w:val="007D4F0F"/>
    <w:rsid w:val="007D6EC0"/>
    <w:rsid w:val="007D7243"/>
    <w:rsid w:val="007D7E1D"/>
    <w:rsid w:val="007F1AF3"/>
    <w:rsid w:val="007F1E87"/>
    <w:rsid w:val="00803A4B"/>
    <w:rsid w:val="0080460C"/>
    <w:rsid w:val="00804707"/>
    <w:rsid w:val="00807AF5"/>
    <w:rsid w:val="00817FAE"/>
    <w:rsid w:val="00821686"/>
    <w:rsid w:val="00824DE6"/>
    <w:rsid w:val="008309C8"/>
    <w:rsid w:val="00831979"/>
    <w:rsid w:val="008378A6"/>
    <w:rsid w:val="00846EB9"/>
    <w:rsid w:val="00851352"/>
    <w:rsid w:val="0085400A"/>
    <w:rsid w:val="00857077"/>
    <w:rsid w:val="00860392"/>
    <w:rsid w:val="008624E9"/>
    <w:rsid w:val="00863230"/>
    <w:rsid w:val="008717D8"/>
    <w:rsid w:val="0087215C"/>
    <w:rsid w:val="008733E0"/>
    <w:rsid w:val="00880E35"/>
    <w:rsid w:val="00884334"/>
    <w:rsid w:val="00885940"/>
    <w:rsid w:val="00886642"/>
    <w:rsid w:val="008875FE"/>
    <w:rsid w:val="00887F8E"/>
    <w:rsid w:val="00893146"/>
    <w:rsid w:val="00896234"/>
    <w:rsid w:val="00897A78"/>
    <w:rsid w:val="00897E43"/>
    <w:rsid w:val="008A031D"/>
    <w:rsid w:val="008C5738"/>
    <w:rsid w:val="008C7EAD"/>
    <w:rsid w:val="008D0CFE"/>
    <w:rsid w:val="008D410D"/>
    <w:rsid w:val="008D4EE3"/>
    <w:rsid w:val="008D6152"/>
    <w:rsid w:val="008E0645"/>
    <w:rsid w:val="008F0F81"/>
    <w:rsid w:val="008F27BF"/>
    <w:rsid w:val="0090035B"/>
    <w:rsid w:val="00900A86"/>
    <w:rsid w:val="009029C8"/>
    <w:rsid w:val="00912C35"/>
    <w:rsid w:val="009142EC"/>
    <w:rsid w:val="009154C3"/>
    <w:rsid w:val="009156A1"/>
    <w:rsid w:val="00915B89"/>
    <w:rsid w:val="00923540"/>
    <w:rsid w:val="00926767"/>
    <w:rsid w:val="00930191"/>
    <w:rsid w:val="009361D5"/>
    <w:rsid w:val="00936C0C"/>
    <w:rsid w:val="009428A4"/>
    <w:rsid w:val="0094541D"/>
    <w:rsid w:val="00946E04"/>
    <w:rsid w:val="00951CAF"/>
    <w:rsid w:val="00961537"/>
    <w:rsid w:val="00962A10"/>
    <w:rsid w:val="009659F4"/>
    <w:rsid w:val="00970D60"/>
    <w:rsid w:val="00972005"/>
    <w:rsid w:val="009757B3"/>
    <w:rsid w:val="00991869"/>
    <w:rsid w:val="009960E5"/>
    <w:rsid w:val="009A31CE"/>
    <w:rsid w:val="009A730D"/>
    <w:rsid w:val="009A7939"/>
    <w:rsid w:val="009A7ADC"/>
    <w:rsid w:val="009B01B5"/>
    <w:rsid w:val="009C19B7"/>
    <w:rsid w:val="009C43D0"/>
    <w:rsid w:val="009C5ABB"/>
    <w:rsid w:val="009D229D"/>
    <w:rsid w:val="009D7C51"/>
    <w:rsid w:val="009D7F65"/>
    <w:rsid w:val="009E196C"/>
    <w:rsid w:val="009E3864"/>
    <w:rsid w:val="009F36BF"/>
    <w:rsid w:val="009F4A7E"/>
    <w:rsid w:val="00A111B6"/>
    <w:rsid w:val="00A149C3"/>
    <w:rsid w:val="00A15112"/>
    <w:rsid w:val="00A26D27"/>
    <w:rsid w:val="00A27991"/>
    <w:rsid w:val="00A3059C"/>
    <w:rsid w:val="00A31A6D"/>
    <w:rsid w:val="00A335A9"/>
    <w:rsid w:val="00A339A6"/>
    <w:rsid w:val="00A34934"/>
    <w:rsid w:val="00A376EE"/>
    <w:rsid w:val="00A41FC4"/>
    <w:rsid w:val="00A42A99"/>
    <w:rsid w:val="00A5151A"/>
    <w:rsid w:val="00A57A83"/>
    <w:rsid w:val="00A57E0A"/>
    <w:rsid w:val="00A628AC"/>
    <w:rsid w:val="00A66D71"/>
    <w:rsid w:val="00A823F6"/>
    <w:rsid w:val="00A8719E"/>
    <w:rsid w:val="00AA0A89"/>
    <w:rsid w:val="00AA6429"/>
    <w:rsid w:val="00AB277D"/>
    <w:rsid w:val="00AB2EEE"/>
    <w:rsid w:val="00AC01AA"/>
    <w:rsid w:val="00AC336C"/>
    <w:rsid w:val="00AC4F72"/>
    <w:rsid w:val="00AC5665"/>
    <w:rsid w:val="00AD1C17"/>
    <w:rsid w:val="00AF153E"/>
    <w:rsid w:val="00AF3021"/>
    <w:rsid w:val="00AF420D"/>
    <w:rsid w:val="00AF6695"/>
    <w:rsid w:val="00AF741A"/>
    <w:rsid w:val="00AF7886"/>
    <w:rsid w:val="00B00605"/>
    <w:rsid w:val="00B01ADB"/>
    <w:rsid w:val="00B02281"/>
    <w:rsid w:val="00B04161"/>
    <w:rsid w:val="00B056F9"/>
    <w:rsid w:val="00B05FE2"/>
    <w:rsid w:val="00B11E3D"/>
    <w:rsid w:val="00B12566"/>
    <w:rsid w:val="00B17E82"/>
    <w:rsid w:val="00B24314"/>
    <w:rsid w:val="00B27B56"/>
    <w:rsid w:val="00B3570D"/>
    <w:rsid w:val="00B4575A"/>
    <w:rsid w:val="00B47F0A"/>
    <w:rsid w:val="00B508E7"/>
    <w:rsid w:val="00B50FE3"/>
    <w:rsid w:val="00B528D2"/>
    <w:rsid w:val="00B529C7"/>
    <w:rsid w:val="00B575BA"/>
    <w:rsid w:val="00B6158F"/>
    <w:rsid w:val="00B64DED"/>
    <w:rsid w:val="00B76429"/>
    <w:rsid w:val="00B9311D"/>
    <w:rsid w:val="00B956D4"/>
    <w:rsid w:val="00B97446"/>
    <w:rsid w:val="00BA3113"/>
    <w:rsid w:val="00BA612A"/>
    <w:rsid w:val="00BA7432"/>
    <w:rsid w:val="00BC1AA0"/>
    <w:rsid w:val="00BC2495"/>
    <w:rsid w:val="00BC45FB"/>
    <w:rsid w:val="00BC7457"/>
    <w:rsid w:val="00BC7C41"/>
    <w:rsid w:val="00BC7EB9"/>
    <w:rsid w:val="00BD2643"/>
    <w:rsid w:val="00BD4F84"/>
    <w:rsid w:val="00BD56B1"/>
    <w:rsid w:val="00BD6558"/>
    <w:rsid w:val="00BF2F76"/>
    <w:rsid w:val="00BF3022"/>
    <w:rsid w:val="00BF3214"/>
    <w:rsid w:val="00BF5573"/>
    <w:rsid w:val="00BF739A"/>
    <w:rsid w:val="00C15867"/>
    <w:rsid w:val="00C2296D"/>
    <w:rsid w:val="00C23155"/>
    <w:rsid w:val="00C23762"/>
    <w:rsid w:val="00C245B9"/>
    <w:rsid w:val="00C27B8A"/>
    <w:rsid w:val="00C30024"/>
    <w:rsid w:val="00C312A0"/>
    <w:rsid w:val="00C36C06"/>
    <w:rsid w:val="00C40C41"/>
    <w:rsid w:val="00C444C9"/>
    <w:rsid w:val="00C456CD"/>
    <w:rsid w:val="00C45885"/>
    <w:rsid w:val="00C50DA1"/>
    <w:rsid w:val="00C50F22"/>
    <w:rsid w:val="00C57971"/>
    <w:rsid w:val="00C65BD7"/>
    <w:rsid w:val="00C733DC"/>
    <w:rsid w:val="00C76BA4"/>
    <w:rsid w:val="00C81DF7"/>
    <w:rsid w:val="00C83A48"/>
    <w:rsid w:val="00C85865"/>
    <w:rsid w:val="00C85A74"/>
    <w:rsid w:val="00C85E85"/>
    <w:rsid w:val="00C9069C"/>
    <w:rsid w:val="00C94144"/>
    <w:rsid w:val="00CA2EAE"/>
    <w:rsid w:val="00CA4AC1"/>
    <w:rsid w:val="00CB0316"/>
    <w:rsid w:val="00CB0B11"/>
    <w:rsid w:val="00CB5354"/>
    <w:rsid w:val="00CB6329"/>
    <w:rsid w:val="00CC3C9E"/>
    <w:rsid w:val="00CC6A14"/>
    <w:rsid w:val="00CC70A3"/>
    <w:rsid w:val="00CD1AA6"/>
    <w:rsid w:val="00CD2D6B"/>
    <w:rsid w:val="00CD4442"/>
    <w:rsid w:val="00CD53C3"/>
    <w:rsid w:val="00CD574E"/>
    <w:rsid w:val="00CE0DA2"/>
    <w:rsid w:val="00CE10F0"/>
    <w:rsid w:val="00CE4C22"/>
    <w:rsid w:val="00CE5D85"/>
    <w:rsid w:val="00CE6724"/>
    <w:rsid w:val="00CF0178"/>
    <w:rsid w:val="00CF074B"/>
    <w:rsid w:val="00CF41EC"/>
    <w:rsid w:val="00CF5D04"/>
    <w:rsid w:val="00CF641A"/>
    <w:rsid w:val="00D04DE4"/>
    <w:rsid w:val="00D063F1"/>
    <w:rsid w:val="00D07947"/>
    <w:rsid w:val="00D14F22"/>
    <w:rsid w:val="00D1501C"/>
    <w:rsid w:val="00D24BA1"/>
    <w:rsid w:val="00D42BD2"/>
    <w:rsid w:val="00D42E9F"/>
    <w:rsid w:val="00D44BDE"/>
    <w:rsid w:val="00D4741C"/>
    <w:rsid w:val="00D47A7D"/>
    <w:rsid w:val="00D54581"/>
    <w:rsid w:val="00D57918"/>
    <w:rsid w:val="00D73DC6"/>
    <w:rsid w:val="00D74C1A"/>
    <w:rsid w:val="00D754C1"/>
    <w:rsid w:val="00D76A11"/>
    <w:rsid w:val="00D77393"/>
    <w:rsid w:val="00D77A35"/>
    <w:rsid w:val="00D77E4F"/>
    <w:rsid w:val="00D806E8"/>
    <w:rsid w:val="00D81B3E"/>
    <w:rsid w:val="00D87296"/>
    <w:rsid w:val="00D87EED"/>
    <w:rsid w:val="00D90C70"/>
    <w:rsid w:val="00D90E49"/>
    <w:rsid w:val="00D96ADE"/>
    <w:rsid w:val="00D97BBB"/>
    <w:rsid w:val="00DA0CE2"/>
    <w:rsid w:val="00DA5DDD"/>
    <w:rsid w:val="00DC42A9"/>
    <w:rsid w:val="00DC6A10"/>
    <w:rsid w:val="00DD4EEA"/>
    <w:rsid w:val="00DE657E"/>
    <w:rsid w:val="00DF4704"/>
    <w:rsid w:val="00E00D58"/>
    <w:rsid w:val="00E024AA"/>
    <w:rsid w:val="00E03C54"/>
    <w:rsid w:val="00E12BDF"/>
    <w:rsid w:val="00E1751E"/>
    <w:rsid w:val="00E21F72"/>
    <w:rsid w:val="00E2250B"/>
    <w:rsid w:val="00E24442"/>
    <w:rsid w:val="00E250F1"/>
    <w:rsid w:val="00E2513B"/>
    <w:rsid w:val="00E30E15"/>
    <w:rsid w:val="00E3362C"/>
    <w:rsid w:val="00E34646"/>
    <w:rsid w:val="00E3550D"/>
    <w:rsid w:val="00E43853"/>
    <w:rsid w:val="00E51239"/>
    <w:rsid w:val="00E54762"/>
    <w:rsid w:val="00E614E0"/>
    <w:rsid w:val="00E71B5A"/>
    <w:rsid w:val="00E73F7F"/>
    <w:rsid w:val="00E77902"/>
    <w:rsid w:val="00E811EA"/>
    <w:rsid w:val="00E85409"/>
    <w:rsid w:val="00E90884"/>
    <w:rsid w:val="00E919B4"/>
    <w:rsid w:val="00E978DB"/>
    <w:rsid w:val="00E97A38"/>
    <w:rsid w:val="00EA429F"/>
    <w:rsid w:val="00EA4F9E"/>
    <w:rsid w:val="00EA63CA"/>
    <w:rsid w:val="00EA6D3B"/>
    <w:rsid w:val="00EA7E2F"/>
    <w:rsid w:val="00EB00AD"/>
    <w:rsid w:val="00EB136C"/>
    <w:rsid w:val="00EB1F19"/>
    <w:rsid w:val="00EB480E"/>
    <w:rsid w:val="00EB4EC8"/>
    <w:rsid w:val="00EB5EC6"/>
    <w:rsid w:val="00EB7FC9"/>
    <w:rsid w:val="00EC3708"/>
    <w:rsid w:val="00EC432A"/>
    <w:rsid w:val="00ED27E8"/>
    <w:rsid w:val="00ED7137"/>
    <w:rsid w:val="00EF56C5"/>
    <w:rsid w:val="00F205F9"/>
    <w:rsid w:val="00F21088"/>
    <w:rsid w:val="00F327E7"/>
    <w:rsid w:val="00F32ADB"/>
    <w:rsid w:val="00F35043"/>
    <w:rsid w:val="00F35746"/>
    <w:rsid w:val="00F442FF"/>
    <w:rsid w:val="00F447C7"/>
    <w:rsid w:val="00F5211B"/>
    <w:rsid w:val="00F521BD"/>
    <w:rsid w:val="00F546A1"/>
    <w:rsid w:val="00F554A9"/>
    <w:rsid w:val="00F716FD"/>
    <w:rsid w:val="00F719C0"/>
    <w:rsid w:val="00F7289A"/>
    <w:rsid w:val="00F80355"/>
    <w:rsid w:val="00F836EE"/>
    <w:rsid w:val="00F87C43"/>
    <w:rsid w:val="00F92588"/>
    <w:rsid w:val="00F950B4"/>
    <w:rsid w:val="00F95FBB"/>
    <w:rsid w:val="00FA5235"/>
    <w:rsid w:val="00FA7CBB"/>
    <w:rsid w:val="00FB0C81"/>
    <w:rsid w:val="00FB39C1"/>
    <w:rsid w:val="00FB4FA9"/>
    <w:rsid w:val="00FC08DB"/>
    <w:rsid w:val="00FC2200"/>
    <w:rsid w:val="00FC2540"/>
    <w:rsid w:val="00FC3334"/>
    <w:rsid w:val="00FC4686"/>
    <w:rsid w:val="00FD02B8"/>
    <w:rsid w:val="00FD6340"/>
    <w:rsid w:val="00FE2A51"/>
    <w:rsid w:val="00FE3A40"/>
    <w:rsid w:val="00FF0204"/>
    <w:rsid w:val="00FF17A4"/>
    <w:rsid w:val="00FF2EDA"/>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F437"/>
  <w15:docId w15:val="{77396912-69EC-4185-915E-484DB9FF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2"/>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7"/>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3"/>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4"/>
      </w:numPr>
    </w:pPr>
  </w:style>
  <w:style w:type="numbering" w:styleId="ArticleSection">
    <w:name w:val="Outline List 3"/>
    <w:basedOn w:val="NoList"/>
    <w:semiHidden/>
    <w:rsid w:val="00493D40"/>
    <w:pPr>
      <w:numPr>
        <w:numId w:val="5"/>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fr-FR"/>
    </w:rPr>
  </w:style>
  <w:style w:type="paragraph" w:customStyle="1" w:styleId="Header4">
    <w:name w:val="Header4"/>
    <w:aliases w:val="Para 4"/>
    <w:basedOn w:val="Normal"/>
    <w:next w:val="Normal"/>
    <w:rsid w:val="00DC6A10"/>
    <w:pPr>
      <w:widowControl w:val="0"/>
      <w:numPr>
        <w:numId w:val="6"/>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fr-FR"/>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fr-FR"/>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fr-FR"/>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D54581"/>
    <w:pPr>
      <w:ind w:left="720"/>
      <w:contextualSpacing/>
    </w:p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w:basedOn w:val="Normal"/>
    <w:link w:val="FootnoteTextChar"/>
    <w:uiPriority w:val="99"/>
    <w:semiHidden/>
    <w:unhideWhenUsed/>
    <w:qFormat/>
    <w:rsid w:val="00D54581"/>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w:basedOn w:val="DefaultParagraphFont"/>
    <w:link w:val="FootnoteText"/>
    <w:uiPriority w:val="99"/>
    <w:semiHidden/>
    <w:rsid w:val="00D54581"/>
    <w:rPr>
      <w:lang w:val="fr-FR"/>
    </w:rPr>
  </w:style>
  <w:style w:type="character" w:styleId="FootnoteReference">
    <w:name w:val="footnote reference"/>
    <w:aliases w:val="Footnote Text1,Footnote Text2,Footnote text"/>
    <w:basedOn w:val="DefaultParagraphFont"/>
    <w:uiPriority w:val="99"/>
    <w:semiHidden/>
    <w:unhideWhenUsed/>
    <w:rsid w:val="00D54581"/>
    <w:rPr>
      <w:vertAlign w:val="superscript"/>
    </w:rPr>
  </w:style>
  <w:style w:type="paragraph" w:styleId="BodyText">
    <w:name w:val="Body Text"/>
    <w:basedOn w:val="Normal"/>
    <w:link w:val="BodyTextChar"/>
    <w:uiPriority w:val="99"/>
    <w:semiHidden/>
    <w:rsid w:val="00406E42"/>
    <w:pPr>
      <w:spacing w:after="120"/>
    </w:pPr>
  </w:style>
  <w:style w:type="character" w:customStyle="1" w:styleId="BodyTextChar">
    <w:name w:val="Body Text Char"/>
    <w:basedOn w:val="DefaultParagraphFont"/>
    <w:link w:val="BodyText"/>
    <w:uiPriority w:val="99"/>
    <w:semiHidden/>
    <w:rsid w:val="00406E42"/>
    <w:rPr>
      <w:sz w:val="22"/>
      <w:szCs w:val="22"/>
      <w:lang w:val="fr-FR"/>
    </w:rPr>
  </w:style>
  <w:style w:type="character" w:customStyle="1" w:styleId="ListParagraphChar">
    <w:name w:val="List Paragraph Char"/>
    <w:link w:val="ListParagraph"/>
    <w:uiPriority w:val="34"/>
    <w:locked/>
    <w:rsid w:val="00566B86"/>
    <w:rPr>
      <w:sz w:val="22"/>
      <w:szCs w:val="22"/>
      <w:lang w:val="fr-FR"/>
    </w:rPr>
  </w:style>
  <w:style w:type="paragraph" w:styleId="Revision">
    <w:name w:val="Revision"/>
    <w:hidden/>
    <w:uiPriority w:val="99"/>
    <w:semiHidden/>
    <w:rsid w:val="00817F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4763">
      <w:bodyDiv w:val="1"/>
      <w:marLeft w:val="0"/>
      <w:marRight w:val="0"/>
      <w:marTop w:val="0"/>
      <w:marBottom w:val="0"/>
      <w:divBdr>
        <w:top w:val="none" w:sz="0" w:space="0" w:color="auto"/>
        <w:left w:val="none" w:sz="0" w:space="0" w:color="auto"/>
        <w:bottom w:val="none" w:sz="0" w:space="0" w:color="auto"/>
        <w:right w:val="none" w:sz="0" w:space="0" w:color="auto"/>
      </w:divBdr>
    </w:div>
    <w:div w:id="127672886">
      <w:bodyDiv w:val="1"/>
      <w:marLeft w:val="0"/>
      <w:marRight w:val="0"/>
      <w:marTop w:val="0"/>
      <w:marBottom w:val="0"/>
      <w:divBdr>
        <w:top w:val="none" w:sz="0" w:space="0" w:color="auto"/>
        <w:left w:val="none" w:sz="0" w:space="0" w:color="auto"/>
        <w:bottom w:val="none" w:sz="0" w:space="0" w:color="auto"/>
        <w:right w:val="none" w:sz="0" w:space="0" w:color="auto"/>
      </w:divBdr>
    </w:div>
    <w:div w:id="147793877">
      <w:bodyDiv w:val="1"/>
      <w:marLeft w:val="0"/>
      <w:marRight w:val="0"/>
      <w:marTop w:val="0"/>
      <w:marBottom w:val="0"/>
      <w:divBdr>
        <w:top w:val="none" w:sz="0" w:space="0" w:color="auto"/>
        <w:left w:val="none" w:sz="0" w:space="0" w:color="auto"/>
        <w:bottom w:val="none" w:sz="0" w:space="0" w:color="auto"/>
        <w:right w:val="none" w:sz="0" w:space="0" w:color="auto"/>
      </w:divBdr>
    </w:div>
    <w:div w:id="345904027">
      <w:bodyDiv w:val="1"/>
      <w:marLeft w:val="0"/>
      <w:marRight w:val="0"/>
      <w:marTop w:val="0"/>
      <w:marBottom w:val="0"/>
      <w:divBdr>
        <w:top w:val="none" w:sz="0" w:space="0" w:color="auto"/>
        <w:left w:val="none" w:sz="0" w:space="0" w:color="auto"/>
        <w:bottom w:val="none" w:sz="0" w:space="0" w:color="auto"/>
        <w:right w:val="none" w:sz="0" w:space="0" w:color="auto"/>
      </w:divBdr>
    </w:div>
    <w:div w:id="577398162">
      <w:bodyDiv w:val="1"/>
      <w:marLeft w:val="0"/>
      <w:marRight w:val="0"/>
      <w:marTop w:val="0"/>
      <w:marBottom w:val="0"/>
      <w:divBdr>
        <w:top w:val="none" w:sz="0" w:space="0" w:color="auto"/>
        <w:left w:val="none" w:sz="0" w:space="0" w:color="auto"/>
        <w:bottom w:val="none" w:sz="0" w:space="0" w:color="auto"/>
        <w:right w:val="none" w:sz="0" w:space="0" w:color="auto"/>
      </w:divBdr>
    </w:div>
    <w:div w:id="784421506">
      <w:bodyDiv w:val="1"/>
      <w:marLeft w:val="0"/>
      <w:marRight w:val="0"/>
      <w:marTop w:val="0"/>
      <w:marBottom w:val="0"/>
      <w:divBdr>
        <w:top w:val="none" w:sz="0" w:space="0" w:color="auto"/>
        <w:left w:val="none" w:sz="0" w:space="0" w:color="auto"/>
        <w:bottom w:val="none" w:sz="0" w:space="0" w:color="auto"/>
        <w:right w:val="none" w:sz="0" w:space="0" w:color="auto"/>
      </w:divBdr>
    </w:div>
    <w:div w:id="884829508">
      <w:bodyDiv w:val="1"/>
      <w:marLeft w:val="0"/>
      <w:marRight w:val="0"/>
      <w:marTop w:val="0"/>
      <w:marBottom w:val="0"/>
      <w:divBdr>
        <w:top w:val="none" w:sz="0" w:space="0" w:color="auto"/>
        <w:left w:val="none" w:sz="0" w:space="0" w:color="auto"/>
        <w:bottom w:val="none" w:sz="0" w:space="0" w:color="auto"/>
        <w:right w:val="none" w:sz="0" w:space="0" w:color="auto"/>
      </w:divBdr>
    </w:div>
    <w:div w:id="996031446">
      <w:bodyDiv w:val="1"/>
      <w:marLeft w:val="0"/>
      <w:marRight w:val="0"/>
      <w:marTop w:val="0"/>
      <w:marBottom w:val="0"/>
      <w:divBdr>
        <w:top w:val="none" w:sz="0" w:space="0" w:color="auto"/>
        <w:left w:val="none" w:sz="0" w:space="0" w:color="auto"/>
        <w:bottom w:val="none" w:sz="0" w:space="0" w:color="auto"/>
        <w:right w:val="none" w:sz="0" w:space="0" w:color="auto"/>
      </w:divBdr>
    </w:div>
    <w:div w:id="1199246157">
      <w:bodyDiv w:val="1"/>
      <w:marLeft w:val="0"/>
      <w:marRight w:val="0"/>
      <w:marTop w:val="0"/>
      <w:marBottom w:val="0"/>
      <w:divBdr>
        <w:top w:val="none" w:sz="0" w:space="0" w:color="auto"/>
        <w:left w:val="none" w:sz="0" w:space="0" w:color="auto"/>
        <w:bottom w:val="none" w:sz="0" w:space="0" w:color="auto"/>
        <w:right w:val="none" w:sz="0" w:space="0" w:color="auto"/>
      </w:divBdr>
    </w:div>
    <w:div w:id="1503398584">
      <w:bodyDiv w:val="1"/>
      <w:marLeft w:val="0"/>
      <w:marRight w:val="0"/>
      <w:marTop w:val="0"/>
      <w:marBottom w:val="0"/>
      <w:divBdr>
        <w:top w:val="none" w:sz="0" w:space="0" w:color="auto"/>
        <w:left w:val="none" w:sz="0" w:space="0" w:color="auto"/>
        <w:bottom w:val="none" w:sz="0" w:space="0" w:color="auto"/>
        <w:right w:val="none" w:sz="0" w:space="0" w:color="auto"/>
      </w:divBdr>
    </w:div>
    <w:div w:id="1562903434">
      <w:bodyDiv w:val="1"/>
      <w:marLeft w:val="0"/>
      <w:marRight w:val="0"/>
      <w:marTop w:val="0"/>
      <w:marBottom w:val="0"/>
      <w:divBdr>
        <w:top w:val="none" w:sz="0" w:space="0" w:color="auto"/>
        <w:left w:val="none" w:sz="0" w:space="0" w:color="auto"/>
        <w:bottom w:val="none" w:sz="0" w:space="0" w:color="auto"/>
        <w:right w:val="none" w:sz="0" w:space="0" w:color="auto"/>
      </w:divBdr>
    </w:div>
    <w:div w:id="1656185931">
      <w:bodyDiv w:val="1"/>
      <w:marLeft w:val="0"/>
      <w:marRight w:val="0"/>
      <w:marTop w:val="0"/>
      <w:marBottom w:val="0"/>
      <w:divBdr>
        <w:top w:val="none" w:sz="0" w:space="0" w:color="auto"/>
        <w:left w:val="none" w:sz="0" w:space="0" w:color="auto"/>
        <w:bottom w:val="none" w:sz="0" w:space="0" w:color="auto"/>
        <w:right w:val="none" w:sz="0" w:space="0" w:color="auto"/>
      </w:divBdr>
    </w:div>
    <w:div w:id="1741438731">
      <w:bodyDiv w:val="1"/>
      <w:marLeft w:val="0"/>
      <w:marRight w:val="0"/>
      <w:marTop w:val="0"/>
      <w:marBottom w:val="0"/>
      <w:divBdr>
        <w:top w:val="none" w:sz="0" w:space="0" w:color="auto"/>
        <w:left w:val="none" w:sz="0" w:space="0" w:color="auto"/>
        <w:bottom w:val="none" w:sz="0" w:space="0" w:color="auto"/>
        <w:right w:val="none" w:sz="0" w:space="0" w:color="auto"/>
      </w:divBdr>
    </w:div>
    <w:div w:id="1782068403">
      <w:bodyDiv w:val="1"/>
      <w:marLeft w:val="0"/>
      <w:marRight w:val="0"/>
      <w:marTop w:val="0"/>
      <w:marBottom w:val="0"/>
      <w:divBdr>
        <w:top w:val="none" w:sz="0" w:space="0" w:color="auto"/>
        <w:left w:val="none" w:sz="0" w:space="0" w:color="auto"/>
        <w:bottom w:val="none" w:sz="0" w:space="0" w:color="auto"/>
        <w:right w:val="none" w:sz="0" w:space="0" w:color="auto"/>
      </w:divBdr>
    </w:div>
    <w:div w:id="183521767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33314026">
      <w:bodyDiv w:val="1"/>
      <w:marLeft w:val="0"/>
      <w:marRight w:val="0"/>
      <w:marTop w:val="0"/>
      <w:marBottom w:val="0"/>
      <w:divBdr>
        <w:top w:val="none" w:sz="0" w:space="0" w:color="auto"/>
        <w:left w:val="none" w:sz="0" w:space="0" w:color="auto"/>
        <w:bottom w:val="none" w:sz="0" w:space="0" w:color="auto"/>
        <w:right w:val="none" w:sz="0" w:space="0" w:color="auto"/>
      </w:divBdr>
    </w:div>
    <w:div w:id="1936398139">
      <w:bodyDiv w:val="1"/>
      <w:marLeft w:val="0"/>
      <w:marRight w:val="0"/>
      <w:marTop w:val="0"/>
      <w:marBottom w:val="0"/>
      <w:divBdr>
        <w:top w:val="none" w:sz="0" w:space="0" w:color="auto"/>
        <w:left w:val="none" w:sz="0" w:space="0" w:color="auto"/>
        <w:bottom w:val="none" w:sz="0" w:space="0" w:color="auto"/>
        <w:right w:val="none" w:sz="0" w:space="0" w:color="auto"/>
      </w:divBdr>
    </w:div>
    <w:div w:id="1942833228">
      <w:bodyDiv w:val="1"/>
      <w:marLeft w:val="0"/>
      <w:marRight w:val="0"/>
      <w:marTop w:val="0"/>
      <w:marBottom w:val="0"/>
      <w:divBdr>
        <w:top w:val="none" w:sz="0" w:space="0" w:color="auto"/>
        <w:left w:val="none" w:sz="0" w:space="0" w:color="auto"/>
        <w:bottom w:val="none" w:sz="0" w:space="0" w:color="auto"/>
        <w:right w:val="none" w:sz="0" w:space="0" w:color="auto"/>
      </w:divBdr>
    </w:div>
    <w:div w:id="19661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5th\Templates\Eec8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1B81A444E34248BBC988D4638CFC23" ma:contentTypeVersion="2" ma:contentTypeDescription="Create a new document." ma:contentTypeScope="" ma:versionID="e05846c08eb9788948ca12760dc24ca9">
  <xsd:schema xmlns:xsd="http://www.w3.org/2001/XMLSchema" xmlns:p="http://schemas.microsoft.com/office/2006/metadata/properties" xmlns:ns2="8662b4aa-cf42-4f00-a3f0-9d3b4acad230" xmlns:ns3="310e179b-1379-4e79-9b74-d5a32b1812d3" targetNamespace="http://schemas.microsoft.com/office/2006/metadata/properties" ma:root="true" ma:fieldsID="51b3e81c0f520dee15c313ac37b76417"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UNEP/OzL.Pro/ExCom/85/28</Document_x0020_Number>
  </documentManagement>
</p:properties>
</file>

<file path=customXml/itemProps1.xml><?xml version="1.0" encoding="utf-8"?>
<ds:datastoreItem xmlns:ds="http://schemas.openxmlformats.org/officeDocument/2006/customXml" ds:itemID="{E1AD65D9-43A9-42AF-843B-7260A3543729}"/>
</file>

<file path=customXml/itemProps2.xml><?xml version="1.0" encoding="utf-8"?>
<ds:datastoreItem xmlns:ds="http://schemas.openxmlformats.org/officeDocument/2006/customXml" ds:itemID="{E4221E6C-2171-4B1E-84C0-1DD8D0FB4304}"/>
</file>

<file path=customXml/itemProps3.xml><?xml version="1.0" encoding="utf-8"?>
<ds:datastoreItem xmlns:ds="http://schemas.openxmlformats.org/officeDocument/2006/customXml" ds:itemID="{82A55A52-9F88-406F-8377-4B674E44C5F7}"/>
</file>

<file path=customXml/itemProps4.xml><?xml version="1.0" encoding="utf-8"?>
<ds:datastoreItem xmlns:ds="http://schemas.openxmlformats.org/officeDocument/2006/customXml" ds:itemID="{5638A792-EA05-4BD3-98DB-899BB5548671}"/>
</file>

<file path=docProps/app.xml><?xml version="1.0" encoding="utf-8"?>
<Properties xmlns="http://schemas.openxmlformats.org/officeDocument/2006/extended-properties" xmlns:vt="http://schemas.openxmlformats.org/officeDocument/2006/docPropsVTypes">
  <Template>Eec85G</Template>
  <TotalTime>105</TotalTime>
  <Pages>10</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Poposition de project: Guatemala</vt:lpstr>
    </vt:vector>
  </TitlesOfParts>
  <Manager/>
  <Company>UNMFS</Company>
  <LinksUpToDate>false</LinksUpToDate>
  <CharactersWithSpaces>22537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Guatemala</dc:title>
  <dc:subject/>
  <dc:creator>Joel Pare-Julien</dc:creator>
  <cp:keywords>85th</cp:keywords>
  <dc:description/>
  <cp:lastModifiedBy>Lynda</cp:lastModifiedBy>
  <cp:revision>7</cp:revision>
  <cp:lastPrinted>2020-05-01T10:50:00Z</cp:lastPrinted>
  <dcterms:created xsi:type="dcterms:W3CDTF">2020-05-15T19:23:00Z</dcterms:created>
  <dcterms:modified xsi:type="dcterms:W3CDTF">2020-05-18T03:10:00Z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UNEP/OzL.Pro/ExCom/85/28</vt:lpwstr>
  </property>
  <property fmtid="{D5CDD505-2E9C-101B-9397-08002B2CF9AE}" pid="3" name="Revision date">
    <vt:lpwstr>05/15/2020</vt:lpwstr>
  </property>
  <property fmtid="{D5CDD505-2E9C-101B-9397-08002B2CF9AE}" pid="4" name="ContentTypeId">
    <vt:lpwstr>0x010100291B81A444E34248BBC988D4638CFC23</vt:lpwstr>
  </property>
</Properties>
</file>