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2A78DD" w14:paraId="32AE1546" w14:textId="77777777">
        <w:trPr>
          <w:trHeight w:val="720"/>
        </w:trPr>
        <w:tc>
          <w:tcPr>
            <w:tcW w:w="7061" w:type="dxa"/>
            <w:gridSpan w:val="2"/>
            <w:tcBorders>
              <w:bottom w:val="single" w:sz="18" w:space="0" w:color="auto"/>
            </w:tcBorders>
          </w:tcPr>
          <w:p w14:paraId="48BF4950" w14:textId="77777777" w:rsidR="00441083" w:rsidRPr="002A78DD"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r w:rsidRPr="002A78DD">
              <w:rPr>
                <w:rFonts w:ascii="Univers" w:hAnsi="Univers"/>
                <w:b/>
                <w:sz w:val="28"/>
                <w:szCs w:val="28"/>
                <w:lang w:val="fr-FR"/>
              </w:rPr>
              <w:t>NATIONS</w:t>
            </w:r>
          </w:p>
          <w:p w14:paraId="6D6C59E0" w14:textId="77777777" w:rsidR="00441083" w:rsidRPr="002A78DD"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2A78DD">
              <w:rPr>
                <w:rFonts w:ascii="Univers" w:hAnsi="Univers"/>
                <w:b/>
                <w:sz w:val="28"/>
                <w:szCs w:val="28"/>
                <w:lang w:val="fr-FR"/>
              </w:rPr>
              <w:t xml:space="preserve">UNIES </w:t>
            </w:r>
          </w:p>
        </w:tc>
        <w:tc>
          <w:tcPr>
            <w:tcW w:w="3544" w:type="dxa"/>
            <w:tcBorders>
              <w:bottom w:val="single" w:sz="18" w:space="0" w:color="auto"/>
            </w:tcBorders>
          </w:tcPr>
          <w:p w14:paraId="70C0E214" w14:textId="77777777" w:rsidR="00441083" w:rsidRPr="002A78DD" w:rsidRDefault="00E60D9C">
            <w:pPr>
              <w:tabs>
                <w:tab w:val="left" w:pos="3010"/>
              </w:tabs>
              <w:jc w:val="center"/>
              <w:rPr>
                <w:sz w:val="52"/>
                <w:szCs w:val="52"/>
                <w:lang w:val="fr-FR"/>
              </w:rPr>
            </w:pPr>
            <w:r w:rsidRPr="002A78DD">
              <w:rPr>
                <w:rFonts w:ascii="Univers Bold" w:hAnsi="Univers Bold"/>
                <w:b/>
                <w:sz w:val="72"/>
                <w:lang w:val="fr-FR"/>
              </w:rPr>
              <w:t xml:space="preserve">          EP</w:t>
            </w:r>
          </w:p>
        </w:tc>
      </w:tr>
      <w:tr w:rsidR="00441083" w:rsidRPr="002A78DD" w14:paraId="1044D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B72E995" w14:textId="77777777" w:rsidR="00441083" w:rsidRPr="002A78DD" w:rsidRDefault="00C6443E">
            <w:pPr>
              <w:spacing w:before="120"/>
              <w:rPr>
                <w:lang w:val="fr-FR"/>
              </w:rPr>
            </w:pPr>
            <w:r w:rsidRPr="002A78DD">
              <w:rPr>
                <w:noProof/>
                <w:lang w:val="en-US"/>
              </w:rPr>
              <w:drawing>
                <wp:anchor distT="0" distB="0" distL="114300" distR="114300" simplePos="0" relativeHeight="251660288" behindDoc="0" locked="0" layoutInCell="1" allowOverlap="1" wp14:anchorId="29A7D60B" wp14:editId="665843A2">
                  <wp:simplePos x="0" y="0"/>
                  <wp:positionH relativeFrom="column">
                    <wp:posOffset>342456</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2A78DD">
              <w:rPr>
                <w:noProof/>
                <w:lang w:val="en-US"/>
              </w:rPr>
              <w:drawing>
                <wp:anchor distT="0" distB="0" distL="114300" distR="114300" simplePos="0" relativeHeight="251661312" behindDoc="1" locked="0" layoutInCell="0" allowOverlap="1" wp14:anchorId="5A167A32" wp14:editId="2B5AAA9B">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6277DA16" w14:textId="77777777" w:rsidR="00441083" w:rsidRPr="002A78DD"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14:paraId="2AF6597B" w14:textId="77777777" w:rsidR="00441083" w:rsidRPr="002A78DD"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2A78DD">
              <w:rPr>
                <w:rFonts w:ascii="Univers" w:hAnsi="Univers"/>
                <w:b/>
                <w:sz w:val="32"/>
                <w:lang w:val="fr-FR"/>
              </w:rPr>
              <w:t>Programme des</w:t>
            </w:r>
          </w:p>
          <w:p w14:paraId="47D39535" w14:textId="77777777" w:rsidR="00441083" w:rsidRPr="002A78DD" w:rsidRDefault="00E60D9C">
            <w:pPr>
              <w:rPr>
                <w:rFonts w:ascii="Univers" w:hAnsi="Univers"/>
                <w:b/>
                <w:sz w:val="32"/>
                <w:lang w:val="fr-FR"/>
              </w:rPr>
            </w:pPr>
            <w:r w:rsidRPr="002A78DD">
              <w:rPr>
                <w:rFonts w:ascii="Univers" w:hAnsi="Univers"/>
                <w:b/>
                <w:sz w:val="32"/>
                <w:lang w:val="fr-FR"/>
              </w:rPr>
              <w:t>Nations Unies pour</w:t>
            </w:r>
          </w:p>
          <w:p w14:paraId="1B0FDDB6" w14:textId="77777777" w:rsidR="00441083" w:rsidRPr="002A78DD" w:rsidRDefault="00E60D9C">
            <w:pPr>
              <w:rPr>
                <w:rFonts w:ascii="Univers" w:hAnsi="Univers"/>
                <w:b/>
                <w:sz w:val="32"/>
                <w:lang w:val="fr-FR"/>
              </w:rPr>
            </w:pPr>
            <w:r w:rsidRPr="002A78DD">
              <w:rPr>
                <w:rFonts w:ascii="Univers" w:hAnsi="Univers"/>
                <w:b/>
                <w:sz w:val="32"/>
                <w:lang w:val="fr-FR"/>
              </w:rPr>
              <w:t>l’environnement</w:t>
            </w:r>
          </w:p>
          <w:p w14:paraId="4AB93F39" w14:textId="77777777" w:rsidR="00441083" w:rsidRPr="002A78DD" w:rsidRDefault="00E60D9C">
            <w:pPr>
              <w:spacing w:before="720"/>
              <w:ind w:left="158"/>
              <w:rPr>
                <w:lang w:val="fr-FR"/>
              </w:rPr>
            </w:pPr>
            <w:r w:rsidRPr="002A78DD">
              <w:rPr>
                <w:lang w:val="fr-FR"/>
              </w:rPr>
              <w:t xml:space="preserve"> </w:t>
            </w:r>
          </w:p>
        </w:tc>
        <w:tc>
          <w:tcPr>
            <w:tcW w:w="3544" w:type="dxa"/>
            <w:tcBorders>
              <w:top w:val="nil"/>
              <w:left w:val="nil"/>
              <w:bottom w:val="single" w:sz="36" w:space="0" w:color="auto"/>
              <w:right w:val="nil"/>
            </w:tcBorders>
          </w:tcPr>
          <w:p w14:paraId="3FBB38B6" w14:textId="77777777" w:rsidR="00441083" w:rsidRPr="002A78DD" w:rsidRDefault="00441083">
            <w:pPr>
              <w:rPr>
                <w:lang w:val="fr-FR"/>
              </w:rPr>
            </w:pPr>
          </w:p>
          <w:p w14:paraId="0C7B7124" w14:textId="77777777" w:rsidR="00441083" w:rsidRPr="002A78DD" w:rsidRDefault="00E60D9C">
            <w:pPr>
              <w:rPr>
                <w:lang w:val="fr-FR"/>
              </w:rPr>
            </w:pPr>
            <w:proofErr w:type="spellStart"/>
            <w:r w:rsidRPr="002A78DD">
              <w:rPr>
                <w:lang w:val="fr-FR"/>
              </w:rPr>
              <w:t>Distr</w:t>
            </w:r>
            <w:proofErr w:type="spellEnd"/>
            <w:r w:rsidRPr="002A78DD">
              <w:rPr>
                <w:lang w:val="fr-FR"/>
              </w:rPr>
              <w:t>.</w:t>
            </w:r>
          </w:p>
          <w:p w14:paraId="76B02F71" w14:textId="77777777" w:rsidR="00441083" w:rsidRPr="002A78DD" w:rsidRDefault="00E60D9C" w:rsidP="00DD3433">
            <w:pPr>
              <w:rPr>
                <w:lang w:val="fr-FR"/>
              </w:rPr>
            </w:pPr>
            <w:r w:rsidRPr="002A78DD">
              <w:rPr>
                <w:lang w:val="fr-FR"/>
              </w:rPr>
              <w:t>G</w:t>
            </w:r>
            <w:r w:rsidR="00DD3433" w:rsidRPr="002A78DD">
              <w:rPr>
                <w:lang w:val="fr-FR"/>
              </w:rPr>
              <w:t>É</w:t>
            </w:r>
            <w:r w:rsidRPr="002A78DD">
              <w:rPr>
                <w:lang w:val="fr-FR"/>
              </w:rPr>
              <w:t>N</w:t>
            </w:r>
            <w:r w:rsidR="00DD3433" w:rsidRPr="002A78DD">
              <w:rPr>
                <w:lang w:val="fr-FR"/>
              </w:rPr>
              <w:t>É</w:t>
            </w:r>
            <w:r w:rsidRPr="002A78DD">
              <w:rPr>
                <w:lang w:val="fr-FR"/>
              </w:rPr>
              <w:t>RAL</w:t>
            </w:r>
            <w:r w:rsidR="00FF3CF1" w:rsidRPr="002A78DD">
              <w:rPr>
                <w:lang w:val="fr-FR"/>
              </w:rPr>
              <w:t>E</w:t>
            </w:r>
          </w:p>
          <w:p w14:paraId="6018F92F" w14:textId="77777777" w:rsidR="00441083" w:rsidRPr="002A78DD" w:rsidRDefault="00441083">
            <w:pPr>
              <w:rPr>
                <w:lang w:val="fr-FR"/>
              </w:rPr>
            </w:pPr>
          </w:p>
          <w:p w14:paraId="391C7916" w14:textId="460CC99A" w:rsidR="00441083" w:rsidRPr="008706DE" w:rsidRDefault="00E60D9C">
            <w:pPr>
              <w:rPr>
                <w:lang w:val="en-CA"/>
              </w:rPr>
            </w:pPr>
            <w:r w:rsidRPr="002A78DD">
              <w:rPr>
                <w:lang w:val="fr-FR"/>
              </w:rPr>
              <w:fldChar w:fldCharType="begin"/>
            </w:r>
            <w:r w:rsidRPr="008706DE">
              <w:rPr>
                <w:lang w:val="en-CA"/>
              </w:rPr>
              <w:instrText xml:space="preserve"> DOCPROPERTY "Document number"  \* MERGEFORMAT </w:instrText>
            </w:r>
            <w:r w:rsidRPr="002A78DD">
              <w:rPr>
                <w:lang w:val="fr-FR"/>
              </w:rPr>
              <w:fldChar w:fldCharType="separate"/>
            </w:r>
            <w:r w:rsidR="008706DE" w:rsidRPr="008706DE">
              <w:rPr>
                <w:lang w:val="en-CA"/>
              </w:rPr>
              <w:t>UNEP/</w:t>
            </w:r>
            <w:proofErr w:type="spellStart"/>
            <w:r w:rsidR="008706DE" w:rsidRPr="008706DE">
              <w:rPr>
                <w:lang w:val="en-CA"/>
              </w:rPr>
              <w:t>OzL.Pro</w:t>
            </w:r>
            <w:proofErr w:type="spellEnd"/>
            <w:r w:rsidR="008706DE" w:rsidRPr="008706DE">
              <w:rPr>
                <w:lang w:val="en-CA"/>
              </w:rPr>
              <w:t>/ExCom/85/13</w:t>
            </w:r>
            <w:r w:rsidRPr="002A78DD">
              <w:rPr>
                <w:lang w:val="fr-FR"/>
              </w:rPr>
              <w:fldChar w:fldCharType="end"/>
            </w:r>
          </w:p>
          <w:p w14:paraId="145E01E2" w14:textId="4516DA3D" w:rsidR="002F0B57" w:rsidRPr="00EE624C" w:rsidRDefault="00154093" w:rsidP="000F6C8E">
            <w:pPr>
              <w:rPr>
                <w:lang w:val="en-US"/>
              </w:rPr>
            </w:pPr>
            <w:r w:rsidRPr="00EE624C">
              <w:rPr>
                <w:lang w:val="en-US"/>
              </w:rPr>
              <w:t xml:space="preserve">14 </w:t>
            </w:r>
            <w:proofErr w:type="spellStart"/>
            <w:r w:rsidRPr="00EE624C">
              <w:rPr>
                <w:lang w:val="en-US"/>
              </w:rPr>
              <w:t>m</w:t>
            </w:r>
            <w:r w:rsidR="00EE624C">
              <w:rPr>
                <w:lang w:val="en-US"/>
              </w:rPr>
              <w:t>ai</w:t>
            </w:r>
            <w:proofErr w:type="spellEnd"/>
            <w:r w:rsidR="00EE624C">
              <w:rPr>
                <w:lang w:val="en-US"/>
              </w:rPr>
              <w:t xml:space="preserve"> 2020</w:t>
            </w:r>
          </w:p>
          <w:p w14:paraId="757AFA1D" w14:textId="77777777" w:rsidR="00441083" w:rsidRPr="002A78DD" w:rsidRDefault="00FC5578">
            <w:pPr>
              <w:rPr>
                <w:caps/>
                <w:lang w:val="fr-FR"/>
              </w:rPr>
            </w:pPr>
            <w:r w:rsidRPr="00EE624C">
              <w:rPr>
                <w:caps/>
                <w:lang w:val="en-US"/>
              </w:rPr>
              <w:br/>
            </w:r>
            <w:r w:rsidR="00E60D9C" w:rsidRPr="002A78DD">
              <w:rPr>
                <w:caps/>
                <w:lang w:val="fr-FR"/>
              </w:rPr>
              <w:t>FRANÇAIS</w:t>
            </w:r>
          </w:p>
          <w:p w14:paraId="09DA2186" w14:textId="77777777" w:rsidR="00441083" w:rsidRPr="002A78DD" w:rsidRDefault="00E60D9C">
            <w:pPr>
              <w:rPr>
                <w:lang w:val="fr-FR"/>
              </w:rPr>
            </w:pPr>
            <w:r w:rsidRPr="002A78DD">
              <w:rPr>
                <w:lang w:val="fr-FR"/>
              </w:rPr>
              <w:t xml:space="preserve">ORIGINAL: </w:t>
            </w:r>
            <w:r w:rsidR="0091161A" w:rsidRPr="002A78DD">
              <w:rPr>
                <w:lang w:val="fr-FR"/>
              </w:rPr>
              <w:t>ANGLAIS</w:t>
            </w:r>
          </w:p>
        </w:tc>
      </w:tr>
    </w:tbl>
    <w:p w14:paraId="78F03059" w14:textId="77777777" w:rsidR="00441083" w:rsidRPr="002A78DD" w:rsidRDefault="00E60D9C" w:rsidP="00DD3433">
      <w:pPr>
        <w:jc w:val="left"/>
        <w:rPr>
          <w:lang w:val="fr-FR"/>
        </w:rPr>
      </w:pPr>
      <w:r w:rsidRPr="002A78DD">
        <w:rPr>
          <w:lang w:val="fr-FR"/>
        </w:rPr>
        <w:t>COMIT</w:t>
      </w:r>
      <w:r w:rsidR="00DD3433" w:rsidRPr="002A78DD">
        <w:rPr>
          <w:lang w:val="fr-FR"/>
        </w:rPr>
        <w:t>É</w:t>
      </w:r>
      <w:r w:rsidRPr="002A78DD">
        <w:rPr>
          <w:lang w:val="fr-FR"/>
        </w:rPr>
        <w:t xml:space="preserve"> EX</w:t>
      </w:r>
      <w:r w:rsidR="00DD3433" w:rsidRPr="002A78DD">
        <w:rPr>
          <w:lang w:val="fr-FR"/>
        </w:rPr>
        <w:t xml:space="preserve">ÉCUTIF </w:t>
      </w:r>
      <w:r w:rsidR="00DD3433" w:rsidRPr="002A78DD">
        <w:rPr>
          <w:lang w:val="fr-FR"/>
        </w:rPr>
        <w:br/>
        <w:t xml:space="preserve">  DU FONDS MULTILATÉ</w:t>
      </w:r>
      <w:r w:rsidRPr="002A78DD">
        <w:rPr>
          <w:lang w:val="fr-FR"/>
        </w:rPr>
        <w:t xml:space="preserve">RAL AUX FINS </w:t>
      </w:r>
      <w:r w:rsidRPr="002A78DD">
        <w:rPr>
          <w:lang w:val="fr-FR"/>
        </w:rPr>
        <w:br/>
        <w:t xml:space="preserve">  D’APPLICATION DU PROTOCOLE DE MONTR</w:t>
      </w:r>
      <w:r w:rsidR="00DD3433" w:rsidRPr="002A78DD">
        <w:rPr>
          <w:lang w:val="fr-FR"/>
        </w:rPr>
        <w:t>É</w:t>
      </w:r>
      <w:r w:rsidRPr="002A78DD">
        <w:rPr>
          <w:lang w:val="fr-FR"/>
        </w:rPr>
        <w:t>AL</w:t>
      </w:r>
      <w:r w:rsidRPr="002A78DD">
        <w:rPr>
          <w:lang w:val="fr-FR"/>
        </w:rPr>
        <w:br/>
      </w:r>
      <w:r w:rsidR="00E54871" w:rsidRPr="002A78DD">
        <w:rPr>
          <w:lang w:val="fr-FR"/>
        </w:rPr>
        <w:t>Quatre</w:t>
      </w:r>
      <w:r w:rsidRPr="002A78DD">
        <w:rPr>
          <w:lang w:val="fr-FR"/>
        </w:rPr>
        <w:t>-</w:t>
      </w:r>
      <w:r w:rsidR="00E54871" w:rsidRPr="002A78DD">
        <w:rPr>
          <w:lang w:val="fr-FR"/>
        </w:rPr>
        <w:t>vingt</w:t>
      </w:r>
      <w:r w:rsidR="009666A1" w:rsidRPr="002A78DD">
        <w:rPr>
          <w:lang w:val="fr-FR"/>
        </w:rPr>
        <w:t>-cin</w:t>
      </w:r>
      <w:r w:rsidR="00AC013C" w:rsidRPr="002A78DD">
        <w:rPr>
          <w:lang w:val="fr-FR"/>
        </w:rPr>
        <w:t>q</w:t>
      </w:r>
      <w:r w:rsidR="009666A1" w:rsidRPr="002A78DD">
        <w:rPr>
          <w:lang w:val="fr-FR"/>
        </w:rPr>
        <w:t>u</w:t>
      </w:r>
      <w:r w:rsidR="004C2C87" w:rsidRPr="002A78DD">
        <w:rPr>
          <w:lang w:val="fr-FR"/>
        </w:rPr>
        <w:t>i</w:t>
      </w:r>
      <w:r w:rsidR="00E54871" w:rsidRPr="002A78DD">
        <w:rPr>
          <w:lang w:val="fr-FR"/>
        </w:rPr>
        <w:t>ème</w:t>
      </w:r>
      <w:r w:rsidR="00FC5578" w:rsidRPr="002A78DD">
        <w:rPr>
          <w:lang w:val="fr-FR"/>
        </w:rPr>
        <w:t xml:space="preserve"> </w:t>
      </w:r>
      <w:r w:rsidRPr="002A78DD">
        <w:rPr>
          <w:lang w:val="fr-FR"/>
        </w:rPr>
        <w:t>réunion</w:t>
      </w:r>
    </w:p>
    <w:p w14:paraId="317BC39D" w14:textId="77777777" w:rsidR="00C27322" w:rsidRPr="002A78DD" w:rsidRDefault="00C27322" w:rsidP="00C27322">
      <w:pPr>
        <w:jc w:val="left"/>
        <w:rPr>
          <w:lang w:val="fr-FR"/>
        </w:rPr>
      </w:pPr>
      <w:r w:rsidRPr="002A78DD">
        <w:rPr>
          <w:lang w:val="fr-FR"/>
        </w:rPr>
        <w:t>Montréal, 25 – 29 mai 2020</w:t>
      </w:r>
    </w:p>
    <w:p w14:paraId="121371B5" w14:textId="391FD916" w:rsidR="00441083" w:rsidRPr="002A78DD" w:rsidRDefault="00C27322" w:rsidP="00BE0947">
      <w:pPr>
        <w:jc w:val="left"/>
        <w:rPr>
          <w:lang w:val="fr-FR"/>
        </w:rPr>
      </w:pPr>
      <w:r w:rsidRPr="002A78DD">
        <w:rPr>
          <w:lang w:val="fr-FR"/>
        </w:rPr>
        <w:t>Reportée:</w:t>
      </w:r>
      <w:r w:rsidR="00FC5578" w:rsidRPr="002A78DD">
        <w:rPr>
          <w:lang w:val="fr-FR"/>
        </w:rPr>
        <w:t xml:space="preserve"> </w:t>
      </w:r>
      <w:r w:rsidR="00AC013C" w:rsidRPr="002A78DD">
        <w:rPr>
          <w:lang w:val="fr-FR"/>
        </w:rPr>
        <w:t>1</w:t>
      </w:r>
      <w:r w:rsidR="009666A1" w:rsidRPr="002A78DD">
        <w:rPr>
          <w:lang w:val="fr-FR"/>
        </w:rPr>
        <w:t>9</w:t>
      </w:r>
      <w:r w:rsidR="00AC013C" w:rsidRPr="002A78DD">
        <w:rPr>
          <w:lang w:val="fr-FR"/>
        </w:rPr>
        <w:t xml:space="preserve"> </w:t>
      </w:r>
      <w:r w:rsidR="00E60D9C" w:rsidRPr="002A78DD">
        <w:rPr>
          <w:lang w:val="fr-FR"/>
        </w:rPr>
        <w:t xml:space="preserve">– </w:t>
      </w:r>
      <w:r w:rsidR="00AC013C" w:rsidRPr="002A78DD">
        <w:rPr>
          <w:lang w:val="fr-FR"/>
        </w:rPr>
        <w:t>2</w:t>
      </w:r>
      <w:r w:rsidR="009666A1" w:rsidRPr="002A78DD">
        <w:rPr>
          <w:lang w:val="fr-FR"/>
        </w:rPr>
        <w:t>2 juillet 2020</w:t>
      </w:r>
      <w:r w:rsidR="009575C7">
        <w:rPr>
          <w:rStyle w:val="FootnoteReference"/>
          <w:lang w:val="fr-FR"/>
        </w:rPr>
        <w:footnoteReference w:customMarkFollows="1" w:id="1"/>
        <w:t>*</w:t>
      </w:r>
    </w:p>
    <w:p w14:paraId="5F9BEB13" w14:textId="77777777" w:rsidR="00D6328A" w:rsidRPr="002A78DD" w:rsidRDefault="00D6328A">
      <w:pPr>
        <w:pStyle w:val="Title1"/>
        <w:rPr>
          <w:lang w:val="fr-FR"/>
        </w:rPr>
      </w:pPr>
    </w:p>
    <w:p w14:paraId="3E6773E5" w14:textId="6315AC95" w:rsidR="00734F07" w:rsidRDefault="00734F07">
      <w:pPr>
        <w:pStyle w:val="Title1"/>
        <w:rPr>
          <w:lang w:val="fr-FR"/>
        </w:rPr>
      </w:pPr>
    </w:p>
    <w:p w14:paraId="518AC624" w14:textId="77777777" w:rsidR="005A7DD3" w:rsidRPr="002A78DD" w:rsidRDefault="005A7DD3">
      <w:pPr>
        <w:pStyle w:val="Title1"/>
        <w:rPr>
          <w:lang w:val="fr-FR"/>
        </w:rPr>
      </w:pPr>
    </w:p>
    <w:p w14:paraId="21D60045" w14:textId="4EE344CC" w:rsidR="00441083" w:rsidRDefault="00154093" w:rsidP="00734F07">
      <w:pPr>
        <w:jc w:val="center"/>
        <w:rPr>
          <w:b/>
          <w:bCs/>
          <w:lang w:val="fr-FR"/>
        </w:rPr>
      </w:pPr>
      <w:r w:rsidRPr="002A78DD">
        <w:rPr>
          <w:b/>
          <w:bCs/>
          <w:lang w:val="fr-FR"/>
        </w:rPr>
        <w:t xml:space="preserve">APERÇU DES QUESTIONS SOULEVÉES PENDANT L’EXAMEN DES PROJETS </w:t>
      </w:r>
    </w:p>
    <w:p w14:paraId="7FD32A96" w14:textId="77777777" w:rsidR="005A7DD3" w:rsidRPr="002A78DD" w:rsidRDefault="005A7DD3" w:rsidP="00734F07">
      <w:pPr>
        <w:jc w:val="center"/>
        <w:rPr>
          <w:lang w:val="fr-FR"/>
        </w:rPr>
      </w:pPr>
    </w:p>
    <w:p w14:paraId="29D51602" w14:textId="77777777" w:rsidR="00441083" w:rsidRPr="002A78DD" w:rsidRDefault="00441083">
      <w:pPr>
        <w:jc w:val="center"/>
        <w:rPr>
          <w:lang w:val="fr-FR"/>
        </w:rPr>
      </w:pPr>
    </w:p>
    <w:p w14:paraId="73ACBC47" w14:textId="77777777" w:rsidR="00441083" w:rsidRPr="002A78DD" w:rsidRDefault="00154093" w:rsidP="00154093">
      <w:pPr>
        <w:pStyle w:val="StyleHeading1Para1Heading1CharHeading1Char3CharHeadin"/>
        <w:numPr>
          <w:ilvl w:val="0"/>
          <w:numId w:val="1"/>
        </w:numPr>
        <w:tabs>
          <w:tab w:val="clear" w:pos="0"/>
        </w:tabs>
        <w:rPr>
          <w:lang w:val="fr-FR"/>
        </w:rPr>
      </w:pPr>
      <w:r w:rsidRPr="002A78DD">
        <w:rPr>
          <w:lang w:val="fr-FR"/>
        </w:rPr>
        <w:t>Le présent document comprend les sections suivantes :</w:t>
      </w:r>
    </w:p>
    <w:p w14:paraId="44BFF77D" w14:textId="76561C1E" w:rsidR="00154093" w:rsidRPr="002A78DD" w:rsidRDefault="00BE0947">
      <w:pPr>
        <w:pStyle w:val="Heading2"/>
        <w:numPr>
          <w:ilvl w:val="1"/>
          <w:numId w:val="1"/>
        </w:numPr>
        <w:tabs>
          <w:tab w:val="clear" w:pos="0"/>
          <w:tab w:val="left" w:pos="720"/>
          <w:tab w:val="num" w:pos="1440"/>
        </w:tabs>
        <w:rPr>
          <w:lang w:val="fr-FR"/>
        </w:rPr>
      </w:pPr>
      <w:r>
        <w:rPr>
          <w:lang w:val="fr-FR"/>
        </w:rPr>
        <w:t>A</w:t>
      </w:r>
      <w:r w:rsidR="00154093" w:rsidRPr="002A78DD">
        <w:rPr>
          <w:lang w:val="fr-FR"/>
        </w:rPr>
        <w:t>perçu des projets et des activités présentés par les agences bilatérales et d’exécution;</w:t>
      </w:r>
    </w:p>
    <w:p w14:paraId="13864E74" w14:textId="67D8E9D9" w:rsidR="00154093" w:rsidRPr="002A78DD" w:rsidRDefault="00BE0947">
      <w:pPr>
        <w:pStyle w:val="Heading2"/>
        <w:numPr>
          <w:ilvl w:val="1"/>
          <w:numId w:val="1"/>
        </w:numPr>
        <w:tabs>
          <w:tab w:val="clear" w:pos="0"/>
          <w:tab w:val="left" w:pos="720"/>
          <w:tab w:val="num" w:pos="1440"/>
        </w:tabs>
        <w:rPr>
          <w:lang w:val="fr-FR"/>
        </w:rPr>
      </w:pPr>
      <w:r>
        <w:rPr>
          <w:lang w:val="fr-FR"/>
        </w:rPr>
        <w:t>Q</w:t>
      </w:r>
      <w:r w:rsidR="00154093" w:rsidRPr="002A78DD">
        <w:rPr>
          <w:lang w:val="fr-FR"/>
        </w:rPr>
        <w:t>uestions soulevées durant le processus d’examen des projets;</w:t>
      </w:r>
    </w:p>
    <w:p w14:paraId="227C7C07" w14:textId="69265061" w:rsidR="00441083" w:rsidRPr="002A78DD" w:rsidRDefault="00BE0947">
      <w:pPr>
        <w:pStyle w:val="Heading2"/>
        <w:numPr>
          <w:ilvl w:val="1"/>
          <w:numId w:val="1"/>
        </w:numPr>
        <w:tabs>
          <w:tab w:val="clear" w:pos="0"/>
          <w:tab w:val="left" w:pos="720"/>
          <w:tab w:val="num" w:pos="1440"/>
        </w:tabs>
        <w:rPr>
          <w:lang w:val="fr-FR"/>
        </w:rPr>
      </w:pPr>
      <w:r>
        <w:rPr>
          <w:lang w:val="fr-FR"/>
        </w:rPr>
        <w:t xml:space="preserve">Projets et </w:t>
      </w:r>
      <w:r w:rsidR="00154093" w:rsidRPr="002A78DD">
        <w:rPr>
          <w:lang w:val="fr-FR"/>
        </w:rPr>
        <w:t xml:space="preserve">activités soumis pour approbation globale; et </w:t>
      </w:r>
    </w:p>
    <w:p w14:paraId="1CAEE1C0" w14:textId="5EA391AA" w:rsidR="00154093" w:rsidRPr="002A78DD" w:rsidRDefault="00BE0947" w:rsidP="00154093">
      <w:pPr>
        <w:pStyle w:val="Heading2"/>
        <w:numPr>
          <w:ilvl w:val="1"/>
          <w:numId w:val="1"/>
        </w:numPr>
        <w:tabs>
          <w:tab w:val="clear" w:pos="0"/>
          <w:tab w:val="left" w:pos="720"/>
          <w:tab w:val="num" w:pos="1440"/>
        </w:tabs>
        <w:rPr>
          <w:lang w:val="fr-FR"/>
        </w:rPr>
      </w:pPr>
      <w:r>
        <w:rPr>
          <w:lang w:val="fr-FR"/>
        </w:rPr>
        <w:t>P</w:t>
      </w:r>
      <w:r w:rsidR="00154093" w:rsidRPr="002A78DD">
        <w:rPr>
          <w:lang w:val="fr-FR"/>
        </w:rPr>
        <w:t>rojets d’investissement soumis pour examen individuel.</w:t>
      </w:r>
    </w:p>
    <w:p w14:paraId="7C1747FB" w14:textId="77777777" w:rsidR="00441083" w:rsidRPr="002A78DD" w:rsidRDefault="00154093" w:rsidP="00154093">
      <w:pPr>
        <w:rPr>
          <w:b/>
          <w:lang w:val="fr-FR"/>
        </w:rPr>
      </w:pPr>
      <w:r w:rsidRPr="002A78DD">
        <w:rPr>
          <w:b/>
          <w:lang w:val="fr-FR"/>
        </w:rPr>
        <w:t>Projets et activités présentés par les agences bilatérales et d’exécution</w:t>
      </w:r>
    </w:p>
    <w:p w14:paraId="24316218" w14:textId="77777777" w:rsidR="00154093" w:rsidRPr="002A78DD" w:rsidRDefault="00154093" w:rsidP="00154093">
      <w:pPr>
        <w:rPr>
          <w:b/>
          <w:lang w:val="fr-FR"/>
        </w:rPr>
      </w:pPr>
    </w:p>
    <w:p w14:paraId="3C78FC9D" w14:textId="6FE0776A" w:rsidR="00790A2F" w:rsidRPr="002A78DD" w:rsidRDefault="00154093" w:rsidP="00790A2F">
      <w:pPr>
        <w:pStyle w:val="StyleHeading1Para1Heading1CharHeading1Char3CharHeadin"/>
        <w:numPr>
          <w:ilvl w:val="0"/>
          <w:numId w:val="1"/>
        </w:numPr>
        <w:tabs>
          <w:tab w:val="clear" w:pos="0"/>
        </w:tabs>
        <w:rPr>
          <w:lang w:val="fr-FR"/>
        </w:rPr>
      </w:pPr>
      <w:r w:rsidRPr="002A78DD">
        <w:rPr>
          <w:lang w:val="fr-FR"/>
        </w:rPr>
        <w:t>Les agences bilatérales et d’exécution ont présenté 120 demandes de financement pour des tranches d’accords pluriannuels approuvés, des projets et des activités, totalisant 51 187 522</w:t>
      </w:r>
      <w:r w:rsidR="00401CBA">
        <w:rPr>
          <w:lang w:val="fr-FR"/>
        </w:rPr>
        <w:t> </w:t>
      </w:r>
      <w:r w:rsidRPr="002A78DD">
        <w:rPr>
          <w:lang w:val="fr-FR"/>
        </w:rPr>
        <w:t>$US (64</w:t>
      </w:r>
      <w:r w:rsidR="00401CBA">
        <w:rPr>
          <w:lang w:val="fr-FR"/>
        </w:rPr>
        <w:t> </w:t>
      </w:r>
      <w:r w:rsidRPr="002A78DD">
        <w:rPr>
          <w:lang w:val="fr-FR"/>
        </w:rPr>
        <w:t>606</w:t>
      </w:r>
      <w:r w:rsidR="00401CBA">
        <w:rPr>
          <w:lang w:val="fr-FR"/>
        </w:rPr>
        <w:t> </w:t>
      </w:r>
      <w:r w:rsidR="00790A2F">
        <w:rPr>
          <w:lang w:val="fr-FR"/>
        </w:rPr>
        <w:t>565</w:t>
      </w:r>
      <w:r w:rsidR="00401CBA">
        <w:rPr>
          <w:lang w:val="fr-FR"/>
        </w:rPr>
        <w:t> </w:t>
      </w:r>
      <w:r w:rsidR="001914A9" w:rsidRPr="002A78DD">
        <w:rPr>
          <w:lang w:val="fr-FR"/>
        </w:rPr>
        <w:t>$US en incluant</w:t>
      </w:r>
      <w:r w:rsidR="00790A2F" w:rsidRPr="002A78DD">
        <w:rPr>
          <w:lang w:val="fr-FR"/>
        </w:rPr>
        <w:t xml:space="preserve"> les montants demandés en principe), coûts d’appui d’agence inclus, le cas échéant.  Les demandes de financement couvraient :</w:t>
      </w:r>
    </w:p>
    <w:p w14:paraId="087FDFD7" w14:textId="77777777" w:rsidR="00790A2F" w:rsidRPr="002A78DD" w:rsidRDefault="00790A2F" w:rsidP="00790A2F">
      <w:pPr>
        <w:pStyle w:val="Heading2"/>
        <w:rPr>
          <w:lang w:val="fr-FR"/>
        </w:rPr>
      </w:pPr>
      <w:r>
        <w:rPr>
          <w:lang w:val="fr-FR"/>
        </w:rPr>
        <w:t>La phase II du plan</w:t>
      </w:r>
      <w:r w:rsidRPr="002A78DD">
        <w:rPr>
          <w:lang w:val="fr-FR"/>
        </w:rPr>
        <w:t xml:space="preserve"> de gestion de l’élimination des HCFC (PGEH) pour sept pays;</w:t>
      </w:r>
    </w:p>
    <w:p w14:paraId="2B86B665" w14:textId="2CBAF58D" w:rsidR="00154093" w:rsidRPr="002A78DD" w:rsidRDefault="00790A2F" w:rsidP="00790A2F">
      <w:pPr>
        <w:pStyle w:val="Heading2"/>
        <w:rPr>
          <w:lang w:val="fr-FR"/>
        </w:rPr>
      </w:pPr>
      <w:r>
        <w:rPr>
          <w:lang w:val="fr-FR"/>
        </w:rPr>
        <w:t>Des t</w:t>
      </w:r>
      <w:r w:rsidRPr="002A78DD">
        <w:rPr>
          <w:lang w:val="fr-FR"/>
        </w:rPr>
        <w:t xml:space="preserve">ranches de PGEH approuvés pour 36 pays et </w:t>
      </w:r>
      <w:r>
        <w:rPr>
          <w:lang w:val="fr-FR"/>
        </w:rPr>
        <w:t>d’</w:t>
      </w:r>
      <w:r w:rsidRPr="002A78DD">
        <w:rPr>
          <w:lang w:val="fr-FR"/>
        </w:rPr>
        <w:t>un PGEH régional approuvé pour 12</w:t>
      </w:r>
      <w:r w:rsidR="00154093" w:rsidRPr="002A78DD">
        <w:rPr>
          <w:lang w:val="fr-FR"/>
        </w:rPr>
        <w:t>;</w:t>
      </w:r>
    </w:p>
    <w:p w14:paraId="6A1001BA" w14:textId="13894BE1" w:rsidR="00154093" w:rsidRPr="002A78DD" w:rsidRDefault="00BE0947" w:rsidP="00790A2F">
      <w:pPr>
        <w:pStyle w:val="Heading2"/>
        <w:rPr>
          <w:lang w:val="fr-FR"/>
        </w:rPr>
      </w:pPr>
      <w:r>
        <w:rPr>
          <w:lang w:val="fr-FR"/>
        </w:rPr>
        <w:t>Le r</w:t>
      </w:r>
      <w:r w:rsidR="00154093" w:rsidRPr="002A78DD">
        <w:rPr>
          <w:lang w:val="fr-FR"/>
        </w:rPr>
        <w:t>enouvellement de</w:t>
      </w:r>
      <w:r w:rsidR="00D6328A">
        <w:rPr>
          <w:lang w:val="fr-FR"/>
        </w:rPr>
        <w:t>s</w:t>
      </w:r>
      <w:r w:rsidR="00154093" w:rsidRPr="002A78DD">
        <w:rPr>
          <w:lang w:val="fr-FR"/>
        </w:rPr>
        <w:t xml:space="preserve"> projets de renforcement des institutions </w:t>
      </w:r>
      <w:r>
        <w:rPr>
          <w:lang w:val="fr-FR"/>
        </w:rPr>
        <w:t xml:space="preserve">(RI) </w:t>
      </w:r>
      <w:r w:rsidR="00154093" w:rsidRPr="002A78DD">
        <w:rPr>
          <w:lang w:val="fr-FR"/>
        </w:rPr>
        <w:t>pour 14 pays;</w:t>
      </w:r>
    </w:p>
    <w:p w14:paraId="031F2FE4" w14:textId="73780D1C" w:rsidR="00734F07" w:rsidRPr="002A78DD" w:rsidRDefault="00BE0947" w:rsidP="00790A2F">
      <w:pPr>
        <w:pStyle w:val="Heading2"/>
        <w:rPr>
          <w:lang w:val="fr-FR"/>
        </w:rPr>
      </w:pPr>
      <w:r>
        <w:rPr>
          <w:lang w:val="fr-FR"/>
        </w:rPr>
        <w:t>La p</w:t>
      </w:r>
      <w:r w:rsidR="00154093" w:rsidRPr="002A78DD">
        <w:rPr>
          <w:lang w:val="fr-FR"/>
        </w:rPr>
        <w:t>réparation de la phase II des PGEH pour trois pays et de la phase II</w:t>
      </w:r>
      <w:r w:rsidR="00D6328A">
        <w:rPr>
          <w:lang w:val="fr-FR"/>
        </w:rPr>
        <w:t>I</w:t>
      </w:r>
      <w:r w:rsidR="00154093" w:rsidRPr="002A78DD">
        <w:rPr>
          <w:lang w:val="fr-FR"/>
        </w:rPr>
        <w:t xml:space="preserve"> pour deux pays</w:t>
      </w:r>
      <w:r w:rsidR="00D6328A">
        <w:rPr>
          <w:lang w:val="fr-FR"/>
        </w:rPr>
        <w:t>;</w:t>
      </w:r>
      <w:r>
        <w:rPr>
          <w:lang w:val="fr-FR"/>
        </w:rPr>
        <w:t xml:space="preserve"> </w:t>
      </w:r>
    </w:p>
    <w:p w14:paraId="5BBFFA66" w14:textId="77777777" w:rsidR="00790A2F" w:rsidRPr="00790A2F" w:rsidRDefault="00790A2F" w:rsidP="00790A2F">
      <w:pPr>
        <w:pStyle w:val="Heading2"/>
        <w:rPr>
          <w:lang w:val="fr-FR"/>
        </w:rPr>
      </w:pPr>
      <w:r w:rsidRPr="00790A2F">
        <w:rPr>
          <w:lang w:val="fr-FR"/>
        </w:rPr>
        <w:lastRenderedPageBreak/>
        <w:t>La préparation d’un rapport de vérification pour la phase I du PGEH pour un pays;</w:t>
      </w:r>
    </w:p>
    <w:p w14:paraId="75304F97" w14:textId="2575EA7D" w:rsidR="00154093" w:rsidRPr="002A78DD" w:rsidRDefault="00BE0947" w:rsidP="00790A2F">
      <w:pPr>
        <w:pStyle w:val="Heading2"/>
        <w:rPr>
          <w:lang w:val="fr-FR"/>
        </w:rPr>
      </w:pPr>
      <w:r>
        <w:rPr>
          <w:lang w:val="fr-FR"/>
        </w:rPr>
        <w:t>Le contrôle et l’</w:t>
      </w:r>
      <w:r w:rsidR="00154093" w:rsidRPr="002A78DD">
        <w:rPr>
          <w:lang w:val="fr-FR"/>
        </w:rPr>
        <w:t>élimination des émissions de HFC-23 dans la production de HCFC-22 dans deux pays;</w:t>
      </w:r>
    </w:p>
    <w:p w14:paraId="596A5B40" w14:textId="32D08640" w:rsidR="00154093" w:rsidRPr="002A78DD" w:rsidRDefault="00BE0947" w:rsidP="00790A2F">
      <w:pPr>
        <w:pStyle w:val="Heading2"/>
        <w:rPr>
          <w:lang w:val="fr-FR"/>
        </w:rPr>
      </w:pPr>
      <w:r>
        <w:rPr>
          <w:lang w:val="fr-FR"/>
        </w:rPr>
        <w:t>La p</w:t>
      </w:r>
      <w:r w:rsidR="00154093" w:rsidRPr="002A78DD">
        <w:rPr>
          <w:lang w:val="fr-FR"/>
        </w:rPr>
        <w:t>réparation de projet pour des projets d’investissement reliés aux HFC dans un pays;</w:t>
      </w:r>
    </w:p>
    <w:p w14:paraId="603B88C7" w14:textId="1CDC654F" w:rsidR="00154093" w:rsidRPr="002A78DD" w:rsidRDefault="00BE0947" w:rsidP="00790A2F">
      <w:pPr>
        <w:pStyle w:val="Heading2"/>
        <w:rPr>
          <w:lang w:val="fr-FR"/>
        </w:rPr>
      </w:pPr>
      <w:r>
        <w:rPr>
          <w:lang w:val="fr-FR"/>
        </w:rPr>
        <w:t>Des a</w:t>
      </w:r>
      <w:r w:rsidR="00154093" w:rsidRPr="002A78DD">
        <w:rPr>
          <w:lang w:val="fr-FR"/>
        </w:rPr>
        <w:t>ctivités de facilitation pour la réduction progressive des HFC pour quatre pays;</w:t>
      </w:r>
      <w:r>
        <w:rPr>
          <w:lang w:val="fr-FR"/>
        </w:rPr>
        <w:t xml:space="preserve"> et</w:t>
      </w:r>
    </w:p>
    <w:p w14:paraId="66FB3506" w14:textId="53D94AB7" w:rsidR="00B70230" w:rsidRPr="002A78DD" w:rsidRDefault="00BE0947" w:rsidP="00790A2F">
      <w:pPr>
        <w:pStyle w:val="Heading2"/>
        <w:rPr>
          <w:lang w:val="fr-FR"/>
        </w:rPr>
      </w:pPr>
      <w:r>
        <w:rPr>
          <w:lang w:val="fr-FR"/>
        </w:rPr>
        <w:t>La p</w:t>
      </w:r>
      <w:r w:rsidR="00154093" w:rsidRPr="002A78DD">
        <w:rPr>
          <w:lang w:val="fr-FR"/>
        </w:rPr>
        <w:t>réparation de plans de réduction progressive des HFC pour six pays.</w:t>
      </w:r>
    </w:p>
    <w:p w14:paraId="4E2E1540" w14:textId="3BB29DE8" w:rsidR="00B70230" w:rsidRPr="002A78DD" w:rsidRDefault="00B70230" w:rsidP="00B70230">
      <w:pPr>
        <w:pStyle w:val="Heading1"/>
        <w:rPr>
          <w:lang w:val="fr-FR"/>
        </w:rPr>
      </w:pPr>
      <w:r w:rsidRPr="002A78DD">
        <w:rPr>
          <w:lang w:val="fr-FR"/>
        </w:rPr>
        <w:t>À l’issue du processus d’examen des projets, 88 demandes de financement pour des projets et des activités, totalisant 4 391 011 $US, coûts d’appui d’agence inclus, ont été recommandé</w:t>
      </w:r>
      <w:r w:rsidR="00D6328A">
        <w:rPr>
          <w:lang w:val="fr-FR"/>
        </w:rPr>
        <w:t>e</w:t>
      </w:r>
      <w:r w:rsidRPr="002A78DD">
        <w:rPr>
          <w:lang w:val="fr-FR"/>
        </w:rPr>
        <w:t>s pour approbation globale et 25 demandes de financement, totalisant 33 276 258 $US (coûts d’appui d’agence inclus) ont été transmises pour examen individuel.  Au total, les demandes de fin</w:t>
      </w:r>
      <w:r w:rsidR="00DD1915">
        <w:rPr>
          <w:lang w:val="fr-FR"/>
        </w:rPr>
        <w:t>ancement pour des projets et</w:t>
      </w:r>
      <w:r w:rsidRPr="002A78DD">
        <w:rPr>
          <w:lang w:val="fr-FR"/>
        </w:rPr>
        <w:t xml:space="preserve"> </w:t>
      </w:r>
      <w:r w:rsidR="00DD1915">
        <w:rPr>
          <w:lang w:val="fr-FR"/>
        </w:rPr>
        <w:t xml:space="preserve">des </w:t>
      </w:r>
      <w:r w:rsidRPr="002A78DD">
        <w:rPr>
          <w:lang w:val="fr-FR"/>
        </w:rPr>
        <w:t>activités recommandé</w:t>
      </w:r>
      <w:r w:rsidR="00D6328A">
        <w:rPr>
          <w:lang w:val="fr-FR"/>
        </w:rPr>
        <w:t>e</w:t>
      </w:r>
      <w:r w:rsidRPr="002A78DD">
        <w:rPr>
          <w:lang w:val="fr-FR"/>
        </w:rPr>
        <w:t>s pour approbation globale et pour examen individuel s’élevaient à 37 667 269 $US.</w:t>
      </w:r>
      <w:r w:rsidR="00154093" w:rsidRPr="002A78DD">
        <w:rPr>
          <w:lang w:val="fr-FR"/>
        </w:rPr>
        <w:t xml:space="preserve">  </w:t>
      </w:r>
    </w:p>
    <w:p w14:paraId="58F20B92" w14:textId="6F21CA8A" w:rsidR="00C40F29" w:rsidRPr="002A78DD" w:rsidRDefault="00D6328A" w:rsidP="00B70230">
      <w:pPr>
        <w:rPr>
          <w:i/>
          <w:lang w:val="fr-FR"/>
        </w:rPr>
      </w:pPr>
      <w:r>
        <w:rPr>
          <w:i/>
          <w:lang w:val="fr-FR"/>
        </w:rPr>
        <w:t>PGEH soumis et</w:t>
      </w:r>
      <w:r w:rsidR="00B70230" w:rsidRPr="002A78DD">
        <w:rPr>
          <w:i/>
          <w:lang w:val="fr-FR"/>
        </w:rPr>
        <w:t xml:space="preserve"> </w:t>
      </w:r>
      <w:r w:rsidR="00C40F29" w:rsidRPr="002A78DD">
        <w:rPr>
          <w:i/>
          <w:lang w:val="fr-FR"/>
        </w:rPr>
        <w:t>retiré</w:t>
      </w:r>
      <w:r w:rsidR="00B70230" w:rsidRPr="002A78DD">
        <w:rPr>
          <w:i/>
          <w:lang w:val="fr-FR"/>
        </w:rPr>
        <w:t>s par la suite</w:t>
      </w:r>
      <w:r w:rsidR="00C40F29" w:rsidRPr="002A78DD">
        <w:rPr>
          <w:i/>
          <w:lang w:val="fr-FR"/>
        </w:rPr>
        <w:t xml:space="preserve"> (Honduras, Iraq, Jamaïque, Liban)</w:t>
      </w:r>
      <w:r w:rsidR="00B70230" w:rsidRPr="002A78DD">
        <w:rPr>
          <w:i/>
          <w:lang w:val="fr-FR"/>
        </w:rPr>
        <w:t xml:space="preserve"> </w:t>
      </w:r>
    </w:p>
    <w:p w14:paraId="58B2B947" w14:textId="77777777" w:rsidR="00B70230" w:rsidRPr="002A78DD" w:rsidRDefault="00B70230" w:rsidP="00B70230">
      <w:pPr>
        <w:rPr>
          <w:i/>
          <w:lang w:val="fr-FR"/>
        </w:rPr>
      </w:pPr>
      <w:r w:rsidRPr="002A78DD">
        <w:rPr>
          <w:i/>
          <w:lang w:val="fr-FR"/>
        </w:rPr>
        <w:t xml:space="preserve"> </w:t>
      </w:r>
    </w:p>
    <w:p w14:paraId="5B7ABF72" w14:textId="316880CC" w:rsidR="00A2784E" w:rsidRPr="002A78DD" w:rsidRDefault="00C40F29" w:rsidP="00C27322">
      <w:pPr>
        <w:pStyle w:val="Heading1"/>
        <w:rPr>
          <w:lang w:val="fr-FR"/>
        </w:rPr>
      </w:pPr>
      <w:r w:rsidRPr="002A78DD">
        <w:rPr>
          <w:lang w:val="fr-FR"/>
        </w:rPr>
        <w:t>L’ONUDI, au nom du gouvernement du Honduras, a présenté la demande pour la cinquième et dernière tranche de la phase I du PGEH.  Le Secrétariat a constaté que plusieurs conditions</w:t>
      </w:r>
      <w:r w:rsidR="00D6328A">
        <w:rPr>
          <w:lang w:val="fr-FR"/>
        </w:rPr>
        <w:t xml:space="preserve">, relevant du PNUE dans les </w:t>
      </w:r>
      <w:r w:rsidRPr="002A78DD">
        <w:rPr>
          <w:lang w:val="fr-FR"/>
        </w:rPr>
        <w:t>composantes d</w:t>
      </w:r>
      <w:r w:rsidR="00734F07" w:rsidRPr="002A78DD">
        <w:rPr>
          <w:lang w:val="fr-FR"/>
        </w:rPr>
        <w:t>e</w:t>
      </w:r>
      <w:r w:rsidR="0090108A">
        <w:rPr>
          <w:lang w:val="fr-FR"/>
        </w:rPr>
        <w:t xml:space="preserve"> la phase I</w:t>
      </w:r>
      <w:r w:rsidR="00584DFB">
        <w:rPr>
          <w:lang w:val="fr-FR"/>
        </w:rPr>
        <w:t>,</w:t>
      </w:r>
      <w:r w:rsidR="0090108A">
        <w:rPr>
          <w:lang w:val="fr-FR"/>
        </w:rPr>
        <w:t xml:space="preserve"> </w:t>
      </w:r>
      <w:r w:rsidRPr="002A78DD">
        <w:rPr>
          <w:lang w:val="fr-FR"/>
        </w:rPr>
        <w:t>e</w:t>
      </w:r>
      <w:r w:rsidR="00DD1915">
        <w:rPr>
          <w:lang w:val="fr-FR"/>
        </w:rPr>
        <w:t>xigé</w:t>
      </w:r>
      <w:r w:rsidRPr="002A78DD">
        <w:rPr>
          <w:lang w:val="fr-FR"/>
        </w:rPr>
        <w:t xml:space="preserve">es </w:t>
      </w:r>
      <w:r w:rsidR="00584DFB">
        <w:rPr>
          <w:lang w:val="fr-FR"/>
        </w:rPr>
        <w:t>pour</w:t>
      </w:r>
      <w:r w:rsidRPr="002A78DD">
        <w:rPr>
          <w:lang w:val="fr-FR"/>
        </w:rPr>
        <w:t xml:space="preserve"> </w:t>
      </w:r>
      <w:r w:rsidR="0090108A">
        <w:rPr>
          <w:lang w:val="fr-FR"/>
        </w:rPr>
        <w:t>la présentation de</w:t>
      </w:r>
      <w:r w:rsidRPr="002A78DD">
        <w:rPr>
          <w:lang w:val="fr-FR"/>
        </w:rPr>
        <w:t xml:space="preserve"> la cinquième tranche du PGEH</w:t>
      </w:r>
      <w:r w:rsidRPr="002A78DD">
        <w:rPr>
          <w:rStyle w:val="FootnoteReference"/>
          <w:lang w:val="fr-FR"/>
        </w:rPr>
        <w:footnoteReference w:id="2"/>
      </w:r>
      <w:r w:rsidR="00734F07" w:rsidRPr="002A78DD">
        <w:rPr>
          <w:lang w:val="fr-FR"/>
        </w:rPr>
        <w:t xml:space="preserve"> n’</w:t>
      </w:r>
      <w:r w:rsidR="00D1681D">
        <w:rPr>
          <w:lang w:val="fr-FR"/>
        </w:rPr>
        <w:t>étaient pas</w:t>
      </w:r>
      <w:r w:rsidR="00186692">
        <w:rPr>
          <w:lang w:val="fr-FR"/>
        </w:rPr>
        <w:t xml:space="preserve"> </w:t>
      </w:r>
      <w:r w:rsidR="00734F07" w:rsidRPr="002A78DD">
        <w:rPr>
          <w:lang w:val="fr-FR"/>
        </w:rPr>
        <w:t>remplies.  Le Secrétariat a donc demandé à l’ONUDI de présenter à nouveau la proposition à la 86</w:t>
      </w:r>
      <w:r w:rsidR="00734F07" w:rsidRPr="002A78DD">
        <w:rPr>
          <w:vertAlign w:val="superscript"/>
          <w:lang w:val="fr-FR"/>
        </w:rPr>
        <w:t>e</w:t>
      </w:r>
      <w:r w:rsidR="00734F07" w:rsidRPr="002A78DD">
        <w:rPr>
          <w:lang w:val="fr-FR"/>
        </w:rPr>
        <w:t xml:space="preserve"> réunion</w:t>
      </w:r>
      <w:r w:rsidR="00A2784E" w:rsidRPr="002A78DD">
        <w:rPr>
          <w:lang w:val="fr-FR"/>
        </w:rPr>
        <w:t>, étant entendu que les conditions fixées dans la décision 84/18 seraient remplies, y compris les cibles de décaissement.</w:t>
      </w:r>
    </w:p>
    <w:p w14:paraId="02472443" w14:textId="21F70898" w:rsidR="00BF1ED1" w:rsidRPr="002A78DD" w:rsidRDefault="00A2784E" w:rsidP="00C27322">
      <w:pPr>
        <w:pStyle w:val="Heading1"/>
        <w:rPr>
          <w:lang w:val="fr-FR"/>
        </w:rPr>
      </w:pPr>
      <w:r w:rsidRPr="002A78DD">
        <w:rPr>
          <w:lang w:val="fr-FR"/>
        </w:rPr>
        <w:t>À la 84</w:t>
      </w:r>
      <w:r w:rsidRPr="002A78DD">
        <w:rPr>
          <w:vertAlign w:val="superscript"/>
          <w:lang w:val="fr-FR"/>
        </w:rPr>
        <w:t>e</w:t>
      </w:r>
      <w:r w:rsidR="0090108A">
        <w:rPr>
          <w:lang w:val="fr-FR"/>
        </w:rPr>
        <w:t xml:space="preserve"> réunion</w:t>
      </w:r>
      <w:r w:rsidRPr="002A78DD">
        <w:rPr>
          <w:lang w:val="fr-FR"/>
        </w:rPr>
        <w:t xml:space="preserve">, au nom du gouvernement de l’Iraq, </w:t>
      </w:r>
      <w:r w:rsidR="0090108A">
        <w:rPr>
          <w:lang w:val="fr-FR"/>
        </w:rPr>
        <w:t xml:space="preserve">le PNUE </w:t>
      </w:r>
      <w:r w:rsidRPr="002A78DD">
        <w:rPr>
          <w:lang w:val="fr-FR"/>
        </w:rPr>
        <w:t>a présenté une demande pour la phase II</w:t>
      </w:r>
      <w:r w:rsidR="00186692">
        <w:rPr>
          <w:lang w:val="fr-FR"/>
        </w:rPr>
        <w:t xml:space="preserve"> du PGEH.  À la suite de</w:t>
      </w:r>
      <w:r w:rsidRPr="002A78DD">
        <w:rPr>
          <w:lang w:val="fr-FR"/>
        </w:rPr>
        <w:t xml:space="preserve"> </w:t>
      </w:r>
      <w:r w:rsidR="00186692">
        <w:rPr>
          <w:lang w:val="fr-FR"/>
        </w:rPr>
        <w:t>l’</w:t>
      </w:r>
      <w:r w:rsidRPr="002A78DD">
        <w:rPr>
          <w:lang w:val="fr-FR"/>
        </w:rPr>
        <w:t xml:space="preserve">examen par le Secrétariat, il a été convenu </w:t>
      </w:r>
      <w:r w:rsidR="00186692">
        <w:rPr>
          <w:lang w:val="fr-FR"/>
        </w:rPr>
        <w:t>de reporter la demande</w:t>
      </w:r>
      <w:r w:rsidRPr="002A78DD">
        <w:rPr>
          <w:lang w:val="fr-FR"/>
        </w:rPr>
        <w:t xml:space="preserve"> à la 85</w:t>
      </w:r>
      <w:r w:rsidRPr="002A78DD">
        <w:rPr>
          <w:vertAlign w:val="superscript"/>
          <w:lang w:val="fr-FR"/>
        </w:rPr>
        <w:t>e</w:t>
      </w:r>
      <w:r w:rsidRPr="002A78DD">
        <w:rPr>
          <w:lang w:val="fr-FR"/>
        </w:rPr>
        <w:t xml:space="preserve"> réunion</w:t>
      </w:r>
      <w:r w:rsidR="00B41179" w:rsidRPr="002A78DD">
        <w:rPr>
          <w:lang w:val="fr-FR"/>
        </w:rPr>
        <w:t xml:space="preserve">, lorsque des progrès additionnels </w:t>
      </w:r>
      <w:r w:rsidR="000A5751">
        <w:rPr>
          <w:lang w:val="fr-FR"/>
        </w:rPr>
        <w:t>seraient</w:t>
      </w:r>
      <w:r w:rsidR="00B41179" w:rsidRPr="002A78DD">
        <w:rPr>
          <w:lang w:val="fr-FR"/>
        </w:rPr>
        <w:t xml:space="preserve"> réalisés en vue de l’achèvement</w:t>
      </w:r>
      <w:r w:rsidR="0090108A">
        <w:rPr>
          <w:lang w:val="fr-FR"/>
        </w:rPr>
        <w:t xml:space="preserve"> de la phase I du PGEH.  À la</w:t>
      </w:r>
      <w:r w:rsidR="00B41179" w:rsidRPr="002A78DD">
        <w:rPr>
          <w:lang w:val="fr-FR"/>
        </w:rPr>
        <w:t xml:space="preserve"> même réunion, le Comité exécu</w:t>
      </w:r>
      <w:r w:rsidR="008B737A">
        <w:rPr>
          <w:lang w:val="fr-FR"/>
        </w:rPr>
        <w:t>tif a décidé d</w:t>
      </w:r>
      <w:r w:rsidR="00186692">
        <w:rPr>
          <w:lang w:val="fr-FR"/>
        </w:rPr>
        <w:t>e prolonger</w:t>
      </w:r>
      <w:r w:rsidR="008B737A">
        <w:rPr>
          <w:lang w:val="fr-FR"/>
        </w:rPr>
        <w:t xml:space="preserve"> </w:t>
      </w:r>
      <w:r w:rsidR="00B41179" w:rsidRPr="002A78DD">
        <w:rPr>
          <w:lang w:val="fr-FR"/>
        </w:rPr>
        <w:t>la phase I jusqu’au 31 décembre 2020</w:t>
      </w:r>
      <w:r w:rsidR="008B737A">
        <w:rPr>
          <w:lang w:val="fr-FR"/>
        </w:rPr>
        <w:t xml:space="preserve"> </w:t>
      </w:r>
      <w:r w:rsidR="00D1681D">
        <w:rPr>
          <w:lang w:val="fr-FR"/>
        </w:rPr>
        <w:t>et d’</w:t>
      </w:r>
      <w:r w:rsidR="008B737A">
        <w:rPr>
          <w:lang w:val="fr-FR"/>
        </w:rPr>
        <w:t>a</w:t>
      </w:r>
      <w:r w:rsidR="00186692">
        <w:rPr>
          <w:lang w:val="fr-FR"/>
        </w:rPr>
        <w:t>pprouv</w:t>
      </w:r>
      <w:r w:rsidR="00D1681D">
        <w:rPr>
          <w:lang w:val="fr-FR"/>
        </w:rPr>
        <w:t>er</w:t>
      </w:r>
      <w:r w:rsidR="008B737A">
        <w:rPr>
          <w:lang w:val="fr-FR"/>
        </w:rPr>
        <w:t xml:space="preserve"> </w:t>
      </w:r>
      <w:r w:rsidR="00B41179" w:rsidRPr="002A78DD">
        <w:rPr>
          <w:lang w:val="fr-FR"/>
        </w:rPr>
        <w:t>la troisième e</w:t>
      </w:r>
      <w:r w:rsidR="008B737A">
        <w:rPr>
          <w:lang w:val="fr-FR"/>
        </w:rPr>
        <w:t>t dernière tranche</w:t>
      </w:r>
      <w:r w:rsidR="00B41179" w:rsidRPr="002A78DD">
        <w:rPr>
          <w:lang w:val="fr-FR"/>
        </w:rPr>
        <w:t>, au montant de 473 384 $US pour le PNUE et l’ONUDI</w:t>
      </w:r>
      <w:r w:rsidR="008B737A">
        <w:rPr>
          <w:lang w:val="fr-FR"/>
        </w:rPr>
        <w:t xml:space="preserve">, frais d’appui d’agence inclus </w:t>
      </w:r>
      <w:r w:rsidR="00B41179" w:rsidRPr="002A78DD">
        <w:rPr>
          <w:lang w:val="fr-FR"/>
        </w:rPr>
        <w:t>(décision 84/75).  Le PNUE, au nom du gouvernement de l’Iraq, a soumis de nouveau la demande pour la phase II du PGEH à la 85</w:t>
      </w:r>
      <w:r w:rsidR="00B41179" w:rsidRPr="002A78DD">
        <w:rPr>
          <w:vertAlign w:val="superscript"/>
          <w:lang w:val="fr-FR"/>
        </w:rPr>
        <w:t>e</w:t>
      </w:r>
      <w:r w:rsidR="008B737A">
        <w:rPr>
          <w:lang w:val="fr-FR"/>
        </w:rPr>
        <w:t xml:space="preserve"> réunion.  </w:t>
      </w:r>
      <w:r w:rsidR="00186692">
        <w:rPr>
          <w:lang w:val="fr-FR"/>
        </w:rPr>
        <w:t xml:space="preserve">En </w:t>
      </w:r>
      <w:r w:rsidR="00B41179" w:rsidRPr="002A78DD">
        <w:rPr>
          <w:lang w:val="fr-FR"/>
        </w:rPr>
        <w:t>exam</w:t>
      </w:r>
      <w:r w:rsidR="00186692">
        <w:rPr>
          <w:lang w:val="fr-FR"/>
        </w:rPr>
        <w:t>inant</w:t>
      </w:r>
      <w:r w:rsidR="00B41179" w:rsidRPr="002A78DD">
        <w:rPr>
          <w:lang w:val="fr-FR"/>
        </w:rPr>
        <w:t xml:space="preserve"> la demande, le Secrétariat a constaté qu’aucun progrès substantiel </w:t>
      </w:r>
      <w:r w:rsidR="00BF1ED1" w:rsidRPr="002A78DD">
        <w:rPr>
          <w:lang w:val="fr-FR"/>
        </w:rPr>
        <w:t>n’</w:t>
      </w:r>
      <w:r w:rsidR="00B41179" w:rsidRPr="002A78DD">
        <w:rPr>
          <w:lang w:val="fr-FR"/>
        </w:rPr>
        <w:t xml:space="preserve">avait été accompli depuis l’approbation de la dernière tranche de la phase I et que le solde du financement représentait 70 pour cent de la valeur totale de la phase I.  </w:t>
      </w:r>
      <w:r w:rsidR="00186692">
        <w:rPr>
          <w:lang w:val="fr-FR"/>
        </w:rPr>
        <w:t>En outre</w:t>
      </w:r>
      <w:r w:rsidR="00B41179" w:rsidRPr="002A78DD">
        <w:rPr>
          <w:lang w:val="fr-FR"/>
        </w:rPr>
        <w:t>, les activités de la phase II concernaient uniquement le secteur de l’</w:t>
      </w:r>
      <w:r w:rsidR="008B737A">
        <w:rPr>
          <w:lang w:val="fr-FR"/>
        </w:rPr>
        <w:t>entretien dans la réfrigération</w:t>
      </w:r>
      <w:r w:rsidR="00B41179" w:rsidRPr="002A78DD">
        <w:rPr>
          <w:lang w:val="fr-FR"/>
        </w:rPr>
        <w:t xml:space="preserve"> et représentaient la </w:t>
      </w:r>
      <w:r w:rsidR="008B737A">
        <w:rPr>
          <w:lang w:val="fr-FR"/>
        </w:rPr>
        <w:t xml:space="preserve">continuation </w:t>
      </w:r>
      <w:r w:rsidR="00BF1ED1" w:rsidRPr="002A78DD">
        <w:rPr>
          <w:lang w:val="fr-FR"/>
        </w:rPr>
        <w:t>de celles mises e</w:t>
      </w:r>
      <w:r w:rsidR="00186692">
        <w:rPr>
          <w:lang w:val="fr-FR"/>
        </w:rPr>
        <w:t xml:space="preserve">n œuvre durant la phase I. </w:t>
      </w:r>
      <w:r w:rsidR="00BF1ED1" w:rsidRPr="002A78DD">
        <w:rPr>
          <w:lang w:val="fr-FR"/>
        </w:rPr>
        <w:t>Par conséquent, le PNUE a accepté de retirer la demande pour la phase II du PGEH et de la présenter de nouveau à la 86</w:t>
      </w:r>
      <w:r w:rsidR="00BF1ED1" w:rsidRPr="002A78DD">
        <w:rPr>
          <w:vertAlign w:val="superscript"/>
          <w:lang w:val="fr-FR"/>
        </w:rPr>
        <w:t>e</w:t>
      </w:r>
      <w:r w:rsidR="00BF1ED1" w:rsidRPr="002A78DD">
        <w:rPr>
          <w:lang w:val="fr-FR"/>
        </w:rPr>
        <w:t xml:space="preserve"> réunion, lorsque des progrès additionnels et le décaissement auront été réalisés en vue de l’achèvement de la phase I.</w:t>
      </w:r>
    </w:p>
    <w:p w14:paraId="28BE3291" w14:textId="61836176" w:rsidR="00735C99" w:rsidRPr="002A78DD" w:rsidRDefault="00BF1ED1" w:rsidP="00790A2F">
      <w:pPr>
        <w:pStyle w:val="Heading1"/>
        <w:keepNext/>
        <w:keepLines/>
        <w:rPr>
          <w:lang w:val="fr-FR"/>
        </w:rPr>
      </w:pPr>
      <w:r w:rsidRPr="002A78DD">
        <w:rPr>
          <w:lang w:val="fr-FR"/>
        </w:rPr>
        <w:lastRenderedPageBreak/>
        <w:t xml:space="preserve">Le PNUD, au nom du gouvernement de la Jamaïque, </w:t>
      </w:r>
      <w:r w:rsidR="00E87A82" w:rsidRPr="002A78DD">
        <w:rPr>
          <w:lang w:val="fr-FR"/>
        </w:rPr>
        <w:t xml:space="preserve">a présenté la demande pour la quatrième et dernière tranche de la phase I du PGEH pour la Jamaïque, avec la demande pour la phase II du PGEH.  Le Secrétariat a constaté des divergences entre les données de consommation déclarées pour 2015-2019 en vertu de l’article 7 du Protocole de Montréal et le rapport de vérification remis avec la demande pour la phase II; que les </w:t>
      </w:r>
      <w:r w:rsidR="00186692">
        <w:rPr>
          <w:lang w:val="fr-FR"/>
        </w:rPr>
        <w:t>tendances de consommation d</w:t>
      </w:r>
      <w:r w:rsidR="00E87A82" w:rsidRPr="002A78DD">
        <w:rPr>
          <w:lang w:val="fr-FR"/>
        </w:rPr>
        <w:t xml:space="preserve">es HCFC durant la même période par rapport au point de départ pour les réductions globales de la consommation de HCFC </w:t>
      </w:r>
      <w:r w:rsidR="00D1681D">
        <w:rPr>
          <w:lang w:val="fr-FR"/>
        </w:rPr>
        <w:t>nécessit</w:t>
      </w:r>
      <w:r w:rsidR="00E87A82" w:rsidRPr="002A78DD">
        <w:rPr>
          <w:lang w:val="fr-FR"/>
        </w:rPr>
        <w:t>ai</w:t>
      </w:r>
      <w:r w:rsidR="0067467A">
        <w:rPr>
          <w:lang w:val="fr-FR"/>
        </w:rPr>
        <w:t>en</w:t>
      </w:r>
      <w:r w:rsidR="00E87A82" w:rsidRPr="002A78DD">
        <w:rPr>
          <w:lang w:val="fr-FR"/>
        </w:rPr>
        <w:t xml:space="preserve">t de plus amples explications; et que les recommandations de la vérification, notamment celles reliées à la surveillance et </w:t>
      </w:r>
      <w:r w:rsidR="008B737A">
        <w:rPr>
          <w:lang w:val="fr-FR"/>
        </w:rPr>
        <w:t xml:space="preserve">à </w:t>
      </w:r>
      <w:r w:rsidR="00E87A82" w:rsidRPr="002A78DD">
        <w:rPr>
          <w:lang w:val="fr-FR"/>
        </w:rPr>
        <w:t>la déclaration de la consommation de HCFC</w:t>
      </w:r>
      <w:r w:rsidR="008B737A">
        <w:rPr>
          <w:lang w:val="fr-FR"/>
        </w:rPr>
        <w:t>,</w:t>
      </w:r>
      <w:r w:rsidR="00E87A82" w:rsidRPr="002A78DD">
        <w:rPr>
          <w:lang w:val="fr-FR"/>
        </w:rPr>
        <w:t xml:space="preserve"> devraient être </w:t>
      </w:r>
      <w:r w:rsidR="0067467A">
        <w:rPr>
          <w:lang w:val="fr-FR"/>
        </w:rPr>
        <w:t>prises en compte</w:t>
      </w:r>
      <w:r w:rsidR="00E87A82" w:rsidRPr="002A78DD">
        <w:rPr>
          <w:lang w:val="fr-FR"/>
        </w:rPr>
        <w:t>.</w:t>
      </w:r>
      <w:r w:rsidR="00735C99" w:rsidRPr="002A78DD">
        <w:rPr>
          <w:lang w:val="fr-FR"/>
        </w:rPr>
        <w:t xml:space="preserve">  Le PNUD a accepté de retirer la demande pour la phase II du PGEH et de la présenter de nouveau à la 86</w:t>
      </w:r>
      <w:r w:rsidR="00735C99" w:rsidRPr="002A78DD">
        <w:rPr>
          <w:vertAlign w:val="superscript"/>
          <w:lang w:val="fr-FR"/>
        </w:rPr>
        <w:t>e</w:t>
      </w:r>
      <w:r w:rsidR="00D1681D">
        <w:rPr>
          <w:lang w:val="fr-FR"/>
        </w:rPr>
        <w:t xml:space="preserve"> réunion lorsque</w:t>
      </w:r>
      <w:r w:rsidR="00186692">
        <w:rPr>
          <w:lang w:val="fr-FR"/>
        </w:rPr>
        <w:t xml:space="preserve"> </w:t>
      </w:r>
      <w:r w:rsidR="00D1681D">
        <w:rPr>
          <w:lang w:val="fr-FR"/>
        </w:rPr>
        <w:t xml:space="preserve">les </w:t>
      </w:r>
      <w:r w:rsidR="0067467A">
        <w:rPr>
          <w:lang w:val="fr-FR"/>
        </w:rPr>
        <w:t xml:space="preserve"> questions </w:t>
      </w:r>
      <w:r w:rsidR="00735C99" w:rsidRPr="002A78DD">
        <w:rPr>
          <w:lang w:val="fr-FR"/>
        </w:rPr>
        <w:t>mentionné</w:t>
      </w:r>
      <w:r w:rsidR="0067467A">
        <w:rPr>
          <w:lang w:val="fr-FR"/>
        </w:rPr>
        <w:t>es ci-dessus</w:t>
      </w:r>
      <w:r w:rsidR="00D1681D">
        <w:rPr>
          <w:lang w:val="fr-FR"/>
        </w:rPr>
        <w:t xml:space="preserve"> auront été réglées</w:t>
      </w:r>
      <w:r w:rsidR="00735C99" w:rsidRPr="002A78DD">
        <w:rPr>
          <w:lang w:val="fr-FR"/>
        </w:rPr>
        <w:t>.  La quatrième tranche de la phase I a été présenté</w:t>
      </w:r>
      <w:r w:rsidR="00186692">
        <w:rPr>
          <w:lang w:val="fr-FR"/>
        </w:rPr>
        <w:t>e</w:t>
      </w:r>
      <w:r w:rsidR="00735C99" w:rsidRPr="002A78DD">
        <w:rPr>
          <w:lang w:val="fr-FR"/>
        </w:rPr>
        <w:t xml:space="preserve"> à la 85</w:t>
      </w:r>
      <w:r w:rsidR="00735C99" w:rsidRPr="002A78DD">
        <w:rPr>
          <w:vertAlign w:val="superscript"/>
          <w:lang w:val="fr-FR"/>
        </w:rPr>
        <w:t>e</w:t>
      </w:r>
      <w:r w:rsidR="00735C99" w:rsidRPr="002A78DD">
        <w:rPr>
          <w:lang w:val="fr-FR"/>
        </w:rPr>
        <w:t xml:space="preserve"> réunion, étant entendu que les recommandations du rapport de vérification seraient mises en œuvre, ce qui renforcera le système de surveillance et de déclaration </w:t>
      </w:r>
      <w:r w:rsidR="0067467A">
        <w:rPr>
          <w:lang w:val="fr-FR"/>
        </w:rPr>
        <w:t xml:space="preserve">des données sur les HCFC </w:t>
      </w:r>
      <w:r w:rsidR="00735C99" w:rsidRPr="002A78DD">
        <w:rPr>
          <w:lang w:val="fr-FR"/>
        </w:rPr>
        <w:t>en Jamaïque.</w:t>
      </w:r>
    </w:p>
    <w:p w14:paraId="637BCE34" w14:textId="7605AD0A" w:rsidR="00735C99" w:rsidRPr="002A78DD" w:rsidRDefault="00735C99" w:rsidP="00C27322">
      <w:pPr>
        <w:pStyle w:val="Heading1"/>
        <w:rPr>
          <w:lang w:val="fr-FR"/>
        </w:rPr>
      </w:pPr>
      <w:r w:rsidRPr="002A78DD">
        <w:rPr>
          <w:lang w:val="fr-FR"/>
        </w:rPr>
        <w:t xml:space="preserve">Le PNUD, au nom du gouvernement du Liban, a présenté la demande pour la troisième tranche de la phase II du PGEH qui était attendue à la deuxième réunion de 2021.  La raison donnée pour cette présentation devancée était que les fonds approuvés pour la </w:t>
      </w:r>
      <w:r w:rsidR="00186692">
        <w:rPr>
          <w:lang w:val="fr-FR"/>
        </w:rPr>
        <w:t>deuxièm</w:t>
      </w:r>
      <w:r w:rsidRPr="002A78DD">
        <w:rPr>
          <w:lang w:val="fr-FR"/>
        </w:rPr>
        <w:t>e tranche seraient insuffisants pour mettre en œuvre les projets d’i</w:t>
      </w:r>
      <w:r w:rsidR="0067467A">
        <w:rPr>
          <w:lang w:val="fr-FR"/>
        </w:rPr>
        <w:t>nvestissement prévus dans</w:t>
      </w:r>
      <w:r w:rsidRPr="002A78DD">
        <w:rPr>
          <w:lang w:val="fr-FR"/>
        </w:rPr>
        <w:t xml:space="preserve"> </w:t>
      </w:r>
      <w:r w:rsidR="00684067">
        <w:rPr>
          <w:lang w:val="fr-FR"/>
        </w:rPr>
        <w:t xml:space="preserve">le cadre de </w:t>
      </w:r>
      <w:r w:rsidRPr="002A78DD">
        <w:rPr>
          <w:lang w:val="fr-FR"/>
        </w:rPr>
        <w:t>cette tranche.  En examinant la demande, le Secrétariat a constaté que le</w:t>
      </w:r>
      <w:r w:rsidR="0067467A">
        <w:rPr>
          <w:lang w:val="fr-FR"/>
        </w:rPr>
        <w:t xml:space="preserve"> décaissement du</w:t>
      </w:r>
      <w:r w:rsidRPr="002A78DD">
        <w:rPr>
          <w:lang w:val="fr-FR"/>
        </w:rPr>
        <w:t xml:space="preserve"> </w:t>
      </w:r>
      <w:r w:rsidR="0067467A">
        <w:rPr>
          <w:lang w:val="fr-FR"/>
        </w:rPr>
        <w:t xml:space="preserve">montant disponible de </w:t>
      </w:r>
      <w:r w:rsidRPr="002A78DD">
        <w:rPr>
          <w:lang w:val="fr-FR"/>
        </w:rPr>
        <w:t>457 000 $US provenant de la tranche précédente, était prévu durant l’année 2020.  Puisque le solde pourrait servir à la mise en œuvre du volet investissement de la tranche, le PNUD a accepté de retirer la demande pour la tranche.</w:t>
      </w:r>
    </w:p>
    <w:p w14:paraId="38F1B698" w14:textId="3DDD2B37" w:rsidR="00735C99" w:rsidRPr="002A78DD" w:rsidRDefault="00735C99" w:rsidP="00735C99">
      <w:pPr>
        <w:rPr>
          <w:i/>
          <w:lang w:val="fr-FR"/>
        </w:rPr>
      </w:pPr>
      <w:r w:rsidRPr="002A78DD">
        <w:rPr>
          <w:i/>
          <w:lang w:val="fr-FR"/>
        </w:rPr>
        <w:t>Renouvellement de</w:t>
      </w:r>
      <w:r w:rsidR="00D179E9">
        <w:rPr>
          <w:i/>
          <w:lang w:val="fr-FR"/>
        </w:rPr>
        <w:t>s</w:t>
      </w:r>
      <w:r w:rsidRPr="002A78DD">
        <w:rPr>
          <w:i/>
          <w:lang w:val="fr-FR"/>
        </w:rPr>
        <w:t xml:space="preserve"> projets de renforcement des institutions (RI)</w:t>
      </w:r>
    </w:p>
    <w:p w14:paraId="5E97699B" w14:textId="77777777" w:rsidR="00735C99" w:rsidRPr="002A78DD" w:rsidRDefault="00735C99" w:rsidP="00735C99">
      <w:pPr>
        <w:rPr>
          <w:i/>
          <w:lang w:val="fr-FR"/>
        </w:rPr>
      </w:pPr>
    </w:p>
    <w:p w14:paraId="6E5B53DB" w14:textId="135AF829" w:rsidR="006B3E14" w:rsidRPr="002A78DD" w:rsidRDefault="00735C99" w:rsidP="00C27322">
      <w:pPr>
        <w:pStyle w:val="Heading1"/>
        <w:rPr>
          <w:lang w:val="fr-FR"/>
        </w:rPr>
      </w:pPr>
      <w:r w:rsidRPr="002A78DD">
        <w:rPr>
          <w:lang w:val="fr-FR"/>
        </w:rPr>
        <w:t>Le Secrétariat a examiné les rapport</w:t>
      </w:r>
      <w:r w:rsidR="00D179E9">
        <w:rPr>
          <w:lang w:val="fr-FR"/>
        </w:rPr>
        <w:t>s finaux et les demandes de prol</w:t>
      </w:r>
      <w:r w:rsidRPr="002A78DD">
        <w:rPr>
          <w:lang w:val="fr-FR"/>
        </w:rPr>
        <w:t>o</w:t>
      </w:r>
      <w:r w:rsidR="00D179E9">
        <w:rPr>
          <w:lang w:val="fr-FR"/>
        </w:rPr>
        <w:t>n</w:t>
      </w:r>
      <w:r w:rsidRPr="002A78DD">
        <w:rPr>
          <w:lang w:val="fr-FR"/>
        </w:rPr>
        <w:t xml:space="preserve">gation du </w:t>
      </w:r>
      <w:r w:rsidR="00D179E9">
        <w:rPr>
          <w:lang w:val="fr-FR"/>
        </w:rPr>
        <w:t xml:space="preserve">financement du RI pour </w:t>
      </w:r>
      <w:r w:rsidRPr="002A78DD">
        <w:rPr>
          <w:lang w:val="fr-FR"/>
        </w:rPr>
        <w:t>14 pays</w:t>
      </w:r>
      <w:r w:rsidR="00684067">
        <w:rPr>
          <w:lang w:val="fr-FR"/>
        </w:rPr>
        <w:t>,</w:t>
      </w:r>
      <w:r w:rsidRPr="002A78DD">
        <w:rPr>
          <w:lang w:val="fr-FR"/>
        </w:rPr>
        <w:t xml:space="preserve"> </w:t>
      </w:r>
      <w:r w:rsidR="00D179E9">
        <w:rPr>
          <w:lang w:val="fr-FR"/>
        </w:rPr>
        <w:t>à la lumière des</w:t>
      </w:r>
      <w:r w:rsidR="00BF3676" w:rsidRPr="002A78DD">
        <w:rPr>
          <w:lang w:val="fr-FR"/>
        </w:rPr>
        <w:t xml:space="preserve"> décisions pertinentes, incluant la décision 74/51(c) sur le niveau de financement pour les projets de RI et la décision 74/51(e) sur l’exigence d’inclure des indicateurs de performance </w:t>
      </w:r>
      <w:r w:rsidR="00E207D3">
        <w:rPr>
          <w:lang w:val="fr-FR"/>
        </w:rPr>
        <w:t>spécifiques</w:t>
      </w:r>
      <w:r w:rsidR="00BF3676" w:rsidRPr="002A78DD">
        <w:rPr>
          <w:lang w:val="fr-FR"/>
        </w:rPr>
        <w:t xml:space="preserve"> pour les activités prévues.  Toutes les demandes ont été </w:t>
      </w:r>
      <w:r w:rsidR="00D51499" w:rsidRPr="002A78DD">
        <w:rPr>
          <w:lang w:val="fr-FR"/>
        </w:rPr>
        <w:t>vérifiées par rapport : aux rapports de RI précédents; aux rapports périodiques sur la mise en œuvre des programmes de pays; aux données déclarées en vertu de l’article 7 du Protocole de Montréal; aux derniers rapports sur la mise en œuvre des PGEH; aux rapports périodiques des agences bilatérales et d’exécution remis à la 84</w:t>
      </w:r>
      <w:r w:rsidR="00D51499" w:rsidRPr="002A78DD">
        <w:rPr>
          <w:vertAlign w:val="superscript"/>
          <w:lang w:val="fr-FR"/>
        </w:rPr>
        <w:t>e</w:t>
      </w:r>
      <w:r w:rsidR="00D51499" w:rsidRPr="002A78DD">
        <w:rPr>
          <w:lang w:val="fr-FR"/>
        </w:rPr>
        <w:t xml:space="preserve"> réunion; et aux décisions pertinentes sur la conformité adoptées par les Parties au Protocole de Montréal.  Tous les pays </w:t>
      </w:r>
      <w:r w:rsidR="00746747">
        <w:rPr>
          <w:lang w:val="fr-FR"/>
        </w:rPr>
        <w:t>avaient des</w:t>
      </w:r>
      <w:r w:rsidR="00D51499" w:rsidRPr="002A78DD">
        <w:rPr>
          <w:lang w:val="fr-FR"/>
        </w:rPr>
        <w:t xml:space="preserve"> données </w:t>
      </w:r>
      <w:r w:rsidR="00E207D3">
        <w:rPr>
          <w:lang w:val="fr-FR"/>
        </w:rPr>
        <w:t xml:space="preserve">de 2018 </w:t>
      </w:r>
      <w:r w:rsidR="00D51499" w:rsidRPr="002A78DD">
        <w:rPr>
          <w:lang w:val="fr-FR"/>
        </w:rPr>
        <w:t>sur la mise en œuvr</w:t>
      </w:r>
      <w:r w:rsidR="00E207D3">
        <w:rPr>
          <w:lang w:val="fr-FR"/>
        </w:rPr>
        <w:t>e du programme de pays</w:t>
      </w:r>
      <w:r w:rsidR="00746747">
        <w:rPr>
          <w:lang w:val="fr-FR"/>
        </w:rPr>
        <w:t xml:space="preserve"> et deux pays ont re</w:t>
      </w:r>
      <w:r w:rsidR="00D51499" w:rsidRPr="002A78DD">
        <w:rPr>
          <w:lang w:val="fr-FR"/>
        </w:rPr>
        <w:t xml:space="preserve">mis les données de 2019 </w:t>
      </w:r>
      <w:r w:rsidR="008C0EDE">
        <w:rPr>
          <w:lang w:val="fr-FR"/>
        </w:rPr>
        <w:t>en</w:t>
      </w:r>
      <w:r w:rsidR="00D51499" w:rsidRPr="002A78DD">
        <w:rPr>
          <w:lang w:val="fr-FR"/>
        </w:rPr>
        <w:t xml:space="preserve"> date de présentation de leurs demandes de pro</w:t>
      </w:r>
      <w:r w:rsidR="00E207D3">
        <w:rPr>
          <w:lang w:val="fr-FR"/>
        </w:rPr>
        <w:t>lon</w:t>
      </w:r>
      <w:r w:rsidR="00D51499" w:rsidRPr="002A78DD">
        <w:rPr>
          <w:lang w:val="fr-FR"/>
        </w:rPr>
        <w:t xml:space="preserve">gation.  Tous les pays ont déclaré qu’ils avaient atteint la </w:t>
      </w:r>
      <w:r w:rsidR="00E207D3">
        <w:rPr>
          <w:lang w:val="fr-FR"/>
        </w:rPr>
        <w:t xml:space="preserve">totalité ou la </w:t>
      </w:r>
      <w:r w:rsidR="00D51499" w:rsidRPr="002A78DD">
        <w:rPr>
          <w:lang w:val="fr-FR"/>
        </w:rPr>
        <w:t xml:space="preserve">majorité des cibles </w:t>
      </w:r>
      <w:r w:rsidR="00E207D3">
        <w:rPr>
          <w:lang w:val="fr-FR"/>
        </w:rPr>
        <w:t>fixées</w:t>
      </w:r>
      <w:r w:rsidR="00D51499" w:rsidRPr="002A78DD">
        <w:rPr>
          <w:lang w:val="fr-FR"/>
        </w:rPr>
        <w:t xml:space="preserve"> pour les indicateurs de performance </w:t>
      </w:r>
      <w:r w:rsidR="00E207D3">
        <w:rPr>
          <w:lang w:val="fr-FR"/>
        </w:rPr>
        <w:t>sp</w:t>
      </w:r>
      <w:r w:rsidR="00D51499" w:rsidRPr="002A78DD">
        <w:rPr>
          <w:lang w:val="fr-FR"/>
        </w:rPr>
        <w:t>éci</w:t>
      </w:r>
      <w:r w:rsidR="00E207D3">
        <w:rPr>
          <w:lang w:val="fr-FR"/>
        </w:rPr>
        <w:t>fique</w:t>
      </w:r>
      <w:r w:rsidR="00D51499" w:rsidRPr="002A78DD">
        <w:rPr>
          <w:lang w:val="fr-FR"/>
        </w:rPr>
        <w:t xml:space="preserve">s </w:t>
      </w:r>
      <w:r w:rsidR="006B3E14" w:rsidRPr="002A78DD">
        <w:rPr>
          <w:lang w:val="fr-FR"/>
        </w:rPr>
        <w:t>qui faisaient partie du rapport périodique pour la phase précédente de RI.  Le Secrétariat a recommandé l’approbation globale de tous les projets de RI soumis à la 85</w:t>
      </w:r>
      <w:r w:rsidR="006B3E14" w:rsidRPr="002A78DD">
        <w:rPr>
          <w:vertAlign w:val="superscript"/>
          <w:lang w:val="fr-FR"/>
        </w:rPr>
        <w:t>e</w:t>
      </w:r>
      <w:r w:rsidR="006B3E14" w:rsidRPr="002A78DD">
        <w:rPr>
          <w:lang w:val="fr-FR"/>
        </w:rPr>
        <w:t xml:space="preserve"> réunion.</w:t>
      </w:r>
    </w:p>
    <w:p w14:paraId="43384BF9" w14:textId="77B79129" w:rsidR="006B3E14" w:rsidRPr="002A78DD" w:rsidRDefault="006B3E14" w:rsidP="006B3E14">
      <w:pPr>
        <w:rPr>
          <w:i/>
          <w:lang w:val="fr-FR"/>
        </w:rPr>
      </w:pPr>
      <w:r w:rsidRPr="002A78DD">
        <w:rPr>
          <w:i/>
          <w:lang w:val="fr-FR"/>
        </w:rPr>
        <w:t xml:space="preserve">Financement retenu dans l’attente de la </w:t>
      </w:r>
      <w:r w:rsidR="00E207D3">
        <w:rPr>
          <w:i/>
          <w:lang w:val="fr-FR"/>
        </w:rPr>
        <w:t>remise</w:t>
      </w:r>
      <w:r w:rsidRPr="002A78DD">
        <w:rPr>
          <w:i/>
          <w:lang w:val="fr-FR"/>
        </w:rPr>
        <w:t xml:space="preserve"> des rapports de vérification ou du respect de </w:t>
      </w:r>
      <w:r w:rsidR="008C0EDE">
        <w:rPr>
          <w:i/>
          <w:lang w:val="fr-FR"/>
        </w:rPr>
        <w:t xml:space="preserve">certaines </w:t>
      </w:r>
      <w:r w:rsidRPr="002A78DD">
        <w:rPr>
          <w:i/>
          <w:lang w:val="fr-FR"/>
        </w:rPr>
        <w:t xml:space="preserve">conditions précises </w:t>
      </w:r>
    </w:p>
    <w:p w14:paraId="66B44F99" w14:textId="77777777" w:rsidR="006B3E14" w:rsidRPr="002A78DD" w:rsidRDefault="006B3E14" w:rsidP="006B3E14">
      <w:pPr>
        <w:rPr>
          <w:i/>
          <w:lang w:val="fr-FR"/>
        </w:rPr>
      </w:pPr>
    </w:p>
    <w:p w14:paraId="799FCA9A" w14:textId="12D80563" w:rsidR="006B3E14" w:rsidRPr="002A78DD" w:rsidRDefault="006B3E14" w:rsidP="00C27322">
      <w:pPr>
        <w:pStyle w:val="Heading1"/>
        <w:rPr>
          <w:lang w:val="fr-FR"/>
        </w:rPr>
      </w:pPr>
      <w:r w:rsidRPr="002A78DD">
        <w:rPr>
          <w:lang w:val="fr-FR"/>
        </w:rPr>
        <w:t xml:space="preserve">Aucun financement approuvé n’est retenu actuellement par le Trésorier dans l’attente de la </w:t>
      </w:r>
      <w:r w:rsidR="001F15FC">
        <w:rPr>
          <w:lang w:val="fr-FR"/>
        </w:rPr>
        <w:t>remise</w:t>
      </w:r>
      <w:r w:rsidRPr="002A78DD">
        <w:rPr>
          <w:lang w:val="fr-FR"/>
        </w:rPr>
        <w:t xml:space="preserve"> d’un rapport de vérification ou du respect d’une condition précise.</w:t>
      </w:r>
    </w:p>
    <w:p w14:paraId="5C06BC44" w14:textId="0B5AD589" w:rsidR="006B3E14" w:rsidRPr="002A78DD" w:rsidRDefault="006B3E14" w:rsidP="006B3E14">
      <w:pPr>
        <w:rPr>
          <w:i/>
          <w:lang w:val="fr-FR"/>
        </w:rPr>
      </w:pPr>
      <w:r w:rsidRPr="002A78DD">
        <w:rPr>
          <w:i/>
          <w:lang w:val="fr-FR"/>
        </w:rPr>
        <w:t>Résumé des prix des substances réglementées et des produits de remplacement</w:t>
      </w:r>
    </w:p>
    <w:p w14:paraId="702660C2" w14:textId="77777777" w:rsidR="006B3E14" w:rsidRPr="002A78DD" w:rsidRDefault="006B3E14" w:rsidP="006B3E14">
      <w:pPr>
        <w:rPr>
          <w:i/>
          <w:lang w:val="fr-FR"/>
        </w:rPr>
      </w:pPr>
    </w:p>
    <w:p w14:paraId="7E27E846" w14:textId="030B4B66" w:rsidR="006B3E14" w:rsidRDefault="006B3E14" w:rsidP="00C27322">
      <w:pPr>
        <w:pStyle w:val="Heading1"/>
        <w:rPr>
          <w:lang w:val="fr-FR"/>
        </w:rPr>
      </w:pPr>
      <w:r w:rsidRPr="002A78DD">
        <w:rPr>
          <w:lang w:val="fr-FR"/>
        </w:rPr>
        <w:t>À sa 79</w:t>
      </w:r>
      <w:r w:rsidRPr="002A78DD">
        <w:rPr>
          <w:vertAlign w:val="superscript"/>
          <w:lang w:val="fr-FR"/>
        </w:rPr>
        <w:t>e</w:t>
      </w:r>
      <w:r w:rsidRPr="002A78DD">
        <w:rPr>
          <w:lang w:val="fr-FR"/>
        </w:rPr>
        <w:t xml:space="preserve"> réunion</w:t>
      </w:r>
      <w:r w:rsidRPr="002A78DD">
        <w:rPr>
          <w:rStyle w:val="FootnoteReference"/>
          <w:lang w:val="fr-FR"/>
        </w:rPr>
        <w:footnoteReference w:id="3"/>
      </w:r>
      <w:r w:rsidRPr="002A78DD">
        <w:rPr>
          <w:lang w:val="fr-FR"/>
        </w:rPr>
        <w:t xml:space="preserve">, le Comité exécutif a demandé au Secrétariat d’inclure dans le présent document, un résumé des prix des substances réglementées et des produits de remplacement à introduire, tels que communiqués par les entreprises qui demandent du financement dans toutes les nouvelles propositions de projets, incluant des précision sur toute différence entre ces prix et les prix </w:t>
      </w:r>
      <w:r w:rsidR="008C0EDE">
        <w:rPr>
          <w:lang w:val="fr-FR"/>
        </w:rPr>
        <w:t>déclarés dans le</w:t>
      </w:r>
      <w:r w:rsidRPr="002A78DD">
        <w:rPr>
          <w:lang w:val="fr-FR"/>
        </w:rPr>
        <w:t xml:space="preserve"> rapport</w:t>
      </w:r>
      <w:r w:rsidR="008C0EDE">
        <w:rPr>
          <w:lang w:val="fr-FR"/>
        </w:rPr>
        <w:t xml:space="preserve"> sur les données d</w:t>
      </w:r>
      <w:r w:rsidRPr="002A78DD">
        <w:rPr>
          <w:lang w:val="fr-FR"/>
        </w:rPr>
        <w:t xml:space="preserve">u programme de pays.  Aucun nouveau projet d’investissement n’a été présenté </w:t>
      </w:r>
      <w:r w:rsidR="008C0EDE">
        <w:rPr>
          <w:lang w:val="fr-FR"/>
        </w:rPr>
        <w:t>aux</w:t>
      </w:r>
      <w:r w:rsidR="00B76E8C" w:rsidRPr="002A78DD">
        <w:rPr>
          <w:lang w:val="fr-FR"/>
        </w:rPr>
        <w:t xml:space="preserve"> fins d’</w:t>
      </w:r>
      <w:r w:rsidRPr="002A78DD">
        <w:rPr>
          <w:lang w:val="fr-FR"/>
        </w:rPr>
        <w:t>examen à la 85</w:t>
      </w:r>
      <w:r w:rsidRPr="002A78DD">
        <w:rPr>
          <w:vertAlign w:val="superscript"/>
          <w:lang w:val="fr-FR"/>
        </w:rPr>
        <w:t>e</w:t>
      </w:r>
      <w:r w:rsidRPr="002A78DD">
        <w:rPr>
          <w:lang w:val="fr-FR"/>
        </w:rPr>
        <w:t xml:space="preserve"> réunion</w:t>
      </w:r>
      <w:r w:rsidR="00B76E8C" w:rsidRPr="002A78DD">
        <w:rPr>
          <w:lang w:val="fr-FR"/>
        </w:rPr>
        <w:t>.</w:t>
      </w:r>
      <w:r w:rsidRPr="002A78DD">
        <w:rPr>
          <w:lang w:val="fr-FR"/>
        </w:rPr>
        <w:t xml:space="preserve"> </w:t>
      </w:r>
    </w:p>
    <w:p w14:paraId="49843675" w14:textId="5D5FE254" w:rsidR="00B76E8C" w:rsidRPr="002A78DD" w:rsidRDefault="00B76E8C" w:rsidP="00401CBA">
      <w:pPr>
        <w:keepNext/>
        <w:keepLines/>
        <w:rPr>
          <w:i/>
          <w:lang w:val="fr-FR"/>
        </w:rPr>
      </w:pPr>
      <w:r w:rsidRPr="002A78DD">
        <w:rPr>
          <w:i/>
          <w:lang w:val="fr-FR"/>
        </w:rPr>
        <w:lastRenderedPageBreak/>
        <w:t xml:space="preserve">Mise en </w:t>
      </w:r>
      <w:proofErr w:type="spellStart"/>
      <w:r w:rsidRPr="002A78DD">
        <w:rPr>
          <w:i/>
          <w:lang w:val="fr-FR"/>
        </w:rPr>
        <w:t>oeuvre</w:t>
      </w:r>
      <w:proofErr w:type="spellEnd"/>
      <w:r w:rsidRPr="002A78DD">
        <w:rPr>
          <w:i/>
          <w:lang w:val="fr-FR"/>
        </w:rPr>
        <w:t xml:space="preserve"> des activités du Protocole de Montréal dans les pays visés à l’article 5 durant la </w:t>
      </w:r>
      <w:r w:rsidR="001F15FC">
        <w:rPr>
          <w:i/>
          <w:lang w:val="fr-FR"/>
        </w:rPr>
        <w:t xml:space="preserve">pandémie de </w:t>
      </w:r>
      <w:r w:rsidRPr="002A78DD">
        <w:rPr>
          <w:i/>
          <w:lang w:val="fr-FR"/>
        </w:rPr>
        <w:t>COVID-19</w:t>
      </w:r>
    </w:p>
    <w:p w14:paraId="542F48E5" w14:textId="77777777" w:rsidR="00B76E8C" w:rsidRPr="002A78DD" w:rsidRDefault="00B76E8C" w:rsidP="00401CBA">
      <w:pPr>
        <w:keepNext/>
        <w:keepLines/>
        <w:rPr>
          <w:i/>
          <w:lang w:val="fr-FR"/>
        </w:rPr>
      </w:pPr>
    </w:p>
    <w:p w14:paraId="4F2C9718" w14:textId="23EEFD69" w:rsidR="00B76E8C" w:rsidRPr="002A78DD" w:rsidRDefault="00B76E8C" w:rsidP="00401CBA">
      <w:pPr>
        <w:pStyle w:val="Heading1"/>
        <w:keepNext/>
        <w:keepLines/>
        <w:rPr>
          <w:lang w:val="fr-FR"/>
        </w:rPr>
      </w:pPr>
      <w:r w:rsidRPr="002A78DD">
        <w:rPr>
          <w:lang w:val="fr-FR"/>
        </w:rPr>
        <w:t>Durant le processus d’examen des projets, le Secrétariat a pris note que les gouvernements de</w:t>
      </w:r>
      <w:r w:rsidR="001F15FC">
        <w:rPr>
          <w:lang w:val="fr-FR"/>
        </w:rPr>
        <w:t>s</w:t>
      </w:r>
      <w:r w:rsidRPr="002A78DD">
        <w:rPr>
          <w:lang w:val="fr-FR"/>
        </w:rPr>
        <w:t xml:space="preserve"> pays visés à l’article 5, les agences </w:t>
      </w:r>
      <w:r w:rsidR="001F15FC">
        <w:rPr>
          <w:lang w:val="fr-FR"/>
        </w:rPr>
        <w:t>bilatérales et d’exécution o</w:t>
      </w:r>
      <w:r w:rsidRPr="002A78DD">
        <w:rPr>
          <w:lang w:val="fr-FR"/>
        </w:rPr>
        <w:t xml:space="preserve">nt été en mesure d’adapter certaines de leurs opérations </w:t>
      </w:r>
      <w:r w:rsidR="001F15FC">
        <w:rPr>
          <w:lang w:val="fr-FR"/>
        </w:rPr>
        <w:t xml:space="preserve">pour </w:t>
      </w:r>
      <w:r w:rsidR="008C0EDE">
        <w:rPr>
          <w:lang w:val="fr-FR"/>
        </w:rPr>
        <w:t>continuer la mise en œuvre d</w:t>
      </w:r>
      <w:r w:rsidRPr="002A78DD">
        <w:rPr>
          <w:lang w:val="fr-FR"/>
        </w:rPr>
        <w:t>es activités dans le cadre du Protocole de Montréal</w:t>
      </w:r>
      <w:r w:rsidR="001F15FC">
        <w:rPr>
          <w:lang w:val="fr-FR"/>
        </w:rPr>
        <w:t xml:space="preserve"> et </w:t>
      </w:r>
      <w:r w:rsidR="00746747">
        <w:rPr>
          <w:lang w:val="fr-FR"/>
        </w:rPr>
        <w:t xml:space="preserve">de </w:t>
      </w:r>
      <w:r w:rsidRPr="002A78DD">
        <w:rPr>
          <w:lang w:val="fr-FR"/>
        </w:rPr>
        <w:t xml:space="preserve">surmonter les restrictions imposées par la pandémie de COVID-19.  À la demande du </w:t>
      </w:r>
      <w:r w:rsidR="002A78DD" w:rsidRPr="002A78DD">
        <w:rPr>
          <w:lang w:val="fr-FR"/>
        </w:rPr>
        <w:t>Secrétariat,</w:t>
      </w:r>
      <w:r w:rsidRPr="002A78DD">
        <w:rPr>
          <w:lang w:val="fr-FR"/>
        </w:rPr>
        <w:t xml:space="preserve"> les agences bilatérales et d’exécution ont fourni des exemples des mesures mises en </w:t>
      </w:r>
      <w:r w:rsidR="001F15FC">
        <w:rPr>
          <w:lang w:val="fr-FR"/>
        </w:rPr>
        <w:t>place dans le contexte de</w:t>
      </w:r>
      <w:r w:rsidRPr="002A78DD">
        <w:rPr>
          <w:lang w:val="fr-FR"/>
        </w:rPr>
        <w:t xml:space="preserve"> la COVID-19,</w:t>
      </w:r>
      <w:r w:rsidR="00FE4C01">
        <w:rPr>
          <w:lang w:val="fr-FR"/>
        </w:rPr>
        <w:t xml:space="preserve"> qui sont </w:t>
      </w:r>
      <w:r w:rsidRPr="002A78DD">
        <w:rPr>
          <w:lang w:val="fr-FR"/>
        </w:rPr>
        <w:t>résumé</w:t>
      </w:r>
      <w:r w:rsidR="00FE4C01">
        <w:rPr>
          <w:lang w:val="fr-FR"/>
        </w:rPr>
        <w:t>s</w:t>
      </w:r>
      <w:r w:rsidRPr="002A78DD">
        <w:rPr>
          <w:lang w:val="fr-FR"/>
        </w:rPr>
        <w:t xml:space="preserve"> ci-dessous.</w:t>
      </w:r>
    </w:p>
    <w:p w14:paraId="1920E318" w14:textId="1CE0BCA3" w:rsidR="00B76E8C" w:rsidRPr="002A78DD" w:rsidRDefault="00B76E8C" w:rsidP="00C27322">
      <w:pPr>
        <w:pStyle w:val="Heading1"/>
        <w:rPr>
          <w:lang w:val="fr-FR"/>
        </w:rPr>
      </w:pPr>
      <w:r w:rsidRPr="002A78DD">
        <w:rPr>
          <w:lang w:val="fr-FR"/>
        </w:rPr>
        <w:t>Au début de l’année, le PNUD a organisé des missions au Cambodge, à Cuba, en République dominicaine, en Égypte, en Inde, en Indonésie, en Ma</w:t>
      </w:r>
      <w:r w:rsidR="00A52AFD">
        <w:rPr>
          <w:lang w:val="fr-FR"/>
        </w:rPr>
        <w:t>laisie, au Mexique et au Pérou.</w:t>
      </w:r>
      <w:r w:rsidR="00DA1C79">
        <w:rPr>
          <w:lang w:val="fr-FR"/>
        </w:rPr>
        <w:t xml:space="preserve"> Bien que l</w:t>
      </w:r>
      <w:r w:rsidRPr="002A78DD">
        <w:rPr>
          <w:lang w:val="fr-FR"/>
        </w:rPr>
        <w:t xml:space="preserve">es missions n’étaient plus autorisées à partir de mars 2020, le PNUD a </w:t>
      </w:r>
      <w:r w:rsidR="00DA1C79">
        <w:rPr>
          <w:lang w:val="fr-FR"/>
        </w:rPr>
        <w:t>continué</w:t>
      </w:r>
      <w:r w:rsidR="001F15FC">
        <w:rPr>
          <w:lang w:val="fr-FR"/>
        </w:rPr>
        <w:t xml:space="preserve"> la mise en œuvre d</w:t>
      </w:r>
      <w:r w:rsidRPr="002A78DD">
        <w:rPr>
          <w:lang w:val="fr-FR"/>
        </w:rPr>
        <w:t xml:space="preserve">es projets à travers ses bureaux nationaux, en restant en contact avec les UNO et en </w:t>
      </w:r>
      <w:r w:rsidR="001F15FC">
        <w:rPr>
          <w:lang w:val="fr-FR"/>
        </w:rPr>
        <w:t>apport</w:t>
      </w:r>
      <w:r w:rsidRPr="002A78DD">
        <w:rPr>
          <w:lang w:val="fr-FR"/>
        </w:rPr>
        <w:t>ant un soutien à distance (via des réunions en ligne)</w:t>
      </w:r>
      <w:r w:rsidRPr="00A52AFD">
        <w:rPr>
          <w:i/>
          <w:lang w:val="fr-FR"/>
        </w:rPr>
        <w:t xml:space="preserve"> notamment</w:t>
      </w:r>
      <w:r w:rsidRPr="002A78DD">
        <w:rPr>
          <w:lang w:val="fr-FR"/>
        </w:rPr>
        <w:t xml:space="preserve"> sur </w:t>
      </w:r>
      <w:r w:rsidR="00DA1C79">
        <w:rPr>
          <w:lang w:val="fr-FR"/>
        </w:rPr>
        <w:t>la</w:t>
      </w:r>
      <w:r w:rsidRPr="002A78DD">
        <w:rPr>
          <w:lang w:val="fr-FR"/>
        </w:rPr>
        <w:t xml:space="preserve"> préparation des plans de travail annuels, </w:t>
      </w:r>
      <w:r w:rsidR="00DA1C79">
        <w:rPr>
          <w:lang w:val="fr-FR"/>
        </w:rPr>
        <w:t>la révision</w:t>
      </w:r>
      <w:r w:rsidRPr="002A78DD">
        <w:rPr>
          <w:lang w:val="fr-FR"/>
        </w:rPr>
        <w:t xml:space="preserve"> des documents reliés aux projets, </w:t>
      </w:r>
      <w:r w:rsidR="00DA1C79">
        <w:rPr>
          <w:lang w:val="fr-FR"/>
        </w:rPr>
        <w:t>l’</w:t>
      </w:r>
      <w:r w:rsidRPr="002A78DD">
        <w:rPr>
          <w:lang w:val="fr-FR"/>
        </w:rPr>
        <w:t xml:space="preserve">approvisionnement, </w:t>
      </w:r>
      <w:r w:rsidR="00DA1C79">
        <w:rPr>
          <w:lang w:val="fr-FR"/>
        </w:rPr>
        <w:t xml:space="preserve">la </w:t>
      </w:r>
      <w:r w:rsidRPr="002A78DD">
        <w:rPr>
          <w:lang w:val="fr-FR"/>
        </w:rPr>
        <w:t xml:space="preserve">clarification des questions techniques et d’orientation, </w:t>
      </w:r>
      <w:r w:rsidR="00DA1C79">
        <w:rPr>
          <w:lang w:val="fr-FR"/>
        </w:rPr>
        <w:t xml:space="preserve">la </w:t>
      </w:r>
      <w:r w:rsidRPr="002A78DD">
        <w:rPr>
          <w:lang w:val="fr-FR"/>
        </w:rPr>
        <w:t xml:space="preserve">présentation des demandes </w:t>
      </w:r>
      <w:r w:rsidR="00A52AFD">
        <w:rPr>
          <w:lang w:val="fr-FR"/>
        </w:rPr>
        <w:t>de</w:t>
      </w:r>
      <w:r w:rsidRPr="002A78DD">
        <w:rPr>
          <w:lang w:val="fr-FR"/>
        </w:rPr>
        <w:t xml:space="preserve"> tranches, </w:t>
      </w:r>
      <w:r w:rsidR="00DA1C79">
        <w:rPr>
          <w:lang w:val="fr-FR"/>
        </w:rPr>
        <w:t xml:space="preserve">la </w:t>
      </w:r>
      <w:r w:rsidRPr="002A78DD">
        <w:rPr>
          <w:lang w:val="fr-FR"/>
        </w:rPr>
        <w:t xml:space="preserve">rédaction des rapports d’achèvement de projet et </w:t>
      </w:r>
      <w:r w:rsidR="00DA1C79">
        <w:rPr>
          <w:lang w:val="fr-FR"/>
        </w:rPr>
        <w:t xml:space="preserve">le </w:t>
      </w:r>
      <w:r w:rsidRPr="002A78DD">
        <w:rPr>
          <w:lang w:val="fr-FR"/>
        </w:rPr>
        <w:t xml:space="preserve">décaissement financier.  En avril 2020, le PNUD a organisé une téléconférence avec le gouvernement de la Chine et les associations et universités concernées dans les secteurs de la réfrigération industrielle et commerciale et des solvants </w:t>
      </w:r>
      <w:r w:rsidR="00A52AFD">
        <w:rPr>
          <w:lang w:val="fr-FR"/>
        </w:rPr>
        <w:t>pour</w:t>
      </w:r>
      <w:r w:rsidRPr="002A78DD">
        <w:rPr>
          <w:lang w:val="fr-FR"/>
        </w:rPr>
        <w:t xml:space="preserve"> discuter de la révision de la phase II du PGEH.</w:t>
      </w:r>
    </w:p>
    <w:p w14:paraId="34487E95" w14:textId="3A3C15DC" w:rsidR="00AD3268" w:rsidRPr="002A78DD" w:rsidRDefault="00746747" w:rsidP="00C27322">
      <w:pPr>
        <w:pStyle w:val="Heading1"/>
        <w:rPr>
          <w:lang w:val="fr-FR"/>
        </w:rPr>
      </w:pPr>
      <w:r>
        <w:rPr>
          <w:lang w:val="fr-FR"/>
        </w:rPr>
        <w:t>En dépit de</w:t>
      </w:r>
      <w:r w:rsidR="004C2744" w:rsidRPr="002A78DD">
        <w:rPr>
          <w:lang w:val="fr-FR"/>
        </w:rPr>
        <w:t xml:space="preserve"> délais pour certains aspects de la mise en œuvre du projet au niveau du pays, le PNUD a présenté 19 projets</w:t>
      </w:r>
      <w:r w:rsidR="00A52AFD">
        <w:rPr>
          <w:lang w:val="fr-FR"/>
        </w:rPr>
        <w:t>, avec</w:t>
      </w:r>
      <w:r w:rsidR="004C2744" w:rsidRPr="002A78DD">
        <w:rPr>
          <w:lang w:val="fr-FR"/>
        </w:rPr>
        <w:t xml:space="preserve"> une demande de financement totalisant 16,4 millions $US</w:t>
      </w:r>
      <w:r w:rsidR="00A52AFD">
        <w:rPr>
          <w:lang w:val="fr-FR"/>
        </w:rPr>
        <w:t>,</w:t>
      </w:r>
      <w:r w:rsidR="004C2744" w:rsidRPr="002A78DD">
        <w:rPr>
          <w:lang w:val="fr-FR"/>
        </w:rPr>
        <w:t xml:space="preserve"> </w:t>
      </w:r>
      <w:r w:rsidR="00FE4C01">
        <w:rPr>
          <w:lang w:val="fr-FR"/>
        </w:rPr>
        <w:t>ainsi que</w:t>
      </w:r>
      <w:r w:rsidR="004C2744" w:rsidRPr="002A78DD">
        <w:rPr>
          <w:lang w:val="fr-FR"/>
        </w:rPr>
        <w:t xml:space="preserve"> tous les rapports sur les projets </w:t>
      </w:r>
      <w:r w:rsidR="00A52AFD">
        <w:rPr>
          <w:lang w:val="fr-FR"/>
        </w:rPr>
        <w:t xml:space="preserve">comportant </w:t>
      </w:r>
      <w:r w:rsidR="004C2744" w:rsidRPr="002A78DD">
        <w:rPr>
          <w:lang w:val="fr-FR"/>
        </w:rPr>
        <w:t>des exigences spécifiques de rapport attendus à la 85</w:t>
      </w:r>
      <w:r w:rsidR="004C2744" w:rsidRPr="002A78DD">
        <w:rPr>
          <w:vertAlign w:val="superscript"/>
          <w:lang w:val="fr-FR"/>
        </w:rPr>
        <w:t>e</w:t>
      </w:r>
      <w:r w:rsidR="004C2744" w:rsidRPr="002A78DD">
        <w:rPr>
          <w:lang w:val="fr-FR"/>
        </w:rPr>
        <w:t xml:space="preserve"> réunion, et </w:t>
      </w:r>
      <w:r w:rsidR="00A52AFD">
        <w:rPr>
          <w:lang w:val="fr-FR"/>
        </w:rPr>
        <w:t xml:space="preserve">il a </w:t>
      </w:r>
      <w:r w:rsidR="004C2744" w:rsidRPr="002A78DD">
        <w:rPr>
          <w:lang w:val="fr-FR"/>
        </w:rPr>
        <w:t xml:space="preserve">mis en œuvre des activités d’une valeur d’environ 5 millions $US au cours du premier trimestre de 2020.  Le PNUD s’attend à être en mesure de mettre en œuvre des activités d’une valeur </w:t>
      </w:r>
      <w:r w:rsidR="00A52AFD">
        <w:rPr>
          <w:lang w:val="fr-FR"/>
        </w:rPr>
        <w:t>pouvant atteindr</w:t>
      </w:r>
      <w:r w:rsidR="004C2744" w:rsidRPr="002A78DD">
        <w:rPr>
          <w:lang w:val="fr-FR"/>
        </w:rPr>
        <w:t>e 30 millions $US en 2020</w:t>
      </w:r>
      <w:r w:rsidR="00A52AFD">
        <w:rPr>
          <w:lang w:val="fr-FR"/>
        </w:rPr>
        <w:t>,</w:t>
      </w:r>
      <w:r w:rsidR="004C2744" w:rsidRPr="002A78DD">
        <w:rPr>
          <w:lang w:val="fr-FR"/>
        </w:rPr>
        <w:t xml:space="preserve"> si la situation s’améliore d’ici la fin de l’année et si les projets soumis à la 85</w:t>
      </w:r>
      <w:r w:rsidR="004C2744" w:rsidRPr="002A78DD">
        <w:rPr>
          <w:vertAlign w:val="superscript"/>
          <w:lang w:val="fr-FR"/>
        </w:rPr>
        <w:t>e</w:t>
      </w:r>
      <w:r w:rsidR="004C2744" w:rsidRPr="002A78DD">
        <w:rPr>
          <w:lang w:val="fr-FR"/>
        </w:rPr>
        <w:t xml:space="preserve"> réunion sont approuvés.  Le PNUD croit que le soutien </w:t>
      </w:r>
      <w:r w:rsidR="00A52AFD">
        <w:rPr>
          <w:lang w:val="fr-FR"/>
        </w:rPr>
        <w:t>du</w:t>
      </w:r>
      <w:r w:rsidR="004C2744" w:rsidRPr="002A78DD">
        <w:rPr>
          <w:lang w:val="fr-FR"/>
        </w:rPr>
        <w:t xml:space="preserve"> secteur du refroidissement augmentera la résilience des pays et des communautés visés à l’article 5 en matière de sécurité alimentaire, </w:t>
      </w:r>
      <w:r w:rsidR="00A52AFD">
        <w:rPr>
          <w:lang w:val="fr-FR"/>
        </w:rPr>
        <w:t xml:space="preserve">de </w:t>
      </w:r>
      <w:r w:rsidR="004C2744" w:rsidRPr="002A78DD">
        <w:rPr>
          <w:lang w:val="fr-FR"/>
        </w:rPr>
        <w:t xml:space="preserve">santé humaine et </w:t>
      </w:r>
      <w:r w:rsidR="00A52AFD">
        <w:rPr>
          <w:lang w:val="fr-FR"/>
        </w:rPr>
        <w:t xml:space="preserve">de </w:t>
      </w:r>
      <w:r w:rsidR="004C2744" w:rsidRPr="002A78DD">
        <w:rPr>
          <w:lang w:val="fr-FR"/>
        </w:rPr>
        <w:t xml:space="preserve">productivité dans leurs réactions face à la COVID-19.  Reconnaissant l’importance et la nécessité de développer les compétences pour la mise en œuvre de l’Amendement de Kigali, le PNUD organise une série de webinars </w:t>
      </w:r>
      <w:r w:rsidR="00A52AFD">
        <w:rPr>
          <w:lang w:val="fr-FR"/>
        </w:rPr>
        <w:t xml:space="preserve">en ligne </w:t>
      </w:r>
      <w:r w:rsidR="004C2744" w:rsidRPr="002A78DD">
        <w:rPr>
          <w:lang w:val="fr-FR"/>
        </w:rPr>
        <w:t xml:space="preserve">pour un échange d’informations entre </w:t>
      </w:r>
      <w:r w:rsidR="00DA1C79">
        <w:rPr>
          <w:lang w:val="fr-FR"/>
        </w:rPr>
        <w:t xml:space="preserve">les </w:t>
      </w:r>
      <w:r w:rsidR="004C2744" w:rsidRPr="002A78DD">
        <w:rPr>
          <w:lang w:val="fr-FR"/>
        </w:rPr>
        <w:t xml:space="preserve">pays visés à l’article 5 et </w:t>
      </w:r>
      <w:r w:rsidR="00DD434A">
        <w:rPr>
          <w:lang w:val="fr-FR"/>
        </w:rPr>
        <w:t xml:space="preserve">pour </w:t>
      </w:r>
      <w:r w:rsidR="004C2744" w:rsidRPr="002A78DD">
        <w:rPr>
          <w:lang w:val="fr-FR"/>
        </w:rPr>
        <w:t xml:space="preserve">offrir de la formation </w:t>
      </w:r>
      <w:r w:rsidR="00DA1C79" w:rsidRPr="002A78DD">
        <w:rPr>
          <w:lang w:val="fr-FR"/>
        </w:rPr>
        <w:t xml:space="preserve">à distance </w:t>
      </w:r>
      <w:r w:rsidR="004C2744" w:rsidRPr="002A78DD">
        <w:rPr>
          <w:lang w:val="fr-FR"/>
        </w:rPr>
        <w:t>a</w:t>
      </w:r>
      <w:r w:rsidR="00A52AFD">
        <w:rPr>
          <w:lang w:val="fr-FR"/>
        </w:rPr>
        <w:t>ux UNO et aux parties prenantes</w:t>
      </w:r>
      <w:r w:rsidR="004C2744" w:rsidRPr="002A78DD">
        <w:rPr>
          <w:rStyle w:val="FootnoteReference"/>
          <w:lang w:val="fr-FR"/>
        </w:rPr>
        <w:footnoteReference w:id="4"/>
      </w:r>
      <w:r w:rsidR="00A52AFD">
        <w:rPr>
          <w:lang w:val="fr-FR"/>
        </w:rPr>
        <w:t>.</w:t>
      </w:r>
      <w:r w:rsidR="004C2744" w:rsidRPr="002A78DD">
        <w:rPr>
          <w:lang w:val="fr-FR"/>
        </w:rPr>
        <w:t xml:space="preserve">   </w:t>
      </w:r>
    </w:p>
    <w:p w14:paraId="5C67B60A" w14:textId="6BD59E61" w:rsidR="00485557" w:rsidRPr="002A78DD" w:rsidRDefault="00AD3268" w:rsidP="00C27322">
      <w:pPr>
        <w:pStyle w:val="Heading1"/>
        <w:rPr>
          <w:lang w:val="fr-FR"/>
        </w:rPr>
      </w:pPr>
      <w:r w:rsidRPr="002A78DD">
        <w:rPr>
          <w:lang w:val="fr-FR"/>
        </w:rPr>
        <w:t>Le PNUE a fourni plusieurs exemples de la manière dont il continue de trava</w:t>
      </w:r>
      <w:r w:rsidR="00FE4C01">
        <w:rPr>
          <w:lang w:val="fr-FR"/>
        </w:rPr>
        <w:t>iller avec les représentants</w:t>
      </w:r>
      <w:r w:rsidRPr="002A78DD">
        <w:rPr>
          <w:lang w:val="fr-FR"/>
        </w:rPr>
        <w:t xml:space="preserve"> gouvernement</w:t>
      </w:r>
      <w:r w:rsidR="00FE4C01">
        <w:rPr>
          <w:lang w:val="fr-FR"/>
        </w:rPr>
        <w:t>aux</w:t>
      </w:r>
      <w:r w:rsidRPr="002A78DD">
        <w:rPr>
          <w:lang w:val="fr-FR"/>
        </w:rPr>
        <w:t xml:space="preserve"> pour remplir son mandat de manière virtuelle.  En Asie occidentale, le gouvernement du Qatar et le PNUE se sont associés pour organiser </w:t>
      </w:r>
      <w:r w:rsidR="009E4A30" w:rsidRPr="002A78DD">
        <w:rPr>
          <w:lang w:val="fr-FR"/>
        </w:rPr>
        <w:t>un</w:t>
      </w:r>
      <w:r w:rsidR="00DA1C79">
        <w:rPr>
          <w:lang w:val="fr-FR"/>
        </w:rPr>
        <w:t xml:space="preserve"> événement d</w:t>
      </w:r>
      <w:r w:rsidR="009E4A30" w:rsidRPr="002A78DD">
        <w:rPr>
          <w:lang w:val="fr-FR"/>
        </w:rPr>
        <w:t xml:space="preserve">e formation des formateurs à distance, d’une durée de trois jours, en collaboration avec l’université du Qatar </w:t>
      </w:r>
      <w:r w:rsidR="002E3260">
        <w:rPr>
          <w:lang w:val="fr-FR"/>
        </w:rPr>
        <w:t xml:space="preserve">et l’association italienne des </w:t>
      </w:r>
      <w:r w:rsidR="009E4A30" w:rsidRPr="002A78DD">
        <w:rPr>
          <w:lang w:val="fr-FR"/>
        </w:rPr>
        <w:t>techniciens en réfrigération (ATF)</w:t>
      </w:r>
      <w:r w:rsidR="009E4A30" w:rsidRPr="002A78DD">
        <w:rPr>
          <w:rStyle w:val="FootnoteReference"/>
          <w:lang w:val="fr-FR"/>
        </w:rPr>
        <w:footnoteReference w:id="5"/>
      </w:r>
      <w:r w:rsidRPr="002A78DD">
        <w:rPr>
          <w:lang w:val="fr-FR"/>
        </w:rPr>
        <w:t>.</w:t>
      </w:r>
      <w:r w:rsidR="004C2744" w:rsidRPr="002A78DD">
        <w:rPr>
          <w:lang w:val="fr-FR"/>
        </w:rPr>
        <w:t xml:space="preserve"> </w:t>
      </w:r>
      <w:r w:rsidR="006B3E14" w:rsidRPr="002A78DD">
        <w:rPr>
          <w:lang w:val="fr-FR"/>
        </w:rPr>
        <w:t xml:space="preserve"> </w:t>
      </w:r>
      <w:r w:rsidR="009E4A30" w:rsidRPr="002A78DD">
        <w:rPr>
          <w:lang w:val="fr-FR"/>
        </w:rPr>
        <w:t xml:space="preserve">En Europe, le PNUE a instauré des rencontres virtuelles mensuelles pour les </w:t>
      </w:r>
      <w:r w:rsidR="00150480" w:rsidRPr="002A78DD">
        <w:rPr>
          <w:lang w:val="fr-FR"/>
        </w:rPr>
        <w:t>administrateurs nationaux de l’ozone et a tenu un webinar sur plusieurs aspects du Protocole de Montréal</w:t>
      </w:r>
      <w:r w:rsidR="002E3260">
        <w:rPr>
          <w:lang w:val="fr-FR"/>
        </w:rPr>
        <w:t>,</w:t>
      </w:r>
      <w:r w:rsidR="00150480" w:rsidRPr="002A78DD">
        <w:rPr>
          <w:lang w:val="fr-FR"/>
        </w:rPr>
        <w:t xml:space="preserve"> avec la participation du Secrétariat de l’ozone.  En Asie, le PNUE</w:t>
      </w:r>
      <w:r w:rsidR="00485557" w:rsidRPr="002A78DD">
        <w:rPr>
          <w:lang w:val="fr-FR"/>
        </w:rPr>
        <w:t xml:space="preserve"> a aidé la Mongolie </w:t>
      </w:r>
      <w:r w:rsidR="002E3260">
        <w:rPr>
          <w:lang w:val="fr-FR"/>
        </w:rPr>
        <w:t xml:space="preserve">à organiser </w:t>
      </w:r>
      <w:r w:rsidR="00485557" w:rsidRPr="002A78DD">
        <w:rPr>
          <w:lang w:val="fr-FR"/>
        </w:rPr>
        <w:t>une consultation virtu</w:t>
      </w:r>
      <w:r w:rsidR="002E3260">
        <w:rPr>
          <w:lang w:val="fr-FR"/>
        </w:rPr>
        <w:t xml:space="preserve">elle des parties prenantes et </w:t>
      </w:r>
      <w:r w:rsidR="00485557" w:rsidRPr="002A78DD">
        <w:rPr>
          <w:lang w:val="fr-FR"/>
        </w:rPr>
        <w:t xml:space="preserve">un atelier de </w:t>
      </w:r>
      <w:r w:rsidR="00485557" w:rsidRPr="002A78DD">
        <w:rPr>
          <w:lang w:val="fr-FR"/>
        </w:rPr>
        <w:lastRenderedPageBreak/>
        <w:t>sensibilisation sur les normes de sécurité et d’efficacité énergétique pour les équipements de réfrigération et de climatisation résidentielle</w:t>
      </w:r>
      <w:r w:rsidR="002E3260">
        <w:rPr>
          <w:lang w:val="fr-FR"/>
        </w:rPr>
        <w:t>,</w:t>
      </w:r>
      <w:r w:rsidR="00485557" w:rsidRPr="002A78DD">
        <w:rPr>
          <w:lang w:val="fr-FR"/>
        </w:rPr>
        <w:t xml:space="preserve"> avec 45 participants.  En Amérique latine, l</w:t>
      </w:r>
      <w:r w:rsidR="002E3260">
        <w:rPr>
          <w:lang w:val="fr-FR"/>
        </w:rPr>
        <w:t xml:space="preserve">e PNUE a </w:t>
      </w:r>
      <w:r w:rsidR="00DA1C79">
        <w:rPr>
          <w:lang w:val="fr-FR"/>
        </w:rPr>
        <w:t>transformé</w:t>
      </w:r>
      <w:r w:rsidR="002E3260">
        <w:rPr>
          <w:lang w:val="fr-FR"/>
        </w:rPr>
        <w:t xml:space="preserve"> les réunions de réseau en webinars</w:t>
      </w:r>
      <w:r w:rsidR="00D353F1">
        <w:rPr>
          <w:lang w:val="fr-FR"/>
        </w:rPr>
        <w:t>;</w:t>
      </w:r>
      <w:r w:rsidR="00485557" w:rsidRPr="002A78DD">
        <w:rPr>
          <w:lang w:val="fr-FR"/>
        </w:rPr>
        <w:t xml:space="preserve"> le premier se tiendra à la fin mai 2020 sur la parité des sexes dans les projets du Fonds multilatéral et un autre sur les HFC</w:t>
      </w:r>
      <w:r w:rsidR="00D353F1">
        <w:rPr>
          <w:lang w:val="fr-FR"/>
        </w:rPr>
        <w:t xml:space="preserve"> sera</w:t>
      </w:r>
      <w:r w:rsidR="00485557" w:rsidRPr="002A78DD">
        <w:rPr>
          <w:lang w:val="fr-FR"/>
        </w:rPr>
        <w:t xml:space="preserve"> organisé par le Paraguay avec la participation de six pays.  D’autres activités incluent la vérification </w:t>
      </w:r>
      <w:r w:rsidR="00D353F1">
        <w:rPr>
          <w:lang w:val="fr-FR"/>
        </w:rPr>
        <w:t xml:space="preserve">à distance </w:t>
      </w:r>
      <w:r w:rsidR="00485557" w:rsidRPr="002A78DD">
        <w:rPr>
          <w:lang w:val="fr-FR"/>
        </w:rPr>
        <w:t xml:space="preserve">de </w:t>
      </w:r>
      <w:r w:rsidR="001914A9">
        <w:rPr>
          <w:lang w:val="fr-FR"/>
        </w:rPr>
        <w:t>la consommation de HCFC à Saint</w:t>
      </w:r>
      <w:r w:rsidR="001914A9">
        <w:rPr>
          <w:lang w:val="fr-FR"/>
        </w:rPr>
        <w:noBreakHyphen/>
      </w:r>
      <w:r w:rsidR="00485557" w:rsidRPr="002A78DD">
        <w:rPr>
          <w:lang w:val="fr-FR"/>
        </w:rPr>
        <w:t>Vincent-et-Grenadines</w:t>
      </w:r>
      <w:r w:rsidR="00D353F1">
        <w:rPr>
          <w:lang w:val="fr-FR"/>
        </w:rPr>
        <w:t xml:space="preserve">, </w:t>
      </w:r>
      <w:r w:rsidR="00485557" w:rsidRPr="002A78DD">
        <w:rPr>
          <w:lang w:val="fr-FR"/>
        </w:rPr>
        <w:t>par le biais d’entrevues avec le ministère des douanes et les importateurs et la remise de la documentation pertinente au vérificateur indépendant.</w:t>
      </w:r>
    </w:p>
    <w:p w14:paraId="59ED5407" w14:textId="55814C18" w:rsidR="004D43C5" w:rsidRPr="002A78DD" w:rsidRDefault="00485557" w:rsidP="00C27322">
      <w:pPr>
        <w:pStyle w:val="Heading1"/>
        <w:rPr>
          <w:lang w:val="fr-FR"/>
        </w:rPr>
      </w:pPr>
      <w:r w:rsidRPr="002A78DD">
        <w:rPr>
          <w:lang w:val="fr-FR"/>
        </w:rPr>
        <w:t xml:space="preserve">Le PNUE </w:t>
      </w:r>
      <w:r w:rsidR="00D353F1">
        <w:rPr>
          <w:lang w:val="fr-FR"/>
        </w:rPr>
        <w:t>continue aussi d’</w:t>
      </w:r>
      <w:r w:rsidRPr="002A78DD">
        <w:rPr>
          <w:lang w:val="fr-FR"/>
        </w:rPr>
        <w:t xml:space="preserve">offrir ses services au niveau mondial.  Le 10 juin 2020, le PNUE tiendra un webinar international sur les frigorigènes de remplacement à faible potentiel de réchauffement de la planète (PRG) dans les pays à température ambiante élevée, en remplacement du programme de formation </w:t>
      </w:r>
      <w:r w:rsidR="00702AC5" w:rsidRPr="002A78DD">
        <w:rPr>
          <w:lang w:val="fr-FR"/>
        </w:rPr>
        <w:t xml:space="preserve">qui devait se tenir en mars 2020 à Dubaï et qui fut annulé par la suite.  Le PNUE </w:t>
      </w:r>
      <w:r w:rsidR="00D353F1">
        <w:rPr>
          <w:lang w:val="fr-FR"/>
        </w:rPr>
        <w:t>continue</w:t>
      </w:r>
      <w:r w:rsidR="00702AC5" w:rsidRPr="002A78DD">
        <w:rPr>
          <w:lang w:val="fr-FR"/>
        </w:rPr>
        <w:t xml:space="preserve"> de travailler avec ses partenaires mondiaux sur des activités </w:t>
      </w:r>
      <w:r w:rsidR="00FE4C01">
        <w:rPr>
          <w:lang w:val="fr-FR"/>
        </w:rPr>
        <w:t xml:space="preserve">en cours </w:t>
      </w:r>
      <w:r w:rsidR="00702AC5" w:rsidRPr="002A78DD">
        <w:rPr>
          <w:lang w:val="fr-FR"/>
        </w:rPr>
        <w:t>qui incluent la célébration de la Journée mondiale de la réfrigération (</w:t>
      </w:r>
      <w:proofErr w:type="spellStart"/>
      <w:r w:rsidR="00702AC5" w:rsidRPr="002A78DD">
        <w:rPr>
          <w:lang w:val="fr-FR"/>
        </w:rPr>
        <w:t>WRefD</w:t>
      </w:r>
      <w:proofErr w:type="spellEnd"/>
      <w:r w:rsidR="00702AC5" w:rsidRPr="002A78DD">
        <w:rPr>
          <w:lang w:val="fr-FR"/>
        </w:rPr>
        <w:t>)</w:t>
      </w:r>
      <w:r w:rsidR="00D353F1">
        <w:rPr>
          <w:lang w:val="fr-FR"/>
        </w:rPr>
        <w:t>,</w:t>
      </w:r>
      <w:r w:rsidR="00702AC5" w:rsidRPr="002A78DD">
        <w:rPr>
          <w:lang w:val="fr-FR"/>
        </w:rPr>
        <w:t xml:space="preserve"> avec le Secrétariat de la </w:t>
      </w:r>
      <w:proofErr w:type="spellStart"/>
      <w:r w:rsidR="00702AC5" w:rsidRPr="002A78DD">
        <w:rPr>
          <w:lang w:val="fr-FR"/>
        </w:rPr>
        <w:t>WRefD</w:t>
      </w:r>
      <w:proofErr w:type="spellEnd"/>
      <w:r w:rsidR="00702AC5" w:rsidRPr="002A78DD">
        <w:rPr>
          <w:lang w:val="fr-FR"/>
        </w:rPr>
        <w:t xml:space="preserve">, l’American Society of </w:t>
      </w:r>
      <w:proofErr w:type="spellStart"/>
      <w:r w:rsidR="00702AC5" w:rsidRPr="002A78DD">
        <w:rPr>
          <w:lang w:val="fr-FR"/>
        </w:rPr>
        <w:t>Heating</w:t>
      </w:r>
      <w:proofErr w:type="spellEnd"/>
      <w:r w:rsidR="00702AC5" w:rsidRPr="002A78DD">
        <w:rPr>
          <w:lang w:val="fr-FR"/>
        </w:rPr>
        <w:t xml:space="preserve">, </w:t>
      </w:r>
      <w:proofErr w:type="spellStart"/>
      <w:r w:rsidR="00A316D9" w:rsidRPr="002A78DD">
        <w:rPr>
          <w:lang w:val="fr-FR"/>
        </w:rPr>
        <w:t>Refrigerating</w:t>
      </w:r>
      <w:proofErr w:type="spellEnd"/>
      <w:r w:rsidR="00A316D9" w:rsidRPr="002A78DD">
        <w:rPr>
          <w:lang w:val="fr-FR"/>
        </w:rPr>
        <w:t xml:space="preserve"> and Air-</w:t>
      </w:r>
      <w:proofErr w:type="spellStart"/>
      <w:r w:rsidR="00A316D9" w:rsidRPr="002A78DD">
        <w:rPr>
          <w:lang w:val="fr-FR"/>
        </w:rPr>
        <w:t>Conditioning</w:t>
      </w:r>
      <w:proofErr w:type="spellEnd"/>
      <w:r w:rsidR="00A316D9" w:rsidRPr="002A78DD">
        <w:rPr>
          <w:lang w:val="fr-FR"/>
        </w:rPr>
        <w:t xml:space="preserve"> </w:t>
      </w:r>
      <w:proofErr w:type="spellStart"/>
      <w:r w:rsidR="00A316D9" w:rsidRPr="002A78DD">
        <w:rPr>
          <w:lang w:val="fr-FR"/>
        </w:rPr>
        <w:t>Engineers</w:t>
      </w:r>
      <w:proofErr w:type="spellEnd"/>
      <w:r w:rsidR="00A316D9" w:rsidRPr="002A78DD">
        <w:rPr>
          <w:lang w:val="fr-FR"/>
        </w:rPr>
        <w:t xml:space="preserve"> (</w:t>
      </w:r>
      <w:r w:rsidR="00702AC5" w:rsidRPr="002A78DD">
        <w:rPr>
          <w:lang w:val="fr-FR"/>
        </w:rPr>
        <w:t>ASHRAE</w:t>
      </w:r>
      <w:r w:rsidR="00A316D9" w:rsidRPr="002A78DD">
        <w:rPr>
          <w:lang w:val="fr-FR"/>
        </w:rPr>
        <w:t>), l’Institut international du froid (IIF), le Partenariat européen pour l’énergie e</w:t>
      </w:r>
      <w:r w:rsidR="0008773E" w:rsidRPr="002A78DD">
        <w:rPr>
          <w:lang w:val="fr-FR"/>
        </w:rPr>
        <w:t xml:space="preserve">t l’environnement (EPEE) et le Global Food Cold Chain Council (GFCCC); </w:t>
      </w:r>
      <w:r w:rsidR="00A316D9" w:rsidRPr="002A78DD">
        <w:rPr>
          <w:lang w:val="fr-FR"/>
        </w:rPr>
        <w:t xml:space="preserve">la promotion </w:t>
      </w:r>
      <w:r w:rsidR="0008773E" w:rsidRPr="002A78DD">
        <w:rPr>
          <w:lang w:val="fr-FR"/>
        </w:rPr>
        <w:t>d</w:t>
      </w:r>
      <w:r w:rsidR="00D353F1">
        <w:rPr>
          <w:lang w:val="fr-FR"/>
        </w:rPr>
        <w:t>u programme</w:t>
      </w:r>
      <w:r w:rsidR="0008773E" w:rsidRPr="002A78DD">
        <w:rPr>
          <w:lang w:val="fr-FR"/>
        </w:rPr>
        <w:t xml:space="preserve"> d’apprentissage électronique ASHRAE-PNUE sur les frigorigènes; </w:t>
      </w:r>
      <w:r w:rsidR="002E3260">
        <w:rPr>
          <w:lang w:val="fr-FR"/>
        </w:rPr>
        <w:t xml:space="preserve">et </w:t>
      </w:r>
      <w:r w:rsidR="0008773E" w:rsidRPr="002A78DD">
        <w:rPr>
          <w:lang w:val="fr-FR"/>
        </w:rPr>
        <w:t xml:space="preserve">des sessions d’orientation </w:t>
      </w:r>
      <w:r w:rsidR="00D353F1">
        <w:rPr>
          <w:lang w:val="fr-FR"/>
        </w:rPr>
        <w:t>via le</w:t>
      </w:r>
      <w:r w:rsidR="0008773E" w:rsidRPr="002A78DD">
        <w:rPr>
          <w:lang w:val="fr-FR"/>
        </w:rPr>
        <w:t xml:space="preserve"> web sur une variété de sujets</w:t>
      </w:r>
      <w:r w:rsidR="00D353F1">
        <w:rPr>
          <w:lang w:val="fr-FR"/>
        </w:rPr>
        <w:t>,</w:t>
      </w:r>
      <w:r w:rsidR="0008773E" w:rsidRPr="002A78DD">
        <w:rPr>
          <w:lang w:val="fr-FR"/>
        </w:rPr>
        <w:t xml:space="preserve"> incluant les HFC et la chaîne du froid à l’intention des UNO et des experts nationaux dans au moins sept pays.  En mai et juin</w:t>
      </w:r>
      <w:r w:rsidR="001914A9">
        <w:rPr>
          <w:lang w:val="fr-FR"/>
        </w:rPr>
        <w:t> </w:t>
      </w:r>
      <w:r w:rsidR="0008773E" w:rsidRPr="002A78DD">
        <w:rPr>
          <w:lang w:val="fr-FR"/>
        </w:rPr>
        <w:t xml:space="preserve">2020, le PNUE a lancé ou prévu des mises à jour </w:t>
      </w:r>
      <w:r w:rsidR="002E3260">
        <w:rPr>
          <w:lang w:val="fr-FR"/>
        </w:rPr>
        <w:t>de</w:t>
      </w:r>
      <w:r w:rsidR="0008773E" w:rsidRPr="002A78DD">
        <w:rPr>
          <w:lang w:val="fr-FR"/>
        </w:rPr>
        <w:t xml:space="preserve"> ses applications pour smartphone (</w:t>
      </w:r>
      <w:proofErr w:type="spellStart"/>
      <w:r w:rsidR="0008773E" w:rsidRPr="002A78DD">
        <w:rPr>
          <w:lang w:val="fr-FR"/>
        </w:rPr>
        <w:t>WhatGas</w:t>
      </w:r>
      <w:proofErr w:type="spellEnd"/>
      <w:r w:rsidR="0008773E" w:rsidRPr="002A78DD">
        <w:rPr>
          <w:lang w:val="fr-FR"/>
        </w:rPr>
        <w:t>? et le calculateur PRG-SAO d’</w:t>
      </w:r>
      <w:proofErr w:type="spellStart"/>
      <w:r w:rsidR="0008773E" w:rsidRPr="002A78DD">
        <w:rPr>
          <w:lang w:val="fr-FR"/>
        </w:rPr>
        <w:t>OzonAction</w:t>
      </w:r>
      <w:proofErr w:type="spellEnd"/>
      <w:r w:rsidR="0008773E" w:rsidRPr="002A78DD">
        <w:rPr>
          <w:lang w:val="fr-FR"/>
        </w:rPr>
        <w:t xml:space="preserve">); </w:t>
      </w:r>
      <w:r w:rsidR="00D353F1">
        <w:rPr>
          <w:lang w:val="fr-FR"/>
        </w:rPr>
        <w:t xml:space="preserve">il a </w:t>
      </w:r>
      <w:r w:rsidR="0008773E" w:rsidRPr="002A78DD">
        <w:rPr>
          <w:lang w:val="fr-FR"/>
        </w:rPr>
        <w:t xml:space="preserve">élaboré une nouvelle fiche technique sur </w:t>
      </w:r>
      <w:r w:rsidR="002E3260" w:rsidRPr="00D353F1">
        <w:rPr>
          <w:lang w:val="fr-FR"/>
        </w:rPr>
        <w:t>l</w:t>
      </w:r>
      <w:r w:rsidR="008F1376">
        <w:rPr>
          <w:lang w:val="fr-FR"/>
        </w:rPr>
        <w:t>e reliquat de</w:t>
      </w:r>
      <w:r w:rsidR="00DD434A">
        <w:rPr>
          <w:lang w:val="fr-FR"/>
        </w:rPr>
        <w:t xml:space="preserve"> </w:t>
      </w:r>
      <w:r w:rsidR="00D353F1">
        <w:rPr>
          <w:lang w:val="fr-FR"/>
        </w:rPr>
        <w:t xml:space="preserve">HCFC </w:t>
      </w:r>
      <w:r w:rsidR="00E363E0">
        <w:rPr>
          <w:lang w:val="fr-FR"/>
        </w:rPr>
        <w:t xml:space="preserve">utilisés </w:t>
      </w:r>
      <w:r w:rsidR="00DD434A">
        <w:rPr>
          <w:lang w:val="fr-FR"/>
        </w:rPr>
        <w:t>aux fins d’entretien</w:t>
      </w:r>
      <w:r w:rsidR="002E3260" w:rsidRPr="00D353F1">
        <w:rPr>
          <w:lang w:val="fr-FR"/>
        </w:rPr>
        <w:t xml:space="preserve"> dans la réfrigé</w:t>
      </w:r>
      <w:r w:rsidR="00A70FE0" w:rsidRPr="00D353F1">
        <w:rPr>
          <w:lang w:val="fr-FR"/>
        </w:rPr>
        <w:t>ration</w:t>
      </w:r>
      <w:r w:rsidR="00A70FE0" w:rsidRPr="00D353F1">
        <w:rPr>
          <w:rStyle w:val="FootnoteReference"/>
          <w:lang w:val="fr-FR"/>
        </w:rPr>
        <w:footnoteReference w:id="6"/>
      </w:r>
      <w:r w:rsidR="00A70FE0" w:rsidRPr="00D353F1">
        <w:rPr>
          <w:lang w:val="fr-FR"/>
        </w:rPr>
        <w:t>; mis à jour les fiches techniques ex</w:t>
      </w:r>
      <w:r w:rsidR="004D43C5" w:rsidRPr="00D353F1">
        <w:rPr>
          <w:lang w:val="fr-FR"/>
        </w:rPr>
        <w:t>ista</w:t>
      </w:r>
      <w:r w:rsidR="004D43C5" w:rsidRPr="002A78DD">
        <w:rPr>
          <w:lang w:val="fr-FR"/>
        </w:rPr>
        <w:t>ntes sur les frigorigènes;</w:t>
      </w:r>
      <w:r w:rsidR="00702AC5" w:rsidRPr="002A78DD">
        <w:rPr>
          <w:lang w:val="fr-FR"/>
        </w:rPr>
        <w:t xml:space="preserve"> et</w:t>
      </w:r>
      <w:r w:rsidR="004D43C5" w:rsidRPr="002A78DD">
        <w:rPr>
          <w:lang w:val="fr-FR"/>
        </w:rPr>
        <w:t xml:space="preserve"> produit des vidéos sur la sécurité des frigorigènes inflammables à l’intention des techniciens en réfrigération.  Le PNUE a continué aussi </w:t>
      </w:r>
      <w:r w:rsidR="000A77A3">
        <w:rPr>
          <w:lang w:val="fr-FR"/>
        </w:rPr>
        <w:t xml:space="preserve">la publication bihebdomadaire de </w:t>
      </w:r>
      <w:proofErr w:type="spellStart"/>
      <w:r w:rsidR="000A77A3">
        <w:rPr>
          <w:lang w:val="fr-FR"/>
        </w:rPr>
        <w:t>OzoNews</w:t>
      </w:r>
      <w:proofErr w:type="spellEnd"/>
      <w:r w:rsidR="00702AC5" w:rsidRPr="002A78DD">
        <w:rPr>
          <w:lang w:val="fr-FR"/>
        </w:rPr>
        <w:t>.</w:t>
      </w:r>
    </w:p>
    <w:p w14:paraId="1D7CB261" w14:textId="1B555818" w:rsidR="00723F59" w:rsidRPr="002A78DD" w:rsidRDefault="004D43C5" w:rsidP="00C27322">
      <w:pPr>
        <w:pStyle w:val="Heading1"/>
        <w:rPr>
          <w:lang w:val="fr-FR"/>
        </w:rPr>
      </w:pPr>
      <w:r w:rsidRPr="002A78DD">
        <w:rPr>
          <w:lang w:val="fr-FR"/>
        </w:rPr>
        <w:t xml:space="preserve">Durant le processus d’examen des projets, l’ONUDI a fourni quelques exemples de la manière dont </w:t>
      </w:r>
      <w:r w:rsidR="000A77A3">
        <w:rPr>
          <w:lang w:val="fr-FR"/>
        </w:rPr>
        <w:t>elle a adapté s</w:t>
      </w:r>
      <w:r w:rsidR="00D353F1">
        <w:rPr>
          <w:lang w:val="fr-FR"/>
        </w:rPr>
        <w:t>on travail</w:t>
      </w:r>
      <w:r w:rsidR="000A77A3">
        <w:rPr>
          <w:lang w:val="fr-FR"/>
        </w:rPr>
        <w:t xml:space="preserve"> face aux</w:t>
      </w:r>
      <w:r w:rsidRPr="002A78DD">
        <w:rPr>
          <w:lang w:val="fr-FR"/>
        </w:rPr>
        <w:t xml:space="preserve"> restrictions imposées par la COVID-19.  </w:t>
      </w:r>
      <w:r w:rsidR="006807BD">
        <w:rPr>
          <w:lang w:val="fr-FR"/>
        </w:rPr>
        <w:t>Dans</w:t>
      </w:r>
      <w:r w:rsidRPr="002A78DD">
        <w:rPr>
          <w:lang w:val="fr-FR"/>
        </w:rPr>
        <w:t xml:space="preserve"> le cas </w:t>
      </w:r>
      <w:r w:rsidR="006807BD">
        <w:rPr>
          <w:lang w:val="fr-FR"/>
        </w:rPr>
        <w:t>du</w:t>
      </w:r>
      <w:r w:rsidRPr="002A78DD">
        <w:rPr>
          <w:lang w:val="fr-FR"/>
        </w:rPr>
        <w:t xml:space="preserve"> PGEH </w:t>
      </w:r>
      <w:r w:rsidR="006807BD">
        <w:rPr>
          <w:lang w:val="fr-FR"/>
        </w:rPr>
        <w:t>pour le</w:t>
      </w:r>
      <w:r w:rsidRPr="002A78DD">
        <w:rPr>
          <w:lang w:val="fr-FR"/>
        </w:rPr>
        <w:t xml:space="preserve"> Guatemala</w:t>
      </w:r>
      <w:r w:rsidR="008A79DF">
        <w:rPr>
          <w:lang w:val="fr-FR"/>
        </w:rPr>
        <w:t>,</w:t>
      </w:r>
      <w:r w:rsidRPr="002A78DD">
        <w:rPr>
          <w:lang w:val="fr-FR"/>
        </w:rPr>
        <w:t xml:space="preserve"> un rapport de vérification sur la consommation de HCFC </w:t>
      </w:r>
      <w:r w:rsidR="008A79DF">
        <w:rPr>
          <w:lang w:val="fr-FR"/>
        </w:rPr>
        <w:t>devait être finalisé mais il</w:t>
      </w:r>
      <w:r w:rsidRPr="002A78DD">
        <w:rPr>
          <w:lang w:val="fr-FR"/>
        </w:rPr>
        <w:t xml:space="preserve"> a</w:t>
      </w:r>
      <w:r w:rsidR="000A77A3">
        <w:rPr>
          <w:lang w:val="fr-FR"/>
        </w:rPr>
        <w:t xml:space="preserve"> dû être </w:t>
      </w:r>
      <w:r w:rsidRPr="002A78DD">
        <w:rPr>
          <w:lang w:val="fr-FR"/>
        </w:rPr>
        <w:t xml:space="preserve">mis en attente à cause des restrictions de voyage. </w:t>
      </w:r>
      <w:r w:rsidR="008A79DF">
        <w:rPr>
          <w:lang w:val="fr-FR"/>
        </w:rPr>
        <w:t xml:space="preserve">Face </w:t>
      </w:r>
      <w:r w:rsidRPr="002A78DD">
        <w:rPr>
          <w:lang w:val="fr-FR"/>
        </w:rPr>
        <w:t>à cette situation, le gouvernement du Guatemala a eu des discussions avec l’ONUDI et le vérificateur et il</w:t>
      </w:r>
      <w:r w:rsidR="006807BD">
        <w:rPr>
          <w:lang w:val="fr-FR"/>
        </w:rPr>
        <w:t>s ont convenu d’une procédure pour</w:t>
      </w:r>
      <w:r w:rsidRPr="002A78DD">
        <w:rPr>
          <w:lang w:val="fr-FR"/>
        </w:rPr>
        <w:t xml:space="preserve"> finaliser le rapport à distance.  </w:t>
      </w:r>
      <w:r w:rsidR="006807BD">
        <w:rPr>
          <w:lang w:val="fr-FR"/>
        </w:rPr>
        <w:t>Ainsi,</w:t>
      </w:r>
      <w:r w:rsidRPr="002A78DD">
        <w:rPr>
          <w:lang w:val="fr-FR"/>
        </w:rPr>
        <w:t xml:space="preserve"> le</w:t>
      </w:r>
      <w:r w:rsidR="006807BD">
        <w:rPr>
          <w:lang w:val="fr-FR"/>
        </w:rPr>
        <w:t xml:space="preserve"> 20 avril 2020,</w:t>
      </w:r>
      <w:r w:rsidRPr="002A78DD">
        <w:rPr>
          <w:lang w:val="fr-FR"/>
        </w:rPr>
        <w:t xml:space="preserve"> l’ONUDI a envoyé une lettre au ministère de l’Environnement pour lui demander son soutien et les informations requises et elle a informé le gouvernement </w:t>
      </w:r>
      <w:r w:rsidR="00723F59" w:rsidRPr="002A78DD">
        <w:rPr>
          <w:lang w:val="fr-FR"/>
        </w:rPr>
        <w:t>du fait que le vérificateur contacterait les parties prenantes concernées.  L’ONUDI a aussi amendé le mandat du vérificateur en fonction de cette nouvelle approche.  L’ONUDI a adopté la même approche pour finaliser le rapport de vérification de</w:t>
      </w:r>
      <w:r w:rsidR="000A77A3">
        <w:rPr>
          <w:lang w:val="fr-FR"/>
        </w:rPr>
        <w:t xml:space="preserve"> la con</w:t>
      </w:r>
      <w:r w:rsidR="00723F59" w:rsidRPr="002A78DD">
        <w:rPr>
          <w:lang w:val="fr-FR"/>
        </w:rPr>
        <w:t>s</w:t>
      </w:r>
      <w:r w:rsidR="000A77A3">
        <w:rPr>
          <w:lang w:val="fr-FR"/>
        </w:rPr>
        <w:t>ommation de</w:t>
      </w:r>
      <w:r w:rsidR="00723F59" w:rsidRPr="002A78DD">
        <w:rPr>
          <w:lang w:val="fr-FR"/>
        </w:rPr>
        <w:t xml:space="preserve"> HCFC pour le Honduras qui est attendu à la 86</w:t>
      </w:r>
      <w:r w:rsidR="00723F59" w:rsidRPr="002A78DD">
        <w:rPr>
          <w:vertAlign w:val="superscript"/>
          <w:lang w:val="fr-FR"/>
        </w:rPr>
        <w:t>e</w:t>
      </w:r>
      <w:r w:rsidR="00723F59" w:rsidRPr="002A78DD">
        <w:rPr>
          <w:lang w:val="fr-FR"/>
        </w:rPr>
        <w:t xml:space="preserve"> réunion.</w:t>
      </w:r>
    </w:p>
    <w:p w14:paraId="6859442A" w14:textId="33552D94" w:rsidR="007C2A85" w:rsidRPr="002A78DD" w:rsidRDefault="00723F59" w:rsidP="00C27322">
      <w:pPr>
        <w:pStyle w:val="Heading1"/>
        <w:rPr>
          <w:lang w:val="fr-FR"/>
        </w:rPr>
      </w:pPr>
      <w:r w:rsidRPr="002A78DD">
        <w:rPr>
          <w:lang w:val="fr-FR"/>
        </w:rPr>
        <w:t>L’ONUDI a aussi tenu un atelier de formation en ligne sur les bonnes pratiques de réfrigération</w:t>
      </w:r>
      <w:r w:rsidR="000A77A3">
        <w:rPr>
          <w:lang w:val="fr-FR"/>
        </w:rPr>
        <w:t>,</w:t>
      </w:r>
      <w:r w:rsidR="00C2797F">
        <w:rPr>
          <w:lang w:val="fr-FR"/>
        </w:rPr>
        <w:t xml:space="preserve"> </w:t>
      </w:r>
      <w:r w:rsidRPr="002A78DD">
        <w:rPr>
          <w:lang w:val="fr-FR"/>
        </w:rPr>
        <w:t>mettant l’accent sur la manipulation sécuritaire des frigorigènes inflammables, du 27 au 30 avril</w:t>
      </w:r>
      <w:r w:rsidR="000A77A3">
        <w:rPr>
          <w:lang w:val="fr-FR"/>
        </w:rPr>
        <w:t xml:space="preserve"> 2020, avec la participation d</w:t>
      </w:r>
      <w:r w:rsidR="00C2797F">
        <w:rPr>
          <w:lang w:val="fr-FR"/>
        </w:rPr>
        <w:t xml:space="preserve">e 15 </w:t>
      </w:r>
      <w:r w:rsidRPr="002A78DD">
        <w:rPr>
          <w:lang w:val="fr-FR"/>
        </w:rPr>
        <w:t>experts en réfrigération de Guinée équatoriale.  La formation incluait des sessions théoriqu</w:t>
      </w:r>
      <w:r w:rsidR="000A77A3">
        <w:rPr>
          <w:lang w:val="fr-FR"/>
        </w:rPr>
        <w:t xml:space="preserve">es et pratiques et s’est avérée </w:t>
      </w:r>
      <w:r w:rsidRPr="002A78DD">
        <w:rPr>
          <w:lang w:val="fr-FR"/>
        </w:rPr>
        <w:t>un succès a</w:t>
      </w:r>
      <w:r w:rsidR="000A77A3">
        <w:rPr>
          <w:lang w:val="fr-FR"/>
        </w:rPr>
        <w:t>u vu de</w:t>
      </w:r>
      <w:r w:rsidRPr="002A78DD">
        <w:rPr>
          <w:lang w:val="fr-FR"/>
        </w:rPr>
        <w:t xml:space="preserve"> la rétroaction positive des participants qui ont pu partager en ligne des exemples d’application des co</w:t>
      </w:r>
      <w:r w:rsidR="00215A40">
        <w:rPr>
          <w:lang w:val="fr-FR"/>
        </w:rPr>
        <w:t>ncepts appris en utilisant leur équipement</w:t>
      </w:r>
      <w:r w:rsidRPr="002A78DD">
        <w:rPr>
          <w:lang w:val="fr-FR"/>
        </w:rPr>
        <w:t>.  L’ONUDI a aussi fourni de l</w:t>
      </w:r>
      <w:r w:rsidR="0064545A">
        <w:rPr>
          <w:lang w:val="fr-FR"/>
        </w:rPr>
        <w:t>’équipement et des outils pour c</w:t>
      </w:r>
      <w:r w:rsidRPr="002A78DD">
        <w:rPr>
          <w:lang w:val="fr-FR"/>
        </w:rPr>
        <w:t>e projet qui est perçu comme un premier pas vers la création d’un groupe d’experts locaux qui seront en mesure d’offrir de la formation da</w:t>
      </w:r>
      <w:r w:rsidR="008A79DF">
        <w:rPr>
          <w:lang w:val="fr-FR"/>
        </w:rPr>
        <w:t xml:space="preserve">ns toutes les régions du pays.  </w:t>
      </w:r>
      <w:r w:rsidRPr="002A78DD">
        <w:rPr>
          <w:lang w:val="fr-FR"/>
        </w:rPr>
        <w:t>L’ONUDI donne actuellement une formation électronique plus complète en Équateur</w:t>
      </w:r>
      <w:r w:rsidR="008A79DF">
        <w:rPr>
          <w:lang w:val="fr-FR"/>
        </w:rPr>
        <w:t>,</w:t>
      </w:r>
      <w:r w:rsidRPr="002A78DD">
        <w:rPr>
          <w:lang w:val="fr-FR"/>
        </w:rPr>
        <w:t xml:space="preserve"> avec un total anticipé de 100 participants.  L’ONUDI a aussi modifié son mode de fonctionnement </w:t>
      </w:r>
      <w:r w:rsidR="008A79DF">
        <w:rPr>
          <w:lang w:val="fr-FR"/>
        </w:rPr>
        <w:t>durant la formulation du projet,</w:t>
      </w:r>
      <w:r w:rsidRPr="002A78DD">
        <w:rPr>
          <w:lang w:val="fr-FR"/>
        </w:rPr>
        <w:t xml:space="preserve"> notamment le rôle des experts internationaux qui, en raison des restrictions de voyage, auront une charge de travail de supervision des consultants locaux </w:t>
      </w:r>
      <w:r w:rsidR="007C2A85" w:rsidRPr="002A78DD">
        <w:rPr>
          <w:lang w:val="fr-FR"/>
        </w:rPr>
        <w:t>accrue</w:t>
      </w:r>
      <w:r w:rsidR="00C2797F">
        <w:rPr>
          <w:lang w:val="fr-FR"/>
        </w:rPr>
        <w:t xml:space="preserve"> pour la collecte des données, l</w:t>
      </w:r>
      <w:r w:rsidR="007C2A85" w:rsidRPr="002A78DD">
        <w:rPr>
          <w:lang w:val="fr-FR"/>
        </w:rPr>
        <w:t xml:space="preserve">es informations de référence et autres activités.  </w:t>
      </w:r>
      <w:r w:rsidR="00C2797F">
        <w:rPr>
          <w:lang w:val="fr-FR"/>
        </w:rPr>
        <w:t xml:space="preserve">C’était </w:t>
      </w:r>
      <w:r w:rsidR="007C2A85" w:rsidRPr="002A78DD">
        <w:rPr>
          <w:lang w:val="fr-FR"/>
        </w:rPr>
        <w:t>un enjeu urgent à résoudre en raison du grand nombre de demandes dont la présentation est prévue pour la 86</w:t>
      </w:r>
      <w:r w:rsidR="007C2A85" w:rsidRPr="002A78DD">
        <w:rPr>
          <w:vertAlign w:val="superscript"/>
          <w:lang w:val="fr-FR"/>
        </w:rPr>
        <w:t>e</w:t>
      </w:r>
      <w:r w:rsidR="007C2A85" w:rsidRPr="002A78DD">
        <w:rPr>
          <w:lang w:val="fr-FR"/>
        </w:rPr>
        <w:t xml:space="preserve"> réunion. </w:t>
      </w:r>
    </w:p>
    <w:p w14:paraId="1F7E8416" w14:textId="172E9A2F" w:rsidR="00C82772" w:rsidRPr="002A78DD" w:rsidRDefault="007C2A85" w:rsidP="00C27322">
      <w:pPr>
        <w:pStyle w:val="Heading1"/>
        <w:rPr>
          <w:lang w:val="fr-FR"/>
        </w:rPr>
      </w:pPr>
      <w:r w:rsidRPr="002A78DD">
        <w:rPr>
          <w:lang w:val="fr-FR"/>
        </w:rPr>
        <w:lastRenderedPageBreak/>
        <w:t>La Ba</w:t>
      </w:r>
      <w:r w:rsidR="008A79DF">
        <w:rPr>
          <w:lang w:val="fr-FR"/>
        </w:rPr>
        <w:t>nque mondiale a aussi adapté son programme</w:t>
      </w:r>
      <w:r w:rsidRPr="002A78DD">
        <w:rPr>
          <w:lang w:val="fr-FR"/>
        </w:rPr>
        <w:t xml:space="preserve"> de travail en raison de la COVID-19.  Les missions dans les pays partenaires qui </w:t>
      </w:r>
      <w:r w:rsidR="001F1872">
        <w:rPr>
          <w:lang w:val="fr-FR"/>
        </w:rPr>
        <w:t>ont lieu</w:t>
      </w:r>
      <w:r w:rsidR="0064545A">
        <w:rPr>
          <w:lang w:val="fr-FR"/>
        </w:rPr>
        <w:t xml:space="preserve"> </w:t>
      </w:r>
      <w:r w:rsidRPr="002A78DD">
        <w:rPr>
          <w:lang w:val="fr-FR"/>
        </w:rPr>
        <w:t>normalement deux fois par an</w:t>
      </w:r>
      <w:r w:rsidR="0064545A">
        <w:rPr>
          <w:lang w:val="fr-FR"/>
        </w:rPr>
        <w:t>,</w:t>
      </w:r>
      <w:r w:rsidRPr="002A78DD">
        <w:rPr>
          <w:lang w:val="fr-FR"/>
        </w:rPr>
        <w:t xml:space="preserve"> avec la participation du responsable de la gestion du projet, du personnel technique, des spécialistes financiers et de l’approvisionnement, et des spécialistes de l’environnement et de la protection sociale</w:t>
      </w:r>
      <w:r w:rsidR="008A79DF">
        <w:rPr>
          <w:lang w:val="fr-FR"/>
        </w:rPr>
        <w:t>,</w:t>
      </w:r>
      <w:r w:rsidRPr="002A78DD">
        <w:rPr>
          <w:lang w:val="fr-FR"/>
        </w:rPr>
        <w:t xml:space="preserve"> se sont déroulées à distance à l’aide de logiciel de conférence audio et vidéo. Jusqu’à prés</w:t>
      </w:r>
      <w:r w:rsidR="00723F59" w:rsidRPr="002A78DD">
        <w:rPr>
          <w:lang w:val="fr-FR"/>
        </w:rPr>
        <w:t>e</w:t>
      </w:r>
      <w:r w:rsidRPr="002A78DD">
        <w:rPr>
          <w:lang w:val="fr-FR"/>
        </w:rPr>
        <w:t xml:space="preserve">nt, trois missions virtuelles </w:t>
      </w:r>
      <w:r w:rsidR="00C82772" w:rsidRPr="002A78DD">
        <w:rPr>
          <w:lang w:val="fr-FR"/>
        </w:rPr>
        <w:t>ont</w:t>
      </w:r>
      <w:r w:rsidR="001F1872">
        <w:rPr>
          <w:lang w:val="fr-FR"/>
        </w:rPr>
        <w:t xml:space="preserve"> eu </w:t>
      </w:r>
      <w:r w:rsidR="00C82772" w:rsidRPr="002A78DD">
        <w:rPr>
          <w:lang w:val="fr-FR"/>
        </w:rPr>
        <w:t xml:space="preserve"> </w:t>
      </w:r>
      <w:r w:rsidR="001F1872">
        <w:rPr>
          <w:lang w:val="fr-FR"/>
        </w:rPr>
        <w:t xml:space="preserve">lieu </w:t>
      </w:r>
      <w:r w:rsidR="00C82772" w:rsidRPr="002A78DD">
        <w:rPr>
          <w:lang w:val="fr-FR"/>
        </w:rPr>
        <w:t xml:space="preserve">et une autre mission virtuelle est prévue pour un quatrième pays.  En plus de ces missions, chaque équipe continue de tenir des conférences téléphoniques distinctes sur des sujets précis </w:t>
      </w:r>
      <w:r w:rsidR="00723F59" w:rsidRPr="002A78DD">
        <w:rPr>
          <w:lang w:val="fr-FR"/>
        </w:rPr>
        <w:t>a</w:t>
      </w:r>
      <w:r w:rsidR="00C82772" w:rsidRPr="002A78DD">
        <w:rPr>
          <w:lang w:val="fr-FR"/>
        </w:rPr>
        <w:t>vec le personnel des unités de gestion de projet, les UNO et autres intervenants de projet.  À ce jour, il y a eu plus d’une douzai</w:t>
      </w:r>
      <w:r w:rsidR="001F1872">
        <w:rPr>
          <w:lang w:val="fr-FR"/>
        </w:rPr>
        <w:t xml:space="preserve">ne de discussions </w:t>
      </w:r>
      <w:r w:rsidR="0064545A">
        <w:rPr>
          <w:lang w:val="fr-FR"/>
        </w:rPr>
        <w:t xml:space="preserve">sur </w:t>
      </w:r>
      <w:r w:rsidR="00A9775A">
        <w:rPr>
          <w:lang w:val="fr-FR"/>
        </w:rPr>
        <w:t xml:space="preserve">des sujets </w:t>
      </w:r>
      <w:r w:rsidR="00C82772" w:rsidRPr="002A78DD">
        <w:rPr>
          <w:lang w:val="fr-FR"/>
        </w:rPr>
        <w:t>juridiques, administratifs ou reliés à l’approvisionnement afin de fournir des conseils sur des questions tec</w:t>
      </w:r>
      <w:r w:rsidR="001F1872">
        <w:rPr>
          <w:lang w:val="fr-FR"/>
        </w:rPr>
        <w:t xml:space="preserve">hniques et d’orientation.  </w:t>
      </w:r>
      <w:r w:rsidR="00C82772" w:rsidRPr="002A78DD">
        <w:rPr>
          <w:lang w:val="fr-FR"/>
        </w:rPr>
        <w:t xml:space="preserve">Pour un pays, deux vidéoconférences incluaient des entreprises bénéficiaires afin de clarifier les données et les dispositions de </w:t>
      </w:r>
      <w:r w:rsidR="008A79DF">
        <w:rPr>
          <w:lang w:val="fr-FR"/>
        </w:rPr>
        <w:t xml:space="preserve">la </w:t>
      </w:r>
      <w:r w:rsidR="00C82772" w:rsidRPr="002A78DD">
        <w:rPr>
          <w:lang w:val="fr-FR"/>
        </w:rPr>
        <w:t>mise en œuvre dans le cadre de l’évaluation d’un sous-projet; pour un autre pays, il y a eu une discussion avec les fournisseurs chimiques sur la disponibilité des solutions de remplacement à faible PRG.  Différents consultants embauchés pour aider les pays dans leurs activités de facilitation concernant les HFC et au</w:t>
      </w:r>
      <w:r w:rsidR="001F1872">
        <w:rPr>
          <w:lang w:val="fr-FR"/>
        </w:rPr>
        <w:t>tres</w:t>
      </w:r>
      <w:r w:rsidR="00C82772" w:rsidRPr="002A78DD">
        <w:rPr>
          <w:lang w:val="fr-FR"/>
        </w:rPr>
        <w:t xml:space="preserve"> travaux techniques</w:t>
      </w:r>
      <w:r w:rsidR="001F1872">
        <w:rPr>
          <w:lang w:val="fr-FR"/>
        </w:rPr>
        <w:t>,</w:t>
      </w:r>
      <w:r w:rsidR="00C82772" w:rsidRPr="002A78DD">
        <w:rPr>
          <w:lang w:val="fr-FR"/>
        </w:rPr>
        <w:t xml:space="preserve"> travaillent par réunions virtuelles et communication électronique.</w:t>
      </w:r>
    </w:p>
    <w:p w14:paraId="0E8BF468" w14:textId="7E67E25B" w:rsidR="000D1826" w:rsidRPr="002A78DD" w:rsidRDefault="00C82772" w:rsidP="00C27322">
      <w:pPr>
        <w:pStyle w:val="Heading1"/>
        <w:rPr>
          <w:lang w:val="fr-FR"/>
        </w:rPr>
      </w:pPr>
      <w:r w:rsidRPr="002A78DD">
        <w:rPr>
          <w:lang w:val="fr-FR"/>
        </w:rPr>
        <w:t xml:space="preserve">Les pays visés à l’article 5 ont aussi poursuivi leurs mesures d’application de la loi durant la COVID-19. À titre d’exemple, </w:t>
      </w:r>
      <w:r w:rsidR="00D972C5">
        <w:rPr>
          <w:lang w:val="fr-FR"/>
        </w:rPr>
        <w:t xml:space="preserve">la Chine a </w:t>
      </w:r>
      <w:r w:rsidR="008A79DF">
        <w:rPr>
          <w:lang w:val="fr-FR"/>
        </w:rPr>
        <w:t>rapporté récemment la</w:t>
      </w:r>
      <w:r w:rsidRPr="002A78DD">
        <w:rPr>
          <w:lang w:val="fr-FR"/>
        </w:rPr>
        <w:t xml:space="preserve"> </w:t>
      </w:r>
      <w:r w:rsidR="008A79DF">
        <w:rPr>
          <w:lang w:val="fr-FR"/>
        </w:rPr>
        <w:t xml:space="preserve">première </w:t>
      </w:r>
      <w:r w:rsidR="00003B29" w:rsidRPr="002A78DD">
        <w:rPr>
          <w:lang w:val="fr-FR"/>
        </w:rPr>
        <w:t xml:space="preserve">sanction pénale </w:t>
      </w:r>
      <w:r w:rsidR="00D972C5">
        <w:rPr>
          <w:lang w:val="fr-FR"/>
        </w:rPr>
        <w:t>reliée à</w:t>
      </w:r>
      <w:r w:rsidR="00003B29" w:rsidRPr="002A78DD">
        <w:rPr>
          <w:lang w:val="fr-FR"/>
        </w:rPr>
        <w:t xml:space="preserve"> l’utilisation illégale du CFC-11; </w:t>
      </w:r>
      <w:r w:rsidR="00723F59" w:rsidRPr="002A78DD">
        <w:rPr>
          <w:lang w:val="fr-FR"/>
        </w:rPr>
        <w:t>u</w:t>
      </w:r>
      <w:r w:rsidR="00003B29" w:rsidRPr="002A78DD">
        <w:rPr>
          <w:lang w:val="fr-FR"/>
        </w:rPr>
        <w:t>ne entreprise qui avait utilisé illég</w:t>
      </w:r>
      <w:r w:rsidR="00D972C5">
        <w:rPr>
          <w:lang w:val="fr-FR"/>
        </w:rPr>
        <w:t>alement 849,5 tonnes métriques</w:t>
      </w:r>
      <w:r w:rsidR="00003B29" w:rsidRPr="002A78DD">
        <w:rPr>
          <w:lang w:val="fr-FR"/>
        </w:rPr>
        <w:t xml:space="preserve"> de CFC-11 pendant trois ans pour produire des polyols pré-mélangés</w:t>
      </w:r>
      <w:r w:rsidR="00D972C5">
        <w:rPr>
          <w:lang w:val="fr-FR"/>
        </w:rPr>
        <w:t>,</w:t>
      </w:r>
      <w:r w:rsidR="00003B29" w:rsidRPr="002A78DD">
        <w:rPr>
          <w:lang w:val="fr-FR"/>
        </w:rPr>
        <w:t xml:space="preserve"> a reçu une amende de 700</w:t>
      </w:r>
      <w:r w:rsidR="00790A2F">
        <w:rPr>
          <w:lang w:val="fr-FR"/>
        </w:rPr>
        <w:t> </w:t>
      </w:r>
      <w:r w:rsidR="00003B29" w:rsidRPr="002A78DD">
        <w:rPr>
          <w:lang w:val="fr-FR"/>
        </w:rPr>
        <w:t>000</w:t>
      </w:r>
      <w:r w:rsidR="00790A2F">
        <w:rPr>
          <w:lang w:val="fr-FR"/>
        </w:rPr>
        <w:t> </w:t>
      </w:r>
      <w:r w:rsidR="00003B29" w:rsidRPr="002A78DD">
        <w:rPr>
          <w:lang w:val="fr-FR"/>
        </w:rPr>
        <w:t>Renminbi (RMB) (environ 100 000 $US) et a perdu</w:t>
      </w:r>
      <w:r w:rsidR="00723F59" w:rsidRPr="002A78DD">
        <w:rPr>
          <w:lang w:val="fr-FR"/>
        </w:rPr>
        <w:t xml:space="preserve"> plus </w:t>
      </w:r>
      <w:r w:rsidR="00003B29" w:rsidRPr="002A78DD">
        <w:rPr>
          <w:lang w:val="fr-FR"/>
        </w:rPr>
        <w:t xml:space="preserve">de 1,4 millions RMB (197 600 $US) en profits de la vente de ces formulations.  Le représentant </w:t>
      </w:r>
      <w:r w:rsidR="00723F59" w:rsidRPr="002A78DD">
        <w:rPr>
          <w:lang w:val="fr-FR"/>
        </w:rPr>
        <w:t>l</w:t>
      </w:r>
      <w:r w:rsidR="003669E0" w:rsidRPr="002A78DD">
        <w:rPr>
          <w:lang w:val="fr-FR"/>
        </w:rPr>
        <w:t>égal de cette entrepr</w:t>
      </w:r>
      <w:r w:rsidR="00723F59" w:rsidRPr="002A78DD">
        <w:rPr>
          <w:lang w:val="fr-FR"/>
        </w:rPr>
        <w:t>i</w:t>
      </w:r>
      <w:r w:rsidR="003669E0" w:rsidRPr="002A78DD">
        <w:rPr>
          <w:lang w:val="fr-FR"/>
        </w:rPr>
        <w:t>s</w:t>
      </w:r>
      <w:r w:rsidR="00723F59" w:rsidRPr="002A78DD">
        <w:rPr>
          <w:lang w:val="fr-FR"/>
        </w:rPr>
        <w:t>e</w:t>
      </w:r>
      <w:r w:rsidR="003669E0" w:rsidRPr="002A78DD">
        <w:rPr>
          <w:lang w:val="fr-FR"/>
        </w:rPr>
        <w:t xml:space="preserve"> a écopé d’une autre amende de 50 000 RMB (7 000 $US) et a été condamné à 10 mois de prison</w:t>
      </w:r>
      <w:r w:rsidR="003669E0" w:rsidRPr="002A78DD">
        <w:rPr>
          <w:rStyle w:val="FootnoteReference"/>
          <w:lang w:val="fr-FR"/>
        </w:rPr>
        <w:footnoteReference w:id="7"/>
      </w:r>
      <w:r w:rsidR="000D1826" w:rsidRPr="002A78DD">
        <w:rPr>
          <w:lang w:val="fr-FR"/>
        </w:rPr>
        <w:t>.</w:t>
      </w:r>
    </w:p>
    <w:p w14:paraId="4B028F0C" w14:textId="0620E053" w:rsidR="00DD0C66" w:rsidRPr="002A78DD" w:rsidRDefault="000D1826" w:rsidP="00DD0C66">
      <w:pPr>
        <w:pStyle w:val="Heading1"/>
        <w:rPr>
          <w:lang w:val="fr-FR"/>
        </w:rPr>
      </w:pPr>
      <w:r w:rsidRPr="002A78DD">
        <w:rPr>
          <w:lang w:val="fr-FR"/>
        </w:rPr>
        <w:t>Au Kirghizistan, une nouvelle résolution gouvernementale sur les codes des douanes et le rapport trimestriel obligatoire sur les importations de HFC et de frigorigènes naturels a été négociée à dis</w:t>
      </w:r>
      <w:r w:rsidR="00C2797F">
        <w:rPr>
          <w:lang w:val="fr-FR"/>
        </w:rPr>
        <w:t xml:space="preserve">tance avec les représentants </w:t>
      </w:r>
      <w:r w:rsidRPr="002A78DD">
        <w:rPr>
          <w:lang w:val="fr-FR"/>
        </w:rPr>
        <w:t>gouvernementaux et adoptée à la fin avril 2020.  En Arménie, une décision du pre</w:t>
      </w:r>
      <w:r w:rsidR="00D972C5">
        <w:rPr>
          <w:lang w:val="fr-FR"/>
        </w:rPr>
        <w:t xml:space="preserve">mier ministre pour </w:t>
      </w:r>
      <w:r w:rsidRPr="002A78DD">
        <w:rPr>
          <w:lang w:val="fr-FR"/>
        </w:rPr>
        <w:t>assurer la mise en œuvre de la réglementation sur les SAO adoptée récemment a été rédigée</w:t>
      </w:r>
      <w:r w:rsidR="00942CF3" w:rsidRPr="002A78DD">
        <w:rPr>
          <w:lang w:val="fr-FR"/>
        </w:rPr>
        <w:t>, acceptée au sein du ministère et soumise au gouvernement;</w:t>
      </w:r>
      <w:r w:rsidRPr="002A78DD">
        <w:rPr>
          <w:lang w:val="fr-FR"/>
        </w:rPr>
        <w:t xml:space="preserve"> </w:t>
      </w:r>
      <w:r w:rsidR="00942CF3" w:rsidRPr="002A78DD">
        <w:rPr>
          <w:lang w:val="fr-FR"/>
        </w:rPr>
        <w:t>un guide sur les frigorigènes inflammables a été traduit, édité et imprimé (les exemplaires imprimés sont encore entreposés à la maison d’édition jusqu’à l</w:t>
      </w:r>
      <w:r w:rsidR="00D972C5">
        <w:rPr>
          <w:lang w:val="fr-FR"/>
        </w:rPr>
        <w:t>’expiration</w:t>
      </w:r>
      <w:r w:rsidR="0084376A">
        <w:rPr>
          <w:lang w:val="fr-FR"/>
        </w:rPr>
        <w:t xml:space="preserve"> de la quarantaine).  C</w:t>
      </w:r>
      <w:r w:rsidR="00942CF3" w:rsidRPr="002A78DD">
        <w:rPr>
          <w:lang w:val="fr-FR"/>
        </w:rPr>
        <w:t>ontact a été pris avec l’UNO des Émirats arabes unis pour faire enquête sur une importation de HCFC-22 en Arménie en 2018 qui n’</w:t>
      </w:r>
      <w:r w:rsidR="001140B8">
        <w:rPr>
          <w:lang w:val="fr-FR"/>
        </w:rPr>
        <w:t>avait pas été déclarée par les Émirats arabes unis</w:t>
      </w:r>
      <w:r w:rsidR="00DD0C66" w:rsidRPr="002A78DD">
        <w:rPr>
          <w:lang w:val="fr-FR"/>
        </w:rPr>
        <w:t>.</w:t>
      </w:r>
    </w:p>
    <w:p w14:paraId="6D76AE8B" w14:textId="6818E455" w:rsidR="00DD0C66" w:rsidRPr="002A78DD" w:rsidRDefault="00DD0C66" w:rsidP="00DD0C66">
      <w:pPr>
        <w:rPr>
          <w:b/>
          <w:lang w:val="fr-FR"/>
        </w:rPr>
      </w:pPr>
      <w:r w:rsidRPr="002A78DD">
        <w:rPr>
          <w:b/>
          <w:lang w:val="fr-FR"/>
        </w:rPr>
        <w:t>Questions soulevées durant le processus d’examen des projets</w:t>
      </w:r>
    </w:p>
    <w:p w14:paraId="1DFC8C10" w14:textId="77777777" w:rsidR="00DD0C66" w:rsidRPr="002A78DD" w:rsidRDefault="00DD0C66" w:rsidP="00DD0C66">
      <w:pPr>
        <w:rPr>
          <w:b/>
          <w:lang w:val="fr-FR"/>
        </w:rPr>
      </w:pPr>
    </w:p>
    <w:p w14:paraId="7C960CF6" w14:textId="03105AB6" w:rsidR="00DD0C66" w:rsidRPr="002A78DD" w:rsidRDefault="00DD0C66" w:rsidP="00DD0C66">
      <w:pPr>
        <w:rPr>
          <w:i/>
          <w:lang w:val="fr-FR"/>
        </w:rPr>
      </w:pPr>
      <w:r w:rsidRPr="002A78DD">
        <w:rPr>
          <w:i/>
          <w:lang w:val="fr-FR"/>
        </w:rPr>
        <w:t xml:space="preserve">Retard potentiel dans la mise en œuvre d’activités </w:t>
      </w:r>
      <w:r w:rsidR="0084376A">
        <w:rPr>
          <w:i/>
          <w:lang w:val="fr-FR"/>
        </w:rPr>
        <w:t xml:space="preserve">pressantes </w:t>
      </w:r>
      <w:r w:rsidRPr="002A78DD">
        <w:rPr>
          <w:i/>
          <w:lang w:val="fr-FR"/>
        </w:rPr>
        <w:t>reliées aux HFC</w:t>
      </w:r>
    </w:p>
    <w:p w14:paraId="1DF428E7" w14:textId="77777777" w:rsidR="00DD0C66" w:rsidRPr="002A78DD" w:rsidRDefault="00DD0C66" w:rsidP="00DD0C66">
      <w:pPr>
        <w:rPr>
          <w:i/>
          <w:lang w:val="fr-FR"/>
        </w:rPr>
      </w:pPr>
    </w:p>
    <w:p w14:paraId="01ABC322" w14:textId="54F81E35" w:rsidR="00DD0C66" w:rsidRPr="002A78DD" w:rsidRDefault="00DD0C66" w:rsidP="00C27322">
      <w:pPr>
        <w:pStyle w:val="Heading1"/>
        <w:rPr>
          <w:lang w:val="fr-FR"/>
        </w:rPr>
      </w:pPr>
      <w:r w:rsidRPr="002A78DD">
        <w:rPr>
          <w:lang w:val="fr-FR"/>
        </w:rPr>
        <w:t>Durant le processus d’examen des projets, après la déclaration de pandémie du coronavirus, le Secrétariat a préparé une liste des projets en cours</w:t>
      </w:r>
      <w:r w:rsidR="0084376A">
        <w:rPr>
          <w:lang w:val="fr-FR"/>
        </w:rPr>
        <w:t>,</w:t>
      </w:r>
      <w:r w:rsidRPr="002A78DD">
        <w:rPr>
          <w:lang w:val="fr-FR"/>
        </w:rPr>
        <w:t xml:space="preserve"> avec une date d’achèvement avant le 1</w:t>
      </w:r>
      <w:r w:rsidRPr="002A78DD">
        <w:rPr>
          <w:vertAlign w:val="superscript"/>
          <w:lang w:val="fr-FR"/>
        </w:rPr>
        <w:t>er</w:t>
      </w:r>
      <w:r w:rsidRPr="002A78DD">
        <w:rPr>
          <w:lang w:val="fr-FR"/>
        </w:rPr>
        <w:t xml:space="preserve"> janvier 2021, plusieurs d’entre eux avaient été approuvés étant entendu que les soldes du financement seraient restitués s’ils n’étaient pas achevés à la date d’achèvement prévue</w:t>
      </w:r>
      <w:r w:rsidR="00C5754E">
        <w:rPr>
          <w:lang w:val="fr-FR"/>
        </w:rPr>
        <w:t xml:space="preserve"> fixée</w:t>
      </w:r>
      <w:r w:rsidRPr="002A78DD">
        <w:rPr>
          <w:lang w:val="fr-FR"/>
        </w:rPr>
        <w:t xml:space="preserve"> par le Comité exécutif.  Il s’agit de projets d’investissement pour les HFC, d’activités de facilitation pour la réduction progressive des HFC et </w:t>
      </w:r>
      <w:r w:rsidR="0084376A">
        <w:rPr>
          <w:lang w:val="fr-FR"/>
        </w:rPr>
        <w:t xml:space="preserve">de </w:t>
      </w:r>
      <w:r w:rsidRPr="002A78DD">
        <w:rPr>
          <w:lang w:val="fr-FR"/>
        </w:rPr>
        <w:t>quelques projets de d</w:t>
      </w:r>
      <w:r w:rsidR="0084376A">
        <w:rPr>
          <w:lang w:val="fr-FR"/>
        </w:rPr>
        <w:t>émonstration à faible PRG. La</w:t>
      </w:r>
      <w:r w:rsidRPr="002A78DD">
        <w:rPr>
          <w:lang w:val="fr-FR"/>
        </w:rPr>
        <w:t xml:space="preserve"> liste a été envoyée aux agences bilatérales et d’exécution en leur demandant d’indiquer les projets qui pourraient être retardés à cause de la COVID-19.</w:t>
      </w:r>
    </w:p>
    <w:p w14:paraId="5F0B30E1" w14:textId="3A08ACDE" w:rsidR="00124F92" w:rsidRPr="002A78DD" w:rsidRDefault="00124F92" w:rsidP="00790A2F">
      <w:pPr>
        <w:pStyle w:val="Heading1"/>
        <w:keepNext/>
        <w:keepLines/>
        <w:rPr>
          <w:lang w:val="fr-FR"/>
        </w:rPr>
      </w:pPr>
      <w:r w:rsidRPr="002A78DD">
        <w:rPr>
          <w:lang w:val="fr-FR"/>
        </w:rPr>
        <w:lastRenderedPageBreak/>
        <w:t xml:space="preserve">En réponse à la demande du Secrétariat, quelques agences bilatérales et d’exécution </w:t>
      </w:r>
      <w:r w:rsidR="00DD0C66" w:rsidRPr="002A78DD">
        <w:rPr>
          <w:lang w:val="fr-FR"/>
        </w:rPr>
        <w:t>on</w:t>
      </w:r>
      <w:r w:rsidRPr="002A78DD">
        <w:rPr>
          <w:lang w:val="fr-FR"/>
        </w:rPr>
        <w:t>t anti</w:t>
      </w:r>
      <w:r w:rsidR="00DD0C66" w:rsidRPr="002A78DD">
        <w:rPr>
          <w:lang w:val="fr-FR"/>
        </w:rPr>
        <w:t>c</w:t>
      </w:r>
      <w:r w:rsidRPr="002A78DD">
        <w:rPr>
          <w:lang w:val="fr-FR"/>
        </w:rPr>
        <w:t>ipé que plusieurs projets en cours pourraient être retardés selon l’évolution de la pandémie à travers le monde et l</w:t>
      </w:r>
      <w:r w:rsidR="00DD0C66" w:rsidRPr="002A78DD">
        <w:rPr>
          <w:lang w:val="fr-FR"/>
        </w:rPr>
        <w:t>e</w:t>
      </w:r>
      <w:r w:rsidRPr="002A78DD">
        <w:rPr>
          <w:lang w:val="fr-FR"/>
        </w:rPr>
        <w:t>s conditi</w:t>
      </w:r>
      <w:r w:rsidR="0054422C">
        <w:rPr>
          <w:lang w:val="fr-FR"/>
        </w:rPr>
        <w:t xml:space="preserve">ons changeantes dans les pays.  </w:t>
      </w:r>
      <w:r w:rsidRPr="002A78DD">
        <w:rPr>
          <w:lang w:val="fr-FR"/>
        </w:rPr>
        <w:t xml:space="preserve">Étant donné </w:t>
      </w:r>
      <w:r w:rsidR="0054422C">
        <w:rPr>
          <w:lang w:val="fr-FR"/>
        </w:rPr>
        <w:t xml:space="preserve">les incertitudes au sujet </w:t>
      </w:r>
      <w:r w:rsidRPr="002A78DD">
        <w:rPr>
          <w:lang w:val="fr-FR"/>
        </w:rPr>
        <w:t xml:space="preserve">notamment </w:t>
      </w:r>
      <w:r w:rsidR="0054422C">
        <w:rPr>
          <w:lang w:val="fr-FR"/>
        </w:rPr>
        <w:t xml:space="preserve">de </w:t>
      </w:r>
      <w:r w:rsidRPr="002A78DD">
        <w:rPr>
          <w:lang w:val="fr-FR"/>
        </w:rPr>
        <w:t xml:space="preserve">la levée des interdictions de déplacements internationaux, </w:t>
      </w:r>
      <w:r w:rsidR="0054422C">
        <w:rPr>
          <w:lang w:val="fr-FR"/>
        </w:rPr>
        <w:t xml:space="preserve">de </w:t>
      </w:r>
      <w:r w:rsidRPr="002A78DD">
        <w:rPr>
          <w:lang w:val="fr-FR"/>
        </w:rPr>
        <w:t xml:space="preserve">la réactivation de l’engagement des </w:t>
      </w:r>
      <w:r w:rsidR="0054422C">
        <w:rPr>
          <w:lang w:val="fr-FR"/>
        </w:rPr>
        <w:t>consultants internationaux et</w:t>
      </w:r>
      <w:r w:rsidRPr="002A78DD">
        <w:rPr>
          <w:lang w:val="fr-FR"/>
        </w:rPr>
        <w:t xml:space="preserve"> </w:t>
      </w:r>
      <w:r w:rsidR="0054422C">
        <w:rPr>
          <w:lang w:val="fr-FR"/>
        </w:rPr>
        <w:t xml:space="preserve">de </w:t>
      </w:r>
      <w:r w:rsidRPr="002A78DD">
        <w:rPr>
          <w:lang w:val="fr-FR"/>
        </w:rPr>
        <w:t>l’autorisation d</w:t>
      </w:r>
      <w:r w:rsidR="0054422C">
        <w:rPr>
          <w:lang w:val="fr-FR"/>
        </w:rPr>
        <w:t xml:space="preserve">e tenir des </w:t>
      </w:r>
      <w:r w:rsidRPr="002A78DD">
        <w:rPr>
          <w:lang w:val="fr-FR"/>
        </w:rPr>
        <w:t>ateliers et de</w:t>
      </w:r>
      <w:r w:rsidR="0054422C">
        <w:rPr>
          <w:lang w:val="fr-FR"/>
        </w:rPr>
        <w:t>s</w:t>
      </w:r>
      <w:r w:rsidRPr="002A78DD">
        <w:rPr>
          <w:lang w:val="fr-FR"/>
        </w:rPr>
        <w:t xml:space="preserve"> réunions dans les pays, une date d’achèvement précise n’a pu être fournie pour ces activités.  Il a été noté que pour certa</w:t>
      </w:r>
      <w:r w:rsidR="0054422C">
        <w:rPr>
          <w:lang w:val="fr-FR"/>
        </w:rPr>
        <w:t>ines activités de facilitation visant</w:t>
      </w:r>
      <w:r w:rsidRPr="002A78DD">
        <w:rPr>
          <w:lang w:val="fr-FR"/>
        </w:rPr>
        <w:t xml:space="preserve"> la réduction progressive des HFC, le Comité exécutif avait déjà prorogé les dates d’achèvement conformém</w:t>
      </w:r>
      <w:r w:rsidR="00DD0C66" w:rsidRPr="002A78DD">
        <w:rPr>
          <w:lang w:val="fr-FR"/>
        </w:rPr>
        <w:t xml:space="preserve">ent </w:t>
      </w:r>
      <w:r w:rsidRPr="002A78DD">
        <w:rPr>
          <w:lang w:val="fr-FR"/>
        </w:rPr>
        <w:t>à la décision 81/32(a); d</w:t>
      </w:r>
      <w:r w:rsidR="00DD0C66" w:rsidRPr="002A78DD">
        <w:rPr>
          <w:lang w:val="fr-FR"/>
        </w:rPr>
        <w:t>a</w:t>
      </w:r>
      <w:r w:rsidRPr="002A78DD">
        <w:rPr>
          <w:lang w:val="fr-FR"/>
        </w:rPr>
        <w:t>ns plusieurs cas</w:t>
      </w:r>
      <w:r w:rsidR="00C16C0B">
        <w:rPr>
          <w:lang w:val="fr-FR"/>
        </w:rPr>
        <w:t>,</w:t>
      </w:r>
      <w:r w:rsidRPr="002A78DD">
        <w:rPr>
          <w:lang w:val="fr-FR"/>
        </w:rPr>
        <w:t xml:space="preserve"> la date d’achèvement a été prorogée jusqu’en juin 2020.  Donc, les agences bilatérales et d’exécution</w:t>
      </w:r>
      <w:r w:rsidR="00DD0C66" w:rsidRPr="002A78DD">
        <w:rPr>
          <w:lang w:val="fr-FR"/>
        </w:rPr>
        <w:t xml:space="preserve"> </w:t>
      </w:r>
      <w:r w:rsidR="0054422C">
        <w:rPr>
          <w:lang w:val="fr-FR"/>
        </w:rPr>
        <w:t>ont demandé</w:t>
      </w:r>
      <w:r w:rsidRPr="002A78DD">
        <w:rPr>
          <w:lang w:val="fr-FR"/>
        </w:rPr>
        <w:t xml:space="preserve"> conseil au Comité exécutif sur la manière de procéder.</w:t>
      </w:r>
    </w:p>
    <w:p w14:paraId="32F1B114" w14:textId="5596E4A7" w:rsidR="00342B37" w:rsidRPr="002A78DD" w:rsidRDefault="00124F92" w:rsidP="00C27322">
      <w:pPr>
        <w:pStyle w:val="Heading1"/>
        <w:rPr>
          <w:lang w:val="fr-FR"/>
        </w:rPr>
      </w:pPr>
      <w:r w:rsidRPr="002A78DD">
        <w:rPr>
          <w:lang w:val="fr-FR"/>
        </w:rPr>
        <w:t xml:space="preserve">Le Secrétariat a pris note que les agences continuent de travailler avec les pays visés à l’article 5 pour mettre en œuvre tous les projets en cours du mieux qu’elles le peuvent, en adaptant et en modifiant leurs procédures </w:t>
      </w:r>
      <w:r w:rsidR="0054422C">
        <w:rPr>
          <w:lang w:val="fr-FR"/>
        </w:rPr>
        <w:t>en raison de la COVID-19; il prend</w:t>
      </w:r>
      <w:r w:rsidRPr="002A78DD">
        <w:rPr>
          <w:lang w:val="fr-FR"/>
        </w:rPr>
        <w:t xml:space="preserve"> note aussi des incertitudes qui prévalent </w:t>
      </w:r>
      <w:r w:rsidR="0054422C">
        <w:rPr>
          <w:lang w:val="fr-FR"/>
        </w:rPr>
        <w:t>quant à</w:t>
      </w:r>
      <w:r w:rsidRPr="002A78DD">
        <w:rPr>
          <w:lang w:val="fr-FR"/>
        </w:rPr>
        <w:t xml:space="preserve"> la r</w:t>
      </w:r>
      <w:r w:rsidR="00342B37" w:rsidRPr="002A78DD">
        <w:rPr>
          <w:lang w:val="fr-FR"/>
        </w:rPr>
        <w:t>eprise</w:t>
      </w:r>
      <w:r w:rsidRPr="002A78DD">
        <w:rPr>
          <w:lang w:val="fr-FR"/>
        </w:rPr>
        <w:t xml:space="preserve"> </w:t>
      </w:r>
      <w:r w:rsidR="00342B37" w:rsidRPr="002A78DD">
        <w:rPr>
          <w:lang w:val="fr-FR"/>
        </w:rPr>
        <w:t>des activités r</w:t>
      </w:r>
      <w:r w:rsidR="00DD0C66" w:rsidRPr="002A78DD">
        <w:rPr>
          <w:lang w:val="fr-FR"/>
        </w:rPr>
        <w:t>é</w:t>
      </w:r>
      <w:r w:rsidR="00342B37" w:rsidRPr="002A78DD">
        <w:rPr>
          <w:lang w:val="fr-FR"/>
        </w:rPr>
        <w:t xml:space="preserve">gulières dans divers pays. </w:t>
      </w:r>
      <w:r w:rsidR="0054422C">
        <w:rPr>
          <w:lang w:val="fr-FR"/>
        </w:rPr>
        <w:t xml:space="preserve">Sur la base de </w:t>
      </w:r>
      <w:r w:rsidR="00342B37" w:rsidRPr="002A78DD">
        <w:rPr>
          <w:lang w:val="fr-FR"/>
        </w:rPr>
        <w:t>ces faits, le Comité ex</w:t>
      </w:r>
      <w:r w:rsidR="00DD0C66" w:rsidRPr="002A78DD">
        <w:rPr>
          <w:lang w:val="fr-FR"/>
        </w:rPr>
        <w:t>é</w:t>
      </w:r>
      <w:r w:rsidR="00342B37" w:rsidRPr="002A78DD">
        <w:rPr>
          <w:lang w:val="fr-FR"/>
        </w:rPr>
        <w:t>cutif pourrait souhaiter conseiller aux agences bilatérales et d’exécution de continuer d’assister tous les pays visés à l’article 5 dans la mise en œuvre des activités en cours, en tenant compte des contraintes imposées par la COVID-19, sans égard aux dates d’achèvement, et de faire rapport à la 86</w:t>
      </w:r>
      <w:r w:rsidR="00342B37" w:rsidRPr="002A78DD">
        <w:rPr>
          <w:vertAlign w:val="superscript"/>
          <w:lang w:val="fr-FR"/>
        </w:rPr>
        <w:t>e</w:t>
      </w:r>
      <w:r w:rsidR="00342B37" w:rsidRPr="002A78DD">
        <w:rPr>
          <w:lang w:val="fr-FR"/>
        </w:rPr>
        <w:t xml:space="preserve"> réunion sur les activités spécifiques qui requièrent une prorogation de leurs dates d’achèvement.</w:t>
      </w:r>
    </w:p>
    <w:p w14:paraId="48824B18" w14:textId="18CEBB2E" w:rsidR="00342B37" w:rsidRPr="002A78DD" w:rsidRDefault="00342B37" w:rsidP="00342B37">
      <w:pPr>
        <w:rPr>
          <w:i/>
          <w:lang w:val="fr-FR"/>
        </w:rPr>
      </w:pPr>
      <w:r w:rsidRPr="002A78DD">
        <w:rPr>
          <w:i/>
          <w:lang w:val="fr-FR"/>
        </w:rPr>
        <w:t>Demandes de financement préparatoire pour des plans de réduction progressive des HFC</w:t>
      </w:r>
      <w:r w:rsidR="0054422C">
        <w:rPr>
          <w:i/>
          <w:lang w:val="fr-FR"/>
        </w:rPr>
        <w:t>,</w:t>
      </w:r>
      <w:r w:rsidRPr="002A78DD">
        <w:rPr>
          <w:i/>
          <w:lang w:val="fr-FR"/>
        </w:rPr>
        <w:t xml:space="preserve"> incluses dans les programmes de travail du PNUD, du PNUE et de l’ONUDI</w:t>
      </w:r>
    </w:p>
    <w:p w14:paraId="13D48FE2" w14:textId="77777777" w:rsidR="00342B37" w:rsidRPr="002A78DD" w:rsidRDefault="00342B37" w:rsidP="00342B37">
      <w:pPr>
        <w:rPr>
          <w:i/>
          <w:lang w:val="fr-FR"/>
        </w:rPr>
      </w:pPr>
    </w:p>
    <w:p w14:paraId="2A0C3D43" w14:textId="61DC9DDA" w:rsidR="00342B37" w:rsidRPr="002A78DD" w:rsidRDefault="00342B37" w:rsidP="00C27322">
      <w:pPr>
        <w:pStyle w:val="Heading1"/>
        <w:rPr>
          <w:lang w:val="fr-FR"/>
        </w:rPr>
      </w:pPr>
      <w:r w:rsidRPr="002A78DD">
        <w:rPr>
          <w:lang w:val="fr-FR"/>
        </w:rPr>
        <w:t>Trois agences d’exécution ont inclus six demandes de préparation de projet pour des plans de réduction progressive des HFC pour cinq pays dans leurs programmes de travail (PNUD</w:t>
      </w:r>
      <w:r w:rsidRPr="002A78DD">
        <w:rPr>
          <w:rStyle w:val="FootnoteReference"/>
          <w:lang w:val="fr-FR"/>
        </w:rPr>
        <w:footnoteReference w:id="8"/>
      </w:r>
      <w:r w:rsidRPr="002A78DD">
        <w:rPr>
          <w:lang w:val="fr-FR"/>
        </w:rPr>
        <w:t>, PNUE</w:t>
      </w:r>
      <w:r w:rsidRPr="002A78DD">
        <w:rPr>
          <w:rStyle w:val="FootnoteReference"/>
          <w:lang w:val="fr-FR"/>
        </w:rPr>
        <w:footnoteReference w:id="9"/>
      </w:r>
      <w:r w:rsidR="00DD0C66" w:rsidRPr="002A78DD">
        <w:rPr>
          <w:lang w:val="fr-FR"/>
        </w:rPr>
        <w:t xml:space="preserve"> </w:t>
      </w:r>
      <w:r w:rsidRPr="002A78DD">
        <w:rPr>
          <w:lang w:val="fr-FR"/>
        </w:rPr>
        <w:t>et ONUDI</w:t>
      </w:r>
      <w:r w:rsidRPr="002A78DD">
        <w:rPr>
          <w:rStyle w:val="FootnoteReference"/>
          <w:lang w:val="fr-FR"/>
        </w:rPr>
        <w:footnoteReference w:id="10"/>
      </w:r>
      <w:r w:rsidRPr="002A78DD">
        <w:rPr>
          <w:lang w:val="fr-FR"/>
        </w:rPr>
        <w:t xml:space="preserve">) pour 2020, tel que résumé dans le Tableau 1.  Les demandes ont été présentées selon le format </w:t>
      </w:r>
      <w:r w:rsidR="001140B8">
        <w:rPr>
          <w:lang w:val="fr-FR"/>
        </w:rPr>
        <w:t>adopté</w:t>
      </w:r>
      <w:r w:rsidRPr="002A78DD">
        <w:rPr>
          <w:lang w:val="fr-FR"/>
        </w:rPr>
        <w:t xml:space="preserve"> pour la préparation de projet des phases des PGEH.</w:t>
      </w:r>
    </w:p>
    <w:p w14:paraId="5F353805" w14:textId="2B7FA94B" w:rsidR="00D210E7" w:rsidRPr="002A78DD" w:rsidRDefault="00D210E7" w:rsidP="00D210E7">
      <w:pPr>
        <w:outlineLvl w:val="0"/>
        <w:rPr>
          <w:b/>
          <w:sz w:val="21"/>
          <w:szCs w:val="21"/>
          <w:lang w:val="fr-FR"/>
        </w:rPr>
      </w:pPr>
      <w:r w:rsidRPr="002A78DD">
        <w:rPr>
          <w:b/>
          <w:sz w:val="21"/>
          <w:szCs w:val="21"/>
          <w:lang w:val="fr-FR"/>
        </w:rPr>
        <w:t>Table</w:t>
      </w:r>
      <w:r w:rsidR="005C5FBB" w:rsidRPr="002A78DD">
        <w:rPr>
          <w:b/>
          <w:sz w:val="21"/>
          <w:szCs w:val="21"/>
          <w:lang w:val="fr-FR"/>
        </w:rPr>
        <w:t>au</w:t>
      </w:r>
      <w:r w:rsidRPr="002A78DD">
        <w:rPr>
          <w:b/>
          <w:sz w:val="21"/>
          <w:szCs w:val="21"/>
          <w:lang w:val="fr-FR"/>
        </w:rPr>
        <w:t xml:space="preserve"> 1: </w:t>
      </w:r>
      <w:r w:rsidR="005C5FBB" w:rsidRPr="002A78DD">
        <w:rPr>
          <w:b/>
          <w:sz w:val="21"/>
          <w:szCs w:val="21"/>
          <w:lang w:val="fr-FR"/>
        </w:rPr>
        <w:t xml:space="preserve">Demandes pour des projets de réduction progressive des HFC </w:t>
      </w:r>
      <w:r w:rsidRPr="002A78DD">
        <w:rPr>
          <w:b/>
          <w:sz w:val="21"/>
          <w:szCs w:val="21"/>
          <w:lang w:val="fr-FR"/>
        </w:rPr>
        <w:t>pr</w:t>
      </w:r>
      <w:r w:rsidR="005C5FBB" w:rsidRPr="002A78DD">
        <w:rPr>
          <w:b/>
          <w:sz w:val="21"/>
          <w:szCs w:val="21"/>
          <w:lang w:val="fr-FR"/>
        </w:rPr>
        <w:t>ésentées à la 85</w:t>
      </w:r>
      <w:r w:rsidR="005C5FBB" w:rsidRPr="002A78DD">
        <w:rPr>
          <w:b/>
          <w:sz w:val="21"/>
          <w:szCs w:val="21"/>
          <w:vertAlign w:val="superscript"/>
          <w:lang w:val="fr-FR"/>
        </w:rPr>
        <w:t>e</w:t>
      </w:r>
      <w:r w:rsidR="005C5FBB" w:rsidRPr="002A78DD">
        <w:rPr>
          <w:b/>
          <w:sz w:val="21"/>
          <w:szCs w:val="21"/>
          <w:lang w:val="fr-FR"/>
        </w:rPr>
        <w:t xml:space="preserve"> réunion</w:t>
      </w:r>
    </w:p>
    <w:tbl>
      <w:tblPr>
        <w:tblW w:w="9365" w:type="dxa"/>
        <w:tblInd w:w="-5" w:type="dxa"/>
        <w:tblLook w:val="04A0" w:firstRow="1" w:lastRow="0" w:firstColumn="1" w:lastColumn="0" w:noHBand="0" w:noVBand="1"/>
      </w:tblPr>
      <w:tblGrid>
        <w:gridCol w:w="1193"/>
        <w:gridCol w:w="4860"/>
        <w:gridCol w:w="1980"/>
        <w:gridCol w:w="1332"/>
      </w:tblGrid>
      <w:tr w:rsidR="00D210E7" w:rsidRPr="00401CBA" w14:paraId="1BF128A2" w14:textId="77777777" w:rsidTr="00401CBA">
        <w:trPr>
          <w:tblHeader/>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17B2EFC9" w14:textId="1180A4CD" w:rsidR="00D210E7" w:rsidRPr="00401CBA" w:rsidRDefault="005C5FBB" w:rsidP="00860D17">
            <w:pPr>
              <w:jc w:val="center"/>
              <w:rPr>
                <w:b/>
                <w:color w:val="000000"/>
                <w:sz w:val="20"/>
                <w:szCs w:val="20"/>
                <w:lang w:val="fr-FR"/>
              </w:rPr>
            </w:pPr>
            <w:r w:rsidRPr="00401CBA">
              <w:rPr>
                <w:b/>
                <w:color w:val="000000"/>
                <w:sz w:val="20"/>
                <w:szCs w:val="20"/>
                <w:lang w:val="fr-FR"/>
              </w:rPr>
              <w:t>Pays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6A5AEF0" w14:textId="68F66011" w:rsidR="00D210E7" w:rsidRPr="00401CBA" w:rsidRDefault="005C5FBB" w:rsidP="00860D17">
            <w:pPr>
              <w:jc w:val="center"/>
              <w:rPr>
                <w:b/>
                <w:bCs/>
                <w:sz w:val="20"/>
                <w:szCs w:val="20"/>
                <w:lang w:val="fr-FR"/>
              </w:rPr>
            </w:pPr>
            <w:r w:rsidRPr="00401CBA">
              <w:rPr>
                <w:b/>
                <w:bCs/>
                <w:sz w:val="20"/>
                <w:szCs w:val="20"/>
                <w:lang w:val="fr-FR"/>
              </w:rPr>
              <w:t>Titre du projet</w:t>
            </w:r>
          </w:p>
        </w:tc>
        <w:tc>
          <w:tcPr>
            <w:tcW w:w="1980" w:type="dxa"/>
            <w:tcBorders>
              <w:top w:val="single" w:sz="4" w:space="0" w:color="auto"/>
              <w:left w:val="single" w:sz="4" w:space="0" w:color="auto"/>
              <w:bottom w:val="single" w:sz="4" w:space="0" w:color="auto"/>
              <w:right w:val="single" w:sz="4" w:space="0" w:color="auto"/>
            </w:tcBorders>
          </w:tcPr>
          <w:p w14:paraId="5D34FA83" w14:textId="0B4C3E4F" w:rsidR="00D210E7" w:rsidRPr="00401CBA" w:rsidRDefault="005C5FBB" w:rsidP="00860D17">
            <w:pPr>
              <w:jc w:val="center"/>
              <w:rPr>
                <w:b/>
                <w:color w:val="000000"/>
                <w:sz w:val="20"/>
                <w:szCs w:val="20"/>
                <w:lang w:val="fr-FR"/>
              </w:rPr>
            </w:pPr>
            <w:r w:rsidRPr="00401CBA">
              <w:rPr>
                <w:b/>
                <w:color w:val="000000"/>
                <w:sz w:val="20"/>
                <w:szCs w:val="20"/>
                <w:lang w:val="fr-FR"/>
              </w:rPr>
              <w:t>Agence d’exécution</w:t>
            </w:r>
          </w:p>
        </w:tc>
        <w:tc>
          <w:tcPr>
            <w:tcW w:w="1332" w:type="dxa"/>
            <w:tcBorders>
              <w:top w:val="single" w:sz="4" w:space="0" w:color="auto"/>
              <w:left w:val="single" w:sz="4" w:space="0" w:color="auto"/>
              <w:bottom w:val="single" w:sz="4" w:space="0" w:color="auto"/>
              <w:right w:val="single" w:sz="4" w:space="0" w:color="auto"/>
            </w:tcBorders>
          </w:tcPr>
          <w:p w14:paraId="547B5ED0" w14:textId="540ECE8B" w:rsidR="00D210E7" w:rsidRPr="00401CBA" w:rsidRDefault="005C5FBB" w:rsidP="00860D17">
            <w:pPr>
              <w:jc w:val="center"/>
              <w:rPr>
                <w:b/>
                <w:color w:val="000000"/>
                <w:sz w:val="20"/>
                <w:szCs w:val="20"/>
                <w:lang w:val="fr-FR"/>
              </w:rPr>
            </w:pPr>
            <w:r w:rsidRPr="00401CBA">
              <w:rPr>
                <w:b/>
                <w:color w:val="000000"/>
                <w:sz w:val="20"/>
                <w:szCs w:val="20"/>
                <w:lang w:val="fr-FR"/>
              </w:rPr>
              <w:t>Coû</w:t>
            </w:r>
            <w:r w:rsidR="00D210E7" w:rsidRPr="00401CBA">
              <w:rPr>
                <w:b/>
                <w:color w:val="000000"/>
                <w:sz w:val="20"/>
                <w:szCs w:val="20"/>
                <w:lang w:val="fr-FR"/>
              </w:rPr>
              <w:t>t (</w:t>
            </w:r>
            <w:r w:rsidRPr="00401CBA">
              <w:rPr>
                <w:b/>
                <w:color w:val="000000"/>
                <w:sz w:val="20"/>
                <w:szCs w:val="20"/>
                <w:lang w:val="fr-FR"/>
              </w:rPr>
              <w:t>$US</w:t>
            </w:r>
            <w:r w:rsidR="00D210E7" w:rsidRPr="00401CBA">
              <w:rPr>
                <w:b/>
                <w:color w:val="000000"/>
                <w:sz w:val="20"/>
                <w:szCs w:val="20"/>
                <w:lang w:val="fr-FR"/>
              </w:rPr>
              <w:t>)</w:t>
            </w:r>
          </w:p>
        </w:tc>
      </w:tr>
      <w:tr w:rsidR="00D210E7" w:rsidRPr="00401CBA" w14:paraId="07BB1BFA" w14:textId="77777777" w:rsidTr="00401CBA">
        <w:tc>
          <w:tcPr>
            <w:tcW w:w="1193" w:type="dxa"/>
            <w:vMerge w:val="restart"/>
            <w:tcBorders>
              <w:top w:val="single" w:sz="4" w:space="0" w:color="auto"/>
              <w:left w:val="single" w:sz="4" w:space="0" w:color="auto"/>
              <w:right w:val="single" w:sz="4" w:space="0" w:color="auto"/>
            </w:tcBorders>
            <w:shd w:val="clear" w:color="auto" w:fill="auto"/>
            <w:vAlign w:val="center"/>
          </w:tcPr>
          <w:p w14:paraId="0DB084E1" w14:textId="2201197A" w:rsidR="00D210E7" w:rsidRPr="00401CBA" w:rsidRDefault="002A78DD" w:rsidP="00860D17">
            <w:pPr>
              <w:jc w:val="left"/>
              <w:rPr>
                <w:color w:val="000000"/>
                <w:sz w:val="20"/>
                <w:szCs w:val="20"/>
                <w:lang w:val="fr-FR"/>
              </w:rPr>
            </w:pPr>
            <w:r w:rsidRPr="00401CBA">
              <w:rPr>
                <w:color w:val="000000"/>
                <w:sz w:val="20"/>
                <w:szCs w:val="20"/>
                <w:lang w:val="fr-FR"/>
              </w:rPr>
              <w:t>Albanie</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7E65DCA" w14:textId="653A2981" w:rsidR="00D210E7" w:rsidRPr="00401CBA" w:rsidRDefault="005C5FBB" w:rsidP="00860D17">
            <w:pPr>
              <w:jc w:val="left"/>
              <w:rPr>
                <w:sz w:val="20"/>
                <w:szCs w:val="20"/>
                <w:lang w:val="fr-FR"/>
              </w:rPr>
            </w:pPr>
            <w:r w:rsidRPr="00401CBA">
              <w:rPr>
                <w:bCs/>
                <w:sz w:val="20"/>
                <w:szCs w:val="20"/>
                <w:lang w:val="fr-FR"/>
              </w:rPr>
              <w:t>Pré</w:t>
            </w:r>
            <w:r w:rsidR="00D210E7" w:rsidRPr="00401CBA">
              <w:rPr>
                <w:bCs/>
                <w:sz w:val="20"/>
                <w:szCs w:val="20"/>
                <w:lang w:val="fr-FR"/>
              </w:rPr>
              <w:t xml:space="preserve">paration </w:t>
            </w:r>
            <w:r w:rsidRPr="00401CBA">
              <w:rPr>
                <w:bCs/>
                <w:sz w:val="20"/>
                <w:szCs w:val="20"/>
                <w:lang w:val="fr-FR"/>
              </w:rPr>
              <w:t xml:space="preserve">du plan de réduction progressive des HFC </w:t>
            </w:r>
          </w:p>
        </w:tc>
        <w:tc>
          <w:tcPr>
            <w:tcW w:w="1980" w:type="dxa"/>
            <w:tcBorders>
              <w:top w:val="single" w:sz="4" w:space="0" w:color="auto"/>
              <w:left w:val="single" w:sz="4" w:space="0" w:color="auto"/>
              <w:bottom w:val="single" w:sz="4" w:space="0" w:color="auto"/>
              <w:right w:val="single" w:sz="4" w:space="0" w:color="auto"/>
            </w:tcBorders>
          </w:tcPr>
          <w:p w14:paraId="6BA8F51B" w14:textId="3FB28585" w:rsidR="00D210E7" w:rsidRPr="00401CBA" w:rsidRDefault="00D210E7" w:rsidP="00860D17">
            <w:pPr>
              <w:jc w:val="left"/>
              <w:rPr>
                <w:color w:val="000000"/>
                <w:sz w:val="20"/>
                <w:szCs w:val="20"/>
                <w:lang w:val="fr-FR"/>
              </w:rPr>
            </w:pPr>
            <w:r w:rsidRPr="00401CBA">
              <w:rPr>
                <w:color w:val="000000"/>
                <w:sz w:val="20"/>
                <w:szCs w:val="20"/>
                <w:lang w:val="fr-FR"/>
              </w:rPr>
              <w:t>O</w:t>
            </w:r>
            <w:r w:rsidR="005C5FBB" w:rsidRPr="00401CBA">
              <w:rPr>
                <w:color w:val="000000"/>
                <w:sz w:val="20"/>
                <w:szCs w:val="20"/>
                <w:lang w:val="fr-FR"/>
              </w:rPr>
              <w:t>NUDI</w:t>
            </w:r>
          </w:p>
        </w:tc>
        <w:tc>
          <w:tcPr>
            <w:tcW w:w="1332"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4BD00E22" w14:textId="14BEB421" w:rsidR="00D210E7" w:rsidRPr="00401CBA" w:rsidRDefault="005C5FBB" w:rsidP="00860D17">
            <w:pPr>
              <w:jc w:val="right"/>
              <w:rPr>
                <w:color w:val="000000"/>
                <w:sz w:val="20"/>
                <w:szCs w:val="20"/>
                <w:lang w:val="fr-FR"/>
              </w:rPr>
            </w:pPr>
            <w:r w:rsidRPr="00401CBA">
              <w:rPr>
                <w:color w:val="000000"/>
                <w:sz w:val="20"/>
                <w:szCs w:val="20"/>
                <w:lang w:val="fr-FR"/>
              </w:rPr>
              <w:t xml:space="preserve">63 </w:t>
            </w:r>
            <w:r w:rsidR="00D210E7" w:rsidRPr="00401CBA">
              <w:rPr>
                <w:color w:val="000000"/>
                <w:sz w:val="20"/>
                <w:szCs w:val="20"/>
                <w:lang w:val="fr-FR"/>
              </w:rPr>
              <w:t>500</w:t>
            </w:r>
          </w:p>
        </w:tc>
      </w:tr>
      <w:tr w:rsidR="005C5FBB" w:rsidRPr="00401CBA" w14:paraId="0B4985AC" w14:textId="77777777" w:rsidTr="00401CBA">
        <w:tc>
          <w:tcPr>
            <w:tcW w:w="1193" w:type="dxa"/>
            <w:vMerge/>
            <w:tcBorders>
              <w:left w:val="single" w:sz="4" w:space="0" w:color="auto"/>
              <w:bottom w:val="single" w:sz="4" w:space="0" w:color="auto"/>
              <w:right w:val="single" w:sz="4" w:space="0" w:color="auto"/>
            </w:tcBorders>
            <w:shd w:val="clear" w:color="auto" w:fill="auto"/>
            <w:vAlign w:val="center"/>
          </w:tcPr>
          <w:p w14:paraId="302CEF55" w14:textId="77777777" w:rsidR="005C5FBB" w:rsidRPr="00401CBA" w:rsidRDefault="005C5FBB" w:rsidP="00860D17">
            <w:pPr>
              <w:jc w:val="left"/>
              <w:rPr>
                <w:color w:val="000000"/>
                <w:sz w:val="20"/>
                <w:szCs w:val="20"/>
                <w:lang w:val="fr-FR"/>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6E65B7B" w14:textId="6089D6C0" w:rsidR="005C5FBB" w:rsidRPr="00401CBA" w:rsidRDefault="005C5FBB" w:rsidP="00860D17">
            <w:pPr>
              <w:jc w:val="left"/>
              <w:rPr>
                <w:sz w:val="20"/>
                <w:szCs w:val="20"/>
                <w:lang w:val="fr-FR"/>
              </w:rPr>
            </w:pPr>
            <w:r w:rsidRPr="00401CBA">
              <w:rPr>
                <w:bCs/>
                <w:sz w:val="20"/>
                <w:szCs w:val="20"/>
                <w:lang w:val="fr-FR"/>
              </w:rPr>
              <w:t xml:space="preserve">Préparation du plan de réduction progressive des HFC </w:t>
            </w:r>
          </w:p>
        </w:tc>
        <w:tc>
          <w:tcPr>
            <w:tcW w:w="1980" w:type="dxa"/>
            <w:tcBorders>
              <w:top w:val="single" w:sz="4" w:space="0" w:color="auto"/>
              <w:left w:val="single" w:sz="4" w:space="0" w:color="auto"/>
              <w:bottom w:val="single" w:sz="4" w:space="0" w:color="auto"/>
              <w:right w:val="single" w:sz="4" w:space="0" w:color="auto"/>
            </w:tcBorders>
          </w:tcPr>
          <w:p w14:paraId="0E506217" w14:textId="5B8BA1C8" w:rsidR="005C5FBB" w:rsidRPr="00401CBA" w:rsidRDefault="005C5FBB" w:rsidP="00860D17">
            <w:pPr>
              <w:jc w:val="left"/>
              <w:rPr>
                <w:color w:val="000000"/>
                <w:sz w:val="20"/>
                <w:szCs w:val="20"/>
                <w:lang w:val="fr-FR"/>
              </w:rPr>
            </w:pPr>
            <w:r w:rsidRPr="00401CBA">
              <w:rPr>
                <w:color w:val="000000"/>
                <w:sz w:val="20"/>
                <w:szCs w:val="20"/>
                <w:lang w:val="fr-FR"/>
              </w:rPr>
              <w:t>PNUE</w:t>
            </w:r>
          </w:p>
        </w:tc>
        <w:tc>
          <w:tcPr>
            <w:tcW w:w="1332"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3CCFCF1E" w14:textId="7322E3AE" w:rsidR="005C5FBB" w:rsidRPr="00401CBA" w:rsidRDefault="005C5FBB" w:rsidP="00860D17">
            <w:pPr>
              <w:jc w:val="right"/>
              <w:rPr>
                <w:color w:val="000000"/>
                <w:sz w:val="20"/>
                <w:szCs w:val="20"/>
                <w:lang w:val="fr-FR"/>
              </w:rPr>
            </w:pPr>
            <w:r w:rsidRPr="00401CBA">
              <w:rPr>
                <w:color w:val="000000"/>
                <w:sz w:val="20"/>
                <w:szCs w:val="20"/>
                <w:lang w:val="fr-FR"/>
              </w:rPr>
              <w:t>31 500</w:t>
            </w:r>
          </w:p>
        </w:tc>
      </w:tr>
      <w:tr w:rsidR="005C5FBB" w:rsidRPr="00401CBA" w14:paraId="622BF38E" w14:textId="77777777" w:rsidTr="00401CBA">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E99CDCF" w14:textId="77777777" w:rsidR="005C5FBB" w:rsidRPr="00401CBA" w:rsidRDefault="005C5FBB" w:rsidP="00860D17">
            <w:pPr>
              <w:jc w:val="left"/>
              <w:rPr>
                <w:color w:val="000000"/>
                <w:sz w:val="20"/>
                <w:szCs w:val="20"/>
                <w:lang w:val="fr-FR"/>
              </w:rPr>
            </w:pPr>
            <w:r w:rsidRPr="00401CBA">
              <w:rPr>
                <w:color w:val="000000"/>
                <w:sz w:val="20"/>
                <w:szCs w:val="20"/>
                <w:lang w:val="fr-FR"/>
              </w:rPr>
              <w:t>Costa Rica</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D794C21" w14:textId="3C880E70" w:rsidR="005C5FBB" w:rsidRPr="00401CBA" w:rsidRDefault="005C5FBB" w:rsidP="00860D17">
            <w:pPr>
              <w:jc w:val="left"/>
              <w:rPr>
                <w:sz w:val="20"/>
                <w:szCs w:val="20"/>
                <w:lang w:val="fr-FR"/>
              </w:rPr>
            </w:pPr>
            <w:r w:rsidRPr="00401CBA">
              <w:rPr>
                <w:bCs/>
                <w:sz w:val="20"/>
                <w:szCs w:val="20"/>
                <w:lang w:val="fr-FR"/>
              </w:rPr>
              <w:t xml:space="preserve">Préparation du plan de réduction progressive des HFC </w:t>
            </w:r>
          </w:p>
        </w:tc>
        <w:tc>
          <w:tcPr>
            <w:tcW w:w="1980" w:type="dxa"/>
            <w:tcBorders>
              <w:top w:val="single" w:sz="4" w:space="0" w:color="auto"/>
              <w:left w:val="single" w:sz="4" w:space="0" w:color="auto"/>
              <w:bottom w:val="single" w:sz="4" w:space="0" w:color="auto"/>
              <w:right w:val="single" w:sz="4" w:space="0" w:color="auto"/>
            </w:tcBorders>
          </w:tcPr>
          <w:p w14:paraId="016A3DDF" w14:textId="0EB703CF" w:rsidR="005C5FBB" w:rsidRPr="00401CBA" w:rsidRDefault="005C5FBB" w:rsidP="00860D17">
            <w:pPr>
              <w:jc w:val="left"/>
              <w:rPr>
                <w:color w:val="000000"/>
                <w:sz w:val="20"/>
                <w:szCs w:val="20"/>
                <w:lang w:val="fr-FR"/>
              </w:rPr>
            </w:pPr>
            <w:r w:rsidRPr="00401CBA">
              <w:rPr>
                <w:color w:val="000000"/>
                <w:sz w:val="20"/>
                <w:szCs w:val="20"/>
                <w:lang w:val="fr-FR"/>
              </w:rPr>
              <w:t>PNUD</w:t>
            </w:r>
          </w:p>
        </w:tc>
        <w:tc>
          <w:tcPr>
            <w:tcW w:w="1332"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63D44A1C" w14:textId="47B4B1EE" w:rsidR="005C5FBB" w:rsidRPr="00401CBA" w:rsidRDefault="005C5FBB" w:rsidP="00860D17">
            <w:pPr>
              <w:jc w:val="right"/>
              <w:rPr>
                <w:color w:val="000000"/>
                <w:sz w:val="20"/>
                <w:szCs w:val="20"/>
                <w:lang w:val="fr-FR"/>
              </w:rPr>
            </w:pPr>
            <w:r w:rsidRPr="00401CBA">
              <w:rPr>
                <w:color w:val="000000"/>
                <w:sz w:val="20"/>
                <w:szCs w:val="20"/>
                <w:lang w:val="fr-FR"/>
              </w:rPr>
              <w:t>150 000</w:t>
            </w:r>
          </w:p>
        </w:tc>
      </w:tr>
      <w:tr w:rsidR="005C5FBB" w:rsidRPr="00401CBA" w14:paraId="6F8B9050" w14:textId="77777777" w:rsidTr="00401CBA">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B2B7CA8" w14:textId="77777777" w:rsidR="005C5FBB" w:rsidRPr="00401CBA" w:rsidRDefault="005C5FBB" w:rsidP="00860D17">
            <w:pPr>
              <w:jc w:val="left"/>
              <w:rPr>
                <w:color w:val="000000"/>
                <w:sz w:val="20"/>
                <w:szCs w:val="20"/>
                <w:lang w:val="fr-FR"/>
              </w:rPr>
            </w:pPr>
            <w:r w:rsidRPr="00401CBA">
              <w:rPr>
                <w:color w:val="000000"/>
                <w:sz w:val="20"/>
                <w:szCs w:val="20"/>
                <w:lang w:val="fr-FR"/>
              </w:rPr>
              <w:t>Cuba</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E5A0C5A" w14:textId="0BD8D146" w:rsidR="005C5FBB" w:rsidRPr="00401CBA" w:rsidRDefault="005C5FBB" w:rsidP="00860D17">
            <w:pPr>
              <w:jc w:val="left"/>
              <w:rPr>
                <w:sz w:val="20"/>
                <w:szCs w:val="20"/>
                <w:lang w:val="fr-FR"/>
              </w:rPr>
            </w:pPr>
            <w:r w:rsidRPr="00401CBA">
              <w:rPr>
                <w:bCs/>
                <w:sz w:val="20"/>
                <w:szCs w:val="20"/>
                <w:lang w:val="fr-FR"/>
              </w:rPr>
              <w:t xml:space="preserve">Préparation du plan de réduction progressive des HFC </w:t>
            </w:r>
          </w:p>
        </w:tc>
        <w:tc>
          <w:tcPr>
            <w:tcW w:w="1980" w:type="dxa"/>
            <w:tcBorders>
              <w:top w:val="single" w:sz="4" w:space="0" w:color="auto"/>
              <w:left w:val="single" w:sz="4" w:space="0" w:color="auto"/>
              <w:bottom w:val="single" w:sz="4" w:space="0" w:color="auto"/>
              <w:right w:val="single" w:sz="4" w:space="0" w:color="auto"/>
            </w:tcBorders>
          </w:tcPr>
          <w:p w14:paraId="3F98B1EF" w14:textId="1E19DCDD" w:rsidR="005C5FBB" w:rsidRPr="00401CBA" w:rsidRDefault="005C5FBB" w:rsidP="00860D17">
            <w:pPr>
              <w:jc w:val="left"/>
              <w:rPr>
                <w:color w:val="000000"/>
                <w:sz w:val="20"/>
                <w:szCs w:val="20"/>
                <w:lang w:val="fr-FR"/>
              </w:rPr>
            </w:pPr>
            <w:r w:rsidRPr="00401CBA">
              <w:rPr>
                <w:color w:val="000000"/>
                <w:sz w:val="20"/>
                <w:szCs w:val="20"/>
                <w:lang w:val="fr-FR"/>
              </w:rPr>
              <w:t>PNUD</w:t>
            </w:r>
          </w:p>
        </w:tc>
        <w:tc>
          <w:tcPr>
            <w:tcW w:w="1332"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5FEF0479" w14:textId="72C51E2B" w:rsidR="005C5FBB" w:rsidRPr="00401CBA" w:rsidRDefault="005C5FBB" w:rsidP="00860D17">
            <w:pPr>
              <w:jc w:val="right"/>
              <w:rPr>
                <w:color w:val="000000"/>
                <w:sz w:val="20"/>
                <w:szCs w:val="20"/>
                <w:lang w:val="fr-FR"/>
              </w:rPr>
            </w:pPr>
            <w:r w:rsidRPr="00401CBA">
              <w:rPr>
                <w:color w:val="000000"/>
                <w:sz w:val="20"/>
                <w:szCs w:val="20"/>
                <w:lang w:val="fr-FR"/>
              </w:rPr>
              <w:t>150 000</w:t>
            </w:r>
          </w:p>
        </w:tc>
      </w:tr>
      <w:tr w:rsidR="005C5FBB" w:rsidRPr="00401CBA" w14:paraId="0D91B243" w14:textId="77777777" w:rsidTr="00401CBA">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82C3EA7" w14:textId="05CEA4EB" w:rsidR="005C5FBB" w:rsidRPr="00401CBA" w:rsidRDefault="005C5FBB" w:rsidP="00860D17">
            <w:pPr>
              <w:jc w:val="left"/>
              <w:rPr>
                <w:color w:val="000000"/>
                <w:sz w:val="20"/>
                <w:szCs w:val="20"/>
                <w:lang w:val="fr-FR"/>
              </w:rPr>
            </w:pPr>
            <w:r w:rsidRPr="00401CBA">
              <w:rPr>
                <w:color w:val="000000"/>
                <w:sz w:val="20"/>
                <w:szCs w:val="20"/>
                <w:lang w:val="fr-FR"/>
              </w:rPr>
              <w:t>Jordanie</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46C7498" w14:textId="398C78D0" w:rsidR="005C5FBB" w:rsidRPr="00401CBA" w:rsidRDefault="005C5FBB" w:rsidP="00860D17">
            <w:pPr>
              <w:jc w:val="left"/>
              <w:rPr>
                <w:bCs/>
                <w:sz w:val="20"/>
                <w:szCs w:val="20"/>
                <w:lang w:val="fr-FR"/>
              </w:rPr>
            </w:pPr>
            <w:r w:rsidRPr="00401CBA">
              <w:rPr>
                <w:bCs/>
                <w:sz w:val="20"/>
                <w:szCs w:val="20"/>
                <w:lang w:val="fr-FR"/>
              </w:rPr>
              <w:t xml:space="preserve">Préparation du plan de réduction progressive des HFC </w:t>
            </w:r>
          </w:p>
        </w:tc>
        <w:tc>
          <w:tcPr>
            <w:tcW w:w="1980" w:type="dxa"/>
            <w:tcBorders>
              <w:top w:val="single" w:sz="4" w:space="0" w:color="auto"/>
              <w:left w:val="single" w:sz="4" w:space="0" w:color="auto"/>
              <w:bottom w:val="single" w:sz="4" w:space="0" w:color="auto"/>
              <w:right w:val="single" w:sz="4" w:space="0" w:color="auto"/>
            </w:tcBorders>
          </w:tcPr>
          <w:p w14:paraId="3FC1C296" w14:textId="29E72177" w:rsidR="005C5FBB" w:rsidRPr="00401CBA" w:rsidRDefault="005C5FBB" w:rsidP="00860D17">
            <w:pPr>
              <w:jc w:val="left"/>
              <w:rPr>
                <w:color w:val="000000"/>
                <w:sz w:val="20"/>
                <w:szCs w:val="20"/>
                <w:lang w:val="fr-FR"/>
              </w:rPr>
            </w:pPr>
            <w:r w:rsidRPr="00401CBA">
              <w:rPr>
                <w:color w:val="000000"/>
                <w:sz w:val="20"/>
                <w:szCs w:val="20"/>
                <w:lang w:val="fr-FR"/>
              </w:rPr>
              <w:t>ONUDI</w:t>
            </w:r>
          </w:p>
        </w:tc>
        <w:tc>
          <w:tcPr>
            <w:tcW w:w="1332"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0752C665" w14:textId="55D6BA79" w:rsidR="005C5FBB" w:rsidRPr="00401CBA" w:rsidRDefault="005C5FBB" w:rsidP="00860D17">
            <w:pPr>
              <w:jc w:val="right"/>
              <w:rPr>
                <w:color w:val="000000"/>
                <w:sz w:val="20"/>
                <w:szCs w:val="20"/>
                <w:lang w:val="fr-FR"/>
              </w:rPr>
            </w:pPr>
            <w:r w:rsidRPr="00401CBA">
              <w:rPr>
                <w:color w:val="000000"/>
                <w:sz w:val="20"/>
                <w:szCs w:val="20"/>
                <w:lang w:val="fr-FR"/>
              </w:rPr>
              <w:t>150 000</w:t>
            </w:r>
          </w:p>
        </w:tc>
      </w:tr>
      <w:tr w:rsidR="005C5FBB" w:rsidRPr="00401CBA" w14:paraId="221FAE2D" w14:textId="77777777" w:rsidTr="00401CBA">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9707634" w14:textId="77777777" w:rsidR="005C5FBB" w:rsidRPr="00401CBA" w:rsidRDefault="005C5FBB" w:rsidP="00860D17">
            <w:pPr>
              <w:jc w:val="left"/>
              <w:rPr>
                <w:color w:val="000000"/>
                <w:sz w:val="20"/>
                <w:szCs w:val="20"/>
                <w:lang w:val="fr-FR"/>
              </w:rPr>
            </w:pPr>
            <w:r w:rsidRPr="00401CBA">
              <w:rPr>
                <w:color w:val="000000"/>
                <w:sz w:val="20"/>
                <w:szCs w:val="20"/>
                <w:lang w:val="fr-FR"/>
              </w:rPr>
              <w:t>Uruguay</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A7375C4" w14:textId="3F8C5611" w:rsidR="005C5FBB" w:rsidRPr="00401CBA" w:rsidRDefault="005C5FBB" w:rsidP="00860D17">
            <w:pPr>
              <w:jc w:val="left"/>
              <w:rPr>
                <w:bCs/>
                <w:sz w:val="20"/>
                <w:szCs w:val="20"/>
                <w:lang w:val="fr-FR"/>
              </w:rPr>
            </w:pPr>
            <w:r w:rsidRPr="00401CBA">
              <w:rPr>
                <w:bCs/>
                <w:sz w:val="20"/>
                <w:szCs w:val="20"/>
                <w:lang w:val="fr-FR"/>
              </w:rPr>
              <w:t xml:space="preserve">Préparation du plan de réduction progressive des HFC </w:t>
            </w:r>
          </w:p>
        </w:tc>
        <w:tc>
          <w:tcPr>
            <w:tcW w:w="1980" w:type="dxa"/>
            <w:tcBorders>
              <w:top w:val="single" w:sz="4" w:space="0" w:color="auto"/>
              <w:left w:val="single" w:sz="4" w:space="0" w:color="auto"/>
              <w:bottom w:val="single" w:sz="4" w:space="0" w:color="auto"/>
              <w:right w:val="single" w:sz="4" w:space="0" w:color="auto"/>
            </w:tcBorders>
          </w:tcPr>
          <w:p w14:paraId="1A79C7FB" w14:textId="28A986E2" w:rsidR="005C5FBB" w:rsidRPr="00401CBA" w:rsidRDefault="005C5FBB" w:rsidP="00860D17">
            <w:pPr>
              <w:jc w:val="left"/>
              <w:rPr>
                <w:color w:val="000000"/>
                <w:sz w:val="20"/>
                <w:szCs w:val="20"/>
                <w:lang w:val="fr-FR"/>
              </w:rPr>
            </w:pPr>
            <w:r w:rsidRPr="00401CBA">
              <w:rPr>
                <w:color w:val="000000"/>
                <w:sz w:val="20"/>
                <w:szCs w:val="20"/>
                <w:lang w:val="fr-FR"/>
              </w:rPr>
              <w:t>PNUD</w:t>
            </w:r>
          </w:p>
        </w:tc>
        <w:tc>
          <w:tcPr>
            <w:tcW w:w="1332"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4CF9B19D" w14:textId="43282ACE" w:rsidR="005C5FBB" w:rsidRPr="00401CBA" w:rsidRDefault="005C5FBB" w:rsidP="00860D17">
            <w:pPr>
              <w:jc w:val="right"/>
              <w:rPr>
                <w:color w:val="000000"/>
                <w:sz w:val="20"/>
                <w:szCs w:val="20"/>
                <w:lang w:val="fr-FR"/>
              </w:rPr>
            </w:pPr>
            <w:r w:rsidRPr="00401CBA">
              <w:rPr>
                <w:color w:val="000000"/>
                <w:sz w:val="20"/>
                <w:szCs w:val="20"/>
                <w:lang w:val="fr-FR"/>
              </w:rPr>
              <w:t>150 000</w:t>
            </w:r>
          </w:p>
        </w:tc>
      </w:tr>
      <w:tr w:rsidR="00D210E7" w:rsidRPr="00401CBA" w14:paraId="1D73E1CA" w14:textId="77777777" w:rsidTr="00401CBA">
        <w:tc>
          <w:tcPr>
            <w:tcW w:w="80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69BB88" w14:textId="619FDF95" w:rsidR="00D210E7" w:rsidRPr="00401CBA" w:rsidRDefault="005C5FBB" w:rsidP="00860D17">
            <w:pPr>
              <w:jc w:val="left"/>
              <w:rPr>
                <w:color w:val="000000"/>
                <w:sz w:val="20"/>
                <w:szCs w:val="20"/>
                <w:lang w:val="fr-FR"/>
              </w:rPr>
            </w:pPr>
            <w:r w:rsidRPr="00401CBA">
              <w:rPr>
                <w:bCs/>
                <w:sz w:val="20"/>
                <w:szCs w:val="20"/>
                <w:lang w:val="fr-FR"/>
              </w:rPr>
              <w:t>Total partiel</w:t>
            </w:r>
          </w:p>
        </w:tc>
        <w:tc>
          <w:tcPr>
            <w:tcW w:w="1332" w:type="dxa"/>
            <w:tcBorders>
              <w:top w:val="single" w:sz="4" w:space="0" w:color="auto"/>
              <w:left w:val="single" w:sz="4" w:space="0" w:color="auto"/>
              <w:bottom w:val="single" w:sz="4" w:space="0" w:color="auto"/>
              <w:right w:val="single" w:sz="4" w:space="0" w:color="auto"/>
            </w:tcBorders>
            <w:tcMar>
              <w:left w:w="115" w:type="dxa"/>
              <w:right w:w="173" w:type="dxa"/>
            </w:tcMar>
          </w:tcPr>
          <w:p w14:paraId="574C194F" w14:textId="2F36ECC5" w:rsidR="00D210E7" w:rsidRPr="00401CBA" w:rsidRDefault="005C5FBB" w:rsidP="00860D17">
            <w:pPr>
              <w:jc w:val="right"/>
              <w:rPr>
                <w:color w:val="000000"/>
                <w:sz w:val="20"/>
                <w:szCs w:val="20"/>
                <w:lang w:val="fr-FR"/>
              </w:rPr>
            </w:pPr>
            <w:r w:rsidRPr="00401CBA">
              <w:rPr>
                <w:color w:val="000000"/>
                <w:sz w:val="20"/>
                <w:szCs w:val="20"/>
                <w:lang w:val="fr-FR"/>
              </w:rPr>
              <w:t xml:space="preserve">695 </w:t>
            </w:r>
            <w:r w:rsidR="00D210E7" w:rsidRPr="00401CBA">
              <w:rPr>
                <w:color w:val="000000"/>
                <w:sz w:val="20"/>
                <w:szCs w:val="20"/>
                <w:lang w:val="fr-FR"/>
              </w:rPr>
              <w:t>000</w:t>
            </w:r>
          </w:p>
        </w:tc>
      </w:tr>
      <w:tr w:rsidR="00D210E7" w:rsidRPr="00401CBA" w14:paraId="7FE403BC" w14:textId="77777777" w:rsidTr="00401CBA">
        <w:tc>
          <w:tcPr>
            <w:tcW w:w="80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A9C00E" w14:textId="5781E016" w:rsidR="00D210E7" w:rsidRPr="00401CBA" w:rsidRDefault="005C5FBB" w:rsidP="00860D17">
            <w:pPr>
              <w:jc w:val="left"/>
              <w:rPr>
                <w:color w:val="000000"/>
                <w:sz w:val="20"/>
                <w:szCs w:val="20"/>
                <w:lang w:val="fr-FR"/>
              </w:rPr>
            </w:pPr>
            <w:r w:rsidRPr="00401CBA">
              <w:rPr>
                <w:bCs/>
                <w:sz w:val="20"/>
                <w:szCs w:val="20"/>
                <w:lang w:val="fr-FR"/>
              </w:rPr>
              <w:t>Coûts d’appui d’agence</w:t>
            </w:r>
          </w:p>
        </w:tc>
        <w:tc>
          <w:tcPr>
            <w:tcW w:w="1332" w:type="dxa"/>
            <w:tcBorders>
              <w:top w:val="single" w:sz="4" w:space="0" w:color="auto"/>
              <w:left w:val="single" w:sz="4" w:space="0" w:color="auto"/>
              <w:bottom w:val="single" w:sz="4" w:space="0" w:color="auto"/>
              <w:right w:val="single" w:sz="4" w:space="0" w:color="auto"/>
            </w:tcBorders>
            <w:tcMar>
              <w:left w:w="115" w:type="dxa"/>
              <w:right w:w="173" w:type="dxa"/>
            </w:tcMar>
          </w:tcPr>
          <w:p w14:paraId="68397901" w14:textId="753E3EBA" w:rsidR="00D210E7" w:rsidRPr="00401CBA" w:rsidRDefault="005C5FBB" w:rsidP="00860D17">
            <w:pPr>
              <w:jc w:val="right"/>
              <w:rPr>
                <w:color w:val="000000"/>
                <w:sz w:val="20"/>
                <w:szCs w:val="20"/>
                <w:lang w:val="fr-FR"/>
              </w:rPr>
            </w:pPr>
            <w:r w:rsidRPr="00401CBA">
              <w:rPr>
                <w:color w:val="000000"/>
                <w:sz w:val="20"/>
                <w:szCs w:val="20"/>
                <w:lang w:val="fr-FR"/>
              </w:rPr>
              <w:t xml:space="preserve">48 </w:t>
            </w:r>
            <w:r w:rsidR="00D210E7" w:rsidRPr="00401CBA">
              <w:rPr>
                <w:color w:val="000000"/>
                <w:sz w:val="20"/>
                <w:szCs w:val="20"/>
                <w:lang w:val="fr-FR"/>
              </w:rPr>
              <w:t>650</w:t>
            </w:r>
          </w:p>
        </w:tc>
      </w:tr>
      <w:tr w:rsidR="00D210E7" w:rsidRPr="00401CBA" w14:paraId="5EFA9618" w14:textId="77777777" w:rsidTr="00401CBA">
        <w:tc>
          <w:tcPr>
            <w:tcW w:w="80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704FEF" w14:textId="3A930E7A" w:rsidR="00D210E7" w:rsidRPr="00401CBA" w:rsidRDefault="005C5FBB" w:rsidP="00860D17">
            <w:pPr>
              <w:jc w:val="left"/>
              <w:rPr>
                <w:b/>
                <w:color w:val="000000"/>
                <w:sz w:val="20"/>
                <w:szCs w:val="20"/>
                <w:lang w:val="fr-FR"/>
              </w:rPr>
            </w:pPr>
            <w:r w:rsidRPr="00401CBA">
              <w:rPr>
                <w:b/>
                <w:bCs/>
                <w:sz w:val="20"/>
                <w:szCs w:val="20"/>
                <w:lang w:val="fr-FR"/>
              </w:rPr>
              <w:t xml:space="preserve">Coût total </w:t>
            </w:r>
          </w:p>
        </w:tc>
        <w:tc>
          <w:tcPr>
            <w:tcW w:w="1332" w:type="dxa"/>
            <w:tcBorders>
              <w:top w:val="single" w:sz="4" w:space="0" w:color="auto"/>
              <w:left w:val="single" w:sz="4" w:space="0" w:color="auto"/>
              <w:bottom w:val="single" w:sz="4" w:space="0" w:color="auto"/>
              <w:right w:val="single" w:sz="4" w:space="0" w:color="auto"/>
            </w:tcBorders>
            <w:tcMar>
              <w:left w:w="115" w:type="dxa"/>
              <w:right w:w="173" w:type="dxa"/>
            </w:tcMar>
          </w:tcPr>
          <w:p w14:paraId="14B781C8" w14:textId="4CF8F7BB" w:rsidR="00D210E7" w:rsidRPr="00401CBA" w:rsidRDefault="005C5FBB" w:rsidP="00860D17">
            <w:pPr>
              <w:jc w:val="right"/>
              <w:rPr>
                <w:b/>
                <w:color w:val="000000"/>
                <w:sz w:val="20"/>
                <w:szCs w:val="20"/>
                <w:lang w:val="fr-FR"/>
              </w:rPr>
            </w:pPr>
            <w:r w:rsidRPr="00401CBA">
              <w:rPr>
                <w:b/>
                <w:color w:val="000000"/>
                <w:sz w:val="20"/>
                <w:szCs w:val="20"/>
                <w:lang w:val="fr-FR"/>
              </w:rPr>
              <w:t xml:space="preserve">743 </w:t>
            </w:r>
            <w:r w:rsidR="00D210E7" w:rsidRPr="00401CBA">
              <w:rPr>
                <w:b/>
                <w:color w:val="000000"/>
                <w:sz w:val="20"/>
                <w:szCs w:val="20"/>
                <w:lang w:val="fr-FR"/>
              </w:rPr>
              <w:t>650</w:t>
            </w:r>
          </w:p>
        </w:tc>
      </w:tr>
    </w:tbl>
    <w:p w14:paraId="4E20E670" w14:textId="77777777" w:rsidR="00D210E7" w:rsidRPr="002A78DD" w:rsidRDefault="00D210E7" w:rsidP="00D210E7">
      <w:pPr>
        <w:rPr>
          <w:lang w:val="fr-FR"/>
        </w:rPr>
      </w:pPr>
    </w:p>
    <w:p w14:paraId="7E6A926B" w14:textId="792DBC22" w:rsidR="008F6621" w:rsidRPr="002A78DD" w:rsidRDefault="005C5FBB" w:rsidP="00C27322">
      <w:pPr>
        <w:pStyle w:val="Heading1"/>
        <w:rPr>
          <w:lang w:val="fr-FR"/>
        </w:rPr>
      </w:pPr>
      <w:r w:rsidRPr="002A78DD">
        <w:rPr>
          <w:lang w:val="fr-FR"/>
        </w:rPr>
        <w:t xml:space="preserve">Chaque </w:t>
      </w:r>
      <w:r w:rsidR="00860D17" w:rsidRPr="002A78DD">
        <w:rPr>
          <w:lang w:val="fr-FR"/>
        </w:rPr>
        <w:t xml:space="preserve">agence principale a fourni une description des activités requises pour la préparation de la stratégie </w:t>
      </w:r>
      <w:r w:rsidR="008F6621" w:rsidRPr="002A78DD">
        <w:rPr>
          <w:lang w:val="fr-FR"/>
        </w:rPr>
        <w:t xml:space="preserve">globale </w:t>
      </w:r>
      <w:r w:rsidR="00DC53E9">
        <w:rPr>
          <w:lang w:val="fr-FR"/>
        </w:rPr>
        <w:t>de</w:t>
      </w:r>
      <w:r w:rsidR="008F6621" w:rsidRPr="002A78DD">
        <w:rPr>
          <w:lang w:val="fr-FR"/>
        </w:rPr>
        <w:t xml:space="preserve"> réduction progressive des HFC qui incluait des réunions et des consultations avec les parties prenantes, un plan de communication et de sensibilisation et des activités de renforcement des capacités.  Les demandes présentées incluaient aussi les importations estimées de HFC et de mélanges de HFC pour la période 2015-2018.  Les montants demandés s’appuyaient sur la consommation de référence de HCFC de chaque pays et utilisaient les niveaux de financement admissibles pour les activités de facilitation</w:t>
      </w:r>
      <w:r w:rsidR="00DC53E9">
        <w:rPr>
          <w:lang w:val="fr-FR"/>
        </w:rPr>
        <w:t>,</w:t>
      </w:r>
      <w:r w:rsidR="008F6621" w:rsidRPr="002A78DD">
        <w:rPr>
          <w:lang w:val="fr-FR"/>
        </w:rPr>
        <w:t xml:space="preserve"> contenus dans la décision 79/46(c).</w:t>
      </w:r>
    </w:p>
    <w:p w14:paraId="0F0F4C69" w14:textId="7F4E58A7" w:rsidR="00C27322" w:rsidRPr="002A78DD" w:rsidRDefault="008F6621" w:rsidP="00790A2F">
      <w:pPr>
        <w:pStyle w:val="Heading1"/>
        <w:keepNext/>
        <w:keepLines/>
        <w:rPr>
          <w:lang w:val="fr-FR"/>
        </w:rPr>
      </w:pPr>
      <w:r w:rsidRPr="002A78DD">
        <w:rPr>
          <w:lang w:val="fr-FR"/>
        </w:rPr>
        <w:lastRenderedPageBreak/>
        <w:t xml:space="preserve">Le Secrétariat a pris note que les demandes de financement pour la préparation de la phase I des plans de réduction progressive des HFC seraient examinées après que le Comité exécutif aura convenu </w:t>
      </w:r>
      <w:r w:rsidR="00DC53E9">
        <w:rPr>
          <w:lang w:val="fr-FR"/>
        </w:rPr>
        <w:t xml:space="preserve">du projet de lignes directrices </w:t>
      </w:r>
      <w:r w:rsidRPr="002A78DD">
        <w:rPr>
          <w:lang w:val="fr-FR"/>
        </w:rPr>
        <w:t xml:space="preserve">(décision 84/54(a)(iii).  Le Secrétariat a pris note aussi que les lignes directrices </w:t>
      </w:r>
      <w:r w:rsidR="00022AA5" w:rsidRPr="002A78DD">
        <w:rPr>
          <w:lang w:val="fr-FR"/>
        </w:rPr>
        <w:t xml:space="preserve">pour le financement de la préparation des plans de réduction progressive des HFC seront examinées au point 12(c) </w:t>
      </w:r>
      <w:r w:rsidR="00DD0C66" w:rsidRPr="002A78DD">
        <w:rPr>
          <w:lang w:val="fr-FR"/>
        </w:rPr>
        <w:t>d</w:t>
      </w:r>
      <w:r w:rsidR="00022AA5" w:rsidRPr="002A78DD">
        <w:rPr>
          <w:lang w:val="fr-FR"/>
        </w:rPr>
        <w:t>e l’ordre du jour – Projet de lignes directrices sur la préparation des plans de réduction progressive des HFC dans les pays visés à l’article 5 (décision 84/54(a)).</w:t>
      </w:r>
    </w:p>
    <w:p w14:paraId="7DFA106B" w14:textId="1678754E" w:rsidR="00C10D09" w:rsidRPr="002A78DD" w:rsidRDefault="00022AA5" w:rsidP="00C10D09">
      <w:pPr>
        <w:pStyle w:val="Heading1"/>
        <w:rPr>
          <w:lang w:val="fr-FR"/>
        </w:rPr>
      </w:pPr>
      <w:r w:rsidRPr="002A78DD">
        <w:rPr>
          <w:lang w:val="fr-FR"/>
        </w:rPr>
        <w:t>En l’absence de lignes directri</w:t>
      </w:r>
      <w:r w:rsidR="00DC53E9">
        <w:rPr>
          <w:lang w:val="fr-FR"/>
        </w:rPr>
        <w:t>ces s</w:t>
      </w:r>
      <w:r w:rsidRPr="002A78DD">
        <w:rPr>
          <w:lang w:val="fr-FR"/>
        </w:rPr>
        <w:t>ur le financement de la préparation des plans de réduction progressive des HF</w:t>
      </w:r>
      <w:r w:rsidR="00DC53E9">
        <w:rPr>
          <w:lang w:val="fr-FR"/>
        </w:rPr>
        <w:t xml:space="preserve">C au moment de la présentation </w:t>
      </w:r>
      <w:r w:rsidRPr="002A78DD">
        <w:rPr>
          <w:lang w:val="fr-FR"/>
        </w:rPr>
        <w:t xml:space="preserve">des demandes et d’une décision empêchant la </w:t>
      </w:r>
      <w:r w:rsidR="00DC53E9">
        <w:rPr>
          <w:lang w:val="fr-FR"/>
        </w:rPr>
        <w:t>présentation de demandes pour un tel</w:t>
      </w:r>
      <w:r w:rsidRPr="002A78DD">
        <w:rPr>
          <w:lang w:val="fr-FR"/>
        </w:rPr>
        <w:t xml:space="preserve"> financement, le Secrétariat a examiné les demandes en s’appuyant sur</w:t>
      </w:r>
      <w:r w:rsidR="00DC53E9">
        <w:rPr>
          <w:lang w:val="fr-FR"/>
        </w:rPr>
        <w:t xml:space="preserve"> l’expérience antérieure d’</w:t>
      </w:r>
      <w:r w:rsidRPr="002A78DD">
        <w:rPr>
          <w:lang w:val="fr-FR"/>
        </w:rPr>
        <w:t xml:space="preserve">analyse des demandes de préparation de projet pour les PGEH et en tenant compte des politiques et orientations pertinentes du Comité exécutif.  L’examen de ces demandes par le Secrétariat </w:t>
      </w:r>
      <w:r w:rsidR="00DC53E9">
        <w:rPr>
          <w:lang w:val="fr-FR"/>
        </w:rPr>
        <w:t>se retrouve</w:t>
      </w:r>
      <w:r w:rsidRPr="002A78DD">
        <w:rPr>
          <w:lang w:val="fr-FR"/>
        </w:rPr>
        <w:t xml:space="preserve"> dans les programmes de travail respectifs de chaque agence d’exécution</w:t>
      </w:r>
      <w:r w:rsidR="00C10D09" w:rsidRPr="002A78DD">
        <w:rPr>
          <w:lang w:val="fr-FR"/>
        </w:rPr>
        <w:t>.  Le Secrétariat n’a pas été en mesure de faire une recommandation sur ces demandes puisque les lignes directrices sur leur financement</w:t>
      </w:r>
      <w:r w:rsidR="00AB4E4D">
        <w:rPr>
          <w:lang w:val="fr-FR"/>
        </w:rPr>
        <w:t xml:space="preserve"> seront débattues seulement à l</w:t>
      </w:r>
      <w:r w:rsidR="00C10D09" w:rsidRPr="002A78DD">
        <w:rPr>
          <w:lang w:val="fr-FR"/>
        </w:rPr>
        <w:t>a 85</w:t>
      </w:r>
      <w:r w:rsidR="00C10D09" w:rsidRPr="002A78DD">
        <w:rPr>
          <w:vertAlign w:val="superscript"/>
          <w:lang w:val="fr-FR"/>
        </w:rPr>
        <w:t>e</w:t>
      </w:r>
      <w:r w:rsidR="001140B8">
        <w:rPr>
          <w:lang w:val="fr-FR"/>
        </w:rPr>
        <w:t xml:space="preserve"> réunion.</w:t>
      </w:r>
    </w:p>
    <w:p w14:paraId="57E9444C" w14:textId="45B99A41" w:rsidR="00C10D09" w:rsidRPr="002A78DD" w:rsidRDefault="00C10D09" w:rsidP="00C10D09">
      <w:pPr>
        <w:pStyle w:val="Heading1"/>
        <w:rPr>
          <w:lang w:val="fr-FR"/>
        </w:rPr>
      </w:pPr>
      <w:r w:rsidRPr="002A78DD">
        <w:rPr>
          <w:lang w:val="fr-FR"/>
        </w:rPr>
        <w:t>Le Comité exécutif pourrait souhaiter examiner les demandes pour la préparation de plans de gestion de la réduction progressive des HFC pour les cinq pays mentionnés dans le Tableau 1</w:t>
      </w:r>
      <w:r w:rsidR="00DC53E9">
        <w:rPr>
          <w:lang w:val="fr-FR"/>
        </w:rPr>
        <w:t>,</w:t>
      </w:r>
      <w:r w:rsidRPr="002A78DD">
        <w:rPr>
          <w:lang w:val="fr-FR"/>
        </w:rPr>
        <w:t xml:space="preserve"> lorsque les lignes directrices sur le financement de la préparation des plans de gestion de la réduction progressive des HFC auront été </w:t>
      </w:r>
      <w:r w:rsidR="001140B8">
        <w:rPr>
          <w:lang w:val="fr-FR"/>
        </w:rPr>
        <w:t>adopté</w:t>
      </w:r>
      <w:r w:rsidRPr="002A78DD">
        <w:rPr>
          <w:lang w:val="fr-FR"/>
        </w:rPr>
        <w:t>es, conformément à la décision 84/54(a)(iii), dans le cadre de la discussion sur les programmes de travail du PNUD, du PNUE et de l’ONUDI.</w:t>
      </w:r>
    </w:p>
    <w:p w14:paraId="0125D363" w14:textId="7CBBF0B1" w:rsidR="00C10D09" w:rsidRPr="002A78DD" w:rsidRDefault="00A86C18" w:rsidP="00022AA5">
      <w:pPr>
        <w:rPr>
          <w:u w:val="single"/>
          <w:lang w:val="fr-FR"/>
        </w:rPr>
      </w:pPr>
      <w:r>
        <w:rPr>
          <w:u w:val="single"/>
          <w:lang w:val="fr-FR"/>
        </w:rPr>
        <w:t xml:space="preserve">Reliquat aux fins d’entretien </w:t>
      </w:r>
      <w:r w:rsidR="00C10D09" w:rsidRPr="002A78DD">
        <w:rPr>
          <w:u w:val="single"/>
          <w:lang w:val="fr-FR"/>
        </w:rPr>
        <w:t>dans le contexte d’un PGEH pour l’élimination totale des HCFC</w:t>
      </w:r>
    </w:p>
    <w:p w14:paraId="4B8C499C" w14:textId="77777777" w:rsidR="00C10D09" w:rsidRPr="002A78DD" w:rsidRDefault="00C10D09" w:rsidP="00022AA5">
      <w:pPr>
        <w:rPr>
          <w:u w:val="single"/>
          <w:lang w:val="fr-FR"/>
        </w:rPr>
      </w:pPr>
    </w:p>
    <w:p w14:paraId="4E1BA045" w14:textId="618EA895" w:rsidR="00CB40AD" w:rsidRPr="002A78DD" w:rsidRDefault="00C10D09" w:rsidP="00CB40AD">
      <w:pPr>
        <w:pStyle w:val="Heading1"/>
        <w:rPr>
          <w:lang w:val="fr-FR"/>
        </w:rPr>
      </w:pPr>
      <w:r w:rsidRPr="002A78DD">
        <w:rPr>
          <w:lang w:val="fr-FR"/>
        </w:rPr>
        <w:t>À la 85</w:t>
      </w:r>
      <w:r w:rsidRPr="002A78DD">
        <w:rPr>
          <w:vertAlign w:val="superscript"/>
          <w:lang w:val="fr-FR"/>
        </w:rPr>
        <w:t>e</w:t>
      </w:r>
      <w:r w:rsidRPr="002A78DD">
        <w:rPr>
          <w:lang w:val="fr-FR"/>
        </w:rPr>
        <w:t xml:space="preserve"> réunion, les gouvernements de Jamaïque</w:t>
      </w:r>
      <w:r w:rsidR="00CB40AD" w:rsidRPr="002A78DD">
        <w:rPr>
          <w:rStyle w:val="FootnoteReference"/>
          <w:lang w:val="fr-FR"/>
        </w:rPr>
        <w:footnoteReference w:id="11"/>
      </w:r>
      <w:r w:rsidRPr="002A78DD">
        <w:rPr>
          <w:lang w:val="fr-FR"/>
        </w:rPr>
        <w:t xml:space="preserve"> et de Serbie ont soumis des propositions pour la phase II de leurs PGEH qui demandaient un financement basé sur l’élimination totale des HCFC bien que les objectifs d’élimination proposés </w:t>
      </w:r>
      <w:r w:rsidR="008F1376">
        <w:rPr>
          <w:lang w:val="fr-FR"/>
        </w:rPr>
        <w:t>vis</w:t>
      </w:r>
      <w:r w:rsidR="003F4E56">
        <w:rPr>
          <w:lang w:val="fr-FR"/>
        </w:rPr>
        <w:t>ent</w:t>
      </w:r>
      <w:r w:rsidR="00CB40AD" w:rsidRPr="002A78DD">
        <w:rPr>
          <w:lang w:val="fr-FR"/>
        </w:rPr>
        <w:t xml:space="preserve"> une réduction de 97,5 pour cent des valeurs de référence respectives de chaque pays pour une année donnée, tout en continuant de consommer jusqu’à 2,5 pour cent de leurs</w:t>
      </w:r>
      <w:r w:rsidR="008F1376">
        <w:rPr>
          <w:lang w:val="fr-FR"/>
        </w:rPr>
        <w:t xml:space="preserve"> valeurs de référence (c.-à-d. le</w:t>
      </w:r>
      <w:r w:rsidR="00A86C18">
        <w:rPr>
          <w:lang w:val="fr-FR"/>
        </w:rPr>
        <w:t xml:space="preserve"> </w:t>
      </w:r>
      <w:r w:rsidR="008F1376">
        <w:rPr>
          <w:lang w:val="fr-FR"/>
        </w:rPr>
        <w:t>"</w:t>
      </w:r>
      <w:r w:rsidR="00A86C18">
        <w:rPr>
          <w:lang w:val="fr-FR"/>
        </w:rPr>
        <w:t>reliquat aux fins d’entretien</w:t>
      </w:r>
      <w:r w:rsidR="008F1376">
        <w:rPr>
          <w:lang w:val="fr-FR"/>
        </w:rPr>
        <w:t>"</w:t>
      </w:r>
      <w:r w:rsidR="00CB40AD" w:rsidRPr="002A78DD">
        <w:rPr>
          <w:lang w:val="fr-FR"/>
        </w:rPr>
        <w:t>) au-delà de cette année.</w:t>
      </w:r>
    </w:p>
    <w:p w14:paraId="3EDED082" w14:textId="1FA4A4A5" w:rsidR="00CB40AD" w:rsidRPr="002A78DD" w:rsidRDefault="00CB40AD" w:rsidP="00CB40AD">
      <w:pPr>
        <w:pStyle w:val="Heading1"/>
        <w:rPr>
          <w:lang w:val="fr-FR"/>
        </w:rPr>
      </w:pPr>
      <w:r w:rsidRPr="002A78DD">
        <w:rPr>
          <w:lang w:val="fr-FR"/>
        </w:rPr>
        <w:t>Dans son examen de la phase II du PGEH pour la Serbie</w:t>
      </w:r>
      <w:r w:rsidRPr="002A78DD">
        <w:rPr>
          <w:rStyle w:val="FootnoteReference"/>
          <w:lang w:val="fr-FR"/>
        </w:rPr>
        <w:footnoteReference w:id="12"/>
      </w:r>
      <w:r w:rsidRPr="002A78DD">
        <w:rPr>
          <w:lang w:val="fr-FR"/>
        </w:rPr>
        <w:t xml:space="preserve">, le Secrétariat a </w:t>
      </w:r>
      <w:r w:rsidR="008A2A8E">
        <w:rPr>
          <w:lang w:val="fr-FR"/>
        </w:rPr>
        <w:t xml:space="preserve">tenu compte des </w:t>
      </w:r>
      <w:r w:rsidRPr="002A78DD">
        <w:rPr>
          <w:lang w:val="fr-FR"/>
        </w:rPr>
        <w:t>décisions suivantes du Comité exécutif et des Parties au Proto</w:t>
      </w:r>
      <w:r w:rsidR="00C10D09" w:rsidRPr="002A78DD">
        <w:rPr>
          <w:lang w:val="fr-FR"/>
        </w:rPr>
        <w:t>co</w:t>
      </w:r>
      <w:r w:rsidRPr="002A78DD">
        <w:rPr>
          <w:lang w:val="fr-FR"/>
        </w:rPr>
        <w:t>le de Montréal :</w:t>
      </w:r>
    </w:p>
    <w:p w14:paraId="5B040DE2" w14:textId="4EF4F14C" w:rsidR="00B13C07" w:rsidRPr="002A78DD" w:rsidRDefault="00AB4E4D" w:rsidP="00B13C07">
      <w:pPr>
        <w:pStyle w:val="Heading2"/>
        <w:rPr>
          <w:lang w:val="fr-FR"/>
        </w:rPr>
      </w:pPr>
      <w:r>
        <w:rPr>
          <w:lang w:val="fr-FR"/>
        </w:rPr>
        <w:t>D</w:t>
      </w:r>
      <w:r w:rsidR="003F4E56">
        <w:rPr>
          <w:lang w:val="fr-FR"/>
        </w:rPr>
        <w:t xml:space="preserve">écision </w:t>
      </w:r>
      <w:r w:rsidR="00B13C07" w:rsidRPr="002A78DD">
        <w:rPr>
          <w:lang w:val="fr-FR"/>
        </w:rPr>
        <w:t>74/50(c)(xii)</w:t>
      </w:r>
      <w:r w:rsidR="00CB40AD" w:rsidRPr="002A78DD">
        <w:rPr>
          <w:lang w:val="fr-FR"/>
        </w:rPr>
        <w:t xml:space="preserve"> précise, </w:t>
      </w:r>
      <w:r w:rsidR="00CB40AD" w:rsidRPr="002A78DD">
        <w:rPr>
          <w:i/>
          <w:lang w:val="fr-FR"/>
        </w:rPr>
        <w:t>entre autres</w:t>
      </w:r>
      <w:r w:rsidR="00B13C07" w:rsidRPr="002A78DD">
        <w:rPr>
          <w:lang w:val="fr-FR"/>
        </w:rPr>
        <w:t xml:space="preserve">, </w:t>
      </w:r>
      <w:r w:rsidR="00CB40AD" w:rsidRPr="002A78DD">
        <w:rPr>
          <w:lang w:val="fr-FR"/>
        </w:rPr>
        <w:t>l</w:t>
      </w:r>
      <w:r w:rsidR="003F4E56">
        <w:rPr>
          <w:lang w:val="fr-FR"/>
        </w:rPr>
        <w:t>e niveau maximum du</w:t>
      </w:r>
      <w:r w:rsidR="00B13C07" w:rsidRPr="002A78DD">
        <w:rPr>
          <w:lang w:val="fr-FR"/>
        </w:rPr>
        <w:t xml:space="preserve"> fin</w:t>
      </w:r>
      <w:r w:rsidR="00CB40AD" w:rsidRPr="002A78DD">
        <w:rPr>
          <w:lang w:val="fr-FR"/>
        </w:rPr>
        <w:t>a</w:t>
      </w:r>
      <w:r w:rsidR="00B13C07" w:rsidRPr="002A78DD">
        <w:rPr>
          <w:lang w:val="fr-FR"/>
        </w:rPr>
        <w:t>ncement disponib</w:t>
      </w:r>
      <w:r w:rsidR="00C313DB">
        <w:rPr>
          <w:lang w:val="fr-FR"/>
        </w:rPr>
        <w:t>le pour l</w:t>
      </w:r>
      <w:r w:rsidR="00B13C07" w:rsidRPr="002A78DD">
        <w:rPr>
          <w:lang w:val="fr-FR"/>
        </w:rPr>
        <w:t xml:space="preserve">es pays à faible volume de </w:t>
      </w:r>
      <w:r w:rsidR="00CB40AD" w:rsidRPr="002A78DD">
        <w:rPr>
          <w:lang w:val="fr-FR"/>
        </w:rPr>
        <w:t xml:space="preserve">consommation </w:t>
      </w:r>
      <w:r w:rsidR="00B13C07" w:rsidRPr="002A78DD">
        <w:rPr>
          <w:lang w:val="fr-FR"/>
        </w:rPr>
        <w:t xml:space="preserve">(PFV) </w:t>
      </w:r>
      <w:r w:rsidR="003F4E56">
        <w:rPr>
          <w:lang w:val="fr-FR"/>
        </w:rPr>
        <w:t xml:space="preserve">afin de </w:t>
      </w:r>
      <w:r w:rsidR="00B13C07" w:rsidRPr="002A78DD">
        <w:rPr>
          <w:lang w:val="fr-FR"/>
        </w:rPr>
        <w:t>respecter l</w:t>
      </w:r>
      <w:r w:rsidR="003F4E56">
        <w:rPr>
          <w:lang w:val="fr-FR"/>
        </w:rPr>
        <w:t>eur</w:t>
      </w:r>
      <w:r w:rsidR="00B13C07" w:rsidRPr="002A78DD">
        <w:rPr>
          <w:lang w:val="fr-FR"/>
        </w:rPr>
        <w:t xml:space="preserve"> cible de réduction de 35 pour cent de la valeur de référence (2020), de 67,5 pour cent (2025) et de 100 pour cent</w:t>
      </w:r>
      <w:r w:rsidR="003F4E56">
        <w:rPr>
          <w:lang w:val="fr-FR"/>
        </w:rPr>
        <w:t>,</w:t>
      </w:r>
      <w:r w:rsidR="00B13C07" w:rsidRPr="002A78DD">
        <w:rPr>
          <w:lang w:val="fr-FR"/>
        </w:rPr>
        <w:t xml:space="preserve"> en prenant note que ces lignes</w:t>
      </w:r>
      <w:r w:rsidR="00C313DB">
        <w:rPr>
          <w:lang w:val="fr-FR"/>
        </w:rPr>
        <w:t xml:space="preserve"> directrices ne précisent pas un</w:t>
      </w:r>
      <w:r w:rsidR="00B13C07" w:rsidRPr="002A78DD">
        <w:rPr>
          <w:lang w:val="fr-FR"/>
        </w:rPr>
        <w:t xml:space="preserve"> niveau de financement</w:t>
      </w:r>
      <w:r w:rsidR="003F4E56">
        <w:rPr>
          <w:lang w:val="fr-FR"/>
        </w:rPr>
        <w:t xml:space="preserve"> pour atteindre la cible de 97,5 pour cent</w:t>
      </w:r>
      <w:r>
        <w:rPr>
          <w:lang w:val="fr-FR"/>
        </w:rPr>
        <w:t xml:space="preserve"> seulement</w:t>
      </w:r>
      <w:r w:rsidR="00B13C07" w:rsidRPr="002A78DD">
        <w:rPr>
          <w:lang w:val="fr-FR"/>
        </w:rPr>
        <w:t>;</w:t>
      </w:r>
    </w:p>
    <w:p w14:paraId="51F41312" w14:textId="4D241B6B" w:rsidR="00022AA5" w:rsidRPr="002A78DD" w:rsidRDefault="00AB4E4D" w:rsidP="005A7DD3">
      <w:pPr>
        <w:ind w:left="1440" w:hanging="720"/>
        <w:rPr>
          <w:lang w:val="fr-FR"/>
        </w:rPr>
      </w:pPr>
      <w:r>
        <w:rPr>
          <w:lang w:val="fr-FR"/>
        </w:rPr>
        <w:t>(b)</w:t>
      </w:r>
      <w:r>
        <w:rPr>
          <w:lang w:val="fr-FR"/>
        </w:rPr>
        <w:tab/>
        <w:t>A</w:t>
      </w:r>
      <w:r w:rsidR="00B13C07" w:rsidRPr="002A78DD">
        <w:rPr>
          <w:lang w:val="fr-FR"/>
        </w:rPr>
        <w:t xml:space="preserve">rticle 5, paragraphe 8 ter(e)(i) du Protocole de Montréal </w:t>
      </w:r>
      <w:r>
        <w:rPr>
          <w:lang w:val="fr-FR"/>
        </w:rPr>
        <w:t>stipule</w:t>
      </w:r>
      <w:r w:rsidR="00B13C07" w:rsidRPr="002A78DD">
        <w:rPr>
          <w:lang w:val="fr-FR"/>
        </w:rPr>
        <w:t xml:space="preserve">, </w:t>
      </w:r>
      <w:r w:rsidR="00B13C07" w:rsidRPr="002A78DD">
        <w:rPr>
          <w:i/>
          <w:lang w:val="fr-FR"/>
        </w:rPr>
        <w:t>entre autres</w:t>
      </w:r>
      <w:r w:rsidR="00B13C07" w:rsidRPr="002A78DD">
        <w:rPr>
          <w:lang w:val="fr-FR"/>
        </w:rPr>
        <w:t xml:space="preserve">, que la consommation </w:t>
      </w:r>
      <w:r w:rsidR="00C313DB">
        <w:rPr>
          <w:lang w:val="fr-FR"/>
        </w:rPr>
        <w:t xml:space="preserve">des pays visés à l’article 5, entre 2030 et 2040, peut dépasser zéro </w:t>
      </w:r>
      <w:r w:rsidR="001403EF" w:rsidRPr="002A78DD">
        <w:rPr>
          <w:lang w:val="fr-FR"/>
        </w:rPr>
        <w:t xml:space="preserve">au cours de l’une quelconque de ces </w:t>
      </w:r>
      <w:r w:rsidR="00C313DB">
        <w:rPr>
          <w:lang w:val="fr-FR"/>
        </w:rPr>
        <w:t>années,</w:t>
      </w:r>
      <w:r w:rsidR="001403EF" w:rsidRPr="002A78DD">
        <w:rPr>
          <w:lang w:val="fr-FR"/>
        </w:rPr>
        <w:t xml:space="preserve"> tant que la somme de ses niveaux calculés de consommation au cours de la pério</w:t>
      </w:r>
      <w:r w:rsidR="00B13C07" w:rsidRPr="002A78DD">
        <w:rPr>
          <w:lang w:val="fr-FR"/>
        </w:rPr>
        <w:t>de</w:t>
      </w:r>
      <w:r w:rsidR="001403EF" w:rsidRPr="002A78DD">
        <w:rPr>
          <w:lang w:val="fr-FR"/>
        </w:rPr>
        <w:t xml:space="preserve"> de dix ans</w:t>
      </w:r>
      <w:r w:rsidR="00C313DB">
        <w:rPr>
          <w:lang w:val="fr-FR"/>
        </w:rPr>
        <w:t>,</w:t>
      </w:r>
      <w:r w:rsidR="001403EF" w:rsidRPr="002A78DD">
        <w:rPr>
          <w:lang w:val="fr-FR"/>
        </w:rPr>
        <w:t xml:space="preserve"> </w:t>
      </w:r>
      <w:r w:rsidR="00C313DB">
        <w:rPr>
          <w:lang w:val="fr-FR"/>
        </w:rPr>
        <w:t>soit</w:t>
      </w:r>
      <w:r w:rsidR="001403EF" w:rsidRPr="002A78DD">
        <w:rPr>
          <w:lang w:val="fr-FR"/>
        </w:rPr>
        <w:t xml:space="preserve"> du </w:t>
      </w:r>
      <w:r w:rsidR="00B13C07" w:rsidRPr="002A78DD">
        <w:rPr>
          <w:lang w:val="fr-FR"/>
        </w:rPr>
        <w:t>1</w:t>
      </w:r>
      <w:r w:rsidR="00B13C07" w:rsidRPr="002A78DD">
        <w:rPr>
          <w:vertAlign w:val="superscript"/>
          <w:lang w:val="fr-FR"/>
        </w:rPr>
        <w:t>er</w:t>
      </w:r>
      <w:r w:rsidR="00B13C07" w:rsidRPr="002A78DD">
        <w:rPr>
          <w:lang w:val="fr-FR"/>
        </w:rPr>
        <w:t xml:space="preserve"> janvier 2030 au 1</w:t>
      </w:r>
      <w:r w:rsidR="00B13C07" w:rsidRPr="002A78DD">
        <w:rPr>
          <w:vertAlign w:val="superscript"/>
          <w:lang w:val="fr-FR"/>
        </w:rPr>
        <w:t>er</w:t>
      </w:r>
      <w:r w:rsidR="00B13C07" w:rsidRPr="002A78DD">
        <w:rPr>
          <w:lang w:val="fr-FR"/>
        </w:rPr>
        <w:t xml:space="preserve"> janvier 2040, divisé</w:t>
      </w:r>
      <w:r w:rsidR="001403EF" w:rsidRPr="002A78DD">
        <w:rPr>
          <w:lang w:val="fr-FR"/>
        </w:rPr>
        <w:t>e</w:t>
      </w:r>
      <w:r w:rsidR="00B13C07" w:rsidRPr="002A78DD">
        <w:rPr>
          <w:lang w:val="fr-FR"/>
        </w:rPr>
        <w:t xml:space="preserve"> par dix, ne dépasse pas 2,5 pour cent de la valeur de référence de la Partie, </w:t>
      </w:r>
      <w:r w:rsidR="001403EF" w:rsidRPr="002A78DD">
        <w:rPr>
          <w:lang w:val="fr-FR"/>
        </w:rPr>
        <w:t xml:space="preserve">et </w:t>
      </w:r>
      <w:r w:rsidR="00B13C07" w:rsidRPr="002A78DD">
        <w:rPr>
          <w:lang w:val="fr-FR"/>
        </w:rPr>
        <w:t>à condition qu</w:t>
      </w:r>
      <w:r w:rsidR="00957B30" w:rsidRPr="002A78DD">
        <w:rPr>
          <w:lang w:val="fr-FR"/>
        </w:rPr>
        <w:t>e cette consommation</w:t>
      </w:r>
      <w:r w:rsidR="00CB40AD" w:rsidRPr="002A78DD">
        <w:rPr>
          <w:lang w:val="fr-FR"/>
        </w:rPr>
        <w:t xml:space="preserve"> </w:t>
      </w:r>
      <w:r w:rsidR="00B13C07" w:rsidRPr="002A78DD">
        <w:rPr>
          <w:lang w:val="fr-FR"/>
        </w:rPr>
        <w:t>soi</w:t>
      </w:r>
      <w:r w:rsidR="00CB40AD" w:rsidRPr="002A78DD">
        <w:rPr>
          <w:lang w:val="fr-FR"/>
        </w:rPr>
        <w:t>t</w:t>
      </w:r>
      <w:r w:rsidR="00957B30" w:rsidRPr="002A78DD">
        <w:rPr>
          <w:lang w:val="fr-FR"/>
        </w:rPr>
        <w:t xml:space="preserve"> restre</w:t>
      </w:r>
      <w:r w:rsidR="00B13C07" w:rsidRPr="002A78DD">
        <w:rPr>
          <w:lang w:val="fr-FR"/>
        </w:rPr>
        <w:t>inte à certaines uti</w:t>
      </w:r>
      <w:r w:rsidR="001403EF" w:rsidRPr="002A78DD">
        <w:rPr>
          <w:lang w:val="fr-FR"/>
        </w:rPr>
        <w:t>l</w:t>
      </w:r>
      <w:r w:rsidR="00B13C07" w:rsidRPr="002A78DD">
        <w:rPr>
          <w:lang w:val="fr-FR"/>
        </w:rPr>
        <w:t>isations désignées</w:t>
      </w:r>
      <w:r w:rsidR="00B13C07" w:rsidRPr="002A78DD">
        <w:rPr>
          <w:rStyle w:val="FootnoteReference"/>
          <w:lang w:val="fr-FR"/>
        </w:rPr>
        <w:footnoteReference w:id="13"/>
      </w:r>
      <w:r w:rsidR="00B13C07" w:rsidRPr="002A78DD">
        <w:rPr>
          <w:lang w:val="fr-FR"/>
        </w:rPr>
        <w:t>;</w:t>
      </w:r>
      <w:r w:rsidR="00C313DB">
        <w:rPr>
          <w:lang w:val="fr-FR"/>
        </w:rPr>
        <w:t xml:space="preserve"> </w:t>
      </w:r>
      <w:r w:rsidR="001914A9">
        <w:rPr>
          <w:lang w:val="fr-FR"/>
        </w:rPr>
        <w:t>et</w:t>
      </w:r>
    </w:p>
    <w:p w14:paraId="633C5E22" w14:textId="77777777" w:rsidR="00DD0C66" w:rsidRPr="002A78DD" w:rsidRDefault="00DD0C66" w:rsidP="005A7DD3">
      <w:pPr>
        <w:rPr>
          <w:lang w:val="fr-FR"/>
        </w:rPr>
      </w:pPr>
    </w:p>
    <w:p w14:paraId="3E562926" w14:textId="6C38A6D1" w:rsidR="00957B30" w:rsidRPr="002A78DD" w:rsidRDefault="00957B30" w:rsidP="005A7DD3">
      <w:pPr>
        <w:pStyle w:val="Heading2"/>
        <w:numPr>
          <w:ilvl w:val="0"/>
          <w:numId w:val="0"/>
        </w:numPr>
        <w:ind w:left="1440" w:hanging="720"/>
        <w:rPr>
          <w:lang w:val="fr-FR"/>
        </w:rPr>
      </w:pPr>
      <w:r w:rsidRPr="002A78DD">
        <w:rPr>
          <w:lang w:val="fr-FR"/>
        </w:rPr>
        <w:t>(c)</w:t>
      </w:r>
      <w:r w:rsidRPr="002A78DD">
        <w:rPr>
          <w:lang w:val="fr-FR"/>
        </w:rPr>
        <w:tab/>
      </w:r>
      <w:r w:rsidR="00AB4E4D">
        <w:rPr>
          <w:lang w:val="fr-FR"/>
        </w:rPr>
        <w:t>P</w:t>
      </w:r>
      <w:r w:rsidR="001403EF" w:rsidRPr="002A78DD">
        <w:rPr>
          <w:lang w:val="fr-FR"/>
        </w:rPr>
        <w:t>aragraphe 13 de la décision XIX/6</w:t>
      </w:r>
      <w:r w:rsidRPr="002A78DD">
        <w:rPr>
          <w:lang w:val="fr-FR"/>
        </w:rPr>
        <w:t xml:space="preserve">, par lequel les Parties au Protocole de Montréal ont convenu, </w:t>
      </w:r>
      <w:r w:rsidRPr="002A78DD">
        <w:rPr>
          <w:i/>
          <w:lang w:val="fr-FR"/>
        </w:rPr>
        <w:t>entre autres</w:t>
      </w:r>
      <w:r w:rsidRPr="002A78DD">
        <w:rPr>
          <w:lang w:val="fr-FR"/>
        </w:rPr>
        <w:t>, d’examiner en 2025 la nécessité de la moyenne annuelle de 2,5</w:t>
      </w:r>
      <w:r w:rsidR="00790A2F">
        <w:rPr>
          <w:lang w:val="fr-FR"/>
        </w:rPr>
        <w:t> </w:t>
      </w:r>
      <w:r w:rsidRPr="002A78DD">
        <w:rPr>
          <w:lang w:val="fr-FR"/>
        </w:rPr>
        <w:t>pour cent aux fins d’entretien pour les pays visés à l’article 5.</w:t>
      </w:r>
    </w:p>
    <w:p w14:paraId="447DA786" w14:textId="4E35D64D" w:rsidR="009E3986" w:rsidRPr="002A78DD" w:rsidRDefault="009E3986" w:rsidP="00DD0C66">
      <w:pPr>
        <w:rPr>
          <w:lang w:val="fr-FR"/>
        </w:rPr>
      </w:pPr>
      <w:r w:rsidRPr="002A78DD">
        <w:rPr>
          <w:lang w:val="fr-FR"/>
        </w:rPr>
        <w:t>31.</w:t>
      </w:r>
      <w:r w:rsidRPr="002A78DD">
        <w:rPr>
          <w:lang w:val="fr-FR"/>
        </w:rPr>
        <w:tab/>
      </w:r>
      <w:r w:rsidR="000362D2">
        <w:rPr>
          <w:lang w:val="fr-FR"/>
        </w:rPr>
        <w:t>Tenant compte du</w:t>
      </w:r>
      <w:r w:rsidR="00957B30" w:rsidRPr="002A78DD">
        <w:rPr>
          <w:lang w:val="fr-FR"/>
        </w:rPr>
        <w:t xml:space="preserve"> niveau possible de la consommation en Serbie après l’a</w:t>
      </w:r>
      <w:r w:rsidR="000362D2">
        <w:rPr>
          <w:lang w:val="fr-FR"/>
        </w:rPr>
        <w:t xml:space="preserve">chèvement du PGEH et au-delà de </w:t>
      </w:r>
      <w:r w:rsidR="00957B30" w:rsidRPr="002A78DD">
        <w:rPr>
          <w:lang w:val="fr-FR"/>
        </w:rPr>
        <w:t xml:space="preserve">2030, plusieurs questions ont été soulevées : </w:t>
      </w:r>
      <w:r w:rsidR="00284496">
        <w:rPr>
          <w:lang w:val="fr-FR"/>
        </w:rPr>
        <w:t>il restait à préciser</w:t>
      </w:r>
      <w:r w:rsidR="00957B30" w:rsidRPr="002A78DD">
        <w:rPr>
          <w:lang w:val="fr-FR"/>
        </w:rPr>
        <w:t xml:space="preserve"> comment </w:t>
      </w:r>
      <w:r w:rsidR="00AB4E4D">
        <w:rPr>
          <w:lang w:val="fr-FR"/>
        </w:rPr>
        <w:t xml:space="preserve">cette consommation </w:t>
      </w:r>
      <w:r w:rsidR="00284496">
        <w:rPr>
          <w:lang w:val="fr-FR"/>
        </w:rPr>
        <w:t>de HCFC et l</w:t>
      </w:r>
      <w:r w:rsidR="00AB4E4D">
        <w:rPr>
          <w:lang w:val="fr-FR"/>
        </w:rPr>
        <w:t>es utilisations désignées seraient surveillée</w:t>
      </w:r>
      <w:r w:rsidRPr="002A78DD">
        <w:rPr>
          <w:lang w:val="fr-FR"/>
        </w:rPr>
        <w:t>s</w:t>
      </w:r>
      <w:r w:rsidR="00AB4E4D">
        <w:rPr>
          <w:lang w:val="fr-FR"/>
        </w:rPr>
        <w:t xml:space="preserve"> et contrôlées</w:t>
      </w:r>
      <w:r w:rsidRPr="002A78DD">
        <w:rPr>
          <w:lang w:val="fr-FR"/>
        </w:rPr>
        <w:t xml:space="preserve">; si et comment une sanction s’appliquerait dans l’éventualité peu probable que la consommation du pays dépasse 2,5 pour </w:t>
      </w:r>
      <w:r w:rsidR="000362D2">
        <w:rPr>
          <w:lang w:val="fr-FR"/>
        </w:rPr>
        <w:t>cent de s</w:t>
      </w:r>
      <w:r w:rsidRPr="002A78DD">
        <w:rPr>
          <w:lang w:val="fr-FR"/>
        </w:rPr>
        <w:t>a valeur de référence en</w:t>
      </w:r>
      <w:r w:rsidR="000362D2">
        <w:rPr>
          <w:lang w:val="fr-FR"/>
        </w:rPr>
        <w:t>tre</w:t>
      </w:r>
      <w:r w:rsidRPr="002A78DD">
        <w:rPr>
          <w:lang w:val="fr-FR"/>
        </w:rPr>
        <w:t xml:space="preserve"> 2030</w:t>
      </w:r>
      <w:r w:rsidR="000362D2">
        <w:rPr>
          <w:lang w:val="fr-FR"/>
        </w:rPr>
        <w:t xml:space="preserve"> et </w:t>
      </w:r>
      <w:r w:rsidRPr="002A78DD">
        <w:rPr>
          <w:lang w:val="fr-FR"/>
        </w:rPr>
        <w:t>2040</w:t>
      </w:r>
      <w:r w:rsidR="000362D2">
        <w:rPr>
          <w:lang w:val="fr-FR"/>
        </w:rPr>
        <w:t xml:space="preserve"> ou que la consommation de HCFC </w:t>
      </w:r>
      <w:r w:rsidR="00C62FA7">
        <w:rPr>
          <w:lang w:val="fr-FR"/>
        </w:rPr>
        <w:t>concerne</w:t>
      </w:r>
      <w:r w:rsidR="000362D2">
        <w:rPr>
          <w:lang w:val="fr-FR"/>
        </w:rPr>
        <w:t xml:space="preserve"> une utilisation autre que celles </w:t>
      </w:r>
      <w:r w:rsidR="00A86C18">
        <w:rPr>
          <w:lang w:val="fr-FR"/>
        </w:rPr>
        <w:t>stipul</w:t>
      </w:r>
      <w:r w:rsidR="000362D2">
        <w:rPr>
          <w:lang w:val="fr-FR"/>
        </w:rPr>
        <w:t>ées à l’article 5 du Protocole</w:t>
      </w:r>
      <w:r w:rsidRPr="002A78DD">
        <w:rPr>
          <w:lang w:val="fr-FR"/>
        </w:rPr>
        <w:t xml:space="preserve">; comment le pays modifierait son système de permis et de quotas pour assurer la conformité aux obligations </w:t>
      </w:r>
      <w:r w:rsidR="00284496">
        <w:rPr>
          <w:lang w:val="fr-FR"/>
        </w:rPr>
        <w:t>pertinentes</w:t>
      </w:r>
      <w:r w:rsidR="000362D2">
        <w:rPr>
          <w:lang w:val="fr-FR"/>
        </w:rPr>
        <w:t>,</w:t>
      </w:r>
      <w:r w:rsidRPr="002A78DD">
        <w:rPr>
          <w:lang w:val="fr-FR"/>
        </w:rPr>
        <w:t xml:space="preserve"> énoncées dans son Accord avec le Comité exécutif; </w:t>
      </w:r>
      <w:r w:rsidR="00C62FA7">
        <w:rPr>
          <w:lang w:val="fr-FR"/>
        </w:rPr>
        <w:t xml:space="preserve">quelle serait </w:t>
      </w:r>
      <w:r w:rsidRPr="002A78DD">
        <w:rPr>
          <w:lang w:val="fr-FR"/>
        </w:rPr>
        <w:t>la date d</w:t>
      </w:r>
      <w:r w:rsidR="00284496">
        <w:rPr>
          <w:lang w:val="fr-FR"/>
        </w:rPr>
        <w:t>’achèvement du PGEH puis</w:t>
      </w:r>
      <w:r w:rsidRPr="002A78DD">
        <w:rPr>
          <w:lang w:val="fr-FR"/>
        </w:rPr>
        <w:t>que la consommation de HCFC se poursuivrait jusqu’au 1</w:t>
      </w:r>
      <w:r w:rsidRPr="002A78DD">
        <w:rPr>
          <w:vertAlign w:val="superscript"/>
          <w:lang w:val="fr-FR"/>
        </w:rPr>
        <w:t>er</w:t>
      </w:r>
      <w:r w:rsidRPr="002A78DD">
        <w:rPr>
          <w:lang w:val="fr-FR"/>
        </w:rPr>
        <w:t xml:space="preserve"> janvier 2040; </w:t>
      </w:r>
      <w:r w:rsidR="00C62FA7">
        <w:rPr>
          <w:lang w:val="fr-FR"/>
        </w:rPr>
        <w:t xml:space="preserve">quels seraient </w:t>
      </w:r>
      <w:r w:rsidRPr="002A78DD">
        <w:rPr>
          <w:lang w:val="fr-FR"/>
        </w:rPr>
        <w:t>les rôles et responsabilités de l’agence principale et des agences de coopération durant la période 2030-2040; et si du financement serait disponible au-delà de 2030.</w:t>
      </w:r>
    </w:p>
    <w:p w14:paraId="7E0DAD19" w14:textId="77777777" w:rsidR="009E3986" w:rsidRPr="002A78DD" w:rsidRDefault="009E3986" w:rsidP="00DD0C66">
      <w:pPr>
        <w:rPr>
          <w:lang w:val="fr-FR"/>
        </w:rPr>
      </w:pPr>
    </w:p>
    <w:p w14:paraId="386169FB" w14:textId="4F020AF1" w:rsidR="009E3986" w:rsidRPr="002A78DD" w:rsidRDefault="009E3986" w:rsidP="009E3986">
      <w:pPr>
        <w:pStyle w:val="Heading1"/>
        <w:numPr>
          <w:ilvl w:val="0"/>
          <w:numId w:val="0"/>
        </w:numPr>
        <w:rPr>
          <w:lang w:val="fr-FR"/>
        </w:rPr>
      </w:pPr>
      <w:r w:rsidRPr="002A78DD">
        <w:rPr>
          <w:lang w:val="fr-FR"/>
        </w:rPr>
        <w:t>32.</w:t>
      </w:r>
      <w:r w:rsidRPr="002A78DD">
        <w:rPr>
          <w:lang w:val="fr-FR"/>
        </w:rPr>
        <w:tab/>
        <w:t xml:space="preserve">Durant le processus d’examen du projet, le gouvernement de la Serbie a décidé de réviser son plan d’action pour atteindre </w:t>
      </w:r>
      <w:r w:rsidR="0047303E">
        <w:rPr>
          <w:lang w:val="fr-FR"/>
        </w:rPr>
        <w:t>seul</w:t>
      </w:r>
      <w:r w:rsidRPr="002A78DD">
        <w:rPr>
          <w:lang w:val="fr-FR"/>
        </w:rPr>
        <w:t>ement la cible de réduction de 67,5 pour cent d’ici 2025; et la cons</w:t>
      </w:r>
      <w:r w:rsidR="00C62FA7">
        <w:rPr>
          <w:lang w:val="fr-FR"/>
        </w:rPr>
        <w:t>ommation restante de HCFC sera</w:t>
      </w:r>
      <w:r w:rsidRPr="002A78DD">
        <w:rPr>
          <w:lang w:val="fr-FR"/>
        </w:rPr>
        <w:t xml:space="preserve"> </w:t>
      </w:r>
      <w:r w:rsidR="0047303E">
        <w:rPr>
          <w:lang w:val="fr-FR"/>
        </w:rPr>
        <w:t>abord</w:t>
      </w:r>
      <w:r w:rsidRPr="002A78DD">
        <w:rPr>
          <w:lang w:val="fr-FR"/>
        </w:rPr>
        <w:t>ée durant la</w:t>
      </w:r>
      <w:r w:rsidR="00C16C0B">
        <w:rPr>
          <w:lang w:val="fr-FR"/>
        </w:rPr>
        <w:t xml:space="preserve"> phase III.  Donc, il n’était plu</w:t>
      </w:r>
      <w:r w:rsidRPr="002A78DD">
        <w:rPr>
          <w:lang w:val="fr-FR"/>
        </w:rPr>
        <w:t xml:space="preserve">s nécessaire de traiter des enjeux associés </w:t>
      </w:r>
      <w:r w:rsidR="00284496">
        <w:rPr>
          <w:lang w:val="fr-FR"/>
        </w:rPr>
        <w:t xml:space="preserve">au </w:t>
      </w:r>
      <w:r w:rsidR="00AD6677">
        <w:rPr>
          <w:lang w:val="fr-FR"/>
        </w:rPr>
        <w:t>"</w:t>
      </w:r>
      <w:r w:rsidR="00284496">
        <w:rPr>
          <w:lang w:val="fr-FR"/>
        </w:rPr>
        <w:t>reliquat aux fins d’entretien</w:t>
      </w:r>
      <w:r w:rsidR="00AD6677">
        <w:rPr>
          <w:lang w:val="fr-FR"/>
        </w:rPr>
        <w:t>"</w:t>
      </w:r>
      <w:r w:rsidRPr="002A78DD">
        <w:rPr>
          <w:lang w:val="fr-FR"/>
        </w:rPr>
        <w:t xml:space="preserve"> dans le contexte du PGEH pour la Serbie.</w:t>
      </w:r>
    </w:p>
    <w:p w14:paraId="2E8499EC" w14:textId="0E9097A2" w:rsidR="001403EF" w:rsidRPr="002A78DD" w:rsidRDefault="009E3986" w:rsidP="00DD0C66">
      <w:pPr>
        <w:rPr>
          <w:lang w:val="fr-FR"/>
        </w:rPr>
      </w:pPr>
      <w:r w:rsidRPr="002A78DD">
        <w:rPr>
          <w:lang w:val="fr-FR"/>
        </w:rPr>
        <w:t>33.</w:t>
      </w:r>
      <w:r w:rsidRPr="002A78DD">
        <w:rPr>
          <w:lang w:val="fr-FR"/>
        </w:rPr>
        <w:tab/>
        <w:t>Toutefois, on pourrait s’att</w:t>
      </w:r>
      <w:r w:rsidR="00C62FA7">
        <w:rPr>
          <w:lang w:val="fr-FR"/>
        </w:rPr>
        <w:t>endre à ce que certaine</w:t>
      </w:r>
      <w:r w:rsidRPr="002A78DD">
        <w:rPr>
          <w:lang w:val="fr-FR"/>
        </w:rPr>
        <w:t>s demandes pour la phase II des PGEH pour 49</w:t>
      </w:r>
      <w:r w:rsidR="00401CBA">
        <w:rPr>
          <w:lang w:val="fr-FR"/>
        </w:rPr>
        <w:t> </w:t>
      </w:r>
      <w:r w:rsidRPr="002A78DD">
        <w:rPr>
          <w:lang w:val="fr-FR"/>
        </w:rPr>
        <w:t>pays visés à l’article 5</w:t>
      </w:r>
      <w:r w:rsidR="00C62FA7">
        <w:rPr>
          <w:lang w:val="fr-FR"/>
        </w:rPr>
        <w:t>,</w:t>
      </w:r>
      <w:r w:rsidRPr="002A78DD">
        <w:rPr>
          <w:lang w:val="fr-FR"/>
        </w:rPr>
        <w:t xml:space="preserve"> susceptibles d’être présentées à la 86</w:t>
      </w:r>
      <w:r w:rsidRPr="002A78DD">
        <w:rPr>
          <w:vertAlign w:val="superscript"/>
          <w:lang w:val="fr-FR"/>
        </w:rPr>
        <w:t>e</w:t>
      </w:r>
      <w:r w:rsidRPr="002A78DD">
        <w:rPr>
          <w:lang w:val="fr-FR"/>
        </w:rPr>
        <w:t xml:space="preserve"> réunion, </w:t>
      </w:r>
      <w:r w:rsidR="00C62FA7">
        <w:rPr>
          <w:lang w:val="fr-FR"/>
        </w:rPr>
        <w:t xml:space="preserve">puissent demander </w:t>
      </w:r>
      <w:r w:rsidR="00B40C43" w:rsidRPr="002A78DD">
        <w:rPr>
          <w:lang w:val="fr-FR"/>
        </w:rPr>
        <w:t xml:space="preserve">le financement autorisé pour l’élimination totale des HCFC mais en éliminant seulement 97,5 pour cent de la valeur de référence des HCFC </w:t>
      </w:r>
      <w:r w:rsidR="00C62FA7">
        <w:rPr>
          <w:lang w:val="fr-FR"/>
        </w:rPr>
        <w:t xml:space="preserve">pour </w:t>
      </w:r>
      <w:r w:rsidR="00B40C43" w:rsidRPr="002A78DD">
        <w:rPr>
          <w:lang w:val="fr-FR"/>
        </w:rPr>
        <w:t xml:space="preserve">une année donnée et </w:t>
      </w:r>
      <w:r w:rsidR="00C62FA7">
        <w:rPr>
          <w:lang w:val="fr-FR"/>
        </w:rPr>
        <w:t xml:space="preserve">en </w:t>
      </w:r>
      <w:r w:rsidR="00B40C43" w:rsidRPr="002A78DD">
        <w:rPr>
          <w:lang w:val="fr-FR"/>
        </w:rPr>
        <w:t>consommant</w:t>
      </w:r>
      <w:r w:rsidR="00AD6677">
        <w:rPr>
          <w:lang w:val="fr-FR"/>
        </w:rPr>
        <w:t xml:space="preserve"> le</w:t>
      </w:r>
      <w:r w:rsidR="00B40C43" w:rsidRPr="002A78DD">
        <w:rPr>
          <w:lang w:val="fr-FR"/>
        </w:rPr>
        <w:t xml:space="preserve"> </w:t>
      </w:r>
      <w:r w:rsidR="00AD6677">
        <w:rPr>
          <w:lang w:val="fr-FR"/>
        </w:rPr>
        <w:t>"reliquat aux fins d’entretien"</w:t>
      </w:r>
      <w:r w:rsidR="00A86C18">
        <w:rPr>
          <w:lang w:val="fr-FR"/>
        </w:rPr>
        <w:t xml:space="preserve"> de </w:t>
      </w:r>
      <w:r w:rsidR="00B40C43" w:rsidRPr="002A78DD">
        <w:rPr>
          <w:lang w:val="fr-FR"/>
        </w:rPr>
        <w:t>2,5 pour cent</w:t>
      </w:r>
      <w:r w:rsidR="00C62FA7">
        <w:rPr>
          <w:lang w:val="fr-FR"/>
        </w:rPr>
        <w:t>,</w:t>
      </w:r>
      <w:r w:rsidR="00B40C43" w:rsidRPr="002A78DD">
        <w:rPr>
          <w:lang w:val="fr-FR"/>
        </w:rPr>
        <w:t xml:space="preserve"> </w:t>
      </w:r>
      <w:r w:rsidR="00C62FA7">
        <w:rPr>
          <w:lang w:val="fr-FR"/>
        </w:rPr>
        <w:t>au-delà de</w:t>
      </w:r>
      <w:r w:rsidR="00B40C43" w:rsidRPr="002A78DD">
        <w:rPr>
          <w:lang w:val="fr-FR"/>
        </w:rPr>
        <w:t xml:space="preserve"> 2030 et </w:t>
      </w:r>
      <w:r w:rsidR="00C62FA7">
        <w:rPr>
          <w:lang w:val="fr-FR"/>
        </w:rPr>
        <w:t>après</w:t>
      </w:r>
      <w:r w:rsidR="00B40C43" w:rsidRPr="002A78DD">
        <w:rPr>
          <w:lang w:val="fr-FR"/>
        </w:rPr>
        <w:t xml:space="preserve"> la date d’achèvement du projet (c.-à-d. lorsque la réduction de 97,5 pour cent de la consommation </w:t>
      </w:r>
      <w:r w:rsidR="00AD6677">
        <w:rPr>
          <w:lang w:val="fr-FR"/>
        </w:rPr>
        <w:t>sera</w:t>
      </w:r>
      <w:r w:rsidR="00B40C43" w:rsidRPr="002A78DD">
        <w:rPr>
          <w:lang w:val="fr-FR"/>
        </w:rPr>
        <w:t xml:space="preserve"> atteinte).</w:t>
      </w:r>
    </w:p>
    <w:p w14:paraId="46A2B51A" w14:textId="77777777" w:rsidR="00B40C43" w:rsidRPr="002A78DD" w:rsidRDefault="00B40C43" w:rsidP="00DD0C66">
      <w:pPr>
        <w:rPr>
          <w:lang w:val="fr-FR"/>
        </w:rPr>
      </w:pPr>
    </w:p>
    <w:p w14:paraId="0B2216A1" w14:textId="3C563B6E" w:rsidR="00B40C43" w:rsidRPr="002A78DD" w:rsidRDefault="00B40C43" w:rsidP="00DD0C66">
      <w:pPr>
        <w:rPr>
          <w:lang w:val="fr-FR"/>
        </w:rPr>
      </w:pPr>
      <w:r w:rsidRPr="002A78DD">
        <w:rPr>
          <w:lang w:val="fr-FR"/>
        </w:rPr>
        <w:t>34.</w:t>
      </w:r>
      <w:r w:rsidRPr="002A78DD">
        <w:rPr>
          <w:lang w:val="fr-FR"/>
        </w:rPr>
        <w:tab/>
        <w:t>Dans ces cas-là, étant donné les ques</w:t>
      </w:r>
      <w:r w:rsidR="0047303E">
        <w:rPr>
          <w:lang w:val="fr-FR"/>
        </w:rPr>
        <w:t>tions imprévisibles qui p</w:t>
      </w:r>
      <w:r w:rsidR="008A2A8E">
        <w:rPr>
          <w:lang w:val="fr-FR"/>
        </w:rPr>
        <w:t>euven</w:t>
      </w:r>
      <w:r w:rsidRPr="002A78DD">
        <w:rPr>
          <w:lang w:val="fr-FR"/>
        </w:rPr>
        <w:t xml:space="preserve">t se poser durant la mise en œuvre d’un PGEH sur une période pouvant aller jusqu’à 20 ans, avec des niveaux de consommation admissible très faibles après 2030 et un risque potentiel élevé de non-respect d’une cible qui établit un maximum de 2,5 pour cent </w:t>
      </w:r>
      <w:r w:rsidR="00C62FA7">
        <w:rPr>
          <w:lang w:val="fr-FR"/>
        </w:rPr>
        <w:t xml:space="preserve">de </w:t>
      </w:r>
      <w:r w:rsidRPr="002A78DD">
        <w:rPr>
          <w:lang w:val="fr-FR"/>
        </w:rPr>
        <w:t xml:space="preserve">la valeur de référence </w:t>
      </w:r>
      <w:r w:rsidR="00C62FA7">
        <w:rPr>
          <w:lang w:val="fr-FR"/>
        </w:rPr>
        <w:t>pour une année quelconque</w:t>
      </w:r>
      <w:r w:rsidRPr="002A78DD">
        <w:rPr>
          <w:lang w:val="fr-FR"/>
        </w:rPr>
        <w:t xml:space="preserve">, plutôt que les dispositions plus souples prévues au Protocole de Montréal, le Secrétariat </w:t>
      </w:r>
      <w:r w:rsidR="00C62FA7">
        <w:rPr>
          <w:lang w:val="fr-FR"/>
        </w:rPr>
        <w:t>pourrait conseiller</w:t>
      </w:r>
      <w:r w:rsidRPr="002A78DD">
        <w:rPr>
          <w:lang w:val="fr-FR"/>
        </w:rPr>
        <w:t xml:space="preserve"> au Comité exécutif d’approuver le financement jusqu’en 2025</w:t>
      </w:r>
      <w:r w:rsidR="00C62FA7">
        <w:rPr>
          <w:lang w:val="fr-FR"/>
        </w:rPr>
        <w:t>,</w:t>
      </w:r>
      <w:r w:rsidRPr="002A78DD">
        <w:rPr>
          <w:lang w:val="fr-FR"/>
        </w:rPr>
        <w:t xml:space="preserve"> conformément </w:t>
      </w:r>
      <w:r w:rsidR="00C62FA7">
        <w:rPr>
          <w:lang w:val="fr-FR"/>
        </w:rPr>
        <w:t>aux</w:t>
      </w:r>
      <w:r w:rsidRPr="002A78DD">
        <w:rPr>
          <w:lang w:val="fr-FR"/>
        </w:rPr>
        <w:t xml:space="preserve"> décisions existantes</w:t>
      </w:r>
      <w:r w:rsidR="00C62FA7">
        <w:rPr>
          <w:lang w:val="fr-FR"/>
        </w:rPr>
        <w:t>,</w:t>
      </w:r>
      <w:r w:rsidRPr="002A78DD">
        <w:rPr>
          <w:lang w:val="fr-FR"/>
        </w:rPr>
        <w:t xml:space="preserve"> et que le pays concerné pourrait demander un financement supplémentaire pour une phase finale lorsque les Parties au Protocole de Montréal auront </w:t>
      </w:r>
      <w:r w:rsidR="00C62FA7">
        <w:rPr>
          <w:lang w:val="fr-FR"/>
        </w:rPr>
        <w:t xml:space="preserve">examiné </w:t>
      </w:r>
      <w:r w:rsidRPr="002A78DD">
        <w:rPr>
          <w:lang w:val="fr-FR"/>
        </w:rPr>
        <w:t xml:space="preserve">la nécessité d’une moyenne annuelle de 2,5 pour cent </w:t>
      </w:r>
      <w:r w:rsidR="00C62FA7">
        <w:rPr>
          <w:lang w:val="fr-FR"/>
        </w:rPr>
        <w:t>aux fins d</w:t>
      </w:r>
      <w:r w:rsidRPr="002A78DD">
        <w:rPr>
          <w:lang w:val="fr-FR"/>
        </w:rPr>
        <w:t>’entretien pour les pays visés à l’article 5, conformément au paragraphe 13 de la décision XIX/6.</w:t>
      </w:r>
    </w:p>
    <w:p w14:paraId="4EEE9A90" w14:textId="77777777" w:rsidR="00B40C43" w:rsidRPr="002A78DD" w:rsidRDefault="00B40C43" w:rsidP="00DD0C66">
      <w:pPr>
        <w:rPr>
          <w:lang w:val="fr-FR"/>
        </w:rPr>
      </w:pPr>
    </w:p>
    <w:p w14:paraId="1864DBB1" w14:textId="704CC195" w:rsidR="00B40C43" w:rsidRPr="002A78DD" w:rsidRDefault="00B40C43" w:rsidP="001914A9">
      <w:pPr>
        <w:keepNext/>
        <w:keepLines/>
        <w:rPr>
          <w:b/>
          <w:lang w:val="fr-FR"/>
        </w:rPr>
      </w:pPr>
      <w:r w:rsidRPr="002A78DD">
        <w:rPr>
          <w:b/>
          <w:lang w:val="fr-FR"/>
        </w:rPr>
        <w:lastRenderedPageBreak/>
        <w:t>Projets et activités soumis pour approbation globale</w:t>
      </w:r>
    </w:p>
    <w:p w14:paraId="6F9DBBEC" w14:textId="77777777" w:rsidR="00F53867" w:rsidRPr="002A78DD" w:rsidRDefault="00F53867" w:rsidP="001914A9">
      <w:pPr>
        <w:keepNext/>
        <w:keepLines/>
        <w:rPr>
          <w:b/>
          <w:lang w:val="fr-FR"/>
        </w:rPr>
      </w:pPr>
    </w:p>
    <w:p w14:paraId="113F454C" w14:textId="590C4722" w:rsidR="00F53867" w:rsidRPr="002A78DD" w:rsidRDefault="00F53867" w:rsidP="001914A9">
      <w:pPr>
        <w:keepNext/>
        <w:keepLines/>
        <w:rPr>
          <w:u w:val="single"/>
          <w:lang w:val="fr-FR"/>
        </w:rPr>
      </w:pPr>
      <w:r w:rsidRPr="002A78DD">
        <w:rPr>
          <w:u w:val="single"/>
          <w:lang w:val="fr-FR"/>
        </w:rPr>
        <w:t>Rapports de vérification de la conformit</w:t>
      </w:r>
      <w:r w:rsidR="00596832" w:rsidRPr="002A78DD">
        <w:rPr>
          <w:u w:val="single"/>
          <w:lang w:val="fr-FR"/>
        </w:rPr>
        <w:t>é des PFV à leurs accords</w:t>
      </w:r>
      <w:r w:rsidRPr="002A78DD">
        <w:rPr>
          <w:u w:val="single"/>
          <w:lang w:val="fr-FR"/>
        </w:rPr>
        <w:t xml:space="preserve"> de PGEH</w:t>
      </w:r>
    </w:p>
    <w:p w14:paraId="7018F10B" w14:textId="77777777" w:rsidR="00596832" w:rsidRPr="002A78DD" w:rsidRDefault="00596832" w:rsidP="001914A9">
      <w:pPr>
        <w:keepNext/>
        <w:keepLines/>
        <w:rPr>
          <w:u w:val="single"/>
          <w:lang w:val="fr-FR"/>
        </w:rPr>
      </w:pPr>
    </w:p>
    <w:p w14:paraId="38081851" w14:textId="57E19C90" w:rsidR="00413B50" w:rsidRPr="002A78DD" w:rsidRDefault="00596832" w:rsidP="001914A9">
      <w:pPr>
        <w:keepNext/>
        <w:keepLines/>
        <w:rPr>
          <w:lang w:val="fr-FR"/>
        </w:rPr>
      </w:pPr>
      <w:r w:rsidRPr="002A78DD">
        <w:rPr>
          <w:lang w:val="fr-FR"/>
        </w:rPr>
        <w:t>35.</w:t>
      </w:r>
      <w:r w:rsidRPr="002A78DD">
        <w:rPr>
          <w:lang w:val="fr-FR"/>
        </w:rPr>
        <w:tab/>
        <w:t>Conformément à la décision 61/46(d)</w:t>
      </w:r>
      <w:r w:rsidRPr="002A78DD">
        <w:rPr>
          <w:rStyle w:val="FootnoteReference"/>
          <w:lang w:val="fr-FR"/>
        </w:rPr>
        <w:footnoteReference w:id="14"/>
      </w:r>
      <w:r w:rsidRPr="002A78DD">
        <w:rPr>
          <w:lang w:val="fr-FR"/>
        </w:rPr>
        <w:t xml:space="preserve">, le Secrétariat a sélectionné un échantillon de 16 pays visés à l’article 5 </w:t>
      </w:r>
      <w:r w:rsidR="00596EF2" w:rsidRPr="002A78DD">
        <w:rPr>
          <w:lang w:val="fr-FR"/>
        </w:rPr>
        <w:t>pour</w:t>
      </w:r>
      <w:r w:rsidRPr="002A78DD">
        <w:rPr>
          <w:lang w:val="fr-FR"/>
        </w:rPr>
        <w:t xml:space="preserve"> vérifier l</w:t>
      </w:r>
      <w:r w:rsidR="00103EDE">
        <w:rPr>
          <w:lang w:val="fr-FR"/>
        </w:rPr>
        <w:t>eur conformité à l’</w:t>
      </w:r>
      <w:r w:rsidRPr="002A78DD">
        <w:rPr>
          <w:lang w:val="fr-FR"/>
        </w:rPr>
        <w:t xml:space="preserve">accord de PGEH, tel qu’indiqué au </w:t>
      </w:r>
      <w:r w:rsidR="00325BE5">
        <w:rPr>
          <w:lang w:val="fr-FR"/>
        </w:rPr>
        <w:t>Tableau 2</w:t>
      </w:r>
      <w:r w:rsidRPr="002A78DD">
        <w:rPr>
          <w:lang w:val="fr-FR"/>
        </w:rPr>
        <w:t>.</w:t>
      </w:r>
      <w:r w:rsidR="00103EDE">
        <w:rPr>
          <w:lang w:val="fr-FR"/>
        </w:rPr>
        <w:t xml:space="preserve"> </w:t>
      </w:r>
      <w:r w:rsidR="0047303E">
        <w:rPr>
          <w:lang w:val="fr-FR"/>
        </w:rPr>
        <w:t xml:space="preserve"> </w:t>
      </w:r>
      <w:r w:rsidR="00103EDE">
        <w:rPr>
          <w:lang w:val="fr-FR"/>
        </w:rPr>
        <w:t xml:space="preserve">Les principaux critères </w:t>
      </w:r>
      <w:r w:rsidR="005E79E2">
        <w:rPr>
          <w:lang w:val="fr-FR"/>
        </w:rPr>
        <w:t>de</w:t>
      </w:r>
      <w:r w:rsidR="00103EDE">
        <w:rPr>
          <w:lang w:val="fr-FR"/>
        </w:rPr>
        <w:t xml:space="preserve"> sélection des pays en vue de la vérification étaient la proximité de la prochaine tranche de leur PGEH (2021) et, dans la mesure du possible, le fait de ne pas avoir été sélectionné précédemment pour cette vérification.  Puisque seulement un pays visé à l’article 5 et classé dans la catégorie des PFV n’avait pas </w:t>
      </w:r>
      <w:r w:rsidR="00AD6677">
        <w:rPr>
          <w:lang w:val="fr-FR"/>
        </w:rPr>
        <w:t xml:space="preserve">déjà </w:t>
      </w:r>
      <w:r w:rsidR="00103EDE">
        <w:rPr>
          <w:lang w:val="fr-FR"/>
        </w:rPr>
        <w:t xml:space="preserve">été sélectionné pour cette vérification (Timor-Leste), le Secrétariat a utilisé </w:t>
      </w:r>
      <w:r w:rsidR="0047303E">
        <w:rPr>
          <w:lang w:val="fr-FR"/>
        </w:rPr>
        <w:t>un critère de sélection supplémentaire</w:t>
      </w:r>
      <w:r w:rsidR="00103EDE">
        <w:rPr>
          <w:lang w:val="fr-FR"/>
        </w:rPr>
        <w:t xml:space="preserve"> : </w:t>
      </w:r>
      <w:r w:rsidR="0047303E">
        <w:rPr>
          <w:lang w:val="fr-FR"/>
        </w:rPr>
        <w:t>que la</w:t>
      </w:r>
      <w:r w:rsidR="00F50138">
        <w:rPr>
          <w:lang w:val="fr-FR"/>
        </w:rPr>
        <w:t xml:space="preserve"> vérification précédente ait été ap</w:t>
      </w:r>
      <w:r w:rsidR="00103EDE">
        <w:rPr>
          <w:lang w:val="fr-FR"/>
        </w:rPr>
        <w:t>p</w:t>
      </w:r>
      <w:r w:rsidR="00F50138">
        <w:rPr>
          <w:lang w:val="fr-FR"/>
        </w:rPr>
        <w:t xml:space="preserve">rouvée et achevée plus de trois ans auparavant, en plus des critères de répartition géographique, du niveau de consommation et de </w:t>
      </w:r>
      <w:r w:rsidR="005E79E2">
        <w:rPr>
          <w:lang w:val="fr-FR"/>
        </w:rPr>
        <w:t>distribu</w:t>
      </w:r>
      <w:r w:rsidR="00F50138">
        <w:rPr>
          <w:lang w:val="fr-FR"/>
        </w:rPr>
        <w:t xml:space="preserve">tion entre les agences bilatérales et d’exécution.  Les pays sélectionnés (six en Afrique, trois en Europe et cinq en Amérique latine et aux Caraïbes) figurent dans le Tableau 2. </w:t>
      </w:r>
      <w:r w:rsidR="00103EDE">
        <w:rPr>
          <w:lang w:val="fr-FR"/>
        </w:rPr>
        <w:t xml:space="preserve">  </w:t>
      </w:r>
    </w:p>
    <w:p w14:paraId="04C0F1F0" w14:textId="77777777" w:rsidR="00413B50" w:rsidRPr="002A78DD" w:rsidRDefault="00413B50" w:rsidP="00596832">
      <w:pPr>
        <w:rPr>
          <w:lang w:val="fr-FR"/>
        </w:rPr>
      </w:pPr>
    </w:p>
    <w:p w14:paraId="790E2A9F" w14:textId="3A552068" w:rsidR="00413B50" w:rsidRPr="00401CBA" w:rsidRDefault="00413B50" w:rsidP="00413B50">
      <w:pPr>
        <w:keepNext/>
        <w:contextualSpacing/>
        <w:rPr>
          <w:b/>
          <w:sz w:val="21"/>
          <w:szCs w:val="21"/>
          <w:lang w:val="fr-FR"/>
        </w:rPr>
      </w:pPr>
      <w:r w:rsidRPr="00401CBA">
        <w:rPr>
          <w:b/>
          <w:sz w:val="21"/>
          <w:szCs w:val="21"/>
          <w:lang w:val="fr-FR"/>
        </w:rPr>
        <w:t xml:space="preserve">Tableau 2. Échantillon de pays visés à l’article 5 </w:t>
      </w:r>
      <w:r w:rsidR="00596EF2" w:rsidRPr="00401CBA">
        <w:rPr>
          <w:b/>
          <w:sz w:val="21"/>
          <w:szCs w:val="21"/>
          <w:lang w:val="fr-FR"/>
        </w:rPr>
        <w:t>pour</w:t>
      </w:r>
      <w:r w:rsidRPr="00401CBA">
        <w:rPr>
          <w:b/>
          <w:sz w:val="21"/>
          <w:szCs w:val="21"/>
          <w:lang w:val="fr-FR"/>
        </w:rPr>
        <w:t xml:space="preserve"> </w:t>
      </w:r>
      <w:r w:rsidR="00596EF2" w:rsidRPr="00401CBA">
        <w:rPr>
          <w:b/>
          <w:sz w:val="21"/>
          <w:szCs w:val="21"/>
          <w:lang w:val="fr-FR"/>
        </w:rPr>
        <w:t>vé</w:t>
      </w:r>
      <w:r w:rsidRPr="00401CBA">
        <w:rPr>
          <w:b/>
          <w:sz w:val="21"/>
          <w:szCs w:val="21"/>
          <w:lang w:val="fr-FR"/>
        </w:rPr>
        <w:t xml:space="preserve">rifier </w:t>
      </w:r>
      <w:r w:rsidR="00596EF2" w:rsidRPr="00401CBA">
        <w:rPr>
          <w:b/>
          <w:sz w:val="21"/>
          <w:szCs w:val="21"/>
          <w:lang w:val="fr-FR"/>
        </w:rPr>
        <w:t xml:space="preserve">la conformité à leur accord de PGEH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2470"/>
        <w:gridCol w:w="2160"/>
        <w:gridCol w:w="2160"/>
        <w:gridCol w:w="2160"/>
      </w:tblGrid>
      <w:tr w:rsidR="00413B50" w:rsidRPr="008706DE" w14:paraId="46A7FCF9" w14:textId="77777777" w:rsidTr="00413B50">
        <w:trPr>
          <w:tblHeader/>
        </w:trPr>
        <w:tc>
          <w:tcPr>
            <w:tcW w:w="0" w:type="auto"/>
            <w:shd w:val="clear" w:color="auto" w:fill="auto"/>
            <w:noWrap/>
            <w:tcMar>
              <w:left w:w="14" w:type="dxa"/>
              <w:right w:w="14" w:type="dxa"/>
            </w:tcMar>
            <w:hideMark/>
          </w:tcPr>
          <w:p w14:paraId="2F861CEF" w14:textId="77777777" w:rsidR="00413B50" w:rsidRPr="002A78DD" w:rsidRDefault="00413B50" w:rsidP="00413B50">
            <w:pPr>
              <w:keepNext/>
              <w:jc w:val="left"/>
              <w:rPr>
                <w:b/>
                <w:sz w:val="20"/>
                <w:szCs w:val="20"/>
                <w:lang w:val="fr-FR"/>
              </w:rPr>
            </w:pPr>
            <w:r w:rsidRPr="002A78DD">
              <w:rPr>
                <w:b/>
                <w:sz w:val="20"/>
                <w:szCs w:val="20"/>
                <w:lang w:val="fr-FR"/>
              </w:rPr>
              <w:t>No.</w:t>
            </w:r>
          </w:p>
        </w:tc>
        <w:tc>
          <w:tcPr>
            <w:tcW w:w="2470" w:type="dxa"/>
            <w:shd w:val="clear" w:color="auto" w:fill="auto"/>
            <w:noWrap/>
            <w:hideMark/>
          </w:tcPr>
          <w:p w14:paraId="4710CA60" w14:textId="48A95AB0" w:rsidR="00413B50" w:rsidRPr="002A78DD" w:rsidRDefault="00596EF2" w:rsidP="00413B50">
            <w:pPr>
              <w:keepNext/>
              <w:jc w:val="left"/>
              <w:rPr>
                <w:b/>
                <w:sz w:val="20"/>
                <w:szCs w:val="20"/>
                <w:lang w:val="fr-FR"/>
              </w:rPr>
            </w:pPr>
            <w:r w:rsidRPr="002A78DD">
              <w:rPr>
                <w:b/>
                <w:sz w:val="20"/>
                <w:szCs w:val="20"/>
                <w:lang w:val="fr-FR"/>
              </w:rPr>
              <w:t>Pays</w:t>
            </w:r>
          </w:p>
        </w:tc>
        <w:tc>
          <w:tcPr>
            <w:tcW w:w="2160" w:type="dxa"/>
          </w:tcPr>
          <w:p w14:paraId="6A309EA3" w14:textId="2555F9B6" w:rsidR="00413B50" w:rsidRPr="002A78DD" w:rsidRDefault="00596EF2" w:rsidP="00413B50">
            <w:pPr>
              <w:keepNext/>
              <w:jc w:val="center"/>
              <w:rPr>
                <w:b/>
                <w:sz w:val="20"/>
                <w:szCs w:val="20"/>
                <w:lang w:val="fr-FR"/>
              </w:rPr>
            </w:pPr>
            <w:r w:rsidRPr="002A78DD">
              <w:rPr>
                <w:b/>
                <w:sz w:val="20"/>
                <w:szCs w:val="20"/>
                <w:lang w:val="fr-FR"/>
              </w:rPr>
              <w:t>Valeur de référence pour les HCFC</w:t>
            </w:r>
            <w:r w:rsidR="00413B50" w:rsidRPr="002A78DD">
              <w:rPr>
                <w:b/>
                <w:sz w:val="20"/>
                <w:szCs w:val="20"/>
                <w:lang w:val="fr-FR"/>
              </w:rPr>
              <w:t xml:space="preserve"> (</w:t>
            </w:r>
            <w:proofErr w:type="spellStart"/>
            <w:r w:rsidRPr="002A78DD">
              <w:rPr>
                <w:b/>
                <w:sz w:val="20"/>
                <w:szCs w:val="20"/>
                <w:lang w:val="fr-FR"/>
              </w:rPr>
              <w:t>tm</w:t>
            </w:r>
            <w:proofErr w:type="spellEnd"/>
            <w:r w:rsidR="00413B50" w:rsidRPr="002A78DD">
              <w:rPr>
                <w:b/>
                <w:sz w:val="20"/>
                <w:szCs w:val="20"/>
                <w:lang w:val="fr-FR"/>
              </w:rPr>
              <w:t>)</w:t>
            </w:r>
          </w:p>
        </w:tc>
        <w:tc>
          <w:tcPr>
            <w:tcW w:w="2160" w:type="dxa"/>
            <w:shd w:val="clear" w:color="auto" w:fill="auto"/>
            <w:noWrap/>
            <w:tcMar>
              <w:left w:w="0" w:type="dxa"/>
              <w:right w:w="0" w:type="dxa"/>
            </w:tcMar>
            <w:hideMark/>
          </w:tcPr>
          <w:p w14:paraId="6642C448" w14:textId="2174AA81" w:rsidR="00413B50" w:rsidRPr="002A78DD" w:rsidRDefault="00596EF2" w:rsidP="00413B50">
            <w:pPr>
              <w:keepNext/>
              <w:jc w:val="center"/>
              <w:rPr>
                <w:b/>
                <w:sz w:val="20"/>
                <w:szCs w:val="20"/>
                <w:lang w:val="fr-FR"/>
              </w:rPr>
            </w:pPr>
            <w:r w:rsidRPr="002A78DD">
              <w:rPr>
                <w:b/>
                <w:sz w:val="20"/>
                <w:szCs w:val="20"/>
                <w:lang w:val="fr-FR"/>
              </w:rPr>
              <w:t>Agences principale/de coopération</w:t>
            </w:r>
          </w:p>
        </w:tc>
        <w:tc>
          <w:tcPr>
            <w:tcW w:w="2160" w:type="dxa"/>
          </w:tcPr>
          <w:p w14:paraId="2A70DBAB" w14:textId="0D702A9F" w:rsidR="00413B50" w:rsidRPr="002A78DD" w:rsidRDefault="00596EF2" w:rsidP="00413B50">
            <w:pPr>
              <w:keepNext/>
              <w:jc w:val="center"/>
              <w:rPr>
                <w:b/>
                <w:sz w:val="20"/>
                <w:szCs w:val="20"/>
                <w:lang w:val="fr-FR"/>
              </w:rPr>
            </w:pPr>
            <w:r w:rsidRPr="002A78DD">
              <w:rPr>
                <w:b/>
                <w:sz w:val="20"/>
                <w:szCs w:val="20"/>
                <w:lang w:val="fr-FR"/>
              </w:rPr>
              <w:t>Demande pour la prochaine tranche</w:t>
            </w:r>
          </w:p>
        </w:tc>
      </w:tr>
      <w:tr w:rsidR="00413B50" w:rsidRPr="002A78DD" w14:paraId="5C59AFB4" w14:textId="77777777" w:rsidTr="00413B50">
        <w:tc>
          <w:tcPr>
            <w:tcW w:w="0" w:type="auto"/>
            <w:shd w:val="clear" w:color="auto" w:fill="auto"/>
            <w:noWrap/>
            <w:tcMar>
              <w:left w:w="14" w:type="dxa"/>
              <w:right w:w="144" w:type="dxa"/>
            </w:tcMar>
            <w:vAlign w:val="bottom"/>
          </w:tcPr>
          <w:p w14:paraId="35A0ABBB" w14:textId="77777777" w:rsidR="00413B50" w:rsidRPr="002A78DD" w:rsidRDefault="00413B50" w:rsidP="00413B50">
            <w:pPr>
              <w:jc w:val="right"/>
              <w:rPr>
                <w:sz w:val="20"/>
                <w:szCs w:val="20"/>
                <w:lang w:val="fr-FR"/>
              </w:rPr>
            </w:pPr>
            <w:r w:rsidRPr="002A78DD">
              <w:rPr>
                <w:sz w:val="20"/>
                <w:szCs w:val="20"/>
                <w:lang w:val="fr-FR"/>
              </w:rPr>
              <w:t>1</w:t>
            </w:r>
          </w:p>
        </w:tc>
        <w:tc>
          <w:tcPr>
            <w:tcW w:w="2470" w:type="dxa"/>
            <w:noWrap/>
            <w:vAlign w:val="center"/>
          </w:tcPr>
          <w:p w14:paraId="6FE90583" w14:textId="1A7F421E" w:rsidR="00413B50"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Barbade</w:t>
            </w:r>
          </w:p>
        </w:tc>
        <w:tc>
          <w:tcPr>
            <w:tcW w:w="2160" w:type="dxa"/>
            <w:tcMar>
              <w:left w:w="115" w:type="dxa"/>
              <w:right w:w="720" w:type="dxa"/>
            </w:tcMar>
          </w:tcPr>
          <w:p w14:paraId="598577F6" w14:textId="7D645B56" w:rsidR="00413B50" w:rsidRPr="002A78DD" w:rsidRDefault="00596EF2" w:rsidP="00413B50">
            <w:pPr>
              <w:pStyle w:val="Heading1"/>
              <w:numPr>
                <w:ilvl w:val="0"/>
                <w:numId w:val="0"/>
              </w:numPr>
              <w:spacing w:before="100" w:beforeAutospacing="1" w:after="100" w:afterAutospacing="1"/>
              <w:contextualSpacing/>
              <w:jc w:val="right"/>
              <w:rPr>
                <w:sz w:val="20"/>
                <w:szCs w:val="20"/>
                <w:lang w:val="fr-FR"/>
              </w:rPr>
            </w:pPr>
            <w:r w:rsidRPr="002A78DD">
              <w:rPr>
                <w:sz w:val="20"/>
                <w:szCs w:val="20"/>
                <w:lang w:val="fr-FR"/>
              </w:rPr>
              <w:t>66,</w:t>
            </w:r>
            <w:r w:rsidR="00413B50" w:rsidRPr="002A78DD">
              <w:rPr>
                <w:sz w:val="20"/>
                <w:szCs w:val="20"/>
                <w:lang w:val="fr-FR"/>
              </w:rPr>
              <w:t>73</w:t>
            </w:r>
          </w:p>
        </w:tc>
        <w:tc>
          <w:tcPr>
            <w:tcW w:w="2160" w:type="dxa"/>
            <w:noWrap/>
            <w:vAlign w:val="center"/>
          </w:tcPr>
          <w:p w14:paraId="7057FE7E" w14:textId="201DD284" w:rsidR="00413B50" w:rsidRPr="002A78DD" w:rsidRDefault="00413B50"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P</w:t>
            </w:r>
            <w:r w:rsidR="00596EF2" w:rsidRPr="002A78DD">
              <w:rPr>
                <w:sz w:val="20"/>
                <w:szCs w:val="20"/>
                <w:lang w:val="fr-FR"/>
              </w:rPr>
              <w:t>NUE/</w:t>
            </w:r>
            <w:r w:rsidRPr="002A78DD">
              <w:rPr>
                <w:sz w:val="20"/>
                <w:szCs w:val="20"/>
                <w:lang w:val="fr-FR"/>
              </w:rPr>
              <w:t>P</w:t>
            </w:r>
            <w:r w:rsidR="00596EF2" w:rsidRPr="002A78DD">
              <w:rPr>
                <w:sz w:val="20"/>
                <w:szCs w:val="20"/>
                <w:lang w:val="fr-FR"/>
              </w:rPr>
              <w:t>NUD</w:t>
            </w:r>
          </w:p>
        </w:tc>
        <w:tc>
          <w:tcPr>
            <w:tcW w:w="2160" w:type="dxa"/>
            <w:vAlign w:val="center"/>
          </w:tcPr>
          <w:p w14:paraId="7ACB17B7" w14:textId="77777777" w:rsidR="00413B50" w:rsidRPr="002A78DD" w:rsidRDefault="00413B50"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r w:rsidR="00413B50" w:rsidRPr="002A78DD" w14:paraId="49CF6A39" w14:textId="77777777" w:rsidTr="00413B50">
        <w:tc>
          <w:tcPr>
            <w:tcW w:w="0" w:type="auto"/>
            <w:shd w:val="clear" w:color="auto" w:fill="auto"/>
            <w:noWrap/>
            <w:tcMar>
              <w:left w:w="14" w:type="dxa"/>
              <w:right w:w="144" w:type="dxa"/>
            </w:tcMar>
            <w:vAlign w:val="bottom"/>
          </w:tcPr>
          <w:p w14:paraId="77B67FB4" w14:textId="77777777" w:rsidR="00413B50" w:rsidRPr="002A78DD" w:rsidRDefault="00413B50" w:rsidP="00413B50">
            <w:pPr>
              <w:jc w:val="right"/>
              <w:rPr>
                <w:sz w:val="20"/>
                <w:szCs w:val="20"/>
                <w:lang w:val="fr-FR"/>
              </w:rPr>
            </w:pPr>
            <w:r w:rsidRPr="002A78DD">
              <w:rPr>
                <w:sz w:val="20"/>
                <w:szCs w:val="20"/>
                <w:lang w:val="fr-FR"/>
              </w:rPr>
              <w:t>2</w:t>
            </w:r>
          </w:p>
        </w:tc>
        <w:tc>
          <w:tcPr>
            <w:tcW w:w="2470" w:type="dxa"/>
            <w:noWrap/>
            <w:vAlign w:val="center"/>
          </w:tcPr>
          <w:p w14:paraId="2F4E0B23" w14:textId="6DDE814A" w:rsidR="00413B50" w:rsidRPr="002A78DD" w:rsidRDefault="00596EF2" w:rsidP="00413B50">
            <w:pPr>
              <w:pStyle w:val="Heading1"/>
              <w:numPr>
                <w:ilvl w:val="0"/>
                <w:numId w:val="0"/>
              </w:numPr>
              <w:spacing w:after="0"/>
              <w:contextualSpacing/>
              <w:jc w:val="left"/>
              <w:rPr>
                <w:sz w:val="20"/>
                <w:szCs w:val="20"/>
                <w:lang w:val="fr-FR"/>
              </w:rPr>
            </w:pPr>
            <w:r w:rsidRPr="002A78DD">
              <w:rPr>
                <w:sz w:val="20"/>
                <w:szCs w:val="20"/>
                <w:lang w:val="fr-FR"/>
              </w:rPr>
              <w:t xml:space="preserve">Bosnie-Herzégovine </w:t>
            </w:r>
          </w:p>
        </w:tc>
        <w:tc>
          <w:tcPr>
            <w:tcW w:w="2160" w:type="dxa"/>
            <w:tcMar>
              <w:left w:w="115" w:type="dxa"/>
              <w:right w:w="720" w:type="dxa"/>
            </w:tcMar>
          </w:tcPr>
          <w:p w14:paraId="600E032C" w14:textId="3AD2F581" w:rsidR="00413B50" w:rsidRPr="002A78DD" w:rsidRDefault="00596EF2" w:rsidP="00413B50">
            <w:pPr>
              <w:pStyle w:val="Heading1"/>
              <w:numPr>
                <w:ilvl w:val="0"/>
                <w:numId w:val="0"/>
              </w:numPr>
              <w:spacing w:after="100" w:afterAutospacing="1"/>
              <w:contextualSpacing/>
              <w:jc w:val="right"/>
              <w:rPr>
                <w:sz w:val="20"/>
                <w:szCs w:val="20"/>
                <w:lang w:val="fr-FR"/>
              </w:rPr>
            </w:pPr>
            <w:r w:rsidRPr="002A78DD">
              <w:rPr>
                <w:sz w:val="20"/>
                <w:szCs w:val="20"/>
                <w:lang w:val="fr-FR"/>
              </w:rPr>
              <w:t>70,</w:t>
            </w:r>
            <w:r w:rsidR="00413B50" w:rsidRPr="002A78DD">
              <w:rPr>
                <w:sz w:val="20"/>
                <w:szCs w:val="20"/>
                <w:lang w:val="fr-FR"/>
              </w:rPr>
              <w:t>65</w:t>
            </w:r>
          </w:p>
        </w:tc>
        <w:tc>
          <w:tcPr>
            <w:tcW w:w="2160" w:type="dxa"/>
            <w:noWrap/>
            <w:vAlign w:val="center"/>
          </w:tcPr>
          <w:p w14:paraId="149C9770" w14:textId="326355D7" w:rsidR="00413B50" w:rsidRPr="002A78DD" w:rsidRDefault="00413B50" w:rsidP="00413B50">
            <w:pPr>
              <w:pStyle w:val="Heading1"/>
              <w:numPr>
                <w:ilvl w:val="0"/>
                <w:numId w:val="0"/>
              </w:numPr>
              <w:spacing w:after="100" w:afterAutospacing="1"/>
              <w:contextualSpacing/>
              <w:jc w:val="left"/>
              <w:rPr>
                <w:sz w:val="20"/>
                <w:szCs w:val="20"/>
                <w:lang w:val="fr-FR"/>
              </w:rPr>
            </w:pPr>
            <w:r w:rsidRPr="002A78DD">
              <w:rPr>
                <w:sz w:val="20"/>
                <w:szCs w:val="20"/>
                <w:lang w:val="fr-FR"/>
              </w:rPr>
              <w:t>O</w:t>
            </w:r>
            <w:r w:rsidR="00596EF2" w:rsidRPr="002A78DD">
              <w:rPr>
                <w:sz w:val="20"/>
                <w:szCs w:val="20"/>
                <w:lang w:val="fr-FR"/>
              </w:rPr>
              <w:t>NUDI</w:t>
            </w:r>
          </w:p>
        </w:tc>
        <w:tc>
          <w:tcPr>
            <w:tcW w:w="2160" w:type="dxa"/>
            <w:vAlign w:val="center"/>
          </w:tcPr>
          <w:p w14:paraId="566A5F1B" w14:textId="77777777" w:rsidR="00413B50" w:rsidRPr="002A78DD" w:rsidRDefault="00413B50" w:rsidP="00413B50">
            <w:pPr>
              <w:pStyle w:val="Heading1"/>
              <w:numPr>
                <w:ilvl w:val="0"/>
                <w:numId w:val="0"/>
              </w:numPr>
              <w:spacing w:after="100" w:afterAutospacing="1"/>
              <w:contextualSpacing/>
              <w:jc w:val="center"/>
              <w:rPr>
                <w:sz w:val="20"/>
                <w:szCs w:val="20"/>
                <w:lang w:val="fr-FR"/>
              </w:rPr>
            </w:pPr>
            <w:r w:rsidRPr="002A78DD">
              <w:rPr>
                <w:sz w:val="20"/>
                <w:szCs w:val="20"/>
                <w:lang w:val="fr-FR"/>
              </w:rPr>
              <w:t>2021</w:t>
            </w:r>
          </w:p>
        </w:tc>
      </w:tr>
      <w:tr w:rsidR="00413B50" w:rsidRPr="002A78DD" w14:paraId="250CE3B4" w14:textId="77777777" w:rsidTr="00413B50">
        <w:tc>
          <w:tcPr>
            <w:tcW w:w="0" w:type="auto"/>
            <w:shd w:val="clear" w:color="auto" w:fill="auto"/>
            <w:noWrap/>
            <w:tcMar>
              <w:left w:w="14" w:type="dxa"/>
              <w:right w:w="144" w:type="dxa"/>
            </w:tcMar>
            <w:vAlign w:val="bottom"/>
          </w:tcPr>
          <w:p w14:paraId="352AD743" w14:textId="77777777" w:rsidR="00413B50" w:rsidRPr="002A78DD" w:rsidRDefault="00413B50" w:rsidP="00413B50">
            <w:pPr>
              <w:jc w:val="right"/>
              <w:rPr>
                <w:sz w:val="20"/>
                <w:szCs w:val="20"/>
                <w:lang w:val="fr-FR"/>
              </w:rPr>
            </w:pPr>
            <w:r w:rsidRPr="002A78DD">
              <w:rPr>
                <w:sz w:val="20"/>
                <w:szCs w:val="20"/>
                <w:lang w:val="fr-FR"/>
              </w:rPr>
              <w:t>3</w:t>
            </w:r>
          </w:p>
        </w:tc>
        <w:tc>
          <w:tcPr>
            <w:tcW w:w="2470" w:type="dxa"/>
            <w:noWrap/>
            <w:vAlign w:val="center"/>
          </w:tcPr>
          <w:p w14:paraId="4790F4EA" w14:textId="77777777" w:rsidR="00413B50" w:rsidRPr="002A78DD" w:rsidRDefault="00413B50"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Burundi</w:t>
            </w:r>
          </w:p>
        </w:tc>
        <w:tc>
          <w:tcPr>
            <w:tcW w:w="2160" w:type="dxa"/>
            <w:tcMar>
              <w:left w:w="115" w:type="dxa"/>
              <w:right w:w="720" w:type="dxa"/>
            </w:tcMar>
          </w:tcPr>
          <w:p w14:paraId="1F108B1A" w14:textId="759784EA" w:rsidR="00413B50" w:rsidRPr="002A78DD" w:rsidRDefault="00596EF2" w:rsidP="00413B50">
            <w:pPr>
              <w:pStyle w:val="Heading1"/>
              <w:numPr>
                <w:ilvl w:val="0"/>
                <w:numId w:val="0"/>
              </w:numPr>
              <w:spacing w:before="100" w:beforeAutospacing="1" w:after="100" w:afterAutospacing="1"/>
              <w:contextualSpacing/>
              <w:jc w:val="right"/>
              <w:rPr>
                <w:sz w:val="20"/>
                <w:szCs w:val="20"/>
                <w:lang w:val="fr-FR"/>
              </w:rPr>
            </w:pPr>
            <w:r w:rsidRPr="002A78DD">
              <w:rPr>
                <w:sz w:val="20"/>
                <w:szCs w:val="20"/>
                <w:lang w:val="fr-FR"/>
              </w:rPr>
              <w:t>129,</w:t>
            </w:r>
            <w:r w:rsidR="00413B50" w:rsidRPr="002A78DD">
              <w:rPr>
                <w:sz w:val="20"/>
                <w:szCs w:val="20"/>
                <w:lang w:val="fr-FR"/>
              </w:rPr>
              <w:t>20</w:t>
            </w:r>
          </w:p>
        </w:tc>
        <w:tc>
          <w:tcPr>
            <w:tcW w:w="2160" w:type="dxa"/>
            <w:noWrap/>
            <w:vAlign w:val="center"/>
          </w:tcPr>
          <w:p w14:paraId="58B532F8" w14:textId="6CCEF498" w:rsidR="00413B50" w:rsidRPr="002A78DD" w:rsidRDefault="00413B50"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P</w:t>
            </w:r>
            <w:r w:rsidR="00596EF2" w:rsidRPr="002A78DD">
              <w:rPr>
                <w:sz w:val="20"/>
                <w:szCs w:val="20"/>
                <w:lang w:val="fr-FR"/>
              </w:rPr>
              <w:t>NUE</w:t>
            </w:r>
          </w:p>
        </w:tc>
        <w:tc>
          <w:tcPr>
            <w:tcW w:w="2160" w:type="dxa"/>
            <w:vAlign w:val="center"/>
          </w:tcPr>
          <w:p w14:paraId="3A713BB8" w14:textId="77777777" w:rsidR="00413B50" w:rsidRPr="002A78DD" w:rsidRDefault="00413B50"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r w:rsidR="00413B50" w:rsidRPr="002A78DD" w14:paraId="4429FCDD" w14:textId="77777777" w:rsidTr="00413B50">
        <w:tc>
          <w:tcPr>
            <w:tcW w:w="0" w:type="auto"/>
            <w:shd w:val="clear" w:color="auto" w:fill="auto"/>
            <w:noWrap/>
            <w:tcMar>
              <w:left w:w="14" w:type="dxa"/>
              <w:right w:w="144" w:type="dxa"/>
            </w:tcMar>
            <w:vAlign w:val="bottom"/>
          </w:tcPr>
          <w:p w14:paraId="7A882C68" w14:textId="77777777" w:rsidR="00413B50" w:rsidRPr="002A78DD" w:rsidRDefault="00413B50" w:rsidP="00413B50">
            <w:pPr>
              <w:jc w:val="right"/>
              <w:rPr>
                <w:sz w:val="20"/>
                <w:szCs w:val="20"/>
                <w:lang w:val="fr-FR"/>
              </w:rPr>
            </w:pPr>
            <w:r w:rsidRPr="002A78DD">
              <w:rPr>
                <w:sz w:val="20"/>
                <w:szCs w:val="20"/>
                <w:lang w:val="fr-FR"/>
              </w:rPr>
              <w:t>4</w:t>
            </w:r>
          </w:p>
        </w:tc>
        <w:tc>
          <w:tcPr>
            <w:tcW w:w="2470" w:type="dxa"/>
            <w:noWrap/>
            <w:vAlign w:val="center"/>
          </w:tcPr>
          <w:p w14:paraId="551C7E93" w14:textId="4D254483" w:rsidR="00413B50" w:rsidRPr="002A78DD" w:rsidRDefault="00413B50"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Domini</w:t>
            </w:r>
            <w:r w:rsidR="00596EF2" w:rsidRPr="002A78DD">
              <w:rPr>
                <w:sz w:val="20"/>
                <w:szCs w:val="20"/>
                <w:lang w:val="fr-FR"/>
              </w:rPr>
              <w:t>que</w:t>
            </w:r>
            <w:r w:rsidRPr="002A78DD">
              <w:rPr>
                <w:sz w:val="20"/>
                <w:szCs w:val="20"/>
                <w:lang w:val="fr-FR"/>
              </w:rPr>
              <w:t xml:space="preserve"> </w:t>
            </w:r>
          </w:p>
        </w:tc>
        <w:tc>
          <w:tcPr>
            <w:tcW w:w="2160" w:type="dxa"/>
            <w:tcMar>
              <w:left w:w="115" w:type="dxa"/>
              <w:right w:w="720" w:type="dxa"/>
            </w:tcMar>
          </w:tcPr>
          <w:p w14:paraId="4130C3B7" w14:textId="48A72F5E" w:rsidR="00413B50" w:rsidRPr="002A78DD" w:rsidRDefault="00596EF2" w:rsidP="00413B50">
            <w:pPr>
              <w:pStyle w:val="Heading1"/>
              <w:numPr>
                <w:ilvl w:val="0"/>
                <w:numId w:val="0"/>
              </w:numPr>
              <w:spacing w:before="100" w:beforeAutospacing="1" w:after="100" w:afterAutospacing="1"/>
              <w:contextualSpacing/>
              <w:jc w:val="right"/>
              <w:rPr>
                <w:sz w:val="20"/>
                <w:szCs w:val="20"/>
                <w:lang w:val="fr-FR"/>
              </w:rPr>
            </w:pPr>
            <w:r w:rsidRPr="002A78DD">
              <w:rPr>
                <w:sz w:val="20"/>
                <w:szCs w:val="20"/>
                <w:lang w:val="fr-FR"/>
              </w:rPr>
              <w:t>7,</w:t>
            </w:r>
            <w:r w:rsidR="00413B50" w:rsidRPr="002A78DD">
              <w:rPr>
                <w:sz w:val="20"/>
                <w:szCs w:val="20"/>
                <w:lang w:val="fr-FR"/>
              </w:rPr>
              <w:t>24</w:t>
            </w:r>
          </w:p>
        </w:tc>
        <w:tc>
          <w:tcPr>
            <w:tcW w:w="2160" w:type="dxa"/>
            <w:noWrap/>
            <w:vAlign w:val="center"/>
          </w:tcPr>
          <w:p w14:paraId="06D1160E" w14:textId="5A8A498D" w:rsidR="00413B50" w:rsidRPr="002A78DD" w:rsidRDefault="00413B50"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P</w:t>
            </w:r>
            <w:r w:rsidR="00596EF2" w:rsidRPr="002A78DD">
              <w:rPr>
                <w:sz w:val="20"/>
                <w:szCs w:val="20"/>
                <w:lang w:val="fr-FR"/>
              </w:rPr>
              <w:t>NUE</w:t>
            </w:r>
          </w:p>
        </w:tc>
        <w:tc>
          <w:tcPr>
            <w:tcW w:w="2160" w:type="dxa"/>
            <w:vAlign w:val="center"/>
          </w:tcPr>
          <w:p w14:paraId="1E47D102" w14:textId="77777777" w:rsidR="00413B50" w:rsidRPr="002A78DD" w:rsidRDefault="00413B50"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r w:rsidR="00413B50" w:rsidRPr="002A78DD" w14:paraId="0C9A529C" w14:textId="77777777" w:rsidTr="00413B50">
        <w:tc>
          <w:tcPr>
            <w:tcW w:w="0" w:type="auto"/>
            <w:shd w:val="clear" w:color="auto" w:fill="auto"/>
            <w:noWrap/>
            <w:tcMar>
              <w:left w:w="14" w:type="dxa"/>
              <w:right w:w="144" w:type="dxa"/>
            </w:tcMar>
            <w:vAlign w:val="bottom"/>
          </w:tcPr>
          <w:p w14:paraId="19D67A89" w14:textId="77777777" w:rsidR="00413B50" w:rsidRPr="002A78DD" w:rsidRDefault="00413B50" w:rsidP="00413B50">
            <w:pPr>
              <w:jc w:val="right"/>
              <w:rPr>
                <w:sz w:val="20"/>
                <w:szCs w:val="20"/>
                <w:lang w:val="fr-FR"/>
              </w:rPr>
            </w:pPr>
            <w:r w:rsidRPr="002A78DD">
              <w:rPr>
                <w:sz w:val="20"/>
                <w:szCs w:val="20"/>
                <w:lang w:val="fr-FR"/>
              </w:rPr>
              <w:t>5</w:t>
            </w:r>
          </w:p>
        </w:tc>
        <w:tc>
          <w:tcPr>
            <w:tcW w:w="2470" w:type="dxa"/>
            <w:noWrap/>
            <w:vAlign w:val="center"/>
          </w:tcPr>
          <w:p w14:paraId="5427A1DA" w14:textId="2835B4C8" w:rsidR="00413B50"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Guinée équatoriale</w:t>
            </w:r>
          </w:p>
        </w:tc>
        <w:tc>
          <w:tcPr>
            <w:tcW w:w="2160" w:type="dxa"/>
            <w:tcMar>
              <w:left w:w="115" w:type="dxa"/>
              <w:right w:w="720" w:type="dxa"/>
            </w:tcMar>
          </w:tcPr>
          <w:p w14:paraId="0F78F7FF" w14:textId="0049749C" w:rsidR="00413B50" w:rsidRPr="002A78DD" w:rsidRDefault="00596EF2" w:rsidP="00413B50">
            <w:pPr>
              <w:pStyle w:val="Heading1"/>
              <w:numPr>
                <w:ilvl w:val="0"/>
                <w:numId w:val="0"/>
              </w:numPr>
              <w:spacing w:before="100" w:beforeAutospacing="1" w:after="100" w:afterAutospacing="1"/>
              <w:contextualSpacing/>
              <w:jc w:val="right"/>
              <w:rPr>
                <w:sz w:val="20"/>
                <w:szCs w:val="20"/>
                <w:lang w:val="fr-FR"/>
              </w:rPr>
            </w:pPr>
            <w:r w:rsidRPr="002A78DD">
              <w:rPr>
                <w:sz w:val="20"/>
                <w:szCs w:val="20"/>
                <w:lang w:val="fr-FR"/>
              </w:rPr>
              <w:t>114,</w:t>
            </w:r>
            <w:r w:rsidR="00413B50" w:rsidRPr="002A78DD">
              <w:rPr>
                <w:sz w:val="20"/>
                <w:szCs w:val="20"/>
                <w:lang w:val="fr-FR"/>
              </w:rPr>
              <w:t>36</w:t>
            </w:r>
          </w:p>
        </w:tc>
        <w:tc>
          <w:tcPr>
            <w:tcW w:w="2160" w:type="dxa"/>
            <w:noWrap/>
            <w:vAlign w:val="center"/>
          </w:tcPr>
          <w:p w14:paraId="2ECEB646" w14:textId="7F07790B" w:rsidR="00413B50" w:rsidRPr="002A78DD" w:rsidRDefault="00413B50"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P</w:t>
            </w:r>
            <w:r w:rsidR="00596EF2" w:rsidRPr="002A78DD">
              <w:rPr>
                <w:sz w:val="20"/>
                <w:szCs w:val="20"/>
                <w:lang w:val="fr-FR"/>
              </w:rPr>
              <w:t>NUE/</w:t>
            </w:r>
            <w:r w:rsidRPr="002A78DD">
              <w:rPr>
                <w:sz w:val="20"/>
                <w:szCs w:val="20"/>
                <w:lang w:val="fr-FR"/>
              </w:rPr>
              <w:t>O</w:t>
            </w:r>
            <w:r w:rsidR="00596EF2" w:rsidRPr="002A78DD">
              <w:rPr>
                <w:sz w:val="20"/>
                <w:szCs w:val="20"/>
                <w:lang w:val="fr-FR"/>
              </w:rPr>
              <w:t>NUDI</w:t>
            </w:r>
          </w:p>
        </w:tc>
        <w:tc>
          <w:tcPr>
            <w:tcW w:w="2160" w:type="dxa"/>
            <w:vAlign w:val="center"/>
          </w:tcPr>
          <w:p w14:paraId="4B335D97" w14:textId="77777777" w:rsidR="00413B50" w:rsidRPr="002A78DD" w:rsidRDefault="00413B50"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r w:rsidR="00596EF2" w:rsidRPr="002A78DD" w14:paraId="6E7FA35D" w14:textId="77777777" w:rsidTr="00413B50">
        <w:tc>
          <w:tcPr>
            <w:tcW w:w="0" w:type="auto"/>
            <w:shd w:val="clear" w:color="auto" w:fill="auto"/>
            <w:noWrap/>
            <w:tcMar>
              <w:left w:w="14" w:type="dxa"/>
              <w:right w:w="144" w:type="dxa"/>
            </w:tcMar>
            <w:vAlign w:val="bottom"/>
          </w:tcPr>
          <w:p w14:paraId="175FDB9A" w14:textId="77777777" w:rsidR="00596EF2" w:rsidRPr="002A78DD" w:rsidRDefault="00596EF2" w:rsidP="00413B50">
            <w:pPr>
              <w:jc w:val="right"/>
              <w:rPr>
                <w:sz w:val="20"/>
                <w:szCs w:val="20"/>
                <w:lang w:val="fr-FR"/>
              </w:rPr>
            </w:pPr>
            <w:r w:rsidRPr="002A78DD">
              <w:rPr>
                <w:sz w:val="20"/>
                <w:szCs w:val="20"/>
                <w:lang w:val="fr-FR"/>
              </w:rPr>
              <w:t>6</w:t>
            </w:r>
          </w:p>
        </w:tc>
        <w:tc>
          <w:tcPr>
            <w:tcW w:w="2470" w:type="dxa"/>
            <w:noWrap/>
            <w:vAlign w:val="center"/>
          </w:tcPr>
          <w:p w14:paraId="53786DDF" w14:textId="77777777"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Eswatini</w:t>
            </w:r>
          </w:p>
        </w:tc>
        <w:tc>
          <w:tcPr>
            <w:tcW w:w="2160" w:type="dxa"/>
            <w:tcMar>
              <w:left w:w="115" w:type="dxa"/>
              <w:right w:w="720" w:type="dxa"/>
            </w:tcMar>
          </w:tcPr>
          <w:p w14:paraId="4E1BF66D" w14:textId="5022D63F" w:rsidR="00596EF2" w:rsidRPr="002A78DD" w:rsidRDefault="00596EF2" w:rsidP="00413B50">
            <w:pPr>
              <w:pStyle w:val="Heading1"/>
              <w:numPr>
                <w:ilvl w:val="0"/>
                <w:numId w:val="0"/>
              </w:numPr>
              <w:spacing w:before="100" w:beforeAutospacing="1" w:after="100" w:afterAutospacing="1"/>
              <w:contextualSpacing/>
              <w:jc w:val="right"/>
              <w:rPr>
                <w:sz w:val="20"/>
                <w:szCs w:val="20"/>
                <w:lang w:val="fr-FR"/>
              </w:rPr>
            </w:pPr>
            <w:r w:rsidRPr="002A78DD">
              <w:rPr>
                <w:sz w:val="20"/>
                <w:szCs w:val="20"/>
                <w:lang w:val="fr-FR"/>
              </w:rPr>
              <w:t>81,74</w:t>
            </w:r>
          </w:p>
        </w:tc>
        <w:tc>
          <w:tcPr>
            <w:tcW w:w="2160" w:type="dxa"/>
            <w:noWrap/>
            <w:vAlign w:val="center"/>
          </w:tcPr>
          <w:p w14:paraId="21C99B73" w14:textId="72F59B40"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PNUE/PNUD</w:t>
            </w:r>
          </w:p>
        </w:tc>
        <w:tc>
          <w:tcPr>
            <w:tcW w:w="2160" w:type="dxa"/>
            <w:vAlign w:val="center"/>
          </w:tcPr>
          <w:p w14:paraId="4E5D5B2D" w14:textId="77777777" w:rsidR="00596EF2" w:rsidRPr="002A78DD" w:rsidRDefault="00596EF2"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r w:rsidR="00596EF2" w:rsidRPr="002A78DD" w14:paraId="4B8FEB6D" w14:textId="77777777" w:rsidTr="00413B50">
        <w:tc>
          <w:tcPr>
            <w:tcW w:w="0" w:type="auto"/>
            <w:shd w:val="clear" w:color="auto" w:fill="auto"/>
            <w:noWrap/>
            <w:tcMar>
              <w:left w:w="14" w:type="dxa"/>
              <w:right w:w="144" w:type="dxa"/>
            </w:tcMar>
            <w:vAlign w:val="bottom"/>
          </w:tcPr>
          <w:p w14:paraId="31AB14B5" w14:textId="77777777" w:rsidR="00596EF2" w:rsidRPr="002A78DD" w:rsidRDefault="00596EF2" w:rsidP="00413B50">
            <w:pPr>
              <w:jc w:val="right"/>
              <w:rPr>
                <w:sz w:val="20"/>
                <w:szCs w:val="20"/>
                <w:lang w:val="fr-FR"/>
              </w:rPr>
            </w:pPr>
            <w:r w:rsidRPr="002A78DD">
              <w:rPr>
                <w:sz w:val="20"/>
                <w:szCs w:val="20"/>
                <w:lang w:val="fr-FR"/>
              </w:rPr>
              <w:t>7</w:t>
            </w:r>
          </w:p>
        </w:tc>
        <w:tc>
          <w:tcPr>
            <w:tcW w:w="2470" w:type="dxa"/>
            <w:noWrap/>
            <w:vAlign w:val="center"/>
          </w:tcPr>
          <w:p w14:paraId="0B462937" w14:textId="58643DC2"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Guyane</w:t>
            </w:r>
          </w:p>
        </w:tc>
        <w:tc>
          <w:tcPr>
            <w:tcW w:w="2160" w:type="dxa"/>
            <w:tcMar>
              <w:left w:w="115" w:type="dxa"/>
              <w:right w:w="720" w:type="dxa"/>
            </w:tcMar>
          </w:tcPr>
          <w:p w14:paraId="1DA7E512" w14:textId="1208118B" w:rsidR="00596EF2" w:rsidRPr="002A78DD" w:rsidRDefault="00596EF2" w:rsidP="00413B50">
            <w:pPr>
              <w:pStyle w:val="Heading1"/>
              <w:numPr>
                <w:ilvl w:val="0"/>
                <w:numId w:val="0"/>
              </w:numPr>
              <w:spacing w:before="100" w:beforeAutospacing="1" w:after="100" w:afterAutospacing="1"/>
              <w:contextualSpacing/>
              <w:jc w:val="right"/>
              <w:rPr>
                <w:sz w:val="20"/>
                <w:szCs w:val="20"/>
                <w:lang w:val="fr-FR"/>
              </w:rPr>
            </w:pPr>
            <w:r w:rsidRPr="002A78DD">
              <w:rPr>
                <w:sz w:val="20"/>
                <w:szCs w:val="20"/>
                <w:lang w:val="fr-FR"/>
              </w:rPr>
              <w:t>31,02</w:t>
            </w:r>
          </w:p>
        </w:tc>
        <w:tc>
          <w:tcPr>
            <w:tcW w:w="2160" w:type="dxa"/>
            <w:noWrap/>
            <w:vAlign w:val="center"/>
          </w:tcPr>
          <w:p w14:paraId="4D0B9EF5" w14:textId="74568D38"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PNUE/PNUD</w:t>
            </w:r>
          </w:p>
        </w:tc>
        <w:tc>
          <w:tcPr>
            <w:tcW w:w="2160" w:type="dxa"/>
            <w:vAlign w:val="center"/>
          </w:tcPr>
          <w:p w14:paraId="51DDF86A" w14:textId="77777777" w:rsidR="00596EF2" w:rsidRPr="002A78DD" w:rsidRDefault="00596EF2"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r w:rsidR="00413B50" w:rsidRPr="002A78DD" w14:paraId="3FE794B6" w14:textId="77777777" w:rsidTr="00413B50">
        <w:tc>
          <w:tcPr>
            <w:tcW w:w="0" w:type="auto"/>
            <w:shd w:val="clear" w:color="auto" w:fill="auto"/>
            <w:noWrap/>
            <w:tcMar>
              <w:left w:w="14" w:type="dxa"/>
              <w:right w:w="144" w:type="dxa"/>
            </w:tcMar>
            <w:vAlign w:val="bottom"/>
          </w:tcPr>
          <w:p w14:paraId="6B47842B" w14:textId="77777777" w:rsidR="00413B50" w:rsidRPr="002A78DD" w:rsidRDefault="00413B50" w:rsidP="00413B50">
            <w:pPr>
              <w:jc w:val="right"/>
              <w:rPr>
                <w:sz w:val="20"/>
                <w:szCs w:val="20"/>
                <w:lang w:val="fr-FR"/>
              </w:rPr>
            </w:pPr>
            <w:r w:rsidRPr="002A78DD">
              <w:rPr>
                <w:sz w:val="20"/>
                <w:szCs w:val="20"/>
                <w:lang w:val="fr-FR"/>
              </w:rPr>
              <w:t>8</w:t>
            </w:r>
          </w:p>
        </w:tc>
        <w:tc>
          <w:tcPr>
            <w:tcW w:w="2470" w:type="dxa"/>
            <w:noWrap/>
            <w:vAlign w:val="center"/>
          </w:tcPr>
          <w:p w14:paraId="31A66214" w14:textId="5906A6E2" w:rsidR="00413B50"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Haïti</w:t>
            </w:r>
          </w:p>
        </w:tc>
        <w:tc>
          <w:tcPr>
            <w:tcW w:w="2160" w:type="dxa"/>
            <w:tcMar>
              <w:left w:w="115" w:type="dxa"/>
              <w:right w:w="720" w:type="dxa"/>
            </w:tcMar>
          </w:tcPr>
          <w:p w14:paraId="570D67DD" w14:textId="3C5AE57C" w:rsidR="00413B50" w:rsidRPr="002A78DD" w:rsidRDefault="00596EF2" w:rsidP="00413B50">
            <w:pPr>
              <w:pStyle w:val="Heading1"/>
              <w:numPr>
                <w:ilvl w:val="0"/>
                <w:numId w:val="0"/>
              </w:numPr>
              <w:spacing w:before="100" w:beforeAutospacing="1" w:after="100" w:afterAutospacing="1"/>
              <w:contextualSpacing/>
              <w:jc w:val="right"/>
              <w:rPr>
                <w:sz w:val="20"/>
                <w:szCs w:val="20"/>
                <w:lang w:val="fr-FR"/>
              </w:rPr>
            </w:pPr>
            <w:r w:rsidRPr="002A78DD">
              <w:rPr>
                <w:sz w:val="20"/>
                <w:szCs w:val="20"/>
                <w:lang w:val="fr-FR"/>
              </w:rPr>
              <w:t>66,</w:t>
            </w:r>
            <w:r w:rsidR="00413B50" w:rsidRPr="002A78DD">
              <w:rPr>
                <w:sz w:val="20"/>
                <w:szCs w:val="20"/>
                <w:lang w:val="fr-FR"/>
              </w:rPr>
              <w:t>00</w:t>
            </w:r>
          </w:p>
        </w:tc>
        <w:tc>
          <w:tcPr>
            <w:tcW w:w="2160" w:type="dxa"/>
            <w:noWrap/>
            <w:vAlign w:val="center"/>
          </w:tcPr>
          <w:p w14:paraId="385677E1" w14:textId="25FE311A" w:rsidR="00413B50" w:rsidRPr="002A78DD" w:rsidRDefault="00413B50"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P</w:t>
            </w:r>
            <w:r w:rsidR="00596EF2" w:rsidRPr="002A78DD">
              <w:rPr>
                <w:sz w:val="20"/>
                <w:szCs w:val="20"/>
                <w:lang w:val="fr-FR"/>
              </w:rPr>
              <w:t>NUE</w:t>
            </w:r>
          </w:p>
        </w:tc>
        <w:tc>
          <w:tcPr>
            <w:tcW w:w="2160" w:type="dxa"/>
            <w:vAlign w:val="center"/>
          </w:tcPr>
          <w:p w14:paraId="6841D079" w14:textId="77777777" w:rsidR="00413B50" w:rsidRPr="002A78DD" w:rsidRDefault="00413B50"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r w:rsidR="00596EF2" w:rsidRPr="002A78DD" w14:paraId="745E8DC2" w14:textId="77777777" w:rsidTr="00413B50">
        <w:tc>
          <w:tcPr>
            <w:tcW w:w="0" w:type="auto"/>
            <w:shd w:val="clear" w:color="auto" w:fill="auto"/>
            <w:noWrap/>
            <w:tcMar>
              <w:left w:w="14" w:type="dxa"/>
              <w:right w:w="144" w:type="dxa"/>
            </w:tcMar>
            <w:vAlign w:val="bottom"/>
          </w:tcPr>
          <w:p w14:paraId="3240F365" w14:textId="77777777" w:rsidR="00596EF2" w:rsidRPr="002A78DD" w:rsidRDefault="00596EF2" w:rsidP="00413B50">
            <w:pPr>
              <w:jc w:val="right"/>
              <w:rPr>
                <w:sz w:val="20"/>
                <w:szCs w:val="20"/>
                <w:lang w:val="fr-FR"/>
              </w:rPr>
            </w:pPr>
            <w:r w:rsidRPr="002A78DD">
              <w:rPr>
                <w:sz w:val="20"/>
                <w:szCs w:val="20"/>
                <w:lang w:val="fr-FR"/>
              </w:rPr>
              <w:t>9</w:t>
            </w:r>
          </w:p>
        </w:tc>
        <w:tc>
          <w:tcPr>
            <w:tcW w:w="2470" w:type="dxa"/>
            <w:noWrap/>
            <w:vAlign w:val="center"/>
          </w:tcPr>
          <w:p w14:paraId="00C6250A" w14:textId="77777777"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Mali</w:t>
            </w:r>
          </w:p>
        </w:tc>
        <w:tc>
          <w:tcPr>
            <w:tcW w:w="2160" w:type="dxa"/>
            <w:tcMar>
              <w:left w:w="115" w:type="dxa"/>
              <w:right w:w="720" w:type="dxa"/>
            </w:tcMar>
          </w:tcPr>
          <w:p w14:paraId="4C879EB7" w14:textId="7634DD79" w:rsidR="00596EF2" w:rsidRPr="002A78DD" w:rsidRDefault="00596EF2" w:rsidP="00413B50">
            <w:pPr>
              <w:pStyle w:val="Heading1"/>
              <w:numPr>
                <w:ilvl w:val="0"/>
                <w:numId w:val="0"/>
              </w:numPr>
              <w:spacing w:before="100" w:beforeAutospacing="1" w:after="100" w:afterAutospacing="1"/>
              <w:contextualSpacing/>
              <w:jc w:val="right"/>
              <w:rPr>
                <w:sz w:val="20"/>
                <w:szCs w:val="20"/>
                <w:lang w:val="fr-FR"/>
              </w:rPr>
            </w:pPr>
            <w:r w:rsidRPr="002A78DD">
              <w:rPr>
                <w:sz w:val="20"/>
                <w:szCs w:val="20"/>
                <w:lang w:val="fr-FR"/>
              </w:rPr>
              <w:t>272,25</w:t>
            </w:r>
          </w:p>
        </w:tc>
        <w:tc>
          <w:tcPr>
            <w:tcW w:w="2160" w:type="dxa"/>
            <w:noWrap/>
            <w:vAlign w:val="center"/>
          </w:tcPr>
          <w:p w14:paraId="09E0A129" w14:textId="57C52365"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PNUE/PNUD</w:t>
            </w:r>
          </w:p>
        </w:tc>
        <w:tc>
          <w:tcPr>
            <w:tcW w:w="2160" w:type="dxa"/>
            <w:vAlign w:val="center"/>
          </w:tcPr>
          <w:p w14:paraId="09935633" w14:textId="77777777" w:rsidR="00596EF2" w:rsidRPr="002A78DD" w:rsidRDefault="00596EF2"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r w:rsidR="00596EF2" w:rsidRPr="002A78DD" w14:paraId="3A8AED5B" w14:textId="77777777" w:rsidTr="00413B50">
        <w:tc>
          <w:tcPr>
            <w:tcW w:w="0" w:type="auto"/>
            <w:shd w:val="clear" w:color="auto" w:fill="auto"/>
            <w:noWrap/>
            <w:tcMar>
              <w:left w:w="14" w:type="dxa"/>
              <w:right w:w="144" w:type="dxa"/>
            </w:tcMar>
            <w:vAlign w:val="bottom"/>
          </w:tcPr>
          <w:p w14:paraId="6A714442" w14:textId="77777777" w:rsidR="00596EF2" w:rsidRPr="002A78DD" w:rsidRDefault="00596EF2" w:rsidP="00413B50">
            <w:pPr>
              <w:jc w:val="right"/>
              <w:rPr>
                <w:sz w:val="20"/>
                <w:szCs w:val="20"/>
                <w:lang w:val="fr-FR"/>
              </w:rPr>
            </w:pPr>
            <w:r w:rsidRPr="002A78DD">
              <w:rPr>
                <w:sz w:val="20"/>
                <w:szCs w:val="20"/>
                <w:lang w:val="fr-FR"/>
              </w:rPr>
              <w:t>10</w:t>
            </w:r>
          </w:p>
        </w:tc>
        <w:tc>
          <w:tcPr>
            <w:tcW w:w="2470" w:type="dxa"/>
            <w:noWrap/>
            <w:vAlign w:val="center"/>
          </w:tcPr>
          <w:p w14:paraId="165490B0" w14:textId="77777777" w:rsidR="00596EF2" w:rsidRPr="002A78DD" w:rsidRDefault="00596EF2" w:rsidP="00413B50">
            <w:pPr>
              <w:pStyle w:val="Heading1"/>
              <w:numPr>
                <w:ilvl w:val="0"/>
                <w:numId w:val="0"/>
              </w:numPr>
              <w:spacing w:after="0"/>
              <w:contextualSpacing/>
              <w:jc w:val="left"/>
              <w:rPr>
                <w:sz w:val="20"/>
                <w:szCs w:val="20"/>
                <w:lang w:val="fr-FR"/>
              </w:rPr>
            </w:pPr>
            <w:r w:rsidRPr="002A78DD">
              <w:rPr>
                <w:sz w:val="20"/>
                <w:szCs w:val="20"/>
                <w:lang w:val="fr-FR"/>
              </w:rPr>
              <w:t>Mozambique</w:t>
            </w:r>
          </w:p>
        </w:tc>
        <w:tc>
          <w:tcPr>
            <w:tcW w:w="2160" w:type="dxa"/>
            <w:tcMar>
              <w:left w:w="115" w:type="dxa"/>
              <w:right w:w="720" w:type="dxa"/>
            </w:tcMar>
          </w:tcPr>
          <w:p w14:paraId="453F7B51" w14:textId="4F18AA0E" w:rsidR="00596EF2" w:rsidRPr="002A78DD" w:rsidRDefault="00596EF2" w:rsidP="00413B50">
            <w:pPr>
              <w:pStyle w:val="Heading1"/>
              <w:numPr>
                <w:ilvl w:val="0"/>
                <w:numId w:val="0"/>
              </w:numPr>
              <w:spacing w:before="100" w:beforeAutospacing="1" w:after="100" w:afterAutospacing="1"/>
              <w:contextualSpacing/>
              <w:jc w:val="right"/>
              <w:rPr>
                <w:sz w:val="20"/>
                <w:szCs w:val="20"/>
                <w:lang w:val="fr-FR"/>
              </w:rPr>
            </w:pPr>
            <w:r w:rsidRPr="002A78DD">
              <w:rPr>
                <w:sz w:val="20"/>
                <w:szCs w:val="20"/>
                <w:lang w:val="fr-FR"/>
              </w:rPr>
              <w:t>118,18</w:t>
            </w:r>
          </w:p>
        </w:tc>
        <w:tc>
          <w:tcPr>
            <w:tcW w:w="2160" w:type="dxa"/>
            <w:noWrap/>
            <w:vAlign w:val="center"/>
          </w:tcPr>
          <w:p w14:paraId="2F6AA1ED" w14:textId="1C556531"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PNUE/ONUDI</w:t>
            </w:r>
          </w:p>
        </w:tc>
        <w:tc>
          <w:tcPr>
            <w:tcW w:w="2160" w:type="dxa"/>
            <w:vAlign w:val="center"/>
          </w:tcPr>
          <w:p w14:paraId="28D2D039" w14:textId="77777777" w:rsidR="00596EF2" w:rsidRPr="002A78DD" w:rsidRDefault="00596EF2"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r w:rsidR="00413B50" w:rsidRPr="002A78DD" w14:paraId="4256EB4B" w14:textId="77777777" w:rsidTr="00413B50">
        <w:tc>
          <w:tcPr>
            <w:tcW w:w="0" w:type="auto"/>
            <w:shd w:val="clear" w:color="auto" w:fill="auto"/>
            <w:noWrap/>
            <w:tcMar>
              <w:left w:w="14" w:type="dxa"/>
              <w:right w:w="144" w:type="dxa"/>
            </w:tcMar>
            <w:vAlign w:val="bottom"/>
          </w:tcPr>
          <w:p w14:paraId="7EC07CF1" w14:textId="77777777" w:rsidR="00413B50" w:rsidRPr="002A78DD" w:rsidRDefault="00413B50" w:rsidP="00413B50">
            <w:pPr>
              <w:jc w:val="right"/>
              <w:rPr>
                <w:sz w:val="20"/>
                <w:szCs w:val="20"/>
                <w:lang w:val="fr-FR"/>
              </w:rPr>
            </w:pPr>
            <w:r w:rsidRPr="002A78DD">
              <w:rPr>
                <w:sz w:val="20"/>
                <w:szCs w:val="20"/>
                <w:lang w:val="fr-FR"/>
              </w:rPr>
              <w:t>11</w:t>
            </w:r>
          </w:p>
        </w:tc>
        <w:tc>
          <w:tcPr>
            <w:tcW w:w="2470" w:type="dxa"/>
            <w:noWrap/>
            <w:vAlign w:val="center"/>
          </w:tcPr>
          <w:p w14:paraId="3986354B" w14:textId="77777777" w:rsidR="00413B50" w:rsidRPr="002A78DD" w:rsidRDefault="00413B50" w:rsidP="00413B50">
            <w:pPr>
              <w:pStyle w:val="Heading1"/>
              <w:numPr>
                <w:ilvl w:val="0"/>
                <w:numId w:val="0"/>
              </w:numPr>
              <w:contextualSpacing/>
              <w:jc w:val="left"/>
              <w:rPr>
                <w:sz w:val="20"/>
                <w:szCs w:val="20"/>
                <w:lang w:val="fr-FR"/>
              </w:rPr>
            </w:pPr>
            <w:r w:rsidRPr="002A78DD">
              <w:rPr>
                <w:sz w:val="20"/>
                <w:szCs w:val="20"/>
                <w:lang w:val="fr-FR"/>
              </w:rPr>
              <w:t>Myanmar</w:t>
            </w:r>
          </w:p>
        </w:tc>
        <w:tc>
          <w:tcPr>
            <w:tcW w:w="2160" w:type="dxa"/>
            <w:tcMar>
              <w:left w:w="115" w:type="dxa"/>
              <w:right w:w="720" w:type="dxa"/>
            </w:tcMar>
          </w:tcPr>
          <w:p w14:paraId="6CB74EF1" w14:textId="4FDF3D72" w:rsidR="00413B50" w:rsidRPr="002A78DD" w:rsidRDefault="00596EF2" w:rsidP="00413B50">
            <w:pPr>
              <w:pStyle w:val="Heading1"/>
              <w:numPr>
                <w:ilvl w:val="0"/>
                <w:numId w:val="0"/>
              </w:numPr>
              <w:spacing w:before="100" w:beforeAutospacing="1" w:after="100" w:afterAutospacing="1"/>
              <w:contextualSpacing/>
              <w:jc w:val="right"/>
              <w:rPr>
                <w:sz w:val="20"/>
                <w:szCs w:val="20"/>
                <w:lang w:val="fr-FR"/>
              </w:rPr>
            </w:pPr>
            <w:r w:rsidRPr="002A78DD">
              <w:rPr>
                <w:sz w:val="20"/>
                <w:szCs w:val="20"/>
                <w:lang w:val="fr-FR"/>
              </w:rPr>
              <w:t>77,</w:t>
            </w:r>
            <w:r w:rsidR="00413B50" w:rsidRPr="002A78DD">
              <w:rPr>
                <w:sz w:val="20"/>
                <w:szCs w:val="20"/>
                <w:lang w:val="fr-FR"/>
              </w:rPr>
              <w:t>80</w:t>
            </w:r>
          </w:p>
        </w:tc>
        <w:tc>
          <w:tcPr>
            <w:tcW w:w="2160" w:type="dxa"/>
            <w:noWrap/>
            <w:vAlign w:val="center"/>
          </w:tcPr>
          <w:p w14:paraId="4F5C6571" w14:textId="115C78EF" w:rsidR="00413B50" w:rsidRPr="002A78DD" w:rsidRDefault="00413B50"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P</w:t>
            </w:r>
            <w:r w:rsidR="00596EF2" w:rsidRPr="002A78DD">
              <w:rPr>
                <w:sz w:val="20"/>
                <w:szCs w:val="20"/>
                <w:lang w:val="fr-FR"/>
              </w:rPr>
              <w:t>NUE</w:t>
            </w:r>
          </w:p>
        </w:tc>
        <w:tc>
          <w:tcPr>
            <w:tcW w:w="2160" w:type="dxa"/>
            <w:vAlign w:val="center"/>
          </w:tcPr>
          <w:p w14:paraId="26AC7D7D" w14:textId="77777777" w:rsidR="00413B50" w:rsidRPr="002A78DD" w:rsidRDefault="00413B50"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r w:rsidR="00413B50" w:rsidRPr="002A78DD" w14:paraId="48A3F56B" w14:textId="77777777" w:rsidTr="00413B50">
        <w:tc>
          <w:tcPr>
            <w:tcW w:w="0" w:type="auto"/>
            <w:shd w:val="clear" w:color="auto" w:fill="auto"/>
            <w:noWrap/>
            <w:tcMar>
              <w:left w:w="14" w:type="dxa"/>
              <w:right w:w="144" w:type="dxa"/>
            </w:tcMar>
            <w:vAlign w:val="bottom"/>
          </w:tcPr>
          <w:p w14:paraId="1B8D6FA5" w14:textId="77777777" w:rsidR="00413B50" w:rsidRPr="002A78DD" w:rsidRDefault="00413B50" w:rsidP="00413B50">
            <w:pPr>
              <w:jc w:val="right"/>
              <w:rPr>
                <w:sz w:val="20"/>
                <w:szCs w:val="20"/>
                <w:lang w:val="fr-FR"/>
              </w:rPr>
            </w:pPr>
            <w:r w:rsidRPr="002A78DD">
              <w:rPr>
                <w:sz w:val="20"/>
                <w:szCs w:val="20"/>
                <w:lang w:val="fr-FR"/>
              </w:rPr>
              <w:t>12</w:t>
            </w:r>
          </w:p>
        </w:tc>
        <w:tc>
          <w:tcPr>
            <w:tcW w:w="2470" w:type="dxa"/>
            <w:noWrap/>
            <w:vAlign w:val="center"/>
          </w:tcPr>
          <w:p w14:paraId="1C00C6CA" w14:textId="12BDC45D" w:rsidR="00413B50"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Macédoine du Nord</w:t>
            </w:r>
          </w:p>
        </w:tc>
        <w:tc>
          <w:tcPr>
            <w:tcW w:w="2160" w:type="dxa"/>
            <w:tcMar>
              <w:left w:w="115" w:type="dxa"/>
              <w:right w:w="720" w:type="dxa"/>
            </w:tcMar>
          </w:tcPr>
          <w:p w14:paraId="64D6EF8C" w14:textId="72699705" w:rsidR="00413B50" w:rsidRPr="002A78DD" w:rsidRDefault="00596EF2" w:rsidP="00413B50">
            <w:pPr>
              <w:jc w:val="right"/>
              <w:rPr>
                <w:color w:val="000000"/>
                <w:sz w:val="20"/>
                <w:szCs w:val="20"/>
                <w:lang w:val="fr-FR"/>
              </w:rPr>
            </w:pPr>
            <w:r w:rsidRPr="002A78DD">
              <w:rPr>
                <w:sz w:val="20"/>
                <w:szCs w:val="20"/>
                <w:lang w:val="fr-FR"/>
              </w:rPr>
              <w:t>32,</w:t>
            </w:r>
            <w:r w:rsidR="00413B50" w:rsidRPr="002A78DD">
              <w:rPr>
                <w:sz w:val="20"/>
                <w:szCs w:val="20"/>
                <w:lang w:val="fr-FR"/>
              </w:rPr>
              <w:t>78</w:t>
            </w:r>
          </w:p>
        </w:tc>
        <w:tc>
          <w:tcPr>
            <w:tcW w:w="2160" w:type="dxa"/>
            <w:noWrap/>
            <w:vAlign w:val="center"/>
          </w:tcPr>
          <w:p w14:paraId="24B0C898" w14:textId="1CED0E5F" w:rsidR="00413B50" w:rsidRPr="002A78DD" w:rsidRDefault="00413B50"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O</w:t>
            </w:r>
            <w:r w:rsidR="00596EF2" w:rsidRPr="002A78DD">
              <w:rPr>
                <w:sz w:val="20"/>
                <w:szCs w:val="20"/>
                <w:lang w:val="fr-FR"/>
              </w:rPr>
              <w:t>NUDI</w:t>
            </w:r>
          </w:p>
        </w:tc>
        <w:tc>
          <w:tcPr>
            <w:tcW w:w="2160" w:type="dxa"/>
            <w:vAlign w:val="center"/>
          </w:tcPr>
          <w:p w14:paraId="2D0C36ED" w14:textId="77777777" w:rsidR="00413B50" w:rsidRPr="002A78DD" w:rsidRDefault="00413B50"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r w:rsidR="00596EF2" w:rsidRPr="002A78DD" w14:paraId="502C553F" w14:textId="77777777" w:rsidTr="00413B50">
        <w:tc>
          <w:tcPr>
            <w:tcW w:w="0" w:type="auto"/>
            <w:shd w:val="clear" w:color="auto" w:fill="auto"/>
            <w:noWrap/>
            <w:tcMar>
              <w:left w:w="14" w:type="dxa"/>
              <w:right w:w="144" w:type="dxa"/>
            </w:tcMar>
            <w:vAlign w:val="bottom"/>
            <w:hideMark/>
          </w:tcPr>
          <w:p w14:paraId="550AE31C" w14:textId="77777777" w:rsidR="00596EF2" w:rsidRPr="002A78DD" w:rsidRDefault="00596EF2" w:rsidP="00413B50">
            <w:pPr>
              <w:jc w:val="right"/>
              <w:rPr>
                <w:sz w:val="20"/>
                <w:szCs w:val="20"/>
                <w:lang w:val="fr-FR"/>
              </w:rPr>
            </w:pPr>
            <w:r w:rsidRPr="002A78DD">
              <w:rPr>
                <w:sz w:val="20"/>
                <w:szCs w:val="20"/>
                <w:lang w:val="fr-FR"/>
              </w:rPr>
              <w:t>13</w:t>
            </w:r>
          </w:p>
        </w:tc>
        <w:tc>
          <w:tcPr>
            <w:tcW w:w="2470" w:type="dxa"/>
            <w:noWrap/>
            <w:vAlign w:val="center"/>
          </w:tcPr>
          <w:p w14:paraId="1DB78FD3" w14:textId="68C1D877"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 xml:space="preserve">République de Moldova </w:t>
            </w:r>
          </w:p>
        </w:tc>
        <w:tc>
          <w:tcPr>
            <w:tcW w:w="2160" w:type="dxa"/>
            <w:tcMar>
              <w:left w:w="115" w:type="dxa"/>
              <w:right w:w="720" w:type="dxa"/>
            </w:tcMar>
          </w:tcPr>
          <w:p w14:paraId="261565A6" w14:textId="68822815" w:rsidR="00596EF2" w:rsidRPr="002A78DD" w:rsidRDefault="00596EF2" w:rsidP="00413B50">
            <w:pPr>
              <w:pStyle w:val="Heading1"/>
              <w:numPr>
                <w:ilvl w:val="0"/>
                <w:numId w:val="0"/>
              </w:numPr>
              <w:spacing w:before="100" w:beforeAutospacing="1" w:after="100" w:afterAutospacing="1"/>
              <w:contextualSpacing/>
              <w:jc w:val="right"/>
              <w:rPr>
                <w:sz w:val="20"/>
                <w:szCs w:val="20"/>
                <w:lang w:val="fr-FR"/>
              </w:rPr>
            </w:pPr>
            <w:r w:rsidRPr="002A78DD">
              <w:rPr>
                <w:sz w:val="20"/>
                <w:szCs w:val="20"/>
                <w:lang w:val="fr-FR"/>
              </w:rPr>
              <w:t>17,00</w:t>
            </w:r>
          </w:p>
        </w:tc>
        <w:tc>
          <w:tcPr>
            <w:tcW w:w="2160" w:type="dxa"/>
            <w:noWrap/>
            <w:vAlign w:val="center"/>
          </w:tcPr>
          <w:p w14:paraId="1DE95C89" w14:textId="487E0C0F"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PNUE/PNUD</w:t>
            </w:r>
          </w:p>
        </w:tc>
        <w:tc>
          <w:tcPr>
            <w:tcW w:w="2160" w:type="dxa"/>
            <w:vAlign w:val="center"/>
          </w:tcPr>
          <w:p w14:paraId="1C8FB556" w14:textId="77777777" w:rsidR="00596EF2" w:rsidRPr="002A78DD" w:rsidRDefault="00596EF2"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r w:rsidR="00596EF2" w:rsidRPr="002A78DD" w14:paraId="5C58541E" w14:textId="77777777" w:rsidTr="00413B50">
        <w:tc>
          <w:tcPr>
            <w:tcW w:w="0" w:type="auto"/>
            <w:shd w:val="clear" w:color="auto" w:fill="auto"/>
            <w:noWrap/>
            <w:tcMar>
              <w:left w:w="14" w:type="dxa"/>
              <w:right w:w="144" w:type="dxa"/>
            </w:tcMar>
            <w:vAlign w:val="bottom"/>
          </w:tcPr>
          <w:p w14:paraId="4FCF23C8" w14:textId="77777777" w:rsidR="00596EF2" w:rsidRPr="002A78DD" w:rsidRDefault="00596EF2" w:rsidP="00413B50">
            <w:pPr>
              <w:jc w:val="right"/>
              <w:rPr>
                <w:sz w:val="20"/>
                <w:szCs w:val="20"/>
                <w:lang w:val="fr-FR"/>
              </w:rPr>
            </w:pPr>
            <w:r w:rsidRPr="002A78DD">
              <w:rPr>
                <w:sz w:val="20"/>
                <w:szCs w:val="20"/>
                <w:lang w:val="fr-FR"/>
              </w:rPr>
              <w:t>14</w:t>
            </w:r>
          </w:p>
        </w:tc>
        <w:tc>
          <w:tcPr>
            <w:tcW w:w="2470" w:type="dxa"/>
            <w:noWrap/>
            <w:vAlign w:val="center"/>
          </w:tcPr>
          <w:p w14:paraId="589C9DF3" w14:textId="77777777"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Sierra Leone</w:t>
            </w:r>
          </w:p>
        </w:tc>
        <w:tc>
          <w:tcPr>
            <w:tcW w:w="2160" w:type="dxa"/>
            <w:tcMar>
              <w:left w:w="115" w:type="dxa"/>
              <w:right w:w="720" w:type="dxa"/>
            </w:tcMar>
          </w:tcPr>
          <w:p w14:paraId="0B645B82" w14:textId="0BFB7F9F" w:rsidR="00596EF2" w:rsidRPr="002A78DD" w:rsidRDefault="00596EF2" w:rsidP="00413B50">
            <w:pPr>
              <w:pStyle w:val="Heading1"/>
              <w:numPr>
                <w:ilvl w:val="0"/>
                <w:numId w:val="0"/>
              </w:numPr>
              <w:spacing w:before="100" w:beforeAutospacing="1" w:after="100" w:afterAutospacing="1"/>
              <w:contextualSpacing/>
              <w:jc w:val="right"/>
              <w:rPr>
                <w:sz w:val="20"/>
                <w:szCs w:val="20"/>
                <w:lang w:val="fr-FR"/>
              </w:rPr>
            </w:pPr>
            <w:r w:rsidRPr="002A78DD">
              <w:rPr>
                <w:sz w:val="20"/>
                <w:szCs w:val="20"/>
                <w:lang w:val="fr-FR"/>
              </w:rPr>
              <w:t>30,37</w:t>
            </w:r>
          </w:p>
        </w:tc>
        <w:tc>
          <w:tcPr>
            <w:tcW w:w="2160" w:type="dxa"/>
            <w:noWrap/>
            <w:vAlign w:val="center"/>
          </w:tcPr>
          <w:p w14:paraId="241730BE" w14:textId="727CE276"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PNUE/ONUDI</w:t>
            </w:r>
          </w:p>
        </w:tc>
        <w:tc>
          <w:tcPr>
            <w:tcW w:w="2160" w:type="dxa"/>
            <w:vAlign w:val="center"/>
          </w:tcPr>
          <w:p w14:paraId="28B5AA70" w14:textId="77777777" w:rsidR="00596EF2" w:rsidRPr="002A78DD" w:rsidRDefault="00596EF2"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r w:rsidR="00596EF2" w:rsidRPr="002A78DD" w14:paraId="0585279B" w14:textId="77777777" w:rsidTr="00413B50">
        <w:tc>
          <w:tcPr>
            <w:tcW w:w="0" w:type="auto"/>
            <w:shd w:val="clear" w:color="auto" w:fill="auto"/>
            <w:noWrap/>
            <w:tcMar>
              <w:left w:w="14" w:type="dxa"/>
              <w:right w:w="144" w:type="dxa"/>
            </w:tcMar>
            <w:vAlign w:val="bottom"/>
          </w:tcPr>
          <w:p w14:paraId="439FDD0A" w14:textId="77777777" w:rsidR="00596EF2" w:rsidRPr="002A78DD" w:rsidRDefault="00596EF2" w:rsidP="00413B50">
            <w:pPr>
              <w:jc w:val="right"/>
              <w:rPr>
                <w:sz w:val="20"/>
                <w:szCs w:val="20"/>
                <w:lang w:val="fr-FR"/>
              </w:rPr>
            </w:pPr>
            <w:r w:rsidRPr="002A78DD">
              <w:rPr>
                <w:sz w:val="20"/>
                <w:szCs w:val="20"/>
                <w:lang w:val="fr-FR"/>
              </w:rPr>
              <w:t>15</w:t>
            </w:r>
          </w:p>
        </w:tc>
        <w:tc>
          <w:tcPr>
            <w:tcW w:w="2470" w:type="dxa"/>
            <w:noWrap/>
            <w:vAlign w:val="center"/>
          </w:tcPr>
          <w:p w14:paraId="66EF8FD0" w14:textId="77777777"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Suriname</w:t>
            </w:r>
          </w:p>
        </w:tc>
        <w:tc>
          <w:tcPr>
            <w:tcW w:w="2160" w:type="dxa"/>
            <w:tcMar>
              <w:left w:w="115" w:type="dxa"/>
              <w:right w:w="720" w:type="dxa"/>
            </w:tcMar>
          </w:tcPr>
          <w:p w14:paraId="0F6D0DD6" w14:textId="3C451950" w:rsidR="00596EF2" w:rsidRPr="002A78DD" w:rsidRDefault="00596EF2" w:rsidP="00413B50">
            <w:pPr>
              <w:pStyle w:val="Heading1"/>
              <w:numPr>
                <w:ilvl w:val="0"/>
                <w:numId w:val="0"/>
              </w:numPr>
              <w:spacing w:before="100" w:beforeAutospacing="1" w:after="100" w:afterAutospacing="1"/>
              <w:contextualSpacing/>
              <w:jc w:val="right"/>
              <w:rPr>
                <w:sz w:val="20"/>
                <w:szCs w:val="20"/>
                <w:lang w:val="fr-FR"/>
              </w:rPr>
            </w:pPr>
            <w:r w:rsidRPr="002A78DD">
              <w:rPr>
                <w:sz w:val="20"/>
                <w:szCs w:val="20"/>
                <w:lang w:val="fr-FR"/>
              </w:rPr>
              <w:t>35,92</w:t>
            </w:r>
          </w:p>
        </w:tc>
        <w:tc>
          <w:tcPr>
            <w:tcW w:w="2160" w:type="dxa"/>
            <w:noWrap/>
            <w:vAlign w:val="center"/>
          </w:tcPr>
          <w:p w14:paraId="65B8741A" w14:textId="4DCDBC69"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PNUE/ONUDI</w:t>
            </w:r>
          </w:p>
        </w:tc>
        <w:tc>
          <w:tcPr>
            <w:tcW w:w="2160" w:type="dxa"/>
            <w:vAlign w:val="center"/>
          </w:tcPr>
          <w:p w14:paraId="704AED79" w14:textId="77777777" w:rsidR="00596EF2" w:rsidRPr="002A78DD" w:rsidRDefault="00596EF2"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r w:rsidR="00596EF2" w:rsidRPr="002A78DD" w14:paraId="72D8BCBF" w14:textId="77777777" w:rsidTr="00413B50">
        <w:tc>
          <w:tcPr>
            <w:tcW w:w="0" w:type="auto"/>
            <w:noWrap/>
            <w:tcMar>
              <w:left w:w="14" w:type="dxa"/>
              <w:right w:w="144" w:type="dxa"/>
            </w:tcMar>
          </w:tcPr>
          <w:p w14:paraId="604D2778" w14:textId="77777777" w:rsidR="00596EF2" w:rsidRPr="002A78DD" w:rsidRDefault="00596EF2" w:rsidP="00413B50">
            <w:pPr>
              <w:pStyle w:val="Heading1"/>
              <w:numPr>
                <w:ilvl w:val="0"/>
                <w:numId w:val="0"/>
              </w:numPr>
              <w:spacing w:before="100" w:beforeAutospacing="1" w:after="100" w:afterAutospacing="1"/>
              <w:jc w:val="right"/>
              <w:rPr>
                <w:sz w:val="20"/>
                <w:szCs w:val="20"/>
                <w:lang w:val="fr-FR"/>
              </w:rPr>
            </w:pPr>
            <w:r w:rsidRPr="002A78DD">
              <w:rPr>
                <w:sz w:val="20"/>
                <w:szCs w:val="20"/>
                <w:lang w:val="fr-FR"/>
              </w:rPr>
              <w:t>16</w:t>
            </w:r>
          </w:p>
        </w:tc>
        <w:tc>
          <w:tcPr>
            <w:tcW w:w="2470" w:type="dxa"/>
            <w:noWrap/>
            <w:vAlign w:val="center"/>
          </w:tcPr>
          <w:p w14:paraId="0AF00F59" w14:textId="77777777"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Timor-Leste</w:t>
            </w:r>
          </w:p>
        </w:tc>
        <w:tc>
          <w:tcPr>
            <w:tcW w:w="2160" w:type="dxa"/>
            <w:tcMar>
              <w:left w:w="115" w:type="dxa"/>
              <w:right w:w="720" w:type="dxa"/>
            </w:tcMar>
          </w:tcPr>
          <w:p w14:paraId="36897A43" w14:textId="1D9826A6" w:rsidR="00596EF2" w:rsidRPr="002A78DD" w:rsidRDefault="00596EF2" w:rsidP="00413B50">
            <w:pPr>
              <w:pStyle w:val="Heading1"/>
              <w:numPr>
                <w:ilvl w:val="0"/>
                <w:numId w:val="0"/>
              </w:numPr>
              <w:spacing w:before="100" w:beforeAutospacing="1" w:after="100" w:afterAutospacing="1"/>
              <w:contextualSpacing/>
              <w:jc w:val="right"/>
              <w:rPr>
                <w:sz w:val="20"/>
                <w:szCs w:val="20"/>
                <w:lang w:val="fr-FR"/>
              </w:rPr>
            </w:pPr>
            <w:r w:rsidRPr="002A78DD">
              <w:rPr>
                <w:sz w:val="20"/>
                <w:szCs w:val="20"/>
                <w:lang w:val="fr-FR"/>
              </w:rPr>
              <w:t>9,08</w:t>
            </w:r>
          </w:p>
        </w:tc>
        <w:tc>
          <w:tcPr>
            <w:tcW w:w="2160" w:type="dxa"/>
            <w:noWrap/>
            <w:vAlign w:val="center"/>
          </w:tcPr>
          <w:p w14:paraId="53242744" w14:textId="459C4810" w:rsidR="00596EF2" w:rsidRPr="002A78DD" w:rsidRDefault="00596EF2" w:rsidP="00413B50">
            <w:pPr>
              <w:pStyle w:val="Heading1"/>
              <w:numPr>
                <w:ilvl w:val="0"/>
                <w:numId w:val="0"/>
              </w:numPr>
              <w:spacing w:before="100" w:beforeAutospacing="1" w:after="100" w:afterAutospacing="1"/>
              <w:contextualSpacing/>
              <w:jc w:val="left"/>
              <w:rPr>
                <w:sz w:val="20"/>
                <w:szCs w:val="20"/>
                <w:lang w:val="fr-FR"/>
              </w:rPr>
            </w:pPr>
            <w:r w:rsidRPr="002A78DD">
              <w:rPr>
                <w:sz w:val="20"/>
                <w:szCs w:val="20"/>
                <w:lang w:val="fr-FR"/>
              </w:rPr>
              <w:t>PNUE/PNUD</w:t>
            </w:r>
          </w:p>
        </w:tc>
        <w:tc>
          <w:tcPr>
            <w:tcW w:w="2160" w:type="dxa"/>
            <w:vAlign w:val="center"/>
          </w:tcPr>
          <w:p w14:paraId="2D034E1F" w14:textId="77777777" w:rsidR="00596EF2" w:rsidRPr="002A78DD" w:rsidRDefault="00596EF2" w:rsidP="00413B50">
            <w:pPr>
              <w:pStyle w:val="Heading1"/>
              <w:numPr>
                <w:ilvl w:val="0"/>
                <w:numId w:val="0"/>
              </w:numPr>
              <w:spacing w:before="100" w:beforeAutospacing="1" w:after="100" w:afterAutospacing="1"/>
              <w:contextualSpacing/>
              <w:jc w:val="center"/>
              <w:rPr>
                <w:sz w:val="20"/>
                <w:szCs w:val="20"/>
                <w:lang w:val="fr-FR"/>
              </w:rPr>
            </w:pPr>
            <w:r w:rsidRPr="002A78DD">
              <w:rPr>
                <w:sz w:val="20"/>
                <w:szCs w:val="20"/>
                <w:lang w:val="fr-FR"/>
              </w:rPr>
              <w:t>2021</w:t>
            </w:r>
          </w:p>
        </w:tc>
      </w:tr>
    </w:tbl>
    <w:p w14:paraId="7FCDE225" w14:textId="77777777" w:rsidR="00413B50" w:rsidRPr="002A78DD" w:rsidRDefault="00413B50" w:rsidP="00413B50">
      <w:pPr>
        <w:rPr>
          <w:lang w:val="fr-FR"/>
        </w:rPr>
      </w:pPr>
    </w:p>
    <w:p w14:paraId="3A774530" w14:textId="77777777" w:rsidR="00596EF2" w:rsidRPr="002A78DD" w:rsidRDefault="00596EF2" w:rsidP="00596832">
      <w:pPr>
        <w:rPr>
          <w:i/>
          <w:lang w:val="fr-FR"/>
        </w:rPr>
      </w:pPr>
      <w:r w:rsidRPr="002A78DD">
        <w:rPr>
          <w:i/>
          <w:lang w:val="fr-FR"/>
        </w:rPr>
        <w:t>Recommandation du Secrétariat</w:t>
      </w:r>
    </w:p>
    <w:p w14:paraId="5A4190DA" w14:textId="77777777" w:rsidR="00596EF2" w:rsidRPr="002A78DD" w:rsidRDefault="00596EF2" w:rsidP="00596832">
      <w:pPr>
        <w:rPr>
          <w:i/>
          <w:lang w:val="fr-FR"/>
        </w:rPr>
      </w:pPr>
    </w:p>
    <w:p w14:paraId="6DC817B8" w14:textId="57843788" w:rsidR="005E758E" w:rsidRPr="002A78DD" w:rsidRDefault="005E758E" w:rsidP="00596832">
      <w:pPr>
        <w:rPr>
          <w:lang w:val="fr-FR"/>
        </w:rPr>
      </w:pPr>
      <w:r w:rsidRPr="002A78DD">
        <w:rPr>
          <w:lang w:val="fr-FR"/>
        </w:rPr>
        <w:t>36.</w:t>
      </w:r>
      <w:r w:rsidRPr="002A78DD">
        <w:rPr>
          <w:lang w:val="fr-FR"/>
        </w:rPr>
        <w:tab/>
        <w:t>Le Comité exécutif pourrait souhaiter demander aux agences bilatérales et d’exécution pertinentes d’inclure dans les amendements à leurs programmes de travail respectifs qui devront être présentés à la 86</w:t>
      </w:r>
      <w:r w:rsidRPr="002A78DD">
        <w:rPr>
          <w:vertAlign w:val="superscript"/>
          <w:lang w:val="fr-FR"/>
        </w:rPr>
        <w:t>e</w:t>
      </w:r>
      <w:r w:rsidRPr="002A78DD">
        <w:rPr>
          <w:lang w:val="fr-FR"/>
        </w:rPr>
        <w:t xml:space="preserve"> réunion, un financement de 30 000 $US, plus les coûts d’appui d’agence, pour les rapports de vérification de la phase II ou de la phase III des PGEH pour la Barbade, la Bosnie</w:t>
      </w:r>
      <w:r w:rsidR="00790A2F">
        <w:rPr>
          <w:lang w:val="fr-FR"/>
        </w:rPr>
        <w:noBreakHyphen/>
      </w:r>
      <w:r w:rsidRPr="002A78DD">
        <w:rPr>
          <w:lang w:val="fr-FR"/>
        </w:rPr>
        <w:t xml:space="preserve">Herzégovine, le Burundi, la Dominique, la Guinée équatoriale, l’Eswatini, la Guyane, Haïti, le Mali, le Mozambique, le Myanmar, la Macédoine du Nord, la République de Moldova, la Sierra Leone, le Suriname et le Timor-Leste. </w:t>
      </w:r>
    </w:p>
    <w:p w14:paraId="118B015B" w14:textId="77777777" w:rsidR="005E758E" w:rsidRPr="002A78DD" w:rsidRDefault="005E758E" w:rsidP="00596832">
      <w:pPr>
        <w:rPr>
          <w:lang w:val="fr-FR"/>
        </w:rPr>
      </w:pPr>
    </w:p>
    <w:p w14:paraId="1CBFB58F" w14:textId="77777777" w:rsidR="005E758E" w:rsidRPr="002A78DD" w:rsidRDefault="005E758E" w:rsidP="001914A9">
      <w:pPr>
        <w:keepNext/>
        <w:keepLines/>
        <w:rPr>
          <w:u w:val="single"/>
          <w:lang w:val="fr-FR"/>
        </w:rPr>
      </w:pPr>
      <w:r w:rsidRPr="002A78DD">
        <w:rPr>
          <w:u w:val="single"/>
          <w:lang w:val="fr-FR"/>
        </w:rPr>
        <w:lastRenderedPageBreak/>
        <w:t>Projets et activités recommandés pour approbation globale</w:t>
      </w:r>
    </w:p>
    <w:p w14:paraId="3188D37D" w14:textId="77777777" w:rsidR="005E758E" w:rsidRPr="002A78DD" w:rsidRDefault="005E758E" w:rsidP="001914A9">
      <w:pPr>
        <w:keepNext/>
        <w:keepLines/>
        <w:rPr>
          <w:u w:val="single"/>
          <w:lang w:val="fr-FR"/>
        </w:rPr>
      </w:pPr>
    </w:p>
    <w:p w14:paraId="1B94A083" w14:textId="4BA7019A" w:rsidR="002E22FF" w:rsidRPr="002A78DD" w:rsidRDefault="005E758E" w:rsidP="001914A9">
      <w:pPr>
        <w:keepNext/>
        <w:keepLines/>
        <w:rPr>
          <w:lang w:val="fr-FR"/>
        </w:rPr>
      </w:pPr>
      <w:r w:rsidRPr="002A78DD">
        <w:rPr>
          <w:lang w:val="fr-FR"/>
        </w:rPr>
        <w:t>37.</w:t>
      </w:r>
      <w:r w:rsidRPr="002A78DD">
        <w:rPr>
          <w:lang w:val="fr-FR"/>
        </w:rPr>
        <w:tab/>
        <w:t xml:space="preserve">L’Annexe I au présent document </w:t>
      </w:r>
      <w:r w:rsidR="002E22FF" w:rsidRPr="002A78DD">
        <w:rPr>
          <w:lang w:val="fr-FR"/>
        </w:rPr>
        <w:t xml:space="preserve">contient la liste des 88 demandes de financement pour des projets et activités, totalisant 4 391 011 $US, coûts d’appui d’agence inclus, qui sont recommandées pour approbation globale.  L’approbation de ces projets inclura les conditions ou dispositions pertinentes </w:t>
      </w:r>
      <w:r w:rsidR="00C16C0B">
        <w:rPr>
          <w:lang w:val="fr-FR"/>
        </w:rPr>
        <w:t xml:space="preserve">incluses </w:t>
      </w:r>
      <w:r w:rsidR="002E22FF" w:rsidRPr="002A78DD">
        <w:rPr>
          <w:lang w:val="fr-FR"/>
        </w:rPr>
        <w:t>dans les fiches d’évaluation de projet correspondantes, ainsi que l’approbation des programmes de mise en œuvre associés aux tranches correspondantes des projets pluriannuels.</w:t>
      </w:r>
    </w:p>
    <w:p w14:paraId="08097324" w14:textId="77777777" w:rsidR="002E22FF" w:rsidRPr="002A78DD" w:rsidRDefault="002E22FF" w:rsidP="00596832">
      <w:pPr>
        <w:rPr>
          <w:lang w:val="fr-FR"/>
        </w:rPr>
      </w:pPr>
    </w:p>
    <w:p w14:paraId="0A398CAC" w14:textId="77777777" w:rsidR="000D647B" w:rsidRPr="002A78DD" w:rsidRDefault="002E22FF" w:rsidP="00596832">
      <w:pPr>
        <w:rPr>
          <w:b/>
          <w:lang w:val="fr-FR"/>
        </w:rPr>
      </w:pPr>
      <w:r w:rsidRPr="002A78DD">
        <w:rPr>
          <w:b/>
          <w:lang w:val="fr-FR"/>
        </w:rPr>
        <w:t>Projets d’investissement soumis pour examen individuel</w:t>
      </w:r>
    </w:p>
    <w:p w14:paraId="24733E23" w14:textId="77777777" w:rsidR="000D647B" w:rsidRPr="002A78DD" w:rsidRDefault="000D647B" w:rsidP="00596832">
      <w:pPr>
        <w:rPr>
          <w:b/>
          <w:lang w:val="fr-FR"/>
        </w:rPr>
      </w:pPr>
    </w:p>
    <w:p w14:paraId="638AD2A0" w14:textId="5268D718" w:rsidR="000D647B" w:rsidRPr="002A78DD" w:rsidRDefault="000D647B" w:rsidP="00596832">
      <w:pPr>
        <w:rPr>
          <w:lang w:val="fr-FR"/>
        </w:rPr>
      </w:pPr>
      <w:r w:rsidRPr="002A78DD">
        <w:rPr>
          <w:lang w:val="fr-FR"/>
        </w:rPr>
        <w:t>38.</w:t>
      </w:r>
      <w:r w:rsidRPr="002A78DD">
        <w:rPr>
          <w:lang w:val="fr-FR"/>
        </w:rPr>
        <w:tab/>
        <w:t>Après leur examen par le Secrétariat, 25 demandes de financem</w:t>
      </w:r>
      <w:r w:rsidR="00F50138">
        <w:rPr>
          <w:lang w:val="fr-FR"/>
        </w:rPr>
        <w:t>ent pour des projets /activités</w:t>
      </w:r>
      <w:r w:rsidRPr="002A78DD">
        <w:rPr>
          <w:lang w:val="fr-FR"/>
        </w:rPr>
        <w:t xml:space="preserve"> totalisant 33 276 258 $US, coûts d’appui d’agence inclus, sont proposé</w:t>
      </w:r>
      <w:r w:rsidR="00F50138">
        <w:rPr>
          <w:lang w:val="fr-FR"/>
        </w:rPr>
        <w:t>e</w:t>
      </w:r>
      <w:r w:rsidRPr="002A78DD">
        <w:rPr>
          <w:lang w:val="fr-FR"/>
        </w:rPr>
        <w:t>s aux fins d’examen individuel.</w:t>
      </w:r>
    </w:p>
    <w:p w14:paraId="44A21F3C" w14:textId="77777777" w:rsidR="000D647B" w:rsidRPr="002A78DD" w:rsidRDefault="000D647B" w:rsidP="00596832">
      <w:pPr>
        <w:rPr>
          <w:lang w:val="fr-FR"/>
        </w:rPr>
      </w:pPr>
    </w:p>
    <w:p w14:paraId="244A5B75" w14:textId="77777777" w:rsidR="007C592E" w:rsidRPr="002A78DD" w:rsidRDefault="000D647B" w:rsidP="00596832">
      <w:pPr>
        <w:rPr>
          <w:lang w:val="fr-FR"/>
        </w:rPr>
      </w:pPr>
      <w:r w:rsidRPr="002A78DD">
        <w:rPr>
          <w:lang w:val="fr-FR"/>
        </w:rPr>
        <w:t>39.</w:t>
      </w:r>
      <w:r w:rsidRPr="002A78DD">
        <w:rPr>
          <w:lang w:val="fr-FR"/>
        </w:rPr>
        <w:tab/>
        <w:t>Afin de faciliter l’examen par le Comité exécutif, des projets d’investissement soumis aux fins d’examen individuel, le Secrétariat a classé ces projets par secteur et les a regroupés selon les questions soulevées, tel qu’indiqué au Tableau 3.</w:t>
      </w:r>
    </w:p>
    <w:p w14:paraId="3AAB6EEB" w14:textId="77777777" w:rsidR="007C592E" w:rsidRDefault="007C592E" w:rsidP="00596832">
      <w:pPr>
        <w:rPr>
          <w:lang w:val="fr-FR"/>
        </w:rPr>
      </w:pPr>
    </w:p>
    <w:p w14:paraId="5DCAEF4E" w14:textId="57F0CA8B" w:rsidR="007C592E" w:rsidRPr="00401CBA" w:rsidRDefault="007C592E" w:rsidP="007C592E">
      <w:pPr>
        <w:pStyle w:val="Heading1"/>
        <w:keepNext/>
        <w:numPr>
          <w:ilvl w:val="0"/>
          <w:numId w:val="0"/>
        </w:numPr>
        <w:spacing w:after="0"/>
        <w:rPr>
          <w:b/>
          <w:snapToGrid w:val="0"/>
          <w:sz w:val="21"/>
          <w:szCs w:val="21"/>
          <w:lang w:val="fr-FR"/>
        </w:rPr>
      </w:pPr>
      <w:r w:rsidRPr="00401CBA">
        <w:rPr>
          <w:b/>
          <w:snapToGrid w:val="0"/>
          <w:sz w:val="21"/>
          <w:szCs w:val="21"/>
          <w:lang w:val="fr-FR"/>
        </w:rPr>
        <w:t>Tableau 3. Projets d’investissement soumis aux fins d’examen individuel</w:t>
      </w:r>
    </w:p>
    <w:tbl>
      <w:tblPr>
        <w:tblStyle w:val="TableGrid"/>
        <w:tblW w:w="9923" w:type="dxa"/>
        <w:tblInd w:w="-5" w:type="dxa"/>
        <w:tblLayout w:type="fixed"/>
        <w:tblLook w:val="04A0" w:firstRow="1" w:lastRow="0" w:firstColumn="1" w:lastColumn="0" w:noHBand="0" w:noVBand="1"/>
      </w:tblPr>
      <w:tblGrid>
        <w:gridCol w:w="1560"/>
        <w:gridCol w:w="2551"/>
        <w:gridCol w:w="1672"/>
        <w:gridCol w:w="1260"/>
        <w:gridCol w:w="2880"/>
      </w:tblGrid>
      <w:tr w:rsidR="007C592E" w:rsidRPr="002A78DD" w14:paraId="32B52B40" w14:textId="77777777" w:rsidTr="0096094E">
        <w:trPr>
          <w:tblHeader/>
        </w:trPr>
        <w:tc>
          <w:tcPr>
            <w:tcW w:w="1560" w:type="dxa"/>
            <w:vAlign w:val="center"/>
          </w:tcPr>
          <w:p w14:paraId="4D4B7D8B" w14:textId="6B9BB38D" w:rsidR="007C592E" w:rsidRPr="002A78DD" w:rsidRDefault="007C592E" w:rsidP="007C592E">
            <w:pPr>
              <w:keepNext/>
              <w:jc w:val="center"/>
              <w:rPr>
                <w:b/>
                <w:sz w:val="20"/>
                <w:szCs w:val="20"/>
                <w:lang w:val="fr-FR"/>
              </w:rPr>
            </w:pPr>
            <w:r w:rsidRPr="002A78DD">
              <w:rPr>
                <w:b/>
                <w:sz w:val="20"/>
                <w:szCs w:val="20"/>
                <w:lang w:val="fr-FR"/>
              </w:rPr>
              <w:t>Pays</w:t>
            </w:r>
          </w:p>
        </w:tc>
        <w:tc>
          <w:tcPr>
            <w:tcW w:w="2551" w:type="dxa"/>
            <w:vAlign w:val="center"/>
          </w:tcPr>
          <w:p w14:paraId="641C2126" w14:textId="00D33D2F" w:rsidR="007C592E" w:rsidRPr="002A78DD" w:rsidRDefault="007C592E" w:rsidP="007C592E">
            <w:pPr>
              <w:keepNext/>
              <w:jc w:val="center"/>
              <w:rPr>
                <w:b/>
                <w:sz w:val="20"/>
                <w:szCs w:val="20"/>
                <w:lang w:val="fr-FR"/>
              </w:rPr>
            </w:pPr>
            <w:r w:rsidRPr="002A78DD">
              <w:rPr>
                <w:b/>
                <w:sz w:val="20"/>
                <w:szCs w:val="20"/>
                <w:lang w:val="fr-FR"/>
              </w:rPr>
              <w:t>Projet</w:t>
            </w:r>
          </w:p>
        </w:tc>
        <w:tc>
          <w:tcPr>
            <w:tcW w:w="1672" w:type="dxa"/>
            <w:vAlign w:val="center"/>
          </w:tcPr>
          <w:p w14:paraId="26309EF9" w14:textId="7D1AF5BF" w:rsidR="007C592E" w:rsidRPr="002A78DD" w:rsidRDefault="007C592E" w:rsidP="007C592E">
            <w:pPr>
              <w:keepNext/>
              <w:jc w:val="center"/>
              <w:rPr>
                <w:b/>
                <w:sz w:val="20"/>
                <w:szCs w:val="20"/>
                <w:lang w:val="fr-FR"/>
              </w:rPr>
            </w:pPr>
            <w:r w:rsidRPr="002A78DD">
              <w:rPr>
                <w:b/>
                <w:sz w:val="20"/>
                <w:szCs w:val="20"/>
                <w:lang w:val="fr-FR"/>
              </w:rPr>
              <w:t>Agence</w:t>
            </w:r>
          </w:p>
        </w:tc>
        <w:tc>
          <w:tcPr>
            <w:tcW w:w="1260" w:type="dxa"/>
            <w:vAlign w:val="center"/>
          </w:tcPr>
          <w:p w14:paraId="324F8D13" w14:textId="435E11BA" w:rsidR="007C592E" w:rsidRPr="002A78DD" w:rsidRDefault="0096094E" w:rsidP="0096094E">
            <w:pPr>
              <w:keepNext/>
              <w:jc w:val="center"/>
              <w:rPr>
                <w:b/>
                <w:sz w:val="20"/>
                <w:szCs w:val="20"/>
                <w:lang w:val="fr-FR"/>
              </w:rPr>
            </w:pPr>
            <w:r>
              <w:rPr>
                <w:b/>
                <w:sz w:val="20"/>
                <w:szCs w:val="20"/>
                <w:lang w:val="fr-FR"/>
              </w:rPr>
              <w:t>D</w:t>
            </w:r>
            <w:r w:rsidR="007C592E" w:rsidRPr="002A78DD">
              <w:rPr>
                <w:b/>
                <w:sz w:val="20"/>
                <w:szCs w:val="20"/>
                <w:lang w:val="fr-FR"/>
              </w:rPr>
              <w:t xml:space="preserve">ocument </w:t>
            </w:r>
            <w:r>
              <w:rPr>
                <w:b/>
                <w:sz w:val="20"/>
                <w:szCs w:val="20"/>
                <w:lang w:val="fr-FR"/>
              </w:rPr>
              <w:t>de l’</w:t>
            </w:r>
            <w:proofErr w:type="spellStart"/>
            <w:r w:rsidR="007C592E" w:rsidRPr="002A78DD">
              <w:rPr>
                <w:b/>
                <w:sz w:val="20"/>
                <w:szCs w:val="20"/>
                <w:lang w:val="fr-FR"/>
              </w:rPr>
              <w:t>ExCom</w:t>
            </w:r>
            <w:proofErr w:type="spellEnd"/>
          </w:p>
        </w:tc>
        <w:tc>
          <w:tcPr>
            <w:tcW w:w="2880" w:type="dxa"/>
            <w:vAlign w:val="center"/>
          </w:tcPr>
          <w:p w14:paraId="30E3EAD8" w14:textId="6C4DEB70" w:rsidR="007C592E" w:rsidRPr="002A78DD" w:rsidRDefault="007C592E" w:rsidP="007C592E">
            <w:pPr>
              <w:keepNext/>
              <w:jc w:val="center"/>
              <w:rPr>
                <w:b/>
                <w:sz w:val="20"/>
                <w:szCs w:val="20"/>
                <w:lang w:val="fr-FR"/>
              </w:rPr>
            </w:pPr>
            <w:r w:rsidRPr="002A78DD">
              <w:rPr>
                <w:b/>
                <w:sz w:val="20"/>
                <w:szCs w:val="20"/>
                <w:lang w:val="fr-FR"/>
              </w:rPr>
              <w:t>Question</w:t>
            </w:r>
          </w:p>
        </w:tc>
      </w:tr>
      <w:tr w:rsidR="007C592E" w:rsidRPr="002A78DD" w14:paraId="68D383E0" w14:textId="77777777" w:rsidTr="0037080F">
        <w:tc>
          <w:tcPr>
            <w:tcW w:w="9923" w:type="dxa"/>
            <w:gridSpan w:val="5"/>
            <w:vAlign w:val="center"/>
          </w:tcPr>
          <w:p w14:paraId="6B48F45D" w14:textId="3F8E571D" w:rsidR="007C592E" w:rsidRPr="002A78DD" w:rsidRDefault="007C592E" w:rsidP="007C592E">
            <w:pPr>
              <w:keepNext/>
              <w:jc w:val="left"/>
              <w:rPr>
                <w:sz w:val="20"/>
                <w:szCs w:val="20"/>
                <w:lang w:val="fr-FR"/>
              </w:rPr>
            </w:pPr>
            <w:r w:rsidRPr="002A78DD">
              <w:rPr>
                <w:b/>
                <w:sz w:val="20"/>
                <w:szCs w:val="20"/>
                <w:lang w:val="fr-FR"/>
              </w:rPr>
              <w:t>Phase II de PGEH</w:t>
            </w:r>
          </w:p>
        </w:tc>
      </w:tr>
      <w:tr w:rsidR="007C592E" w:rsidRPr="008706DE" w14:paraId="70BDAAD1" w14:textId="77777777" w:rsidTr="0096094E">
        <w:tc>
          <w:tcPr>
            <w:tcW w:w="1560" w:type="dxa"/>
            <w:tcBorders>
              <w:top w:val="single" w:sz="4" w:space="0" w:color="auto"/>
              <w:left w:val="single" w:sz="4" w:space="0" w:color="auto"/>
              <w:bottom w:val="single" w:sz="4" w:space="0" w:color="auto"/>
              <w:right w:val="single" w:sz="4" w:space="0" w:color="auto"/>
            </w:tcBorders>
          </w:tcPr>
          <w:p w14:paraId="15771E64" w14:textId="77777777" w:rsidR="007C592E" w:rsidRPr="002A78DD" w:rsidRDefault="007C592E" w:rsidP="007C592E">
            <w:pPr>
              <w:widowControl w:val="0"/>
              <w:jc w:val="left"/>
              <w:rPr>
                <w:sz w:val="20"/>
                <w:szCs w:val="20"/>
                <w:lang w:val="fr-FR"/>
              </w:rPr>
            </w:pPr>
            <w:r w:rsidRPr="002A78DD">
              <w:rPr>
                <w:sz w:val="20"/>
                <w:szCs w:val="20"/>
                <w:lang w:val="fr-FR"/>
              </w:rPr>
              <w:t>Afghanistan</w:t>
            </w:r>
          </w:p>
        </w:tc>
        <w:tc>
          <w:tcPr>
            <w:tcW w:w="2551" w:type="dxa"/>
            <w:tcBorders>
              <w:top w:val="single" w:sz="4" w:space="0" w:color="auto"/>
              <w:left w:val="single" w:sz="4" w:space="0" w:color="auto"/>
              <w:bottom w:val="single" w:sz="4" w:space="0" w:color="auto"/>
              <w:right w:val="single" w:sz="4" w:space="0" w:color="auto"/>
            </w:tcBorders>
          </w:tcPr>
          <w:p w14:paraId="15D59907" w14:textId="758BE7A0" w:rsidR="007C592E" w:rsidRPr="002A78DD" w:rsidRDefault="007C592E" w:rsidP="007C592E">
            <w:pPr>
              <w:jc w:val="left"/>
              <w:rPr>
                <w:sz w:val="20"/>
                <w:szCs w:val="20"/>
                <w:lang w:val="fr-FR"/>
              </w:rPr>
            </w:pPr>
            <w:r w:rsidRPr="002A78DD">
              <w:rPr>
                <w:sz w:val="20"/>
                <w:szCs w:val="20"/>
                <w:lang w:val="fr-FR"/>
              </w:rPr>
              <w:t>Plan de gestion de l’élimination des HCFC</w:t>
            </w:r>
            <w:r w:rsidR="00A717B5" w:rsidRPr="002A78DD">
              <w:rPr>
                <w:sz w:val="20"/>
                <w:szCs w:val="20"/>
                <w:lang w:val="fr-FR"/>
              </w:rPr>
              <w:t xml:space="preserve"> (phase II)</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3E5C6BF2" w14:textId="3964CB65" w:rsidR="007C592E" w:rsidRPr="002A78DD" w:rsidRDefault="007C592E" w:rsidP="007C592E">
            <w:pPr>
              <w:widowControl w:val="0"/>
              <w:jc w:val="left"/>
              <w:rPr>
                <w:sz w:val="20"/>
                <w:szCs w:val="20"/>
                <w:lang w:val="fr-FR" w:eastAsia="en-CA"/>
              </w:rPr>
            </w:pPr>
            <w:r w:rsidRPr="002A78DD">
              <w:rPr>
                <w:sz w:val="20"/>
                <w:szCs w:val="20"/>
                <w:lang w:val="fr-FR" w:eastAsia="en-CA"/>
              </w:rPr>
              <w:t>PNUE/ONUDI</w:t>
            </w:r>
          </w:p>
        </w:tc>
        <w:tc>
          <w:tcPr>
            <w:tcW w:w="1260" w:type="dxa"/>
            <w:tcBorders>
              <w:top w:val="single" w:sz="4" w:space="0" w:color="auto"/>
              <w:left w:val="single" w:sz="4" w:space="0" w:color="auto"/>
              <w:bottom w:val="single" w:sz="4" w:space="0" w:color="auto"/>
              <w:right w:val="single" w:sz="4" w:space="0" w:color="auto"/>
            </w:tcBorders>
          </w:tcPr>
          <w:p w14:paraId="7AA60AE9" w14:textId="77777777" w:rsidR="007C592E" w:rsidRPr="002A78DD" w:rsidRDefault="007C592E" w:rsidP="007C592E">
            <w:pPr>
              <w:jc w:val="center"/>
              <w:rPr>
                <w:sz w:val="20"/>
                <w:szCs w:val="20"/>
                <w:lang w:val="fr-FR"/>
              </w:rPr>
            </w:pPr>
            <w:r w:rsidRPr="002A78DD">
              <w:rPr>
                <w:sz w:val="20"/>
                <w:szCs w:val="20"/>
                <w:lang w:val="fr-FR"/>
              </w:rPr>
              <w:t>85/18</w:t>
            </w:r>
          </w:p>
        </w:tc>
        <w:tc>
          <w:tcPr>
            <w:tcW w:w="2880" w:type="dxa"/>
            <w:tcBorders>
              <w:top w:val="single" w:sz="4" w:space="0" w:color="auto"/>
              <w:left w:val="single" w:sz="4" w:space="0" w:color="auto"/>
              <w:bottom w:val="single" w:sz="4" w:space="0" w:color="auto"/>
              <w:right w:val="single" w:sz="4" w:space="0" w:color="auto"/>
            </w:tcBorders>
          </w:tcPr>
          <w:p w14:paraId="4EFD9158" w14:textId="41CF3F6C" w:rsidR="007C592E" w:rsidRPr="002A78DD" w:rsidRDefault="007C592E" w:rsidP="00F50138">
            <w:pPr>
              <w:widowControl w:val="0"/>
              <w:jc w:val="left"/>
              <w:rPr>
                <w:sz w:val="20"/>
                <w:szCs w:val="20"/>
                <w:lang w:val="fr-FR"/>
              </w:rPr>
            </w:pPr>
            <w:r w:rsidRPr="002A78DD">
              <w:rPr>
                <w:sz w:val="20"/>
                <w:szCs w:val="20"/>
                <w:lang w:val="fr-FR"/>
              </w:rPr>
              <w:t xml:space="preserve">Nouvelle phase II. Toutes les questions de coûts et d’orientation sont </w:t>
            </w:r>
            <w:r w:rsidR="00F50138">
              <w:rPr>
                <w:sz w:val="20"/>
                <w:szCs w:val="20"/>
                <w:lang w:val="fr-FR"/>
              </w:rPr>
              <w:t>résolues</w:t>
            </w:r>
          </w:p>
        </w:tc>
      </w:tr>
      <w:tr w:rsidR="007C592E" w:rsidRPr="008706DE" w14:paraId="3D437C44" w14:textId="77777777" w:rsidTr="0096094E">
        <w:tc>
          <w:tcPr>
            <w:tcW w:w="1560" w:type="dxa"/>
            <w:tcBorders>
              <w:top w:val="single" w:sz="4" w:space="0" w:color="auto"/>
              <w:left w:val="single" w:sz="4" w:space="0" w:color="auto"/>
              <w:bottom w:val="single" w:sz="4" w:space="0" w:color="auto"/>
              <w:right w:val="single" w:sz="4" w:space="0" w:color="auto"/>
            </w:tcBorders>
          </w:tcPr>
          <w:p w14:paraId="374F0990" w14:textId="6572DA25" w:rsidR="007C592E" w:rsidRPr="002A78DD" w:rsidRDefault="007C592E" w:rsidP="007C592E">
            <w:pPr>
              <w:widowControl w:val="0"/>
              <w:jc w:val="left"/>
              <w:rPr>
                <w:sz w:val="20"/>
                <w:szCs w:val="20"/>
                <w:lang w:val="fr-FR"/>
              </w:rPr>
            </w:pPr>
            <w:r w:rsidRPr="002A78DD">
              <w:rPr>
                <w:sz w:val="20"/>
                <w:szCs w:val="20"/>
                <w:lang w:val="fr-FR"/>
              </w:rPr>
              <w:t>Albanie</w:t>
            </w:r>
          </w:p>
        </w:tc>
        <w:tc>
          <w:tcPr>
            <w:tcW w:w="2551" w:type="dxa"/>
            <w:tcBorders>
              <w:top w:val="single" w:sz="4" w:space="0" w:color="auto"/>
              <w:left w:val="single" w:sz="4" w:space="0" w:color="auto"/>
              <w:bottom w:val="single" w:sz="4" w:space="0" w:color="auto"/>
              <w:right w:val="single" w:sz="4" w:space="0" w:color="auto"/>
            </w:tcBorders>
          </w:tcPr>
          <w:p w14:paraId="6E2EBA0B" w14:textId="1341EDF2" w:rsidR="007C592E" w:rsidRPr="002A78DD" w:rsidRDefault="007C592E" w:rsidP="007C592E">
            <w:pPr>
              <w:jc w:val="left"/>
              <w:rPr>
                <w:sz w:val="20"/>
                <w:szCs w:val="20"/>
                <w:lang w:val="fr-FR"/>
              </w:rPr>
            </w:pPr>
            <w:r w:rsidRPr="002A78DD">
              <w:rPr>
                <w:sz w:val="20"/>
                <w:szCs w:val="20"/>
                <w:lang w:val="fr-FR"/>
              </w:rPr>
              <w:t>Plan de gestion de l’élimination des HCFC</w:t>
            </w:r>
            <w:r w:rsidR="00A717B5" w:rsidRPr="002A78DD">
              <w:rPr>
                <w:sz w:val="20"/>
                <w:szCs w:val="20"/>
                <w:lang w:val="fr-FR"/>
              </w:rPr>
              <w:t xml:space="preserve"> (phase II)</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11A424F2" w14:textId="08FB75FF" w:rsidR="007C592E" w:rsidRPr="002A78DD" w:rsidRDefault="007C592E" w:rsidP="007C592E">
            <w:pPr>
              <w:widowControl w:val="0"/>
              <w:jc w:val="left"/>
              <w:rPr>
                <w:sz w:val="20"/>
                <w:szCs w:val="20"/>
                <w:lang w:val="fr-FR" w:eastAsia="en-CA"/>
              </w:rPr>
            </w:pPr>
            <w:r w:rsidRPr="002A78DD">
              <w:rPr>
                <w:sz w:val="20"/>
                <w:szCs w:val="20"/>
                <w:lang w:val="fr-FR" w:eastAsia="en-CA"/>
              </w:rPr>
              <w:t>ONUDI</w:t>
            </w:r>
          </w:p>
        </w:tc>
        <w:tc>
          <w:tcPr>
            <w:tcW w:w="1260" w:type="dxa"/>
            <w:tcBorders>
              <w:top w:val="single" w:sz="4" w:space="0" w:color="auto"/>
              <w:left w:val="single" w:sz="4" w:space="0" w:color="auto"/>
              <w:bottom w:val="single" w:sz="4" w:space="0" w:color="auto"/>
              <w:right w:val="single" w:sz="4" w:space="0" w:color="auto"/>
            </w:tcBorders>
          </w:tcPr>
          <w:p w14:paraId="612A0F96" w14:textId="77777777" w:rsidR="007C592E" w:rsidRPr="002A78DD" w:rsidRDefault="007C592E" w:rsidP="007C592E">
            <w:pPr>
              <w:jc w:val="center"/>
              <w:rPr>
                <w:sz w:val="20"/>
                <w:szCs w:val="20"/>
                <w:lang w:val="fr-FR"/>
              </w:rPr>
            </w:pPr>
            <w:r w:rsidRPr="002A78DD">
              <w:rPr>
                <w:sz w:val="20"/>
                <w:szCs w:val="20"/>
                <w:lang w:val="fr-FR"/>
              </w:rPr>
              <w:t>85/19</w:t>
            </w:r>
          </w:p>
        </w:tc>
        <w:tc>
          <w:tcPr>
            <w:tcW w:w="2880" w:type="dxa"/>
            <w:tcBorders>
              <w:top w:val="single" w:sz="4" w:space="0" w:color="auto"/>
              <w:left w:val="single" w:sz="4" w:space="0" w:color="auto"/>
              <w:bottom w:val="single" w:sz="4" w:space="0" w:color="auto"/>
              <w:right w:val="single" w:sz="4" w:space="0" w:color="auto"/>
            </w:tcBorders>
          </w:tcPr>
          <w:p w14:paraId="25A4C5C2" w14:textId="6F81455A" w:rsidR="007C592E" w:rsidRPr="002A78DD" w:rsidRDefault="007C592E" w:rsidP="00F50138">
            <w:pPr>
              <w:widowControl w:val="0"/>
              <w:jc w:val="left"/>
              <w:rPr>
                <w:sz w:val="20"/>
                <w:szCs w:val="20"/>
                <w:lang w:val="fr-FR"/>
              </w:rPr>
            </w:pPr>
            <w:r w:rsidRPr="002A78DD">
              <w:rPr>
                <w:sz w:val="20"/>
                <w:szCs w:val="20"/>
                <w:lang w:val="fr-FR"/>
              </w:rPr>
              <w:t xml:space="preserve">Nouvelle phase II. Toutes les questions de coûts et d’orientation sont </w:t>
            </w:r>
            <w:r w:rsidR="00F50138">
              <w:rPr>
                <w:sz w:val="20"/>
                <w:szCs w:val="20"/>
                <w:lang w:val="fr-FR"/>
              </w:rPr>
              <w:t>résolues</w:t>
            </w:r>
          </w:p>
        </w:tc>
      </w:tr>
      <w:tr w:rsidR="007C592E" w:rsidRPr="008706DE" w14:paraId="692E92FE" w14:textId="77777777" w:rsidTr="0096094E">
        <w:tc>
          <w:tcPr>
            <w:tcW w:w="1560" w:type="dxa"/>
            <w:tcBorders>
              <w:top w:val="single" w:sz="4" w:space="0" w:color="auto"/>
              <w:left w:val="single" w:sz="4" w:space="0" w:color="auto"/>
              <w:bottom w:val="single" w:sz="4" w:space="0" w:color="auto"/>
              <w:right w:val="single" w:sz="4" w:space="0" w:color="auto"/>
            </w:tcBorders>
          </w:tcPr>
          <w:p w14:paraId="61031FE8" w14:textId="77777777" w:rsidR="007C592E" w:rsidRPr="002A78DD" w:rsidRDefault="007C592E" w:rsidP="007C592E">
            <w:pPr>
              <w:widowControl w:val="0"/>
              <w:jc w:val="left"/>
              <w:rPr>
                <w:sz w:val="20"/>
                <w:szCs w:val="20"/>
                <w:lang w:val="fr-FR"/>
              </w:rPr>
            </w:pPr>
            <w:r w:rsidRPr="002A78DD">
              <w:rPr>
                <w:sz w:val="20"/>
                <w:szCs w:val="20"/>
                <w:lang w:val="fr-FR"/>
              </w:rPr>
              <w:t>Malawi</w:t>
            </w:r>
          </w:p>
        </w:tc>
        <w:tc>
          <w:tcPr>
            <w:tcW w:w="2551" w:type="dxa"/>
            <w:tcBorders>
              <w:top w:val="single" w:sz="4" w:space="0" w:color="auto"/>
              <w:left w:val="single" w:sz="4" w:space="0" w:color="auto"/>
              <w:bottom w:val="single" w:sz="4" w:space="0" w:color="auto"/>
              <w:right w:val="single" w:sz="4" w:space="0" w:color="auto"/>
            </w:tcBorders>
          </w:tcPr>
          <w:p w14:paraId="4FEBF400" w14:textId="63522A77" w:rsidR="007C592E" w:rsidRPr="002A78DD" w:rsidRDefault="007C592E" w:rsidP="007C592E">
            <w:pPr>
              <w:jc w:val="left"/>
              <w:rPr>
                <w:sz w:val="20"/>
                <w:szCs w:val="20"/>
                <w:lang w:val="fr-FR"/>
              </w:rPr>
            </w:pPr>
            <w:r w:rsidRPr="002A78DD">
              <w:rPr>
                <w:sz w:val="20"/>
                <w:szCs w:val="20"/>
                <w:lang w:val="fr-FR"/>
              </w:rPr>
              <w:t>Plan de gestion de l’élimination des HCFC</w:t>
            </w:r>
            <w:r w:rsidR="00A717B5" w:rsidRPr="002A78DD">
              <w:rPr>
                <w:sz w:val="20"/>
                <w:szCs w:val="20"/>
                <w:lang w:val="fr-FR"/>
              </w:rPr>
              <w:t xml:space="preserve"> (phase II)</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29FC9358" w14:textId="3D60A4DF" w:rsidR="007C592E" w:rsidRPr="002A78DD" w:rsidRDefault="007C592E" w:rsidP="007C592E">
            <w:pPr>
              <w:widowControl w:val="0"/>
              <w:jc w:val="left"/>
              <w:rPr>
                <w:sz w:val="20"/>
                <w:szCs w:val="20"/>
                <w:lang w:val="fr-FR" w:eastAsia="en-CA"/>
              </w:rPr>
            </w:pPr>
            <w:r w:rsidRPr="002A78DD">
              <w:rPr>
                <w:sz w:val="20"/>
                <w:szCs w:val="20"/>
                <w:lang w:val="fr-FR" w:eastAsia="en-CA"/>
              </w:rPr>
              <w:t>PNUE/ONUDI</w:t>
            </w:r>
          </w:p>
        </w:tc>
        <w:tc>
          <w:tcPr>
            <w:tcW w:w="1260" w:type="dxa"/>
            <w:tcBorders>
              <w:top w:val="single" w:sz="4" w:space="0" w:color="auto"/>
              <w:left w:val="single" w:sz="4" w:space="0" w:color="auto"/>
              <w:bottom w:val="single" w:sz="4" w:space="0" w:color="auto"/>
              <w:right w:val="single" w:sz="4" w:space="0" w:color="auto"/>
            </w:tcBorders>
          </w:tcPr>
          <w:p w14:paraId="59AD6DA9" w14:textId="7FFD0973" w:rsidR="007C592E" w:rsidRPr="002A78DD" w:rsidRDefault="007C592E" w:rsidP="007C592E">
            <w:pPr>
              <w:jc w:val="center"/>
              <w:rPr>
                <w:sz w:val="20"/>
                <w:szCs w:val="20"/>
                <w:lang w:val="fr-FR"/>
              </w:rPr>
            </w:pPr>
            <w:r w:rsidRPr="002A78DD">
              <w:rPr>
                <w:sz w:val="20"/>
                <w:szCs w:val="20"/>
                <w:lang w:val="fr-FR"/>
              </w:rPr>
              <w:t>85/37 et Corr.1</w:t>
            </w:r>
          </w:p>
        </w:tc>
        <w:tc>
          <w:tcPr>
            <w:tcW w:w="2880" w:type="dxa"/>
            <w:tcBorders>
              <w:top w:val="single" w:sz="4" w:space="0" w:color="auto"/>
              <w:left w:val="single" w:sz="4" w:space="0" w:color="auto"/>
              <w:bottom w:val="single" w:sz="4" w:space="0" w:color="auto"/>
              <w:right w:val="single" w:sz="4" w:space="0" w:color="auto"/>
            </w:tcBorders>
          </w:tcPr>
          <w:p w14:paraId="6D54CC4D" w14:textId="1B752C19" w:rsidR="007C592E" w:rsidRPr="002A78DD" w:rsidRDefault="007C592E" w:rsidP="007C592E">
            <w:pPr>
              <w:widowControl w:val="0"/>
              <w:jc w:val="left"/>
              <w:rPr>
                <w:sz w:val="20"/>
                <w:szCs w:val="20"/>
                <w:lang w:val="fr-FR"/>
              </w:rPr>
            </w:pPr>
            <w:r w:rsidRPr="002A78DD">
              <w:rPr>
                <w:sz w:val="20"/>
                <w:szCs w:val="20"/>
                <w:lang w:val="fr-FR"/>
              </w:rPr>
              <w:t xml:space="preserve">Nouvelle phase II. Toutes les questions de coûts et d’orientation sont </w:t>
            </w:r>
            <w:r w:rsidR="00F50138">
              <w:rPr>
                <w:sz w:val="20"/>
                <w:szCs w:val="20"/>
                <w:lang w:val="fr-FR"/>
              </w:rPr>
              <w:t>résolues</w:t>
            </w:r>
          </w:p>
        </w:tc>
      </w:tr>
      <w:tr w:rsidR="007C592E" w:rsidRPr="008706DE" w14:paraId="2BB357E6" w14:textId="77777777" w:rsidTr="0096094E">
        <w:tc>
          <w:tcPr>
            <w:tcW w:w="1560" w:type="dxa"/>
            <w:tcBorders>
              <w:top w:val="single" w:sz="4" w:space="0" w:color="auto"/>
              <w:left w:val="single" w:sz="4" w:space="0" w:color="auto"/>
              <w:bottom w:val="single" w:sz="4" w:space="0" w:color="auto"/>
              <w:right w:val="single" w:sz="4" w:space="0" w:color="auto"/>
            </w:tcBorders>
          </w:tcPr>
          <w:p w14:paraId="3AC9FF34" w14:textId="2507E1DA" w:rsidR="007C592E" w:rsidRPr="002A78DD" w:rsidRDefault="007C592E" w:rsidP="007C592E">
            <w:pPr>
              <w:widowControl w:val="0"/>
              <w:jc w:val="left"/>
              <w:rPr>
                <w:sz w:val="20"/>
                <w:szCs w:val="20"/>
                <w:lang w:val="fr-FR"/>
              </w:rPr>
            </w:pPr>
            <w:r w:rsidRPr="002A78DD">
              <w:rPr>
                <w:sz w:val="20"/>
                <w:szCs w:val="20"/>
                <w:lang w:val="fr-FR"/>
              </w:rPr>
              <w:t>Monténégro</w:t>
            </w:r>
          </w:p>
        </w:tc>
        <w:tc>
          <w:tcPr>
            <w:tcW w:w="2551" w:type="dxa"/>
            <w:tcBorders>
              <w:top w:val="single" w:sz="4" w:space="0" w:color="auto"/>
              <w:left w:val="single" w:sz="4" w:space="0" w:color="auto"/>
              <w:bottom w:val="single" w:sz="4" w:space="0" w:color="auto"/>
              <w:right w:val="single" w:sz="4" w:space="0" w:color="auto"/>
            </w:tcBorders>
          </w:tcPr>
          <w:p w14:paraId="72503B10" w14:textId="3F96C4BB" w:rsidR="00A717B5" w:rsidRPr="002A78DD" w:rsidRDefault="007C592E" w:rsidP="00790A2F">
            <w:pPr>
              <w:widowControl w:val="0"/>
              <w:jc w:val="left"/>
              <w:rPr>
                <w:sz w:val="20"/>
                <w:szCs w:val="20"/>
                <w:lang w:val="fr-FR"/>
              </w:rPr>
            </w:pPr>
            <w:r w:rsidRPr="002A78DD">
              <w:rPr>
                <w:sz w:val="20"/>
                <w:szCs w:val="20"/>
                <w:lang w:val="fr-FR"/>
              </w:rPr>
              <w:t>Plan de gestion de l’élimination des HCFC</w:t>
            </w:r>
            <w:r w:rsidR="00790A2F">
              <w:rPr>
                <w:sz w:val="20"/>
                <w:szCs w:val="20"/>
                <w:lang w:val="fr-FR"/>
              </w:rPr>
              <w:t xml:space="preserve"> </w:t>
            </w:r>
            <w:r w:rsidR="00A717B5" w:rsidRPr="002A78DD">
              <w:rPr>
                <w:sz w:val="20"/>
                <w:szCs w:val="20"/>
                <w:lang w:val="fr-FR"/>
              </w:rPr>
              <w:t>(phase II)</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0AF6D877" w14:textId="3BB61B26" w:rsidR="007C592E" w:rsidRPr="002A78DD" w:rsidRDefault="007C592E" w:rsidP="007C592E">
            <w:pPr>
              <w:widowControl w:val="0"/>
              <w:jc w:val="left"/>
              <w:rPr>
                <w:sz w:val="20"/>
                <w:szCs w:val="20"/>
                <w:lang w:val="fr-FR" w:eastAsia="en-CA"/>
              </w:rPr>
            </w:pPr>
            <w:r w:rsidRPr="002A78DD">
              <w:rPr>
                <w:sz w:val="20"/>
                <w:szCs w:val="20"/>
                <w:lang w:val="fr-FR" w:eastAsia="en-CA"/>
              </w:rPr>
              <w:t>ONUDI</w:t>
            </w:r>
          </w:p>
        </w:tc>
        <w:tc>
          <w:tcPr>
            <w:tcW w:w="1260" w:type="dxa"/>
            <w:tcBorders>
              <w:top w:val="single" w:sz="4" w:space="0" w:color="auto"/>
              <w:left w:val="single" w:sz="4" w:space="0" w:color="auto"/>
              <w:bottom w:val="single" w:sz="4" w:space="0" w:color="auto"/>
              <w:right w:val="single" w:sz="4" w:space="0" w:color="auto"/>
            </w:tcBorders>
          </w:tcPr>
          <w:p w14:paraId="3ADB0640" w14:textId="77777777" w:rsidR="007C592E" w:rsidRPr="002A78DD" w:rsidRDefault="007C592E" w:rsidP="007C592E">
            <w:pPr>
              <w:jc w:val="center"/>
              <w:rPr>
                <w:sz w:val="20"/>
                <w:szCs w:val="20"/>
                <w:lang w:val="fr-FR"/>
              </w:rPr>
            </w:pPr>
            <w:r w:rsidRPr="002A78DD">
              <w:rPr>
                <w:sz w:val="20"/>
                <w:szCs w:val="20"/>
                <w:lang w:val="fr-FR"/>
              </w:rPr>
              <w:t>85/39</w:t>
            </w:r>
          </w:p>
        </w:tc>
        <w:tc>
          <w:tcPr>
            <w:tcW w:w="2880" w:type="dxa"/>
            <w:tcBorders>
              <w:top w:val="single" w:sz="4" w:space="0" w:color="auto"/>
              <w:left w:val="single" w:sz="4" w:space="0" w:color="auto"/>
              <w:bottom w:val="single" w:sz="4" w:space="0" w:color="auto"/>
              <w:right w:val="single" w:sz="4" w:space="0" w:color="auto"/>
            </w:tcBorders>
          </w:tcPr>
          <w:p w14:paraId="7F8BA7DA" w14:textId="45AE53AE" w:rsidR="007C592E" w:rsidRPr="002A78DD" w:rsidRDefault="007C592E" w:rsidP="00F50138">
            <w:pPr>
              <w:widowControl w:val="0"/>
              <w:jc w:val="left"/>
              <w:rPr>
                <w:sz w:val="20"/>
                <w:szCs w:val="20"/>
                <w:lang w:val="fr-FR"/>
              </w:rPr>
            </w:pPr>
            <w:r w:rsidRPr="002A78DD">
              <w:rPr>
                <w:sz w:val="20"/>
                <w:szCs w:val="20"/>
                <w:lang w:val="fr-FR"/>
              </w:rPr>
              <w:t xml:space="preserve">Nouvelle phase II. Toutes les questions de coûts et d’orientation sont </w:t>
            </w:r>
            <w:r w:rsidR="00F50138">
              <w:rPr>
                <w:sz w:val="20"/>
                <w:szCs w:val="20"/>
                <w:lang w:val="fr-FR"/>
              </w:rPr>
              <w:t>résolues</w:t>
            </w:r>
            <w:r w:rsidRPr="002A78DD">
              <w:rPr>
                <w:sz w:val="20"/>
                <w:szCs w:val="20"/>
                <w:lang w:val="fr-FR"/>
              </w:rPr>
              <w:t>; PGEH accéléré avec élimination totale en 2025</w:t>
            </w:r>
          </w:p>
        </w:tc>
      </w:tr>
      <w:tr w:rsidR="00A717B5" w:rsidRPr="008706DE" w14:paraId="378C9E34" w14:textId="77777777" w:rsidTr="0096094E">
        <w:tc>
          <w:tcPr>
            <w:tcW w:w="1560" w:type="dxa"/>
            <w:tcBorders>
              <w:top w:val="single" w:sz="4" w:space="0" w:color="auto"/>
              <w:left w:val="single" w:sz="4" w:space="0" w:color="auto"/>
              <w:bottom w:val="single" w:sz="4" w:space="0" w:color="auto"/>
              <w:right w:val="single" w:sz="4" w:space="0" w:color="auto"/>
            </w:tcBorders>
          </w:tcPr>
          <w:p w14:paraId="1A3FD638" w14:textId="40ACFF25" w:rsidR="00A717B5" w:rsidRPr="002A78DD" w:rsidRDefault="00A717B5" w:rsidP="007C592E">
            <w:pPr>
              <w:widowControl w:val="0"/>
              <w:jc w:val="left"/>
              <w:rPr>
                <w:sz w:val="20"/>
                <w:szCs w:val="20"/>
                <w:lang w:val="fr-FR"/>
              </w:rPr>
            </w:pPr>
            <w:r w:rsidRPr="002A78DD">
              <w:rPr>
                <w:sz w:val="20"/>
                <w:szCs w:val="20"/>
                <w:lang w:val="fr-FR"/>
              </w:rPr>
              <w:t>Serbie</w:t>
            </w:r>
          </w:p>
        </w:tc>
        <w:tc>
          <w:tcPr>
            <w:tcW w:w="2551" w:type="dxa"/>
            <w:tcBorders>
              <w:top w:val="single" w:sz="4" w:space="0" w:color="auto"/>
              <w:left w:val="single" w:sz="4" w:space="0" w:color="auto"/>
              <w:bottom w:val="single" w:sz="4" w:space="0" w:color="auto"/>
              <w:right w:val="single" w:sz="4" w:space="0" w:color="auto"/>
            </w:tcBorders>
          </w:tcPr>
          <w:p w14:paraId="1E09D6A5" w14:textId="11BEB41E" w:rsidR="00A717B5" w:rsidRPr="002A78DD" w:rsidRDefault="00A717B5" w:rsidP="007C592E">
            <w:pPr>
              <w:widowControl w:val="0"/>
              <w:jc w:val="left"/>
              <w:rPr>
                <w:sz w:val="20"/>
                <w:szCs w:val="20"/>
                <w:lang w:val="fr-FR"/>
              </w:rPr>
            </w:pPr>
            <w:r w:rsidRPr="002A78DD">
              <w:rPr>
                <w:sz w:val="20"/>
                <w:szCs w:val="20"/>
                <w:lang w:val="fr-FR"/>
              </w:rPr>
              <w:t>Plan de gestion de l’élimination des HCFC (phase II)</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7A7C4989" w14:textId="78FAEABB" w:rsidR="00A717B5" w:rsidRPr="002A78DD" w:rsidRDefault="00A717B5" w:rsidP="007C592E">
            <w:pPr>
              <w:widowControl w:val="0"/>
              <w:jc w:val="left"/>
              <w:rPr>
                <w:sz w:val="20"/>
                <w:szCs w:val="20"/>
                <w:lang w:val="fr-FR" w:eastAsia="en-CA"/>
              </w:rPr>
            </w:pPr>
            <w:r w:rsidRPr="002A78DD">
              <w:rPr>
                <w:sz w:val="20"/>
                <w:szCs w:val="20"/>
                <w:lang w:val="fr-FR" w:eastAsia="en-CA"/>
              </w:rPr>
              <w:t>ONUDI</w:t>
            </w:r>
          </w:p>
        </w:tc>
        <w:tc>
          <w:tcPr>
            <w:tcW w:w="1260" w:type="dxa"/>
            <w:tcBorders>
              <w:top w:val="single" w:sz="4" w:space="0" w:color="auto"/>
              <w:left w:val="single" w:sz="4" w:space="0" w:color="auto"/>
              <w:bottom w:val="single" w:sz="4" w:space="0" w:color="auto"/>
              <w:right w:val="single" w:sz="4" w:space="0" w:color="auto"/>
            </w:tcBorders>
          </w:tcPr>
          <w:p w14:paraId="0D1E058F" w14:textId="77777777" w:rsidR="00A717B5" w:rsidRPr="002A78DD" w:rsidRDefault="00A717B5" w:rsidP="007C592E">
            <w:pPr>
              <w:jc w:val="center"/>
              <w:rPr>
                <w:sz w:val="20"/>
                <w:szCs w:val="20"/>
                <w:lang w:val="fr-FR"/>
              </w:rPr>
            </w:pPr>
            <w:r w:rsidRPr="002A78DD">
              <w:rPr>
                <w:sz w:val="20"/>
                <w:szCs w:val="20"/>
                <w:lang w:val="fr-FR"/>
              </w:rPr>
              <w:t>85/46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3C7EAEE" w14:textId="17B4AF4F" w:rsidR="00A717B5" w:rsidRPr="002A78DD" w:rsidRDefault="00A717B5" w:rsidP="007C592E">
            <w:pPr>
              <w:widowControl w:val="0"/>
              <w:jc w:val="left"/>
              <w:rPr>
                <w:sz w:val="20"/>
                <w:szCs w:val="20"/>
                <w:lang w:val="fr-FR"/>
              </w:rPr>
            </w:pPr>
            <w:r w:rsidRPr="002A78DD">
              <w:rPr>
                <w:sz w:val="20"/>
                <w:szCs w:val="20"/>
                <w:lang w:val="fr-FR"/>
              </w:rPr>
              <w:t xml:space="preserve">Nouvelle phase II. Toutes les questions de coûts et d’orientation sont </w:t>
            </w:r>
            <w:r w:rsidR="00F50138">
              <w:rPr>
                <w:sz w:val="20"/>
                <w:szCs w:val="20"/>
                <w:lang w:val="fr-FR"/>
              </w:rPr>
              <w:t>résolu</w:t>
            </w:r>
            <w:r w:rsidR="00E479FA" w:rsidRPr="002A78DD">
              <w:rPr>
                <w:sz w:val="20"/>
                <w:szCs w:val="20"/>
                <w:lang w:val="fr-FR"/>
              </w:rPr>
              <w:t>es</w:t>
            </w:r>
          </w:p>
        </w:tc>
      </w:tr>
      <w:tr w:rsidR="007C592E" w:rsidRPr="008706DE" w14:paraId="5081CB74" w14:textId="77777777" w:rsidTr="0037080F">
        <w:tc>
          <w:tcPr>
            <w:tcW w:w="9923" w:type="dxa"/>
            <w:gridSpan w:val="5"/>
            <w:shd w:val="clear" w:color="auto" w:fill="auto"/>
          </w:tcPr>
          <w:p w14:paraId="289E0064" w14:textId="7045C4E3" w:rsidR="007C592E" w:rsidRPr="002A78DD" w:rsidRDefault="00A717B5" w:rsidP="007C592E">
            <w:pPr>
              <w:keepNext/>
              <w:jc w:val="left"/>
              <w:rPr>
                <w:sz w:val="20"/>
                <w:szCs w:val="20"/>
                <w:lang w:val="fr-FR"/>
              </w:rPr>
            </w:pPr>
            <w:r w:rsidRPr="002A78DD">
              <w:rPr>
                <w:b/>
                <w:sz w:val="20"/>
                <w:szCs w:val="20"/>
                <w:lang w:val="fr-FR"/>
              </w:rPr>
              <w:t>D</w:t>
            </w:r>
            <w:r w:rsidR="00F50138">
              <w:rPr>
                <w:b/>
                <w:sz w:val="20"/>
                <w:szCs w:val="20"/>
                <w:lang w:val="fr-FR"/>
              </w:rPr>
              <w:t>emandes pour des tranches de phase I et de</w:t>
            </w:r>
            <w:r w:rsidRPr="002A78DD">
              <w:rPr>
                <w:b/>
                <w:sz w:val="20"/>
                <w:szCs w:val="20"/>
                <w:lang w:val="fr-FR"/>
              </w:rPr>
              <w:t xml:space="preserve"> phase II de PGEH</w:t>
            </w:r>
          </w:p>
        </w:tc>
      </w:tr>
      <w:tr w:rsidR="00A717B5" w:rsidRPr="008706DE" w14:paraId="3C89F640" w14:textId="77777777" w:rsidTr="0096094E">
        <w:tc>
          <w:tcPr>
            <w:tcW w:w="1560" w:type="dxa"/>
            <w:tcBorders>
              <w:top w:val="single" w:sz="4" w:space="0" w:color="auto"/>
              <w:left w:val="single" w:sz="4" w:space="0" w:color="auto"/>
              <w:bottom w:val="single" w:sz="4" w:space="0" w:color="auto"/>
              <w:right w:val="single" w:sz="4" w:space="0" w:color="auto"/>
            </w:tcBorders>
          </w:tcPr>
          <w:p w14:paraId="1E66F3CA" w14:textId="1C6B9838" w:rsidR="00A717B5" w:rsidRPr="002A78DD" w:rsidRDefault="00A717B5" w:rsidP="007C592E">
            <w:pPr>
              <w:widowControl w:val="0"/>
              <w:jc w:val="left"/>
              <w:rPr>
                <w:sz w:val="20"/>
                <w:szCs w:val="20"/>
                <w:lang w:val="fr-FR"/>
              </w:rPr>
            </w:pPr>
            <w:r w:rsidRPr="002A78DD">
              <w:rPr>
                <w:sz w:val="20"/>
                <w:szCs w:val="20"/>
                <w:lang w:val="fr-FR"/>
              </w:rPr>
              <w:t>Chine (global)</w:t>
            </w:r>
          </w:p>
        </w:tc>
        <w:tc>
          <w:tcPr>
            <w:tcW w:w="2551" w:type="dxa"/>
            <w:tcBorders>
              <w:top w:val="single" w:sz="4" w:space="0" w:color="auto"/>
              <w:left w:val="single" w:sz="4" w:space="0" w:color="auto"/>
              <w:bottom w:val="single" w:sz="4" w:space="0" w:color="auto"/>
              <w:right w:val="single" w:sz="4" w:space="0" w:color="auto"/>
            </w:tcBorders>
          </w:tcPr>
          <w:p w14:paraId="6EA34D45" w14:textId="3A764FA3" w:rsidR="00A717B5" w:rsidRPr="002A78DD" w:rsidRDefault="00A717B5" w:rsidP="007C592E">
            <w:pPr>
              <w:widowControl w:val="0"/>
              <w:jc w:val="left"/>
              <w:rPr>
                <w:sz w:val="20"/>
                <w:szCs w:val="20"/>
                <w:lang w:val="fr-FR"/>
              </w:rPr>
            </w:pPr>
            <w:r w:rsidRPr="002A78DD">
              <w:rPr>
                <w:sz w:val="20"/>
                <w:szCs w:val="20"/>
                <w:lang w:val="fr-FR"/>
              </w:rPr>
              <w:t>Plan de gestion de l’élimination des HCFC (phase II)</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09D83573" w14:textId="009567A1" w:rsidR="00A717B5" w:rsidRPr="002A78DD" w:rsidRDefault="00A717B5" w:rsidP="007C592E">
            <w:pPr>
              <w:widowControl w:val="0"/>
              <w:jc w:val="left"/>
              <w:rPr>
                <w:sz w:val="20"/>
                <w:szCs w:val="20"/>
                <w:lang w:val="fr-FR" w:eastAsia="en-CA"/>
              </w:rPr>
            </w:pPr>
            <w:r w:rsidRPr="002A78DD">
              <w:rPr>
                <w:sz w:val="20"/>
                <w:szCs w:val="20"/>
                <w:lang w:val="fr-FR" w:eastAsia="en-CA"/>
              </w:rPr>
              <w:t>PNUD/PNUE/ ONUDI/Banque mondial/Allemagne/ Italie/Japon</w:t>
            </w:r>
          </w:p>
        </w:tc>
        <w:tc>
          <w:tcPr>
            <w:tcW w:w="1260" w:type="dxa"/>
            <w:tcBorders>
              <w:top w:val="single" w:sz="4" w:space="0" w:color="auto"/>
              <w:left w:val="single" w:sz="4" w:space="0" w:color="auto"/>
              <w:bottom w:val="single" w:sz="4" w:space="0" w:color="auto"/>
              <w:right w:val="single" w:sz="4" w:space="0" w:color="auto"/>
            </w:tcBorders>
          </w:tcPr>
          <w:p w14:paraId="4687271D" w14:textId="77777777" w:rsidR="00A717B5" w:rsidRPr="002A78DD" w:rsidRDefault="00A717B5" w:rsidP="007C592E">
            <w:pPr>
              <w:jc w:val="center"/>
              <w:rPr>
                <w:sz w:val="20"/>
                <w:szCs w:val="20"/>
                <w:lang w:val="fr-FR"/>
              </w:rPr>
            </w:pPr>
            <w:r w:rsidRPr="002A78DD">
              <w:rPr>
                <w:sz w:val="20"/>
                <w:szCs w:val="20"/>
                <w:lang w:val="fr-FR"/>
              </w:rPr>
              <w:t>85/21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9F44F10" w14:textId="5B4F3524" w:rsidR="00A717B5" w:rsidRPr="002A78DD" w:rsidRDefault="00A717B5" w:rsidP="007C592E">
            <w:pPr>
              <w:widowControl w:val="0"/>
              <w:jc w:val="left"/>
              <w:rPr>
                <w:sz w:val="20"/>
                <w:szCs w:val="20"/>
                <w:lang w:val="fr-FR"/>
              </w:rPr>
            </w:pPr>
            <w:r w:rsidRPr="002A78DD">
              <w:rPr>
                <w:sz w:val="20"/>
                <w:szCs w:val="20"/>
                <w:lang w:val="fr-FR"/>
              </w:rPr>
              <w:t>Format du rapport financier sur l</w:t>
            </w:r>
            <w:r w:rsidR="009E5853">
              <w:rPr>
                <w:sz w:val="20"/>
                <w:szCs w:val="20"/>
                <w:lang w:val="fr-FR"/>
              </w:rPr>
              <w:t xml:space="preserve">a mise en œuvre du projet et </w:t>
            </w:r>
            <w:r w:rsidRPr="002A78DD">
              <w:rPr>
                <w:sz w:val="20"/>
                <w:szCs w:val="20"/>
                <w:lang w:val="fr-FR"/>
              </w:rPr>
              <w:t xml:space="preserve"> dépenses de l’unité de surveillance</w:t>
            </w:r>
          </w:p>
        </w:tc>
      </w:tr>
      <w:tr w:rsidR="00A717B5" w:rsidRPr="008706DE" w14:paraId="08930A6B" w14:textId="77777777" w:rsidTr="0096094E">
        <w:tc>
          <w:tcPr>
            <w:tcW w:w="1560" w:type="dxa"/>
            <w:tcBorders>
              <w:top w:val="single" w:sz="4" w:space="0" w:color="auto"/>
              <w:left w:val="single" w:sz="4" w:space="0" w:color="auto"/>
              <w:bottom w:val="single" w:sz="4" w:space="0" w:color="auto"/>
              <w:right w:val="single" w:sz="4" w:space="0" w:color="auto"/>
            </w:tcBorders>
          </w:tcPr>
          <w:p w14:paraId="13B8BC23" w14:textId="5E89B87E" w:rsidR="00A717B5" w:rsidRPr="002A78DD" w:rsidRDefault="00A717B5" w:rsidP="007C592E">
            <w:pPr>
              <w:keepNext/>
              <w:jc w:val="left"/>
              <w:rPr>
                <w:sz w:val="20"/>
                <w:szCs w:val="20"/>
                <w:lang w:val="fr-FR"/>
              </w:rPr>
            </w:pPr>
            <w:r w:rsidRPr="002A78DD">
              <w:rPr>
                <w:sz w:val="20"/>
                <w:szCs w:val="20"/>
                <w:lang w:val="fr-FR"/>
              </w:rPr>
              <w:t xml:space="preserve">Chine </w:t>
            </w:r>
          </w:p>
          <w:p w14:paraId="311637BF" w14:textId="7196206E" w:rsidR="00A717B5" w:rsidRPr="002A78DD" w:rsidRDefault="00A717B5" w:rsidP="007C592E">
            <w:pPr>
              <w:keepNext/>
              <w:jc w:val="left"/>
              <w:rPr>
                <w:sz w:val="20"/>
                <w:szCs w:val="20"/>
                <w:lang w:val="fr-FR"/>
              </w:rPr>
            </w:pPr>
            <w:r w:rsidRPr="002A78DD">
              <w:rPr>
                <w:sz w:val="20"/>
                <w:szCs w:val="20"/>
                <w:lang w:val="fr-FR"/>
              </w:rPr>
              <w:t>(mousse XPS)</w:t>
            </w:r>
          </w:p>
        </w:tc>
        <w:tc>
          <w:tcPr>
            <w:tcW w:w="2551" w:type="dxa"/>
            <w:tcBorders>
              <w:top w:val="single" w:sz="4" w:space="0" w:color="auto"/>
              <w:left w:val="single" w:sz="4" w:space="0" w:color="auto"/>
              <w:bottom w:val="single" w:sz="4" w:space="0" w:color="auto"/>
              <w:right w:val="single" w:sz="4" w:space="0" w:color="auto"/>
            </w:tcBorders>
          </w:tcPr>
          <w:p w14:paraId="3C657A98" w14:textId="27670995" w:rsidR="00A717B5" w:rsidRPr="002A78DD" w:rsidRDefault="00A717B5" w:rsidP="007C592E">
            <w:pPr>
              <w:keepNext/>
              <w:jc w:val="left"/>
              <w:rPr>
                <w:sz w:val="20"/>
                <w:szCs w:val="20"/>
                <w:lang w:val="fr-FR"/>
              </w:rPr>
            </w:pPr>
            <w:r w:rsidRPr="002A78DD">
              <w:rPr>
                <w:sz w:val="20"/>
                <w:szCs w:val="20"/>
                <w:lang w:val="fr-FR"/>
              </w:rPr>
              <w:t>Plan de gestion de l’élimination des HCFC (phase II, troisième tranche)</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1C1CFBC1" w14:textId="6992DFAD" w:rsidR="00A717B5" w:rsidRPr="002A78DD" w:rsidRDefault="00A717B5" w:rsidP="007C592E">
            <w:pPr>
              <w:keepNext/>
              <w:jc w:val="left"/>
              <w:rPr>
                <w:sz w:val="20"/>
                <w:szCs w:val="20"/>
                <w:lang w:val="fr-FR"/>
              </w:rPr>
            </w:pPr>
            <w:r w:rsidRPr="002A78DD">
              <w:rPr>
                <w:sz w:val="20"/>
                <w:szCs w:val="20"/>
                <w:lang w:val="fr-FR"/>
              </w:rPr>
              <w:t>ONUDI/ Allemagne</w:t>
            </w:r>
          </w:p>
        </w:tc>
        <w:tc>
          <w:tcPr>
            <w:tcW w:w="1260" w:type="dxa"/>
            <w:tcBorders>
              <w:top w:val="single" w:sz="4" w:space="0" w:color="auto"/>
              <w:left w:val="single" w:sz="4" w:space="0" w:color="auto"/>
              <w:bottom w:val="single" w:sz="4" w:space="0" w:color="auto"/>
              <w:right w:val="single" w:sz="4" w:space="0" w:color="auto"/>
            </w:tcBorders>
          </w:tcPr>
          <w:p w14:paraId="1EF2C91F" w14:textId="77777777" w:rsidR="00A717B5" w:rsidRPr="002A78DD" w:rsidRDefault="00A717B5" w:rsidP="007C592E">
            <w:pPr>
              <w:jc w:val="center"/>
              <w:rPr>
                <w:sz w:val="20"/>
                <w:szCs w:val="20"/>
                <w:lang w:val="fr-FR"/>
              </w:rPr>
            </w:pPr>
            <w:r w:rsidRPr="002A78DD">
              <w:rPr>
                <w:sz w:val="20"/>
                <w:szCs w:val="20"/>
                <w:lang w:val="fr-FR"/>
              </w:rPr>
              <w:t>85/21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31A71F7" w14:textId="63425616" w:rsidR="00A717B5" w:rsidRPr="002A78DD" w:rsidRDefault="00A717B5" w:rsidP="00164EE3">
            <w:pPr>
              <w:keepNext/>
              <w:jc w:val="left"/>
              <w:rPr>
                <w:sz w:val="20"/>
                <w:szCs w:val="20"/>
                <w:lang w:val="fr-FR"/>
              </w:rPr>
            </w:pPr>
            <w:r w:rsidRPr="002A78DD">
              <w:rPr>
                <w:sz w:val="20"/>
                <w:szCs w:val="20"/>
                <w:lang w:val="fr-FR"/>
              </w:rPr>
              <w:t xml:space="preserve">Tranche </w:t>
            </w:r>
            <w:r w:rsidR="00E479FA" w:rsidRPr="002A78DD">
              <w:rPr>
                <w:sz w:val="20"/>
                <w:szCs w:val="20"/>
                <w:lang w:val="fr-FR"/>
              </w:rPr>
              <w:t>supérieure à 5</w:t>
            </w:r>
            <w:r w:rsidR="00164EE3">
              <w:rPr>
                <w:sz w:val="20"/>
                <w:szCs w:val="20"/>
                <w:lang w:val="fr-FR"/>
              </w:rPr>
              <w:t> </w:t>
            </w:r>
            <w:r w:rsidR="00E479FA" w:rsidRPr="002A78DD">
              <w:rPr>
                <w:sz w:val="20"/>
                <w:szCs w:val="20"/>
                <w:lang w:val="fr-FR"/>
              </w:rPr>
              <w:t>millions</w:t>
            </w:r>
            <w:r w:rsidR="00164EE3">
              <w:rPr>
                <w:sz w:val="20"/>
                <w:szCs w:val="20"/>
                <w:lang w:val="fr-FR"/>
              </w:rPr>
              <w:t> </w:t>
            </w:r>
            <w:r w:rsidR="00E479FA" w:rsidRPr="002A78DD">
              <w:rPr>
                <w:sz w:val="20"/>
                <w:szCs w:val="20"/>
                <w:lang w:val="fr-FR"/>
              </w:rPr>
              <w:t>$US.</w:t>
            </w:r>
            <w:r w:rsidRPr="002A78DD">
              <w:rPr>
                <w:sz w:val="20"/>
                <w:szCs w:val="20"/>
                <w:lang w:val="fr-FR"/>
              </w:rPr>
              <w:t xml:space="preserve"> </w:t>
            </w:r>
            <w:r w:rsidR="00E479FA" w:rsidRPr="002A78DD">
              <w:rPr>
                <w:sz w:val="20"/>
                <w:szCs w:val="20"/>
                <w:lang w:val="fr-FR"/>
              </w:rPr>
              <w:t>Toutes les questions techniques et de coûts sont résolues</w:t>
            </w:r>
          </w:p>
        </w:tc>
      </w:tr>
      <w:tr w:rsidR="00A717B5" w:rsidRPr="008706DE" w14:paraId="1DF947CC" w14:textId="77777777" w:rsidTr="0096094E">
        <w:tc>
          <w:tcPr>
            <w:tcW w:w="1560" w:type="dxa"/>
            <w:tcBorders>
              <w:top w:val="single" w:sz="4" w:space="0" w:color="auto"/>
              <w:left w:val="single" w:sz="4" w:space="0" w:color="auto"/>
              <w:bottom w:val="single" w:sz="4" w:space="0" w:color="auto"/>
              <w:right w:val="single" w:sz="4" w:space="0" w:color="auto"/>
            </w:tcBorders>
          </w:tcPr>
          <w:p w14:paraId="0C035DC0" w14:textId="0F09B2DB" w:rsidR="00A717B5" w:rsidRPr="002A78DD" w:rsidRDefault="00E479FA" w:rsidP="007C592E">
            <w:pPr>
              <w:keepNext/>
              <w:jc w:val="left"/>
              <w:rPr>
                <w:sz w:val="20"/>
                <w:szCs w:val="20"/>
                <w:lang w:val="fr-FR"/>
              </w:rPr>
            </w:pPr>
            <w:r w:rsidRPr="002A78DD">
              <w:rPr>
                <w:sz w:val="20"/>
                <w:szCs w:val="20"/>
                <w:lang w:val="fr-FR"/>
              </w:rPr>
              <w:t>Chine</w:t>
            </w:r>
          </w:p>
          <w:p w14:paraId="78304F09" w14:textId="05C1AB93" w:rsidR="00A717B5" w:rsidRPr="002A78DD" w:rsidRDefault="00A717B5" w:rsidP="007C592E">
            <w:pPr>
              <w:keepNext/>
              <w:jc w:val="left"/>
              <w:rPr>
                <w:sz w:val="20"/>
                <w:szCs w:val="20"/>
                <w:lang w:val="fr-FR"/>
              </w:rPr>
            </w:pPr>
            <w:r w:rsidRPr="002A78DD">
              <w:rPr>
                <w:sz w:val="20"/>
                <w:szCs w:val="20"/>
                <w:lang w:val="fr-FR"/>
              </w:rPr>
              <w:t>(</w:t>
            </w:r>
            <w:r w:rsidR="00E479FA" w:rsidRPr="002A78DD">
              <w:rPr>
                <w:sz w:val="20"/>
                <w:szCs w:val="20"/>
                <w:lang w:val="fr-FR"/>
              </w:rPr>
              <w:t>mousse PU</w:t>
            </w:r>
            <w:r w:rsidRPr="002A78DD">
              <w:rPr>
                <w:sz w:val="20"/>
                <w:szCs w:val="20"/>
                <w:lang w:val="fr-FR"/>
              </w:rPr>
              <w:t>)</w:t>
            </w:r>
          </w:p>
        </w:tc>
        <w:tc>
          <w:tcPr>
            <w:tcW w:w="2551" w:type="dxa"/>
            <w:tcBorders>
              <w:top w:val="single" w:sz="4" w:space="0" w:color="auto"/>
              <w:left w:val="single" w:sz="4" w:space="0" w:color="auto"/>
              <w:bottom w:val="single" w:sz="4" w:space="0" w:color="auto"/>
              <w:right w:val="single" w:sz="4" w:space="0" w:color="auto"/>
            </w:tcBorders>
          </w:tcPr>
          <w:p w14:paraId="705506A0" w14:textId="71DFCDE2" w:rsidR="00A717B5" w:rsidRPr="002A78DD" w:rsidRDefault="00A717B5" w:rsidP="007C592E">
            <w:pPr>
              <w:keepNext/>
              <w:jc w:val="left"/>
              <w:rPr>
                <w:sz w:val="20"/>
                <w:szCs w:val="20"/>
                <w:lang w:val="fr-FR"/>
              </w:rPr>
            </w:pPr>
            <w:r w:rsidRPr="002A78DD">
              <w:rPr>
                <w:sz w:val="20"/>
                <w:szCs w:val="20"/>
                <w:lang w:val="fr-FR"/>
              </w:rPr>
              <w:t>Plan de gestion de l’élimination des HCFC (phase II</w:t>
            </w:r>
            <w:r w:rsidR="00E479FA" w:rsidRPr="002A78DD">
              <w:rPr>
                <w:sz w:val="20"/>
                <w:szCs w:val="20"/>
                <w:lang w:val="fr-FR"/>
              </w:rPr>
              <w:t>, deuxième tranche</w:t>
            </w:r>
            <w:r w:rsidRPr="002A78DD">
              <w:rPr>
                <w:sz w:val="20"/>
                <w:szCs w:val="20"/>
                <w:lang w:val="fr-FR"/>
              </w:rPr>
              <w:t>)</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08EC19CB" w14:textId="5675A974" w:rsidR="00A717B5" w:rsidRPr="002A78DD" w:rsidRDefault="00E479FA" w:rsidP="007C592E">
            <w:pPr>
              <w:keepNext/>
              <w:jc w:val="left"/>
              <w:rPr>
                <w:sz w:val="20"/>
                <w:szCs w:val="20"/>
                <w:lang w:val="fr-FR"/>
              </w:rPr>
            </w:pPr>
            <w:r w:rsidRPr="002A78DD">
              <w:rPr>
                <w:sz w:val="20"/>
                <w:szCs w:val="20"/>
                <w:lang w:val="fr-FR"/>
              </w:rPr>
              <w:t>Banque mondiale</w:t>
            </w:r>
          </w:p>
        </w:tc>
        <w:tc>
          <w:tcPr>
            <w:tcW w:w="1260" w:type="dxa"/>
            <w:tcBorders>
              <w:top w:val="single" w:sz="4" w:space="0" w:color="auto"/>
              <w:left w:val="single" w:sz="4" w:space="0" w:color="auto"/>
              <w:bottom w:val="single" w:sz="4" w:space="0" w:color="auto"/>
              <w:right w:val="single" w:sz="4" w:space="0" w:color="auto"/>
            </w:tcBorders>
          </w:tcPr>
          <w:p w14:paraId="64A6495A" w14:textId="77777777" w:rsidR="00A717B5" w:rsidRPr="002A78DD" w:rsidRDefault="00A717B5" w:rsidP="007C592E">
            <w:pPr>
              <w:jc w:val="center"/>
              <w:rPr>
                <w:sz w:val="20"/>
                <w:szCs w:val="20"/>
                <w:lang w:val="fr-FR"/>
              </w:rPr>
            </w:pPr>
            <w:r w:rsidRPr="002A78DD">
              <w:rPr>
                <w:sz w:val="20"/>
                <w:szCs w:val="20"/>
                <w:lang w:val="fr-FR"/>
              </w:rPr>
              <w:t>85/21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A58DBE8" w14:textId="1145F312" w:rsidR="00A717B5" w:rsidRPr="002A78DD" w:rsidRDefault="00E479FA" w:rsidP="007C592E">
            <w:pPr>
              <w:keepNext/>
              <w:jc w:val="left"/>
              <w:rPr>
                <w:sz w:val="20"/>
                <w:szCs w:val="20"/>
                <w:lang w:val="fr-FR"/>
              </w:rPr>
            </w:pPr>
            <w:r w:rsidRPr="002A78DD">
              <w:rPr>
                <w:sz w:val="20"/>
                <w:szCs w:val="20"/>
                <w:lang w:val="fr-FR"/>
              </w:rPr>
              <w:t>Toutes les questions techniques et de coûts sont résolues</w:t>
            </w:r>
          </w:p>
        </w:tc>
      </w:tr>
      <w:tr w:rsidR="00A717B5" w:rsidRPr="008706DE" w14:paraId="26871226" w14:textId="77777777" w:rsidTr="0096094E">
        <w:tc>
          <w:tcPr>
            <w:tcW w:w="1560" w:type="dxa"/>
            <w:tcBorders>
              <w:top w:val="single" w:sz="4" w:space="0" w:color="auto"/>
              <w:left w:val="single" w:sz="4" w:space="0" w:color="auto"/>
              <w:bottom w:val="single" w:sz="4" w:space="0" w:color="auto"/>
              <w:right w:val="single" w:sz="4" w:space="0" w:color="auto"/>
            </w:tcBorders>
          </w:tcPr>
          <w:p w14:paraId="7F4421E4" w14:textId="3793E98F" w:rsidR="00A717B5" w:rsidRPr="002A78DD" w:rsidRDefault="00E479FA" w:rsidP="007C592E">
            <w:pPr>
              <w:widowControl w:val="0"/>
              <w:jc w:val="left"/>
              <w:rPr>
                <w:sz w:val="20"/>
                <w:szCs w:val="20"/>
                <w:lang w:val="fr-FR"/>
              </w:rPr>
            </w:pPr>
            <w:r w:rsidRPr="002A78DD">
              <w:rPr>
                <w:sz w:val="20"/>
                <w:szCs w:val="20"/>
                <w:lang w:val="fr-FR"/>
              </w:rPr>
              <w:t>Chine</w:t>
            </w:r>
          </w:p>
          <w:p w14:paraId="73D51E49" w14:textId="6F271BBF" w:rsidR="00A717B5" w:rsidRPr="002A78DD" w:rsidRDefault="00A717B5" w:rsidP="007C592E">
            <w:pPr>
              <w:widowControl w:val="0"/>
              <w:jc w:val="left"/>
              <w:rPr>
                <w:sz w:val="20"/>
                <w:szCs w:val="20"/>
                <w:lang w:val="fr-FR"/>
              </w:rPr>
            </w:pPr>
            <w:r w:rsidRPr="002A78DD">
              <w:rPr>
                <w:sz w:val="20"/>
                <w:szCs w:val="20"/>
                <w:lang w:val="fr-FR"/>
              </w:rPr>
              <w:t>(</w:t>
            </w:r>
            <w:r w:rsidR="00E479FA" w:rsidRPr="002A78DD">
              <w:rPr>
                <w:sz w:val="20"/>
                <w:szCs w:val="20"/>
                <w:lang w:val="fr-FR"/>
              </w:rPr>
              <w:t>RCI</w:t>
            </w:r>
            <w:r w:rsidRPr="002A78DD">
              <w:rPr>
                <w:sz w:val="20"/>
                <w:szCs w:val="20"/>
                <w:lang w:val="fr-FR"/>
              </w:rPr>
              <w:t>)</w:t>
            </w:r>
          </w:p>
        </w:tc>
        <w:tc>
          <w:tcPr>
            <w:tcW w:w="2551" w:type="dxa"/>
            <w:tcBorders>
              <w:top w:val="single" w:sz="4" w:space="0" w:color="auto"/>
              <w:left w:val="single" w:sz="4" w:space="0" w:color="auto"/>
              <w:bottom w:val="single" w:sz="4" w:space="0" w:color="auto"/>
              <w:right w:val="single" w:sz="4" w:space="0" w:color="auto"/>
            </w:tcBorders>
          </w:tcPr>
          <w:p w14:paraId="51F7DD77" w14:textId="4A6053EA" w:rsidR="00A717B5" w:rsidRPr="002A78DD" w:rsidRDefault="00A717B5" w:rsidP="007C592E">
            <w:pPr>
              <w:widowControl w:val="0"/>
              <w:jc w:val="left"/>
              <w:rPr>
                <w:sz w:val="20"/>
                <w:szCs w:val="20"/>
                <w:lang w:val="fr-FR"/>
              </w:rPr>
            </w:pPr>
            <w:r w:rsidRPr="002A78DD">
              <w:rPr>
                <w:sz w:val="20"/>
                <w:szCs w:val="20"/>
                <w:lang w:val="fr-FR"/>
              </w:rPr>
              <w:t>Plan de gestion de l’élimination des HCFC (phase II</w:t>
            </w:r>
            <w:r w:rsidR="00E479FA" w:rsidRPr="002A78DD">
              <w:rPr>
                <w:sz w:val="20"/>
                <w:szCs w:val="20"/>
                <w:lang w:val="fr-FR"/>
              </w:rPr>
              <w:t>, troisième tranche</w:t>
            </w:r>
            <w:r w:rsidRPr="002A78DD">
              <w:rPr>
                <w:sz w:val="20"/>
                <w:szCs w:val="20"/>
                <w:lang w:val="fr-FR"/>
              </w:rPr>
              <w:t>)</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2CF7FD51" w14:textId="08F17B3B" w:rsidR="00A717B5" w:rsidRPr="002A78DD" w:rsidRDefault="00A717B5" w:rsidP="007C592E">
            <w:pPr>
              <w:widowControl w:val="0"/>
              <w:jc w:val="left"/>
              <w:rPr>
                <w:sz w:val="20"/>
                <w:szCs w:val="20"/>
                <w:lang w:val="fr-FR"/>
              </w:rPr>
            </w:pPr>
            <w:r w:rsidRPr="002A78DD">
              <w:rPr>
                <w:sz w:val="20"/>
                <w:szCs w:val="20"/>
                <w:lang w:val="fr-FR"/>
              </w:rPr>
              <w:t>P</w:t>
            </w:r>
            <w:r w:rsidR="00E479FA" w:rsidRPr="002A78DD">
              <w:rPr>
                <w:sz w:val="20"/>
                <w:szCs w:val="20"/>
                <w:lang w:val="fr-FR"/>
              </w:rPr>
              <w:t>NUD</w:t>
            </w:r>
          </w:p>
        </w:tc>
        <w:tc>
          <w:tcPr>
            <w:tcW w:w="1260" w:type="dxa"/>
            <w:tcBorders>
              <w:top w:val="single" w:sz="4" w:space="0" w:color="auto"/>
              <w:left w:val="single" w:sz="4" w:space="0" w:color="auto"/>
              <w:bottom w:val="single" w:sz="4" w:space="0" w:color="auto"/>
              <w:right w:val="single" w:sz="4" w:space="0" w:color="auto"/>
            </w:tcBorders>
          </w:tcPr>
          <w:p w14:paraId="40BDD329" w14:textId="77777777" w:rsidR="00A717B5" w:rsidRPr="002A78DD" w:rsidRDefault="00A717B5" w:rsidP="007C592E">
            <w:pPr>
              <w:jc w:val="center"/>
              <w:rPr>
                <w:sz w:val="20"/>
                <w:szCs w:val="20"/>
                <w:lang w:val="fr-FR"/>
              </w:rPr>
            </w:pPr>
            <w:r w:rsidRPr="002A78DD">
              <w:rPr>
                <w:sz w:val="20"/>
                <w:szCs w:val="20"/>
                <w:lang w:val="fr-FR"/>
              </w:rPr>
              <w:t>85/21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D5A915A" w14:textId="3D1601DB" w:rsidR="00A717B5" w:rsidRPr="002A78DD" w:rsidRDefault="00E479FA" w:rsidP="007C592E">
            <w:pPr>
              <w:widowControl w:val="0"/>
              <w:jc w:val="left"/>
              <w:rPr>
                <w:sz w:val="20"/>
                <w:szCs w:val="20"/>
                <w:lang w:val="fr-FR"/>
              </w:rPr>
            </w:pPr>
            <w:r w:rsidRPr="002A78DD">
              <w:rPr>
                <w:sz w:val="20"/>
                <w:szCs w:val="20"/>
                <w:lang w:val="fr-FR"/>
              </w:rPr>
              <w:t>Toutes les questions techniques et de coûts sont résolues</w:t>
            </w:r>
          </w:p>
        </w:tc>
      </w:tr>
      <w:tr w:rsidR="00E479FA" w:rsidRPr="008706DE" w14:paraId="0F8B8226" w14:textId="77777777" w:rsidTr="0096094E">
        <w:tc>
          <w:tcPr>
            <w:tcW w:w="1560" w:type="dxa"/>
            <w:tcBorders>
              <w:top w:val="single" w:sz="4" w:space="0" w:color="auto"/>
              <w:left w:val="single" w:sz="4" w:space="0" w:color="auto"/>
              <w:bottom w:val="single" w:sz="4" w:space="0" w:color="auto"/>
              <w:right w:val="single" w:sz="4" w:space="0" w:color="auto"/>
            </w:tcBorders>
          </w:tcPr>
          <w:p w14:paraId="26CFF73A" w14:textId="37AF3151" w:rsidR="00E479FA" w:rsidRPr="002A78DD" w:rsidRDefault="00E479FA" w:rsidP="001914A9">
            <w:pPr>
              <w:keepNext/>
              <w:keepLines/>
              <w:widowControl w:val="0"/>
              <w:jc w:val="left"/>
              <w:rPr>
                <w:sz w:val="20"/>
                <w:szCs w:val="20"/>
                <w:lang w:val="fr-FR"/>
              </w:rPr>
            </w:pPr>
            <w:r w:rsidRPr="002A78DD">
              <w:rPr>
                <w:sz w:val="20"/>
                <w:szCs w:val="20"/>
                <w:lang w:val="fr-FR"/>
              </w:rPr>
              <w:lastRenderedPageBreak/>
              <w:t>Chine</w:t>
            </w:r>
          </w:p>
          <w:p w14:paraId="134C211F" w14:textId="42790944" w:rsidR="00E479FA" w:rsidRPr="002A78DD" w:rsidRDefault="00E479FA" w:rsidP="001914A9">
            <w:pPr>
              <w:keepNext/>
              <w:keepLines/>
              <w:widowControl w:val="0"/>
              <w:jc w:val="left"/>
              <w:rPr>
                <w:sz w:val="20"/>
                <w:szCs w:val="20"/>
                <w:lang w:val="fr-FR"/>
              </w:rPr>
            </w:pPr>
            <w:r w:rsidRPr="002A78DD">
              <w:rPr>
                <w:sz w:val="20"/>
                <w:szCs w:val="20"/>
                <w:lang w:val="fr-FR"/>
              </w:rPr>
              <w:t>(Solvants)</w:t>
            </w:r>
          </w:p>
        </w:tc>
        <w:tc>
          <w:tcPr>
            <w:tcW w:w="2551" w:type="dxa"/>
            <w:tcBorders>
              <w:top w:val="single" w:sz="4" w:space="0" w:color="auto"/>
              <w:left w:val="single" w:sz="4" w:space="0" w:color="auto"/>
              <w:bottom w:val="single" w:sz="4" w:space="0" w:color="auto"/>
              <w:right w:val="single" w:sz="4" w:space="0" w:color="auto"/>
            </w:tcBorders>
          </w:tcPr>
          <w:p w14:paraId="6A9F6CD0" w14:textId="06264474" w:rsidR="00E479FA" w:rsidRPr="002A78DD" w:rsidRDefault="00E479FA" w:rsidP="001914A9">
            <w:pPr>
              <w:keepNext/>
              <w:keepLines/>
              <w:widowControl w:val="0"/>
              <w:jc w:val="left"/>
              <w:rPr>
                <w:sz w:val="20"/>
                <w:szCs w:val="20"/>
                <w:lang w:val="fr-FR"/>
              </w:rPr>
            </w:pPr>
            <w:r w:rsidRPr="002A78DD">
              <w:rPr>
                <w:sz w:val="20"/>
                <w:szCs w:val="20"/>
                <w:lang w:val="fr-FR"/>
              </w:rPr>
              <w:t>Plan de gestion de l’élimination des HCFC (phase II, troisième tranche)</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011E5D81" w14:textId="0E3F6183" w:rsidR="00E479FA" w:rsidRPr="002A78DD" w:rsidRDefault="00E479FA" w:rsidP="001914A9">
            <w:pPr>
              <w:keepNext/>
              <w:keepLines/>
              <w:widowControl w:val="0"/>
              <w:jc w:val="left"/>
              <w:rPr>
                <w:sz w:val="20"/>
                <w:szCs w:val="20"/>
                <w:lang w:val="fr-FR" w:eastAsia="en-CA"/>
              </w:rPr>
            </w:pPr>
            <w:r w:rsidRPr="002A78DD">
              <w:rPr>
                <w:sz w:val="20"/>
                <w:szCs w:val="20"/>
                <w:lang w:val="fr-FR" w:eastAsia="en-CA"/>
              </w:rPr>
              <w:t>PNUD</w:t>
            </w:r>
          </w:p>
        </w:tc>
        <w:tc>
          <w:tcPr>
            <w:tcW w:w="1260" w:type="dxa"/>
            <w:tcBorders>
              <w:top w:val="single" w:sz="4" w:space="0" w:color="auto"/>
              <w:left w:val="single" w:sz="4" w:space="0" w:color="auto"/>
              <w:bottom w:val="single" w:sz="4" w:space="0" w:color="auto"/>
              <w:right w:val="single" w:sz="4" w:space="0" w:color="auto"/>
            </w:tcBorders>
          </w:tcPr>
          <w:p w14:paraId="04F5CD99" w14:textId="77777777" w:rsidR="00E479FA" w:rsidRPr="002A78DD" w:rsidRDefault="00E479FA" w:rsidP="001914A9">
            <w:pPr>
              <w:keepNext/>
              <w:keepLines/>
              <w:jc w:val="center"/>
              <w:rPr>
                <w:sz w:val="20"/>
                <w:szCs w:val="20"/>
                <w:lang w:val="fr-FR"/>
              </w:rPr>
            </w:pPr>
            <w:r w:rsidRPr="002A78DD">
              <w:rPr>
                <w:sz w:val="20"/>
                <w:szCs w:val="20"/>
                <w:lang w:val="fr-FR"/>
              </w:rPr>
              <w:t>85/21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4DD0EBE" w14:textId="376338BE" w:rsidR="00E479FA" w:rsidRPr="002A78DD" w:rsidRDefault="00E479FA" w:rsidP="00164EE3">
            <w:pPr>
              <w:keepNext/>
              <w:keepLines/>
              <w:widowControl w:val="0"/>
              <w:jc w:val="left"/>
              <w:rPr>
                <w:sz w:val="20"/>
                <w:szCs w:val="20"/>
                <w:lang w:val="fr-FR"/>
              </w:rPr>
            </w:pPr>
            <w:r w:rsidRPr="002A78DD">
              <w:rPr>
                <w:sz w:val="20"/>
                <w:szCs w:val="20"/>
                <w:lang w:val="fr-FR"/>
              </w:rPr>
              <w:t>Tranche supérieure à 5</w:t>
            </w:r>
            <w:r w:rsidR="00164EE3">
              <w:rPr>
                <w:sz w:val="20"/>
                <w:szCs w:val="20"/>
                <w:lang w:val="fr-FR"/>
              </w:rPr>
              <w:t> </w:t>
            </w:r>
            <w:r w:rsidRPr="002A78DD">
              <w:rPr>
                <w:sz w:val="20"/>
                <w:szCs w:val="20"/>
                <w:lang w:val="fr-FR"/>
              </w:rPr>
              <w:t>millions</w:t>
            </w:r>
            <w:r w:rsidR="00164EE3">
              <w:rPr>
                <w:sz w:val="20"/>
                <w:szCs w:val="20"/>
                <w:lang w:val="fr-FR"/>
              </w:rPr>
              <w:t> </w:t>
            </w:r>
            <w:r w:rsidRPr="002A78DD">
              <w:rPr>
                <w:sz w:val="20"/>
                <w:szCs w:val="20"/>
                <w:lang w:val="fr-FR"/>
              </w:rPr>
              <w:t>$US. Toutes les questions techniques et de coûts sont résolues</w:t>
            </w:r>
          </w:p>
        </w:tc>
      </w:tr>
      <w:tr w:rsidR="00A717B5" w:rsidRPr="008706DE" w14:paraId="528B230F" w14:textId="77777777" w:rsidTr="0096094E">
        <w:tc>
          <w:tcPr>
            <w:tcW w:w="1560" w:type="dxa"/>
            <w:tcBorders>
              <w:top w:val="single" w:sz="4" w:space="0" w:color="auto"/>
              <w:left w:val="single" w:sz="4" w:space="0" w:color="auto"/>
              <w:bottom w:val="single" w:sz="4" w:space="0" w:color="auto"/>
              <w:right w:val="single" w:sz="4" w:space="0" w:color="auto"/>
            </w:tcBorders>
          </w:tcPr>
          <w:p w14:paraId="760CAE57" w14:textId="7295FC0F" w:rsidR="00A717B5" w:rsidRPr="002A78DD" w:rsidRDefault="00E479FA" w:rsidP="007C592E">
            <w:pPr>
              <w:widowControl w:val="0"/>
              <w:jc w:val="left"/>
              <w:rPr>
                <w:sz w:val="20"/>
                <w:szCs w:val="20"/>
                <w:lang w:val="fr-FR"/>
              </w:rPr>
            </w:pPr>
            <w:r w:rsidRPr="002A78DD">
              <w:rPr>
                <w:sz w:val="20"/>
                <w:szCs w:val="20"/>
                <w:lang w:val="fr-FR"/>
              </w:rPr>
              <w:t>Guinée</w:t>
            </w:r>
          </w:p>
        </w:tc>
        <w:tc>
          <w:tcPr>
            <w:tcW w:w="2551" w:type="dxa"/>
            <w:tcBorders>
              <w:top w:val="single" w:sz="4" w:space="0" w:color="auto"/>
              <w:left w:val="single" w:sz="4" w:space="0" w:color="auto"/>
              <w:bottom w:val="single" w:sz="4" w:space="0" w:color="auto"/>
              <w:right w:val="single" w:sz="4" w:space="0" w:color="auto"/>
            </w:tcBorders>
          </w:tcPr>
          <w:p w14:paraId="5F8924D5" w14:textId="3C6CA433" w:rsidR="00A717B5" w:rsidRPr="002A78DD" w:rsidRDefault="00A717B5" w:rsidP="007C592E">
            <w:pPr>
              <w:widowControl w:val="0"/>
              <w:jc w:val="left"/>
              <w:rPr>
                <w:sz w:val="20"/>
                <w:szCs w:val="20"/>
                <w:lang w:val="fr-FR"/>
              </w:rPr>
            </w:pPr>
            <w:r w:rsidRPr="002A78DD">
              <w:rPr>
                <w:sz w:val="20"/>
                <w:szCs w:val="20"/>
                <w:lang w:val="fr-FR"/>
              </w:rPr>
              <w:t xml:space="preserve">Plan de gestion de </w:t>
            </w:r>
            <w:r w:rsidR="00E479FA" w:rsidRPr="002A78DD">
              <w:rPr>
                <w:sz w:val="20"/>
                <w:szCs w:val="20"/>
                <w:lang w:val="fr-FR"/>
              </w:rPr>
              <w:t>l’élimination des HCFC (phase I, troisième tranche</w:t>
            </w:r>
            <w:r w:rsidRPr="002A78DD">
              <w:rPr>
                <w:sz w:val="20"/>
                <w:szCs w:val="20"/>
                <w:lang w:val="fr-FR"/>
              </w:rPr>
              <w:t>)</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2B56E881" w14:textId="500878A6" w:rsidR="00A717B5" w:rsidRPr="002A78DD" w:rsidRDefault="00A717B5" w:rsidP="007C592E">
            <w:pPr>
              <w:widowControl w:val="0"/>
              <w:jc w:val="left"/>
              <w:rPr>
                <w:sz w:val="20"/>
                <w:szCs w:val="20"/>
                <w:lang w:val="fr-FR" w:eastAsia="en-CA"/>
              </w:rPr>
            </w:pPr>
            <w:r w:rsidRPr="002A78DD">
              <w:rPr>
                <w:sz w:val="20"/>
                <w:szCs w:val="20"/>
                <w:lang w:val="fr-FR" w:eastAsia="en-CA"/>
              </w:rPr>
              <w:t>P</w:t>
            </w:r>
            <w:r w:rsidR="00E479FA" w:rsidRPr="002A78DD">
              <w:rPr>
                <w:sz w:val="20"/>
                <w:szCs w:val="20"/>
                <w:lang w:val="fr-FR" w:eastAsia="en-CA"/>
              </w:rPr>
              <w:t>NUE/</w:t>
            </w:r>
            <w:r w:rsidRPr="002A78DD">
              <w:rPr>
                <w:sz w:val="20"/>
                <w:szCs w:val="20"/>
                <w:lang w:val="fr-FR" w:eastAsia="en-CA"/>
              </w:rPr>
              <w:t>O</w:t>
            </w:r>
            <w:r w:rsidR="00E479FA" w:rsidRPr="002A78DD">
              <w:rPr>
                <w:sz w:val="20"/>
                <w:szCs w:val="20"/>
                <w:lang w:val="fr-FR" w:eastAsia="en-CA"/>
              </w:rPr>
              <w:t>NUDI</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2270A2" w14:textId="3136A064" w:rsidR="00A717B5" w:rsidRPr="002A78DD" w:rsidRDefault="00A717B5" w:rsidP="007C592E">
            <w:pPr>
              <w:jc w:val="center"/>
              <w:rPr>
                <w:sz w:val="20"/>
                <w:szCs w:val="20"/>
                <w:lang w:val="fr-FR"/>
              </w:rPr>
            </w:pPr>
            <w:r w:rsidRPr="002A78DD">
              <w:rPr>
                <w:sz w:val="20"/>
                <w:szCs w:val="20"/>
                <w:lang w:val="fr-FR"/>
              </w:rPr>
              <w:t xml:space="preserve">85/29 </w:t>
            </w:r>
            <w:r w:rsidR="00E479FA" w:rsidRPr="002A78DD">
              <w:rPr>
                <w:sz w:val="20"/>
                <w:szCs w:val="20"/>
                <w:lang w:val="fr-FR"/>
              </w:rPr>
              <w:t>et</w:t>
            </w:r>
            <w:r w:rsidRPr="002A78DD">
              <w:rPr>
                <w:sz w:val="20"/>
                <w:szCs w:val="20"/>
                <w:lang w:val="fr-FR"/>
              </w:rPr>
              <w:t xml:space="preserve"> Corr.1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47D38B" w14:textId="3C7B06BC" w:rsidR="00A717B5" w:rsidRPr="002A78DD" w:rsidRDefault="00E479FA" w:rsidP="007C592E">
            <w:pPr>
              <w:widowControl w:val="0"/>
              <w:jc w:val="left"/>
              <w:rPr>
                <w:sz w:val="20"/>
                <w:szCs w:val="20"/>
                <w:lang w:val="fr-FR"/>
              </w:rPr>
            </w:pPr>
            <w:r w:rsidRPr="002A78DD">
              <w:rPr>
                <w:sz w:val="20"/>
                <w:szCs w:val="20"/>
                <w:lang w:val="fr-FR"/>
              </w:rPr>
              <w:t>Modifica</w:t>
            </w:r>
            <w:r w:rsidR="009E5853">
              <w:rPr>
                <w:sz w:val="20"/>
                <w:szCs w:val="20"/>
                <w:lang w:val="fr-FR"/>
              </w:rPr>
              <w:t>tion du point de départ et prolon</w:t>
            </w:r>
            <w:r w:rsidRPr="002A78DD">
              <w:rPr>
                <w:sz w:val="20"/>
                <w:szCs w:val="20"/>
                <w:lang w:val="fr-FR"/>
              </w:rPr>
              <w:t>gation de la phase I, toutes les questions techniques et de coûts sont résolues</w:t>
            </w:r>
          </w:p>
        </w:tc>
      </w:tr>
      <w:tr w:rsidR="00A717B5" w:rsidRPr="008706DE" w14:paraId="330E9601" w14:textId="77777777" w:rsidTr="0096094E">
        <w:tc>
          <w:tcPr>
            <w:tcW w:w="1560" w:type="dxa"/>
            <w:tcBorders>
              <w:top w:val="single" w:sz="4" w:space="0" w:color="auto"/>
              <w:left w:val="single" w:sz="4" w:space="0" w:color="auto"/>
              <w:bottom w:val="single" w:sz="4" w:space="0" w:color="auto"/>
              <w:right w:val="single" w:sz="4" w:space="0" w:color="auto"/>
            </w:tcBorders>
          </w:tcPr>
          <w:p w14:paraId="3ECCCCB1" w14:textId="7F5B793E" w:rsidR="00A717B5" w:rsidRPr="002A78DD" w:rsidRDefault="00E479FA" w:rsidP="007C592E">
            <w:pPr>
              <w:widowControl w:val="0"/>
              <w:jc w:val="left"/>
              <w:rPr>
                <w:sz w:val="20"/>
                <w:szCs w:val="20"/>
                <w:lang w:val="fr-FR"/>
              </w:rPr>
            </w:pPr>
            <w:r w:rsidRPr="002A78DD">
              <w:rPr>
                <w:sz w:val="20"/>
                <w:szCs w:val="20"/>
                <w:lang w:val="fr-FR"/>
              </w:rPr>
              <w:t>Séné</w:t>
            </w:r>
            <w:r w:rsidR="00A717B5" w:rsidRPr="002A78DD">
              <w:rPr>
                <w:sz w:val="20"/>
                <w:szCs w:val="20"/>
                <w:lang w:val="fr-FR"/>
              </w:rPr>
              <w:t>gal</w:t>
            </w:r>
          </w:p>
        </w:tc>
        <w:tc>
          <w:tcPr>
            <w:tcW w:w="2551" w:type="dxa"/>
            <w:tcBorders>
              <w:top w:val="single" w:sz="4" w:space="0" w:color="auto"/>
              <w:left w:val="single" w:sz="4" w:space="0" w:color="auto"/>
              <w:bottom w:val="single" w:sz="4" w:space="0" w:color="auto"/>
              <w:right w:val="single" w:sz="4" w:space="0" w:color="auto"/>
            </w:tcBorders>
          </w:tcPr>
          <w:p w14:paraId="51D57EC3" w14:textId="0D29581F" w:rsidR="00A717B5" w:rsidRPr="002A78DD" w:rsidRDefault="00A717B5" w:rsidP="007C592E">
            <w:pPr>
              <w:widowControl w:val="0"/>
              <w:jc w:val="left"/>
              <w:rPr>
                <w:sz w:val="20"/>
                <w:szCs w:val="20"/>
                <w:lang w:val="fr-FR"/>
              </w:rPr>
            </w:pPr>
            <w:r w:rsidRPr="002A78DD">
              <w:rPr>
                <w:sz w:val="20"/>
                <w:szCs w:val="20"/>
                <w:lang w:val="fr-FR"/>
              </w:rPr>
              <w:t>Plan de gestion de l’élimination des HCFC (phase I</w:t>
            </w:r>
            <w:r w:rsidR="00E479FA" w:rsidRPr="002A78DD">
              <w:rPr>
                <w:sz w:val="20"/>
                <w:szCs w:val="20"/>
                <w:lang w:val="fr-FR"/>
              </w:rPr>
              <w:t>, troisième et quatrième tranches</w:t>
            </w:r>
            <w:r w:rsidRPr="002A78DD">
              <w:rPr>
                <w:sz w:val="20"/>
                <w:szCs w:val="20"/>
                <w:lang w:val="fr-FR"/>
              </w:rPr>
              <w:t>)</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066CDE3A" w14:textId="3B7A1843" w:rsidR="00A717B5" w:rsidRPr="002A78DD" w:rsidRDefault="00E479FA" w:rsidP="007C592E">
            <w:pPr>
              <w:widowControl w:val="0"/>
              <w:jc w:val="left"/>
              <w:rPr>
                <w:sz w:val="20"/>
                <w:szCs w:val="20"/>
                <w:lang w:val="fr-FR" w:eastAsia="en-CA"/>
              </w:rPr>
            </w:pPr>
            <w:r w:rsidRPr="002A78DD">
              <w:rPr>
                <w:sz w:val="20"/>
                <w:szCs w:val="20"/>
                <w:lang w:val="fr-FR" w:eastAsia="en-CA"/>
              </w:rPr>
              <w:t>PNUE/</w:t>
            </w:r>
            <w:r w:rsidR="00A717B5" w:rsidRPr="002A78DD">
              <w:rPr>
                <w:sz w:val="20"/>
                <w:szCs w:val="20"/>
                <w:lang w:val="fr-FR" w:eastAsia="en-CA"/>
              </w:rPr>
              <w:t>O</w:t>
            </w:r>
            <w:r w:rsidRPr="002A78DD">
              <w:rPr>
                <w:sz w:val="20"/>
                <w:szCs w:val="20"/>
                <w:lang w:val="fr-FR" w:eastAsia="en-CA"/>
              </w:rPr>
              <w:t>NUDI</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961351" w14:textId="77777777" w:rsidR="00A717B5" w:rsidRPr="002A78DD" w:rsidRDefault="00A717B5" w:rsidP="007C592E">
            <w:pPr>
              <w:jc w:val="center"/>
              <w:rPr>
                <w:sz w:val="20"/>
                <w:szCs w:val="20"/>
                <w:lang w:val="fr-FR"/>
              </w:rPr>
            </w:pPr>
            <w:r w:rsidRPr="002A78DD">
              <w:rPr>
                <w:sz w:val="20"/>
                <w:szCs w:val="20"/>
                <w:lang w:val="fr-FR"/>
              </w:rPr>
              <w:t>85/45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D6FBF67" w14:textId="06207925" w:rsidR="00A717B5" w:rsidRPr="002A78DD" w:rsidRDefault="00E479FA" w:rsidP="007C592E">
            <w:pPr>
              <w:widowControl w:val="0"/>
              <w:jc w:val="left"/>
              <w:rPr>
                <w:sz w:val="20"/>
                <w:szCs w:val="20"/>
                <w:lang w:val="fr-FR"/>
              </w:rPr>
            </w:pPr>
            <w:r w:rsidRPr="002A78DD">
              <w:rPr>
                <w:sz w:val="20"/>
                <w:szCs w:val="20"/>
                <w:lang w:val="fr-FR"/>
              </w:rPr>
              <w:t>Tranches combinées et pro</w:t>
            </w:r>
            <w:r w:rsidR="00484B55">
              <w:rPr>
                <w:sz w:val="20"/>
                <w:szCs w:val="20"/>
                <w:lang w:val="fr-FR"/>
              </w:rPr>
              <w:t>lon</w:t>
            </w:r>
            <w:r w:rsidRPr="002A78DD">
              <w:rPr>
                <w:sz w:val="20"/>
                <w:szCs w:val="20"/>
                <w:lang w:val="fr-FR"/>
              </w:rPr>
              <w:t>gation de la phase I, toutes les questions techniques et de coûts sont résolues</w:t>
            </w:r>
          </w:p>
        </w:tc>
      </w:tr>
      <w:tr w:rsidR="007C592E" w:rsidRPr="008706DE" w14:paraId="2113AD2B" w14:textId="77777777" w:rsidTr="0037080F">
        <w:tc>
          <w:tcPr>
            <w:tcW w:w="9923" w:type="dxa"/>
            <w:gridSpan w:val="5"/>
            <w:shd w:val="clear" w:color="auto" w:fill="auto"/>
          </w:tcPr>
          <w:p w14:paraId="519D780F" w14:textId="003C6F6A" w:rsidR="007C592E" w:rsidRPr="002A78DD" w:rsidRDefault="00E479FA" w:rsidP="007C592E">
            <w:pPr>
              <w:keepNext/>
              <w:jc w:val="left"/>
              <w:rPr>
                <w:sz w:val="20"/>
                <w:szCs w:val="20"/>
                <w:lang w:val="fr-FR"/>
              </w:rPr>
            </w:pPr>
            <w:r w:rsidRPr="002A78DD">
              <w:rPr>
                <w:b/>
                <w:sz w:val="20"/>
                <w:szCs w:val="20"/>
                <w:lang w:val="fr-FR"/>
              </w:rPr>
              <w:t>Émissions d</w:t>
            </w:r>
            <w:r w:rsidR="00B07542" w:rsidRPr="002A78DD">
              <w:rPr>
                <w:b/>
                <w:sz w:val="20"/>
                <w:szCs w:val="20"/>
                <w:lang w:val="fr-FR"/>
              </w:rPr>
              <w:t>u sous-produit</w:t>
            </w:r>
            <w:r w:rsidRPr="002A78DD">
              <w:rPr>
                <w:b/>
                <w:sz w:val="20"/>
                <w:szCs w:val="20"/>
                <w:lang w:val="fr-FR"/>
              </w:rPr>
              <w:t xml:space="preserve"> </w:t>
            </w:r>
            <w:r w:rsidR="00B07542" w:rsidRPr="002A78DD">
              <w:rPr>
                <w:b/>
                <w:sz w:val="20"/>
                <w:szCs w:val="20"/>
                <w:lang w:val="fr-FR"/>
              </w:rPr>
              <w:t xml:space="preserve">HFC-23 </w:t>
            </w:r>
            <w:r w:rsidR="007C592E" w:rsidRPr="002A78DD">
              <w:rPr>
                <w:b/>
                <w:sz w:val="20"/>
                <w:szCs w:val="20"/>
                <w:lang w:val="fr-FR"/>
              </w:rPr>
              <w:t xml:space="preserve"> </w:t>
            </w:r>
          </w:p>
        </w:tc>
      </w:tr>
      <w:tr w:rsidR="007C592E" w:rsidRPr="008706DE" w14:paraId="08C82FFB" w14:textId="77777777" w:rsidTr="0096094E">
        <w:tc>
          <w:tcPr>
            <w:tcW w:w="1560" w:type="dxa"/>
            <w:tcBorders>
              <w:top w:val="single" w:sz="4" w:space="0" w:color="auto"/>
              <w:left w:val="single" w:sz="4" w:space="0" w:color="auto"/>
              <w:bottom w:val="single" w:sz="4" w:space="0" w:color="auto"/>
              <w:right w:val="single" w:sz="4" w:space="0" w:color="auto"/>
            </w:tcBorders>
          </w:tcPr>
          <w:p w14:paraId="0AE71CAC" w14:textId="51F35364" w:rsidR="007C592E" w:rsidRPr="002A78DD" w:rsidRDefault="007C592E" w:rsidP="007C592E">
            <w:pPr>
              <w:widowControl w:val="0"/>
              <w:jc w:val="left"/>
              <w:rPr>
                <w:sz w:val="20"/>
                <w:szCs w:val="20"/>
                <w:lang w:val="fr-FR"/>
              </w:rPr>
            </w:pPr>
            <w:r w:rsidRPr="002A78DD">
              <w:rPr>
                <w:sz w:val="20"/>
                <w:szCs w:val="20"/>
                <w:lang w:val="fr-FR"/>
              </w:rPr>
              <w:t>Argentin</w:t>
            </w:r>
            <w:r w:rsidR="00B07542" w:rsidRPr="002A78DD">
              <w:rPr>
                <w:sz w:val="20"/>
                <w:szCs w:val="20"/>
                <w:lang w:val="fr-FR"/>
              </w:rPr>
              <w:t>e</w:t>
            </w:r>
          </w:p>
        </w:tc>
        <w:tc>
          <w:tcPr>
            <w:tcW w:w="2551" w:type="dxa"/>
            <w:tcBorders>
              <w:top w:val="single" w:sz="4" w:space="0" w:color="auto"/>
              <w:left w:val="single" w:sz="4" w:space="0" w:color="auto"/>
              <w:bottom w:val="single" w:sz="4" w:space="0" w:color="auto"/>
              <w:right w:val="single" w:sz="4" w:space="0" w:color="auto"/>
            </w:tcBorders>
          </w:tcPr>
          <w:p w14:paraId="5F43A1FD" w14:textId="7F026D18" w:rsidR="007C592E" w:rsidRPr="002A78DD" w:rsidRDefault="00B07542" w:rsidP="007C592E">
            <w:pPr>
              <w:widowControl w:val="0"/>
              <w:jc w:val="left"/>
              <w:rPr>
                <w:sz w:val="20"/>
                <w:szCs w:val="20"/>
                <w:lang w:val="fr-FR"/>
              </w:rPr>
            </w:pPr>
            <w:r w:rsidRPr="002A78DD">
              <w:rPr>
                <w:sz w:val="20"/>
                <w:szCs w:val="20"/>
                <w:lang w:val="fr-FR"/>
              </w:rPr>
              <w:t xml:space="preserve">Projet visant à contrôler les émissions du sous-produit   HFC-23 </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40AA46E5" w14:textId="3E500F3C" w:rsidR="007C592E" w:rsidRPr="002A78DD" w:rsidRDefault="007C592E" w:rsidP="007C592E">
            <w:pPr>
              <w:widowControl w:val="0"/>
              <w:jc w:val="left"/>
              <w:rPr>
                <w:sz w:val="20"/>
                <w:szCs w:val="20"/>
                <w:lang w:val="fr-FR"/>
              </w:rPr>
            </w:pPr>
            <w:r w:rsidRPr="002A78DD">
              <w:rPr>
                <w:sz w:val="20"/>
                <w:szCs w:val="20"/>
                <w:lang w:val="fr-FR"/>
              </w:rPr>
              <w:t>O</w:t>
            </w:r>
            <w:r w:rsidR="00B07542" w:rsidRPr="002A78DD">
              <w:rPr>
                <w:sz w:val="20"/>
                <w:szCs w:val="20"/>
                <w:lang w:val="fr-FR"/>
              </w:rPr>
              <w:t>NUDI</w:t>
            </w:r>
          </w:p>
        </w:tc>
        <w:tc>
          <w:tcPr>
            <w:tcW w:w="1260" w:type="dxa"/>
            <w:tcBorders>
              <w:top w:val="single" w:sz="4" w:space="0" w:color="auto"/>
              <w:left w:val="single" w:sz="4" w:space="0" w:color="auto"/>
              <w:bottom w:val="single" w:sz="4" w:space="0" w:color="auto"/>
              <w:right w:val="single" w:sz="4" w:space="0" w:color="auto"/>
            </w:tcBorders>
          </w:tcPr>
          <w:p w14:paraId="5F6E8CD1" w14:textId="77777777" w:rsidR="007C592E" w:rsidRPr="002A78DD" w:rsidRDefault="007C592E" w:rsidP="007C592E">
            <w:pPr>
              <w:jc w:val="center"/>
              <w:rPr>
                <w:sz w:val="20"/>
                <w:szCs w:val="20"/>
                <w:lang w:val="fr-FR"/>
              </w:rPr>
            </w:pPr>
            <w:r w:rsidRPr="002A78DD">
              <w:rPr>
                <w:sz w:val="20"/>
                <w:szCs w:val="20"/>
                <w:lang w:val="fr-FR"/>
              </w:rPr>
              <w:t>85/64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F1D0EA9" w14:textId="0BE1077F" w:rsidR="007C592E" w:rsidRPr="002A78DD" w:rsidRDefault="00B07542" w:rsidP="007C592E">
            <w:pPr>
              <w:widowControl w:val="0"/>
              <w:jc w:val="left"/>
              <w:rPr>
                <w:sz w:val="20"/>
                <w:szCs w:val="20"/>
                <w:lang w:val="fr-FR"/>
              </w:rPr>
            </w:pPr>
            <w:r w:rsidRPr="002A78DD">
              <w:rPr>
                <w:sz w:val="20"/>
                <w:szCs w:val="20"/>
                <w:lang w:val="fr-FR"/>
              </w:rPr>
              <w:t xml:space="preserve">Questions d’orientation et aucun accord sur les coûts </w:t>
            </w:r>
          </w:p>
        </w:tc>
      </w:tr>
      <w:tr w:rsidR="007C592E" w:rsidRPr="008706DE" w14:paraId="2ACA6DD8" w14:textId="77777777" w:rsidTr="0096094E">
        <w:tc>
          <w:tcPr>
            <w:tcW w:w="1560" w:type="dxa"/>
            <w:tcBorders>
              <w:top w:val="single" w:sz="4" w:space="0" w:color="auto"/>
              <w:left w:val="single" w:sz="4" w:space="0" w:color="auto"/>
              <w:bottom w:val="single" w:sz="4" w:space="0" w:color="auto"/>
              <w:right w:val="single" w:sz="4" w:space="0" w:color="auto"/>
            </w:tcBorders>
          </w:tcPr>
          <w:p w14:paraId="02E567B6" w14:textId="1739F31E" w:rsidR="007C592E" w:rsidRPr="002A78DD" w:rsidRDefault="0047303E" w:rsidP="007C592E">
            <w:pPr>
              <w:widowControl w:val="0"/>
              <w:jc w:val="left"/>
              <w:rPr>
                <w:sz w:val="20"/>
                <w:szCs w:val="20"/>
                <w:lang w:val="fr-FR"/>
              </w:rPr>
            </w:pPr>
            <w:r>
              <w:rPr>
                <w:sz w:val="20"/>
                <w:szCs w:val="20"/>
                <w:lang w:val="fr-FR"/>
              </w:rPr>
              <w:t>Mexique</w:t>
            </w:r>
          </w:p>
        </w:tc>
        <w:tc>
          <w:tcPr>
            <w:tcW w:w="2551" w:type="dxa"/>
            <w:tcBorders>
              <w:top w:val="single" w:sz="4" w:space="0" w:color="auto"/>
              <w:left w:val="single" w:sz="4" w:space="0" w:color="auto"/>
              <w:bottom w:val="single" w:sz="4" w:space="0" w:color="auto"/>
              <w:right w:val="single" w:sz="4" w:space="0" w:color="auto"/>
            </w:tcBorders>
          </w:tcPr>
          <w:p w14:paraId="35C85515" w14:textId="0F873774" w:rsidR="007C592E" w:rsidRPr="002A78DD" w:rsidRDefault="00B07542" w:rsidP="007C592E">
            <w:pPr>
              <w:widowControl w:val="0"/>
              <w:jc w:val="left"/>
              <w:rPr>
                <w:sz w:val="20"/>
                <w:szCs w:val="20"/>
                <w:lang w:val="fr-FR"/>
              </w:rPr>
            </w:pPr>
            <w:r w:rsidRPr="002A78DD">
              <w:rPr>
                <w:sz w:val="20"/>
                <w:szCs w:val="20"/>
                <w:lang w:val="fr-FR"/>
              </w:rPr>
              <w:t>Proje</w:t>
            </w:r>
            <w:r w:rsidR="007C592E" w:rsidRPr="002A78DD">
              <w:rPr>
                <w:sz w:val="20"/>
                <w:szCs w:val="20"/>
                <w:lang w:val="fr-FR"/>
              </w:rPr>
              <w:t xml:space="preserve">t </w:t>
            </w:r>
            <w:r w:rsidRPr="002A78DD">
              <w:rPr>
                <w:sz w:val="20"/>
                <w:szCs w:val="20"/>
                <w:lang w:val="fr-FR"/>
              </w:rPr>
              <w:t>visant à contrôler les émissions du sous-produit</w:t>
            </w:r>
            <w:r w:rsidR="007C592E" w:rsidRPr="002A78DD">
              <w:rPr>
                <w:sz w:val="20"/>
                <w:szCs w:val="20"/>
                <w:lang w:val="fr-FR"/>
              </w:rPr>
              <w:t xml:space="preserve"> H</w:t>
            </w:r>
            <w:r w:rsidRPr="002A78DD">
              <w:rPr>
                <w:sz w:val="20"/>
                <w:szCs w:val="20"/>
                <w:lang w:val="fr-FR"/>
              </w:rPr>
              <w:t xml:space="preserve">FC-23 </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6174E7A9" w14:textId="794BB6B3" w:rsidR="007C592E" w:rsidRPr="002A78DD" w:rsidRDefault="007C592E" w:rsidP="007C592E">
            <w:pPr>
              <w:widowControl w:val="0"/>
              <w:jc w:val="left"/>
              <w:rPr>
                <w:sz w:val="20"/>
                <w:szCs w:val="20"/>
                <w:lang w:val="fr-FR"/>
              </w:rPr>
            </w:pPr>
            <w:r w:rsidRPr="002A78DD">
              <w:rPr>
                <w:sz w:val="20"/>
                <w:szCs w:val="20"/>
                <w:lang w:val="fr-FR"/>
              </w:rPr>
              <w:t>O</w:t>
            </w:r>
            <w:r w:rsidR="00B07542" w:rsidRPr="002A78DD">
              <w:rPr>
                <w:sz w:val="20"/>
                <w:szCs w:val="20"/>
                <w:lang w:val="fr-FR"/>
              </w:rPr>
              <w:t>NUDI</w:t>
            </w:r>
          </w:p>
        </w:tc>
        <w:tc>
          <w:tcPr>
            <w:tcW w:w="1260" w:type="dxa"/>
            <w:tcBorders>
              <w:top w:val="single" w:sz="4" w:space="0" w:color="auto"/>
              <w:left w:val="single" w:sz="4" w:space="0" w:color="auto"/>
              <w:bottom w:val="single" w:sz="4" w:space="0" w:color="auto"/>
              <w:right w:val="single" w:sz="4" w:space="0" w:color="auto"/>
            </w:tcBorders>
          </w:tcPr>
          <w:p w14:paraId="5CE837DA" w14:textId="77777777" w:rsidR="007C592E" w:rsidRPr="002A78DD" w:rsidRDefault="007C592E" w:rsidP="007C592E">
            <w:pPr>
              <w:jc w:val="center"/>
              <w:rPr>
                <w:sz w:val="20"/>
                <w:szCs w:val="20"/>
                <w:lang w:val="fr-FR"/>
              </w:rPr>
            </w:pPr>
            <w:r w:rsidRPr="002A78DD">
              <w:rPr>
                <w:sz w:val="20"/>
                <w:szCs w:val="20"/>
                <w:lang w:val="fr-FR"/>
              </w:rPr>
              <w:t>85/65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3B390E4" w14:textId="4EFAB0FD" w:rsidR="007C592E" w:rsidRPr="002A78DD" w:rsidRDefault="00B07542" w:rsidP="007C592E">
            <w:pPr>
              <w:widowControl w:val="0"/>
              <w:jc w:val="left"/>
              <w:rPr>
                <w:sz w:val="20"/>
                <w:szCs w:val="20"/>
                <w:lang w:val="fr-FR"/>
              </w:rPr>
            </w:pPr>
            <w:r w:rsidRPr="002A78DD">
              <w:rPr>
                <w:sz w:val="20"/>
                <w:szCs w:val="20"/>
                <w:lang w:val="fr-FR"/>
              </w:rPr>
              <w:t>Deux questions d’orientation pourraient affecter les coûts</w:t>
            </w:r>
          </w:p>
        </w:tc>
      </w:tr>
    </w:tbl>
    <w:p w14:paraId="4394D84C" w14:textId="16B3EC3D" w:rsidR="00441083" w:rsidRDefault="00441083">
      <w:pPr>
        <w:rPr>
          <w:lang w:val="fr-CA"/>
        </w:rPr>
      </w:pPr>
    </w:p>
    <w:p w14:paraId="0F7A9DE8" w14:textId="76E5BA03" w:rsidR="00164EE3" w:rsidRDefault="00164EE3">
      <w:pPr>
        <w:rPr>
          <w:lang w:val="fr-CA"/>
        </w:rPr>
      </w:pPr>
    </w:p>
    <w:p w14:paraId="496D0398" w14:textId="3578371B" w:rsidR="00164EE3" w:rsidRDefault="00164EE3">
      <w:pPr>
        <w:rPr>
          <w:lang w:val="fr-CA"/>
        </w:rPr>
      </w:pPr>
    </w:p>
    <w:p w14:paraId="5FE6D3AF" w14:textId="77777777" w:rsidR="00164EE3" w:rsidRPr="00C27322" w:rsidRDefault="00164EE3">
      <w:pPr>
        <w:rPr>
          <w:lang w:val="fr-CA"/>
        </w:rPr>
        <w:sectPr w:rsidR="00164EE3" w:rsidRPr="00C27322">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249CAD0F" w14:textId="77777777" w:rsidR="00441083" w:rsidRDefault="00441083" w:rsidP="00401CBA">
      <w:pPr>
        <w:rPr>
          <w:lang w:val="fr-FR"/>
        </w:rPr>
      </w:pPr>
    </w:p>
    <w:sectPr w:rsidR="00441083">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C7E14" w14:textId="77777777" w:rsidR="0039363B" w:rsidRDefault="0039363B">
      <w:r>
        <w:separator/>
      </w:r>
    </w:p>
  </w:endnote>
  <w:endnote w:type="continuationSeparator" w:id="0">
    <w:p w14:paraId="053CD33D" w14:textId="77777777" w:rsidR="0039363B" w:rsidRDefault="0039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836A" w14:textId="2591941C" w:rsidR="001140B8" w:rsidRDefault="001140B8">
    <w:pPr>
      <w:jc w:val="center"/>
    </w:pPr>
    <w:r>
      <w:fldChar w:fldCharType="begin"/>
    </w:r>
    <w:r>
      <w:instrText xml:space="preserve"> PAGE </w:instrText>
    </w:r>
    <w:r>
      <w:fldChar w:fldCharType="separate"/>
    </w:r>
    <w:r w:rsidR="00434CB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F1AB" w14:textId="439C5BBD" w:rsidR="001140B8" w:rsidRDefault="001140B8">
    <w:pPr>
      <w:jc w:val="center"/>
    </w:pPr>
    <w:r>
      <w:fldChar w:fldCharType="begin"/>
    </w:r>
    <w:r>
      <w:instrText xml:space="preserve"> PAGE </w:instrText>
    </w:r>
    <w:r>
      <w:fldChar w:fldCharType="separate"/>
    </w:r>
    <w:r w:rsidR="00434CB5">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6DFF" w14:textId="77777777" w:rsidR="001140B8" w:rsidRDefault="001140B8">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360EB278" w14:textId="77777777" w:rsidR="001140B8" w:rsidRDefault="001140B8">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p w14:paraId="6CE16F78" w14:textId="77777777" w:rsidR="001140B8" w:rsidRDefault="001140B8">
    <w:pPr>
      <w:pStyle w:val="Foo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708631"/>
      <w:docPartObj>
        <w:docPartGallery w:val="Page Numbers (Bottom of Page)"/>
        <w:docPartUnique/>
      </w:docPartObj>
    </w:sdtPr>
    <w:sdtEndPr>
      <w:rPr>
        <w:noProof/>
      </w:rPr>
    </w:sdtEndPr>
    <w:sdtContent>
      <w:p w14:paraId="4C6AA08E" w14:textId="1871DE8F" w:rsidR="001140B8" w:rsidRDefault="001140B8">
        <w:pPr>
          <w:pStyle w:val="Footer"/>
          <w:jc w:val="center"/>
        </w:pPr>
        <w:r>
          <w:fldChar w:fldCharType="begin"/>
        </w:r>
        <w:r>
          <w:instrText xml:space="preserve"> PAGE   \* MERGEFORMAT </w:instrText>
        </w:r>
        <w:r>
          <w:fldChar w:fldCharType="separate"/>
        </w:r>
        <w:r w:rsidR="00434CB5">
          <w:rPr>
            <w:noProof/>
          </w:rPr>
          <w:t>1</w:t>
        </w:r>
        <w:r>
          <w:rPr>
            <w:noProof/>
          </w:rPr>
          <w:fldChar w:fldCharType="end"/>
        </w:r>
      </w:p>
    </w:sdtContent>
  </w:sdt>
  <w:p w14:paraId="319E44CC" w14:textId="77777777" w:rsidR="001140B8" w:rsidRDefault="001140B8">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604E9" w14:textId="77777777" w:rsidR="0039363B" w:rsidRDefault="0039363B">
      <w:r>
        <w:separator/>
      </w:r>
    </w:p>
  </w:footnote>
  <w:footnote w:type="continuationSeparator" w:id="0">
    <w:p w14:paraId="5DF87832" w14:textId="77777777" w:rsidR="0039363B" w:rsidRDefault="0039363B">
      <w:r>
        <w:continuationSeparator/>
      </w:r>
    </w:p>
  </w:footnote>
  <w:footnote w:id="1">
    <w:p w14:paraId="63B0F4FB" w14:textId="228A942A" w:rsidR="009575C7" w:rsidRPr="00434CB5" w:rsidRDefault="009575C7">
      <w:pPr>
        <w:pStyle w:val="FootnoteText"/>
        <w:rPr>
          <w:sz w:val="20"/>
          <w:szCs w:val="20"/>
          <w:lang w:val="fr-FR"/>
        </w:rPr>
      </w:pPr>
      <w:r w:rsidRPr="009575C7">
        <w:rPr>
          <w:rStyle w:val="FootnoteReference"/>
          <w:lang w:val="fr-CA"/>
        </w:rPr>
        <w:t>*</w:t>
      </w:r>
      <w:r w:rsidRPr="00401CBA">
        <w:rPr>
          <w:sz w:val="20"/>
          <w:szCs w:val="20"/>
          <w:lang w:val="fr-FR"/>
        </w:rPr>
        <w:t>A cause du coronavirus (COVID-19)</w:t>
      </w:r>
    </w:p>
    <w:p w14:paraId="3962C176" w14:textId="77777777" w:rsidR="00434CB5" w:rsidRPr="00434CB5" w:rsidRDefault="00434CB5">
      <w:pPr>
        <w:pStyle w:val="FootnoteText"/>
        <w:rPr>
          <w:sz w:val="20"/>
          <w:szCs w:val="20"/>
          <w:lang w:val="fr-CA"/>
        </w:rPr>
      </w:pPr>
    </w:p>
  </w:footnote>
  <w:footnote w:id="2">
    <w:p w14:paraId="0EA2C3DB" w14:textId="219A948A" w:rsidR="001140B8" w:rsidRPr="00734F07" w:rsidRDefault="001140B8">
      <w:pPr>
        <w:pStyle w:val="FootnoteText"/>
        <w:rPr>
          <w:sz w:val="20"/>
          <w:szCs w:val="20"/>
          <w:lang w:val="fr-FR"/>
        </w:rPr>
      </w:pPr>
      <w:r w:rsidRPr="00734F07">
        <w:rPr>
          <w:rStyle w:val="FootnoteReference"/>
          <w:sz w:val="20"/>
          <w:szCs w:val="20"/>
        </w:rPr>
        <w:footnoteRef/>
      </w:r>
      <w:r w:rsidRPr="00EE624C">
        <w:rPr>
          <w:sz w:val="20"/>
          <w:szCs w:val="20"/>
          <w:lang w:val="fr-CA"/>
        </w:rPr>
        <w:t xml:space="preserve"> </w:t>
      </w:r>
      <w:r w:rsidRPr="00734F07">
        <w:rPr>
          <w:sz w:val="20"/>
          <w:szCs w:val="20"/>
          <w:lang w:val="fr-FR"/>
        </w:rPr>
        <w:t>La décision 84/18 a noté que la cinquième et dernière tranche de la phase I du PGEH ne pourra être présentée qu’une fois la formation des agents des douanes et des age</w:t>
      </w:r>
      <w:r>
        <w:rPr>
          <w:sz w:val="20"/>
          <w:szCs w:val="20"/>
          <w:lang w:val="fr-FR"/>
        </w:rPr>
        <w:t>nts d’application de la loi</w:t>
      </w:r>
      <w:r w:rsidRPr="00734F07">
        <w:rPr>
          <w:sz w:val="20"/>
          <w:szCs w:val="20"/>
          <w:lang w:val="fr-FR"/>
        </w:rPr>
        <w:t xml:space="preserve"> terminée, couvrant 31 points d’entrée, sur le contrôle des importations de HCFC et d’équipements à base de HCFC; </w:t>
      </w:r>
      <w:r>
        <w:rPr>
          <w:sz w:val="20"/>
          <w:szCs w:val="20"/>
          <w:lang w:val="fr-FR"/>
        </w:rPr>
        <w:t xml:space="preserve">qu’après la </w:t>
      </w:r>
      <w:r w:rsidRPr="00734F07">
        <w:rPr>
          <w:sz w:val="20"/>
          <w:szCs w:val="20"/>
          <w:lang w:val="fr-FR"/>
        </w:rPr>
        <w:t>mis</w:t>
      </w:r>
      <w:r>
        <w:rPr>
          <w:sz w:val="20"/>
          <w:szCs w:val="20"/>
          <w:lang w:val="fr-FR"/>
        </w:rPr>
        <w:t>e</w:t>
      </w:r>
      <w:r w:rsidRPr="00734F07">
        <w:rPr>
          <w:sz w:val="20"/>
          <w:szCs w:val="20"/>
          <w:lang w:val="fr-FR"/>
        </w:rPr>
        <w:t xml:space="preserve"> en place </w:t>
      </w:r>
      <w:r>
        <w:rPr>
          <w:sz w:val="20"/>
          <w:szCs w:val="20"/>
          <w:lang w:val="fr-FR"/>
        </w:rPr>
        <w:t>d’</w:t>
      </w:r>
      <w:r w:rsidRPr="00734F07">
        <w:rPr>
          <w:sz w:val="20"/>
          <w:szCs w:val="20"/>
          <w:lang w:val="fr-FR"/>
        </w:rPr>
        <w:t xml:space="preserve">un système électronique d’enregistrements des importateurs, des fournisseurs et des utilisateurs finaux; que </w:t>
      </w:r>
      <w:r>
        <w:rPr>
          <w:sz w:val="20"/>
          <w:szCs w:val="20"/>
          <w:lang w:val="fr-FR"/>
        </w:rPr>
        <w:t xml:space="preserve">lorsque </w:t>
      </w:r>
      <w:r w:rsidRPr="00734F07">
        <w:rPr>
          <w:sz w:val="20"/>
          <w:szCs w:val="20"/>
          <w:lang w:val="fr-FR"/>
        </w:rPr>
        <w:t xml:space="preserve">des progrès substantiels </w:t>
      </w:r>
      <w:r>
        <w:rPr>
          <w:sz w:val="20"/>
          <w:szCs w:val="20"/>
          <w:lang w:val="fr-FR"/>
        </w:rPr>
        <w:t>dans la révision des normes techniques auront été</w:t>
      </w:r>
      <w:r w:rsidRPr="00734F07">
        <w:rPr>
          <w:sz w:val="20"/>
          <w:szCs w:val="20"/>
          <w:lang w:val="fr-FR"/>
        </w:rPr>
        <w:t xml:space="preserve"> signalés, incluant des mesures de sécurité pour les frigorigènes inflammables; qu’après le décaissement de toutes les sommes approuvées pour les volets relevant du PNUE, pour les première, deuxième et troisième tranches de la phase I du PGEH et le décaissement de 70 pour cent pour la quatrième tranche pour les volets relevant du PNUE.  </w:t>
      </w:r>
    </w:p>
  </w:footnote>
  <w:footnote w:id="3">
    <w:p w14:paraId="738CA50A" w14:textId="19277E34" w:rsidR="001140B8" w:rsidRPr="006B3E14" w:rsidRDefault="001140B8">
      <w:pPr>
        <w:pStyle w:val="FootnoteText"/>
        <w:rPr>
          <w:sz w:val="20"/>
          <w:szCs w:val="20"/>
          <w:lang w:val="fr-FR"/>
        </w:rPr>
      </w:pPr>
      <w:r w:rsidRPr="006B3E14">
        <w:rPr>
          <w:rStyle w:val="FootnoteReference"/>
          <w:sz w:val="20"/>
          <w:szCs w:val="20"/>
        </w:rPr>
        <w:footnoteRef/>
      </w:r>
      <w:r w:rsidRPr="00EE624C">
        <w:rPr>
          <w:sz w:val="20"/>
          <w:szCs w:val="20"/>
          <w:lang w:val="fr-CA"/>
        </w:rPr>
        <w:t xml:space="preserve"> </w:t>
      </w:r>
      <w:r w:rsidRPr="006B3E14">
        <w:rPr>
          <w:sz w:val="20"/>
          <w:szCs w:val="20"/>
          <w:lang w:val="fr-FR"/>
        </w:rPr>
        <w:t>Décision 79/4(c).</w:t>
      </w:r>
    </w:p>
  </w:footnote>
  <w:footnote w:id="4">
    <w:p w14:paraId="08C77F33" w14:textId="72025E16" w:rsidR="001140B8" w:rsidRPr="00150480" w:rsidRDefault="001140B8">
      <w:pPr>
        <w:pStyle w:val="FootnoteText"/>
        <w:rPr>
          <w:sz w:val="20"/>
          <w:szCs w:val="20"/>
          <w:lang w:val="fr-FR"/>
        </w:rPr>
      </w:pPr>
      <w:r w:rsidRPr="00150480">
        <w:rPr>
          <w:rStyle w:val="FootnoteReference"/>
          <w:sz w:val="20"/>
          <w:szCs w:val="20"/>
        </w:rPr>
        <w:footnoteRef/>
      </w:r>
      <w:r w:rsidRPr="00EE624C">
        <w:rPr>
          <w:sz w:val="20"/>
          <w:szCs w:val="20"/>
          <w:lang w:val="fr-CA"/>
        </w:rPr>
        <w:t xml:space="preserve"> </w:t>
      </w:r>
      <w:r w:rsidRPr="00150480">
        <w:rPr>
          <w:sz w:val="20"/>
          <w:szCs w:val="20"/>
          <w:lang w:val="fr-FR"/>
        </w:rPr>
        <w:t>Par exemple : comment travailler de manière sécuritaire dans le secteur de la climati</w:t>
      </w:r>
      <w:r>
        <w:rPr>
          <w:sz w:val="20"/>
          <w:szCs w:val="20"/>
          <w:lang w:val="fr-FR"/>
        </w:rPr>
        <w:t>sation résidentielle durant la pandémie de</w:t>
      </w:r>
      <w:r w:rsidRPr="00150480">
        <w:rPr>
          <w:sz w:val="20"/>
          <w:szCs w:val="20"/>
          <w:lang w:val="fr-FR"/>
        </w:rPr>
        <w:t xml:space="preserve"> COVID-19, avec une attention particulière pour la réouverture de l</w:t>
      </w:r>
      <w:r>
        <w:rPr>
          <w:sz w:val="20"/>
          <w:szCs w:val="20"/>
          <w:lang w:val="fr-FR"/>
        </w:rPr>
        <w:t xml:space="preserve">’économie (anglais et espagnol en </w:t>
      </w:r>
      <w:r w:rsidRPr="00150480">
        <w:rPr>
          <w:sz w:val="20"/>
          <w:szCs w:val="20"/>
          <w:lang w:val="fr-FR"/>
        </w:rPr>
        <w:t>avril 2020); formation sur le CO</w:t>
      </w:r>
      <w:r w:rsidRPr="00150480">
        <w:rPr>
          <w:sz w:val="20"/>
          <w:szCs w:val="20"/>
          <w:vertAlign w:val="subscript"/>
          <w:lang w:val="fr-FR"/>
        </w:rPr>
        <w:t>2</w:t>
      </w:r>
      <w:r w:rsidRPr="00150480">
        <w:rPr>
          <w:sz w:val="20"/>
          <w:szCs w:val="20"/>
          <w:lang w:val="fr-FR"/>
        </w:rPr>
        <w:t xml:space="preserve"> dans la réfrigération commerciale pour les techniciens en climatisation résidentielle (deux séminaires théoriques et un séminaire pratique sur le Web), (</w:t>
      </w:r>
      <w:r>
        <w:rPr>
          <w:sz w:val="20"/>
          <w:szCs w:val="20"/>
          <w:lang w:val="fr-FR"/>
        </w:rPr>
        <w:t>anglais en avril et espagnol en</w:t>
      </w:r>
      <w:r w:rsidRPr="00150480">
        <w:rPr>
          <w:sz w:val="20"/>
          <w:szCs w:val="20"/>
          <w:lang w:val="fr-FR"/>
        </w:rPr>
        <w:t xml:space="preserve"> mai</w:t>
      </w:r>
      <w:r w:rsidR="001914A9">
        <w:rPr>
          <w:sz w:val="20"/>
          <w:szCs w:val="20"/>
          <w:lang w:val="fr-FR"/>
        </w:rPr>
        <w:t> </w:t>
      </w:r>
      <w:r w:rsidRPr="00150480">
        <w:rPr>
          <w:sz w:val="20"/>
          <w:szCs w:val="20"/>
          <w:lang w:val="fr-FR"/>
        </w:rPr>
        <w:t>2020); communication des données et système de permis et de quota pour les HFC (pays anglophones de l’Amérique latine et des Caraïbes, mai/juin 2020); formation sur la manipulation sécuritaire des hydrocarbures pour les techniciens en climatisation résidentielle (juin 2020); et formation sur la technologie à base de CO</w:t>
      </w:r>
      <w:r w:rsidRPr="00150480">
        <w:rPr>
          <w:sz w:val="20"/>
          <w:szCs w:val="20"/>
          <w:vertAlign w:val="subscript"/>
          <w:lang w:val="fr-FR"/>
        </w:rPr>
        <w:t xml:space="preserve">2 </w:t>
      </w:r>
      <w:r w:rsidRPr="00150480">
        <w:rPr>
          <w:sz w:val="20"/>
          <w:szCs w:val="20"/>
          <w:lang w:val="fr-FR"/>
        </w:rPr>
        <w:t>pour les pays de l’Europe orientale et l’Afrique (juin 2020).</w:t>
      </w:r>
    </w:p>
  </w:footnote>
  <w:footnote w:id="5">
    <w:p w14:paraId="37053B81" w14:textId="63AF2617" w:rsidR="001140B8" w:rsidRPr="00150480" w:rsidRDefault="001140B8">
      <w:pPr>
        <w:pStyle w:val="FootnoteText"/>
        <w:rPr>
          <w:sz w:val="20"/>
          <w:szCs w:val="20"/>
          <w:lang w:val="fr-FR"/>
        </w:rPr>
      </w:pPr>
      <w:r w:rsidRPr="00150480">
        <w:rPr>
          <w:rStyle w:val="FootnoteReference"/>
          <w:sz w:val="20"/>
          <w:szCs w:val="20"/>
        </w:rPr>
        <w:footnoteRef/>
      </w:r>
      <w:r w:rsidRPr="00EE624C">
        <w:rPr>
          <w:sz w:val="20"/>
          <w:szCs w:val="20"/>
          <w:lang w:val="fr-FR"/>
        </w:rPr>
        <w:t xml:space="preserve"> </w:t>
      </w:r>
      <w:hyperlink r:id="rId1" w:history="1">
        <w:r w:rsidRPr="00150480">
          <w:rPr>
            <w:rStyle w:val="Hyperlink"/>
            <w:sz w:val="20"/>
            <w:szCs w:val="20"/>
            <w:lang w:val="fr-FR"/>
          </w:rPr>
          <w:t>https://www.unenvironment.org/ozonaction/news/news/first-montreal-protocol-related-online-training-during-covid-19-pandemic</w:t>
        </w:r>
      </w:hyperlink>
    </w:p>
    <w:p w14:paraId="316B374A" w14:textId="77777777" w:rsidR="001140B8" w:rsidRPr="00150480" w:rsidRDefault="001140B8">
      <w:pPr>
        <w:pStyle w:val="FootnoteText"/>
        <w:rPr>
          <w:sz w:val="20"/>
          <w:szCs w:val="20"/>
          <w:lang w:val="fr-FR"/>
        </w:rPr>
      </w:pPr>
    </w:p>
  </w:footnote>
  <w:footnote w:id="6">
    <w:p w14:paraId="727AFEFB" w14:textId="39A1C37C" w:rsidR="001140B8" w:rsidRPr="00A70FE0" w:rsidRDefault="001140B8">
      <w:pPr>
        <w:pStyle w:val="FootnoteText"/>
        <w:rPr>
          <w:sz w:val="20"/>
          <w:szCs w:val="20"/>
          <w:lang w:val="fr-FR"/>
        </w:rPr>
      </w:pPr>
      <w:r w:rsidRPr="00A70FE0">
        <w:rPr>
          <w:rStyle w:val="FootnoteReference"/>
          <w:sz w:val="20"/>
          <w:szCs w:val="20"/>
        </w:rPr>
        <w:footnoteRef/>
      </w:r>
      <w:r w:rsidRPr="00EE624C">
        <w:rPr>
          <w:sz w:val="20"/>
          <w:szCs w:val="20"/>
          <w:lang w:val="fr-FR"/>
        </w:rPr>
        <w:t xml:space="preserve"> </w:t>
      </w:r>
      <w:r w:rsidRPr="00A70FE0">
        <w:rPr>
          <w:sz w:val="20"/>
          <w:szCs w:val="20"/>
          <w:lang w:val="fr-FR"/>
        </w:rPr>
        <w:t>https://wedocs.unep.org/bitstream/handle/20.500.11822/31933/HCFCTail.pdf?sequence=1&amp;isAllowed+y</w:t>
      </w:r>
    </w:p>
  </w:footnote>
  <w:footnote w:id="7">
    <w:p w14:paraId="71D61EF4" w14:textId="207ECC8F" w:rsidR="001140B8" w:rsidRPr="003669E0" w:rsidRDefault="001140B8">
      <w:pPr>
        <w:pStyle w:val="FootnoteText"/>
        <w:rPr>
          <w:sz w:val="20"/>
          <w:szCs w:val="20"/>
          <w:lang w:val="fr-FR"/>
        </w:rPr>
      </w:pPr>
      <w:r w:rsidRPr="003669E0">
        <w:rPr>
          <w:rStyle w:val="FootnoteReference"/>
          <w:sz w:val="20"/>
          <w:szCs w:val="20"/>
        </w:rPr>
        <w:footnoteRef/>
      </w:r>
      <w:r w:rsidRPr="00EE624C">
        <w:rPr>
          <w:sz w:val="20"/>
          <w:szCs w:val="20"/>
          <w:lang w:val="fr-CA"/>
        </w:rPr>
        <w:t xml:space="preserve"> </w:t>
      </w:r>
      <w:r w:rsidRPr="003669E0">
        <w:rPr>
          <w:sz w:val="20"/>
          <w:szCs w:val="20"/>
          <w:lang w:val="fr-FR"/>
        </w:rPr>
        <w:t xml:space="preserve">De plus amples informations sur cette poursuite et d’autres menées par le gouvernement de la Chine pour renforcer ses systèmes de surveillance, </w:t>
      </w:r>
      <w:r>
        <w:rPr>
          <w:sz w:val="20"/>
          <w:szCs w:val="20"/>
          <w:lang w:val="fr-FR"/>
        </w:rPr>
        <w:t xml:space="preserve">de </w:t>
      </w:r>
      <w:r w:rsidRPr="003669E0">
        <w:rPr>
          <w:sz w:val="20"/>
          <w:szCs w:val="20"/>
          <w:lang w:val="fr-FR"/>
        </w:rPr>
        <w:t xml:space="preserve">rapports, </w:t>
      </w:r>
      <w:r>
        <w:rPr>
          <w:sz w:val="20"/>
          <w:szCs w:val="20"/>
          <w:lang w:val="fr-FR"/>
        </w:rPr>
        <w:t xml:space="preserve">de </w:t>
      </w:r>
      <w:r w:rsidRPr="003669E0">
        <w:rPr>
          <w:sz w:val="20"/>
          <w:szCs w:val="20"/>
          <w:lang w:val="fr-FR"/>
        </w:rPr>
        <w:t xml:space="preserve">vérification et </w:t>
      </w:r>
      <w:r>
        <w:rPr>
          <w:sz w:val="20"/>
          <w:szCs w:val="20"/>
          <w:lang w:val="fr-FR"/>
        </w:rPr>
        <w:t>d’</w:t>
      </w:r>
      <w:r w:rsidRPr="003669E0">
        <w:rPr>
          <w:sz w:val="20"/>
          <w:szCs w:val="20"/>
          <w:lang w:val="fr-FR"/>
        </w:rPr>
        <w:t>application de la loi seront fournies dans le rapport qui sera remis à la 86</w:t>
      </w:r>
      <w:r w:rsidRPr="003669E0">
        <w:rPr>
          <w:sz w:val="20"/>
          <w:szCs w:val="20"/>
          <w:vertAlign w:val="superscript"/>
          <w:lang w:val="fr-FR"/>
        </w:rPr>
        <w:t>e</w:t>
      </w:r>
      <w:r w:rsidRPr="003669E0">
        <w:rPr>
          <w:sz w:val="20"/>
          <w:szCs w:val="20"/>
          <w:lang w:val="fr-FR"/>
        </w:rPr>
        <w:t xml:space="preserve"> réunion</w:t>
      </w:r>
      <w:r>
        <w:rPr>
          <w:sz w:val="20"/>
          <w:szCs w:val="20"/>
          <w:lang w:val="fr-FR"/>
        </w:rPr>
        <w:t>,</w:t>
      </w:r>
      <w:r w:rsidRPr="003669E0">
        <w:rPr>
          <w:sz w:val="20"/>
          <w:szCs w:val="20"/>
          <w:lang w:val="fr-FR"/>
        </w:rPr>
        <w:t xml:space="preserve"> conformément à la décision 83/41.</w:t>
      </w:r>
    </w:p>
  </w:footnote>
  <w:footnote w:id="8">
    <w:p w14:paraId="73321A5F" w14:textId="354C6356" w:rsidR="001140B8" w:rsidRPr="00342B37" w:rsidRDefault="001140B8">
      <w:pPr>
        <w:pStyle w:val="FootnoteText"/>
        <w:rPr>
          <w:sz w:val="20"/>
          <w:szCs w:val="20"/>
          <w:lang w:val="fr-FR"/>
        </w:rPr>
      </w:pPr>
      <w:r w:rsidRPr="00342B37">
        <w:rPr>
          <w:rStyle w:val="FootnoteReference"/>
          <w:sz w:val="20"/>
          <w:szCs w:val="20"/>
        </w:rPr>
        <w:footnoteRef/>
      </w:r>
      <w:r w:rsidRPr="00EE624C">
        <w:rPr>
          <w:sz w:val="20"/>
          <w:szCs w:val="20"/>
          <w:lang w:val="fr-FR"/>
        </w:rPr>
        <w:t xml:space="preserve"> </w:t>
      </w:r>
      <w:r w:rsidRPr="00342B37">
        <w:rPr>
          <w:sz w:val="20"/>
          <w:szCs w:val="20"/>
          <w:lang w:val="fr-FR"/>
        </w:rPr>
        <w:t>UNEP/</w:t>
      </w:r>
      <w:proofErr w:type="spellStart"/>
      <w:r w:rsidRPr="00342B37">
        <w:rPr>
          <w:sz w:val="20"/>
          <w:szCs w:val="20"/>
          <w:lang w:val="fr-FR"/>
        </w:rPr>
        <w:t>OzL.Pro</w:t>
      </w:r>
      <w:proofErr w:type="spellEnd"/>
      <w:r w:rsidRPr="00342B37">
        <w:rPr>
          <w:sz w:val="20"/>
          <w:szCs w:val="20"/>
          <w:lang w:val="fr-FR"/>
        </w:rPr>
        <w:t>/</w:t>
      </w:r>
      <w:proofErr w:type="spellStart"/>
      <w:r w:rsidRPr="00342B37">
        <w:rPr>
          <w:sz w:val="20"/>
          <w:szCs w:val="20"/>
          <w:lang w:val="fr-FR"/>
        </w:rPr>
        <w:t>ExCom</w:t>
      </w:r>
      <w:proofErr w:type="spellEnd"/>
      <w:r w:rsidRPr="00342B37">
        <w:rPr>
          <w:sz w:val="20"/>
          <w:szCs w:val="20"/>
          <w:lang w:val="fr-FR"/>
        </w:rPr>
        <w:t>/85/15</w:t>
      </w:r>
    </w:p>
  </w:footnote>
  <w:footnote w:id="9">
    <w:p w14:paraId="75139141" w14:textId="74F4FCE5" w:rsidR="001140B8" w:rsidRPr="00342B37" w:rsidRDefault="001140B8">
      <w:pPr>
        <w:pStyle w:val="FootnoteText"/>
        <w:rPr>
          <w:sz w:val="20"/>
          <w:szCs w:val="20"/>
          <w:lang w:val="fr-FR"/>
        </w:rPr>
      </w:pPr>
      <w:r w:rsidRPr="00342B37">
        <w:rPr>
          <w:rStyle w:val="FootnoteReference"/>
          <w:sz w:val="20"/>
          <w:szCs w:val="20"/>
        </w:rPr>
        <w:footnoteRef/>
      </w:r>
      <w:r w:rsidRPr="00EE624C">
        <w:rPr>
          <w:sz w:val="20"/>
          <w:szCs w:val="20"/>
          <w:lang w:val="fr-FR"/>
        </w:rPr>
        <w:t xml:space="preserve"> </w:t>
      </w:r>
      <w:r w:rsidRPr="00342B37">
        <w:rPr>
          <w:sz w:val="20"/>
          <w:szCs w:val="20"/>
          <w:lang w:val="fr-FR"/>
        </w:rPr>
        <w:t>UNEP/</w:t>
      </w:r>
      <w:proofErr w:type="spellStart"/>
      <w:r w:rsidRPr="00342B37">
        <w:rPr>
          <w:sz w:val="20"/>
          <w:szCs w:val="20"/>
          <w:lang w:val="fr-FR"/>
        </w:rPr>
        <w:t>OzL.Pro</w:t>
      </w:r>
      <w:proofErr w:type="spellEnd"/>
      <w:r w:rsidRPr="00342B37">
        <w:rPr>
          <w:sz w:val="20"/>
          <w:szCs w:val="20"/>
          <w:lang w:val="fr-FR"/>
        </w:rPr>
        <w:t>/</w:t>
      </w:r>
      <w:proofErr w:type="spellStart"/>
      <w:r w:rsidRPr="00342B37">
        <w:rPr>
          <w:sz w:val="20"/>
          <w:szCs w:val="20"/>
          <w:lang w:val="fr-FR"/>
        </w:rPr>
        <w:t>ExCom</w:t>
      </w:r>
      <w:proofErr w:type="spellEnd"/>
      <w:r w:rsidRPr="00342B37">
        <w:rPr>
          <w:sz w:val="20"/>
          <w:szCs w:val="20"/>
          <w:lang w:val="fr-FR"/>
        </w:rPr>
        <w:t>/85/16</w:t>
      </w:r>
    </w:p>
  </w:footnote>
  <w:footnote w:id="10">
    <w:p w14:paraId="1A823DA5" w14:textId="1C8EB6EC" w:rsidR="001140B8" w:rsidRPr="00342B37" w:rsidRDefault="001140B8">
      <w:pPr>
        <w:pStyle w:val="FootnoteText"/>
        <w:rPr>
          <w:sz w:val="20"/>
          <w:szCs w:val="20"/>
          <w:lang w:val="fr-FR"/>
        </w:rPr>
      </w:pPr>
      <w:r w:rsidRPr="00342B37">
        <w:rPr>
          <w:rStyle w:val="FootnoteReference"/>
          <w:sz w:val="20"/>
          <w:szCs w:val="20"/>
        </w:rPr>
        <w:footnoteRef/>
      </w:r>
      <w:r w:rsidRPr="00EE624C">
        <w:rPr>
          <w:sz w:val="20"/>
          <w:szCs w:val="20"/>
          <w:lang w:val="fr-CA"/>
        </w:rPr>
        <w:t xml:space="preserve"> </w:t>
      </w:r>
      <w:r w:rsidRPr="00342B37">
        <w:rPr>
          <w:sz w:val="20"/>
          <w:szCs w:val="20"/>
          <w:lang w:val="fr-FR"/>
        </w:rPr>
        <w:t>UNEP/</w:t>
      </w:r>
      <w:proofErr w:type="spellStart"/>
      <w:r w:rsidRPr="00342B37">
        <w:rPr>
          <w:sz w:val="20"/>
          <w:szCs w:val="20"/>
          <w:lang w:val="fr-FR"/>
        </w:rPr>
        <w:t>OzL.Pro</w:t>
      </w:r>
      <w:proofErr w:type="spellEnd"/>
      <w:r w:rsidRPr="00342B37">
        <w:rPr>
          <w:sz w:val="20"/>
          <w:szCs w:val="20"/>
          <w:lang w:val="fr-FR"/>
        </w:rPr>
        <w:t>/</w:t>
      </w:r>
      <w:proofErr w:type="spellStart"/>
      <w:r w:rsidRPr="00342B37">
        <w:rPr>
          <w:sz w:val="20"/>
          <w:szCs w:val="20"/>
          <w:lang w:val="fr-FR"/>
        </w:rPr>
        <w:t>ExCom</w:t>
      </w:r>
      <w:proofErr w:type="spellEnd"/>
      <w:r w:rsidRPr="00342B37">
        <w:rPr>
          <w:sz w:val="20"/>
          <w:szCs w:val="20"/>
          <w:lang w:val="fr-FR"/>
        </w:rPr>
        <w:t>/85/17</w:t>
      </w:r>
    </w:p>
  </w:footnote>
  <w:footnote w:id="11">
    <w:p w14:paraId="6D0B2472" w14:textId="410BBAE7" w:rsidR="001140B8" w:rsidRPr="001403EF" w:rsidRDefault="001140B8">
      <w:pPr>
        <w:pStyle w:val="FootnoteText"/>
        <w:rPr>
          <w:sz w:val="20"/>
          <w:szCs w:val="20"/>
          <w:lang w:val="fr-FR"/>
        </w:rPr>
      </w:pPr>
      <w:r w:rsidRPr="00CB40AD">
        <w:rPr>
          <w:rStyle w:val="FootnoteReference"/>
          <w:sz w:val="20"/>
          <w:szCs w:val="20"/>
        </w:rPr>
        <w:footnoteRef/>
      </w:r>
      <w:r w:rsidRPr="00EE624C">
        <w:rPr>
          <w:sz w:val="20"/>
          <w:szCs w:val="20"/>
          <w:lang w:val="fr-CA"/>
        </w:rPr>
        <w:t xml:space="preserve"> </w:t>
      </w:r>
      <w:r w:rsidRPr="00CB40AD">
        <w:rPr>
          <w:sz w:val="20"/>
          <w:szCs w:val="20"/>
          <w:lang w:val="fr-FR"/>
        </w:rPr>
        <w:t xml:space="preserve">Tel que mentionné précédemment, en raison des divergences entre les données de consommation de HCFC </w:t>
      </w:r>
      <w:r w:rsidRPr="001403EF">
        <w:rPr>
          <w:sz w:val="20"/>
          <w:szCs w:val="20"/>
          <w:lang w:val="fr-FR"/>
        </w:rPr>
        <w:t>déclarées en vertu de l’article 7 du Protocole de Montréal et celles du rapport de vérification, la phase II du PGEH a été retirée.</w:t>
      </w:r>
    </w:p>
  </w:footnote>
  <w:footnote w:id="12">
    <w:p w14:paraId="19AB7261" w14:textId="7A0E0F13" w:rsidR="001140B8" w:rsidRPr="001403EF" w:rsidRDefault="001140B8">
      <w:pPr>
        <w:pStyle w:val="FootnoteText"/>
        <w:rPr>
          <w:sz w:val="20"/>
          <w:szCs w:val="20"/>
          <w:lang w:val="fr-FR"/>
        </w:rPr>
      </w:pPr>
      <w:r w:rsidRPr="001403EF">
        <w:rPr>
          <w:rStyle w:val="FootnoteReference"/>
          <w:sz w:val="20"/>
          <w:szCs w:val="20"/>
        </w:rPr>
        <w:footnoteRef/>
      </w:r>
      <w:r w:rsidRPr="00EE624C">
        <w:rPr>
          <w:sz w:val="20"/>
          <w:szCs w:val="20"/>
          <w:lang w:val="fr-CA"/>
        </w:rPr>
        <w:t xml:space="preserve"> UNEP/</w:t>
      </w:r>
      <w:proofErr w:type="spellStart"/>
      <w:r w:rsidRPr="00EE624C">
        <w:rPr>
          <w:sz w:val="20"/>
          <w:szCs w:val="20"/>
          <w:lang w:val="fr-CA"/>
        </w:rPr>
        <w:t>OzL.Pro</w:t>
      </w:r>
      <w:proofErr w:type="spellEnd"/>
      <w:r w:rsidRPr="00EE624C">
        <w:rPr>
          <w:sz w:val="20"/>
          <w:szCs w:val="20"/>
          <w:lang w:val="fr-CA"/>
        </w:rPr>
        <w:t>/</w:t>
      </w:r>
      <w:proofErr w:type="spellStart"/>
      <w:r w:rsidRPr="00EE624C">
        <w:rPr>
          <w:sz w:val="20"/>
          <w:szCs w:val="20"/>
          <w:lang w:val="fr-CA"/>
        </w:rPr>
        <w:t>ExCom</w:t>
      </w:r>
      <w:proofErr w:type="spellEnd"/>
      <w:r w:rsidRPr="00EE624C">
        <w:rPr>
          <w:sz w:val="20"/>
          <w:szCs w:val="20"/>
          <w:lang w:val="fr-CA"/>
        </w:rPr>
        <w:t>/85/46</w:t>
      </w:r>
    </w:p>
  </w:footnote>
  <w:footnote w:id="13">
    <w:p w14:paraId="176300E6" w14:textId="70EA08F5" w:rsidR="001140B8" w:rsidRPr="001403EF" w:rsidRDefault="001140B8">
      <w:pPr>
        <w:pStyle w:val="FootnoteText"/>
        <w:rPr>
          <w:sz w:val="20"/>
          <w:szCs w:val="20"/>
          <w:lang w:val="fr-FR"/>
        </w:rPr>
      </w:pPr>
      <w:r w:rsidRPr="001403EF">
        <w:rPr>
          <w:rStyle w:val="FootnoteReference"/>
          <w:sz w:val="20"/>
          <w:szCs w:val="20"/>
        </w:rPr>
        <w:footnoteRef/>
      </w:r>
      <w:r w:rsidRPr="00EE624C">
        <w:rPr>
          <w:sz w:val="20"/>
          <w:szCs w:val="20"/>
          <w:lang w:val="fr-CA"/>
        </w:rPr>
        <w:t xml:space="preserve"> </w:t>
      </w:r>
      <w:r w:rsidRPr="001403EF">
        <w:rPr>
          <w:sz w:val="20"/>
          <w:szCs w:val="20"/>
          <w:lang w:val="fr-FR"/>
        </w:rPr>
        <w:t>L’entretien des équipements de climatisation résidentielle existant au 1</w:t>
      </w:r>
      <w:r w:rsidRPr="001403EF">
        <w:rPr>
          <w:sz w:val="20"/>
          <w:szCs w:val="20"/>
          <w:vertAlign w:val="superscript"/>
          <w:lang w:val="fr-FR"/>
        </w:rPr>
        <w:t>er</w:t>
      </w:r>
      <w:r w:rsidRPr="001403EF">
        <w:rPr>
          <w:sz w:val="20"/>
          <w:szCs w:val="20"/>
          <w:lang w:val="fr-FR"/>
        </w:rPr>
        <w:t xml:space="preserve"> janvier 2030; et l’entretien des équipements de lutte et de protection contre les incendies existant au 1</w:t>
      </w:r>
      <w:r w:rsidRPr="001403EF">
        <w:rPr>
          <w:sz w:val="20"/>
          <w:szCs w:val="20"/>
          <w:vertAlign w:val="superscript"/>
          <w:lang w:val="fr-FR"/>
        </w:rPr>
        <w:t>er</w:t>
      </w:r>
      <w:r w:rsidRPr="001403EF">
        <w:rPr>
          <w:sz w:val="20"/>
          <w:szCs w:val="20"/>
          <w:lang w:val="fr-FR"/>
        </w:rPr>
        <w:t xml:space="preserve"> janvier 2030; les applications de solvants dans la fabrication de moteurs de fusée; et les applications d’aérosols médicaux topiques pour le traitement spécialisé des brûlures. </w:t>
      </w:r>
    </w:p>
  </w:footnote>
  <w:footnote w:id="14">
    <w:p w14:paraId="4E891EDB" w14:textId="0659C593" w:rsidR="001140B8" w:rsidRPr="00596832" w:rsidRDefault="001140B8">
      <w:pPr>
        <w:pStyle w:val="FootnoteText"/>
        <w:rPr>
          <w:sz w:val="20"/>
          <w:szCs w:val="20"/>
          <w:lang w:val="fr-FR"/>
        </w:rPr>
      </w:pPr>
      <w:r w:rsidRPr="00596832">
        <w:rPr>
          <w:rStyle w:val="FootnoteReference"/>
          <w:sz w:val="20"/>
          <w:szCs w:val="20"/>
        </w:rPr>
        <w:footnoteRef/>
      </w:r>
      <w:r w:rsidRPr="00EE624C">
        <w:rPr>
          <w:sz w:val="20"/>
          <w:szCs w:val="20"/>
          <w:lang w:val="fr-CA"/>
        </w:rPr>
        <w:t xml:space="preserve"> </w:t>
      </w:r>
      <w:r w:rsidRPr="00596832">
        <w:rPr>
          <w:sz w:val="20"/>
          <w:szCs w:val="20"/>
          <w:lang w:val="fr-FR"/>
        </w:rPr>
        <w:t>Le Secrétariat a été chargé de remettre, à la première réunion de chaque année, une liste représentant 20 pour cent des pays dont la consommation de base de HCFC est inférieure ou égale à 360 tonnes métriques, avec un PGEH approuvé, afin que le Comité exécutif puisse approuver leur financement en vue de la vérification de la conformité du pays à l’accord du PGEH pour l’année en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52F7" w14:textId="024C410B" w:rsidR="001140B8" w:rsidRDefault="00434CB5">
    <w:r>
      <w:fldChar w:fldCharType="begin"/>
    </w:r>
    <w:r>
      <w:instrText xml:space="preserve"> DOCPROPERTY "Document number"  \* MERGEFORMAT </w:instrText>
    </w:r>
    <w:r>
      <w:fldChar w:fldCharType="separate"/>
    </w:r>
    <w:r w:rsidR="00EE624C">
      <w:t>UNEP/</w:t>
    </w:r>
    <w:proofErr w:type="spellStart"/>
    <w:r w:rsidR="00EE624C">
      <w:t>OzL.Pro</w:t>
    </w:r>
    <w:proofErr w:type="spellEnd"/>
    <w:r w:rsidR="00EE624C">
      <w:t>/ExCom/85/13</w:t>
    </w:r>
    <w:r>
      <w:fldChar w:fldCharType="end"/>
    </w:r>
  </w:p>
  <w:p w14:paraId="1564C04C" w14:textId="77777777" w:rsidR="001140B8" w:rsidRDefault="001140B8"/>
  <w:p w14:paraId="5531F308" w14:textId="77777777" w:rsidR="001140B8" w:rsidRDefault="001140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3F45E" w14:textId="6BA01B8F" w:rsidR="001140B8" w:rsidRDefault="00434CB5">
    <w:pPr>
      <w:jc w:val="right"/>
    </w:pPr>
    <w:r>
      <w:fldChar w:fldCharType="begin"/>
    </w:r>
    <w:r>
      <w:instrText xml:space="preserve"> DOCPROPERTY "Document number"  \* MERGEFORMAT </w:instrText>
    </w:r>
    <w:r>
      <w:fldChar w:fldCharType="separate"/>
    </w:r>
    <w:r w:rsidR="00EE624C">
      <w:t>UNEP/</w:t>
    </w:r>
    <w:proofErr w:type="spellStart"/>
    <w:r w:rsidR="00EE624C">
      <w:t>OzL.Pro</w:t>
    </w:r>
    <w:proofErr w:type="spellEnd"/>
    <w:r w:rsidR="00EE624C">
      <w:t>/ExCom/85/13</w:t>
    </w:r>
    <w:r>
      <w:fldChar w:fldCharType="end"/>
    </w:r>
  </w:p>
  <w:p w14:paraId="0D827AD1" w14:textId="77777777" w:rsidR="001140B8" w:rsidRDefault="001140B8"/>
  <w:p w14:paraId="61AE4E09" w14:textId="77777777" w:rsidR="001140B8" w:rsidRDefault="00114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7364" w14:textId="77777777" w:rsidR="001140B8" w:rsidRDefault="00434CB5">
    <w:pPr>
      <w:jc w:val="right"/>
    </w:pPr>
    <w:r>
      <w:fldChar w:fldCharType="begin"/>
    </w:r>
    <w:r>
      <w:instrText xml:space="preserve"> DOCPROPERTY "Document number"  \* MERGEFORMAT </w:instrText>
    </w:r>
    <w:r>
      <w:fldChar w:fldCharType="separate"/>
    </w:r>
    <w:r w:rsidR="001140B8">
      <w:t>UNEP/</w:t>
    </w:r>
    <w:proofErr w:type="spellStart"/>
    <w:r w:rsidR="001140B8">
      <w:t>OzL.Pro</w:t>
    </w:r>
    <w:proofErr w:type="spellEnd"/>
    <w:r w:rsidR="001140B8">
      <w:t>/ExCom/85/1</w:t>
    </w:r>
    <w:r>
      <w:fldChar w:fldCharType="end"/>
    </w:r>
  </w:p>
  <w:p w14:paraId="20249574" w14:textId="77777777" w:rsidR="001140B8" w:rsidRDefault="001140B8">
    <w:pPr>
      <w:jc w:val="right"/>
    </w:pPr>
  </w:p>
  <w:p w14:paraId="3686399D" w14:textId="77777777" w:rsidR="001140B8" w:rsidRDefault="001140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C5607AA"/>
    <w:multiLevelType w:val="hybridMultilevel"/>
    <w:tmpl w:val="3E1C145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9FE79AE"/>
    <w:multiLevelType w:val="hybridMultilevel"/>
    <w:tmpl w:val="6ADE4D38"/>
    <w:lvl w:ilvl="0" w:tplc="E4AC52E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19"/>
  </w:num>
  <w:num w:numId="20">
    <w:abstractNumId w:val="15"/>
  </w:num>
  <w:num w:numId="21">
    <w:abstractNumId w:val="11"/>
  </w:num>
  <w:num w:numId="22">
    <w:abstractNumId w:val="12"/>
  </w:num>
  <w:num w:numId="23">
    <w:abstractNumId w:val="18"/>
  </w:num>
  <w:num w:numId="24">
    <w:abstractNumId w:val="1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0BD"/>
    <w:rsid w:val="00003B29"/>
    <w:rsid w:val="00022AA5"/>
    <w:rsid w:val="00035831"/>
    <w:rsid w:val="000362D2"/>
    <w:rsid w:val="0008773E"/>
    <w:rsid w:val="000A5751"/>
    <w:rsid w:val="000A77A3"/>
    <w:rsid w:val="000D1826"/>
    <w:rsid w:val="000D647B"/>
    <w:rsid w:val="000F26DD"/>
    <w:rsid w:val="000F6C8E"/>
    <w:rsid w:val="00103EDE"/>
    <w:rsid w:val="001140B8"/>
    <w:rsid w:val="00124F92"/>
    <w:rsid w:val="00125F83"/>
    <w:rsid w:val="00136B0F"/>
    <w:rsid w:val="001403EF"/>
    <w:rsid w:val="00150480"/>
    <w:rsid w:val="00154093"/>
    <w:rsid w:val="00164EE3"/>
    <w:rsid w:val="00186692"/>
    <w:rsid w:val="001914A9"/>
    <w:rsid w:val="001C3D0C"/>
    <w:rsid w:val="001D4CE7"/>
    <w:rsid w:val="001F15FC"/>
    <w:rsid w:val="001F1872"/>
    <w:rsid w:val="00207D32"/>
    <w:rsid w:val="00215A40"/>
    <w:rsid w:val="00265AF0"/>
    <w:rsid w:val="00284496"/>
    <w:rsid w:val="002947A9"/>
    <w:rsid w:val="002A78DD"/>
    <w:rsid w:val="002E22FF"/>
    <w:rsid w:val="002E3260"/>
    <w:rsid w:val="002F0B57"/>
    <w:rsid w:val="00325BE5"/>
    <w:rsid w:val="00342B37"/>
    <w:rsid w:val="003669E0"/>
    <w:rsid w:val="0037080F"/>
    <w:rsid w:val="0039363B"/>
    <w:rsid w:val="00395796"/>
    <w:rsid w:val="003A0CA4"/>
    <w:rsid w:val="003F4E56"/>
    <w:rsid w:val="00401CBA"/>
    <w:rsid w:val="00413B50"/>
    <w:rsid w:val="00434CB5"/>
    <w:rsid w:val="00441083"/>
    <w:rsid w:val="0047303E"/>
    <w:rsid w:val="00484B55"/>
    <w:rsid w:val="00485557"/>
    <w:rsid w:val="004C2744"/>
    <w:rsid w:val="004C2C87"/>
    <w:rsid w:val="004D43C5"/>
    <w:rsid w:val="004E3A36"/>
    <w:rsid w:val="0054422C"/>
    <w:rsid w:val="00584DFB"/>
    <w:rsid w:val="00596832"/>
    <w:rsid w:val="00596EF2"/>
    <w:rsid w:val="005A7DD3"/>
    <w:rsid w:val="005B3CAD"/>
    <w:rsid w:val="005C278F"/>
    <w:rsid w:val="005C5FBB"/>
    <w:rsid w:val="005E758E"/>
    <w:rsid w:val="005E79E2"/>
    <w:rsid w:val="00605093"/>
    <w:rsid w:val="0064545A"/>
    <w:rsid w:val="0067467A"/>
    <w:rsid w:val="006807BD"/>
    <w:rsid w:val="00684067"/>
    <w:rsid w:val="006B3E14"/>
    <w:rsid w:val="00702AC5"/>
    <w:rsid w:val="007034FA"/>
    <w:rsid w:val="00723F59"/>
    <w:rsid w:val="00734F07"/>
    <w:rsid w:val="00735C99"/>
    <w:rsid w:val="00746747"/>
    <w:rsid w:val="0075750B"/>
    <w:rsid w:val="00790A2F"/>
    <w:rsid w:val="007C2A85"/>
    <w:rsid w:val="007C592E"/>
    <w:rsid w:val="0084376A"/>
    <w:rsid w:val="00860D17"/>
    <w:rsid w:val="008706DE"/>
    <w:rsid w:val="008A2A8E"/>
    <w:rsid w:val="008A31BD"/>
    <w:rsid w:val="008A79DF"/>
    <w:rsid w:val="008B737A"/>
    <w:rsid w:val="008C0EDE"/>
    <w:rsid w:val="008E3A0C"/>
    <w:rsid w:val="008E488C"/>
    <w:rsid w:val="008F1376"/>
    <w:rsid w:val="008F6621"/>
    <w:rsid w:val="0090108A"/>
    <w:rsid w:val="0091161A"/>
    <w:rsid w:val="00942CF3"/>
    <w:rsid w:val="009575C7"/>
    <w:rsid w:val="00957B30"/>
    <w:rsid w:val="0096094E"/>
    <w:rsid w:val="009666A1"/>
    <w:rsid w:val="00972E99"/>
    <w:rsid w:val="009A5180"/>
    <w:rsid w:val="009E3986"/>
    <w:rsid w:val="009E4A30"/>
    <w:rsid w:val="009E5853"/>
    <w:rsid w:val="00A2784E"/>
    <w:rsid w:val="00A316D9"/>
    <w:rsid w:val="00A52AFD"/>
    <w:rsid w:val="00A70FE0"/>
    <w:rsid w:val="00A717B5"/>
    <w:rsid w:val="00A86C18"/>
    <w:rsid w:val="00A9775A"/>
    <w:rsid w:val="00AB4E4D"/>
    <w:rsid w:val="00AC013C"/>
    <w:rsid w:val="00AD3268"/>
    <w:rsid w:val="00AD6677"/>
    <w:rsid w:val="00AE63D8"/>
    <w:rsid w:val="00B056C9"/>
    <w:rsid w:val="00B07542"/>
    <w:rsid w:val="00B13C07"/>
    <w:rsid w:val="00B40C43"/>
    <w:rsid w:val="00B41179"/>
    <w:rsid w:val="00B70230"/>
    <w:rsid w:val="00B76E8C"/>
    <w:rsid w:val="00B811F2"/>
    <w:rsid w:val="00BC3C7D"/>
    <w:rsid w:val="00BE0947"/>
    <w:rsid w:val="00BF1ED1"/>
    <w:rsid w:val="00BF3676"/>
    <w:rsid w:val="00C10D09"/>
    <w:rsid w:val="00C16C0B"/>
    <w:rsid w:val="00C27322"/>
    <w:rsid w:val="00C2797F"/>
    <w:rsid w:val="00C313DB"/>
    <w:rsid w:val="00C40F29"/>
    <w:rsid w:val="00C5754E"/>
    <w:rsid w:val="00C62FA7"/>
    <w:rsid w:val="00C6443E"/>
    <w:rsid w:val="00C82772"/>
    <w:rsid w:val="00C86FED"/>
    <w:rsid w:val="00CA322F"/>
    <w:rsid w:val="00CB40AD"/>
    <w:rsid w:val="00D1681D"/>
    <w:rsid w:val="00D179E9"/>
    <w:rsid w:val="00D210E7"/>
    <w:rsid w:val="00D250BD"/>
    <w:rsid w:val="00D353F1"/>
    <w:rsid w:val="00D51499"/>
    <w:rsid w:val="00D6328A"/>
    <w:rsid w:val="00D7654A"/>
    <w:rsid w:val="00D972C5"/>
    <w:rsid w:val="00DA1C79"/>
    <w:rsid w:val="00DB4E64"/>
    <w:rsid w:val="00DC53E9"/>
    <w:rsid w:val="00DD0C66"/>
    <w:rsid w:val="00DD1915"/>
    <w:rsid w:val="00DD3433"/>
    <w:rsid w:val="00DD434A"/>
    <w:rsid w:val="00E207D3"/>
    <w:rsid w:val="00E348C6"/>
    <w:rsid w:val="00E363E0"/>
    <w:rsid w:val="00E479FA"/>
    <w:rsid w:val="00E54871"/>
    <w:rsid w:val="00E60D9C"/>
    <w:rsid w:val="00E87A82"/>
    <w:rsid w:val="00EB2067"/>
    <w:rsid w:val="00EE624C"/>
    <w:rsid w:val="00F21458"/>
    <w:rsid w:val="00F37A42"/>
    <w:rsid w:val="00F50138"/>
    <w:rsid w:val="00F53867"/>
    <w:rsid w:val="00F557F5"/>
    <w:rsid w:val="00FC0D87"/>
    <w:rsid w:val="00FC5578"/>
    <w:rsid w:val="00FD22FE"/>
    <w:rsid w:val="00FE431D"/>
    <w:rsid w:val="00FE4C01"/>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D2CBC"/>
  <w15:docId w15:val="{40EE44C5-2011-4C4C-ACD7-D947CE37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basedOn w:val="Normal"/>
    <w:link w:val="FootnoteTextChar"/>
    <w:uiPriority w:val="99"/>
    <w:unhideWhenUsed/>
    <w:rsid w:val="00C40F29"/>
    <w:rPr>
      <w:sz w:val="24"/>
      <w:szCs w:val="24"/>
    </w:rPr>
  </w:style>
  <w:style w:type="character" w:customStyle="1" w:styleId="FootnoteTextChar">
    <w:name w:val="Footnote Text Char"/>
    <w:basedOn w:val="DefaultParagraphFont"/>
    <w:link w:val="FootnoteText"/>
    <w:uiPriority w:val="99"/>
    <w:rsid w:val="00C40F29"/>
    <w:rPr>
      <w:sz w:val="24"/>
      <w:szCs w:val="24"/>
      <w:lang w:val="en-GB"/>
    </w:rPr>
  </w:style>
  <w:style w:type="character" w:styleId="FootnoteReference">
    <w:name w:val="footnote reference"/>
    <w:basedOn w:val="DefaultParagraphFont"/>
    <w:uiPriority w:val="99"/>
    <w:unhideWhenUsed/>
    <w:rsid w:val="00C40F29"/>
    <w:rPr>
      <w:vertAlign w:val="superscript"/>
    </w:rPr>
  </w:style>
  <w:style w:type="paragraph" w:styleId="ListParagraph">
    <w:name w:val="List Paragraph"/>
    <w:basedOn w:val="Normal"/>
    <w:uiPriority w:val="34"/>
    <w:qFormat/>
    <w:rsid w:val="00734F07"/>
    <w:pPr>
      <w:ind w:left="720"/>
      <w:contextualSpacing/>
    </w:pPr>
  </w:style>
  <w:style w:type="character" w:styleId="Hyperlink">
    <w:name w:val="Hyperlink"/>
    <w:basedOn w:val="DefaultParagraphFont"/>
    <w:uiPriority w:val="99"/>
    <w:unhideWhenUsed/>
    <w:rsid w:val="009E4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environment.org/ozonaction/news/news/first-montreal-protocol-related-online-training-during-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1B81A444E34248BBC988D4638CFC23" ma:contentTypeVersion="2" ma:contentTypeDescription="Create a new document." ma:contentTypeScope="" ma:versionID="e05846c08eb9788948ca12760dc24ca9">
  <xsd:schema xmlns:xsd="http://www.w3.org/2001/XMLSchema" xmlns:p="http://schemas.microsoft.com/office/2006/metadata/properties" xmlns:ns2="8662b4aa-cf42-4f00-a3f0-9d3b4acad230" xmlns:ns3="310e179b-1379-4e79-9b74-d5a32b1812d3" targetNamespace="http://schemas.microsoft.com/office/2006/metadata/properties" ma:root="true" ma:fieldsID="51b3e81c0f520dee15c313ac37b76417"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UNEP/OzL.Pro/ExCom/85/13</Document_x0020_Number>
  </documentManagement>
</p:properties>
</file>

<file path=customXml/itemProps1.xml><?xml version="1.0" encoding="utf-8"?>
<ds:datastoreItem xmlns:ds="http://schemas.openxmlformats.org/officeDocument/2006/customXml" ds:itemID="{97CD2960-2A13-4B77-8DD8-E8913BF6C767}"/>
</file>

<file path=customXml/itemProps2.xml><?xml version="1.0" encoding="utf-8"?>
<ds:datastoreItem xmlns:ds="http://schemas.openxmlformats.org/officeDocument/2006/customXml" ds:itemID="{FC54E01C-4957-406E-980A-FF23046785F0}"/>
</file>

<file path=customXml/itemProps3.xml><?xml version="1.0" encoding="utf-8"?>
<ds:datastoreItem xmlns:ds="http://schemas.openxmlformats.org/officeDocument/2006/customXml" ds:itemID="{999E14EC-BC8B-4A82-BA0F-DE230BBE913F}"/>
</file>

<file path=customXml/itemProps4.xml><?xml version="1.0" encoding="utf-8"?>
<ds:datastoreItem xmlns:ds="http://schemas.openxmlformats.org/officeDocument/2006/customXml" ds:itemID="{C6AFA834-1A4C-4D9B-B062-095A23690C14}"/>
</file>

<file path=docProps/app.xml><?xml version="1.0" encoding="utf-8"?>
<Properties xmlns="http://schemas.openxmlformats.org/officeDocument/2006/extended-properties" xmlns:vt="http://schemas.openxmlformats.org/officeDocument/2006/docPropsVTypes">
  <Template>Normal</Template>
  <TotalTime>56</TotalTime>
  <Pages>13</Pages>
  <Words>5616</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Aperçu des questions soulevées pendant l’examen des projets</vt:lpstr>
    </vt:vector>
  </TitlesOfParts>
  <Company>UNMFS</Company>
  <LinksUpToDate>false</LinksUpToDate>
  <CharactersWithSpaces>37558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Aperçu des questions soulevées pendant l’examen des projets</dc:title>
  <dc:subject>85e</dc:subject>
  <dc:creator>Microsoft Office User</dc:creator>
  <cp:lastModifiedBy>Lynda</cp:lastModifiedBy>
  <cp:revision>10</cp:revision>
  <cp:lastPrinted>2020-05-18T22:02:00Z</cp:lastPrinted>
  <dcterms:created xsi:type="dcterms:W3CDTF">2020-05-22T00:40:00Z</dcterms:created>
  <dcterms:modified xsi:type="dcterms:W3CDTF">2020-05-29T20:43:00Z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UNEP/OzL.Pro/ExCom/85/13</vt:lpwstr>
  </property>
  <property fmtid="{D5CDD505-2E9C-101B-9397-08002B2CF9AE}" pid="3" name="Revision date">
    <vt:lpwstr>14 mai 2020</vt:lpwstr>
  </property>
  <property fmtid="{D5CDD505-2E9C-101B-9397-08002B2CF9AE}" pid="4" name="ContentTypeId">
    <vt:lpwstr>0x010100291B81A444E34248BBC988D4638CFC23</vt:lpwstr>
  </property>
</Properties>
</file>