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6D6DA8" w14:paraId="4CDB9F9D" w14:textId="77777777" w:rsidTr="00DC0423">
        <w:trPr>
          <w:trHeight w:val="720"/>
        </w:trPr>
        <w:tc>
          <w:tcPr>
            <w:tcW w:w="5490" w:type="dxa"/>
            <w:gridSpan w:val="2"/>
            <w:tcBorders>
              <w:bottom w:val="single" w:sz="18" w:space="0" w:color="auto"/>
            </w:tcBorders>
          </w:tcPr>
          <w:p w14:paraId="1B24ECED" w14:textId="77777777" w:rsidR="006D6DA8" w:rsidRPr="0000434E" w:rsidRDefault="006D6DA8" w:rsidP="00DC042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72A20661" w14:textId="77777777" w:rsidR="006D6DA8" w:rsidRPr="00493D40" w:rsidRDefault="006D6DA8" w:rsidP="00DC0423">
            <w:pPr>
              <w:jc w:val="right"/>
              <w:rPr>
                <w:sz w:val="52"/>
                <w:szCs w:val="52"/>
              </w:rPr>
            </w:pPr>
            <w:r>
              <w:rPr>
                <w:rFonts w:ascii="Univers Bold" w:hAnsi="Univers Bold"/>
                <w:b/>
                <w:sz w:val="72"/>
              </w:rPr>
              <w:t>EP</w:t>
            </w:r>
          </w:p>
        </w:tc>
      </w:tr>
      <w:tr w:rsidR="006D6DA8" w14:paraId="63CEDE99" w14:textId="77777777" w:rsidTr="00DC0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08724ED" w14:textId="77777777" w:rsidR="006D6DA8" w:rsidRDefault="006D6DA8" w:rsidP="00DC0423">
            <w:pPr>
              <w:spacing w:before="120"/>
            </w:pPr>
            <w:r>
              <w:rPr>
                <w:noProof/>
                <w:lang w:val="en-US"/>
              </w:rPr>
              <mc:AlternateContent>
                <mc:Choice Requires="wpg">
                  <w:drawing>
                    <wp:anchor distT="0" distB="0" distL="114300" distR="114300" simplePos="0" relativeHeight="251659264" behindDoc="0" locked="0" layoutInCell="1" allowOverlap="1" wp14:anchorId="7F048543" wp14:editId="6B794C68">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4D000833" id="Group 1" o:spid="_x0000_s1026" style="position:absolute;margin-left:.2pt;margin-top:2.85pt;width:66.5pt;height:127.25pt;z-index:251659264"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7BA0583C" w14:textId="77777777" w:rsidR="006D6DA8" w:rsidRDefault="006D6DA8" w:rsidP="00DC042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5165E238" w14:textId="77777777" w:rsidR="006D6DA8" w:rsidRDefault="006D6DA8" w:rsidP="00DC042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4CA451E3" w14:textId="77777777" w:rsidR="006D6DA8" w:rsidRDefault="006D6DA8" w:rsidP="00DC042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56E65F9C" w14:textId="77777777" w:rsidR="006D6DA8" w:rsidRDefault="006D6DA8" w:rsidP="00DC0423">
            <w:pPr>
              <w:spacing w:before="720"/>
              <w:ind w:left="158"/>
            </w:pPr>
          </w:p>
        </w:tc>
        <w:tc>
          <w:tcPr>
            <w:tcW w:w="4590" w:type="dxa"/>
            <w:tcBorders>
              <w:top w:val="nil"/>
              <w:left w:val="nil"/>
              <w:bottom w:val="single" w:sz="36" w:space="0" w:color="auto"/>
              <w:right w:val="nil"/>
            </w:tcBorders>
          </w:tcPr>
          <w:p w14:paraId="5EEEBDF5" w14:textId="77777777" w:rsidR="006D6DA8" w:rsidRPr="0033525D" w:rsidRDefault="006D6DA8" w:rsidP="00DC0423">
            <w:r w:rsidRPr="0033525D">
              <w:t>Distr.</w:t>
            </w:r>
          </w:p>
          <w:p w14:paraId="07FA5B7D" w14:textId="77777777" w:rsidR="006D6DA8" w:rsidRPr="0033525D" w:rsidRDefault="006D6DA8" w:rsidP="00DC0423">
            <w:r w:rsidRPr="0033525D">
              <w:t>GENERAL</w:t>
            </w:r>
          </w:p>
          <w:p w14:paraId="2A948B13" w14:textId="77777777" w:rsidR="006D6DA8" w:rsidRPr="0033525D" w:rsidRDefault="006D6DA8" w:rsidP="00DC0423"/>
          <w:p w14:paraId="1FA82861" w14:textId="77777777" w:rsidR="006D6DA8" w:rsidRPr="003F73BA" w:rsidRDefault="006D6DA8" w:rsidP="00DC0423"/>
          <w:p w14:paraId="1121C7DD" w14:textId="1954D8A4" w:rsidR="006D6DA8" w:rsidRPr="003F73BA" w:rsidRDefault="006D6DA8" w:rsidP="00DC0423">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/85/40</w:t>
            </w:r>
            <w:r>
              <w:fldChar w:fldCharType="end"/>
            </w:r>
          </w:p>
          <w:p w14:paraId="57FD2CB8" w14:textId="3BC9EC5D" w:rsidR="006D6DA8" w:rsidRPr="003F73BA" w:rsidRDefault="006D6DA8" w:rsidP="00DC0423">
            <w:r>
              <w:fldChar w:fldCharType="begin"/>
            </w:r>
            <w:r>
              <w:instrText xml:space="preserve"> DOCPROPERTY "Revision date" \@ "d MMMM YYYY"  \* MERGEFORMAT </w:instrText>
            </w:r>
            <w:r>
              <w:fldChar w:fldCharType="separate"/>
            </w:r>
            <w:r w:rsidR="00A0412F">
              <w:t>28 April 2020</w:t>
            </w:r>
            <w:r>
              <w:fldChar w:fldCharType="end"/>
            </w:r>
          </w:p>
          <w:p w14:paraId="26A97AF8" w14:textId="77777777" w:rsidR="006D6DA8" w:rsidRPr="00000FED" w:rsidRDefault="006D6DA8" w:rsidP="00DC0423">
            <w:pPr>
              <w:rPr>
                <w:caps/>
              </w:rPr>
            </w:pPr>
          </w:p>
          <w:p w14:paraId="4EDF33B1" w14:textId="77777777" w:rsidR="006D6DA8" w:rsidRDefault="006D6DA8" w:rsidP="00DC0423">
            <w:r w:rsidRPr="0033525D">
              <w:t>ORIGINAL: ENGLISH</w:t>
            </w:r>
          </w:p>
        </w:tc>
      </w:tr>
    </w:tbl>
    <w:p w14:paraId="123E707F" w14:textId="77777777" w:rsidR="006D6DA8" w:rsidRPr="00612F2F" w:rsidRDefault="006D6DA8" w:rsidP="006D6DA8">
      <w:pPr>
        <w:jc w:val="left"/>
      </w:pPr>
      <w:r w:rsidRPr="0033525D">
        <w:t>EXECUTIVE COMMITTEE OF</w:t>
      </w:r>
      <w:r w:rsidRPr="0033525D">
        <w:br/>
        <w:t xml:space="preserve">  THE MULTILATERAL FUND FOR THE</w:t>
      </w:r>
      <w:r w:rsidRPr="0033525D">
        <w:br/>
        <w:t xml:space="preserve">  IMPLEMENTATION OF THE MONTREAL PROTOCOL</w:t>
      </w:r>
      <w:r w:rsidRPr="0033525D">
        <w:br/>
      </w:r>
      <w:r>
        <w:rPr>
          <w:lang w:val="en-CA"/>
        </w:rPr>
        <w:t>Eighty-</w:t>
      </w:r>
      <w:r>
        <w:t>fifth</w:t>
      </w:r>
      <w:r>
        <w:rPr>
          <w:lang w:val="en-CA"/>
        </w:rPr>
        <w:t xml:space="preserve"> </w:t>
      </w:r>
      <w:r>
        <w:t>Meeting</w:t>
      </w:r>
    </w:p>
    <w:p w14:paraId="006E749C" w14:textId="77777777" w:rsidR="006D6DA8" w:rsidRPr="006C39CE" w:rsidRDefault="006D6DA8" w:rsidP="006D6DA8">
      <w:pPr>
        <w:jc w:val="left"/>
        <w:rPr>
          <w:lang w:val="en-CA"/>
        </w:rPr>
      </w:pPr>
      <w:r>
        <w:rPr>
          <w:lang w:val="en-CA"/>
        </w:rPr>
        <w:t>Montreal</w:t>
      </w:r>
      <w:r w:rsidRPr="00042E3E">
        <w:rPr>
          <w:lang w:val="en-CA"/>
        </w:rPr>
        <w:t xml:space="preserve">, </w:t>
      </w:r>
      <w:r>
        <w:rPr>
          <w:lang w:val="en-CA"/>
        </w:rPr>
        <w:t>25-</w:t>
      </w:r>
      <w:r w:rsidRPr="009C5ABB">
        <w:rPr>
          <w:lang w:val="en-CA"/>
        </w:rPr>
        <w:t>29 May 2020</w:t>
      </w:r>
    </w:p>
    <w:p w14:paraId="287C2831" w14:textId="77777777" w:rsidR="006D6DA8" w:rsidRDefault="006D6DA8" w:rsidP="006D6DA8">
      <w:pPr>
        <w:jc w:val="left"/>
        <w:rPr>
          <w:lang w:val="en-US"/>
        </w:rPr>
      </w:pPr>
      <w:r w:rsidRPr="006D6DA8">
        <w:rPr>
          <w:lang w:val="en-US"/>
        </w:rPr>
        <w:t>Postponed to 19-22 July 2020*</w:t>
      </w:r>
    </w:p>
    <w:p w14:paraId="7952EE69" w14:textId="43979E60" w:rsidR="00D54581" w:rsidRDefault="00D54581" w:rsidP="00080621">
      <w:pPr>
        <w:tabs>
          <w:tab w:val="left" w:pos="8280"/>
        </w:tabs>
      </w:pPr>
    </w:p>
    <w:p w14:paraId="7D912814" w14:textId="77777777" w:rsidR="00D54581" w:rsidRDefault="00D54581" w:rsidP="00080621">
      <w:pPr>
        <w:tabs>
          <w:tab w:val="left" w:pos="8280"/>
        </w:tabs>
      </w:pPr>
    </w:p>
    <w:p w14:paraId="44BB83DF" w14:textId="77777777" w:rsidR="00D54581" w:rsidRDefault="00D54581" w:rsidP="00080621">
      <w:pPr>
        <w:tabs>
          <w:tab w:val="left" w:pos="8280"/>
        </w:tabs>
      </w:pPr>
    </w:p>
    <w:p w14:paraId="68BEDE8C" w14:textId="77777777" w:rsidR="00D54581" w:rsidRPr="00FE3307" w:rsidRDefault="00D54581" w:rsidP="00080621">
      <w:pPr>
        <w:rPr>
          <w:lang w:val="en-CA"/>
        </w:rPr>
      </w:pPr>
    </w:p>
    <w:p w14:paraId="7D6C8735" w14:textId="77777777" w:rsidR="00D54581" w:rsidRPr="00FE3307" w:rsidRDefault="00D54581" w:rsidP="00080621">
      <w:pPr>
        <w:jc w:val="center"/>
        <w:rPr>
          <w:b/>
          <w:lang w:val="en-CA"/>
        </w:rPr>
      </w:pPr>
      <w:r w:rsidRPr="00FE3307">
        <w:rPr>
          <w:b/>
          <w:lang w:val="en-CA"/>
        </w:rPr>
        <w:t xml:space="preserve">PROJECT </w:t>
      </w:r>
      <w:r w:rsidR="000E518C">
        <w:rPr>
          <w:b/>
          <w:lang w:val="en-CA"/>
        </w:rPr>
        <w:t>PROPOSAL: PANAMA</w:t>
      </w:r>
    </w:p>
    <w:p w14:paraId="478C011A" w14:textId="77777777" w:rsidR="00D54581" w:rsidRPr="00FE3307" w:rsidRDefault="00D54581" w:rsidP="00080621">
      <w:pPr>
        <w:rPr>
          <w:lang w:val="en-CA"/>
        </w:rPr>
      </w:pPr>
    </w:p>
    <w:p w14:paraId="61131E3B" w14:textId="77777777" w:rsidR="00D54581" w:rsidRPr="00FE3307" w:rsidRDefault="00D54581" w:rsidP="00080621">
      <w:pPr>
        <w:rPr>
          <w:lang w:val="en-CA"/>
        </w:rPr>
      </w:pPr>
    </w:p>
    <w:p w14:paraId="357BAAD4" w14:textId="77777777" w:rsidR="00D54581" w:rsidRPr="00FE3307" w:rsidRDefault="00D54581" w:rsidP="00080621">
      <w:pPr>
        <w:ind w:firstLine="720"/>
        <w:rPr>
          <w:lang w:val="en-CA"/>
        </w:rPr>
      </w:pPr>
      <w:r w:rsidRPr="00FE3307">
        <w:rPr>
          <w:lang w:val="en-CA"/>
        </w:rPr>
        <w:t xml:space="preserve">This document consists of the comments and recommendation of the Secretariat on the following project proposal: </w:t>
      </w:r>
    </w:p>
    <w:p w14:paraId="64556858" w14:textId="77777777" w:rsidR="00D54581" w:rsidRPr="00FE3307" w:rsidRDefault="00D54581" w:rsidP="00080621">
      <w:pPr>
        <w:rPr>
          <w:lang w:val="en-CA"/>
        </w:rPr>
      </w:pPr>
    </w:p>
    <w:p w14:paraId="3B90F64C" w14:textId="77777777" w:rsidR="00D54581" w:rsidRPr="00FE3307" w:rsidRDefault="00D54581" w:rsidP="00080621">
      <w:pPr>
        <w:rPr>
          <w:u w:val="single"/>
          <w:lang w:val="en-CA"/>
        </w:rPr>
      </w:pPr>
      <w:r w:rsidRPr="00FE3307">
        <w:rPr>
          <w:u w:val="single"/>
          <w:lang w:val="en-CA"/>
        </w:rPr>
        <w:t>Phase-out</w:t>
      </w:r>
    </w:p>
    <w:p w14:paraId="4345A4E4" w14:textId="77777777" w:rsidR="00D54581" w:rsidRPr="00FE3307" w:rsidRDefault="00D54581" w:rsidP="00080621">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D54581" w:rsidRPr="00FE3307" w14:paraId="2B539665" w14:textId="77777777" w:rsidTr="00080621">
        <w:tc>
          <w:tcPr>
            <w:tcW w:w="6941" w:type="dxa"/>
          </w:tcPr>
          <w:p w14:paraId="61D38C27" w14:textId="77777777" w:rsidR="00D54581" w:rsidRPr="00FE3307" w:rsidRDefault="00D54581" w:rsidP="00080621">
            <w:pPr>
              <w:pStyle w:val="ListParagraph"/>
              <w:numPr>
                <w:ilvl w:val="0"/>
                <w:numId w:val="21"/>
              </w:numPr>
              <w:ind w:hanging="830"/>
              <w:rPr>
                <w:lang w:val="en-CA"/>
              </w:rPr>
            </w:pPr>
            <w:r w:rsidRPr="00FE3307">
              <w:rPr>
                <w:lang w:val="en-CA"/>
              </w:rPr>
              <w:t>HCFC pha</w:t>
            </w:r>
            <w:r w:rsidR="000E518C">
              <w:rPr>
                <w:lang w:val="en-CA"/>
              </w:rPr>
              <w:t>se-out management plan (</w:t>
            </w:r>
            <w:r w:rsidR="000E518C" w:rsidRPr="000E518C">
              <w:rPr>
                <w:lang w:val="en-CA"/>
              </w:rPr>
              <w:t>stage II</w:t>
            </w:r>
            <w:r w:rsidRPr="00FE3307">
              <w:rPr>
                <w:lang w:val="en-CA"/>
              </w:rPr>
              <w:t xml:space="preserve">, </w:t>
            </w:r>
            <w:r w:rsidR="00080621" w:rsidRPr="00080621">
              <w:rPr>
                <w:lang w:val="en-CA"/>
              </w:rPr>
              <w:t>third</w:t>
            </w:r>
            <w:r w:rsidRPr="00080621">
              <w:rPr>
                <w:lang w:val="en-CA"/>
              </w:rPr>
              <w:t xml:space="preserve"> tranche</w:t>
            </w:r>
            <w:r w:rsidRPr="00FE3307">
              <w:rPr>
                <w:lang w:val="en-CA"/>
              </w:rPr>
              <w:t>)</w:t>
            </w:r>
          </w:p>
        </w:tc>
        <w:tc>
          <w:tcPr>
            <w:tcW w:w="2409" w:type="dxa"/>
          </w:tcPr>
          <w:p w14:paraId="0BB49F65" w14:textId="77777777" w:rsidR="00D54581" w:rsidRPr="00FE3307" w:rsidRDefault="00080621" w:rsidP="00080621">
            <w:pPr>
              <w:jc w:val="right"/>
              <w:rPr>
                <w:lang w:val="en-CA"/>
              </w:rPr>
            </w:pPr>
            <w:r>
              <w:rPr>
                <w:lang w:val="en-CA"/>
              </w:rPr>
              <w:t>UNDP</w:t>
            </w:r>
          </w:p>
        </w:tc>
      </w:tr>
    </w:tbl>
    <w:p w14:paraId="40BD7D14" w14:textId="77777777" w:rsidR="00D54581" w:rsidRPr="00FE3307" w:rsidRDefault="00D54581" w:rsidP="00080621">
      <w:pPr>
        <w:rPr>
          <w:lang w:val="en-CA"/>
        </w:rPr>
      </w:pPr>
    </w:p>
    <w:p w14:paraId="407440AE" w14:textId="7F9BD215" w:rsidR="00D54581" w:rsidRDefault="00D54581" w:rsidP="00080621">
      <w:pPr>
        <w:rPr>
          <w:lang w:val="en-CA"/>
        </w:rPr>
      </w:pPr>
    </w:p>
    <w:p w14:paraId="17D76D10" w14:textId="27D50F0B" w:rsidR="006D6DA8" w:rsidRDefault="006D6DA8" w:rsidP="00080621">
      <w:pPr>
        <w:rPr>
          <w:lang w:val="en-CA"/>
        </w:rPr>
      </w:pPr>
    </w:p>
    <w:p w14:paraId="33AECE59" w14:textId="542EEC65" w:rsidR="006D6DA8" w:rsidRDefault="006D6DA8" w:rsidP="00080621">
      <w:pPr>
        <w:rPr>
          <w:lang w:val="en-CA"/>
        </w:rPr>
      </w:pPr>
    </w:p>
    <w:p w14:paraId="272FC425" w14:textId="6E849708" w:rsidR="006D6DA8" w:rsidRDefault="006D6DA8" w:rsidP="00080621">
      <w:pPr>
        <w:rPr>
          <w:lang w:val="en-CA"/>
        </w:rPr>
      </w:pPr>
    </w:p>
    <w:p w14:paraId="6FA2F4B5" w14:textId="5992A5AF" w:rsidR="006D6DA8" w:rsidRDefault="006D6DA8" w:rsidP="00080621">
      <w:pPr>
        <w:rPr>
          <w:lang w:val="en-CA"/>
        </w:rPr>
      </w:pPr>
    </w:p>
    <w:p w14:paraId="69EB13FF" w14:textId="7A6B0D47" w:rsidR="006D6DA8" w:rsidRDefault="006D6DA8" w:rsidP="00080621">
      <w:pPr>
        <w:rPr>
          <w:lang w:val="en-CA"/>
        </w:rPr>
      </w:pPr>
    </w:p>
    <w:p w14:paraId="77E94F5B" w14:textId="4C964BEC" w:rsidR="006D6DA8" w:rsidRDefault="006D6DA8" w:rsidP="00080621">
      <w:pPr>
        <w:rPr>
          <w:lang w:val="en-CA"/>
        </w:rPr>
      </w:pPr>
    </w:p>
    <w:p w14:paraId="3CEB6BEF" w14:textId="2E988971" w:rsidR="006D6DA8" w:rsidRDefault="006D6DA8" w:rsidP="00080621">
      <w:pPr>
        <w:rPr>
          <w:lang w:val="en-CA"/>
        </w:rPr>
      </w:pPr>
    </w:p>
    <w:p w14:paraId="2CDD70D2" w14:textId="463DE7AE" w:rsidR="006D6DA8" w:rsidRDefault="006D6DA8" w:rsidP="00080621">
      <w:pPr>
        <w:rPr>
          <w:lang w:val="en-CA"/>
        </w:rPr>
      </w:pPr>
    </w:p>
    <w:p w14:paraId="4FEDCB50" w14:textId="709D9261" w:rsidR="006D6DA8" w:rsidRDefault="006D6DA8" w:rsidP="00080621">
      <w:pPr>
        <w:rPr>
          <w:lang w:val="en-CA"/>
        </w:rPr>
      </w:pPr>
    </w:p>
    <w:p w14:paraId="680576AA" w14:textId="34A65976" w:rsidR="006D6DA8" w:rsidRDefault="006D6DA8" w:rsidP="00080621">
      <w:pPr>
        <w:rPr>
          <w:lang w:val="en-CA"/>
        </w:rPr>
      </w:pPr>
    </w:p>
    <w:p w14:paraId="6CC2C773" w14:textId="076A80D7" w:rsidR="006D6DA8" w:rsidRDefault="006D6DA8" w:rsidP="00080621">
      <w:pPr>
        <w:rPr>
          <w:lang w:val="en-CA"/>
        </w:rPr>
      </w:pPr>
    </w:p>
    <w:p w14:paraId="1BDD678A" w14:textId="17D9CBCA" w:rsidR="006D6DA8" w:rsidRDefault="006D6DA8" w:rsidP="00080621">
      <w:pPr>
        <w:rPr>
          <w:lang w:val="en-CA"/>
        </w:rPr>
      </w:pPr>
    </w:p>
    <w:p w14:paraId="196BAFC5" w14:textId="5342D28F" w:rsidR="006D6DA8" w:rsidRDefault="006D6DA8" w:rsidP="00080621">
      <w:pPr>
        <w:rPr>
          <w:lang w:val="en-CA"/>
        </w:rPr>
      </w:pPr>
    </w:p>
    <w:p w14:paraId="4594A86B" w14:textId="730DDCFF" w:rsidR="006D6DA8" w:rsidRDefault="006D6DA8" w:rsidP="00080621">
      <w:pPr>
        <w:rPr>
          <w:lang w:val="en-CA"/>
        </w:rPr>
      </w:pPr>
    </w:p>
    <w:p w14:paraId="75E41174" w14:textId="497E81DB" w:rsidR="006D6DA8" w:rsidRDefault="006D6DA8" w:rsidP="00080621">
      <w:pPr>
        <w:rPr>
          <w:lang w:val="en-CA"/>
        </w:rPr>
      </w:pPr>
    </w:p>
    <w:p w14:paraId="3D5515AF" w14:textId="48639FE2" w:rsidR="006D6DA8" w:rsidRPr="00FE3307" w:rsidRDefault="006D6DA8" w:rsidP="00080621">
      <w:pPr>
        <w:rPr>
          <w:lang w:val="en-CA"/>
        </w:rPr>
      </w:pPr>
    </w:p>
    <w:p w14:paraId="46E239F0" w14:textId="790E9049" w:rsidR="00D54581" w:rsidRPr="006D6DA8" w:rsidRDefault="006D6DA8" w:rsidP="00080621">
      <w:pPr>
        <w:rPr>
          <w:sz w:val="20"/>
          <w:szCs w:val="20"/>
          <w:lang w:val="en-CA"/>
        </w:rPr>
      </w:pPr>
      <w:r w:rsidRPr="006D6DA8">
        <w:rPr>
          <w:sz w:val="20"/>
          <w:szCs w:val="20"/>
          <w:lang w:val="en-CA"/>
        </w:rPr>
        <w:t>* Due to coronavirus diseas</w:t>
      </w:r>
      <w:bookmarkStart w:id="0" w:name="_GoBack"/>
      <w:bookmarkEnd w:id="0"/>
      <w:r w:rsidRPr="006D6DA8">
        <w:rPr>
          <w:sz w:val="20"/>
          <w:szCs w:val="20"/>
          <w:lang w:val="en-CA"/>
        </w:rPr>
        <w:t>e (COVID-19)</w:t>
      </w:r>
    </w:p>
    <w:p w14:paraId="6FD58726" w14:textId="77777777" w:rsidR="00D54581" w:rsidRPr="00FE3307" w:rsidRDefault="00D54581" w:rsidP="00080621">
      <w:pPr>
        <w:rPr>
          <w:lang w:val="en-CA"/>
        </w:rPr>
      </w:pPr>
      <w:r w:rsidRPr="00FE3307">
        <w:rPr>
          <w:lang w:val="en-CA"/>
        </w:rPr>
        <w:br w:type="page"/>
      </w:r>
    </w:p>
    <w:p w14:paraId="6DAEAA46" w14:textId="77777777" w:rsidR="00D54581" w:rsidRPr="00FE3307" w:rsidRDefault="00D54581" w:rsidP="00080621">
      <w:pPr>
        <w:jc w:val="center"/>
        <w:rPr>
          <w:b/>
          <w:lang w:val="en-CA"/>
        </w:rPr>
      </w:pPr>
      <w:r w:rsidRPr="00FE3307">
        <w:rPr>
          <w:b/>
          <w:lang w:val="en-CA"/>
        </w:rPr>
        <w:lastRenderedPageBreak/>
        <w:t>PROJECT EVALUATION SHEET – MULTI-YEAR PROJECTS</w:t>
      </w:r>
    </w:p>
    <w:p w14:paraId="60C727CE" w14:textId="77777777" w:rsidR="00D54581" w:rsidRPr="00FE3307" w:rsidRDefault="00D54581" w:rsidP="00080621">
      <w:pPr>
        <w:jc w:val="center"/>
        <w:rPr>
          <w:lang w:val="en-CA"/>
        </w:rPr>
      </w:pPr>
    </w:p>
    <w:p w14:paraId="534EE4B9" w14:textId="77777777" w:rsidR="00080621" w:rsidRPr="00693915" w:rsidRDefault="00080621" w:rsidP="00080621">
      <w:pPr>
        <w:spacing w:after="60"/>
        <w:jc w:val="center"/>
        <w:rPr>
          <w:b/>
        </w:rPr>
      </w:pPr>
      <w:r w:rsidRPr="00693915">
        <w:rPr>
          <w:b/>
        </w:rPr>
        <w:t>Panama</w:t>
      </w:r>
    </w:p>
    <w:tbl>
      <w:tblPr>
        <w:tblStyle w:val="TableGrid"/>
        <w:tblW w:w="10094" w:type="dxa"/>
        <w:tblInd w:w="-3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2581"/>
        <w:gridCol w:w="2383"/>
        <w:gridCol w:w="2468"/>
        <w:gridCol w:w="2662"/>
      </w:tblGrid>
      <w:tr w:rsidR="00080621" w:rsidRPr="00136D29" w14:paraId="0EC570DC" w14:textId="77777777" w:rsidTr="00080621">
        <w:trPr>
          <w:trHeight w:val="215"/>
        </w:trPr>
        <w:tc>
          <w:tcPr>
            <w:tcW w:w="2581" w:type="dxa"/>
            <w:tcBorders>
              <w:top w:val="single" w:sz="4" w:space="0" w:color="666699"/>
              <w:left w:val="single" w:sz="4" w:space="0" w:color="666699"/>
              <w:bottom w:val="single" w:sz="4" w:space="0" w:color="666699"/>
              <w:right w:val="single" w:sz="4" w:space="0" w:color="666699"/>
            </w:tcBorders>
            <w:vAlign w:val="center"/>
            <w:hideMark/>
          </w:tcPr>
          <w:p w14:paraId="14A973B6" w14:textId="77777777" w:rsidR="00080621" w:rsidRPr="00136D29" w:rsidRDefault="00080621" w:rsidP="00080621">
            <w:pPr>
              <w:spacing w:after="80"/>
              <w:jc w:val="center"/>
              <w:rPr>
                <w:b/>
                <w:sz w:val="18"/>
                <w:szCs w:val="18"/>
              </w:rPr>
            </w:pPr>
            <w:r w:rsidRPr="00136D29">
              <w:rPr>
                <w:b/>
                <w:sz w:val="18"/>
                <w:szCs w:val="18"/>
              </w:rPr>
              <w:t>(I) PROJECT TITLE</w:t>
            </w:r>
          </w:p>
        </w:tc>
        <w:tc>
          <w:tcPr>
            <w:tcW w:w="2383" w:type="dxa"/>
            <w:tcBorders>
              <w:top w:val="single" w:sz="4" w:space="0" w:color="666699"/>
              <w:left w:val="single" w:sz="4" w:space="0" w:color="666699"/>
              <w:bottom w:val="single" w:sz="4" w:space="0" w:color="666699"/>
              <w:right w:val="single" w:sz="4" w:space="0" w:color="666699"/>
            </w:tcBorders>
            <w:vAlign w:val="center"/>
            <w:hideMark/>
          </w:tcPr>
          <w:p w14:paraId="43C8D32D" w14:textId="77777777" w:rsidR="00080621" w:rsidRPr="00136D29" w:rsidRDefault="00080621" w:rsidP="00080621">
            <w:pPr>
              <w:spacing w:after="80"/>
              <w:jc w:val="center"/>
              <w:rPr>
                <w:b/>
                <w:sz w:val="18"/>
                <w:szCs w:val="18"/>
              </w:rPr>
            </w:pPr>
            <w:r w:rsidRPr="00136D29">
              <w:rPr>
                <w:b/>
                <w:sz w:val="18"/>
                <w:szCs w:val="18"/>
              </w:rPr>
              <w:t>AGENCY</w:t>
            </w:r>
          </w:p>
        </w:tc>
        <w:tc>
          <w:tcPr>
            <w:tcW w:w="2468" w:type="dxa"/>
            <w:tcBorders>
              <w:top w:val="single" w:sz="4" w:space="0" w:color="666699"/>
              <w:left w:val="single" w:sz="4" w:space="0" w:color="666699"/>
              <w:bottom w:val="single" w:sz="4" w:space="0" w:color="666699"/>
              <w:right w:val="single" w:sz="4" w:space="0" w:color="666699"/>
            </w:tcBorders>
            <w:vAlign w:val="center"/>
          </w:tcPr>
          <w:p w14:paraId="0A5A38D2" w14:textId="77777777" w:rsidR="00080621" w:rsidRPr="00136D29" w:rsidRDefault="00080621" w:rsidP="00080621">
            <w:pPr>
              <w:spacing w:after="80"/>
              <w:jc w:val="center"/>
              <w:rPr>
                <w:b/>
                <w:sz w:val="18"/>
                <w:szCs w:val="18"/>
              </w:rPr>
            </w:pPr>
            <w:r>
              <w:rPr>
                <w:b/>
                <w:sz w:val="18"/>
                <w:szCs w:val="18"/>
              </w:rPr>
              <w:t>MEETING APPROVED</w:t>
            </w:r>
          </w:p>
        </w:tc>
        <w:tc>
          <w:tcPr>
            <w:tcW w:w="2662" w:type="dxa"/>
            <w:tcBorders>
              <w:top w:val="single" w:sz="4" w:space="0" w:color="666699"/>
              <w:left w:val="single" w:sz="4" w:space="0" w:color="666699"/>
              <w:bottom w:val="single" w:sz="4" w:space="0" w:color="666699"/>
              <w:right w:val="single" w:sz="4" w:space="0" w:color="666699"/>
            </w:tcBorders>
            <w:vAlign w:val="center"/>
          </w:tcPr>
          <w:p w14:paraId="4242911A" w14:textId="77777777" w:rsidR="00080621" w:rsidRPr="00136D29" w:rsidRDefault="00080621" w:rsidP="00080621">
            <w:pPr>
              <w:spacing w:after="80"/>
              <w:jc w:val="center"/>
              <w:rPr>
                <w:b/>
                <w:sz w:val="18"/>
                <w:szCs w:val="18"/>
              </w:rPr>
            </w:pPr>
            <w:r>
              <w:rPr>
                <w:b/>
                <w:sz w:val="18"/>
                <w:szCs w:val="18"/>
              </w:rPr>
              <w:t>CONTROL MEASURE</w:t>
            </w:r>
          </w:p>
        </w:tc>
      </w:tr>
      <w:tr w:rsidR="00080621" w:rsidRPr="00136D29" w14:paraId="68A2C1E1" w14:textId="77777777" w:rsidTr="00080621">
        <w:trPr>
          <w:trHeight w:val="248"/>
        </w:trPr>
        <w:tc>
          <w:tcPr>
            <w:tcW w:w="2581" w:type="dxa"/>
            <w:tcBorders>
              <w:top w:val="single" w:sz="4" w:space="0" w:color="666699"/>
              <w:left w:val="single" w:sz="4" w:space="0" w:color="666699"/>
              <w:bottom w:val="single" w:sz="4" w:space="0" w:color="666699"/>
              <w:right w:val="single" w:sz="4" w:space="0" w:color="666699"/>
            </w:tcBorders>
            <w:vAlign w:val="center"/>
            <w:hideMark/>
          </w:tcPr>
          <w:p w14:paraId="4787564D" w14:textId="77777777" w:rsidR="00080621" w:rsidRPr="00136D29" w:rsidRDefault="00080621" w:rsidP="00080621">
            <w:pPr>
              <w:spacing w:after="80"/>
              <w:jc w:val="center"/>
              <w:rPr>
                <w:sz w:val="18"/>
                <w:szCs w:val="18"/>
              </w:rPr>
            </w:pPr>
            <w:r>
              <w:rPr>
                <w:sz w:val="18"/>
                <w:szCs w:val="18"/>
              </w:rPr>
              <w:t>HCFC phase-</w:t>
            </w:r>
            <w:r w:rsidRPr="00136D29">
              <w:rPr>
                <w:sz w:val="18"/>
                <w:szCs w:val="18"/>
              </w:rPr>
              <w:t>out plan (Stage II)</w:t>
            </w:r>
          </w:p>
        </w:tc>
        <w:tc>
          <w:tcPr>
            <w:tcW w:w="2383" w:type="dxa"/>
            <w:tcBorders>
              <w:top w:val="single" w:sz="4" w:space="0" w:color="666699"/>
              <w:left w:val="single" w:sz="4" w:space="0" w:color="666699"/>
              <w:bottom w:val="single" w:sz="4" w:space="0" w:color="666699"/>
              <w:right w:val="single" w:sz="4" w:space="0" w:color="666699"/>
            </w:tcBorders>
            <w:vAlign w:val="center"/>
            <w:hideMark/>
          </w:tcPr>
          <w:p w14:paraId="2E06B286" w14:textId="77777777" w:rsidR="00080621" w:rsidRPr="00136D29" w:rsidRDefault="00080621" w:rsidP="00080621">
            <w:pPr>
              <w:spacing w:after="80"/>
              <w:jc w:val="center"/>
              <w:rPr>
                <w:sz w:val="18"/>
                <w:szCs w:val="18"/>
              </w:rPr>
            </w:pPr>
            <w:r w:rsidRPr="00136D29">
              <w:rPr>
                <w:sz w:val="18"/>
                <w:szCs w:val="18"/>
              </w:rPr>
              <w:t>UNDP</w:t>
            </w:r>
          </w:p>
        </w:tc>
        <w:tc>
          <w:tcPr>
            <w:tcW w:w="2468" w:type="dxa"/>
            <w:tcBorders>
              <w:top w:val="single" w:sz="4" w:space="0" w:color="666699"/>
              <w:left w:val="single" w:sz="4" w:space="0" w:color="666699"/>
              <w:bottom w:val="single" w:sz="4" w:space="0" w:color="666699"/>
              <w:right w:val="single" w:sz="4" w:space="0" w:color="666699"/>
            </w:tcBorders>
            <w:vAlign w:val="center"/>
          </w:tcPr>
          <w:p w14:paraId="51FB7D65" w14:textId="77777777" w:rsidR="00080621" w:rsidRPr="00136D29" w:rsidRDefault="00080621" w:rsidP="00080621">
            <w:pPr>
              <w:spacing w:after="80"/>
              <w:jc w:val="center"/>
              <w:rPr>
                <w:sz w:val="18"/>
                <w:szCs w:val="18"/>
              </w:rPr>
            </w:pPr>
            <w:r>
              <w:rPr>
                <w:sz w:val="18"/>
                <w:szCs w:val="18"/>
              </w:rPr>
              <w:t>76</w:t>
            </w:r>
            <w:r w:rsidRPr="003F51DF">
              <w:rPr>
                <w:sz w:val="18"/>
                <w:szCs w:val="18"/>
                <w:vertAlign w:val="superscript"/>
              </w:rPr>
              <w:t>th</w:t>
            </w:r>
          </w:p>
        </w:tc>
        <w:tc>
          <w:tcPr>
            <w:tcW w:w="2662" w:type="dxa"/>
            <w:tcBorders>
              <w:top w:val="single" w:sz="4" w:space="0" w:color="666699"/>
              <w:left w:val="single" w:sz="4" w:space="0" w:color="666699"/>
              <w:bottom w:val="single" w:sz="4" w:space="0" w:color="666699"/>
              <w:right w:val="single" w:sz="4" w:space="0" w:color="666699"/>
            </w:tcBorders>
            <w:vAlign w:val="center"/>
          </w:tcPr>
          <w:p w14:paraId="380666CE" w14:textId="77777777" w:rsidR="00080621" w:rsidRPr="00136D29" w:rsidRDefault="00080621" w:rsidP="00080621">
            <w:pPr>
              <w:spacing w:after="80"/>
              <w:jc w:val="center"/>
              <w:rPr>
                <w:sz w:val="18"/>
                <w:szCs w:val="18"/>
              </w:rPr>
            </w:pPr>
            <w:r>
              <w:rPr>
                <w:sz w:val="18"/>
                <w:szCs w:val="18"/>
              </w:rPr>
              <w:t>35% by 2020</w:t>
            </w:r>
          </w:p>
        </w:tc>
      </w:tr>
    </w:tbl>
    <w:p w14:paraId="46F4B4CC" w14:textId="77777777" w:rsidR="00080621" w:rsidRPr="00136D29" w:rsidRDefault="00080621" w:rsidP="00080621">
      <w:pPr>
        <w:spacing w:after="60"/>
        <w:jc w:val="center"/>
        <w:rPr>
          <w:sz w:val="18"/>
          <w:szCs w:val="18"/>
        </w:rPr>
      </w:pPr>
    </w:p>
    <w:tbl>
      <w:tblPr>
        <w:tblStyle w:val="TableGrid"/>
        <w:tblW w:w="10048" w:type="dxa"/>
        <w:tblInd w:w="-30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945"/>
        <w:gridCol w:w="2393"/>
        <w:gridCol w:w="2710"/>
      </w:tblGrid>
      <w:tr w:rsidR="00080621" w:rsidRPr="0027040F" w14:paraId="22FA3528" w14:textId="77777777" w:rsidTr="00656DC8">
        <w:trPr>
          <w:trHeight w:val="266"/>
        </w:trPr>
        <w:tc>
          <w:tcPr>
            <w:tcW w:w="4945" w:type="dxa"/>
            <w:tcBorders>
              <w:top w:val="single" w:sz="4" w:space="0" w:color="666699"/>
              <w:left w:val="single" w:sz="4" w:space="0" w:color="666699"/>
              <w:bottom w:val="single" w:sz="4" w:space="0" w:color="666699"/>
              <w:right w:val="single" w:sz="4" w:space="0" w:color="666699"/>
            </w:tcBorders>
            <w:hideMark/>
          </w:tcPr>
          <w:p w14:paraId="34C8CAB4" w14:textId="77777777" w:rsidR="00080621" w:rsidRPr="00136D29" w:rsidRDefault="00080621" w:rsidP="00080621">
            <w:pPr>
              <w:spacing w:after="60"/>
              <w:jc w:val="left"/>
              <w:rPr>
                <w:b/>
                <w:sz w:val="18"/>
                <w:szCs w:val="18"/>
              </w:rPr>
            </w:pPr>
            <w:r w:rsidRPr="00136D29">
              <w:rPr>
                <w:b/>
                <w:sz w:val="18"/>
                <w:szCs w:val="18"/>
              </w:rPr>
              <w:t>(II) LATEST ARTICLE 7 DATA (Annex C Group l)</w:t>
            </w:r>
          </w:p>
        </w:tc>
        <w:tc>
          <w:tcPr>
            <w:tcW w:w="2393" w:type="dxa"/>
            <w:tcBorders>
              <w:top w:val="single" w:sz="4" w:space="0" w:color="666699"/>
              <w:left w:val="single" w:sz="4" w:space="0" w:color="666699"/>
              <w:bottom w:val="single" w:sz="4" w:space="0" w:color="666699"/>
              <w:right w:val="single" w:sz="4" w:space="0" w:color="666699"/>
            </w:tcBorders>
            <w:shd w:val="clear" w:color="auto" w:fill="auto"/>
            <w:hideMark/>
          </w:tcPr>
          <w:p w14:paraId="16153801" w14:textId="11F58F97" w:rsidR="00080621" w:rsidRPr="00454D53" w:rsidRDefault="00080621" w:rsidP="00080621">
            <w:pPr>
              <w:spacing w:after="60"/>
              <w:jc w:val="center"/>
              <w:rPr>
                <w:sz w:val="18"/>
                <w:szCs w:val="18"/>
              </w:rPr>
            </w:pPr>
            <w:r w:rsidRPr="00454D53">
              <w:rPr>
                <w:sz w:val="18"/>
                <w:szCs w:val="18"/>
              </w:rPr>
              <w:t>Year: 201</w:t>
            </w:r>
            <w:r w:rsidR="00631A39">
              <w:rPr>
                <w:sz w:val="18"/>
                <w:szCs w:val="18"/>
              </w:rPr>
              <w:t>8</w:t>
            </w:r>
          </w:p>
        </w:tc>
        <w:tc>
          <w:tcPr>
            <w:tcW w:w="2710" w:type="dxa"/>
            <w:tcBorders>
              <w:top w:val="single" w:sz="4" w:space="0" w:color="666699"/>
              <w:left w:val="single" w:sz="4" w:space="0" w:color="666699"/>
              <w:bottom w:val="single" w:sz="4" w:space="0" w:color="666699"/>
              <w:right w:val="single" w:sz="4" w:space="0" w:color="666699"/>
            </w:tcBorders>
            <w:hideMark/>
          </w:tcPr>
          <w:p w14:paraId="47124552" w14:textId="69858810" w:rsidR="00080621" w:rsidRPr="00454D53" w:rsidRDefault="00656DC8">
            <w:pPr>
              <w:spacing w:after="60"/>
              <w:jc w:val="right"/>
              <w:rPr>
                <w:sz w:val="18"/>
                <w:szCs w:val="18"/>
              </w:rPr>
            </w:pPr>
            <w:r w:rsidRPr="00454D53">
              <w:rPr>
                <w:sz w:val="18"/>
                <w:szCs w:val="18"/>
              </w:rPr>
              <w:t>1</w:t>
            </w:r>
            <w:r w:rsidR="00631A39">
              <w:rPr>
                <w:sz w:val="18"/>
                <w:szCs w:val="18"/>
              </w:rPr>
              <w:t>6</w:t>
            </w:r>
            <w:r w:rsidRPr="00454D53">
              <w:rPr>
                <w:sz w:val="18"/>
                <w:szCs w:val="18"/>
              </w:rPr>
              <w:t>.3</w:t>
            </w:r>
            <w:r w:rsidR="00631A39">
              <w:rPr>
                <w:sz w:val="18"/>
                <w:szCs w:val="18"/>
              </w:rPr>
              <w:t>4</w:t>
            </w:r>
            <w:r w:rsidR="00080621" w:rsidRPr="00454D53">
              <w:rPr>
                <w:sz w:val="18"/>
                <w:szCs w:val="18"/>
              </w:rPr>
              <w:t xml:space="preserve"> (ODP tonnes)</w:t>
            </w:r>
          </w:p>
        </w:tc>
      </w:tr>
    </w:tbl>
    <w:p w14:paraId="73D5F541" w14:textId="77777777" w:rsidR="00080621" w:rsidRPr="004F396C" w:rsidRDefault="00080621" w:rsidP="00080621">
      <w:pPr>
        <w:spacing w:after="60"/>
        <w:jc w:val="center"/>
        <w:rPr>
          <w:b/>
          <w:sz w:val="18"/>
          <w:szCs w:val="18"/>
        </w:rPr>
      </w:pPr>
    </w:p>
    <w:tbl>
      <w:tblPr>
        <w:tblStyle w:val="TableGrid"/>
        <w:tblW w:w="5398" w:type="pct"/>
        <w:tblInd w:w="-3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168"/>
        <w:gridCol w:w="855"/>
        <w:gridCol w:w="854"/>
        <w:gridCol w:w="854"/>
        <w:gridCol w:w="1340"/>
        <w:gridCol w:w="1340"/>
        <w:gridCol w:w="803"/>
        <w:gridCol w:w="803"/>
        <w:gridCol w:w="803"/>
        <w:gridCol w:w="1274"/>
      </w:tblGrid>
      <w:tr w:rsidR="00080621" w:rsidRPr="004F396C" w14:paraId="04CBF0CD" w14:textId="77777777" w:rsidTr="00080621">
        <w:trPr>
          <w:trHeight w:val="251"/>
        </w:trPr>
        <w:tc>
          <w:tcPr>
            <w:tcW w:w="4369" w:type="pct"/>
            <w:gridSpan w:val="9"/>
            <w:shd w:val="clear" w:color="auto" w:fill="auto"/>
          </w:tcPr>
          <w:p w14:paraId="722EA184" w14:textId="77777777" w:rsidR="00080621" w:rsidRPr="004F396C" w:rsidRDefault="00080621" w:rsidP="00080621">
            <w:pPr>
              <w:spacing w:after="60"/>
              <w:jc w:val="left"/>
              <w:rPr>
                <w:b/>
                <w:sz w:val="18"/>
                <w:szCs w:val="18"/>
              </w:rPr>
            </w:pPr>
            <w:r w:rsidRPr="004F396C">
              <w:rPr>
                <w:b/>
                <w:sz w:val="18"/>
                <w:szCs w:val="18"/>
              </w:rPr>
              <w:t>(III) LATEST COUNTRY PROGRAMME SECTORAL DATA (ODP tonnes)</w:t>
            </w:r>
          </w:p>
        </w:tc>
        <w:tc>
          <w:tcPr>
            <w:tcW w:w="631" w:type="pct"/>
            <w:shd w:val="clear" w:color="auto" w:fill="auto"/>
          </w:tcPr>
          <w:p w14:paraId="01F73C2B" w14:textId="77777777" w:rsidR="00080621" w:rsidRPr="004F396C" w:rsidRDefault="00080621" w:rsidP="00080621">
            <w:pPr>
              <w:spacing w:after="60"/>
              <w:jc w:val="right"/>
              <w:rPr>
                <w:b/>
                <w:sz w:val="18"/>
                <w:szCs w:val="18"/>
              </w:rPr>
            </w:pPr>
            <w:r w:rsidRPr="004F396C">
              <w:rPr>
                <w:b/>
                <w:sz w:val="18"/>
                <w:szCs w:val="18"/>
              </w:rPr>
              <w:t>Year: 201</w:t>
            </w:r>
            <w:r>
              <w:rPr>
                <w:b/>
                <w:sz w:val="18"/>
                <w:szCs w:val="18"/>
              </w:rPr>
              <w:t>9</w:t>
            </w:r>
          </w:p>
        </w:tc>
      </w:tr>
      <w:tr w:rsidR="00080621" w:rsidRPr="00136D29" w14:paraId="0455143A" w14:textId="77777777" w:rsidTr="00080621">
        <w:trPr>
          <w:trHeight w:val="251"/>
        </w:trPr>
        <w:tc>
          <w:tcPr>
            <w:tcW w:w="578" w:type="pct"/>
            <w:shd w:val="clear" w:color="auto" w:fill="auto"/>
          </w:tcPr>
          <w:p w14:paraId="1EE19E47" w14:textId="77777777" w:rsidR="00080621" w:rsidRPr="00136D29" w:rsidRDefault="00080621" w:rsidP="00080621">
            <w:pPr>
              <w:spacing w:after="60"/>
              <w:jc w:val="center"/>
              <w:rPr>
                <w:sz w:val="18"/>
                <w:szCs w:val="18"/>
              </w:rPr>
            </w:pPr>
            <w:r w:rsidRPr="00136D29">
              <w:rPr>
                <w:sz w:val="18"/>
                <w:szCs w:val="18"/>
              </w:rPr>
              <w:t>Chemical</w:t>
            </w:r>
          </w:p>
        </w:tc>
        <w:tc>
          <w:tcPr>
            <w:tcW w:w="423" w:type="pct"/>
            <w:shd w:val="clear" w:color="auto" w:fill="auto"/>
          </w:tcPr>
          <w:p w14:paraId="5081BDEF" w14:textId="77777777" w:rsidR="00080621" w:rsidRPr="00136D29" w:rsidRDefault="00080621" w:rsidP="00080621">
            <w:pPr>
              <w:spacing w:after="60"/>
              <w:jc w:val="center"/>
              <w:rPr>
                <w:sz w:val="18"/>
                <w:szCs w:val="18"/>
              </w:rPr>
            </w:pPr>
            <w:r>
              <w:rPr>
                <w:sz w:val="18"/>
                <w:szCs w:val="18"/>
              </w:rPr>
              <w:t>Aerosol</w:t>
            </w:r>
          </w:p>
        </w:tc>
        <w:tc>
          <w:tcPr>
            <w:tcW w:w="423" w:type="pct"/>
            <w:shd w:val="clear" w:color="auto" w:fill="auto"/>
          </w:tcPr>
          <w:p w14:paraId="1C60549A" w14:textId="77777777" w:rsidR="00080621" w:rsidRPr="00136D29" w:rsidRDefault="00080621" w:rsidP="00080621">
            <w:pPr>
              <w:spacing w:after="60"/>
              <w:jc w:val="center"/>
              <w:rPr>
                <w:sz w:val="18"/>
                <w:szCs w:val="18"/>
              </w:rPr>
            </w:pPr>
            <w:r w:rsidRPr="00136D29">
              <w:rPr>
                <w:sz w:val="18"/>
                <w:szCs w:val="18"/>
              </w:rPr>
              <w:t>Foam</w:t>
            </w:r>
          </w:p>
        </w:tc>
        <w:tc>
          <w:tcPr>
            <w:tcW w:w="423" w:type="pct"/>
            <w:shd w:val="clear" w:color="auto" w:fill="auto"/>
          </w:tcPr>
          <w:p w14:paraId="5B7F7B0C" w14:textId="2E56E773" w:rsidR="00080621" w:rsidRPr="00136D29" w:rsidRDefault="00080621" w:rsidP="002D2FCF">
            <w:pPr>
              <w:spacing w:after="60"/>
              <w:jc w:val="center"/>
              <w:rPr>
                <w:sz w:val="18"/>
                <w:szCs w:val="18"/>
              </w:rPr>
            </w:pPr>
            <w:r>
              <w:rPr>
                <w:sz w:val="18"/>
                <w:szCs w:val="18"/>
              </w:rPr>
              <w:t>Fire</w:t>
            </w:r>
            <w:r w:rsidR="002D2FCF">
              <w:rPr>
                <w:sz w:val="18"/>
                <w:szCs w:val="18"/>
              </w:rPr>
              <w:t xml:space="preserve"> </w:t>
            </w:r>
            <w:r>
              <w:rPr>
                <w:sz w:val="18"/>
                <w:szCs w:val="18"/>
              </w:rPr>
              <w:t>fighting</w:t>
            </w:r>
          </w:p>
        </w:tc>
        <w:tc>
          <w:tcPr>
            <w:tcW w:w="1328" w:type="pct"/>
            <w:gridSpan w:val="2"/>
            <w:shd w:val="clear" w:color="auto" w:fill="auto"/>
          </w:tcPr>
          <w:p w14:paraId="44A06382" w14:textId="77777777" w:rsidR="00080621" w:rsidRPr="00136D29" w:rsidRDefault="00080621" w:rsidP="00080621">
            <w:pPr>
              <w:spacing w:after="60"/>
              <w:jc w:val="center"/>
              <w:rPr>
                <w:sz w:val="18"/>
                <w:szCs w:val="18"/>
              </w:rPr>
            </w:pPr>
            <w:r w:rsidRPr="00136D29">
              <w:rPr>
                <w:sz w:val="18"/>
                <w:szCs w:val="18"/>
              </w:rPr>
              <w:t>Refrigeration</w:t>
            </w:r>
          </w:p>
        </w:tc>
        <w:tc>
          <w:tcPr>
            <w:tcW w:w="398" w:type="pct"/>
            <w:shd w:val="clear" w:color="auto" w:fill="auto"/>
          </w:tcPr>
          <w:p w14:paraId="58165E7F" w14:textId="77777777" w:rsidR="00080621" w:rsidRPr="00136D29" w:rsidRDefault="00080621" w:rsidP="00080621">
            <w:pPr>
              <w:spacing w:after="60"/>
              <w:jc w:val="center"/>
              <w:rPr>
                <w:sz w:val="18"/>
                <w:szCs w:val="18"/>
              </w:rPr>
            </w:pPr>
            <w:r>
              <w:rPr>
                <w:sz w:val="18"/>
                <w:lang w:val="en-US"/>
              </w:rPr>
              <w:t>Solvent</w:t>
            </w:r>
          </w:p>
        </w:tc>
        <w:tc>
          <w:tcPr>
            <w:tcW w:w="398" w:type="pct"/>
            <w:shd w:val="clear" w:color="auto" w:fill="auto"/>
          </w:tcPr>
          <w:p w14:paraId="6D341A08" w14:textId="77777777" w:rsidR="00080621" w:rsidRPr="00136D29" w:rsidRDefault="00080621" w:rsidP="00080621">
            <w:pPr>
              <w:spacing w:after="60"/>
              <w:jc w:val="center"/>
              <w:rPr>
                <w:sz w:val="18"/>
                <w:szCs w:val="18"/>
              </w:rPr>
            </w:pPr>
            <w:r>
              <w:rPr>
                <w:sz w:val="18"/>
                <w:lang w:val="en-US"/>
              </w:rPr>
              <w:t>Process agent</w:t>
            </w:r>
          </w:p>
        </w:tc>
        <w:tc>
          <w:tcPr>
            <w:tcW w:w="398" w:type="pct"/>
            <w:shd w:val="clear" w:color="auto" w:fill="auto"/>
          </w:tcPr>
          <w:p w14:paraId="02D79454" w14:textId="77777777" w:rsidR="00080621" w:rsidRPr="00136D29" w:rsidRDefault="00080621" w:rsidP="00080621">
            <w:pPr>
              <w:spacing w:after="60"/>
              <w:jc w:val="center"/>
              <w:rPr>
                <w:sz w:val="18"/>
                <w:szCs w:val="18"/>
              </w:rPr>
            </w:pPr>
            <w:r>
              <w:rPr>
                <w:sz w:val="18"/>
                <w:lang w:val="en-US"/>
              </w:rPr>
              <w:t>Lab use</w:t>
            </w:r>
          </w:p>
        </w:tc>
        <w:tc>
          <w:tcPr>
            <w:tcW w:w="631" w:type="pct"/>
            <w:shd w:val="clear" w:color="auto" w:fill="auto"/>
          </w:tcPr>
          <w:p w14:paraId="236211E4" w14:textId="77777777" w:rsidR="00080621" w:rsidRPr="00136D29" w:rsidRDefault="00080621" w:rsidP="00080621">
            <w:pPr>
              <w:spacing w:after="60"/>
              <w:jc w:val="center"/>
              <w:rPr>
                <w:sz w:val="18"/>
                <w:szCs w:val="18"/>
              </w:rPr>
            </w:pPr>
            <w:r w:rsidRPr="00136D29">
              <w:rPr>
                <w:sz w:val="18"/>
                <w:szCs w:val="18"/>
              </w:rPr>
              <w:t>Total sector consumption</w:t>
            </w:r>
          </w:p>
        </w:tc>
      </w:tr>
      <w:tr w:rsidR="00080621" w:rsidRPr="00136D29" w14:paraId="6BD4145D" w14:textId="77777777" w:rsidTr="00080621">
        <w:trPr>
          <w:trHeight w:val="251"/>
        </w:trPr>
        <w:tc>
          <w:tcPr>
            <w:tcW w:w="1847" w:type="pct"/>
            <w:gridSpan w:val="4"/>
            <w:shd w:val="clear" w:color="auto" w:fill="auto"/>
          </w:tcPr>
          <w:p w14:paraId="4EF5A89F" w14:textId="77777777" w:rsidR="00080621" w:rsidRDefault="00080621" w:rsidP="00080621">
            <w:pPr>
              <w:spacing w:after="60"/>
              <w:jc w:val="center"/>
              <w:rPr>
                <w:sz w:val="18"/>
                <w:szCs w:val="18"/>
              </w:rPr>
            </w:pPr>
          </w:p>
        </w:tc>
        <w:tc>
          <w:tcPr>
            <w:tcW w:w="664" w:type="pct"/>
            <w:shd w:val="clear" w:color="auto" w:fill="auto"/>
          </w:tcPr>
          <w:p w14:paraId="4152B467" w14:textId="77777777" w:rsidR="00080621" w:rsidRPr="00136D29" w:rsidRDefault="00080621" w:rsidP="00080621">
            <w:pPr>
              <w:spacing w:after="60"/>
              <w:jc w:val="center"/>
              <w:rPr>
                <w:sz w:val="18"/>
                <w:szCs w:val="18"/>
              </w:rPr>
            </w:pPr>
            <w:r>
              <w:rPr>
                <w:sz w:val="18"/>
                <w:szCs w:val="18"/>
              </w:rPr>
              <w:t>Manufacturing</w:t>
            </w:r>
          </w:p>
        </w:tc>
        <w:tc>
          <w:tcPr>
            <w:tcW w:w="664" w:type="pct"/>
            <w:shd w:val="clear" w:color="auto" w:fill="auto"/>
          </w:tcPr>
          <w:p w14:paraId="1CDFA8B0" w14:textId="77777777" w:rsidR="00080621" w:rsidRPr="00136D29" w:rsidRDefault="00080621" w:rsidP="00080621">
            <w:pPr>
              <w:spacing w:after="60"/>
              <w:jc w:val="center"/>
              <w:rPr>
                <w:sz w:val="18"/>
                <w:szCs w:val="18"/>
              </w:rPr>
            </w:pPr>
            <w:r w:rsidRPr="000841B2">
              <w:rPr>
                <w:sz w:val="18"/>
                <w:szCs w:val="18"/>
              </w:rPr>
              <w:t>Servicing</w:t>
            </w:r>
          </w:p>
        </w:tc>
        <w:tc>
          <w:tcPr>
            <w:tcW w:w="1825" w:type="pct"/>
            <w:gridSpan w:val="4"/>
          </w:tcPr>
          <w:p w14:paraId="4B573689" w14:textId="77777777" w:rsidR="00080621" w:rsidRPr="00136D29" w:rsidRDefault="00080621" w:rsidP="00080621">
            <w:pPr>
              <w:spacing w:after="60"/>
              <w:jc w:val="center"/>
              <w:rPr>
                <w:sz w:val="18"/>
                <w:szCs w:val="18"/>
              </w:rPr>
            </w:pPr>
          </w:p>
        </w:tc>
      </w:tr>
      <w:tr w:rsidR="00080621" w:rsidRPr="00BD7BA1" w14:paraId="132FA242" w14:textId="77777777" w:rsidTr="00080621">
        <w:trPr>
          <w:trHeight w:val="251"/>
        </w:trPr>
        <w:tc>
          <w:tcPr>
            <w:tcW w:w="578" w:type="pct"/>
            <w:shd w:val="clear" w:color="auto" w:fill="auto"/>
          </w:tcPr>
          <w:p w14:paraId="421E1185" w14:textId="77777777" w:rsidR="00080621" w:rsidRPr="00BD7BA1" w:rsidRDefault="00080621" w:rsidP="00080621">
            <w:pPr>
              <w:spacing w:after="60"/>
              <w:jc w:val="left"/>
              <w:rPr>
                <w:sz w:val="18"/>
                <w:szCs w:val="18"/>
              </w:rPr>
            </w:pPr>
            <w:r w:rsidRPr="00BD7BA1">
              <w:rPr>
                <w:sz w:val="18"/>
                <w:szCs w:val="18"/>
              </w:rPr>
              <w:t>HCFC-22</w:t>
            </w:r>
          </w:p>
        </w:tc>
        <w:tc>
          <w:tcPr>
            <w:tcW w:w="423" w:type="pct"/>
            <w:shd w:val="clear" w:color="auto" w:fill="auto"/>
          </w:tcPr>
          <w:p w14:paraId="1692FE26" w14:textId="77777777" w:rsidR="00080621" w:rsidRPr="00BD7BA1" w:rsidRDefault="00080621" w:rsidP="00080621">
            <w:pPr>
              <w:spacing w:after="60"/>
              <w:jc w:val="right"/>
              <w:rPr>
                <w:sz w:val="18"/>
                <w:szCs w:val="18"/>
              </w:rPr>
            </w:pPr>
            <w:r w:rsidRPr="00BD7BA1">
              <w:rPr>
                <w:sz w:val="18"/>
                <w:szCs w:val="18"/>
              </w:rPr>
              <w:t>0.00</w:t>
            </w:r>
          </w:p>
        </w:tc>
        <w:tc>
          <w:tcPr>
            <w:tcW w:w="423" w:type="pct"/>
            <w:shd w:val="clear" w:color="auto" w:fill="auto"/>
          </w:tcPr>
          <w:p w14:paraId="202CC1B0" w14:textId="77777777" w:rsidR="00080621" w:rsidRPr="00BD7BA1" w:rsidRDefault="00080621" w:rsidP="00080621">
            <w:pPr>
              <w:spacing w:after="60"/>
              <w:jc w:val="right"/>
              <w:rPr>
                <w:sz w:val="18"/>
                <w:szCs w:val="18"/>
              </w:rPr>
            </w:pPr>
            <w:r w:rsidRPr="00BD7BA1">
              <w:rPr>
                <w:sz w:val="18"/>
                <w:szCs w:val="18"/>
              </w:rPr>
              <w:t>0.00</w:t>
            </w:r>
          </w:p>
        </w:tc>
        <w:tc>
          <w:tcPr>
            <w:tcW w:w="423" w:type="pct"/>
            <w:shd w:val="clear" w:color="auto" w:fill="auto"/>
          </w:tcPr>
          <w:p w14:paraId="700F3428" w14:textId="77777777" w:rsidR="00080621" w:rsidRPr="00BD7BA1" w:rsidRDefault="00080621" w:rsidP="00080621">
            <w:pPr>
              <w:spacing w:after="60"/>
              <w:jc w:val="right"/>
              <w:rPr>
                <w:sz w:val="18"/>
                <w:szCs w:val="18"/>
              </w:rPr>
            </w:pPr>
            <w:r w:rsidRPr="00BD7BA1">
              <w:rPr>
                <w:sz w:val="18"/>
                <w:szCs w:val="18"/>
              </w:rPr>
              <w:t>0.00</w:t>
            </w:r>
          </w:p>
        </w:tc>
        <w:tc>
          <w:tcPr>
            <w:tcW w:w="664" w:type="pct"/>
            <w:shd w:val="clear" w:color="auto" w:fill="auto"/>
          </w:tcPr>
          <w:p w14:paraId="1250DDB7" w14:textId="77777777" w:rsidR="00080621" w:rsidRPr="00BD7BA1" w:rsidRDefault="00080621" w:rsidP="00080621">
            <w:pPr>
              <w:spacing w:after="60"/>
              <w:jc w:val="right"/>
              <w:rPr>
                <w:sz w:val="18"/>
                <w:szCs w:val="18"/>
              </w:rPr>
            </w:pPr>
            <w:r w:rsidRPr="00BD7BA1">
              <w:rPr>
                <w:sz w:val="18"/>
                <w:szCs w:val="18"/>
              </w:rPr>
              <w:t>0.00</w:t>
            </w:r>
          </w:p>
        </w:tc>
        <w:tc>
          <w:tcPr>
            <w:tcW w:w="664" w:type="pct"/>
            <w:shd w:val="clear" w:color="auto" w:fill="auto"/>
          </w:tcPr>
          <w:p w14:paraId="435680A2" w14:textId="77777777" w:rsidR="00080621" w:rsidRPr="00BD7BA1" w:rsidRDefault="00BD7BA1" w:rsidP="00080621">
            <w:pPr>
              <w:spacing w:after="60"/>
              <w:jc w:val="right"/>
              <w:rPr>
                <w:sz w:val="18"/>
                <w:szCs w:val="18"/>
              </w:rPr>
            </w:pPr>
            <w:r w:rsidRPr="00BD7BA1">
              <w:rPr>
                <w:sz w:val="18"/>
                <w:szCs w:val="18"/>
              </w:rPr>
              <w:t>14.36</w:t>
            </w:r>
          </w:p>
        </w:tc>
        <w:tc>
          <w:tcPr>
            <w:tcW w:w="398" w:type="pct"/>
            <w:shd w:val="clear" w:color="auto" w:fill="auto"/>
          </w:tcPr>
          <w:p w14:paraId="6891A7CE" w14:textId="77777777" w:rsidR="00080621" w:rsidRPr="00BD7BA1" w:rsidRDefault="00080621" w:rsidP="00080621">
            <w:pPr>
              <w:spacing w:after="60"/>
              <w:jc w:val="right"/>
              <w:rPr>
                <w:sz w:val="18"/>
                <w:szCs w:val="18"/>
              </w:rPr>
            </w:pPr>
            <w:r w:rsidRPr="00BD7BA1">
              <w:rPr>
                <w:sz w:val="18"/>
                <w:szCs w:val="18"/>
              </w:rPr>
              <w:t>0.00</w:t>
            </w:r>
          </w:p>
        </w:tc>
        <w:tc>
          <w:tcPr>
            <w:tcW w:w="398" w:type="pct"/>
            <w:shd w:val="clear" w:color="auto" w:fill="auto"/>
          </w:tcPr>
          <w:p w14:paraId="36DF8BB0" w14:textId="77777777" w:rsidR="00080621" w:rsidRPr="00BD7BA1" w:rsidRDefault="00080621" w:rsidP="00080621">
            <w:pPr>
              <w:spacing w:after="60"/>
              <w:jc w:val="right"/>
              <w:rPr>
                <w:sz w:val="18"/>
                <w:szCs w:val="18"/>
              </w:rPr>
            </w:pPr>
            <w:r w:rsidRPr="00BD7BA1">
              <w:rPr>
                <w:sz w:val="18"/>
                <w:szCs w:val="18"/>
              </w:rPr>
              <w:t>0.00</w:t>
            </w:r>
          </w:p>
        </w:tc>
        <w:tc>
          <w:tcPr>
            <w:tcW w:w="398" w:type="pct"/>
            <w:shd w:val="clear" w:color="auto" w:fill="auto"/>
          </w:tcPr>
          <w:p w14:paraId="38FEB076" w14:textId="77777777" w:rsidR="00080621" w:rsidRPr="00BD7BA1" w:rsidRDefault="00080621" w:rsidP="00080621">
            <w:pPr>
              <w:spacing w:after="60"/>
              <w:jc w:val="right"/>
              <w:rPr>
                <w:sz w:val="18"/>
                <w:szCs w:val="18"/>
              </w:rPr>
            </w:pPr>
            <w:r w:rsidRPr="00BD7BA1">
              <w:rPr>
                <w:sz w:val="18"/>
                <w:szCs w:val="18"/>
              </w:rPr>
              <w:t>0.00</w:t>
            </w:r>
          </w:p>
        </w:tc>
        <w:tc>
          <w:tcPr>
            <w:tcW w:w="631" w:type="pct"/>
            <w:shd w:val="clear" w:color="auto" w:fill="auto"/>
          </w:tcPr>
          <w:p w14:paraId="1DC46A53" w14:textId="77777777" w:rsidR="00080621" w:rsidRPr="00BD7BA1" w:rsidRDefault="00BD7BA1" w:rsidP="00080621">
            <w:pPr>
              <w:spacing w:after="60"/>
              <w:jc w:val="right"/>
              <w:rPr>
                <w:sz w:val="18"/>
                <w:szCs w:val="18"/>
              </w:rPr>
            </w:pPr>
            <w:r w:rsidRPr="00BD7BA1">
              <w:rPr>
                <w:sz w:val="18"/>
                <w:szCs w:val="18"/>
              </w:rPr>
              <w:t>14.36</w:t>
            </w:r>
          </w:p>
        </w:tc>
      </w:tr>
      <w:tr w:rsidR="00080621" w:rsidRPr="00BD7BA1" w14:paraId="4AC3EBDB" w14:textId="77777777" w:rsidTr="00080621">
        <w:trPr>
          <w:trHeight w:val="251"/>
        </w:trPr>
        <w:tc>
          <w:tcPr>
            <w:tcW w:w="578" w:type="pct"/>
            <w:shd w:val="clear" w:color="auto" w:fill="auto"/>
          </w:tcPr>
          <w:p w14:paraId="257088FB" w14:textId="77777777" w:rsidR="00080621" w:rsidRPr="00BD7BA1" w:rsidRDefault="00080621" w:rsidP="00080621">
            <w:pPr>
              <w:spacing w:after="60"/>
              <w:jc w:val="left"/>
              <w:rPr>
                <w:sz w:val="18"/>
                <w:szCs w:val="18"/>
              </w:rPr>
            </w:pPr>
            <w:r w:rsidRPr="00BD7BA1">
              <w:rPr>
                <w:sz w:val="18"/>
                <w:szCs w:val="18"/>
              </w:rPr>
              <w:t>HCFC-123</w:t>
            </w:r>
          </w:p>
        </w:tc>
        <w:tc>
          <w:tcPr>
            <w:tcW w:w="423" w:type="pct"/>
            <w:shd w:val="clear" w:color="auto" w:fill="auto"/>
          </w:tcPr>
          <w:p w14:paraId="6943D834" w14:textId="77777777" w:rsidR="00080621" w:rsidRPr="00BD7BA1" w:rsidRDefault="00080621" w:rsidP="00080621">
            <w:pPr>
              <w:spacing w:after="60"/>
              <w:jc w:val="right"/>
              <w:rPr>
                <w:sz w:val="18"/>
                <w:szCs w:val="18"/>
              </w:rPr>
            </w:pPr>
            <w:r w:rsidRPr="00BD7BA1">
              <w:rPr>
                <w:sz w:val="18"/>
                <w:szCs w:val="18"/>
              </w:rPr>
              <w:t>0.00</w:t>
            </w:r>
          </w:p>
        </w:tc>
        <w:tc>
          <w:tcPr>
            <w:tcW w:w="423" w:type="pct"/>
            <w:shd w:val="clear" w:color="auto" w:fill="auto"/>
          </w:tcPr>
          <w:p w14:paraId="6ACA269E" w14:textId="77777777" w:rsidR="00080621" w:rsidRPr="00BD7BA1" w:rsidRDefault="00080621" w:rsidP="00080621">
            <w:pPr>
              <w:spacing w:after="60"/>
              <w:jc w:val="right"/>
              <w:rPr>
                <w:sz w:val="18"/>
                <w:szCs w:val="18"/>
              </w:rPr>
            </w:pPr>
            <w:r w:rsidRPr="00BD7BA1">
              <w:rPr>
                <w:sz w:val="18"/>
                <w:szCs w:val="18"/>
              </w:rPr>
              <w:t>0.00</w:t>
            </w:r>
          </w:p>
        </w:tc>
        <w:tc>
          <w:tcPr>
            <w:tcW w:w="423" w:type="pct"/>
            <w:shd w:val="clear" w:color="auto" w:fill="auto"/>
          </w:tcPr>
          <w:p w14:paraId="68387288" w14:textId="77777777" w:rsidR="00080621" w:rsidRPr="00BD7BA1" w:rsidRDefault="00080621" w:rsidP="00080621">
            <w:pPr>
              <w:spacing w:after="60"/>
              <w:jc w:val="right"/>
              <w:rPr>
                <w:sz w:val="18"/>
                <w:szCs w:val="18"/>
              </w:rPr>
            </w:pPr>
            <w:r w:rsidRPr="00BD7BA1">
              <w:rPr>
                <w:sz w:val="18"/>
                <w:szCs w:val="18"/>
              </w:rPr>
              <w:t>0.00</w:t>
            </w:r>
          </w:p>
        </w:tc>
        <w:tc>
          <w:tcPr>
            <w:tcW w:w="664" w:type="pct"/>
            <w:shd w:val="clear" w:color="auto" w:fill="auto"/>
          </w:tcPr>
          <w:p w14:paraId="588EC46A" w14:textId="77777777" w:rsidR="00080621" w:rsidRPr="00BD7BA1" w:rsidRDefault="00080621" w:rsidP="00080621">
            <w:pPr>
              <w:spacing w:after="60"/>
              <w:jc w:val="right"/>
              <w:rPr>
                <w:sz w:val="18"/>
                <w:szCs w:val="18"/>
              </w:rPr>
            </w:pPr>
            <w:r w:rsidRPr="00BD7BA1">
              <w:rPr>
                <w:sz w:val="18"/>
                <w:szCs w:val="18"/>
              </w:rPr>
              <w:t>0.00</w:t>
            </w:r>
          </w:p>
        </w:tc>
        <w:tc>
          <w:tcPr>
            <w:tcW w:w="664" w:type="pct"/>
            <w:shd w:val="clear" w:color="auto" w:fill="auto"/>
          </w:tcPr>
          <w:p w14:paraId="7811FDC2" w14:textId="77777777" w:rsidR="00080621" w:rsidRPr="00BD7BA1" w:rsidRDefault="00080621" w:rsidP="00080621">
            <w:pPr>
              <w:spacing w:after="60"/>
              <w:jc w:val="right"/>
              <w:rPr>
                <w:sz w:val="18"/>
                <w:szCs w:val="18"/>
              </w:rPr>
            </w:pPr>
            <w:r w:rsidRPr="00BD7BA1">
              <w:rPr>
                <w:sz w:val="18"/>
                <w:szCs w:val="18"/>
              </w:rPr>
              <w:t>0.0</w:t>
            </w:r>
            <w:r w:rsidR="00BD7BA1" w:rsidRPr="00BD7BA1">
              <w:rPr>
                <w:sz w:val="18"/>
                <w:szCs w:val="18"/>
              </w:rPr>
              <w:t>0</w:t>
            </w:r>
          </w:p>
        </w:tc>
        <w:tc>
          <w:tcPr>
            <w:tcW w:w="398" w:type="pct"/>
            <w:shd w:val="clear" w:color="auto" w:fill="auto"/>
          </w:tcPr>
          <w:p w14:paraId="6540E0DA" w14:textId="77777777" w:rsidR="00080621" w:rsidRPr="00BD7BA1" w:rsidRDefault="00080621" w:rsidP="00080621">
            <w:pPr>
              <w:spacing w:after="60"/>
              <w:jc w:val="right"/>
              <w:rPr>
                <w:sz w:val="18"/>
                <w:szCs w:val="18"/>
              </w:rPr>
            </w:pPr>
            <w:r w:rsidRPr="00BD7BA1">
              <w:rPr>
                <w:sz w:val="18"/>
                <w:szCs w:val="18"/>
              </w:rPr>
              <w:t>0.00</w:t>
            </w:r>
          </w:p>
        </w:tc>
        <w:tc>
          <w:tcPr>
            <w:tcW w:w="398" w:type="pct"/>
            <w:shd w:val="clear" w:color="auto" w:fill="auto"/>
          </w:tcPr>
          <w:p w14:paraId="04FF0243" w14:textId="77777777" w:rsidR="00080621" w:rsidRPr="00BD7BA1" w:rsidRDefault="00080621" w:rsidP="00080621">
            <w:pPr>
              <w:spacing w:after="60"/>
              <w:jc w:val="right"/>
              <w:rPr>
                <w:sz w:val="18"/>
                <w:szCs w:val="18"/>
              </w:rPr>
            </w:pPr>
            <w:r w:rsidRPr="00BD7BA1">
              <w:rPr>
                <w:sz w:val="18"/>
                <w:szCs w:val="18"/>
              </w:rPr>
              <w:t>0.00</w:t>
            </w:r>
          </w:p>
        </w:tc>
        <w:tc>
          <w:tcPr>
            <w:tcW w:w="398" w:type="pct"/>
            <w:shd w:val="clear" w:color="auto" w:fill="auto"/>
          </w:tcPr>
          <w:p w14:paraId="46066981" w14:textId="77777777" w:rsidR="00080621" w:rsidRPr="00BD7BA1" w:rsidRDefault="00080621" w:rsidP="00080621">
            <w:pPr>
              <w:spacing w:after="60"/>
              <w:jc w:val="right"/>
              <w:rPr>
                <w:sz w:val="18"/>
                <w:szCs w:val="18"/>
              </w:rPr>
            </w:pPr>
            <w:r w:rsidRPr="00BD7BA1">
              <w:rPr>
                <w:sz w:val="18"/>
                <w:szCs w:val="18"/>
              </w:rPr>
              <w:t>0.00</w:t>
            </w:r>
          </w:p>
        </w:tc>
        <w:tc>
          <w:tcPr>
            <w:tcW w:w="631" w:type="pct"/>
            <w:shd w:val="clear" w:color="auto" w:fill="auto"/>
          </w:tcPr>
          <w:p w14:paraId="7F0A574C" w14:textId="77777777" w:rsidR="00080621" w:rsidRPr="00BD7BA1" w:rsidRDefault="00080621" w:rsidP="00080621">
            <w:pPr>
              <w:spacing w:after="60"/>
              <w:jc w:val="right"/>
              <w:rPr>
                <w:sz w:val="18"/>
                <w:szCs w:val="18"/>
              </w:rPr>
            </w:pPr>
            <w:r w:rsidRPr="00BD7BA1">
              <w:rPr>
                <w:sz w:val="18"/>
                <w:szCs w:val="18"/>
              </w:rPr>
              <w:t>0.0</w:t>
            </w:r>
            <w:r w:rsidR="00BD7BA1" w:rsidRPr="00BD7BA1">
              <w:rPr>
                <w:sz w:val="18"/>
                <w:szCs w:val="18"/>
              </w:rPr>
              <w:t>0</w:t>
            </w:r>
          </w:p>
        </w:tc>
      </w:tr>
      <w:tr w:rsidR="00080621" w:rsidRPr="00BD7BA1" w14:paraId="672F42F8" w14:textId="77777777" w:rsidTr="00080621">
        <w:trPr>
          <w:trHeight w:val="251"/>
        </w:trPr>
        <w:tc>
          <w:tcPr>
            <w:tcW w:w="578" w:type="pct"/>
            <w:shd w:val="clear" w:color="auto" w:fill="auto"/>
          </w:tcPr>
          <w:p w14:paraId="593C041A" w14:textId="77777777" w:rsidR="00080621" w:rsidRPr="00BD7BA1" w:rsidRDefault="00080621" w:rsidP="00080621">
            <w:pPr>
              <w:spacing w:after="60"/>
              <w:jc w:val="left"/>
              <w:rPr>
                <w:sz w:val="18"/>
                <w:szCs w:val="18"/>
              </w:rPr>
            </w:pPr>
            <w:r w:rsidRPr="00BD7BA1">
              <w:rPr>
                <w:sz w:val="18"/>
                <w:szCs w:val="18"/>
              </w:rPr>
              <w:t>HCFC-124</w:t>
            </w:r>
          </w:p>
        </w:tc>
        <w:tc>
          <w:tcPr>
            <w:tcW w:w="423" w:type="pct"/>
            <w:shd w:val="clear" w:color="auto" w:fill="auto"/>
          </w:tcPr>
          <w:p w14:paraId="6E764796" w14:textId="77777777" w:rsidR="00080621" w:rsidRPr="00BD7BA1" w:rsidRDefault="00080621" w:rsidP="00080621">
            <w:pPr>
              <w:spacing w:after="60"/>
              <w:jc w:val="right"/>
              <w:rPr>
                <w:sz w:val="18"/>
                <w:szCs w:val="18"/>
              </w:rPr>
            </w:pPr>
            <w:r w:rsidRPr="00BD7BA1">
              <w:rPr>
                <w:sz w:val="18"/>
                <w:szCs w:val="18"/>
              </w:rPr>
              <w:t>0</w:t>
            </w:r>
            <w:r w:rsidRPr="00BD7BA1">
              <w:rPr>
                <w:sz w:val="18"/>
                <w:szCs w:val="18"/>
                <w:lang w:val="en-CA"/>
              </w:rPr>
              <w:t>.</w:t>
            </w:r>
            <w:r w:rsidRPr="00BD7BA1">
              <w:rPr>
                <w:sz w:val="18"/>
                <w:szCs w:val="18"/>
              </w:rPr>
              <w:t>00</w:t>
            </w:r>
          </w:p>
        </w:tc>
        <w:tc>
          <w:tcPr>
            <w:tcW w:w="423" w:type="pct"/>
            <w:shd w:val="clear" w:color="auto" w:fill="auto"/>
          </w:tcPr>
          <w:p w14:paraId="4AA54625" w14:textId="77777777" w:rsidR="00080621" w:rsidRPr="00BD7BA1" w:rsidRDefault="00080621" w:rsidP="00080621">
            <w:pPr>
              <w:spacing w:after="60"/>
              <w:jc w:val="right"/>
              <w:rPr>
                <w:sz w:val="18"/>
                <w:szCs w:val="18"/>
              </w:rPr>
            </w:pPr>
            <w:r w:rsidRPr="00BD7BA1">
              <w:rPr>
                <w:sz w:val="18"/>
                <w:szCs w:val="18"/>
              </w:rPr>
              <w:t>0</w:t>
            </w:r>
            <w:r w:rsidRPr="00BD7BA1">
              <w:rPr>
                <w:sz w:val="18"/>
                <w:szCs w:val="18"/>
                <w:lang w:val="en-CA"/>
              </w:rPr>
              <w:t>.</w:t>
            </w:r>
            <w:r w:rsidRPr="00BD7BA1">
              <w:rPr>
                <w:sz w:val="18"/>
                <w:szCs w:val="18"/>
              </w:rPr>
              <w:t>00</w:t>
            </w:r>
          </w:p>
        </w:tc>
        <w:tc>
          <w:tcPr>
            <w:tcW w:w="423" w:type="pct"/>
            <w:shd w:val="clear" w:color="auto" w:fill="auto"/>
          </w:tcPr>
          <w:p w14:paraId="4180CEA3" w14:textId="77777777" w:rsidR="00080621" w:rsidRPr="00BD7BA1" w:rsidRDefault="00080621" w:rsidP="00080621">
            <w:pPr>
              <w:spacing w:after="60"/>
              <w:jc w:val="right"/>
              <w:rPr>
                <w:sz w:val="18"/>
                <w:szCs w:val="18"/>
              </w:rPr>
            </w:pPr>
            <w:r w:rsidRPr="00BD7BA1">
              <w:rPr>
                <w:sz w:val="18"/>
                <w:szCs w:val="18"/>
              </w:rPr>
              <w:t>0</w:t>
            </w:r>
            <w:r w:rsidRPr="00BD7BA1">
              <w:rPr>
                <w:sz w:val="18"/>
                <w:szCs w:val="18"/>
                <w:lang w:val="en-CA"/>
              </w:rPr>
              <w:t>.</w:t>
            </w:r>
            <w:r w:rsidRPr="00BD7BA1">
              <w:rPr>
                <w:sz w:val="18"/>
                <w:szCs w:val="18"/>
              </w:rPr>
              <w:t>00</w:t>
            </w:r>
          </w:p>
        </w:tc>
        <w:tc>
          <w:tcPr>
            <w:tcW w:w="664" w:type="pct"/>
            <w:shd w:val="clear" w:color="auto" w:fill="auto"/>
          </w:tcPr>
          <w:p w14:paraId="05840ADA" w14:textId="77777777" w:rsidR="00080621" w:rsidRPr="00BD7BA1" w:rsidRDefault="00080621" w:rsidP="00080621">
            <w:pPr>
              <w:spacing w:after="60"/>
              <w:jc w:val="right"/>
              <w:rPr>
                <w:sz w:val="18"/>
                <w:szCs w:val="18"/>
              </w:rPr>
            </w:pPr>
            <w:r w:rsidRPr="00BD7BA1">
              <w:rPr>
                <w:sz w:val="18"/>
                <w:szCs w:val="18"/>
              </w:rPr>
              <w:t>0</w:t>
            </w:r>
            <w:r w:rsidRPr="00BD7BA1">
              <w:rPr>
                <w:sz w:val="18"/>
                <w:szCs w:val="18"/>
                <w:lang w:val="en-CA"/>
              </w:rPr>
              <w:t>.</w:t>
            </w:r>
            <w:r w:rsidRPr="00BD7BA1">
              <w:rPr>
                <w:sz w:val="18"/>
                <w:szCs w:val="18"/>
              </w:rPr>
              <w:t>00</w:t>
            </w:r>
          </w:p>
        </w:tc>
        <w:tc>
          <w:tcPr>
            <w:tcW w:w="664" w:type="pct"/>
            <w:shd w:val="clear" w:color="auto" w:fill="auto"/>
          </w:tcPr>
          <w:p w14:paraId="35A0F32F" w14:textId="77777777" w:rsidR="00080621" w:rsidRPr="00BD7BA1" w:rsidRDefault="00080621" w:rsidP="00080621">
            <w:pPr>
              <w:spacing w:after="60"/>
              <w:jc w:val="right"/>
              <w:rPr>
                <w:sz w:val="18"/>
                <w:szCs w:val="18"/>
              </w:rPr>
            </w:pPr>
            <w:r w:rsidRPr="00BD7BA1">
              <w:rPr>
                <w:sz w:val="18"/>
                <w:szCs w:val="18"/>
              </w:rPr>
              <w:t>0</w:t>
            </w:r>
            <w:r w:rsidRPr="00BD7BA1">
              <w:rPr>
                <w:sz w:val="18"/>
                <w:szCs w:val="18"/>
                <w:lang w:val="en-CA"/>
              </w:rPr>
              <w:t>.</w:t>
            </w:r>
            <w:r w:rsidRPr="00BD7BA1">
              <w:rPr>
                <w:sz w:val="18"/>
                <w:szCs w:val="18"/>
              </w:rPr>
              <w:t>00</w:t>
            </w:r>
          </w:p>
        </w:tc>
        <w:tc>
          <w:tcPr>
            <w:tcW w:w="398" w:type="pct"/>
            <w:shd w:val="clear" w:color="auto" w:fill="auto"/>
          </w:tcPr>
          <w:p w14:paraId="7A9E2F6E" w14:textId="77777777" w:rsidR="00080621" w:rsidRPr="00BD7BA1" w:rsidRDefault="00080621" w:rsidP="00080621">
            <w:pPr>
              <w:spacing w:after="60"/>
              <w:jc w:val="right"/>
              <w:rPr>
                <w:sz w:val="18"/>
                <w:szCs w:val="18"/>
              </w:rPr>
            </w:pPr>
            <w:r w:rsidRPr="00BD7BA1">
              <w:rPr>
                <w:sz w:val="18"/>
                <w:szCs w:val="18"/>
              </w:rPr>
              <w:t>0</w:t>
            </w:r>
            <w:r w:rsidRPr="00BD7BA1">
              <w:rPr>
                <w:sz w:val="18"/>
                <w:szCs w:val="18"/>
                <w:lang w:val="en-CA"/>
              </w:rPr>
              <w:t>.</w:t>
            </w:r>
            <w:r w:rsidRPr="00BD7BA1">
              <w:rPr>
                <w:sz w:val="18"/>
                <w:szCs w:val="18"/>
              </w:rPr>
              <w:t>00</w:t>
            </w:r>
          </w:p>
        </w:tc>
        <w:tc>
          <w:tcPr>
            <w:tcW w:w="398" w:type="pct"/>
            <w:shd w:val="clear" w:color="auto" w:fill="auto"/>
          </w:tcPr>
          <w:p w14:paraId="218E9B9B" w14:textId="77777777" w:rsidR="00080621" w:rsidRPr="00BD7BA1" w:rsidRDefault="00080621" w:rsidP="00080621">
            <w:pPr>
              <w:spacing w:after="60"/>
              <w:jc w:val="right"/>
              <w:rPr>
                <w:sz w:val="18"/>
                <w:szCs w:val="18"/>
              </w:rPr>
            </w:pPr>
            <w:r w:rsidRPr="00BD7BA1">
              <w:rPr>
                <w:sz w:val="18"/>
                <w:szCs w:val="18"/>
              </w:rPr>
              <w:t>0</w:t>
            </w:r>
            <w:r w:rsidRPr="00BD7BA1">
              <w:rPr>
                <w:sz w:val="18"/>
                <w:szCs w:val="18"/>
                <w:lang w:val="en-CA"/>
              </w:rPr>
              <w:t>.</w:t>
            </w:r>
            <w:r w:rsidRPr="00BD7BA1">
              <w:rPr>
                <w:sz w:val="18"/>
                <w:szCs w:val="18"/>
              </w:rPr>
              <w:t>00</w:t>
            </w:r>
          </w:p>
        </w:tc>
        <w:tc>
          <w:tcPr>
            <w:tcW w:w="398" w:type="pct"/>
            <w:shd w:val="clear" w:color="auto" w:fill="auto"/>
          </w:tcPr>
          <w:p w14:paraId="76F43A89" w14:textId="77777777" w:rsidR="00080621" w:rsidRPr="00BD7BA1" w:rsidRDefault="00080621" w:rsidP="00080621">
            <w:pPr>
              <w:spacing w:after="60"/>
              <w:jc w:val="right"/>
              <w:rPr>
                <w:sz w:val="18"/>
                <w:szCs w:val="18"/>
              </w:rPr>
            </w:pPr>
            <w:r w:rsidRPr="00BD7BA1">
              <w:rPr>
                <w:sz w:val="18"/>
                <w:szCs w:val="18"/>
              </w:rPr>
              <w:t>0</w:t>
            </w:r>
            <w:r w:rsidRPr="00BD7BA1">
              <w:rPr>
                <w:sz w:val="18"/>
                <w:szCs w:val="18"/>
                <w:lang w:val="en-CA"/>
              </w:rPr>
              <w:t>.</w:t>
            </w:r>
            <w:r w:rsidRPr="00BD7BA1">
              <w:rPr>
                <w:sz w:val="18"/>
                <w:szCs w:val="18"/>
              </w:rPr>
              <w:t>00</w:t>
            </w:r>
          </w:p>
        </w:tc>
        <w:tc>
          <w:tcPr>
            <w:tcW w:w="631" w:type="pct"/>
            <w:shd w:val="clear" w:color="auto" w:fill="auto"/>
          </w:tcPr>
          <w:p w14:paraId="12768093" w14:textId="77777777" w:rsidR="00080621" w:rsidRPr="00BD7BA1" w:rsidRDefault="00080621" w:rsidP="00080621">
            <w:pPr>
              <w:spacing w:after="60"/>
              <w:jc w:val="right"/>
              <w:rPr>
                <w:sz w:val="18"/>
                <w:szCs w:val="18"/>
              </w:rPr>
            </w:pPr>
            <w:r w:rsidRPr="00BD7BA1">
              <w:rPr>
                <w:sz w:val="18"/>
                <w:szCs w:val="18"/>
              </w:rPr>
              <w:t>0</w:t>
            </w:r>
            <w:r w:rsidRPr="00BD7BA1">
              <w:rPr>
                <w:sz w:val="18"/>
                <w:szCs w:val="18"/>
                <w:lang w:val="en-CA"/>
              </w:rPr>
              <w:t>.</w:t>
            </w:r>
            <w:r w:rsidRPr="00BD7BA1">
              <w:rPr>
                <w:sz w:val="18"/>
                <w:szCs w:val="18"/>
              </w:rPr>
              <w:t>00</w:t>
            </w:r>
          </w:p>
        </w:tc>
      </w:tr>
      <w:tr w:rsidR="00080621" w:rsidRPr="00BD7BA1" w14:paraId="3AEA4723" w14:textId="77777777" w:rsidTr="00080621">
        <w:trPr>
          <w:trHeight w:val="251"/>
        </w:trPr>
        <w:tc>
          <w:tcPr>
            <w:tcW w:w="578" w:type="pct"/>
            <w:shd w:val="clear" w:color="auto" w:fill="auto"/>
          </w:tcPr>
          <w:p w14:paraId="1B290D72" w14:textId="77777777" w:rsidR="00080621" w:rsidRPr="00BD7BA1" w:rsidRDefault="00080621" w:rsidP="00080621">
            <w:pPr>
              <w:spacing w:after="60"/>
              <w:jc w:val="left"/>
              <w:rPr>
                <w:sz w:val="18"/>
                <w:szCs w:val="18"/>
              </w:rPr>
            </w:pPr>
            <w:r w:rsidRPr="00BD7BA1">
              <w:rPr>
                <w:sz w:val="18"/>
                <w:szCs w:val="18"/>
              </w:rPr>
              <w:t>HCFC-141b</w:t>
            </w:r>
          </w:p>
        </w:tc>
        <w:tc>
          <w:tcPr>
            <w:tcW w:w="423" w:type="pct"/>
            <w:shd w:val="clear" w:color="auto" w:fill="auto"/>
          </w:tcPr>
          <w:p w14:paraId="10F590BB" w14:textId="77777777" w:rsidR="00080621" w:rsidRPr="00BD7BA1" w:rsidRDefault="00080621" w:rsidP="00080621">
            <w:pPr>
              <w:spacing w:after="60"/>
              <w:jc w:val="right"/>
              <w:rPr>
                <w:sz w:val="18"/>
                <w:szCs w:val="18"/>
              </w:rPr>
            </w:pPr>
            <w:r w:rsidRPr="00BD7BA1">
              <w:rPr>
                <w:sz w:val="18"/>
                <w:szCs w:val="18"/>
              </w:rPr>
              <w:t>0.00</w:t>
            </w:r>
          </w:p>
        </w:tc>
        <w:tc>
          <w:tcPr>
            <w:tcW w:w="423" w:type="pct"/>
            <w:shd w:val="clear" w:color="auto" w:fill="auto"/>
          </w:tcPr>
          <w:p w14:paraId="37BDFFE5" w14:textId="77777777" w:rsidR="00080621" w:rsidRPr="00BD7BA1" w:rsidRDefault="00080621" w:rsidP="00080621">
            <w:pPr>
              <w:spacing w:after="60"/>
              <w:jc w:val="right"/>
              <w:rPr>
                <w:sz w:val="18"/>
                <w:szCs w:val="18"/>
              </w:rPr>
            </w:pPr>
            <w:r w:rsidRPr="00BD7BA1">
              <w:rPr>
                <w:sz w:val="18"/>
                <w:szCs w:val="18"/>
              </w:rPr>
              <w:t>0.00</w:t>
            </w:r>
          </w:p>
        </w:tc>
        <w:tc>
          <w:tcPr>
            <w:tcW w:w="423" w:type="pct"/>
            <w:shd w:val="clear" w:color="auto" w:fill="auto"/>
          </w:tcPr>
          <w:p w14:paraId="0F0EC33E" w14:textId="77777777" w:rsidR="00080621" w:rsidRPr="00BD7BA1" w:rsidRDefault="00080621" w:rsidP="00080621">
            <w:pPr>
              <w:spacing w:after="60"/>
              <w:jc w:val="right"/>
              <w:rPr>
                <w:sz w:val="18"/>
                <w:szCs w:val="18"/>
              </w:rPr>
            </w:pPr>
            <w:r w:rsidRPr="00BD7BA1">
              <w:rPr>
                <w:sz w:val="18"/>
                <w:szCs w:val="18"/>
              </w:rPr>
              <w:t>0.00</w:t>
            </w:r>
          </w:p>
        </w:tc>
        <w:tc>
          <w:tcPr>
            <w:tcW w:w="664" w:type="pct"/>
            <w:shd w:val="clear" w:color="auto" w:fill="auto"/>
          </w:tcPr>
          <w:p w14:paraId="4464ED33" w14:textId="77777777" w:rsidR="00080621" w:rsidRPr="00BD7BA1" w:rsidRDefault="00080621" w:rsidP="00080621">
            <w:pPr>
              <w:spacing w:after="60"/>
              <w:jc w:val="right"/>
              <w:rPr>
                <w:sz w:val="18"/>
                <w:szCs w:val="18"/>
              </w:rPr>
            </w:pPr>
            <w:r w:rsidRPr="00BD7BA1">
              <w:rPr>
                <w:sz w:val="18"/>
                <w:szCs w:val="18"/>
              </w:rPr>
              <w:t>0.00</w:t>
            </w:r>
          </w:p>
        </w:tc>
        <w:tc>
          <w:tcPr>
            <w:tcW w:w="664" w:type="pct"/>
            <w:shd w:val="clear" w:color="auto" w:fill="auto"/>
          </w:tcPr>
          <w:p w14:paraId="6EECA8E6" w14:textId="77777777" w:rsidR="00080621" w:rsidRPr="00BD7BA1" w:rsidRDefault="00080621" w:rsidP="00080621">
            <w:pPr>
              <w:spacing w:after="60"/>
              <w:jc w:val="right"/>
              <w:rPr>
                <w:sz w:val="18"/>
                <w:szCs w:val="18"/>
              </w:rPr>
            </w:pPr>
            <w:r w:rsidRPr="00BD7BA1">
              <w:rPr>
                <w:sz w:val="18"/>
                <w:szCs w:val="18"/>
              </w:rPr>
              <w:t>0.00</w:t>
            </w:r>
          </w:p>
        </w:tc>
        <w:tc>
          <w:tcPr>
            <w:tcW w:w="398" w:type="pct"/>
            <w:shd w:val="clear" w:color="auto" w:fill="auto"/>
          </w:tcPr>
          <w:p w14:paraId="08186490" w14:textId="77777777" w:rsidR="00080621" w:rsidRPr="00BD7BA1" w:rsidRDefault="00080621" w:rsidP="00080621">
            <w:pPr>
              <w:spacing w:after="60"/>
              <w:jc w:val="right"/>
              <w:rPr>
                <w:sz w:val="18"/>
                <w:szCs w:val="18"/>
              </w:rPr>
            </w:pPr>
            <w:r w:rsidRPr="00BD7BA1">
              <w:rPr>
                <w:sz w:val="18"/>
                <w:szCs w:val="18"/>
              </w:rPr>
              <w:t>0.00</w:t>
            </w:r>
          </w:p>
        </w:tc>
        <w:tc>
          <w:tcPr>
            <w:tcW w:w="398" w:type="pct"/>
            <w:shd w:val="clear" w:color="auto" w:fill="auto"/>
          </w:tcPr>
          <w:p w14:paraId="2AD69618" w14:textId="77777777" w:rsidR="00080621" w:rsidRPr="00BD7BA1" w:rsidRDefault="00080621" w:rsidP="00080621">
            <w:pPr>
              <w:spacing w:after="60"/>
              <w:jc w:val="right"/>
              <w:rPr>
                <w:sz w:val="18"/>
                <w:szCs w:val="18"/>
              </w:rPr>
            </w:pPr>
            <w:r w:rsidRPr="00BD7BA1">
              <w:rPr>
                <w:sz w:val="18"/>
                <w:szCs w:val="18"/>
              </w:rPr>
              <w:t>0.00</w:t>
            </w:r>
          </w:p>
        </w:tc>
        <w:tc>
          <w:tcPr>
            <w:tcW w:w="398" w:type="pct"/>
            <w:shd w:val="clear" w:color="auto" w:fill="auto"/>
          </w:tcPr>
          <w:p w14:paraId="0548EFE3" w14:textId="77777777" w:rsidR="00080621" w:rsidRPr="00BD7BA1" w:rsidRDefault="00080621" w:rsidP="00080621">
            <w:pPr>
              <w:spacing w:after="60"/>
              <w:jc w:val="right"/>
              <w:rPr>
                <w:sz w:val="18"/>
                <w:szCs w:val="18"/>
              </w:rPr>
            </w:pPr>
            <w:r w:rsidRPr="00BD7BA1">
              <w:rPr>
                <w:sz w:val="18"/>
                <w:szCs w:val="18"/>
              </w:rPr>
              <w:t>0.00</w:t>
            </w:r>
          </w:p>
        </w:tc>
        <w:tc>
          <w:tcPr>
            <w:tcW w:w="631" w:type="pct"/>
            <w:shd w:val="clear" w:color="auto" w:fill="auto"/>
          </w:tcPr>
          <w:p w14:paraId="5A2790C9" w14:textId="77777777" w:rsidR="00080621" w:rsidRPr="00BD7BA1" w:rsidRDefault="00080621" w:rsidP="00080621">
            <w:pPr>
              <w:spacing w:after="60"/>
              <w:jc w:val="right"/>
              <w:rPr>
                <w:sz w:val="18"/>
                <w:szCs w:val="18"/>
              </w:rPr>
            </w:pPr>
            <w:r w:rsidRPr="00BD7BA1">
              <w:rPr>
                <w:sz w:val="18"/>
                <w:szCs w:val="18"/>
              </w:rPr>
              <w:t>0.00</w:t>
            </w:r>
          </w:p>
        </w:tc>
      </w:tr>
      <w:tr w:rsidR="00080621" w:rsidRPr="00BD7BA1" w14:paraId="3B44C0B9" w14:textId="77777777" w:rsidTr="00080621">
        <w:trPr>
          <w:trHeight w:val="251"/>
        </w:trPr>
        <w:tc>
          <w:tcPr>
            <w:tcW w:w="578" w:type="pct"/>
            <w:shd w:val="clear" w:color="auto" w:fill="auto"/>
          </w:tcPr>
          <w:p w14:paraId="48B7D491" w14:textId="77777777" w:rsidR="00080621" w:rsidRPr="00BD7BA1" w:rsidRDefault="00080621" w:rsidP="00080621">
            <w:pPr>
              <w:spacing w:after="60"/>
              <w:jc w:val="left"/>
              <w:rPr>
                <w:sz w:val="18"/>
                <w:szCs w:val="18"/>
              </w:rPr>
            </w:pPr>
            <w:r w:rsidRPr="00BD7BA1">
              <w:rPr>
                <w:sz w:val="18"/>
                <w:szCs w:val="18"/>
              </w:rPr>
              <w:t>HCFC-141b in imported pre</w:t>
            </w:r>
            <w:r w:rsidRPr="00BD7BA1">
              <w:rPr>
                <w:sz w:val="18"/>
                <w:szCs w:val="18"/>
              </w:rPr>
              <w:noBreakHyphen/>
              <w:t>blended polyols</w:t>
            </w:r>
          </w:p>
        </w:tc>
        <w:tc>
          <w:tcPr>
            <w:tcW w:w="423" w:type="pct"/>
            <w:shd w:val="clear" w:color="auto" w:fill="auto"/>
          </w:tcPr>
          <w:p w14:paraId="4F62AA1F" w14:textId="77777777" w:rsidR="00080621" w:rsidRPr="00BD7BA1" w:rsidRDefault="00080621" w:rsidP="00080621">
            <w:pPr>
              <w:spacing w:after="60"/>
              <w:jc w:val="right"/>
              <w:rPr>
                <w:sz w:val="18"/>
                <w:szCs w:val="18"/>
              </w:rPr>
            </w:pPr>
            <w:r w:rsidRPr="00BD7BA1">
              <w:rPr>
                <w:sz w:val="18"/>
                <w:szCs w:val="18"/>
              </w:rPr>
              <w:t>0.00</w:t>
            </w:r>
          </w:p>
        </w:tc>
        <w:tc>
          <w:tcPr>
            <w:tcW w:w="423" w:type="pct"/>
            <w:shd w:val="clear" w:color="auto" w:fill="auto"/>
          </w:tcPr>
          <w:p w14:paraId="1725533C" w14:textId="77777777" w:rsidR="00080621" w:rsidRPr="00BD7BA1" w:rsidRDefault="00BD7BA1" w:rsidP="00080621">
            <w:pPr>
              <w:spacing w:after="60"/>
              <w:jc w:val="right"/>
              <w:rPr>
                <w:sz w:val="18"/>
                <w:szCs w:val="18"/>
              </w:rPr>
            </w:pPr>
            <w:r w:rsidRPr="00BD7BA1">
              <w:rPr>
                <w:sz w:val="18"/>
                <w:szCs w:val="18"/>
              </w:rPr>
              <w:t>7.78</w:t>
            </w:r>
          </w:p>
        </w:tc>
        <w:tc>
          <w:tcPr>
            <w:tcW w:w="423" w:type="pct"/>
            <w:shd w:val="clear" w:color="auto" w:fill="auto"/>
          </w:tcPr>
          <w:p w14:paraId="0DF6F4D3" w14:textId="77777777" w:rsidR="00080621" w:rsidRPr="00BD7BA1" w:rsidRDefault="00080621" w:rsidP="00080621">
            <w:pPr>
              <w:spacing w:after="60"/>
              <w:jc w:val="right"/>
              <w:rPr>
                <w:sz w:val="18"/>
                <w:szCs w:val="18"/>
              </w:rPr>
            </w:pPr>
            <w:r w:rsidRPr="00BD7BA1">
              <w:rPr>
                <w:sz w:val="18"/>
                <w:szCs w:val="18"/>
              </w:rPr>
              <w:t>0.00</w:t>
            </w:r>
          </w:p>
        </w:tc>
        <w:tc>
          <w:tcPr>
            <w:tcW w:w="664" w:type="pct"/>
            <w:shd w:val="clear" w:color="auto" w:fill="auto"/>
          </w:tcPr>
          <w:p w14:paraId="561AF5D4" w14:textId="77777777" w:rsidR="00080621" w:rsidRPr="00BD7BA1" w:rsidRDefault="00080621" w:rsidP="00080621">
            <w:pPr>
              <w:spacing w:after="60"/>
              <w:jc w:val="right"/>
              <w:rPr>
                <w:sz w:val="18"/>
                <w:szCs w:val="18"/>
              </w:rPr>
            </w:pPr>
            <w:r w:rsidRPr="00BD7BA1">
              <w:rPr>
                <w:sz w:val="18"/>
                <w:szCs w:val="18"/>
              </w:rPr>
              <w:t>0.00</w:t>
            </w:r>
          </w:p>
        </w:tc>
        <w:tc>
          <w:tcPr>
            <w:tcW w:w="664" w:type="pct"/>
            <w:shd w:val="clear" w:color="auto" w:fill="auto"/>
          </w:tcPr>
          <w:p w14:paraId="6355A22D" w14:textId="77777777" w:rsidR="00080621" w:rsidRPr="00BD7BA1" w:rsidRDefault="00080621" w:rsidP="00080621">
            <w:pPr>
              <w:spacing w:after="60"/>
              <w:jc w:val="right"/>
              <w:rPr>
                <w:sz w:val="18"/>
                <w:szCs w:val="18"/>
              </w:rPr>
            </w:pPr>
            <w:r w:rsidRPr="00BD7BA1">
              <w:rPr>
                <w:sz w:val="18"/>
                <w:szCs w:val="18"/>
              </w:rPr>
              <w:t>0.00</w:t>
            </w:r>
          </w:p>
        </w:tc>
        <w:tc>
          <w:tcPr>
            <w:tcW w:w="398" w:type="pct"/>
            <w:shd w:val="clear" w:color="auto" w:fill="auto"/>
          </w:tcPr>
          <w:p w14:paraId="673B8238" w14:textId="77777777" w:rsidR="00080621" w:rsidRPr="00BD7BA1" w:rsidRDefault="00080621" w:rsidP="00080621">
            <w:pPr>
              <w:spacing w:after="60"/>
              <w:jc w:val="right"/>
              <w:rPr>
                <w:sz w:val="18"/>
                <w:szCs w:val="18"/>
              </w:rPr>
            </w:pPr>
            <w:r w:rsidRPr="00BD7BA1">
              <w:rPr>
                <w:sz w:val="18"/>
                <w:szCs w:val="18"/>
              </w:rPr>
              <w:t>0.00</w:t>
            </w:r>
          </w:p>
        </w:tc>
        <w:tc>
          <w:tcPr>
            <w:tcW w:w="398" w:type="pct"/>
            <w:shd w:val="clear" w:color="auto" w:fill="auto"/>
          </w:tcPr>
          <w:p w14:paraId="70FF916E" w14:textId="77777777" w:rsidR="00080621" w:rsidRPr="00BD7BA1" w:rsidRDefault="00080621" w:rsidP="00080621">
            <w:pPr>
              <w:spacing w:after="60"/>
              <w:jc w:val="right"/>
              <w:rPr>
                <w:sz w:val="18"/>
                <w:szCs w:val="18"/>
              </w:rPr>
            </w:pPr>
            <w:r w:rsidRPr="00BD7BA1">
              <w:rPr>
                <w:sz w:val="18"/>
                <w:szCs w:val="18"/>
              </w:rPr>
              <w:t>0.00</w:t>
            </w:r>
          </w:p>
        </w:tc>
        <w:tc>
          <w:tcPr>
            <w:tcW w:w="398" w:type="pct"/>
            <w:shd w:val="clear" w:color="auto" w:fill="auto"/>
          </w:tcPr>
          <w:p w14:paraId="177B292B" w14:textId="77777777" w:rsidR="00080621" w:rsidRPr="00BD7BA1" w:rsidRDefault="00080621" w:rsidP="00080621">
            <w:pPr>
              <w:spacing w:after="60"/>
              <w:jc w:val="right"/>
              <w:rPr>
                <w:sz w:val="18"/>
                <w:szCs w:val="18"/>
              </w:rPr>
            </w:pPr>
            <w:r w:rsidRPr="00BD7BA1">
              <w:rPr>
                <w:sz w:val="18"/>
                <w:szCs w:val="18"/>
              </w:rPr>
              <w:t>0.00</w:t>
            </w:r>
          </w:p>
        </w:tc>
        <w:tc>
          <w:tcPr>
            <w:tcW w:w="631" w:type="pct"/>
            <w:shd w:val="clear" w:color="auto" w:fill="auto"/>
          </w:tcPr>
          <w:p w14:paraId="6AE70201" w14:textId="77777777" w:rsidR="00080621" w:rsidRPr="00BD7BA1" w:rsidRDefault="00BD7BA1" w:rsidP="00080621">
            <w:pPr>
              <w:spacing w:after="60"/>
              <w:jc w:val="right"/>
              <w:rPr>
                <w:sz w:val="18"/>
                <w:szCs w:val="18"/>
              </w:rPr>
            </w:pPr>
            <w:r w:rsidRPr="00BD7BA1">
              <w:rPr>
                <w:sz w:val="18"/>
                <w:szCs w:val="18"/>
              </w:rPr>
              <w:t>7.78</w:t>
            </w:r>
          </w:p>
        </w:tc>
      </w:tr>
      <w:tr w:rsidR="00080621" w:rsidRPr="00136D29" w14:paraId="6C736D7B" w14:textId="77777777" w:rsidTr="00080621">
        <w:trPr>
          <w:trHeight w:val="251"/>
        </w:trPr>
        <w:tc>
          <w:tcPr>
            <w:tcW w:w="578" w:type="pct"/>
            <w:shd w:val="clear" w:color="auto" w:fill="auto"/>
          </w:tcPr>
          <w:p w14:paraId="57A24376" w14:textId="77777777" w:rsidR="00080621" w:rsidRPr="00BD7BA1" w:rsidRDefault="00080621" w:rsidP="00080621">
            <w:pPr>
              <w:spacing w:after="60"/>
              <w:jc w:val="left"/>
              <w:rPr>
                <w:sz w:val="18"/>
                <w:szCs w:val="18"/>
              </w:rPr>
            </w:pPr>
            <w:r w:rsidRPr="00BD7BA1">
              <w:rPr>
                <w:sz w:val="18"/>
                <w:szCs w:val="18"/>
              </w:rPr>
              <w:t>HCFC-142b</w:t>
            </w:r>
          </w:p>
        </w:tc>
        <w:tc>
          <w:tcPr>
            <w:tcW w:w="423" w:type="pct"/>
            <w:shd w:val="clear" w:color="auto" w:fill="auto"/>
          </w:tcPr>
          <w:p w14:paraId="0702DFEF" w14:textId="77777777" w:rsidR="00080621" w:rsidRPr="00BD7BA1" w:rsidRDefault="00080621" w:rsidP="00080621">
            <w:pPr>
              <w:spacing w:after="60"/>
              <w:jc w:val="right"/>
              <w:rPr>
                <w:sz w:val="18"/>
                <w:szCs w:val="18"/>
              </w:rPr>
            </w:pPr>
            <w:r w:rsidRPr="00BD7BA1">
              <w:rPr>
                <w:sz w:val="18"/>
                <w:szCs w:val="18"/>
              </w:rPr>
              <w:t>0.00</w:t>
            </w:r>
          </w:p>
        </w:tc>
        <w:tc>
          <w:tcPr>
            <w:tcW w:w="423" w:type="pct"/>
            <w:shd w:val="clear" w:color="auto" w:fill="auto"/>
          </w:tcPr>
          <w:p w14:paraId="1455940A" w14:textId="77777777" w:rsidR="00080621" w:rsidRPr="00BD7BA1" w:rsidRDefault="00080621" w:rsidP="00080621">
            <w:pPr>
              <w:spacing w:after="60"/>
              <w:jc w:val="right"/>
              <w:rPr>
                <w:sz w:val="18"/>
                <w:szCs w:val="18"/>
              </w:rPr>
            </w:pPr>
            <w:r w:rsidRPr="00BD7BA1">
              <w:rPr>
                <w:sz w:val="18"/>
                <w:szCs w:val="18"/>
              </w:rPr>
              <w:t>0.00</w:t>
            </w:r>
          </w:p>
        </w:tc>
        <w:tc>
          <w:tcPr>
            <w:tcW w:w="423" w:type="pct"/>
            <w:shd w:val="clear" w:color="auto" w:fill="auto"/>
          </w:tcPr>
          <w:p w14:paraId="321D10A9" w14:textId="77777777" w:rsidR="00080621" w:rsidRPr="00BD7BA1" w:rsidRDefault="00080621" w:rsidP="00080621">
            <w:pPr>
              <w:spacing w:after="60"/>
              <w:jc w:val="right"/>
              <w:rPr>
                <w:sz w:val="18"/>
                <w:szCs w:val="18"/>
              </w:rPr>
            </w:pPr>
            <w:r w:rsidRPr="00BD7BA1">
              <w:rPr>
                <w:sz w:val="18"/>
                <w:szCs w:val="18"/>
              </w:rPr>
              <w:t>0.00</w:t>
            </w:r>
          </w:p>
        </w:tc>
        <w:tc>
          <w:tcPr>
            <w:tcW w:w="664" w:type="pct"/>
            <w:shd w:val="clear" w:color="auto" w:fill="auto"/>
          </w:tcPr>
          <w:p w14:paraId="2014F2BF" w14:textId="77777777" w:rsidR="00080621" w:rsidRPr="00BD7BA1" w:rsidRDefault="00080621" w:rsidP="00080621">
            <w:pPr>
              <w:spacing w:after="60"/>
              <w:jc w:val="right"/>
              <w:rPr>
                <w:sz w:val="18"/>
                <w:szCs w:val="18"/>
              </w:rPr>
            </w:pPr>
            <w:r w:rsidRPr="00BD7BA1">
              <w:rPr>
                <w:sz w:val="18"/>
                <w:szCs w:val="18"/>
              </w:rPr>
              <w:t>0.00</w:t>
            </w:r>
          </w:p>
        </w:tc>
        <w:tc>
          <w:tcPr>
            <w:tcW w:w="664" w:type="pct"/>
            <w:shd w:val="clear" w:color="auto" w:fill="auto"/>
          </w:tcPr>
          <w:p w14:paraId="5EB14A93" w14:textId="77777777" w:rsidR="00080621" w:rsidRPr="00BD7BA1" w:rsidRDefault="00080621" w:rsidP="00080621">
            <w:pPr>
              <w:spacing w:after="60"/>
              <w:jc w:val="right"/>
              <w:rPr>
                <w:sz w:val="18"/>
                <w:szCs w:val="18"/>
              </w:rPr>
            </w:pPr>
            <w:r w:rsidRPr="00BD7BA1">
              <w:rPr>
                <w:sz w:val="18"/>
                <w:szCs w:val="18"/>
              </w:rPr>
              <w:t>0.00</w:t>
            </w:r>
          </w:p>
        </w:tc>
        <w:tc>
          <w:tcPr>
            <w:tcW w:w="398" w:type="pct"/>
            <w:shd w:val="clear" w:color="auto" w:fill="auto"/>
          </w:tcPr>
          <w:p w14:paraId="5286C44A" w14:textId="77777777" w:rsidR="00080621" w:rsidRPr="00BD7BA1" w:rsidRDefault="00080621" w:rsidP="00080621">
            <w:pPr>
              <w:spacing w:after="60"/>
              <w:jc w:val="right"/>
              <w:rPr>
                <w:sz w:val="18"/>
                <w:szCs w:val="18"/>
              </w:rPr>
            </w:pPr>
            <w:r w:rsidRPr="00BD7BA1">
              <w:rPr>
                <w:sz w:val="18"/>
                <w:szCs w:val="18"/>
              </w:rPr>
              <w:t>0.00</w:t>
            </w:r>
          </w:p>
        </w:tc>
        <w:tc>
          <w:tcPr>
            <w:tcW w:w="398" w:type="pct"/>
            <w:shd w:val="clear" w:color="auto" w:fill="auto"/>
          </w:tcPr>
          <w:p w14:paraId="17253163" w14:textId="77777777" w:rsidR="00080621" w:rsidRPr="00BD7BA1" w:rsidRDefault="00080621" w:rsidP="00080621">
            <w:pPr>
              <w:spacing w:after="60"/>
              <w:jc w:val="right"/>
              <w:rPr>
                <w:sz w:val="18"/>
                <w:szCs w:val="18"/>
              </w:rPr>
            </w:pPr>
            <w:r w:rsidRPr="00BD7BA1">
              <w:rPr>
                <w:sz w:val="18"/>
                <w:szCs w:val="18"/>
              </w:rPr>
              <w:t>0.00</w:t>
            </w:r>
          </w:p>
        </w:tc>
        <w:tc>
          <w:tcPr>
            <w:tcW w:w="398" w:type="pct"/>
            <w:shd w:val="clear" w:color="auto" w:fill="auto"/>
          </w:tcPr>
          <w:p w14:paraId="08E46907" w14:textId="77777777" w:rsidR="00080621" w:rsidRPr="00BD7BA1" w:rsidRDefault="00080621" w:rsidP="00080621">
            <w:pPr>
              <w:spacing w:after="60"/>
              <w:jc w:val="right"/>
              <w:rPr>
                <w:sz w:val="18"/>
                <w:szCs w:val="18"/>
              </w:rPr>
            </w:pPr>
            <w:r w:rsidRPr="00BD7BA1">
              <w:rPr>
                <w:sz w:val="18"/>
                <w:szCs w:val="18"/>
              </w:rPr>
              <w:t>0.00</w:t>
            </w:r>
          </w:p>
        </w:tc>
        <w:tc>
          <w:tcPr>
            <w:tcW w:w="631" w:type="pct"/>
            <w:shd w:val="clear" w:color="auto" w:fill="auto"/>
          </w:tcPr>
          <w:p w14:paraId="3D9DDEA6" w14:textId="77777777" w:rsidR="00080621" w:rsidRPr="00BD7BA1" w:rsidRDefault="00080621" w:rsidP="00080621">
            <w:pPr>
              <w:spacing w:after="60"/>
              <w:jc w:val="right"/>
              <w:rPr>
                <w:sz w:val="18"/>
                <w:szCs w:val="18"/>
              </w:rPr>
            </w:pPr>
            <w:r w:rsidRPr="00BD7BA1">
              <w:rPr>
                <w:sz w:val="18"/>
                <w:szCs w:val="18"/>
              </w:rPr>
              <w:t>0.00</w:t>
            </w:r>
          </w:p>
        </w:tc>
      </w:tr>
    </w:tbl>
    <w:p w14:paraId="233BE618" w14:textId="77777777" w:rsidR="00080621" w:rsidRPr="00136D29" w:rsidRDefault="00080621" w:rsidP="00080621">
      <w:pPr>
        <w:spacing w:after="60"/>
        <w:jc w:val="center"/>
        <w:rPr>
          <w:sz w:val="18"/>
          <w:szCs w:val="18"/>
          <w:u w:val="single"/>
        </w:rPr>
      </w:pPr>
    </w:p>
    <w:tbl>
      <w:tblPr>
        <w:tblStyle w:val="TableGrid"/>
        <w:tblW w:w="10094" w:type="dxa"/>
        <w:tblInd w:w="-3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3545"/>
        <w:gridCol w:w="998"/>
        <w:gridCol w:w="4530"/>
        <w:gridCol w:w="1021"/>
      </w:tblGrid>
      <w:tr w:rsidR="00080621" w:rsidRPr="00136D29" w14:paraId="5D19C86A" w14:textId="77777777" w:rsidTr="00080621">
        <w:trPr>
          <w:trHeight w:val="236"/>
        </w:trPr>
        <w:tc>
          <w:tcPr>
            <w:tcW w:w="10094" w:type="dxa"/>
            <w:gridSpan w:val="4"/>
            <w:tcBorders>
              <w:top w:val="single" w:sz="4" w:space="0" w:color="666699"/>
              <w:left w:val="single" w:sz="4" w:space="0" w:color="666699"/>
              <w:bottom w:val="single" w:sz="4" w:space="0" w:color="666699"/>
              <w:right w:val="single" w:sz="4" w:space="0" w:color="666699"/>
            </w:tcBorders>
            <w:hideMark/>
          </w:tcPr>
          <w:p w14:paraId="4BF6FB76" w14:textId="77777777" w:rsidR="00080621" w:rsidRPr="00136D29" w:rsidRDefault="00080621" w:rsidP="00080621">
            <w:pPr>
              <w:spacing w:after="60"/>
              <w:jc w:val="left"/>
              <w:rPr>
                <w:b/>
                <w:sz w:val="18"/>
                <w:szCs w:val="18"/>
              </w:rPr>
            </w:pPr>
            <w:r w:rsidRPr="00136D29">
              <w:rPr>
                <w:b/>
                <w:sz w:val="18"/>
                <w:szCs w:val="18"/>
              </w:rPr>
              <w:t xml:space="preserve"> (IV) CONSUMPTION DATA (ODP tonnes)</w:t>
            </w:r>
          </w:p>
        </w:tc>
      </w:tr>
      <w:tr w:rsidR="00080621" w:rsidRPr="00136D29" w14:paraId="542E3BB5" w14:textId="77777777" w:rsidTr="00080621">
        <w:trPr>
          <w:trHeight w:val="236"/>
        </w:trPr>
        <w:tc>
          <w:tcPr>
            <w:tcW w:w="3545" w:type="dxa"/>
            <w:tcBorders>
              <w:top w:val="single" w:sz="4" w:space="0" w:color="666699"/>
              <w:left w:val="single" w:sz="4" w:space="0" w:color="666699"/>
              <w:bottom w:val="single" w:sz="4" w:space="0" w:color="666699"/>
              <w:right w:val="single" w:sz="4" w:space="0" w:color="666699"/>
            </w:tcBorders>
            <w:hideMark/>
          </w:tcPr>
          <w:p w14:paraId="412A6F96" w14:textId="77777777" w:rsidR="00080621" w:rsidRPr="00136D29" w:rsidRDefault="00080621" w:rsidP="00080621">
            <w:pPr>
              <w:spacing w:after="60"/>
              <w:jc w:val="center"/>
              <w:rPr>
                <w:sz w:val="18"/>
                <w:szCs w:val="18"/>
              </w:rPr>
            </w:pPr>
            <w:r>
              <w:rPr>
                <w:sz w:val="18"/>
                <w:szCs w:val="18"/>
              </w:rPr>
              <w:t>2009-</w:t>
            </w:r>
            <w:r w:rsidRPr="00136D29">
              <w:rPr>
                <w:sz w:val="18"/>
                <w:szCs w:val="18"/>
              </w:rPr>
              <w:t>2010 baseline:</w:t>
            </w:r>
          </w:p>
        </w:tc>
        <w:tc>
          <w:tcPr>
            <w:tcW w:w="998" w:type="dxa"/>
            <w:tcBorders>
              <w:top w:val="single" w:sz="4" w:space="0" w:color="666699"/>
              <w:left w:val="single" w:sz="4" w:space="0" w:color="666699"/>
              <w:bottom w:val="single" w:sz="4" w:space="0" w:color="666699"/>
              <w:right w:val="single" w:sz="4" w:space="0" w:color="666699"/>
            </w:tcBorders>
            <w:hideMark/>
          </w:tcPr>
          <w:p w14:paraId="1407A89C" w14:textId="77777777" w:rsidR="00080621" w:rsidRPr="00136D29" w:rsidRDefault="00080621" w:rsidP="00080621">
            <w:pPr>
              <w:spacing w:after="60"/>
              <w:jc w:val="right"/>
              <w:rPr>
                <w:sz w:val="18"/>
                <w:szCs w:val="18"/>
              </w:rPr>
            </w:pPr>
            <w:r w:rsidRPr="00136D29">
              <w:rPr>
                <w:sz w:val="18"/>
                <w:szCs w:val="18"/>
              </w:rPr>
              <w:t>24.8</w:t>
            </w:r>
            <w:r>
              <w:rPr>
                <w:sz w:val="18"/>
                <w:szCs w:val="18"/>
              </w:rPr>
              <w:t>0</w:t>
            </w:r>
          </w:p>
        </w:tc>
        <w:tc>
          <w:tcPr>
            <w:tcW w:w="4530" w:type="dxa"/>
            <w:tcBorders>
              <w:top w:val="single" w:sz="4" w:space="0" w:color="666699"/>
              <w:left w:val="single" w:sz="4" w:space="0" w:color="666699"/>
              <w:bottom w:val="single" w:sz="4" w:space="0" w:color="666699"/>
              <w:right w:val="single" w:sz="4" w:space="0" w:color="666699"/>
            </w:tcBorders>
            <w:hideMark/>
          </w:tcPr>
          <w:p w14:paraId="04DC175B" w14:textId="77777777" w:rsidR="00080621" w:rsidRPr="00136D29" w:rsidRDefault="00080621" w:rsidP="00080621">
            <w:pPr>
              <w:spacing w:after="60"/>
              <w:jc w:val="center"/>
              <w:rPr>
                <w:sz w:val="18"/>
                <w:szCs w:val="18"/>
              </w:rPr>
            </w:pPr>
            <w:r w:rsidRPr="00136D29">
              <w:rPr>
                <w:sz w:val="18"/>
                <w:szCs w:val="18"/>
              </w:rPr>
              <w:t>Starting point for sustained aggregate reductions:</w:t>
            </w:r>
          </w:p>
        </w:tc>
        <w:tc>
          <w:tcPr>
            <w:tcW w:w="1021" w:type="dxa"/>
            <w:tcBorders>
              <w:top w:val="single" w:sz="4" w:space="0" w:color="666699"/>
              <w:left w:val="single" w:sz="4" w:space="0" w:color="666699"/>
              <w:bottom w:val="single" w:sz="4" w:space="0" w:color="666699"/>
              <w:right w:val="single" w:sz="4" w:space="0" w:color="666699"/>
            </w:tcBorders>
          </w:tcPr>
          <w:p w14:paraId="0A78B7C2" w14:textId="77777777" w:rsidR="00080621" w:rsidRPr="00136D29" w:rsidRDefault="00080621" w:rsidP="00080621">
            <w:pPr>
              <w:spacing w:after="60"/>
              <w:jc w:val="right"/>
              <w:rPr>
                <w:sz w:val="18"/>
                <w:szCs w:val="18"/>
              </w:rPr>
            </w:pPr>
            <w:r w:rsidRPr="00136D29">
              <w:rPr>
                <w:sz w:val="18"/>
                <w:szCs w:val="18"/>
              </w:rPr>
              <w:t>27.28</w:t>
            </w:r>
          </w:p>
        </w:tc>
      </w:tr>
      <w:tr w:rsidR="00080621" w:rsidRPr="00136D29" w14:paraId="26E4BC1B" w14:textId="77777777" w:rsidTr="00080621">
        <w:trPr>
          <w:trHeight w:val="236"/>
        </w:trPr>
        <w:tc>
          <w:tcPr>
            <w:tcW w:w="10094" w:type="dxa"/>
            <w:gridSpan w:val="4"/>
            <w:tcBorders>
              <w:top w:val="single" w:sz="4" w:space="0" w:color="666699"/>
              <w:left w:val="single" w:sz="4" w:space="0" w:color="666699"/>
              <w:bottom w:val="single" w:sz="4" w:space="0" w:color="666699"/>
              <w:right w:val="single" w:sz="4" w:space="0" w:color="666699"/>
            </w:tcBorders>
            <w:hideMark/>
          </w:tcPr>
          <w:p w14:paraId="0CB56B5E" w14:textId="77777777" w:rsidR="00080621" w:rsidRPr="00136D29" w:rsidRDefault="00080621" w:rsidP="00080621">
            <w:pPr>
              <w:spacing w:after="60"/>
              <w:jc w:val="center"/>
              <w:rPr>
                <w:b/>
                <w:sz w:val="18"/>
                <w:szCs w:val="18"/>
              </w:rPr>
            </w:pPr>
            <w:r w:rsidRPr="00136D29">
              <w:rPr>
                <w:b/>
                <w:sz w:val="18"/>
                <w:szCs w:val="18"/>
              </w:rPr>
              <w:t>CONSUMPTION ELIGIBLE FOR FUNDING (ODP tonnes)</w:t>
            </w:r>
          </w:p>
        </w:tc>
      </w:tr>
      <w:tr w:rsidR="00080621" w:rsidRPr="00136D29" w14:paraId="0F7D84CF" w14:textId="77777777" w:rsidTr="00080621">
        <w:trPr>
          <w:trHeight w:val="236"/>
        </w:trPr>
        <w:tc>
          <w:tcPr>
            <w:tcW w:w="3545" w:type="dxa"/>
            <w:tcBorders>
              <w:top w:val="single" w:sz="4" w:space="0" w:color="666699"/>
              <w:left w:val="single" w:sz="4" w:space="0" w:color="666699"/>
              <w:bottom w:val="single" w:sz="4" w:space="0" w:color="666699"/>
              <w:right w:val="single" w:sz="4" w:space="0" w:color="666699"/>
            </w:tcBorders>
            <w:hideMark/>
          </w:tcPr>
          <w:p w14:paraId="3011322C" w14:textId="77777777" w:rsidR="00080621" w:rsidRPr="00136D29" w:rsidRDefault="00080621" w:rsidP="00080621">
            <w:pPr>
              <w:spacing w:after="60"/>
              <w:jc w:val="center"/>
              <w:rPr>
                <w:sz w:val="18"/>
                <w:szCs w:val="18"/>
              </w:rPr>
            </w:pPr>
            <w:r w:rsidRPr="00136D29">
              <w:rPr>
                <w:sz w:val="18"/>
                <w:szCs w:val="18"/>
              </w:rPr>
              <w:t>Already approved:</w:t>
            </w:r>
          </w:p>
        </w:tc>
        <w:tc>
          <w:tcPr>
            <w:tcW w:w="998" w:type="dxa"/>
            <w:tcBorders>
              <w:top w:val="single" w:sz="4" w:space="0" w:color="666699"/>
              <w:left w:val="single" w:sz="4" w:space="0" w:color="666699"/>
              <w:bottom w:val="single" w:sz="4" w:space="0" w:color="666699"/>
              <w:right w:val="single" w:sz="4" w:space="0" w:color="666699"/>
            </w:tcBorders>
            <w:hideMark/>
          </w:tcPr>
          <w:p w14:paraId="1EBE9E13" w14:textId="77777777" w:rsidR="00080621" w:rsidRPr="00136D29" w:rsidRDefault="00080621" w:rsidP="00080621">
            <w:pPr>
              <w:spacing w:after="60"/>
              <w:jc w:val="right"/>
              <w:rPr>
                <w:sz w:val="18"/>
                <w:szCs w:val="18"/>
              </w:rPr>
            </w:pPr>
            <w:r>
              <w:rPr>
                <w:sz w:val="18"/>
                <w:szCs w:val="18"/>
              </w:rPr>
              <w:t>13.89</w:t>
            </w:r>
          </w:p>
        </w:tc>
        <w:tc>
          <w:tcPr>
            <w:tcW w:w="4530" w:type="dxa"/>
            <w:tcBorders>
              <w:top w:val="single" w:sz="4" w:space="0" w:color="666699"/>
              <w:left w:val="single" w:sz="4" w:space="0" w:color="666699"/>
              <w:bottom w:val="single" w:sz="4" w:space="0" w:color="666699"/>
              <w:right w:val="single" w:sz="4" w:space="0" w:color="666699"/>
            </w:tcBorders>
            <w:hideMark/>
          </w:tcPr>
          <w:p w14:paraId="11C2FB73" w14:textId="77777777" w:rsidR="00080621" w:rsidRPr="00136D29" w:rsidRDefault="00080621" w:rsidP="00080621">
            <w:pPr>
              <w:spacing w:after="60"/>
              <w:jc w:val="center"/>
              <w:rPr>
                <w:sz w:val="18"/>
                <w:szCs w:val="18"/>
              </w:rPr>
            </w:pPr>
            <w:r w:rsidRPr="00136D29">
              <w:rPr>
                <w:sz w:val="18"/>
                <w:szCs w:val="18"/>
              </w:rPr>
              <w:t>Remaining:</w:t>
            </w:r>
          </w:p>
        </w:tc>
        <w:tc>
          <w:tcPr>
            <w:tcW w:w="1021" w:type="dxa"/>
            <w:tcBorders>
              <w:top w:val="single" w:sz="4" w:space="0" w:color="666699"/>
              <w:left w:val="single" w:sz="4" w:space="0" w:color="666699"/>
              <w:bottom w:val="single" w:sz="4" w:space="0" w:color="666699"/>
              <w:right w:val="single" w:sz="4" w:space="0" w:color="666699"/>
            </w:tcBorders>
          </w:tcPr>
          <w:p w14:paraId="00351544" w14:textId="77777777" w:rsidR="00080621" w:rsidRPr="00136D29" w:rsidRDefault="00080621" w:rsidP="00080621">
            <w:pPr>
              <w:spacing w:after="60"/>
              <w:jc w:val="right"/>
              <w:rPr>
                <w:sz w:val="18"/>
                <w:szCs w:val="18"/>
              </w:rPr>
            </w:pPr>
            <w:r>
              <w:rPr>
                <w:sz w:val="18"/>
                <w:szCs w:val="18"/>
              </w:rPr>
              <w:t>13.39</w:t>
            </w:r>
          </w:p>
        </w:tc>
      </w:tr>
    </w:tbl>
    <w:p w14:paraId="5D5CA808" w14:textId="77777777" w:rsidR="00080621" w:rsidRPr="00136D29" w:rsidRDefault="00080621" w:rsidP="00080621">
      <w:pPr>
        <w:spacing w:after="60"/>
        <w:jc w:val="center"/>
        <w:rPr>
          <w:sz w:val="18"/>
          <w:szCs w:val="18"/>
        </w:rPr>
      </w:pPr>
    </w:p>
    <w:tbl>
      <w:tblPr>
        <w:tblStyle w:val="TableGrid"/>
        <w:tblW w:w="5402" w:type="pct"/>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V w:val="single" w:sz="4" w:space="0" w:color="595959" w:themeColor="text1" w:themeTint="A6"/>
        </w:tblBorders>
        <w:tblLook w:val="04A0" w:firstRow="1" w:lastRow="0" w:firstColumn="1" w:lastColumn="0" w:noHBand="0" w:noVBand="1"/>
      </w:tblPr>
      <w:tblGrid>
        <w:gridCol w:w="1897"/>
        <w:gridCol w:w="3491"/>
        <w:gridCol w:w="2170"/>
        <w:gridCol w:w="2544"/>
      </w:tblGrid>
      <w:tr w:rsidR="00080621" w:rsidRPr="00136D29" w14:paraId="1F9D676A" w14:textId="77777777" w:rsidTr="00080621">
        <w:trPr>
          <w:trHeight w:val="230"/>
        </w:trPr>
        <w:tc>
          <w:tcPr>
            <w:tcW w:w="2667" w:type="pct"/>
            <w:gridSpan w:val="2"/>
            <w:hideMark/>
          </w:tcPr>
          <w:p w14:paraId="46A710E8" w14:textId="77777777" w:rsidR="00080621" w:rsidRPr="00136D29" w:rsidRDefault="00080621" w:rsidP="00080621">
            <w:pPr>
              <w:spacing w:after="60"/>
              <w:jc w:val="left"/>
              <w:rPr>
                <w:b/>
                <w:sz w:val="18"/>
                <w:szCs w:val="18"/>
              </w:rPr>
            </w:pPr>
            <w:r w:rsidRPr="00136D29">
              <w:rPr>
                <w:b/>
                <w:sz w:val="18"/>
                <w:szCs w:val="18"/>
              </w:rPr>
              <w:t xml:space="preserve"> (V) BUSINESS PLAN</w:t>
            </w:r>
          </w:p>
        </w:tc>
        <w:tc>
          <w:tcPr>
            <w:tcW w:w="1074" w:type="pct"/>
          </w:tcPr>
          <w:p w14:paraId="124063B5" w14:textId="77777777" w:rsidR="00080621" w:rsidRPr="00136D29" w:rsidRDefault="00080621" w:rsidP="00080621">
            <w:pPr>
              <w:spacing w:after="60"/>
              <w:jc w:val="center"/>
              <w:rPr>
                <w:b/>
                <w:sz w:val="18"/>
                <w:szCs w:val="18"/>
              </w:rPr>
            </w:pPr>
            <w:r w:rsidRPr="00136D29">
              <w:rPr>
                <w:b/>
                <w:sz w:val="18"/>
                <w:szCs w:val="18"/>
              </w:rPr>
              <w:t>2020</w:t>
            </w:r>
          </w:p>
        </w:tc>
        <w:tc>
          <w:tcPr>
            <w:tcW w:w="1259" w:type="pct"/>
          </w:tcPr>
          <w:p w14:paraId="4B3DDEE9" w14:textId="77777777" w:rsidR="00080621" w:rsidRPr="00136D29" w:rsidRDefault="00080621" w:rsidP="00080621">
            <w:pPr>
              <w:spacing w:after="60"/>
              <w:jc w:val="center"/>
              <w:rPr>
                <w:b/>
                <w:sz w:val="18"/>
                <w:szCs w:val="18"/>
              </w:rPr>
            </w:pPr>
            <w:r w:rsidRPr="00136D29">
              <w:rPr>
                <w:b/>
                <w:sz w:val="18"/>
                <w:szCs w:val="18"/>
              </w:rPr>
              <w:t>Total</w:t>
            </w:r>
          </w:p>
        </w:tc>
      </w:tr>
      <w:tr w:rsidR="00080621" w:rsidRPr="00136D29" w14:paraId="0031E2CB" w14:textId="77777777" w:rsidTr="00562CC1">
        <w:trPr>
          <w:trHeight w:val="230"/>
        </w:trPr>
        <w:tc>
          <w:tcPr>
            <w:tcW w:w="939" w:type="pct"/>
            <w:vMerge w:val="restart"/>
            <w:vAlign w:val="center"/>
            <w:hideMark/>
          </w:tcPr>
          <w:p w14:paraId="74950E05" w14:textId="77777777" w:rsidR="00080621" w:rsidRPr="00136D29" w:rsidRDefault="00080621" w:rsidP="00080621">
            <w:pPr>
              <w:spacing w:after="60"/>
              <w:jc w:val="left"/>
              <w:rPr>
                <w:sz w:val="18"/>
                <w:szCs w:val="18"/>
              </w:rPr>
            </w:pPr>
            <w:r w:rsidRPr="00136D29">
              <w:rPr>
                <w:sz w:val="18"/>
                <w:szCs w:val="18"/>
              </w:rPr>
              <w:t>UNDP</w:t>
            </w:r>
          </w:p>
        </w:tc>
        <w:tc>
          <w:tcPr>
            <w:tcW w:w="1728" w:type="pct"/>
            <w:hideMark/>
          </w:tcPr>
          <w:p w14:paraId="1547BEB8" w14:textId="77777777" w:rsidR="00080621" w:rsidRPr="00136D29" w:rsidRDefault="00080621" w:rsidP="00080621">
            <w:pPr>
              <w:spacing w:after="60"/>
              <w:jc w:val="left"/>
              <w:rPr>
                <w:sz w:val="18"/>
                <w:szCs w:val="18"/>
              </w:rPr>
            </w:pPr>
            <w:r w:rsidRPr="00136D29">
              <w:rPr>
                <w:sz w:val="18"/>
                <w:szCs w:val="18"/>
              </w:rPr>
              <w:t>ODS phase-out (ODP tonnes)</w:t>
            </w:r>
          </w:p>
        </w:tc>
        <w:tc>
          <w:tcPr>
            <w:tcW w:w="1074" w:type="pct"/>
          </w:tcPr>
          <w:p w14:paraId="7C6C57B5" w14:textId="77777777" w:rsidR="00080621" w:rsidRPr="00136D29" w:rsidRDefault="00080621" w:rsidP="00080621">
            <w:pPr>
              <w:spacing w:after="60"/>
              <w:jc w:val="right"/>
              <w:rPr>
                <w:sz w:val="18"/>
                <w:szCs w:val="18"/>
              </w:rPr>
            </w:pPr>
            <w:r>
              <w:rPr>
                <w:sz w:val="18"/>
                <w:szCs w:val="18"/>
              </w:rPr>
              <w:t>0</w:t>
            </w:r>
            <w:r w:rsidRPr="00136D29">
              <w:rPr>
                <w:sz w:val="18"/>
                <w:szCs w:val="18"/>
              </w:rPr>
              <w:t>.</w:t>
            </w:r>
            <w:r>
              <w:rPr>
                <w:sz w:val="18"/>
                <w:szCs w:val="18"/>
              </w:rPr>
              <w:t>92</w:t>
            </w:r>
          </w:p>
        </w:tc>
        <w:tc>
          <w:tcPr>
            <w:tcW w:w="1259" w:type="pct"/>
          </w:tcPr>
          <w:p w14:paraId="636DA3CD" w14:textId="77777777" w:rsidR="00080621" w:rsidRPr="00136D29" w:rsidRDefault="00080621" w:rsidP="00080621">
            <w:pPr>
              <w:spacing w:after="60"/>
              <w:jc w:val="right"/>
              <w:rPr>
                <w:sz w:val="18"/>
                <w:szCs w:val="18"/>
              </w:rPr>
            </w:pPr>
            <w:r>
              <w:rPr>
                <w:sz w:val="18"/>
                <w:szCs w:val="18"/>
              </w:rPr>
              <w:t>0</w:t>
            </w:r>
            <w:r w:rsidRPr="00136D29">
              <w:rPr>
                <w:sz w:val="18"/>
                <w:szCs w:val="18"/>
              </w:rPr>
              <w:t>.</w:t>
            </w:r>
            <w:r>
              <w:rPr>
                <w:sz w:val="18"/>
                <w:szCs w:val="18"/>
              </w:rPr>
              <w:t>92</w:t>
            </w:r>
          </w:p>
        </w:tc>
      </w:tr>
      <w:tr w:rsidR="00080621" w:rsidRPr="00136D29" w14:paraId="00BC58A2" w14:textId="77777777" w:rsidTr="00080621">
        <w:trPr>
          <w:trHeight w:val="230"/>
        </w:trPr>
        <w:tc>
          <w:tcPr>
            <w:tcW w:w="939" w:type="pct"/>
            <w:vMerge/>
            <w:vAlign w:val="center"/>
            <w:hideMark/>
          </w:tcPr>
          <w:p w14:paraId="14D627C4" w14:textId="77777777" w:rsidR="00080621" w:rsidRPr="00136D29" w:rsidRDefault="00080621" w:rsidP="00080621">
            <w:pPr>
              <w:jc w:val="left"/>
              <w:rPr>
                <w:sz w:val="18"/>
                <w:szCs w:val="18"/>
              </w:rPr>
            </w:pPr>
          </w:p>
        </w:tc>
        <w:tc>
          <w:tcPr>
            <w:tcW w:w="1728" w:type="pct"/>
            <w:hideMark/>
          </w:tcPr>
          <w:p w14:paraId="76C04F83" w14:textId="3740EE8E" w:rsidR="00080621" w:rsidRPr="00136D29" w:rsidRDefault="00080621" w:rsidP="00080621">
            <w:pPr>
              <w:spacing w:after="60"/>
              <w:jc w:val="left"/>
              <w:rPr>
                <w:sz w:val="18"/>
                <w:szCs w:val="18"/>
              </w:rPr>
            </w:pPr>
            <w:r w:rsidRPr="00136D29">
              <w:rPr>
                <w:sz w:val="18"/>
                <w:szCs w:val="18"/>
              </w:rPr>
              <w:t>Funding (</w:t>
            </w:r>
            <w:r w:rsidR="002D2FCF">
              <w:rPr>
                <w:sz w:val="18"/>
                <w:szCs w:val="18"/>
              </w:rPr>
              <w:t>US $</w:t>
            </w:r>
            <w:r w:rsidRPr="00136D29">
              <w:rPr>
                <w:sz w:val="18"/>
                <w:szCs w:val="18"/>
              </w:rPr>
              <w:t>)</w:t>
            </w:r>
          </w:p>
        </w:tc>
        <w:tc>
          <w:tcPr>
            <w:tcW w:w="1074" w:type="pct"/>
          </w:tcPr>
          <w:p w14:paraId="4AB73D78" w14:textId="77777777" w:rsidR="00080621" w:rsidRPr="00136D29" w:rsidRDefault="00080621" w:rsidP="00080621">
            <w:pPr>
              <w:spacing w:after="60"/>
              <w:jc w:val="right"/>
              <w:rPr>
                <w:sz w:val="18"/>
                <w:szCs w:val="18"/>
              </w:rPr>
            </w:pPr>
            <w:r>
              <w:rPr>
                <w:sz w:val="18"/>
                <w:szCs w:val="18"/>
              </w:rPr>
              <w:t>77</w:t>
            </w:r>
            <w:r w:rsidRPr="00136D29">
              <w:rPr>
                <w:sz w:val="18"/>
                <w:szCs w:val="18"/>
              </w:rPr>
              <w:t>,8</w:t>
            </w:r>
            <w:r>
              <w:rPr>
                <w:sz w:val="18"/>
                <w:szCs w:val="18"/>
              </w:rPr>
              <w:t>47</w:t>
            </w:r>
          </w:p>
        </w:tc>
        <w:tc>
          <w:tcPr>
            <w:tcW w:w="1259" w:type="pct"/>
          </w:tcPr>
          <w:p w14:paraId="72BE11C3" w14:textId="77777777" w:rsidR="00080621" w:rsidRPr="00136D29" w:rsidRDefault="00080621" w:rsidP="00080621">
            <w:pPr>
              <w:spacing w:after="60"/>
              <w:jc w:val="right"/>
              <w:rPr>
                <w:sz w:val="18"/>
                <w:szCs w:val="18"/>
              </w:rPr>
            </w:pPr>
            <w:r>
              <w:rPr>
                <w:sz w:val="18"/>
                <w:szCs w:val="18"/>
              </w:rPr>
              <w:t>77</w:t>
            </w:r>
            <w:r w:rsidRPr="00136D29">
              <w:rPr>
                <w:sz w:val="18"/>
                <w:szCs w:val="18"/>
              </w:rPr>
              <w:t>,8</w:t>
            </w:r>
            <w:r>
              <w:rPr>
                <w:sz w:val="18"/>
                <w:szCs w:val="18"/>
              </w:rPr>
              <w:t>47</w:t>
            </w:r>
          </w:p>
        </w:tc>
      </w:tr>
    </w:tbl>
    <w:p w14:paraId="54A0FCD1" w14:textId="77777777" w:rsidR="00080621" w:rsidRPr="00136D29" w:rsidRDefault="00080621" w:rsidP="00080621">
      <w:pPr>
        <w:spacing w:after="60"/>
        <w:jc w:val="center"/>
        <w:rPr>
          <w:sz w:val="18"/>
          <w:szCs w:val="18"/>
        </w:rPr>
      </w:pPr>
    </w:p>
    <w:tbl>
      <w:tblPr>
        <w:tblStyle w:val="TableGrid"/>
        <w:tblW w:w="5421" w:type="pct"/>
        <w:tblInd w:w="-36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625"/>
        <w:gridCol w:w="911"/>
        <w:gridCol w:w="1247"/>
        <w:gridCol w:w="1058"/>
        <w:gridCol w:w="1060"/>
        <w:gridCol w:w="1058"/>
        <w:gridCol w:w="1060"/>
        <w:gridCol w:w="1058"/>
        <w:gridCol w:w="1060"/>
      </w:tblGrid>
      <w:tr w:rsidR="00080621" w:rsidRPr="00136D29" w14:paraId="4122A595" w14:textId="77777777" w:rsidTr="002D2FCF">
        <w:tc>
          <w:tcPr>
            <w:tcW w:w="1864" w:type="pct"/>
            <w:gridSpan w:val="3"/>
            <w:tcBorders>
              <w:top w:val="single" w:sz="4" w:space="0" w:color="666699"/>
              <w:left w:val="single" w:sz="4" w:space="0" w:color="666699"/>
              <w:bottom w:val="single" w:sz="4" w:space="0" w:color="666699"/>
              <w:right w:val="single" w:sz="4" w:space="0" w:color="666699"/>
            </w:tcBorders>
            <w:hideMark/>
          </w:tcPr>
          <w:p w14:paraId="3F0FC015" w14:textId="77777777" w:rsidR="00080621" w:rsidRPr="00136D29" w:rsidRDefault="00080621" w:rsidP="00080621">
            <w:pPr>
              <w:spacing w:after="60"/>
              <w:jc w:val="left"/>
              <w:rPr>
                <w:b/>
                <w:sz w:val="18"/>
                <w:szCs w:val="18"/>
              </w:rPr>
            </w:pPr>
            <w:r w:rsidRPr="00136D29">
              <w:rPr>
                <w:b/>
                <w:sz w:val="18"/>
                <w:szCs w:val="18"/>
              </w:rPr>
              <w:t xml:space="preserve"> (VI) PROJECT DATA</w:t>
            </w:r>
          </w:p>
        </w:tc>
        <w:tc>
          <w:tcPr>
            <w:tcW w:w="522" w:type="pct"/>
            <w:tcBorders>
              <w:top w:val="single" w:sz="4" w:space="0" w:color="666699"/>
              <w:left w:val="single" w:sz="4" w:space="0" w:color="666699"/>
              <w:bottom w:val="single" w:sz="4" w:space="0" w:color="666699"/>
              <w:right w:val="single" w:sz="4" w:space="0" w:color="666699"/>
            </w:tcBorders>
            <w:hideMark/>
          </w:tcPr>
          <w:p w14:paraId="5A48C8FC" w14:textId="77777777" w:rsidR="00080621" w:rsidRPr="00136D29" w:rsidRDefault="00080621" w:rsidP="00080621">
            <w:pPr>
              <w:spacing w:after="60"/>
              <w:jc w:val="center"/>
              <w:rPr>
                <w:b/>
                <w:sz w:val="18"/>
                <w:szCs w:val="18"/>
              </w:rPr>
            </w:pPr>
            <w:r w:rsidRPr="00136D29">
              <w:rPr>
                <w:b/>
                <w:sz w:val="18"/>
                <w:szCs w:val="18"/>
              </w:rPr>
              <w:t>2016</w:t>
            </w:r>
          </w:p>
        </w:tc>
        <w:tc>
          <w:tcPr>
            <w:tcW w:w="523" w:type="pct"/>
            <w:tcBorders>
              <w:top w:val="single" w:sz="4" w:space="0" w:color="666699"/>
              <w:left w:val="single" w:sz="4" w:space="0" w:color="666699"/>
              <w:bottom w:val="single" w:sz="4" w:space="0" w:color="666699"/>
              <w:right w:val="single" w:sz="4" w:space="0" w:color="666699"/>
            </w:tcBorders>
            <w:hideMark/>
          </w:tcPr>
          <w:p w14:paraId="35533FD8" w14:textId="77777777" w:rsidR="00080621" w:rsidRPr="00136D29" w:rsidRDefault="00080621" w:rsidP="00080621">
            <w:pPr>
              <w:spacing w:after="60"/>
              <w:jc w:val="center"/>
              <w:rPr>
                <w:b/>
                <w:sz w:val="18"/>
                <w:szCs w:val="18"/>
              </w:rPr>
            </w:pPr>
            <w:r w:rsidRPr="00136D29">
              <w:rPr>
                <w:b/>
                <w:sz w:val="18"/>
                <w:szCs w:val="18"/>
              </w:rPr>
              <w:t>2017</w:t>
            </w:r>
          </w:p>
        </w:tc>
        <w:tc>
          <w:tcPr>
            <w:tcW w:w="522" w:type="pct"/>
            <w:tcBorders>
              <w:top w:val="single" w:sz="4" w:space="0" w:color="666699"/>
              <w:left w:val="single" w:sz="4" w:space="0" w:color="666699"/>
              <w:bottom w:val="single" w:sz="4" w:space="0" w:color="666699"/>
              <w:right w:val="single" w:sz="4" w:space="0" w:color="666699"/>
            </w:tcBorders>
            <w:hideMark/>
          </w:tcPr>
          <w:p w14:paraId="55C50235" w14:textId="77777777" w:rsidR="00080621" w:rsidRPr="00136D29" w:rsidRDefault="00080621" w:rsidP="00080621">
            <w:pPr>
              <w:spacing w:after="60"/>
              <w:jc w:val="center"/>
              <w:rPr>
                <w:b/>
                <w:sz w:val="18"/>
                <w:szCs w:val="18"/>
              </w:rPr>
            </w:pPr>
            <w:r w:rsidRPr="00136D29">
              <w:rPr>
                <w:b/>
                <w:sz w:val="18"/>
                <w:szCs w:val="18"/>
              </w:rPr>
              <w:t>2018</w:t>
            </w:r>
          </w:p>
        </w:tc>
        <w:tc>
          <w:tcPr>
            <w:tcW w:w="523" w:type="pct"/>
            <w:tcBorders>
              <w:top w:val="single" w:sz="4" w:space="0" w:color="666699"/>
              <w:left w:val="single" w:sz="4" w:space="0" w:color="666699"/>
              <w:bottom w:val="single" w:sz="4" w:space="0" w:color="666699"/>
              <w:right w:val="single" w:sz="4" w:space="0" w:color="666699"/>
            </w:tcBorders>
            <w:hideMark/>
          </w:tcPr>
          <w:p w14:paraId="01F282B3" w14:textId="77777777" w:rsidR="00080621" w:rsidRPr="00136D29" w:rsidRDefault="00080621" w:rsidP="00080621">
            <w:pPr>
              <w:spacing w:after="60"/>
              <w:jc w:val="center"/>
              <w:rPr>
                <w:b/>
                <w:sz w:val="18"/>
                <w:szCs w:val="18"/>
              </w:rPr>
            </w:pPr>
            <w:r w:rsidRPr="00136D29">
              <w:rPr>
                <w:b/>
                <w:sz w:val="18"/>
                <w:szCs w:val="18"/>
              </w:rPr>
              <w:t>2019</w:t>
            </w:r>
          </w:p>
        </w:tc>
        <w:tc>
          <w:tcPr>
            <w:tcW w:w="522" w:type="pct"/>
            <w:tcBorders>
              <w:top w:val="single" w:sz="4" w:space="0" w:color="666699"/>
              <w:left w:val="single" w:sz="4" w:space="0" w:color="666699"/>
              <w:bottom w:val="single" w:sz="4" w:space="0" w:color="666699"/>
              <w:right w:val="single" w:sz="4" w:space="0" w:color="666699"/>
            </w:tcBorders>
          </w:tcPr>
          <w:p w14:paraId="4F8CBF87" w14:textId="77777777" w:rsidR="00080621" w:rsidRPr="00136D29" w:rsidRDefault="00080621" w:rsidP="00080621">
            <w:pPr>
              <w:spacing w:after="60"/>
              <w:jc w:val="center"/>
              <w:rPr>
                <w:b/>
                <w:sz w:val="18"/>
                <w:szCs w:val="18"/>
              </w:rPr>
            </w:pPr>
            <w:r w:rsidRPr="00136D29">
              <w:rPr>
                <w:b/>
                <w:sz w:val="18"/>
                <w:szCs w:val="18"/>
              </w:rPr>
              <w:t>2020</w:t>
            </w:r>
          </w:p>
        </w:tc>
        <w:tc>
          <w:tcPr>
            <w:tcW w:w="523" w:type="pct"/>
            <w:tcBorders>
              <w:top w:val="single" w:sz="4" w:space="0" w:color="666699"/>
              <w:left w:val="single" w:sz="4" w:space="0" w:color="666699"/>
              <w:bottom w:val="single" w:sz="4" w:space="0" w:color="666699"/>
              <w:right w:val="single" w:sz="4" w:space="0" w:color="666699"/>
            </w:tcBorders>
            <w:hideMark/>
          </w:tcPr>
          <w:p w14:paraId="659C8837" w14:textId="77777777" w:rsidR="00080621" w:rsidRPr="00136D29" w:rsidRDefault="00080621" w:rsidP="00080621">
            <w:pPr>
              <w:spacing w:after="60"/>
              <w:jc w:val="center"/>
              <w:rPr>
                <w:b/>
                <w:sz w:val="18"/>
                <w:szCs w:val="18"/>
              </w:rPr>
            </w:pPr>
            <w:r w:rsidRPr="00136D29">
              <w:rPr>
                <w:b/>
                <w:sz w:val="18"/>
                <w:szCs w:val="18"/>
              </w:rPr>
              <w:t>Total</w:t>
            </w:r>
          </w:p>
        </w:tc>
      </w:tr>
      <w:tr w:rsidR="00080621" w:rsidRPr="00136D29" w14:paraId="557CC199" w14:textId="77777777" w:rsidTr="002D2FCF">
        <w:tc>
          <w:tcPr>
            <w:tcW w:w="1864" w:type="pct"/>
            <w:gridSpan w:val="3"/>
            <w:tcBorders>
              <w:top w:val="single" w:sz="4" w:space="0" w:color="666699"/>
              <w:left w:val="single" w:sz="4" w:space="0" w:color="666699"/>
              <w:bottom w:val="single" w:sz="4" w:space="0" w:color="666699"/>
              <w:right w:val="single" w:sz="4" w:space="0" w:color="666699"/>
            </w:tcBorders>
            <w:hideMark/>
          </w:tcPr>
          <w:p w14:paraId="69372BC7" w14:textId="77777777" w:rsidR="00080621" w:rsidRPr="00136D29" w:rsidRDefault="00080621" w:rsidP="00080621">
            <w:pPr>
              <w:spacing w:after="60"/>
              <w:jc w:val="left"/>
              <w:rPr>
                <w:sz w:val="18"/>
                <w:szCs w:val="18"/>
              </w:rPr>
            </w:pPr>
            <w:r w:rsidRPr="00136D29">
              <w:rPr>
                <w:sz w:val="18"/>
                <w:szCs w:val="18"/>
              </w:rPr>
              <w:t xml:space="preserve">Montreal Protocol consumption limits </w:t>
            </w:r>
          </w:p>
        </w:tc>
        <w:tc>
          <w:tcPr>
            <w:tcW w:w="522" w:type="pct"/>
            <w:tcBorders>
              <w:top w:val="single" w:sz="4" w:space="0" w:color="666699"/>
              <w:left w:val="single" w:sz="4" w:space="0" w:color="666699"/>
              <w:bottom w:val="single" w:sz="4" w:space="0" w:color="666699"/>
              <w:right w:val="single" w:sz="4" w:space="0" w:color="666699"/>
            </w:tcBorders>
            <w:vAlign w:val="center"/>
          </w:tcPr>
          <w:p w14:paraId="04976BA8" w14:textId="77777777" w:rsidR="00080621" w:rsidRPr="00136D29" w:rsidRDefault="00080621" w:rsidP="00080621">
            <w:pPr>
              <w:jc w:val="right"/>
              <w:rPr>
                <w:rFonts w:eastAsiaTheme="minorHAnsi"/>
                <w:sz w:val="18"/>
                <w:szCs w:val="18"/>
              </w:rPr>
            </w:pPr>
            <w:r w:rsidRPr="00136D29">
              <w:rPr>
                <w:color w:val="000000"/>
                <w:sz w:val="18"/>
                <w:szCs w:val="18"/>
                <w:lang w:val="en-US"/>
              </w:rPr>
              <w:t>22.30</w:t>
            </w:r>
          </w:p>
        </w:tc>
        <w:tc>
          <w:tcPr>
            <w:tcW w:w="523" w:type="pct"/>
            <w:tcBorders>
              <w:top w:val="single" w:sz="4" w:space="0" w:color="666699"/>
              <w:left w:val="single" w:sz="4" w:space="0" w:color="666699"/>
              <w:bottom w:val="single" w:sz="4" w:space="0" w:color="666699"/>
              <w:right w:val="single" w:sz="4" w:space="0" w:color="666699"/>
            </w:tcBorders>
            <w:vAlign w:val="center"/>
          </w:tcPr>
          <w:p w14:paraId="4009B0E5" w14:textId="77777777" w:rsidR="00080621" w:rsidRPr="00136D29" w:rsidRDefault="00080621" w:rsidP="00080621">
            <w:pPr>
              <w:jc w:val="right"/>
              <w:rPr>
                <w:rFonts w:eastAsiaTheme="minorHAnsi"/>
                <w:sz w:val="18"/>
                <w:szCs w:val="18"/>
              </w:rPr>
            </w:pPr>
            <w:r w:rsidRPr="00136D29">
              <w:rPr>
                <w:color w:val="000000"/>
                <w:sz w:val="18"/>
                <w:szCs w:val="18"/>
                <w:lang w:val="en-US"/>
              </w:rPr>
              <w:t>22.30</w:t>
            </w:r>
          </w:p>
        </w:tc>
        <w:tc>
          <w:tcPr>
            <w:tcW w:w="522" w:type="pct"/>
            <w:tcBorders>
              <w:top w:val="single" w:sz="4" w:space="0" w:color="666699"/>
              <w:left w:val="single" w:sz="4" w:space="0" w:color="666699"/>
              <w:bottom w:val="single" w:sz="4" w:space="0" w:color="666699"/>
              <w:right w:val="single" w:sz="4" w:space="0" w:color="666699"/>
            </w:tcBorders>
            <w:vAlign w:val="center"/>
          </w:tcPr>
          <w:p w14:paraId="4ED4291E" w14:textId="77777777" w:rsidR="00080621" w:rsidRPr="00136D29" w:rsidRDefault="00080621" w:rsidP="00080621">
            <w:pPr>
              <w:jc w:val="right"/>
              <w:rPr>
                <w:rFonts w:eastAsiaTheme="minorHAnsi"/>
                <w:sz w:val="18"/>
                <w:szCs w:val="18"/>
              </w:rPr>
            </w:pPr>
            <w:r w:rsidRPr="00136D29">
              <w:rPr>
                <w:color w:val="000000"/>
                <w:sz w:val="18"/>
                <w:szCs w:val="18"/>
                <w:lang w:val="en-US"/>
              </w:rPr>
              <w:t>22.30</w:t>
            </w:r>
          </w:p>
        </w:tc>
        <w:tc>
          <w:tcPr>
            <w:tcW w:w="523" w:type="pct"/>
            <w:tcBorders>
              <w:top w:val="single" w:sz="4" w:space="0" w:color="666699"/>
              <w:left w:val="single" w:sz="4" w:space="0" w:color="666699"/>
              <w:bottom w:val="single" w:sz="4" w:space="0" w:color="666699"/>
              <w:right w:val="single" w:sz="4" w:space="0" w:color="666699"/>
            </w:tcBorders>
            <w:vAlign w:val="center"/>
          </w:tcPr>
          <w:p w14:paraId="3C3A3B44" w14:textId="77777777" w:rsidR="00080621" w:rsidRPr="00136D29" w:rsidRDefault="00080621" w:rsidP="00080621">
            <w:pPr>
              <w:jc w:val="right"/>
              <w:rPr>
                <w:rFonts w:eastAsiaTheme="minorHAnsi"/>
                <w:sz w:val="18"/>
                <w:szCs w:val="18"/>
              </w:rPr>
            </w:pPr>
            <w:r w:rsidRPr="00136D29">
              <w:rPr>
                <w:color w:val="000000"/>
                <w:sz w:val="18"/>
                <w:szCs w:val="18"/>
                <w:lang w:val="en-US"/>
              </w:rPr>
              <w:t>22.30</w:t>
            </w:r>
          </w:p>
        </w:tc>
        <w:tc>
          <w:tcPr>
            <w:tcW w:w="522" w:type="pct"/>
            <w:tcBorders>
              <w:top w:val="single" w:sz="4" w:space="0" w:color="666699"/>
              <w:left w:val="single" w:sz="4" w:space="0" w:color="666699"/>
              <w:bottom w:val="single" w:sz="4" w:space="0" w:color="666699"/>
              <w:right w:val="single" w:sz="4" w:space="0" w:color="666699"/>
            </w:tcBorders>
            <w:vAlign w:val="center"/>
          </w:tcPr>
          <w:p w14:paraId="2100719A" w14:textId="77777777" w:rsidR="00080621" w:rsidRPr="00136D29" w:rsidRDefault="00080621" w:rsidP="00080621">
            <w:pPr>
              <w:jc w:val="right"/>
              <w:rPr>
                <w:rFonts w:eastAsiaTheme="minorHAnsi"/>
                <w:sz w:val="18"/>
                <w:szCs w:val="18"/>
              </w:rPr>
            </w:pPr>
            <w:r w:rsidRPr="00136D29">
              <w:rPr>
                <w:color w:val="000000"/>
                <w:sz w:val="18"/>
                <w:szCs w:val="18"/>
                <w:lang w:val="en-US"/>
              </w:rPr>
              <w:t>16.11</w:t>
            </w:r>
          </w:p>
        </w:tc>
        <w:tc>
          <w:tcPr>
            <w:tcW w:w="523" w:type="pct"/>
            <w:tcBorders>
              <w:top w:val="single" w:sz="4" w:space="0" w:color="666699"/>
              <w:left w:val="single" w:sz="4" w:space="0" w:color="666699"/>
              <w:bottom w:val="single" w:sz="4" w:space="0" w:color="666699"/>
              <w:right w:val="single" w:sz="4" w:space="0" w:color="666699"/>
            </w:tcBorders>
            <w:vAlign w:val="center"/>
          </w:tcPr>
          <w:p w14:paraId="2912E8E1" w14:textId="77777777" w:rsidR="00080621" w:rsidRPr="00136D29" w:rsidRDefault="00080621" w:rsidP="00080621">
            <w:pPr>
              <w:jc w:val="right"/>
              <w:rPr>
                <w:rFonts w:eastAsiaTheme="minorHAnsi"/>
                <w:sz w:val="18"/>
                <w:szCs w:val="18"/>
              </w:rPr>
            </w:pPr>
            <w:r w:rsidRPr="00136D29">
              <w:rPr>
                <w:color w:val="000000"/>
                <w:sz w:val="18"/>
                <w:szCs w:val="18"/>
                <w:lang w:val="en-US"/>
              </w:rPr>
              <w:t>n/a</w:t>
            </w:r>
          </w:p>
        </w:tc>
      </w:tr>
      <w:tr w:rsidR="00080621" w:rsidRPr="00136D29" w14:paraId="19FD6973" w14:textId="77777777" w:rsidTr="002D2FCF">
        <w:tc>
          <w:tcPr>
            <w:tcW w:w="1864" w:type="pct"/>
            <w:gridSpan w:val="3"/>
            <w:tcBorders>
              <w:top w:val="single" w:sz="4" w:space="0" w:color="666699"/>
              <w:left w:val="single" w:sz="4" w:space="0" w:color="666699"/>
              <w:bottom w:val="single" w:sz="4" w:space="0" w:color="666699"/>
              <w:right w:val="single" w:sz="4" w:space="0" w:color="666699"/>
            </w:tcBorders>
            <w:hideMark/>
          </w:tcPr>
          <w:p w14:paraId="2E1BFDD3" w14:textId="77777777" w:rsidR="00080621" w:rsidRPr="00136D29" w:rsidRDefault="00080621" w:rsidP="00080621">
            <w:pPr>
              <w:spacing w:after="60"/>
              <w:jc w:val="left"/>
              <w:rPr>
                <w:sz w:val="18"/>
                <w:szCs w:val="18"/>
              </w:rPr>
            </w:pPr>
            <w:r w:rsidRPr="00136D29">
              <w:rPr>
                <w:sz w:val="18"/>
                <w:szCs w:val="18"/>
              </w:rPr>
              <w:t>Maximum allowable consumption (ODP tonnes)</w:t>
            </w:r>
          </w:p>
        </w:tc>
        <w:tc>
          <w:tcPr>
            <w:tcW w:w="522" w:type="pct"/>
            <w:tcBorders>
              <w:top w:val="single" w:sz="4" w:space="0" w:color="666699"/>
              <w:left w:val="single" w:sz="4" w:space="0" w:color="666699"/>
              <w:bottom w:val="single" w:sz="4" w:space="0" w:color="666699"/>
              <w:right w:val="single" w:sz="4" w:space="0" w:color="666699"/>
            </w:tcBorders>
            <w:vAlign w:val="center"/>
          </w:tcPr>
          <w:p w14:paraId="02E54912" w14:textId="77777777" w:rsidR="00080621" w:rsidRPr="00136D29" w:rsidRDefault="00080621" w:rsidP="00080621">
            <w:pPr>
              <w:jc w:val="right"/>
              <w:rPr>
                <w:rFonts w:eastAsiaTheme="minorHAnsi"/>
                <w:sz w:val="18"/>
                <w:szCs w:val="18"/>
              </w:rPr>
            </w:pPr>
            <w:r w:rsidRPr="00136D29">
              <w:rPr>
                <w:color w:val="000000"/>
                <w:sz w:val="18"/>
                <w:szCs w:val="18"/>
                <w:lang w:val="en-US"/>
              </w:rPr>
              <w:t>22.30</w:t>
            </w:r>
          </w:p>
        </w:tc>
        <w:tc>
          <w:tcPr>
            <w:tcW w:w="523" w:type="pct"/>
            <w:tcBorders>
              <w:top w:val="single" w:sz="4" w:space="0" w:color="666699"/>
              <w:left w:val="single" w:sz="4" w:space="0" w:color="666699"/>
              <w:bottom w:val="single" w:sz="4" w:space="0" w:color="666699"/>
              <w:right w:val="single" w:sz="4" w:space="0" w:color="666699"/>
            </w:tcBorders>
            <w:vAlign w:val="center"/>
          </w:tcPr>
          <w:p w14:paraId="3130DA9B" w14:textId="77777777" w:rsidR="00080621" w:rsidRPr="00136D29" w:rsidRDefault="00080621" w:rsidP="00080621">
            <w:pPr>
              <w:jc w:val="right"/>
              <w:rPr>
                <w:rFonts w:eastAsiaTheme="minorHAnsi"/>
                <w:sz w:val="18"/>
                <w:szCs w:val="18"/>
              </w:rPr>
            </w:pPr>
            <w:r w:rsidRPr="00136D29">
              <w:rPr>
                <w:color w:val="000000"/>
                <w:sz w:val="18"/>
                <w:szCs w:val="18"/>
                <w:lang w:val="en-US"/>
              </w:rPr>
              <w:t>22.30</w:t>
            </w:r>
          </w:p>
        </w:tc>
        <w:tc>
          <w:tcPr>
            <w:tcW w:w="522" w:type="pct"/>
            <w:tcBorders>
              <w:top w:val="single" w:sz="4" w:space="0" w:color="666699"/>
              <w:left w:val="single" w:sz="4" w:space="0" w:color="666699"/>
              <w:bottom w:val="single" w:sz="4" w:space="0" w:color="666699"/>
              <w:right w:val="single" w:sz="4" w:space="0" w:color="666699"/>
            </w:tcBorders>
            <w:vAlign w:val="center"/>
          </w:tcPr>
          <w:p w14:paraId="3A3F4673" w14:textId="77777777" w:rsidR="00080621" w:rsidRPr="00136D29" w:rsidRDefault="00080621" w:rsidP="00080621">
            <w:pPr>
              <w:jc w:val="right"/>
              <w:rPr>
                <w:rFonts w:eastAsiaTheme="minorHAnsi"/>
                <w:sz w:val="18"/>
                <w:szCs w:val="18"/>
              </w:rPr>
            </w:pPr>
            <w:r w:rsidRPr="00136D29">
              <w:rPr>
                <w:color w:val="000000"/>
                <w:sz w:val="18"/>
                <w:szCs w:val="18"/>
                <w:lang w:val="en-US"/>
              </w:rPr>
              <w:t>22.30</w:t>
            </w:r>
          </w:p>
        </w:tc>
        <w:tc>
          <w:tcPr>
            <w:tcW w:w="523" w:type="pct"/>
            <w:tcBorders>
              <w:top w:val="single" w:sz="4" w:space="0" w:color="666699"/>
              <w:left w:val="single" w:sz="4" w:space="0" w:color="666699"/>
              <w:bottom w:val="single" w:sz="4" w:space="0" w:color="666699"/>
              <w:right w:val="single" w:sz="4" w:space="0" w:color="666699"/>
            </w:tcBorders>
            <w:vAlign w:val="center"/>
          </w:tcPr>
          <w:p w14:paraId="287E87F7" w14:textId="77777777" w:rsidR="00080621" w:rsidRPr="00136D29" w:rsidRDefault="00080621" w:rsidP="00080621">
            <w:pPr>
              <w:jc w:val="right"/>
              <w:rPr>
                <w:rFonts w:eastAsiaTheme="minorHAnsi"/>
                <w:sz w:val="18"/>
                <w:szCs w:val="18"/>
              </w:rPr>
            </w:pPr>
            <w:r w:rsidRPr="00136D29">
              <w:rPr>
                <w:color w:val="000000"/>
                <w:sz w:val="18"/>
                <w:szCs w:val="18"/>
                <w:lang w:val="en-US"/>
              </w:rPr>
              <w:t>22.30</w:t>
            </w:r>
          </w:p>
        </w:tc>
        <w:tc>
          <w:tcPr>
            <w:tcW w:w="522" w:type="pct"/>
            <w:tcBorders>
              <w:top w:val="single" w:sz="4" w:space="0" w:color="666699"/>
              <w:left w:val="single" w:sz="4" w:space="0" w:color="666699"/>
              <w:bottom w:val="single" w:sz="4" w:space="0" w:color="666699"/>
              <w:right w:val="single" w:sz="4" w:space="0" w:color="666699"/>
            </w:tcBorders>
            <w:vAlign w:val="center"/>
          </w:tcPr>
          <w:p w14:paraId="1932CE92" w14:textId="77777777" w:rsidR="00080621" w:rsidRPr="00136D29" w:rsidRDefault="00080621" w:rsidP="00080621">
            <w:pPr>
              <w:jc w:val="right"/>
              <w:rPr>
                <w:rFonts w:eastAsiaTheme="minorHAnsi"/>
                <w:sz w:val="18"/>
                <w:szCs w:val="18"/>
              </w:rPr>
            </w:pPr>
            <w:r w:rsidRPr="00136D29">
              <w:rPr>
                <w:color w:val="000000"/>
                <w:sz w:val="18"/>
                <w:szCs w:val="18"/>
                <w:lang w:val="en-US"/>
              </w:rPr>
              <w:t>16.11</w:t>
            </w:r>
          </w:p>
        </w:tc>
        <w:tc>
          <w:tcPr>
            <w:tcW w:w="523" w:type="pct"/>
            <w:tcBorders>
              <w:top w:val="single" w:sz="4" w:space="0" w:color="666699"/>
              <w:left w:val="single" w:sz="4" w:space="0" w:color="666699"/>
              <w:bottom w:val="single" w:sz="4" w:space="0" w:color="666699"/>
              <w:right w:val="single" w:sz="4" w:space="0" w:color="666699"/>
            </w:tcBorders>
            <w:vAlign w:val="center"/>
          </w:tcPr>
          <w:p w14:paraId="4D2B8796" w14:textId="77777777" w:rsidR="00080621" w:rsidRPr="00136D29" w:rsidRDefault="00080621" w:rsidP="00080621">
            <w:pPr>
              <w:jc w:val="right"/>
              <w:rPr>
                <w:rFonts w:eastAsiaTheme="minorHAnsi"/>
                <w:sz w:val="18"/>
                <w:szCs w:val="18"/>
              </w:rPr>
            </w:pPr>
            <w:r w:rsidRPr="00136D29">
              <w:rPr>
                <w:color w:val="000000"/>
                <w:sz w:val="18"/>
                <w:szCs w:val="18"/>
                <w:lang w:val="en-US"/>
              </w:rPr>
              <w:t>n/a</w:t>
            </w:r>
          </w:p>
        </w:tc>
      </w:tr>
      <w:tr w:rsidR="00080621" w:rsidRPr="00136D29" w14:paraId="10990388" w14:textId="77777777" w:rsidTr="002D2FCF">
        <w:tc>
          <w:tcPr>
            <w:tcW w:w="801" w:type="pct"/>
            <w:vMerge w:val="restart"/>
            <w:tcBorders>
              <w:top w:val="single" w:sz="4" w:space="0" w:color="666699"/>
              <w:left w:val="single" w:sz="4" w:space="0" w:color="666699"/>
              <w:right w:val="single" w:sz="4" w:space="0" w:color="666699"/>
            </w:tcBorders>
            <w:hideMark/>
          </w:tcPr>
          <w:p w14:paraId="29C32018" w14:textId="6B537FAE" w:rsidR="00080621" w:rsidRPr="00136D29" w:rsidRDefault="00080621" w:rsidP="00080621">
            <w:pPr>
              <w:spacing w:after="60"/>
              <w:jc w:val="left"/>
              <w:rPr>
                <w:sz w:val="18"/>
                <w:szCs w:val="18"/>
              </w:rPr>
            </w:pPr>
            <w:r w:rsidRPr="005E5255">
              <w:rPr>
                <w:sz w:val="18"/>
                <w:szCs w:val="18"/>
              </w:rPr>
              <w:t>Agreed funding (</w:t>
            </w:r>
            <w:r w:rsidR="002D2FCF">
              <w:rPr>
                <w:sz w:val="18"/>
                <w:szCs w:val="18"/>
              </w:rPr>
              <w:t>US $</w:t>
            </w:r>
            <w:r w:rsidRPr="005E5255">
              <w:rPr>
                <w:sz w:val="18"/>
                <w:szCs w:val="18"/>
              </w:rPr>
              <w:t>)</w:t>
            </w:r>
          </w:p>
        </w:tc>
        <w:tc>
          <w:tcPr>
            <w:tcW w:w="449" w:type="pct"/>
            <w:vMerge w:val="restart"/>
            <w:tcBorders>
              <w:top w:val="single" w:sz="4" w:space="0" w:color="666699"/>
              <w:left w:val="single" w:sz="4" w:space="0" w:color="666699"/>
              <w:bottom w:val="single" w:sz="4" w:space="0" w:color="666699"/>
              <w:right w:val="single" w:sz="4" w:space="0" w:color="666699"/>
            </w:tcBorders>
            <w:vAlign w:val="center"/>
            <w:hideMark/>
          </w:tcPr>
          <w:p w14:paraId="3DB2FEDA" w14:textId="77777777" w:rsidR="00080621" w:rsidRPr="00136D29" w:rsidRDefault="00080621" w:rsidP="00080621">
            <w:pPr>
              <w:spacing w:after="60"/>
              <w:jc w:val="left"/>
              <w:rPr>
                <w:sz w:val="18"/>
                <w:szCs w:val="18"/>
              </w:rPr>
            </w:pPr>
            <w:r w:rsidRPr="00136D29">
              <w:rPr>
                <w:sz w:val="18"/>
                <w:szCs w:val="18"/>
              </w:rPr>
              <w:t>UNDP</w:t>
            </w:r>
          </w:p>
        </w:tc>
        <w:tc>
          <w:tcPr>
            <w:tcW w:w="615" w:type="pct"/>
            <w:tcBorders>
              <w:top w:val="single" w:sz="4" w:space="0" w:color="666699"/>
              <w:left w:val="single" w:sz="4" w:space="0" w:color="666699"/>
              <w:bottom w:val="single" w:sz="4" w:space="0" w:color="666699"/>
              <w:right w:val="single" w:sz="4" w:space="0" w:color="666699"/>
            </w:tcBorders>
            <w:hideMark/>
          </w:tcPr>
          <w:p w14:paraId="16E7CBA3" w14:textId="77777777" w:rsidR="00080621" w:rsidRPr="00136D29" w:rsidRDefault="00080621" w:rsidP="00080621">
            <w:pPr>
              <w:spacing w:after="60"/>
              <w:jc w:val="left"/>
              <w:rPr>
                <w:sz w:val="18"/>
                <w:szCs w:val="18"/>
              </w:rPr>
            </w:pPr>
            <w:r w:rsidRPr="00136D29">
              <w:rPr>
                <w:sz w:val="18"/>
                <w:szCs w:val="18"/>
              </w:rPr>
              <w:t>Project costs</w:t>
            </w:r>
          </w:p>
        </w:tc>
        <w:tc>
          <w:tcPr>
            <w:tcW w:w="522" w:type="pct"/>
            <w:tcBorders>
              <w:top w:val="single" w:sz="4" w:space="0" w:color="666699"/>
              <w:left w:val="single" w:sz="4" w:space="0" w:color="666699"/>
              <w:bottom w:val="single" w:sz="4" w:space="0" w:color="666699"/>
              <w:right w:val="single" w:sz="4" w:space="0" w:color="666699"/>
            </w:tcBorders>
            <w:vAlign w:val="center"/>
          </w:tcPr>
          <w:p w14:paraId="557BE8E8" w14:textId="77777777" w:rsidR="00080621" w:rsidRPr="00136D29" w:rsidRDefault="00080621" w:rsidP="00080621">
            <w:pPr>
              <w:jc w:val="right"/>
              <w:rPr>
                <w:rFonts w:eastAsiaTheme="minorHAnsi"/>
                <w:sz w:val="18"/>
                <w:szCs w:val="18"/>
              </w:rPr>
            </w:pPr>
            <w:r w:rsidRPr="00136D29">
              <w:rPr>
                <w:color w:val="000000"/>
                <w:sz w:val="18"/>
                <w:szCs w:val="18"/>
                <w:lang w:val="en-US"/>
              </w:rPr>
              <w:t>265,100</w:t>
            </w:r>
          </w:p>
        </w:tc>
        <w:tc>
          <w:tcPr>
            <w:tcW w:w="523" w:type="pct"/>
            <w:tcBorders>
              <w:top w:val="single" w:sz="4" w:space="0" w:color="666699"/>
              <w:left w:val="single" w:sz="4" w:space="0" w:color="666699"/>
              <w:bottom w:val="single" w:sz="4" w:space="0" w:color="666699"/>
              <w:right w:val="single" w:sz="4" w:space="0" w:color="666699"/>
            </w:tcBorders>
            <w:vAlign w:val="center"/>
          </w:tcPr>
          <w:p w14:paraId="0DA2EB12" w14:textId="77777777" w:rsidR="00080621" w:rsidRPr="00136D29" w:rsidRDefault="00080621" w:rsidP="00080621">
            <w:pPr>
              <w:jc w:val="right"/>
              <w:rPr>
                <w:rFonts w:eastAsiaTheme="minorHAnsi"/>
                <w:sz w:val="18"/>
                <w:szCs w:val="18"/>
              </w:rPr>
            </w:pPr>
            <w:r w:rsidRPr="00136D29">
              <w:rPr>
                <w:rFonts w:eastAsiaTheme="minorHAnsi"/>
                <w:sz w:val="18"/>
                <w:szCs w:val="18"/>
              </w:rPr>
              <w:t>0</w:t>
            </w:r>
          </w:p>
        </w:tc>
        <w:tc>
          <w:tcPr>
            <w:tcW w:w="522" w:type="pct"/>
            <w:tcBorders>
              <w:top w:val="single" w:sz="4" w:space="0" w:color="666699"/>
              <w:left w:val="single" w:sz="4" w:space="0" w:color="666699"/>
              <w:bottom w:val="single" w:sz="4" w:space="0" w:color="666699"/>
              <w:right w:val="single" w:sz="4" w:space="0" w:color="666699"/>
            </w:tcBorders>
            <w:vAlign w:val="center"/>
          </w:tcPr>
          <w:p w14:paraId="3E20BC66" w14:textId="77777777" w:rsidR="00080621" w:rsidRPr="00136D29" w:rsidRDefault="00080621" w:rsidP="00080621">
            <w:pPr>
              <w:jc w:val="right"/>
              <w:rPr>
                <w:rFonts w:eastAsiaTheme="minorHAnsi"/>
                <w:sz w:val="18"/>
                <w:szCs w:val="18"/>
              </w:rPr>
            </w:pPr>
            <w:r w:rsidRPr="00136D29">
              <w:rPr>
                <w:rFonts w:eastAsiaTheme="minorHAnsi"/>
                <w:sz w:val="18"/>
                <w:szCs w:val="18"/>
              </w:rPr>
              <w:t>385,800</w:t>
            </w:r>
          </w:p>
        </w:tc>
        <w:tc>
          <w:tcPr>
            <w:tcW w:w="523" w:type="pct"/>
            <w:tcBorders>
              <w:top w:val="single" w:sz="4" w:space="0" w:color="666699"/>
              <w:left w:val="single" w:sz="4" w:space="0" w:color="666699"/>
              <w:bottom w:val="single" w:sz="4" w:space="0" w:color="666699"/>
              <w:right w:val="single" w:sz="4" w:space="0" w:color="666699"/>
            </w:tcBorders>
            <w:vAlign w:val="center"/>
          </w:tcPr>
          <w:p w14:paraId="08E86B00" w14:textId="77777777" w:rsidR="00080621" w:rsidRPr="00136D29" w:rsidRDefault="00080621" w:rsidP="00080621">
            <w:pPr>
              <w:jc w:val="right"/>
              <w:rPr>
                <w:rFonts w:eastAsiaTheme="minorHAnsi"/>
                <w:sz w:val="18"/>
                <w:szCs w:val="18"/>
              </w:rPr>
            </w:pPr>
            <w:r w:rsidRPr="00136D29">
              <w:rPr>
                <w:rFonts w:eastAsiaTheme="minorHAnsi"/>
                <w:sz w:val="18"/>
                <w:szCs w:val="18"/>
              </w:rPr>
              <w:t>0</w:t>
            </w:r>
          </w:p>
        </w:tc>
        <w:tc>
          <w:tcPr>
            <w:tcW w:w="522" w:type="pct"/>
            <w:tcBorders>
              <w:top w:val="single" w:sz="4" w:space="0" w:color="666699"/>
              <w:left w:val="single" w:sz="4" w:space="0" w:color="666699"/>
              <w:bottom w:val="single" w:sz="4" w:space="0" w:color="666699"/>
              <w:right w:val="single" w:sz="4" w:space="0" w:color="666699"/>
            </w:tcBorders>
            <w:vAlign w:val="center"/>
          </w:tcPr>
          <w:p w14:paraId="575D9F96" w14:textId="77777777" w:rsidR="00080621" w:rsidRPr="00136D29" w:rsidRDefault="00080621" w:rsidP="00080621">
            <w:pPr>
              <w:jc w:val="right"/>
              <w:rPr>
                <w:rFonts w:eastAsiaTheme="minorHAnsi"/>
                <w:sz w:val="18"/>
                <w:szCs w:val="18"/>
              </w:rPr>
            </w:pPr>
            <w:r w:rsidRPr="00136D29">
              <w:rPr>
                <w:color w:val="000000"/>
                <w:sz w:val="18"/>
                <w:szCs w:val="18"/>
                <w:lang w:val="en-US"/>
              </w:rPr>
              <w:t>72,754</w:t>
            </w:r>
          </w:p>
        </w:tc>
        <w:tc>
          <w:tcPr>
            <w:tcW w:w="523" w:type="pct"/>
            <w:tcBorders>
              <w:top w:val="single" w:sz="4" w:space="0" w:color="666699"/>
              <w:left w:val="single" w:sz="4" w:space="0" w:color="666699"/>
              <w:bottom w:val="single" w:sz="4" w:space="0" w:color="666699"/>
              <w:right w:val="single" w:sz="4" w:space="0" w:color="666699"/>
            </w:tcBorders>
            <w:vAlign w:val="center"/>
          </w:tcPr>
          <w:p w14:paraId="3DC02D5C" w14:textId="77777777" w:rsidR="00080621" w:rsidRPr="00136D29" w:rsidRDefault="00080621" w:rsidP="00080621">
            <w:pPr>
              <w:jc w:val="right"/>
              <w:rPr>
                <w:rFonts w:eastAsiaTheme="minorHAnsi"/>
                <w:sz w:val="18"/>
                <w:szCs w:val="18"/>
              </w:rPr>
            </w:pPr>
            <w:r w:rsidRPr="00136D29">
              <w:rPr>
                <w:color w:val="000000"/>
                <w:sz w:val="18"/>
                <w:szCs w:val="18"/>
                <w:lang w:val="en-US"/>
              </w:rPr>
              <w:t>723,654</w:t>
            </w:r>
          </w:p>
        </w:tc>
      </w:tr>
      <w:tr w:rsidR="00080621" w:rsidRPr="00136D29" w14:paraId="70ABB564" w14:textId="77777777" w:rsidTr="002D2FCF">
        <w:tc>
          <w:tcPr>
            <w:tcW w:w="801" w:type="pct"/>
            <w:vMerge/>
            <w:tcBorders>
              <w:left w:val="single" w:sz="4" w:space="0" w:color="666699"/>
              <w:right w:val="single" w:sz="4" w:space="0" w:color="666699"/>
            </w:tcBorders>
            <w:vAlign w:val="center"/>
            <w:hideMark/>
          </w:tcPr>
          <w:p w14:paraId="59293B77" w14:textId="77777777" w:rsidR="00080621" w:rsidRPr="00136D29" w:rsidRDefault="00080621" w:rsidP="00080621">
            <w:pPr>
              <w:jc w:val="left"/>
              <w:rPr>
                <w:sz w:val="18"/>
                <w:szCs w:val="18"/>
              </w:rPr>
            </w:pPr>
          </w:p>
        </w:tc>
        <w:tc>
          <w:tcPr>
            <w:tcW w:w="449" w:type="pct"/>
            <w:vMerge/>
            <w:tcBorders>
              <w:top w:val="single" w:sz="4" w:space="0" w:color="666699"/>
              <w:left w:val="single" w:sz="4" w:space="0" w:color="666699"/>
              <w:bottom w:val="single" w:sz="4" w:space="0" w:color="666699"/>
              <w:right w:val="single" w:sz="4" w:space="0" w:color="666699"/>
            </w:tcBorders>
            <w:vAlign w:val="center"/>
            <w:hideMark/>
          </w:tcPr>
          <w:p w14:paraId="1DDB33E0" w14:textId="77777777" w:rsidR="00080621" w:rsidRPr="00136D29" w:rsidRDefault="00080621" w:rsidP="00080621">
            <w:pPr>
              <w:jc w:val="left"/>
              <w:rPr>
                <w:sz w:val="18"/>
                <w:szCs w:val="18"/>
              </w:rPr>
            </w:pPr>
          </w:p>
        </w:tc>
        <w:tc>
          <w:tcPr>
            <w:tcW w:w="615" w:type="pct"/>
            <w:tcBorders>
              <w:top w:val="single" w:sz="4" w:space="0" w:color="666699"/>
              <w:left w:val="single" w:sz="4" w:space="0" w:color="666699"/>
              <w:bottom w:val="single" w:sz="4" w:space="0" w:color="666699"/>
              <w:right w:val="single" w:sz="4" w:space="0" w:color="666699"/>
            </w:tcBorders>
            <w:hideMark/>
          </w:tcPr>
          <w:p w14:paraId="7D61E493" w14:textId="77777777" w:rsidR="00080621" w:rsidRPr="00136D29" w:rsidRDefault="00080621" w:rsidP="00080621">
            <w:pPr>
              <w:spacing w:after="60"/>
              <w:jc w:val="left"/>
              <w:rPr>
                <w:sz w:val="18"/>
                <w:szCs w:val="18"/>
              </w:rPr>
            </w:pPr>
            <w:r w:rsidRPr="00136D29">
              <w:rPr>
                <w:sz w:val="18"/>
                <w:szCs w:val="18"/>
              </w:rPr>
              <w:t>Support costs</w:t>
            </w:r>
          </w:p>
        </w:tc>
        <w:tc>
          <w:tcPr>
            <w:tcW w:w="522" w:type="pct"/>
            <w:tcBorders>
              <w:top w:val="single" w:sz="4" w:space="0" w:color="666699"/>
              <w:left w:val="single" w:sz="4" w:space="0" w:color="666699"/>
              <w:bottom w:val="single" w:sz="4" w:space="0" w:color="666699"/>
              <w:right w:val="single" w:sz="4" w:space="0" w:color="666699"/>
            </w:tcBorders>
          </w:tcPr>
          <w:p w14:paraId="2F8AD131" w14:textId="77777777" w:rsidR="00080621" w:rsidRPr="00136D29" w:rsidRDefault="00080621" w:rsidP="00080621">
            <w:pPr>
              <w:jc w:val="right"/>
              <w:rPr>
                <w:rFonts w:eastAsiaTheme="minorHAnsi"/>
                <w:sz w:val="18"/>
                <w:szCs w:val="18"/>
              </w:rPr>
            </w:pPr>
            <w:r w:rsidRPr="00136D29">
              <w:rPr>
                <w:rFonts w:eastAsiaTheme="minorHAnsi"/>
                <w:sz w:val="18"/>
                <w:szCs w:val="18"/>
              </w:rPr>
              <w:t>18,557</w:t>
            </w:r>
          </w:p>
        </w:tc>
        <w:tc>
          <w:tcPr>
            <w:tcW w:w="523" w:type="pct"/>
            <w:tcBorders>
              <w:top w:val="single" w:sz="4" w:space="0" w:color="666699"/>
              <w:left w:val="single" w:sz="4" w:space="0" w:color="666699"/>
              <w:bottom w:val="single" w:sz="4" w:space="0" w:color="666699"/>
              <w:right w:val="single" w:sz="4" w:space="0" w:color="666699"/>
            </w:tcBorders>
          </w:tcPr>
          <w:p w14:paraId="7B880CF4" w14:textId="77777777" w:rsidR="00080621" w:rsidRPr="00136D29" w:rsidRDefault="00080621" w:rsidP="00080621">
            <w:pPr>
              <w:jc w:val="right"/>
              <w:rPr>
                <w:rFonts w:eastAsiaTheme="minorHAnsi"/>
                <w:sz w:val="18"/>
                <w:szCs w:val="18"/>
              </w:rPr>
            </w:pPr>
            <w:r w:rsidRPr="00136D29">
              <w:rPr>
                <w:rFonts w:eastAsiaTheme="minorHAnsi"/>
                <w:sz w:val="18"/>
                <w:szCs w:val="18"/>
              </w:rPr>
              <w:t>0</w:t>
            </w:r>
          </w:p>
        </w:tc>
        <w:tc>
          <w:tcPr>
            <w:tcW w:w="522" w:type="pct"/>
            <w:tcBorders>
              <w:top w:val="single" w:sz="4" w:space="0" w:color="666699"/>
              <w:left w:val="single" w:sz="4" w:space="0" w:color="666699"/>
              <w:bottom w:val="single" w:sz="4" w:space="0" w:color="666699"/>
              <w:right w:val="single" w:sz="4" w:space="0" w:color="666699"/>
            </w:tcBorders>
          </w:tcPr>
          <w:p w14:paraId="2D65E9C6" w14:textId="77777777" w:rsidR="00080621" w:rsidRPr="00136D29" w:rsidRDefault="00080621" w:rsidP="00080621">
            <w:pPr>
              <w:jc w:val="right"/>
              <w:rPr>
                <w:rFonts w:eastAsiaTheme="minorHAnsi"/>
                <w:sz w:val="18"/>
                <w:szCs w:val="18"/>
              </w:rPr>
            </w:pPr>
            <w:r w:rsidRPr="00136D29">
              <w:rPr>
                <w:rFonts w:eastAsiaTheme="minorHAnsi"/>
                <w:sz w:val="18"/>
                <w:szCs w:val="18"/>
              </w:rPr>
              <w:t>27,006</w:t>
            </w:r>
          </w:p>
        </w:tc>
        <w:tc>
          <w:tcPr>
            <w:tcW w:w="523" w:type="pct"/>
            <w:tcBorders>
              <w:top w:val="single" w:sz="4" w:space="0" w:color="666699"/>
              <w:left w:val="single" w:sz="4" w:space="0" w:color="666699"/>
              <w:bottom w:val="single" w:sz="4" w:space="0" w:color="666699"/>
              <w:right w:val="single" w:sz="4" w:space="0" w:color="666699"/>
            </w:tcBorders>
          </w:tcPr>
          <w:p w14:paraId="39C61198" w14:textId="77777777" w:rsidR="00080621" w:rsidRPr="00136D29" w:rsidRDefault="00080621" w:rsidP="00080621">
            <w:pPr>
              <w:jc w:val="right"/>
              <w:rPr>
                <w:rFonts w:eastAsiaTheme="minorHAnsi"/>
                <w:sz w:val="18"/>
                <w:szCs w:val="18"/>
              </w:rPr>
            </w:pPr>
            <w:r w:rsidRPr="00136D29">
              <w:rPr>
                <w:rFonts w:eastAsiaTheme="minorHAnsi"/>
                <w:sz w:val="18"/>
                <w:szCs w:val="18"/>
              </w:rPr>
              <w:t>0</w:t>
            </w:r>
          </w:p>
        </w:tc>
        <w:tc>
          <w:tcPr>
            <w:tcW w:w="522" w:type="pct"/>
            <w:tcBorders>
              <w:top w:val="single" w:sz="4" w:space="0" w:color="666699"/>
              <w:left w:val="single" w:sz="4" w:space="0" w:color="666699"/>
              <w:bottom w:val="single" w:sz="4" w:space="0" w:color="666699"/>
              <w:right w:val="single" w:sz="4" w:space="0" w:color="666699"/>
            </w:tcBorders>
          </w:tcPr>
          <w:p w14:paraId="7E9DC4B0" w14:textId="77777777" w:rsidR="00080621" w:rsidRPr="00136D29" w:rsidRDefault="00080621" w:rsidP="00080621">
            <w:pPr>
              <w:jc w:val="right"/>
              <w:rPr>
                <w:rFonts w:eastAsiaTheme="minorHAnsi"/>
                <w:sz w:val="18"/>
                <w:szCs w:val="18"/>
              </w:rPr>
            </w:pPr>
            <w:r w:rsidRPr="00136D29">
              <w:rPr>
                <w:rFonts w:eastAsiaTheme="minorHAnsi"/>
                <w:sz w:val="18"/>
                <w:szCs w:val="18"/>
              </w:rPr>
              <w:t>5,093</w:t>
            </w:r>
          </w:p>
        </w:tc>
        <w:tc>
          <w:tcPr>
            <w:tcW w:w="523" w:type="pct"/>
            <w:tcBorders>
              <w:top w:val="single" w:sz="4" w:space="0" w:color="666699"/>
              <w:left w:val="single" w:sz="4" w:space="0" w:color="666699"/>
              <w:bottom w:val="single" w:sz="4" w:space="0" w:color="666699"/>
              <w:right w:val="single" w:sz="4" w:space="0" w:color="666699"/>
            </w:tcBorders>
          </w:tcPr>
          <w:p w14:paraId="058F974A" w14:textId="77777777" w:rsidR="00080621" w:rsidRPr="00136D29" w:rsidRDefault="00080621" w:rsidP="00080621">
            <w:pPr>
              <w:jc w:val="right"/>
              <w:rPr>
                <w:rFonts w:eastAsiaTheme="minorHAnsi"/>
                <w:sz w:val="18"/>
                <w:szCs w:val="18"/>
              </w:rPr>
            </w:pPr>
            <w:r w:rsidRPr="00136D29">
              <w:rPr>
                <w:rFonts w:eastAsiaTheme="minorHAnsi"/>
                <w:sz w:val="18"/>
                <w:szCs w:val="18"/>
              </w:rPr>
              <w:t>50,656</w:t>
            </w:r>
          </w:p>
        </w:tc>
      </w:tr>
      <w:tr w:rsidR="00080621" w:rsidRPr="00136D29" w14:paraId="386E77B5" w14:textId="77777777" w:rsidTr="002D2FCF">
        <w:tc>
          <w:tcPr>
            <w:tcW w:w="1249" w:type="pct"/>
            <w:gridSpan w:val="2"/>
            <w:vMerge w:val="restart"/>
            <w:tcBorders>
              <w:top w:val="single" w:sz="4" w:space="0" w:color="666699"/>
              <w:left w:val="single" w:sz="4" w:space="0" w:color="666699"/>
              <w:right w:val="single" w:sz="4" w:space="0" w:color="666699"/>
            </w:tcBorders>
            <w:hideMark/>
          </w:tcPr>
          <w:p w14:paraId="065AB06C" w14:textId="6E869CDB" w:rsidR="00080621" w:rsidRPr="005E5255" w:rsidRDefault="00080621" w:rsidP="00080621">
            <w:pPr>
              <w:spacing w:after="60"/>
              <w:jc w:val="left"/>
              <w:rPr>
                <w:sz w:val="18"/>
                <w:szCs w:val="18"/>
              </w:rPr>
            </w:pPr>
            <w:r w:rsidRPr="005E5255">
              <w:rPr>
                <w:sz w:val="18"/>
                <w:szCs w:val="18"/>
                <w:lang w:val="en-CA"/>
              </w:rPr>
              <w:t xml:space="preserve">Funds approved by </w:t>
            </w:r>
            <w:proofErr w:type="spellStart"/>
            <w:r w:rsidRPr="005E5255">
              <w:rPr>
                <w:sz w:val="18"/>
                <w:szCs w:val="18"/>
                <w:lang w:val="en-CA"/>
              </w:rPr>
              <w:t>ExCom</w:t>
            </w:r>
            <w:proofErr w:type="spellEnd"/>
            <w:r w:rsidRPr="005E5255">
              <w:rPr>
                <w:sz w:val="18"/>
                <w:szCs w:val="18"/>
                <w:lang w:val="en-CA"/>
              </w:rPr>
              <w:t xml:space="preserve"> (</w:t>
            </w:r>
            <w:r w:rsidR="002D2FCF">
              <w:rPr>
                <w:sz w:val="18"/>
                <w:szCs w:val="18"/>
                <w:lang w:val="en-CA"/>
              </w:rPr>
              <w:t>US $</w:t>
            </w:r>
            <w:r w:rsidRPr="005E5255">
              <w:rPr>
                <w:sz w:val="18"/>
                <w:szCs w:val="18"/>
                <w:lang w:val="en-CA"/>
              </w:rPr>
              <w:t>)</w:t>
            </w:r>
          </w:p>
        </w:tc>
        <w:tc>
          <w:tcPr>
            <w:tcW w:w="615" w:type="pct"/>
            <w:tcBorders>
              <w:top w:val="single" w:sz="4" w:space="0" w:color="666699"/>
              <w:left w:val="single" w:sz="4" w:space="0" w:color="666699"/>
              <w:bottom w:val="single" w:sz="4" w:space="0" w:color="666699"/>
              <w:right w:val="single" w:sz="4" w:space="0" w:color="666699"/>
            </w:tcBorders>
          </w:tcPr>
          <w:p w14:paraId="602ED2B5" w14:textId="77777777" w:rsidR="00080621" w:rsidRPr="00136D29" w:rsidRDefault="00080621" w:rsidP="00080621">
            <w:pPr>
              <w:spacing w:after="60"/>
              <w:jc w:val="left"/>
              <w:rPr>
                <w:sz w:val="18"/>
                <w:szCs w:val="18"/>
              </w:rPr>
            </w:pPr>
            <w:r w:rsidRPr="00136D29">
              <w:rPr>
                <w:sz w:val="18"/>
                <w:szCs w:val="18"/>
              </w:rPr>
              <w:t>Project costs</w:t>
            </w:r>
          </w:p>
        </w:tc>
        <w:tc>
          <w:tcPr>
            <w:tcW w:w="522" w:type="pct"/>
            <w:tcBorders>
              <w:top w:val="single" w:sz="4" w:space="0" w:color="666699"/>
              <w:left w:val="single" w:sz="4" w:space="0" w:color="666699"/>
              <w:bottom w:val="single" w:sz="4" w:space="0" w:color="666699"/>
              <w:right w:val="single" w:sz="4" w:space="0" w:color="666699"/>
            </w:tcBorders>
          </w:tcPr>
          <w:p w14:paraId="7F5661C9" w14:textId="77777777" w:rsidR="00080621" w:rsidRPr="00136D29" w:rsidRDefault="00080621" w:rsidP="00080621">
            <w:pPr>
              <w:jc w:val="right"/>
              <w:rPr>
                <w:sz w:val="18"/>
                <w:szCs w:val="18"/>
              </w:rPr>
            </w:pPr>
            <w:r w:rsidRPr="00136D29">
              <w:rPr>
                <w:sz w:val="18"/>
                <w:szCs w:val="18"/>
              </w:rPr>
              <w:t>265,100</w:t>
            </w:r>
          </w:p>
        </w:tc>
        <w:tc>
          <w:tcPr>
            <w:tcW w:w="523" w:type="pct"/>
            <w:tcBorders>
              <w:top w:val="single" w:sz="4" w:space="0" w:color="666699"/>
              <w:left w:val="single" w:sz="4" w:space="0" w:color="666699"/>
              <w:bottom w:val="single" w:sz="4" w:space="0" w:color="666699"/>
              <w:right w:val="single" w:sz="4" w:space="0" w:color="666699"/>
            </w:tcBorders>
          </w:tcPr>
          <w:p w14:paraId="2FF25BC6" w14:textId="77777777" w:rsidR="00080621" w:rsidRPr="00136D29" w:rsidRDefault="00080621" w:rsidP="00080621">
            <w:pPr>
              <w:jc w:val="right"/>
              <w:rPr>
                <w:rFonts w:eastAsiaTheme="minorHAnsi"/>
                <w:sz w:val="18"/>
                <w:szCs w:val="18"/>
              </w:rPr>
            </w:pPr>
          </w:p>
        </w:tc>
        <w:tc>
          <w:tcPr>
            <w:tcW w:w="522" w:type="pct"/>
            <w:tcBorders>
              <w:top w:val="single" w:sz="4" w:space="0" w:color="666699"/>
              <w:left w:val="single" w:sz="4" w:space="0" w:color="666699"/>
              <w:bottom w:val="single" w:sz="4" w:space="0" w:color="666699"/>
              <w:right w:val="single" w:sz="4" w:space="0" w:color="666699"/>
            </w:tcBorders>
          </w:tcPr>
          <w:p w14:paraId="7FB7893A" w14:textId="77777777" w:rsidR="00080621" w:rsidRPr="00136D29" w:rsidRDefault="00080621" w:rsidP="00080621">
            <w:pPr>
              <w:jc w:val="right"/>
              <w:rPr>
                <w:sz w:val="18"/>
                <w:szCs w:val="18"/>
              </w:rPr>
            </w:pPr>
            <w:r w:rsidRPr="00136D29">
              <w:rPr>
                <w:sz w:val="18"/>
                <w:szCs w:val="18"/>
              </w:rPr>
              <w:t>385,800</w:t>
            </w:r>
          </w:p>
        </w:tc>
        <w:tc>
          <w:tcPr>
            <w:tcW w:w="523" w:type="pct"/>
            <w:tcBorders>
              <w:top w:val="single" w:sz="4" w:space="0" w:color="666699"/>
              <w:left w:val="single" w:sz="4" w:space="0" w:color="666699"/>
              <w:bottom w:val="single" w:sz="4" w:space="0" w:color="666699"/>
              <w:right w:val="single" w:sz="4" w:space="0" w:color="666699"/>
            </w:tcBorders>
          </w:tcPr>
          <w:p w14:paraId="3F186F28" w14:textId="77777777" w:rsidR="00080621" w:rsidRPr="00136D29" w:rsidRDefault="00080621" w:rsidP="00080621">
            <w:pPr>
              <w:jc w:val="right"/>
              <w:rPr>
                <w:rFonts w:eastAsiaTheme="minorHAnsi"/>
                <w:sz w:val="18"/>
                <w:szCs w:val="18"/>
              </w:rPr>
            </w:pPr>
          </w:p>
        </w:tc>
        <w:tc>
          <w:tcPr>
            <w:tcW w:w="522" w:type="pct"/>
            <w:tcBorders>
              <w:top w:val="single" w:sz="4" w:space="0" w:color="666699"/>
              <w:left w:val="single" w:sz="4" w:space="0" w:color="666699"/>
              <w:bottom w:val="single" w:sz="4" w:space="0" w:color="666699"/>
              <w:right w:val="single" w:sz="4" w:space="0" w:color="666699"/>
            </w:tcBorders>
          </w:tcPr>
          <w:p w14:paraId="276D1964" w14:textId="77777777" w:rsidR="00080621" w:rsidRPr="00136D29" w:rsidRDefault="00080621" w:rsidP="00080621">
            <w:pPr>
              <w:jc w:val="right"/>
              <w:rPr>
                <w:rFonts w:eastAsiaTheme="minorHAnsi"/>
                <w:sz w:val="18"/>
                <w:szCs w:val="18"/>
              </w:rPr>
            </w:pPr>
          </w:p>
        </w:tc>
        <w:tc>
          <w:tcPr>
            <w:tcW w:w="523" w:type="pct"/>
            <w:tcBorders>
              <w:top w:val="single" w:sz="4" w:space="0" w:color="666699"/>
              <w:left w:val="single" w:sz="4" w:space="0" w:color="666699"/>
              <w:bottom w:val="single" w:sz="4" w:space="0" w:color="666699"/>
              <w:right w:val="single" w:sz="4" w:space="0" w:color="666699"/>
            </w:tcBorders>
          </w:tcPr>
          <w:p w14:paraId="1F73CC39" w14:textId="77777777" w:rsidR="00080621" w:rsidRPr="00136D29" w:rsidRDefault="00756116" w:rsidP="00080621">
            <w:pPr>
              <w:jc w:val="right"/>
              <w:rPr>
                <w:sz w:val="18"/>
                <w:szCs w:val="18"/>
              </w:rPr>
            </w:pPr>
            <w:r>
              <w:rPr>
                <w:sz w:val="18"/>
                <w:szCs w:val="18"/>
              </w:rPr>
              <w:t>650,9</w:t>
            </w:r>
            <w:r w:rsidR="00080621" w:rsidRPr="00136D29">
              <w:rPr>
                <w:sz w:val="18"/>
                <w:szCs w:val="18"/>
              </w:rPr>
              <w:t>00</w:t>
            </w:r>
          </w:p>
        </w:tc>
      </w:tr>
      <w:tr w:rsidR="00080621" w:rsidRPr="00136D29" w14:paraId="58BB82C2" w14:textId="77777777" w:rsidTr="002D2FCF">
        <w:tc>
          <w:tcPr>
            <w:tcW w:w="1249" w:type="pct"/>
            <w:gridSpan w:val="2"/>
            <w:vMerge/>
            <w:tcBorders>
              <w:left w:val="single" w:sz="4" w:space="0" w:color="666699"/>
              <w:right w:val="single" w:sz="4" w:space="0" w:color="666699"/>
            </w:tcBorders>
            <w:hideMark/>
          </w:tcPr>
          <w:p w14:paraId="00F31BCC" w14:textId="77777777" w:rsidR="00080621" w:rsidRPr="00136D29" w:rsidRDefault="00080621" w:rsidP="00080621">
            <w:pPr>
              <w:spacing w:after="60"/>
              <w:jc w:val="left"/>
              <w:rPr>
                <w:sz w:val="18"/>
                <w:szCs w:val="18"/>
              </w:rPr>
            </w:pPr>
          </w:p>
        </w:tc>
        <w:tc>
          <w:tcPr>
            <w:tcW w:w="615" w:type="pct"/>
            <w:tcBorders>
              <w:top w:val="single" w:sz="4" w:space="0" w:color="666699"/>
              <w:left w:val="single" w:sz="4" w:space="0" w:color="666699"/>
              <w:bottom w:val="single" w:sz="4" w:space="0" w:color="666699"/>
              <w:right w:val="single" w:sz="4" w:space="0" w:color="666699"/>
            </w:tcBorders>
          </w:tcPr>
          <w:p w14:paraId="097E07B3" w14:textId="77777777" w:rsidR="00080621" w:rsidRPr="00136D29" w:rsidRDefault="00080621" w:rsidP="00080621">
            <w:pPr>
              <w:spacing w:after="60"/>
              <w:jc w:val="left"/>
              <w:rPr>
                <w:sz w:val="18"/>
                <w:szCs w:val="18"/>
              </w:rPr>
            </w:pPr>
            <w:r w:rsidRPr="00136D29">
              <w:rPr>
                <w:sz w:val="18"/>
                <w:szCs w:val="18"/>
              </w:rPr>
              <w:t>Support costs</w:t>
            </w:r>
          </w:p>
        </w:tc>
        <w:tc>
          <w:tcPr>
            <w:tcW w:w="522" w:type="pct"/>
            <w:tcBorders>
              <w:top w:val="single" w:sz="4" w:space="0" w:color="666699"/>
              <w:left w:val="single" w:sz="4" w:space="0" w:color="666699"/>
              <w:bottom w:val="single" w:sz="4" w:space="0" w:color="666699"/>
              <w:right w:val="single" w:sz="4" w:space="0" w:color="666699"/>
            </w:tcBorders>
          </w:tcPr>
          <w:p w14:paraId="42FA2669" w14:textId="77777777" w:rsidR="00080621" w:rsidRPr="00136D29" w:rsidRDefault="00080621" w:rsidP="00080621">
            <w:pPr>
              <w:jc w:val="right"/>
              <w:rPr>
                <w:sz w:val="18"/>
                <w:szCs w:val="18"/>
              </w:rPr>
            </w:pPr>
            <w:r w:rsidRPr="00136D29">
              <w:rPr>
                <w:sz w:val="18"/>
                <w:szCs w:val="18"/>
              </w:rPr>
              <w:t>18,557</w:t>
            </w:r>
          </w:p>
        </w:tc>
        <w:tc>
          <w:tcPr>
            <w:tcW w:w="523" w:type="pct"/>
            <w:tcBorders>
              <w:top w:val="single" w:sz="4" w:space="0" w:color="666699"/>
              <w:left w:val="single" w:sz="4" w:space="0" w:color="666699"/>
              <w:bottom w:val="single" w:sz="4" w:space="0" w:color="666699"/>
              <w:right w:val="single" w:sz="4" w:space="0" w:color="666699"/>
            </w:tcBorders>
          </w:tcPr>
          <w:p w14:paraId="11A05AF5" w14:textId="77777777" w:rsidR="00080621" w:rsidRPr="00136D29" w:rsidRDefault="00080621" w:rsidP="00080621">
            <w:pPr>
              <w:jc w:val="right"/>
              <w:rPr>
                <w:rFonts w:eastAsiaTheme="minorHAnsi"/>
                <w:sz w:val="18"/>
                <w:szCs w:val="18"/>
              </w:rPr>
            </w:pPr>
          </w:p>
        </w:tc>
        <w:tc>
          <w:tcPr>
            <w:tcW w:w="522" w:type="pct"/>
            <w:tcBorders>
              <w:top w:val="single" w:sz="4" w:space="0" w:color="666699"/>
              <w:left w:val="single" w:sz="4" w:space="0" w:color="666699"/>
              <w:bottom w:val="single" w:sz="4" w:space="0" w:color="666699"/>
              <w:right w:val="single" w:sz="4" w:space="0" w:color="666699"/>
            </w:tcBorders>
          </w:tcPr>
          <w:p w14:paraId="4FCE2BD7" w14:textId="77777777" w:rsidR="00080621" w:rsidRPr="00136D29" w:rsidRDefault="00080621" w:rsidP="00080621">
            <w:pPr>
              <w:jc w:val="right"/>
              <w:rPr>
                <w:sz w:val="18"/>
                <w:szCs w:val="18"/>
              </w:rPr>
            </w:pPr>
            <w:r w:rsidRPr="00136D29">
              <w:rPr>
                <w:sz w:val="18"/>
                <w:szCs w:val="18"/>
              </w:rPr>
              <w:t>27,006</w:t>
            </w:r>
          </w:p>
        </w:tc>
        <w:tc>
          <w:tcPr>
            <w:tcW w:w="523" w:type="pct"/>
            <w:tcBorders>
              <w:top w:val="single" w:sz="4" w:space="0" w:color="666699"/>
              <w:left w:val="single" w:sz="4" w:space="0" w:color="666699"/>
              <w:bottom w:val="single" w:sz="4" w:space="0" w:color="666699"/>
              <w:right w:val="single" w:sz="4" w:space="0" w:color="666699"/>
            </w:tcBorders>
          </w:tcPr>
          <w:p w14:paraId="3374B1D8" w14:textId="77777777" w:rsidR="00080621" w:rsidRPr="00136D29" w:rsidRDefault="00080621" w:rsidP="00080621">
            <w:pPr>
              <w:jc w:val="right"/>
              <w:rPr>
                <w:rFonts w:eastAsiaTheme="minorHAnsi"/>
                <w:sz w:val="18"/>
                <w:szCs w:val="18"/>
              </w:rPr>
            </w:pPr>
          </w:p>
        </w:tc>
        <w:tc>
          <w:tcPr>
            <w:tcW w:w="522" w:type="pct"/>
            <w:tcBorders>
              <w:top w:val="single" w:sz="4" w:space="0" w:color="666699"/>
              <w:left w:val="single" w:sz="4" w:space="0" w:color="666699"/>
              <w:bottom w:val="single" w:sz="4" w:space="0" w:color="666699"/>
              <w:right w:val="single" w:sz="4" w:space="0" w:color="666699"/>
            </w:tcBorders>
          </w:tcPr>
          <w:p w14:paraId="1ED78409" w14:textId="77777777" w:rsidR="00080621" w:rsidRPr="00136D29" w:rsidRDefault="00080621" w:rsidP="00080621">
            <w:pPr>
              <w:jc w:val="right"/>
              <w:rPr>
                <w:rFonts w:eastAsiaTheme="minorHAnsi"/>
                <w:sz w:val="18"/>
                <w:szCs w:val="18"/>
              </w:rPr>
            </w:pPr>
          </w:p>
        </w:tc>
        <w:tc>
          <w:tcPr>
            <w:tcW w:w="523" w:type="pct"/>
            <w:tcBorders>
              <w:top w:val="single" w:sz="4" w:space="0" w:color="666699"/>
              <w:left w:val="single" w:sz="4" w:space="0" w:color="666699"/>
              <w:bottom w:val="single" w:sz="4" w:space="0" w:color="666699"/>
              <w:right w:val="single" w:sz="4" w:space="0" w:color="666699"/>
            </w:tcBorders>
          </w:tcPr>
          <w:p w14:paraId="4CF11B92" w14:textId="77777777" w:rsidR="00080621" w:rsidRPr="00136D29" w:rsidRDefault="00756116" w:rsidP="00080621">
            <w:pPr>
              <w:jc w:val="right"/>
              <w:rPr>
                <w:sz w:val="18"/>
                <w:szCs w:val="18"/>
              </w:rPr>
            </w:pPr>
            <w:r>
              <w:rPr>
                <w:sz w:val="18"/>
                <w:szCs w:val="18"/>
              </w:rPr>
              <w:t>45,563</w:t>
            </w:r>
          </w:p>
        </w:tc>
      </w:tr>
      <w:tr w:rsidR="00080621" w:rsidRPr="00136D29" w14:paraId="7B6B3E3E" w14:textId="77777777" w:rsidTr="002D2FCF">
        <w:tc>
          <w:tcPr>
            <w:tcW w:w="1249" w:type="pct"/>
            <w:gridSpan w:val="2"/>
            <w:vMerge w:val="restart"/>
            <w:tcBorders>
              <w:left w:val="single" w:sz="4" w:space="0" w:color="666699"/>
              <w:right w:val="single" w:sz="4" w:space="0" w:color="666699"/>
            </w:tcBorders>
          </w:tcPr>
          <w:p w14:paraId="2C943AB3" w14:textId="5494B4E1" w:rsidR="00080621" w:rsidRPr="00136D29" w:rsidRDefault="00080621" w:rsidP="00080621">
            <w:pPr>
              <w:spacing w:after="60"/>
              <w:jc w:val="left"/>
              <w:rPr>
                <w:sz w:val="18"/>
                <w:szCs w:val="18"/>
              </w:rPr>
            </w:pPr>
            <w:r w:rsidRPr="005E5255">
              <w:rPr>
                <w:sz w:val="18"/>
                <w:szCs w:val="18"/>
              </w:rPr>
              <w:t>Total funds requested for approval at this meeting (</w:t>
            </w:r>
            <w:r w:rsidR="002D2FCF">
              <w:rPr>
                <w:sz w:val="18"/>
                <w:szCs w:val="18"/>
              </w:rPr>
              <w:t>US $</w:t>
            </w:r>
            <w:r w:rsidRPr="005E5255">
              <w:rPr>
                <w:sz w:val="18"/>
                <w:szCs w:val="18"/>
              </w:rPr>
              <w:t>)</w:t>
            </w:r>
          </w:p>
        </w:tc>
        <w:tc>
          <w:tcPr>
            <w:tcW w:w="615" w:type="pct"/>
            <w:tcBorders>
              <w:top w:val="single" w:sz="4" w:space="0" w:color="666699"/>
              <w:left w:val="single" w:sz="4" w:space="0" w:color="666699"/>
              <w:bottom w:val="single" w:sz="4" w:space="0" w:color="666699"/>
              <w:right w:val="single" w:sz="4" w:space="0" w:color="666699"/>
            </w:tcBorders>
          </w:tcPr>
          <w:p w14:paraId="4D9C9FEC" w14:textId="77777777" w:rsidR="00080621" w:rsidRPr="00136D29" w:rsidRDefault="00080621" w:rsidP="00080621">
            <w:pPr>
              <w:spacing w:after="60"/>
              <w:jc w:val="left"/>
              <w:rPr>
                <w:sz w:val="18"/>
                <w:szCs w:val="18"/>
              </w:rPr>
            </w:pPr>
            <w:r w:rsidRPr="00136D29">
              <w:rPr>
                <w:sz w:val="18"/>
                <w:szCs w:val="18"/>
              </w:rPr>
              <w:t>Project costs</w:t>
            </w:r>
          </w:p>
        </w:tc>
        <w:tc>
          <w:tcPr>
            <w:tcW w:w="522" w:type="pct"/>
            <w:tcBorders>
              <w:top w:val="single" w:sz="4" w:space="0" w:color="666699"/>
              <w:left w:val="single" w:sz="4" w:space="0" w:color="666699"/>
              <w:bottom w:val="single" w:sz="4" w:space="0" w:color="666699"/>
              <w:right w:val="single" w:sz="4" w:space="0" w:color="666699"/>
            </w:tcBorders>
          </w:tcPr>
          <w:p w14:paraId="0CAFF1BC" w14:textId="77777777" w:rsidR="00080621" w:rsidRPr="00136D29" w:rsidRDefault="00080621" w:rsidP="00080621">
            <w:pPr>
              <w:jc w:val="right"/>
              <w:rPr>
                <w:sz w:val="18"/>
                <w:szCs w:val="18"/>
              </w:rPr>
            </w:pPr>
          </w:p>
        </w:tc>
        <w:tc>
          <w:tcPr>
            <w:tcW w:w="523" w:type="pct"/>
            <w:tcBorders>
              <w:top w:val="single" w:sz="4" w:space="0" w:color="666699"/>
              <w:left w:val="single" w:sz="4" w:space="0" w:color="666699"/>
              <w:bottom w:val="single" w:sz="4" w:space="0" w:color="666699"/>
              <w:right w:val="single" w:sz="4" w:space="0" w:color="666699"/>
            </w:tcBorders>
          </w:tcPr>
          <w:p w14:paraId="54D97A55" w14:textId="77777777" w:rsidR="00080621" w:rsidRPr="00136D29" w:rsidRDefault="00080621" w:rsidP="00080621">
            <w:pPr>
              <w:jc w:val="right"/>
              <w:rPr>
                <w:rFonts w:eastAsiaTheme="minorHAnsi"/>
                <w:sz w:val="18"/>
                <w:szCs w:val="18"/>
              </w:rPr>
            </w:pPr>
          </w:p>
        </w:tc>
        <w:tc>
          <w:tcPr>
            <w:tcW w:w="522" w:type="pct"/>
            <w:tcBorders>
              <w:top w:val="single" w:sz="4" w:space="0" w:color="666699"/>
              <w:left w:val="single" w:sz="4" w:space="0" w:color="666699"/>
              <w:bottom w:val="single" w:sz="4" w:space="0" w:color="666699"/>
              <w:right w:val="single" w:sz="4" w:space="0" w:color="666699"/>
            </w:tcBorders>
          </w:tcPr>
          <w:p w14:paraId="36370232" w14:textId="77777777" w:rsidR="00080621" w:rsidRPr="00136D29" w:rsidRDefault="00080621" w:rsidP="00080621">
            <w:pPr>
              <w:jc w:val="right"/>
              <w:rPr>
                <w:sz w:val="18"/>
                <w:szCs w:val="18"/>
              </w:rPr>
            </w:pPr>
          </w:p>
        </w:tc>
        <w:tc>
          <w:tcPr>
            <w:tcW w:w="523" w:type="pct"/>
            <w:tcBorders>
              <w:top w:val="single" w:sz="4" w:space="0" w:color="666699"/>
              <w:left w:val="single" w:sz="4" w:space="0" w:color="666699"/>
              <w:bottom w:val="single" w:sz="4" w:space="0" w:color="666699"/>
              <w:right w:val="single" w:sz="4" w:space="0" w:color="666699"/>
            </w:tcBorders>
          </w:tcPr>
          <w:p w14:paraId="775C008B" w14:textId="77777777" w:rsidR="00080621" w:rsidRPr="00136D29" w:rsidRDefault="00080621" w:rsidP="00080621">
            <w:pPr>
              <w:jc w:val="right"/>
              <w:rPr>
                <w:rFonts w:eastAsiaTheme="minorHAnsi"/>
                <w:sz w:val="18"/>
                <w:szCs w:val="18"/>
              </w:rPr>
            </w:pPr>
          </w:p>
        </w:tc>
        <w:tc>
          <w:tcPr>
            <w:tcW w:w="522" w:type="pct"/>
            <w:tcBorders>
              <w:top w:val="single" w:sz="4" w:space="0" w:color="666699"/>
              <w:left w:val="single" w:sz="4" w:space="0" w:color="666699"/>
              <w:bottom w:val="single" w:sz="4" w:space="0" w:color="666699"/>
              <w:right w:val="single" w:sz="4" w:space="0" w:color="666699"/>
            </w:tcBorders>
            <w:vAlign w:val="center"/>
          </w:tcPr>
          <w:p w14:paraId="1F8DC02C" w14:textId="77777777" w:rsidR="00080621" w:rsidRPr="00136D29" w:rsidRDefault="00080621" w:rsidP="00080621">
            <w:pPr>
              <w:jc w:val="right"/>
              <w:rPr>
                <w:rFonts w:eastAsiaTheme="minorHAnsi"/>
                <w:sz w:val="18"/>
                <w:szCs w:val="18"/>
              </w:rPr>
            </w:pPr>
            <w:r w:rsidRPr="00136D29">
              <w:rPr>
                <w:color w:val="000000"/>
                <w:sz w:val="18"/>
                <w:szCs w:val="18"/>
                <w:lang w:val="en-US"/>
              </w:rPr>
              <w:t>72,754</w:t>
            </w:r>
          </w:p>
        </w:tc>
        <w:tc>
          <w:tcPr>
            <w:tcW w:w="523" w:type="pct"/>
            <w:tcBorders>
              <w:top w:val="single" w:sz="4" w:space="0" w:color="666699"/>
              <w:left w:val="single" w:sz="4" w:space="0" w:color="666699"/>
              <w:bottom w:val="single" w:sz="4" w:space="0" w:color="666699"/>
              <w:right w:val="single" w:sz="4" w:space="0" w:color="666699"/>
            </w:tcBorders>
            <w:vAlign w:val="center"/>
          </w:tcPr>
          <w:p w14:paraId="1C120C36" w14:textId="77777777" w:rsidR="00080621" w:rsidRPr="00136D29" w:rsidRDefault="00080621" w:rsidP="00080621">
            <w:pPr>
              <w:jc w:val="right"/>
              <w:rPr>
                <w:rFonts w:eastAsiaTheme="minorHAnsi"/>
                <w:sz w:val="18"/>
                <w:szCs w:val="18"/>
              </w:rPr>
            </w:pPr>
            <w:r w:rsidRPr="00136D29">
              <w:rPr>
                <w:color w:val="000000"/>
                <w:sz w:val="18"/>
                <w:szCs w:val="18"/>
                <w:lang w:val="en-US"/>
              </w:rPr>
              <w:t>72,754</w:t>
            </w:r>
          </w:p>
        </w:tc>
      </w:tr>
      <w:tr w:rsidR="00080621" w:rsidRPr="00136D29" w14:paraId="7C0C2737" w14:textId="77777777" w:rsidTr="002D2FCF">
        <w:tc>
          <w:tcPr>
            <w:tcW w:w="1249" w:type="pct"/>
            <w:gridSpan w:val="2"/>
            <w:vMerge/>
            <w:tcBorders>
              <w:left w:val="single" w:sz="4" w:space="0" w:color="666699"/>
              <w:bottom w:val="single" w:sz="4" w:space="0" w:color="666699"/>
              <w:right w:val="single" w:sz="4" w:space="0" w:color="666699"/>
            </w:tcBorders>
          </w:tcPr>
          <w:p w14:paraId="5C3FCD6D" w14:textId="77777777" w:rsidR="00080621" w:rsidRPr="00136D29" w:rsidRDefault="00080621" w:rsidP="00080621">
            <w:pPr>
              <w:spacing w:after="60"/>
              <w:jc w:val="left"/>
              <w:rPr>
                <w:sz w:val="18"/>
                <w:szCs w:val="18"/>
              </w:rPr>
            </w:pPr>
          </w:p>
        </w:tc>
        <w:tc>
          <w:tcPr>
            <w:tcW w:w="615" w:type="pct"/>
            <w:tcBorders>
              <w:top w:val="single" w:sz="4" w:space="0" w:color="666699"/>
              <w:left w:val="single" w:sz="4" w:space="0" w:color="666699"/>
              <w:bottom w:val="single" w:sz="4" w:space="0" w:color="666699"/>
              <w:right w:val="single" w:sz="4" w:space="0" w:color="666699"/>
            </w:tcBorders>
          </w:tcPr>
          <w:p w14:paraId="16B8C703" w14:textId="77777777" w:rsidR="00080621" w:rsidRPr="00136D29" w:rsidRDefault="00080621" w:rsidP="00080621">
            <w:pPr>
              <w:spacing w:after="60"/>
              <w:jc w:val="left"/>
              <w:rPr>
                <w:sz w:val="18"/>
                <w:szCs w:val="18"/>
              </w:rPr>
            </w:pPr>
            <w:r w:rsidRPr="00136D29">
              <w:rPr>
                <w:sz w:val="18"/>
                <w:szCs w:val="18"/>
              </w:rPr>
              <w:t>Support costs</w:t>
            </w:r>
          </w:p>
        </w:tc>
        <w:tc>
          <w:tcPr>
            <w:tcW w:w="522" w:type="pct"/>
            <w:tcBorders>
              <w:top w:val="single" w:sz="4" w:space="0" w:color="666699"/>
              <w:left w:val="single" w:sz="4" w:space="0" w:color="666699"/>
              <w:bottom w:val="single" w:sz="4" w:space="0" w:color="666699"/>
              <w:right w:val="single" w:sz="4" w:space="0" w:color="666699"/>
            </w:tcBorders>
          </w:tcPr>
          <w:p w14:paraId="49B76D98" w14:textId="77777777" w:rsidR="00080621" w:rsidRPr="00136D29" w:rsidRDefault="00080621" w:rsidP="00080621">
            <w:pPr>
              <w:jc w:val="right"/>
              <w:rPr>
                <w:sz w:val="18"/>
                <w:szCs w:val="18"/>
              </w:rPr>
            </w:pPr>
          </w:p>
        </w:tc>
        <w:tc>
          <w:tcPr>
            <w:tcW w:w="523" w:type="pct"/>
            <w:tcBorders>
              <w:top w:val="single" w:sz="4" w:space="0" w:color="666699"/>
              <w:left w:val="single" w:sz="4" w:space="0" w:color="666699"/>
              <w:bottom w:val="single" w:sz="4" w:space="0" w:color="666699"/>
              <w:right w:val="single" w:sz="4" w:space="0" w:color="666699"/>
            </w:tcBorders>
          </w:tcPr>
          <w:p w14:paraId="1CF44034" w14:textId="77777777" w:rsidR="00080621" w:rsidRPr="00136D29" w:rsidRDefault="00080621" w:rsidP="00080621">
            <w:pPr>
              <w:jc w:val="right"/>
              <w:rPr>
                <w:rFonts w:eastAsiaTheme="minorHAnsi"/>
                <w:sz w:val="18"/>
                <w:szCs w:val="18"/>
              </w:rPr>
            </w:pPr>
          </w:p>
        </w:tc>
        <w:tc>
          <w:tcPr>
            <w:tcW w:w="522" w:type="pct"/>
            <w:tcBorders>
              <w:top w:val="single" w:sz="4" w:space="0" w:color="666699"/>
              <w:left w:val="single" w:sz="4" w:space="0" w:color="666699"/>
              <w:bottom w:val="single" w:sz="4" w:space="0" w:color="666699"/>
              <w:right w:val="single" w:sz="4" w:space="0" w:color="666699"/>
            </w:tcBorders>
          </w:tcPr>
          <w:p w14:paraId="614FD884" w14:textId="77777777" w:rsidR="00080621" w:rsidRPr="00136D29" w:rsidRDefault="00080621" w:rsidP="00080621">
            <w:pPr>
              <w:jc w:val="right"/>
              <w:rPr>
                <w:sz w:val="18"/>
                <w:szCs w:val="18"/>
              </w:rPr>
            </w:pPr>
          </w:p>
        </w:tc>
        <w:tc>
          <w:tcPr>
            <w:tcW w:w="523" w:type="pct"/>
            <w:tcBorders>
              <w:top w:val="single" w:sz="4" w:space="0" w:color="666699"/>
              <w:left w:val="single" w:sz="4" w:space="0" w:color="666699"/>
              <w:bottom w:val="single" w:sz="4" w:space="0" w:color="666699"/>
              <w:right w:val="single" w:sz="4" w:space="0" w:color="666699"/>
            </w:tcBorders>
          </w:tcPr>
          <w:p w14:paraId="4F3220AF" w14:textId="77777777" w:rsidR="00080621" w:rsidRPr="00136D29" w:rsidRDefault="00080621" w:rsidP="00080621">
            <w:pPr>
              <w:jc w:val="right"/>
              <w:rPr>
                <w:rFonts w:eastAsiaTheme="minorHAnsi"/>
                <w:sz w:val="18"/>
                <w:szCs w:val="18"/>
              </w:rPr>
            </w:pPr>
          </w:p>
        </w:tc>
        <w:tc>
          <w:tcPr>
            <w:tcW w:w="522" w:type="pct"/>
            <w:tcBorders>
              <w:top w:val="single" w:sz="4" w:space="0" w:color="666699"/>
              <w:left w:val="single" w:sz="4" w:space="0" w:color="666699"/>
              <w:bottom w:val="single" w:sz="4" w:space="0" w:color="666699"/>
              <w:right w:val="single" w:sz="4" w:space="0" w:color="666699"/>
            </w:tcBorders>
          </w:tcPr>
          <w:p w14:paraId="511CC685" w14:textId="77777777" w:rsidR="00080621" w:rsidRPr="00136D29" w:rsidRDefault="00080621" w:rsidP="00080621">
            <w:pPr>
              <w:jc w:val="right"/>
              <w:rPr>
                <w:rFonts w:eastAsiaTheme="minorHAnsi"/>
                <w:sz w:val="18"/>
                <w:szCs w:val="18"/>
              </w:rPr>
            </w:pPr>
            <w:r w:rsidRPr="00136D29">
              <w:rPr>
                <w:rFonts w:eastAsiaTheme="minorHAnsi"/>
                <w:sz w:val="18"/>
                <w:szCs w:val="18"/>
              </w:rPr>
              <w:t>5,093</w:t>
            </w:r>
          </w:p>
        </w:tc>
        <w:tc>
          <w:tcPr>
            <w:tcW w:w="523" w:type="pct"/>
            <w:tcBorders>
              <w:top w:val="single" w:sz="4" w:space="0" w:color="666699"/>
              <w:left w:val="single" w:sz="4" w:space="0" w:color="666699"/>
              <w:bottom w:val="single" w:sz="4" w:space="0" w:color="666699"/>
              <w:right w:val="single" w:sz="4" w:space="0" w:color="666699"/>
            </w:tcBorders>
          </w:tcPr>
          <w:p w14:paraId="57F8BA33" w14:textId="77777777" w:rsidR="00080621" w:rsidRPr="00136D29" w:rsidRDefault="00080621" w:rsidP="00080621">
            <w:pPr>
              <w:jc w:val="right"/>
              <w:rPr>
                <w:rFonts w:eastAsiaTheme="minorHAnsi"/>
                <w:sz w:val="18"/>
                <w:szCs w:val="18"/>
              </w:rPr>
            </w:pPr>
            <w:r w:rsidRPr="00136D29">
              <w:rPr>
                <w:rFonts w:eastAsiaTheme="minorHAnsi"/>
                <w:sz w:val="18"/>
                <w:szCs w:val="18"/>
              </w:rPr>
              <w:t>5,093</w:t>
            </w:r>
          </w:p>
        </w:tc>
      </w:tr>
    </w:tbl>
    <w:tbl>
      <w:tblPr>
        <w:tblStyle w:val="TableGrid"/>
        <w:tblpPr w:leftFromText="180" w:rightFromText="180" w:vertAnchor="text" w:horzAnchor="margin" w:tblpXSpec="center" w:tblpY="284"/>
        <w:tblW w:w="10173"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592"/>
        <w:gridCol w:w="4581"/>
      </w:tblGrid>
      <w:tr w:rsidR="00080621" w:rsidRPr="00136D29" w14:paraId="029B6B3B" w14:textId="77777777" w:rsidTr="00080621">
        <w:trPr>
          <w:trHeight w:val="274"/>
        </w:trPr>
        <w:tc>
          <w:tcPr>
            <w:tcW w:w="5592" w:type="dxa"/>
            <w:tcBorders>
              <w:top w:val="single" w:sz="4" w:space="0" w:color="666699"/>
              <w:left w:val="single" w:sz="4" w:space="0" w:color="666699"/>
              <w:bottom w:val="single" w:sz="4" w:space="0" w:color="666699"/>
              <w:right w:val="single" w:sz="4" w:space="0" w:color="666699"/>
            </w:tcBorders>
            <w:hideMark/>
          </w:tcPr>
          <w:p w14:paraId="7949705F" w14:textId="77777777" w:rsidR="00080621" w:rsidRPr="005E5255" w:rsidRDefault="00080621" w:rsidP="00080621">
            <w:pPr>
              <w:jc w:val="left"/>
              <w:rPr>
                <w:b/>
                <w:sz w:val="18"/>
                <w:szCs w:val="18"/>
              </w:rPr>
            </w:pPr>
            <w:r w:rsidRPr="005E5255">
              <w:rPr>
                <w:b/>
                <w:sz w:val="18"/>
                <w:szCs w:val="18"/>
              </w:rPr>
              <w:t>Secretariat's recommendation</w:t>
            </w:r>
          </w:p>
        </w:tc>
        <w:tc>
          <w:tcPr>
            <w:tcW w:w="4581" w:type="dxa"/>
            <w:tcBorders>
              <w:top w:val="single" w:sz="4" w:space="0" w:color="666699"/>
              <w:left w:val="single" w:sz="4" w:space="0" w:color="666699"/>
              <w:bottom w:val="single" w:sz="4" w:space="0" w:color="666699"/>
              <w:right w:val="single" w:sz="4" w:space="0" w:color="666699"/>
            </w:tcBorders>
          </w:tcPr>
          <w:p w14:paraId="1168F569" w14:textId="77777777" w:rsidR="00080621" w:rsidRPr="00136D29" w:rsidRDefault="00080621" w:rsidP="00080621">
            <w:pPr>
              <w:jc w:val="center"/>
              <w:rPr>
                <w:sz w:val="18"/>
                <w:szCs w:val="18"/>
              </w:rPr>
            </w:pPr>
            <w:r>
              <w:rPr>
                <w:sz w:val="18"/>
                <w:szCs w:val="18"/>
              </w:rPr>
              <w:t>Blanket approval</w:t>
            </w:r>
          </w:p>
        </w:tc>
      </w:tr>
    </w:tbl>
    <w:p w14:paraId="1F6D5EBF" w14:textId="77777777" w:rsidR="00080621" w:rsidRPr="00136D29" w:rsidRDefault="00080621" w:rsidP="00080621">
      <w:pPr>
        <w:rPr>
          <w:sz w:val="18"/>
          <w:szCs w:val="18"/>
        </w:rPr>
      </w:pPr>
    </w:p>
    <w:p w14:paraId="41D89497" w14:textId="77777777" w:rsidR="00D54581" w:rsidRPr="00FE3307" w:rsidRDefault="00D54581" w:rsidP="00080621">
      <w:pPr>
        <w:rPr>
          <w:lang w:val="en-CA"/>
        </w:rPr>
      </w:pPr>
    </w:p>
    <w:p w14:paraId="2CC92F1C" w14:textId="77777777" w:rsidR="00D54581" w:rsidRPr="00FE3307" w:rsidRDefault="00D54581" w:rsidP="00080621">
      <w:pPr>
        <w:rPr>
          <w:lang w:val="en-CA"/>
        </w:rPr>
      </w:pPr>
      <w:r w:rsidRPr="00FE3307">
        <w:rPr>
          <w:lang w:val="en-CA"/>
        </w:rPr>
        <w:br w:type="page"/>
      </w:r>
    </w:p>
    <w:p w14:paraId="3D211F3C" w14:textId="77777777" w:rsidR="00D54581" w:rsidRPr="00FE3307" w:rsidRDefault="00D54581" w:rsidP="002D2FCF">
      <w:pPr>
        <w:jc w:val="center"/>
        <w:rPr>
          <w:b/>
          <w:lang w:val="en-CA"/>
        </w:rPr>
      </w:pPr>
      <w:r w:rsidRPr="00FE3307">
        <w:rPr>
          <w:b/>
          <w:lang w:val="en-CA"/>
        </w:rPr>
        <w:lastRenderedPageBreak/>
        <w:t>PROJECT DESCRIPTION</w:t>
      </w:r>
    </w:p>
    <w:p w14:paraId="3AB82760" w14:textId="77777777" w:rsidR="00D54581" w:rsidRPr="00FE3307" w:rsidRDefault="00D54581" w:rsidP="002D2FCF">
      <w:pPr>
        <w:rPr>
          <w:lang w:val="en-CA"/>
        </w:rPr>
      </w:pPr>
    </w:p>
    <w:p w14:paraId="45CB5AE7" w14:textId="202ED8B9" w:rsidR="00D54581" w:rsidRPr="00080621" w:rsidRDefault="00D54581" w:rsidP="002D2FCF">
      <w:pPr>
        <w:pStyle w:val="Heading1"/>
        <w:rPr>
          <w:lang w:val="en-CA"/>
        </w:rPr>
      </w:pPr>
      <w:r w:rsidRPr="00FE3307">
        <w:rPr>
          <w:lang w:val="en-CA"/>
        </w:rPr>
        <w:t xml:space="preserve">On behalf of the </w:t>
      </w:r>
      <w:r w:rsidRPr="00080621">
        <w:rPr>
          <w:lang w:val="en-CA"/>
        </w:rPr>
        <w:t xml:space="preserve">Government of </w:t>
      </w:r>
      <w:r w:rsidR="00080621" w:rsidRPr="00080621">
        <w:rPr>
          <w:lang w:val="en-CA"/>
        </w:rPr>
        <w:t>Panama</w:t>
      </w:r>
      <w:r w:rsidRPr="00080621">
        <w:rPr>
          <w:lang w:val="en-CA"/>
        </w:rPr>
        <w:t xml:space="preserve">, </w:t>
      </w:r>
      <w:r w:rsidR="00080621" w:rsidRPr="00080621">
        <w:rPr>
          <w:lang w:val="en-CA"/>
        </w:rPr>
        <w:t xml:space="preserve">UNDP as the </w:t>
      </w:r>
      <w:r w:rsidRPr="00080621">
        <w:rPr>
          <w:lang w:val="en-CA"/>
        </w:rPr>
        <w:t>d</w:t>
      </w:r>
      <w:r w:rsidR="00080621" w:rsidRPr="00080621">
        <w:rPr>
          <w:lang w:val="en-CA"/>
        </w:rPr>
        <w:t>esignated</w:t>
      </w:r>
      <w:r w:rsidRPr="00080621">
        <w:rPr>
          <w:lang w:val="en-CA"/>
        </w:rPr>
        <w:t xml:space="preserve"> implementing agency has submitted a request for funding for the </w:t>
      </w:r>
      <w:r w:rsidR="00080621" w:rsidRPr="00080621">
        <w:rPr>
          <w:lang w:val="en-CA"/>
        </w:rPr>
        <w:t>third</w:t>
      </w:r>
      <w:r w:rsidRPr="00080621">
        <w:rPr>
          <w:lang w:val="en-CA"/>
        </w:rPr>
        <w:t xml:space="preserve"> </w:t>
      </w:r>
      <w:r w:rsidR="00080621" w:rsidRPr="00080621">
        <w:rPr>
          <w:lang w:val="en-CA"/>
        </w:rPr>
        <w:t xml:space="preserve">and final tranche of stage II </w:t>
      </w:r>
      <w:r w:rsidRPr="00080621">
        <w:rPr>
          <w:lang w:val="en-CA"/>
        </w:rPr>
        <w:t>of the HCFC phase</w:t>
      </w:r>
      <w:r w:rsidR="00A0412F">
        <w:rPr>
          <w:lang w:val="en-CA"/>
        </w:rPr>
        <w:noBreakHyphen/>
      </w:r>
      <w:r w:rsidRPr="00080621">
        <w:rPr>
          <w:lang w:val="en-CA"/>
        </w:rPr>
        <w:t xml:space="preserve">out management plan (HPMP), at the amount of </w:t>
      </w:r>
      <w:r w:rsidR="002D2FCF">
        <w:rPr>
          <w:lang w:val="en-CA"/>
        </w:rPr>
        <w:t>US $</w:t>
      </w:r>
      <w:r w:rsidR="00080621" w:rsidRPr="00080621">
        <w:rPr>
          <w:lang w:val="en-CA"/>
        </w:rPr>
        <w:t>72,754</w:t>
      </w:r>
      <w:r w:rsidRPr="00080621">
        <w:rPr>
          <w:lang w:val="en-CA"/>
        </w:rPr>
        <w:t xml:space="preserve">, plus agency support costs of </w:t>
      </w:r>
      <w:r w:rsidR="002D2FCF">
        <w:rPr>
          <w:lang w:val="en-CA"/>
        </w:rPr>
        <w:t>US $</w:t>
      </w:r>
      <w:r w:rsidR="00080621" w:rsidRPr="00080621">
        <w:rPr>
          <w:lang w:val="en-CA"/>
        </w:rPr>
        <w:t>5,093</w:t>
      </w:r>
      <w:r w:rsidRPr="00080621">
        <w:rPr>
          <w:lang w:val="en-CA"/>
        </w:rPr>
        <w:t>.</w:t>
      </w:r>
      <w:r w:rsidRPr="00080621">
        <w:rPr>
          <w:rStyle w:val="FootnoteReference"/>
          <w:lang w:val="en-CA"/>
        </w:rPr>
        <w:footnoteReference w:id="2"/>
      </w:r>
      <w:r w:rsidRPr="00080621">
        <w:rPr>
          <w:lang w:val="en-CA"/>
        </w:rPr>
        <w:t xml:space="preserve"> The submission includes a progress report on the implementation of the </w:t>
      </w:r>
      <w:r w:rsidR="00080621" w:rsidRPr="00080621">
        <w:rPr>
          <w:lang w:val="en-CA"/>
        </w:rPr>
        <w:t>second tranche</w:t>
      </w:r>
      <w:r w:rsidR="00631A39">
        <w:rPr>
          <w:lang w:val="en-CA"/>
        </w:rPr>
        <w:t>, the verification report on HCFC consumption for 2018 and 2019</w:t>
      </w:r>
      <w:r w:rsidR="002D2FCF">
        <w:rPr>
          <w:lang w:val="en-CA"/>
        </w:rPr>
        <w:t xml:space="preserve"> </w:t>
      </w:r>
      <w:r w:rsidRPr="00080621">
        <w:rPr>
          <w:lang w:val="en-CA"/>
        </w:rPr>
        <w:t>and the tranche implem</w:t>
      </w:r>
      <w:r w:rsidR="00BD7BA1">
        <w:rPr>
          <w:lang w:val="en-CA"/>
        </w:rPr>
        <w:t>entation plan for 2020</w:t>
      </w:r>
      <w:r w:rsidR="001F1328">
        <w:rPr>
          <w:lang w:val="en-CA"/>
        </w:rPr>
        <w:t>-2021</w:t>
      </w:r>
      <w:r w:rsidRPr="00080621">
        <w:rPr>
          <w:lang w:val="en-CA"/>
        </w:rPr>
        <w:t>.</w:t>
      </w:r>
    </w:p>
    <w:p w14:paraId="256B1F45" w14:textId="77777777" w:rsidR="00D54581" w:rsidRPr="00FE3307" w:rsidRDefault="00D54581" w:rsidP="002D2FCF">
      <w:pPr>
        <w:rPr>
          <w:u w:val="single"/>
          <w:lang w:val="en-CA"/>
        </w:rPr>
      </w:pPr>
      <w:r w:rsidRPr="00080621">
        <w:rPr>
          <w:u w:val="single"/>
          <w:lang w:val="en-CA"/>
        </w:rPr>
        <w:t>Report on HCFC consumption</w:t>
      </w:r>
    </w:p>
    <w:p w14:paraId="199B5B42" w14:textId="77777777" w:rsidR="00D54581" w:rsidRPr="00FE3307" w:rsidRDefault="00D54581" w:rsidP="002D2FCF">
      <w:pPr>
        <w:rPr>
          <w:lang w:val="en-CA"/>
        </w:rPr>
      </w:pPr>
    </w:p>
    <w:p w14:paraId="7808A780" w14:textId="54D7DC0B" w:rsidR="00D54581" w:rsidRPr="00FE3307" w:rsidRDefault="00080621" w:rsidP="002D2FCF">
      <w:pPr>
        <w:pStyle w:val="Heading1"/>
        <w:rPr>
          <w:lang w:val="en-CA"/>
        </w:rPr>
      </w:pPr>
      <w:r w:rsidRPr="000F3BDE">
        <w:rPr>
          <w:lang w:val="en-CA"/>
        </w:rPr>
        <w:t>The Government of Panama</w:t>
      </w:r>
      <w:r w:rsidR="00D54581" w:rsidRPr="000F3BDE">
        <w:rPr>
          <w:lang w:val="en-CA"/>
        </w:rPr>
        <w:t xml:space="preserve"> reported under </w:t>
      </w:r>
      <w:r w:rsidR="00EA4AB9">
        <w:rPr>
          <w:lang w:val="en-CA"/>
        </w:rPr>
        <w:t xml:space="preserve">the </w:t>
      </w:r>
      <w:r w:rsidR="00D54581" w:rsidRPr="000F3BDE">
        <w:rPr>
          <w:lang w:val="en-CA"/>
        </w:rPr>
        <w:t xml:space="preserve">country programme </w:t>
      </w:r>
      <w:r w:rsidR="00631A39">
        <w:rPr>
          <w:lang w:val="en-CA"/>
        </w:rPr>
        <w:t xml:space="preserve">(CP) </w:t>
      </w:r>
      <w:r w:rsidR="00D54581" w:rsidRPr="000F3BDE">
        <w:rPr>
          <w:lang w:val="en-CA"/>
        </w:rPr>
        <w:t>implement</w:t>
      </w:r>
      <w:r w:rsidR="000F3BDE" w:rsidRPr="000F3BDE">
        <w:rPr>
          <w:lang w:val="en-CA"/>
        </w:rPr>
        <w:t>ation report a consumption of 14.36</w:t>
      </w:r>
      <w:r w:rsidR="00D54581" w:rsidRPr="000F3BDE">
        <w:rPr>
          <w:lang w:val="en-CA"/>
        </w:rPr>
        <w:t> ODP tonnes of HCFC in 2019</w:t>
      </w:r>
      <w:r w:rsidR="000F3BDE" w:rsidRPr="000F3BDE">
        <w:rPr>
          <w:lang w:val="en-CA"/>
        </w:rPr>
        <w:t>, which is 42</w:t>
      </w:r>
      <w:r w:rsidR="00D54581" w:rsidRPr="000F3BDE">
        <w:rPr>
          <w:lang w:val="en-CA"/>
        </w:rPr>
        <w:t xml:space="preserve"> per cent below the HCFC baseline for compliance. </w:t>
      </w:r>
      <w:r w:rsidR="00D54581">
        <w:rPr>
          <w:lang w:val="en-CA"/>
        </w:rPr>
        <w:t>The 2015</w:t>
      </w:r>
      <w:r w:rsidR="00401631">
        <w:rPr>
          <w:lang w:val="en-CA"/>
        </w:rPr>
        <w:noBreakHyphen/>
      </w:r>
      <w:r w:rsidR="00D54581">
        <w:rPr>
          <w:lang w:val="en-CA"/>
        </w:rPr>
        <w:t>2019</w:t>
      </w:r>
      <w:r w:rsidR="00D54581" w:rsidRPr="00FE3307">
        <w:rPr>
          <w:lang w:val="en-CA"/>
        </w:rPr>
        <w:t xml:space="preserve"> HCFC co</w:t>
      </w:r>
      <w:r w:rsidR="0061752E">
        <w:rPr>
          <w:lang w:val="en-CA"/>
        </w:rPr>
        <w:t>nsumption is shown in Table 1.</w:t>
      </w:r>
    </w:p>
    <w:p w14:paraId="7F0EC000" w14:textId="77777777" w:rsidR="00D54581" w:rsidRPr="00FE3307" w:rsidRDefault="00D54581" w:rsidP="002D2FCF">
      <w:pPr>
        <w:rPr>
          <w:b/>
          <w:lang w:val="en-CA"/>
        </w:rPr>
      </w:pPr>
      <w:r w:rsidRPr="00FE3307">
        <w:rPr>
          <w:b/>
          <w:lang w:val="en-CA"/>
        </w:rPr>
        <w:t xml:space="preserve">Table 1. HCFC consumption </w:t>
      </w:r>
      <w:r w:rsidRPr="00080621">
        <w:rPr>
          <w:b/>
          <w:lang w:val="en-CA"/>
        </w:rPr>
        <w:t xml:space="preserve">in </w:t>
      </w:r>
      <w:r w:rsidR="00080621" w:rsidRPr="00080621">
        <w:rPr>
          <w:b/>
          <w:lang w:val="en-CA"/>
        </w:rPr>
        <w:t>Panama</w:t>
      </w:r>
      <w:r>
        <w:rPr>
          <w:b/>
          <w:lang w:val="en-CA"/>
        </w:rPr>
        <w:t xml:space="preserve"> (2015-2019</w:t>
      </w:r>
      <w:r w:rsidRPr="00FE3307">
        <w:rPr>
          <w:b/>
          <w:lang w:val="en-CA"/>
        </w:rPr>
        <w:t xml:space="preserve"> Article 7 data)</w:t>
      </w:r>
    </w:p>
    <w:tbl>
      <w:tblPr>
        <w:tblW w:w="5000" w:type="pct"/>
        <w:tblLayout w:type="fixed"/>
        <w:tblLook w:val="04A0" w:firstRow="1" w:lastRow="0" w:firstColumn="1" w:lastColumn="0" w:noHBand="0" w:noVBand="1"/>
      </w:tblPr>
      <w:tblGrid>
        <w:gridCol w:w="2696"/>
        <w:gridCol w:w="1109"/>
        <w:gridCol w:w="1109"/>
        <w:gridCol w:w="1109"/>
        <w:gridCol w:w="1109"/>
        <w:gridCol w:w="1109"/>
        <w:gridCol w:w="1109"/>
      </w:tblGrid>
      <w:tr w:rsidR="00D54581" w:rsidRPr="00FE3307" w14:paraId="78A8C408" w14:textId="77777777" w:rsidTr="002D2FCF">
        <w:trPr>
          <w:tblHeader/>
        </w:trPr>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3E8AC6B" w14:textId="77777777" w:rsidR="00D54581" w:rsidRPr="00FE3307" w:rsidRDefault="00D54581" w:rsidP="002D2FCF">
            <w:pPr>
              <w:widowControl w:val="0"/>
              <w:jc w:val="left"/>
              <w:rPr>
                <w:b/>
                <w:bCs/>
                <w:color w:val="000000"/>
                <w:sz w:val="20"/>
                <w:szCs w:val="20"/>
                <w:lang w:val="en-CA"/>
              </w:rPr>
            </w:pPr>
            <w:r w:rsidRPr="00FE3307">
              <w:rPr>
                <w:b/>
                <w:bCs/>
                <w:color w:val="000000"/>
                <w:sz w:val="20"/>
                <w:szCs w:val="20"/>
                <w:lang w:val="en-CA"/>
              </w:rPr>
              <w:t>HCFC</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402B7EC8" w14:textId="77777777" w:rsidR="00D54581" w:rsidRPr="00FE3307" w:rsidRDefault="00D54581" w:rsidP="002D2FCF">
            <w:pPr>
              <w:widowControl w:val="0"/>
              <w:jc w:val="center"/>
              <w:rPr>
                <w:b/>
                <w:bCs/>
                <w:color w:val="000000"/>
                <w:sz w:val="20"/>
                <w:szCs w:val="20"/>
                <w:lang w:val="en-CA"/>
              </w:rPr>
            </w:pPr>
            <w:r w:rsidRPr="00FE3307">
              <w:rPr>
                <w:b/>
                <w:bCs/>
                <w:color w:val="000000"/>
                <w:sz w:val="20"/>
                <w:szCs w:val="20"/>
                <w:lang w:val="en-CA"/>
              </w:rPr>
              <w:t>201</w:t>
            </w:r>
            <w:r>
              <w:rPr>
                <w:b/>
                <w:bCs/>
                <w:color w:val="000000"/>
                <w:sz w:val="20"/>
                <w:szCs w:val="20"/>
                <w:lang w:val="en-CA"/>
              </w:rPr>
              <w:t>5</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5FAB8683" w14:textId="77777777" w:rsidR="00D54581" w:rsidRPr="00FE3307" w:rsidRDefault="00D54581" w:rsidP="002D2FCF">
            <w:pPr>
              <w:widowControl w:val="0"/>
              <w:jc w:val="center"/>
              <w:rPr>
                <w:b/>
                <w:bCs/>
                <w:color w:val="000000"/>
                <w:sz w:val="20"/>
                <w:szCs w:val="20"/>
                <w:lang w:val="en-CA"/>
              </w:rPr>
            </w:pPr>
            <w:r w:rsidRPr="00FE3307">
              <w:rPr>
                <w:b/>
                <w:bCs/>
                <w:color w:val="000000"/>
                <w:sz w:val="20"/>
                <w:szCs w:val="20"/>
                <w:lang w:val="en-CA"/>
              </w:rPr>
              <w:t>201</w:t>
            </w:r>
            <w:r>
              <w:rPr>
                <w:b/>
                <w:bCs/>
                <w:color w:val="000000"/>
                <w:sz w:val="20"/>
                <w:szCs w:val="20"/>
                <w:lang w:val="en-CA"/>
              </w:rPr>
              <w:t>6</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525430D9" w14:textId="77777777" w:rsidR="00D54581" w:rsidRPr="00FE3307" w:rsidRDefault="00D54581" w:rsidP="002D2FCF">
            <w:pPr>
              <w:widowControl w:val="0"/>
              <w:jc w:val="center"/>
              <w:rPr>
                <w:b/>
                <w:bCs/>
                <w:color w:val="000000"/>
                <w:sz w:val="20"/>
                <w:szCs w:val="20"/>
                <w:lang w:val="en-CA"/>
              </w:rPr>
            </w:pPr>
            <w:r w:rsidRPr="00FE3307">
              <w:rPr>
                <w:b/>
                <w:bCs/>
                <w:color w:val="000000"/>
                <w:sz w:val="20"/>
                <w:szCs w:val="20"/>
                <w:lang w:val="en-CA"/>
              </w:rPr>
              <w:t>201</w:t>
            </w:r>
            <w:r>
              <w:rPr>
                <w:b/>
                <w:bCs/>
                <w:color w:val="000000"/>
                <w:sz w:val="20"/>
                <w:szCs w:val="20"/>
                <w:lang w:val="en-CA"/>
              </w:rPr>
              <w:t>7</w:t>
            </w:r>
          </w:p>
        </w:tc>
        <w:tc>
          <w:tcPr>
            <w:tcW w:w="593" w:type="pct"/>
            <w:tcBorders>
              <w:top w:val="single" w:sz="4" w:space="0" w:color="auto"/>
              <w:left w:val="nil"/>
              <w:bottom w:val="single" w:sz="4" w:space="0" w:color="auto"/>
              <w:right w:val="single" w:sz="4" w:space="0" w:color="auto"/>
            </w:tcBorders>
          </w:tcPr>
          <w:p w14:paraId="02E2C5D5" w14:textId="77777777" w:rsidR="00D54581" w:rsidRPr="00FE3307" w:rsidRDefault="00D54581" w:rsidP="002D2FCF">
            <w:pPr>
              <w:widowControl w:val="0"/>
              <w:jc w:val="center"/>
              <w:rPr>
                <w:b/>
                <w:bCs/>
                <w:color w:val="000000"/>
                <w:sz w:val="20"/>
                <w:szCs w:val="20"/>
                <w:lang w:val="en-CA"/>
              </w:rPr>
            </w:pPr>
            <w:r w:rsidRPr="00FE3307">
              <w:rPr>
                <w:b/>
                <w:bCs/>
                <w:color w:val="000000"/>
                <w:sz w:val="20"/>
                <w:szCs w:val="20"/>
                <w:lang w:val="en-CA"/>
              </w:rPr>
              <w:t>201</w:t>
            </w:r>
            <w:r>
              <w:rPr>
                <w:b/>
                <w:bCs/>
                <w:color w:val="000000"/>
                <w:sz w:val="20"/>
                <w:szCs w:val="20"/>
                <w:lang w:val="en-CA"/>
              </w:rPr>
              <w:t>8</w:t>
            </w:r>
          </w:p>
        </w:tc>
        <w:tc>
          <w:tcPr>
            <w:tcW w:w="593" w:type="pct"/>
            <w:tcBorders>
              <w:top w:val="single" w:sz="4" w:space="0" w:color="auto"/>
              <w:left w:val="single" w:sz="4" w:space="0" w:color="auto"/>
              <w:bottom w:val="single" w:sz="4" w:space="0" w:color="auto"/>
              <w:right w:val="single" w:sz="4" w:space="0" w:color="auto"/>
            </w:tcBorders>
          </w:tcPr>
          <w:p w14:paraId="50CC3D6A" w14:textId="77777777" w:rsidR="00D54581" w:rsidRPr="00FE3307" w:rsidRDefault="00D54581" w:rsidP="002D2FCF">
            <w:pPr>
              <w:widowControl w:val="0"/>
              <w:jc w:val="center"/>
              <w:rPr>
                <w:b/>
                <w:bCs/>
                <w:color w:val="000000"/>
                <w:sz w:val="20"/>
                <w:szCs w:val="20"/>
                <w:lang w:val="en-CA"/>
              </w:rPr>
            </w:pPr>
            <w:r>
              <w:rPr>
                <w:b/>
                <w:bCs/>
                <w:color w:val="000000"/>
                <w:sz w:val="20"/>
                <w:szCs w:val="20"/>
                <w:lang w:val="en-CA"/>
              </w:rPr>
              <w:t>2019</w:t>
            </w:r>
            <w:r w:rsidRPr="005E4A26">
              <w:rPr>
                <w:b/>
                <w:bCs/>
                <w:color w:val="000000"/>
                <w:sz w:val="20"/>
                <w:szCs w:val="20"/>
                <w:lang w:val="en-CA"/>
              </w:rPr>
              <w:t>*</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CFED3" w14:textId="77777777" w:rsidR="00D54581" w:rsidRPr="00FE3307" w:rsidRDefault="00D54581" w:rsidP="002D2FCF">
            <w:pPr>
              <w:widowControl w:val="0"/>
              <w:jc w:val="center"/>
              <w:rPr>
                <w:b/>
                <w:bCs/>
                <w:color w:val="000000"/>
                <w:sz w:val="20"/>
                <w:szCs w:val="20"/>
                <w:lang w:val="en-CA"/>
              </w:rPr>
            </w:pPr>
            <w:r w:rsidRPr="00FE3307">
              <w:rPr>
                <w:b/>
                <w:bCs/>
                <w:color w:val="000000"/>
                <w:sz w:val="20"/>
                <w:szCs w:val="20"/>
                <w:lang w:val="en-CA"/>
              </w:rPr>
              <w:t>Baseline</w:t>
            </w:r>
          </w:p>
        </w:tc>
      </w:tr>
      <w:tr w:rsidR="00A742EA" w:rsidRPr="00FE3307" w14:paraId="1D51BFB7" w14:textId="77777777" w:rsidTr="002D2FCF">
        <w:tc>
          <w:tcPr>
            <w:tcW w:w="5000" w:type="pct"/>
            <w:gridSpan w:val="7"/>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D756FDF" w14:textId="0A00B134" w:rsidR="00A742EA" w:rsidRPr="00FE3307" w:rsidRDefault="00A742EA" w:rsidP="002D2FCF">
            <w:pPr>
              <w:widowControl w:val="0"/>
              <w:jc w:val="left"/>
              <w:rPr>
                <w:b/>
                <w:bCs/>
                <w:color w:val="000000"/>
                <w:sz w:val="20"/>
                <w:szCs w:val="20"/>
                <w:lang w:val="en-CA"/>
              </w:rPr>
            </w:pPr>
            <w:r w:rsidRPr="00FE3307">
              <w:rPr>
                <w:b/>
                <w:bCs/>
                <w:color w:val="000000"/>
                <w:sz w:val="20"/>
                <w:szCs w:val="20"/>
                <w:lang w:val="en-CA"/>
              </w:rPr>
              <w:t>Metric tonnes</w:t>
            </w:r>
            <w:r w:rsidR="008A0D4A">
              <w:rPr>
                <w:b/>
                <w:bCs/>
                <w:color w:val="000000"/>
                <w:sz w:val="20"/>
                <w:szCs w:val="20"/>
                <w:lang w:val="en-CA"/>
              </w:rPr>
              <w:t xml:space="preserve"> (</w:t>
            </w:r>
            <w:proofErr w:type="spellStart"/>
            <w:r w:rsidR="008A0D4A">
              <w:rPr>
                <w:b/>
                <w:bCs/>
                <w:color w:val="000000"/>
                <w:sz w:val="20"/>
                <w:szCs w:val="20"/>
                <w:lang w:val="en-CA"/>
              </w:rPr>
              <w:t>mt</w:t>
            </w:r>
            <w:proofErr w:type="spellEnd"/>
            <w:r w:rsidR="008A0D4A">
              <w:rPr>
                <w:b/>
                <w:bCs/>
                <w:color w:val="000000"/>
                <w:sz w:val="20"/>
                <w:szCs w:val="20"/>
                <w:lang w:val="en-CA"/>
              </w:rPr>
              <w:t>)</w:t>
            </w:r>
          </w:p>
        </w:tc>
      </w:tr>
      <w:tr w:rsidR="00A742EA" w:rsidRPr="00FE3307" w14:paraId="53682DB6" w14:textId="77777777" w:rsidTr="002D2FCF">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4349324" w14:textId="77777777" w:rsidR="00A742EA" w:rsidRPr="002D2FCF" w:rsidRDefault="00A742EA" w:rsidP="002D2FCF">
            <w:pPr>
              <w:widowControl w:val="0"/>
              <w:jc w:val="left"/>
              <w:rPr>
                <w:color w:val="000000"/>
                <w:sz w:val="21"/>
                <w:szCs w:val="21"/>
                <w:lang w:val="en-CA"/>
              </w:rPr>
            </w:pPr>
            <w:r w:rsidRPr="002D2FCF">
              <w:rPr>
                <w:color w:val="000000"/>
                <w:sz w:val="21"/>
                <w:szCs w:val="21"/>
                <w:lang w:val="en-CA"/>
              </w:rPr>
              <w:t>HCFC-22</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bottom"/>
          </w:tcPr>
          <w:p w14:paraId="4FFDA6BE" w14:textId="77777777" w:rsidR="00A742EA" w:rsidRPr="002D2FCF" w:rsidRDefault="00A742EA" w:rsidP="002D2FCF">
            <w:pPr>
              <w:widowControl w:val="0"/>
              <w:jc w:val="right"/>
              <w:rPr>
                <w:color w:val="000000"/>
                <w:sz w:val="21"/>
                <w:szCs w:val="21"/>
              </w:rPr>
            </w:pPr>
            <w:r w:rsidRPr="002D2FCF">
              <w:rPr>
                <w:color w:val="000000"/>
                <w:sz w:val="21"/>
                <w:szCs w:val="21"/>
              </w:rPr>
              <w:t>318.13</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right w:w="230" w:type="dxa"/>
            </w:tcMar>
            <w:vAlign w:val="bottom"/>
          </w:tcPr>
          <w:p w14:paraId="50F2989F" w14:textId="77777777" w:rsidR="00A742EA" w:rsidRPr="002D2FCF" w:rsidRDefault="00A742EA" w:rsidP="002D2FCF">
            <w:pPr>
              <w:widowControl w:val="0"/>
              <w:jc w:val="right"/>
              <w:rPr>
                <w:color w:val="000000"/>
                <w:sz w:val="21"/>
                <w:szCs w:val="21"/>
              </w:rPr>
            </w:pPr>
            <w:r w:rsidRPr="002D2FCF">
              <w:rPr>
                <w:color w:val="000000"/>
                <w:sz w:val="21"/>
                <w:szCs w:val="21"/>
              </w:rPr>
              <w:t>332.04</w:t>
            </w:r>
          </w:p>
        </w:tc>
        <w:tc>
          <w:tcPr>
            <w:tcW w:w="593" w:type="pct"/>
            <w:tcBorders>
              <w:top w:val="single" w:sz="4" w:space="0" w:color="auto"/>
              <w:left w:val="single" w:sz="4" w:space="0" w:color="auto"/>
              <w:bottom w:val="single" w:sz="4" w:space="0" w:color="auto"/>
              <w:right w:val="single" w:sz="4" w:space="0" w:color="auto"/>
            </w:tcBorders>
            <w:noWrap/>
            <w:tcMar>
              <w:right w:w="230" w:type="dxa"/>
            </w:tcMar>
          </w:tcPr>
          <w:p w14:paraId="05D5DE30" w14:textId="77777777" w:rsidR="00A742EA" w:rsidRPr="002D2FCF" w:rsidRDefault="00A742EA" w:rsidP="002D2FCF">
            <w:pPr>
              <w:widowControl w:val="0"/>
              <w:jc w:val="right"/>
              <w:rPr>
                <w:color w:val="000000"/>
                <w:sz w:val="21"/>
                <w:szCs w:val="21"/>
                <w:lang w:val="en-CA"/>
              </w:rPr>
            </w:pPr>
            <w:r w:rsidRPr="002D2FCF">
              <w:rPr>
                <w:color w:val="000000"/>
                <w:sz w:val="21"/>
                <w:szCs w:val="21"/>
                <w:lang w:val="en-CA"/>
              </w:rPr>
              <w:t>300.27</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78B9836B" w14:textId="77777777" w:rsidR="00A742EA" w:rsidRPr="002D2FCF" w:rsidRDefault="00A742EA" w:rsidP="002D2FCF">
            <w:pPr>
              <w:widowControl w:val="0"/>
              <w:jc w:val="right"/>
              <w:rPr>
                <w:color w:val="000000"/>
                <w:sz w:val="21"/>
                <w:szCs w:val="21"/>
                <w:lang w:val="en-CA"/>
              </w:rPr>
            </w:pPr>
            <w:r w:rsidRPr="002D2FCF">
              <w:rPr>
                <w:color w:val="000000"/>
                <w:sz w:val="21"/>
                <w:szCs w:val="21"/>
                <w:lang w:val="en-CA"/>
              </w:rPr>
              <w:t>297.10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7FF3919C"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261.16</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center"/>
          </w:tcPr>
          <w:p w14:paraId="3E2603AF" w14:textId="77777777" w:rsidR="00A742EA" w:rsidRPr="002D2FCF" w:rsidRDefault="00A742EA" w:rsidP="002D2FCF">
            <w:pPr>
              <w:jc w:val="right"/>
              <w:rPr>
                <w:color w:val="000000"/>
                <w:sz w:val="21"/>
                <w:szCs w:val="21"/>
                <w:lang w:val="en-US"/>
              </w:rPr>
            </w:pPr>
            <w:r w:rsidRPr="002D2FCF">
              <w:rPr>
                <w:color w:val="000000"/>
                <w:sz w:val="21"/>
                <w:szCs w:val="21"/>
                <w:lang w:val="en-US"/>
              </w:rPr>
              <w:t>404.32</w:t>
            </w:r>
          </w:p>
        </w:tc>
      </w:tr>
      <w:tr w:rsidR="00A742EA" w:rsidRPr="00FE3307" w14:paraId="0B286032" w14:textId="77777777" w:rsidTr="002D2FCF">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EAE707D" w14:textId="77777777" w:rsidR="00A742EA" w:rsidRPr="002D2FCF" w:rsidRDefault="00A742EA" w:rsidP="002D2FCF">
            <w:pPr>
              <w:widowControl w:val="0"/>
              <w:jc w:val="left"/>
              <w:rPr>
                <w:color w:val="000000"/>
                <w:sz w:val="21"/>
                <w:szCs w:val="21"/>
                <w:lang w:val="en-CA"/>
              </w:rPr>
            </w:pPr>
            <w:r w:rsidRPr="002D2FCF">
              <w:rPr>
                <w:color w:val="000000"/>
                <w:sz w:val="21"/>
                <w:szCs w:val="21"/>
                <w:lang w:val="en-CA"/>
              </w:rPr>
              <w:t>HCFC-123</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bottom"/>
          </w:tcPr>
          <w:p w14:paraId="651E4F4A" w14:textId="77777777" w:rsidR="00A742EA" w:rsidRPr="002D2FCF" w:rsidRDefault="00A742EA" w:rsidP="002D2FCF">
            <w:pPr>
              <w:widowControl w:val="0"/>
              <w:jc w:val="right"/>
              <w:rPr>
                <w:color w:val="000000"/>
                <w:sz w:val="21"/>
                <w:szCs w:val="21"/>
              </w:rPr>
            </w:pPr>
            <w:r w:rsidRPr="002D2FCF">
              <w:rPr>
                <w:color w:val="000000"/>
                <w:sz w:val="21"/>
                <w:szCs w:val="21"/>
              </w:rPr>
              <w:t>1.46</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right w:w="230" w:type="dxa"/>
            </w:tcMar>
            <w:vAlign w:val="bottom"/>
          </w:tcPr>
          <w:p w14:paraId="56D4A897" w14:textId="77777777" w:rsidR="00A742EA" w:rsidRPr="002D2FCF" w:rsidRDefault="00A742EA" w:rsidP="002D2FCF">
            <w:pPr>
              <w:widowControl w:val="0"/>
              <w:jc w:val="right"/>
              <w:rPr>
                <w:color w:val="000000"/>
                <w:sz w:val="21"/>
                <w:szCs w:val="21"/>
              </w:rPr>
            </w:pPr>
            <w:r w:rsidRPr="002D2FCF">
              <w:rPr>
                <w:color w:val="000000"/>
                <w:sz w:val="21"/>
                <w:szCs w:val="21"/>
              </w:rPr>
              <w:t>4.5</w:t>
            </w:r>
          </w:p>
        </w:tc>
        <w:tc>
          <w:tcPr>
            <w:tcW w:w="593" w:type="pct"/>
            <w:tcBorders>
              <w:top w:val="single" w:sz="4" w:space="0" w:color="auto"/>
              <w:left w:val="single" w:sz="4" w:space="0" w:color="auto"/>
              <w:bottom w:val="single" w:sz="4" w:space="0" w:color="auto"/>
              <w:right w:val="single" w:sz="4" w:space="0" w:color="auto"/>
            </w:tcBorders>
            <w:noWrap/>
            <w:tcMar>
              <w:right w:w="230" w:type="dxa"/>
            </w:tcMar>
          </w:tcPr>
          <w:p w14:paraId="37549979" w14:textId="77777777" w:rsidR="00A742EA" w:rsidRPr="002D2FCF" w:rsidRDefault="00A742EA" w:rsidP="002D2FCF">
            <w:pPr>
              <w:widowControl w:val="0"/>
              <w:jc w:val="right"/>
              <w:rPr>
                <w:color w:val="000000"/>
                <w:sz w:val="21"/>
                <w:szCs w:val="21"/>
                <w:lang w:val="en-CA"/>
              </w:rPr>
            </w:pPr>
            <w:r w:rsidRPr="002D2FCF">
              <w:rPr>
                <w:color w:val="000000"/>
                <w:sz w:val="21"/>
                <w:szCs w:val="21"/>
                <w:lang w:val="en-CA"/>
              </w:rPr>
              <w:t>0.53</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43909105"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1C185365"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center"/>
          </w:tcPr>
          <w:p w14:paraId="6C4416B7" w14:textId="77777777" w:rsidR="00A742EA" w:rsidRPr="002D2FCF" w:rsidRDefault="00A742EA" w:rsidP="002D2FCF">
            <w:pPr>
              <w:jc w:val="right"/>
              <w:rPr>
                <w:color w:val="000000"/>
                <w:sz w:val="21"/>
                <w:szCs w:val="21"/>
                <w:lang w:val="en-US"/>
              </w:rPr>
            </w:pPr>
            <w:r w:rsidRPr="002D2FCF">
              <w:rPr>
                <w:color w:val="000000"/>
                <w:sz w:val="21"/>
                <w:szCs w:val="21"/>
                <w:lang w:val="en-US"/>
              </w:rPr>
              <w:t>2.37</w:t>
            </w:r>
          </w:p>
        </w:tc>
      </w:tr>
      <w:tr w:rsidR="00A742EA" w:rsidRPr="00FE3307" w14:paraId="3AD8EFC0" w14:textId="77777777" w:rsidTr="002D2FCF">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6FF1F6E" w14:textId="77777777" w:rsidR="00A742EA" w:rsidRPr="002D2FCF" w:rsidRDefault="00A742EA" w:rsidP="002D2FCF">
            <w:pPr>
              <w:widowControl w:val="0"/>
              <w:jc w:val="left"/>
              <w:rPr>
                <w:color w:val="000000"/>
                <w:sz w:val="21"/>
                <w:szCs w:val="21"/>
                <w:lang w:val="en-CA"/>
              </w:rPr>
            </w:pPr>
            <w:r w:rsidRPr="002D2FCF">
              <w:rPr>
                <w:color w:val="000000"/>
                <w:sz w:val="21"/>
                <w:szCs w:val="21"/>
                <w:lang w:val="en-CA"/>
              </w:rPr>
              <w:t>HCFC-124</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bottom"/>
          </w:tcPr>
          <w:p w14:paraId="24657A75" w14:textId="77777777" w:rsidR="00A742EA" w:rsidRPr="002D2FCF" w:rsidRDefault="00A742EA" w:rsidP="002D2FCF">
            <w:pPr>
              <w:widowControl w:val="0"/>
              <w:jc w:val="right"/>
              <w:rPr>
                <w:color w:val="000000"/>
                <w:sz w:val="21"/>
                <w:szCs w:val="21"/>
              </w:rPr>
            </w:pPr>
            <w:r w:rsidRPr="002D2FCF">
              <w:rPr>
                <w:color w:val="000000"/>
                <w:sz w:val="21"/>
                <w:szCs w:val="21"/>
              </w:rPr>
              <w:t>0.071</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right w:w="230" w:type="dxa"/>
            </w:tcMar>
            <w:vAlign w:val="bottom"/>
          </w:tcPr>
          <w:p w14:paraId="64179685" w14:textId="77777777" w:rsidR="00A742EA" w:rsidRPr="002D2FCF" w:rsidRDefault="00A742EA" w:rsidP="002D2FCF">
            <w:pPr>
              <w:widowControl w:val="0"/>
              <w:jc w:val="right"/>
              <w:rPr>
                <w:color w:val="000000"/>
                <w:sz w:val="21"/>
                <w:szCs w:val="21"/>
              </w:rPr>
            </w:pPr>
            <w:r w:rsidRPr="002D2FCF">
              <w:rPr>
                <w:color w:val="000000"/>
                <w:sz w:val="21"/>
                <w:szCs w:val="21"/>
              </w:rPr>
              <w:t>0.00</w:t>
            </w:r>
          </w:p>
        </w:tc>
        <w:tc>
          <w:tcPr>
            <w:tcW w:w="593" w:type="pct"/>
            <w:tcBorders>
              <w:top w:val="single" w:sz="4" w:space="0" w:color="auto"/>
              <w:left w:val="single" w:sz="4" w:space="0" w:color="auto"/>
              <w:bottom w:val="single" w:sz="4" w:space="0" w:color="auto"/>
              <w:right w:val="single" w:sz="4" w:space="0" w:color="auto"/>
            </w:tcBorders>
            <w:noWrap/>
            <w:tcMar>
              <w:right w:w="230" w:type="dxa"/>
            </w:tcMar>
          </w:tcPr>
          <w:p w14:paraId="77F6591C" w14:textId="77777777" w:rsidR="00A742EA" w:rsidRPr="002D2FCF" w:rsidRDefault="00A742EA"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40C57D7C"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736BD0B1"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center"/>
          </w:tcPr>
          <w:p w14:paraId="0A31FD8E" w14:textId="77777777" w:rsidR="00A742EA" w:rsidRPr="002D2FCF" w:rsidRDefault="00A742EA" w:rsidP="002D2FCF">
            <w:pPr>
              <w:jc w:val="right"/>
              <w:rPr>
                <w:color w:val="000000"/>
                <w:sz w:val="21"/>
                <w:szCs w:val="21"/>
                <w:lang w:val="en-US"/>
              </w:rPr>
            </w:pPr>
            <w:r w:rsidRPr="002D2FCF">
              <w:rPr>
                <w:color w:val="000000"/>
                <w:sz w:val="21"/>
                <w:szCs w:val="21"/>
                <w:lang w:val="en-US"/>
              </w:rPr>
              <w:t>0.45</w:t>
            </w:r>
          </w:p>
        </w:tc>
      </w:tr>
      <w:tr w:rsidR="00A742EA" w:rsidRPr="00FE3307" w14:paraId="067E3340" w14:textId="77777777" w:rsidTr="002D2FCF">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F727750" w14:textId="77777777" w:rsidR="00A742EA" w:rsidRPr="002D2FCF" w:rsidRDefault="00A742EA" w:rsidP="002D2FCF">
            <w:pPr>
              <w:widowControl w:val="0"/>
              <w:jc w:val="left"/>
              <w:rPr>
                <w:color w:val="000000"/>
                <w:sz w:val="21"/>
                <w:szCs w:val="21"/>
                <w:lang w:val="en-CA"/>
              </w:rPr>
            </w:pPr>
            <w:r w:rsidRPr="002D2FCF">
              <w:rPr>
                <w:color w:val="000000"/>
                <w:sz w:val="21"/>
                <w:szCs w:val="21"/>
                <w:lang w:val="en-CA"/>
              </w:rPr>
              <w:t>HCFC-141b</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bottom"/>
          </w:tcPr>
          <w:p w14:paraId="5557F461" w14:textId="77777777" w:rsidR="00A742EA" w:rsidRPr="002D2FCF" w:rsidRDefault="00A742EA" w:rsidP="002D2FCF">
            <w:pPr>
              <w:widowControl w:val="0"/>
              <w:jc w:val="right"/>
              <w:rPr>
                <w:color w:val="000000"/>
                <w:sz w:val="21"/>
                <w:szCs w:val="21"/>
              </w:rPr>
            </w:pPr>
            <w:r w:rsidRPr="002D2FCF">
              <w:rPr>
                <w:color w:val="000000"/>
                <w:sz w:val="21"/>
                <w:szCs w:val="21"/>
              </w:rPr>
              <w:t>0.00</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right w:w="230" w:type="dxa"/>
            </w:tcMar>
            <w:vAlign w:val="bottom"/>
          </w:tcPr>
          <w:p w14:paraId="2A470F8C" w14:textId="77777777" w:rsidR="00A742EA" w:rsidRPr="002D2FCF" w:rsidRDefault="00A742EA" w:rsidP="002D2FCF">
            <w:pPr>
              <w:widowControl w:val="0"/>
              <w:jc w:val="right"/>
              <w:rPr>
                <w:color w:val="000000"/>
                <w:sz w:val="21"/>
                <w:szCs w:val="21"/>
              </w:rPr>
            </w:pPr>
            <w:r w:rsidRPr="002D2FCF">
              <w:rPr>
                <w:color w:val="000000"/>
                <w:sz w:val="21"/>
                <w:szCs w:val="21"/>
              </w:rPr>
              <w:t>0.00</w:t>
            </w:r>
          </w:p>
        </w:tc>
        <w:tc>
          <w:tcPr>
            <w:tcW w:w="593" w:type="pct"/>
            <w:tcBorders>
              <w:top w:val="single" w:sz="4" w:space="0" w:color="auto"/>
              <w:left w:val="single" w:sz="4" w:space="0" w:color="auto"/>
              <w:bottom w:val="single" w:sz="4" w:space="0" w:color="auto"/>
              <w:right w:val="single" w:sz="4" w:space="0" w:color="auto"/>
            </w:tcBorders>
            <w:noWrap/>
            <w:tcMar>
              <w:right w:w="230" w:type="dxa"/>
            </w:tcMar>
          </w:tcPr>
          <w:p w14:paraId="032C2D54" w14:textId="77777777" w:rsidR="00A742EA" w:rsidRPr="002D2FCF" w:rsidRDefault="00A742EA"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50D39D39"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614365E7"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center"/>
          </w:tcPr>
          <w:p w14:paraId="71A949B9" w14:textId="77777777" w:rsidR="00A742EA" w:rsidRPr="002D2FCF" w:rsidRDefault="00A742EA" w:rsidP="002D2FCF">
            <w:pPr>
              <w:jc w:val="right"/>
              <w:rPr>
                <w:color w:val="000000"/>
                <w:sz w:val="21"/>
                <w:szCs w:val="21"/>
                <w:lang w:val="en-US"/>
              </w:rPr>
            </w:pPr>
            <w:r w:rsidRPr="002D2FCF">
              <w:rPr>
                <w:color w:val="000000"/>
                <w:sz w:val="21"/>
                <w:szCs w:val="21"/>
                <w:lang w:val="en-US"/>
              </w:rPr>
              <w:t>20.87</w:t>
            </w:r>
          </w:p>
        </w:tc>
      </w:tr>
      <w:tr w:rsidR="00A742EA" w:rsidRPr="00FE3307" w14:paraId="59A7366E" w14:textId="77777777" w:rsidTr="002D2FCF">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280C73D" w14:textId="77777777" w:rsidR="00A742EA" w:rsidRPr="002D2FCF" w:rsidRDefault="00A742EA" w:rsidP="002D2FCF">
            <w:pPr>
              <w:widowControl w:val="0"/>
              <w:jc w:val="left"/>
              <w:rPr>
                <w:color w:val="000000"/>
                <w:sz w:val="21"/>
                <w:szCs w:val="21"/>
                <w:lang w:val="en-CA"/>
              </w:rPr>
            </w:pPr>
            <w:r w:rsidRPr="002D2FCF">
              <w:rPr>
                <w:color w:val="000000"/>
                <w:sz w:val="21"/>
                <w:szCs w:val="21"/>
                <w:lang w:val="en-CA"/>
              </w:rPr>
              <w:t>HCFC-142b</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bottom"/>
          </w:tcPr>
          <w:p w14:paraId="1168305A" w14:textId="77777777" w:rsidR="00A742EA" w:rsidRPr="002D2FCF" w:rsidRDefault="00A742EA" w:rsidP="002D2FCF">
            <w:pPr>
              <w:widowControl w:val="0"/>
              <w:jc w:val="right"/>
              <w:rPr>
                <w:color w:val="000000"/>
                <w:sz w:val="21"/>
                <w:szCs w:val="21"/>
              </w:rPr>
            </w:pPr>
            <w:r w:rsidRPr="002D2FCF">
              <w:rPr>
                <w:color w:val="000000"/>
                <w:sz w:val="21"/>
                <w:szCs w:val="21"/>
              </w:rPr>
              <w:t>0.043</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right w:w="230" w:type="dxa"/>
            </w:tcMar>
            <w:vAlign w:val="bottom"/>
          </w:tcPr>
          <w:p w14:paraId="6513A138" w14:textId="77777777" w:rsidR="00A742EA" w:rsidRPr="002D2FCF" w:rsidRDefault="00A742EA" w:rsidP="002D2FCF">
            <w:pPr>
              <w:widowControl w:val="0"/>
              <w:jc w:val="right"/>
              <w:rPr>
                <w:color w:val="000000"/>
                <w:sz w:val="21"/>
                <w:szCs w:val="21"/>
              </w:rPr>
            </w:pPr>
            <w:r w:rsidRPr="002D2FCF">
              <w:rPr>
                <w:color w:val="000000"/>
                <w:sz w:val="21"/>
                <w:szCs w:val="21"/>
              </w:rPr>
              <w:t>0.00</w:t>
            </w:r>
          </w:p>
        </w:tc>
        <w:tc>
          <w:tcPr>
            <w:tcW w:w="593" w:type="pct"/>
            <w:tcBorders>
              <w:top w:val="single" w:sz="4" w:space="0" w:color="auto"/>
              <w:left w:val="single" w:sz="4" w:space="0" w:color="auto"/>
              <w:bottom w:val="single" w:sz="4" w:space="0" w:color="auto"/>
              <w:right w:val="single" w:sz="4" w:space="0" w:color="auto"/>
            </w:tcBorders>
            <w:noWrap/>
            <w:tcMar>
              <w:right w:w="230" w:type="dxa"/>
            </w:tcMar>
          </w:tcPr>
          <w:p w14:paraId="3D1CC7D9" w14:textId="77777777" w:rsidR="00A742EA" w:rsidRPr="002D2FCF" w:rsidRDefault="00A742EA"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142B95E5"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67221F4C"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center"/>
          </w:tcPr>
          <w:p w14:paraId="23178DCA" w14:textId="77777777" w:rsidR="00A742EA" w:rsidRPr="002D2FCF" w:rsidRDefault="00A742EA" w:rsidP="002D2FCF">
            <w:pPr>
              <w:jc w:val="right"/>
              <w:rPr>
                <w:color w:val="000000"/>
                <w:sz w:val="21"/>
                <w:szCs w:val="21"/>
                <w:lang w:val="en-US"/>
              </w:rPr>
            </w:pPr>
            <w:r w:rsidRPr="002D2FCF">
              <w:rPr>
                <w:color w:val="000000"/>
                <w:sz w:val="21"/>
                <w:szCs w:val="21"/>
                <w:lang w:val="en-US"/>
              </w:rPr>
              <w:t>2.72</w:t>
            </w:r>
          </w:p>
        </w:tc>
      </w:tr>
      <w:tr w:rsidR="00A742EA" w:rsidRPr="00FE3307" w14:paraId="1DDBC96B" w14:textId="77777777" w:rsidTr="002D2FCF">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7EDFEEB4" w14:textId="77777777" w:rsidR="00A742EA" w:rsidRPr="002D2FCF" w:rsidRDefault="00A742EA" w:rsidP="002D2FCF">
            <w:pPr>
              <w:jc w:val="left"/>
              <w:rPr>
                <w:rFonts w:eastAsiaTheme="minorHAnsi"/>
                <w:b/>
                <w:color w:val="000000"/>
                <w:sz w:val="21"/>
                <w:szCs w:val="21"/>
                <w:lang w:val="en-CA"/>
              </w:rPr>
            </w:pPr>
            <w:r w:rsidRPr="002D2FCF">
              <w:rPr>
                <w:b/>
                <w:color w:val="000000"/>
                <w:sz w:val="21"/>
                <w:szCs w:val="21"/>
                <w:lang w:val="en-CA"/>
              </w:rPr>
              <w:t>Total (</w:t>
            </w:r>
            <w:proofErr w:type="spellStart"/>
            <w:r w:rsidRPr="002D2FCF">
              <w:rPr>
                <w:b/>
                <w:color w:val="000000"/>
                <w:sz w:val="21"/>
                <w:szCs w:val="21"/>
                <w:lang w:val="en-CA"/>
              </w:rPr>
              <w:t>mt</w:t>
            </w:r>
            <w:proofErr w:type="spellEnd"/>
            <w:r w:rsidRPr="002D2FCF">
              <w:rPr>
                <w:b/>
                <w:color w:val="000000"/>
                <w:sz w:val="21"/>
                <w:szCs w:val="21"/>
                <w:lang w:val="en-CA"/>
              </w:rPr>
              <w:t>)</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center"/>
          </w:tcPr>
          <w:p w14:paraId="6FD559F0" w14:textId="77777777" w:rsidR="00A742EA" w:rsidRPr="002D2FCF" w:rsidRDefault="00A742EA" w:rsidP="002D2FCF">
            <w:pPr>
              <w:widowControl w:val="0"/>
              <w:jc w:val="right"/>
              <w:rPr>
                <w:b/>
                <w:color w:val="000000"/>
                <w:sz w:val="21"/>
                <w:szCs w:val="21"/>
                <w:lang w:val="en-CA"/>
              </w:rPr>
            </w:pPr>
            <w:r w:rsidRPr="002D2FCF">
              <w:rPr>
                <w:b/>
                <w:color w:val="000000"/>
                <w:sz w:val="21"/>
                <w:szCs w:val="21"/>
                <w:lang w:val="en-CA"/>
              </w:rPr>
              <w:t>319.70</w:t>
            </w:r>
          </w:p>
        </w:tc>
        <w:tc>
          <w:tcPr>
            <w:tcW w:w="593" w:type="pct"/>
            <w:tcBorders>
              <w:top w:val="single" w:sz="4" w:space="0" w:color="auto"/>
              <w:left w:val="single" w:sz="4" w:space="0" w:color="auto"/>
              <w:bottom w:val="single" w:sz="4" w:space="0" w:color="auto"/>
              <w:right w:val="single" w:sz="4" w:space="0" w:color="auto"/>
            </w:tcBorders>
            <w:noWrap/>
            <w:tcMar>
              <w:right w:w="230" w:type="dxa"/>
            </w:tcMar>
          </w:tcPr>
          <w:p w14:paraId="66E8316A" w14:textId="77777777" w:rsidR="00A742EA" w:rsidRPr="002D2FCF" w:rsidRDefault="00A742EA" w:rsidP="002D2FCF">
            <w:pPr>
              <w:widowControl w:val="0"/>
              <w:jc w:val="right"/>
              <w:rPr>
                <w:b/>
                <w:color w:val="000000"/>
                <w:sz w:val="21"/>
                <w:szCs w:val="21"/>
                <w:lang w:val="en-CA"/>
              </w:rPr>
            </w:pPr>
            <w:r w:rsidRPr="002D2FCF">
              <w:rPr>
                <w:b/>
                <w:color w:val="000000"/>
                <w:sz w:val="21"/>
                <w:szCs w:val="21"/>
                <w:lang w:val="en-CA"/>
              </w:rPr>
              <w:t>336.54</w:t>
            </w:r>
          </w:p>
        </w:tc>
        <w:tc>
          <w:tcPr>
            <w:tcW w:w="593" w:type="pct"/>
            <w:tcBorders>
              <w:top w:val="single" w:sz="4" w:space="0" w:color="auto"/>
              <w:left w:val="single" w:sz="4" w:space="0" w:color="auto"/>
              <w:bottom w:val="single" w:sz="4" w:space="0" w:color="auto"/>
              <w:right w:val="single" w:sz="4" w:space="0" w:color="auto"/>
            </w:tcBorders>
            <w:noWrap/>
            <w:tcMar>
              <w:right w:w="230" w:type="dxa"/>
            </w:tcMar>
          </w:tcPr>
          <w:p w14:paraId="74BC98A1" w14:textId="77777777" w:rsidR="00A742EA" w:rsidRPr="002D2FCF" w:rsidRDefault="00A742EA" w:rsidP="002D2FCF">
            <w:pPr>
              <w:widowControl w:val="0"/>
              <w:jc w:val="right"/>
              <w:rPr>
                <w:b/>
                <w:color w:val="000000"/>
                <w:sz w:val="21"/>
                <w:szCs w:val="21"/>
                <w:lang w:val="en-CA"/>
              </w:rPr>
            </w:pPr>
            <w:r w:rsidRPr="002D2FCF">
              <w:rPr>
                <w:b/>
                <w:color w:val="000000"/>
                <w:sz w:val="21"/>
                <w:szCs w:val="21"/>
                <w:lang w:val="en-CA"/>
              </w:rPr>
              <w:t>300.80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023852A0" w14:textId="77777777" w:rsidR="00A742EA" w:rsidRPr="002D2FCF" w:rsidRDefault="00A742EA" w:rsidP="002D2FCF">
            <w:pPr>
              <w:widowControl w:val="0"/>
              <w:jc w:val="right"/>
              <w:rPr>
                <w:b/>
                <w:color w:val="000000"/>
                <w:sz w:val="21"/>
                <w:szCs w:val="21"/>
                <w:lang w:val="en-CA"/>
              </w:rPr>
            </w:pPr>
            <w:r w:rsidRPr="002D2FCF">
              <w:rPr>
                <w:b/>
                <w:color w:val="000000"/>
                <w:sz w:val="21"/>
                <w:szCs w:val="21"/>
                <w:lang w:val="en-CA"/>
              </w:rPr>
              <w:t>297.10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45C67A99" w14:textId="77777777" w:rsidR="00A742EA" w:rsidRPr="002D2FCF" w:rsidRDefault="005E4A26" w:rsidP="002D2FCF">
            <w:pPr>
              <w:widowControl w:val="0"/>
              <w:jc w:val="right"/>
              <w:rPr>
                <w:b/>
                <w:color w:val="000000"/>
                <w:sz w:val="21"/>
                <w:szCs w:val="21"/>
                <w:lang w:val="en-CA"/>
              </w:rPr>
            </w:pPr>
            <w:r w:rsidRPr="002D2FCF">
              <w:rPr>
                <w:b/>
                <w:color w:val="000000"/>
                <w:sz w:val="21"/>
                <w:szCs w:val="21"/>
                <w:lang w:val="en-CA"/>
              </w:rPr>
              <w:t>261.16</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center"/>
          </w:tcPr>
          <w:p w14:paraId="6A5A1B72" w14:textId="77777777" w:rsidR="00A742EA" w:rsidRPr="002D2FCF" w:rsidRDefault="00A742EA" w:rsidP="002D2FCF">
            <w:pPr>
              <w:widowControl w:val="0"/>
              <w:jc w:val="right"/>
              <w:rPr>
                <w:b/>
                <w:color w:val="000000"/>
                <w:sz w:val="21"/>
                <w:szCs w:val="21"/>
              </w:rPr>
            </w:pPr>
            <w:r w:rsidRPr="002D2FCF">
              <w:rPr>
                <w:b/>
                <w:color w:val="000000"/>
                <w:sz w:val="21"/>
                <w:szCs w:val="21"/>
              </w:rPr>
              <w:t>430.66</w:t>
            </w:r>
          </w:p>
        </w:tc>
      </w:tr>
      <w:tr w:rsidR="00A742EA" w:rsidRPr="00FE3307" w14:paraId="4F6F032E" w14:textId="77777777" w:rsidTr="002D2FCF">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13CAE205" w14:textId="1263FC07" w:rsidR="00A742EA" w:rsidRPr="002D2FCF" w:rsidRDefault="00A742EA" w:rsidP="006D6DA8">
            <w:pPr>
              <w:jc w:val="left"/>
              <w:rPr>
                <w:b/>
                <w:bCs/>
                <w:color w:val="000000"/>
                <w:sz w:val="21"/>
                <w:szCs w:val="21"/>
                <w:highlight w:val="magenta"/>
                <w:lang w:val="en-CA"/>
              </w:rPr>
            </w:pPr>
            <w:r w:rsidRPr="002D2FCF">
              <w:rPr>
                <w:color w:val="000000"/>
                <w:sz w:val="21"/>
                <w:szCs w:val="21"/>
                <w:lang w:val="en-CA"/>
              </w:rPr>
              <w:t>HCFC-141b in imported pre</w:t>
            </w:r>
            <w:r w:rsidR="006D6DA8">
              <w:rPr>
                <w:color w:val="000000"/>
                <w:sz w:val="21"/>
                <w:szCs w:val="21"/>
                <w:lang w:val="en-CA"/>
              </w:rPr>
              <w:noBreakHyphen/>
            </w:r>
            <w:r w:rsidRPr="002D2FCF">
              <w:rPr>
                <w:color w:val="000000"/>
                <w:sz w:val="21"/>
                <w:szCs w:val="21"/>
                <w:lang w:val="en-CA"/>
              </w:rPr>
              <w:t>blended polyols*</w:t>
            </w:r>
          </w:p>
        </w:tc>
        <w:tc>
          <w:tcPr>
            <w:tcW w:w="593" w:type="pct"/>
            <w:tcBorders>
              <w:top w:val="single" w:sz="4" w:space="0" w:color="auto"/>
              <w:bottom w:val="single" w:sz="4" w:space="0" w:color="auto"/>
              <w:right w:val="single" w:sz="4" w:space="0" w:color="auto"/>
            </w:tcBorders>
            <w:shd w:val="clear" w:color="auto" w:fill="auto"/>
            <w:noWrap/>
            <w:tcMar>
              <w:right w:w="230" w:type="dxa"/>
            </w:tcMar>
          </w:tcPr>
          <w:p w14:paraId="694D8C9E" w14:textId="77777777" w:rsidR="00A742EA" w:rsidRPr="002D2FCF" w:rsidRDefault="00A742EA" w:rsidP="002D2FCF">
            <w:pPr>
              <w:jc w:val="right"/>
              <w:rPr>
                <w:color w:val="000000"/>
                <w:sz w:val="21"/>
                <w:szCs w:val="21"/>
                <w:lang w:val="en-CA"/>
              </w:rPr>
            </w:pPr>
            <w:r w:rsidRPr="002D2FCF">
              <w:rPr>
                <w:color w:val="000000"/>
                <w:sz w:val="21"/>
                <w:szCs w:val="21"/>
                <w:lang w:val="en-CA"/>
              </w:rPr>
              <w:t>79.38</w:t>
            </w:r>
          </w:p>
        </w:tc>
        <w:tc>
          <w:tcPr>
            <w:tcW w:w="593" w:type="pct"/>
            <w:tcBorders>
              <w:top w:val="single" w:sz="4" w:space="0" w:color="auto"/>
              <w:left w:val="single" w:sz="4" w:space="0" w:color="auto"/>
              <w:bottom w:val="single" w:sz="4" w:space="0" w:color="auto"/>
              <w:right w:val="single" w:sz="4" w:space="0" w:color="auto"/>
            </w:tcBorders>
            <w:noWrap/>
            <w:tcMar>
              <w:right w:w="230" w:type="dxa"/>
            </w:tcMar>
          </w:tcPr>
          <w:p w14:paraId="5F186915" w14:textId="77777777" w:rsidR="00A742EA" w:rsidRPr="002D2FCF" w:rsidRDefault="00A742EA" w:rsidP="002D2FCF">
            <w:pPr>
              <w:jc w:val="right"/>
              <w:rPr>
                <w:color w:val="000000"/>
                <w:sz w:val="21"/>
                <w:szCs w:val="21"/>
                <w:lang w:val="en-CA"/>
              </w:rPr>
            </w:pPr>
            <w:r w:rsidRPr="002D2FCF">
              <w:rPr>
                <w:color w:val="000000"/>
                <w:sz w:val="21"/>
                <w:szCs w:val="21"/>
                <w:lang w:val="en-CA"/>
              </w:rPr>
              <w:t>41.35</w:t>
            </w:r>
          </w:p>
        </w:tc>
        <w:tc>
          <w:tcPr>
            <w:tcW w:w="593" w:type="pct"/>
            <w:tcBorders>
              <w:top w:val="single" w:sz="4" w:space="0" w:color="auto"/>
              <w:left w:val="single" w:sz="4" w:space="0" w:color="auto"/>
              <w:bottom w:val="single" w:sz="4" w:space="0" w:color="auto"/>
              <w:right w:val="single" w:sz="4" w:space="0" w:color="auto"/>
            </w:tcBorders>
            <w:noWrap/>
            <w:tcMar>
              <w:right w:w="230" w:type="dxa"/>
            </w:tcMar>
          </w:tcPr>
          <w:p w14:paraId="468422BF" w14:textId="77777777" w:rsidR="00A742EA" w:rsidRPr="002D2FCF" w:rsidRDefault="00A742EA" w:rsidP="002D2FCF">
            <w:pPr>
              <w:jc w:val="right"/>
              <w:rPr>
                <w:sz w:val="21"/>
                <w:szCs w:val="21"/>
                <w:lang w:val="en-CA"/>
              </w:rPr>
            </w:pPr>
            <w:r w:rsidRPr="002D2FCF">
              <w:rPr>
                <w:sz w:val="21"/>
                <w:szCs w:val="21"/>
                <w:lang w:val="en-CA"/>
              </w:rPr>
              <w:t>60.62</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5635C43D" w14:textId="77777777" w:rsidR="00A742EA" w:rsidRPr="002D2FCF" w:rsidRDefault="00A742EA" w:rsidP="002D2FCF">
            <w:pPr>
              <w:jc w:val="right"/>
              <w:rPr>
                <w:color w:val="000000"/>
                <w:sz w:val="21"/>
                <w:szCs w:val="21"/>
                <w:lang w:val="en-CA"/>
              </w:rPr>
            </w:pPr>
            <w:r w:rsidRPr="002D2FCF">
              <w:rPr>
                <w:color w:val="000000"/>
                <w:sz w:val="21"/>
                <w:szCs w:val="21"/>
                <w:lang w:val="en-CA"/>
              </w:rPr>
              <w:t>52.81</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67B6439B" w14:textId="77777777" w:rsidR="00A742EA" w:rsidRPr="002D2FCF" w:rsidRDefault="000F3BDE" w:rsidP="002D2FCF">
            <w:pPr>
              <w:jc w:val="right"/>
              <w:rPr>
                <w:sz w:val="21"/>
                <w:szCs w:val="21"/>
                <w:lang w:val="en-CA"/>
              </w:rPr>
            </w:pPr>
            <w:r w:rsidRPr="002D2FCF">
              <w:rPr>
                <w:sz w:val="21"/>
                <w:szCs w:val="21"/>
                <w:lang w:val="en-CA"/>
              </w:rPr>
              <w:t>70.73</w:t>
            </w:r>
          </w:p>
        </w:tc>
        <w:tc>
          <w:tcPr>
            <w:tcW w:w="593" w:type="pct"/>
            <w:tcBorders>
              <w:top w:val="single" w:sz="4" w:space="0" w:color="auto"/>
              <w:bottom w:val="single" w:sz="4" w:space="0" w:color="auto"/>
              <w:right w:val="single" w:sz="4" w:space="0" w:color="auto"/>
            </w:tcBorders>
            <w:shd w:val="clear" w:color="auto" w:fill="auto"/>
            <w:noWrap/>
            <w:tcMar>
              <w:right w:w="230" w:type="dxa"/>
            </w:tcMar>
          </w:tcPr>
          <w:p w14:paraId="564C7D47" w14:textId="77777777" w:rsidR="00A742EA" w:rsidRPr="002D2FCF" w:rsidRDefault="00A742EA" w:rsidP="002D2FCF">
            <w:pPr>
              <w:widowControl w:val="0"/>
              <w:jc w:val="right"/>
              <w:rPr>
                <w:color w:val="000000"/>
                <w:sz w:val="21"/>
                <w:szCs w:val="21"/>
              </w:rPr>
            </w:pPr>
            <w:r w:rsidRPr="002D2FCF">
              <w:rPr>
                <w:color w:val="000000"/>
                <w:sz w:val="21"/>
                <w:szCs w:val="21"/>
              </w:rPr>
              <w:t>22.72**</w:t>
            </w:r>
          </w:p>
        </w:tc>
      </w:tr>
      <w:tr w:rsidR="00A742EA" w:rsidRPr="00FE3307" w14:paraId="6FD6D469" w14:textId="77777777" w:rsidTr="002D2FCF">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Mar>
              <w:left w:w="43" w:type="dxa"/>
              <w:right w:w="230" w:type="dxa"/>
            </w:tcMar>
            <w:vAlign w:val="center"/>
            <w:hideMark/>
          </w:tcPr>
          <w:p w14:paraId="70D9D53F" w14:textId="77777777" w:rsidR="00A742EA" w:rsidRPr="002D2FCF" w:rsidRDefault="00A742EA" w:rsidP="002D2FCF">
            <w:pPr>
              <w:widowControl w:val="0"/>
              <w:jc w:val="left"/>
              <w:rPr>
                <w:color w:val="000000"/>
                <w:sz w:val="21"/>
                <w:szCs w:val="21"/>
                <w:lang w:val="en-CA"/>
              </w:rPr>
            </w:pPr>
            <w:r w:rsidRPr="002D2FCF">
              <w:rPr>
                <w:b/>
                <w:bCs/>
                <w:color w:val="000000"/>
                <w:sz w:val="21"/>
                <w:szCs w:val="21"/>
                <w:lang w:val="en-CA"/>
              </w:rPr>
              <w:t>ODP tonnes</w:t>
            </w:r>
          </w:p>
        </w:tc>
      </w:tr>
      <w:tr w:rsidR="00A742EA" w:rsidRPr="00FE3307" w14:paraId="5CDB3A9F" w14:textId="77777777" w:rsidTr="002D2FCF">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F9FAA2C" w14:textId="77777777" w:rsidR="00A742EA" w:rsidRPr="002D2FCF" w:rsidRDefault="00A742EA" w:rsidP="002D2FCF">
            <w:pPr>
              <w:widowControl w:val="0"/>
              <w:jc w:val="left"/>
              <w:rPr>
                <w:color w:val="000000"/>
                <w:sz w:val="21"/>
                <w:szCs w:val="21"/>
                <w:lang w:val="en-CA"/>
              </w:rPr>
            </w:pPr>
            <w:r w:rsidRPr="002D2FCF">
              <w:rPr>
                <w:color w:val="000000"/>
                <w:sz w:val="21"/>
                <w:szCs w:val="21"/>
                <w:lang w:val="en-CA"/>
              </w:rPr>
              <w:t>HCFC-22</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bottom"/>
          </w:tcPr>
          <w:p w14:paraId="4B500E5C" w14:textId="77777777" w:rsidR="00A742EA" w:rsidRPr="002D2FCF" w:rsidRDefault="00A742EA" w:rsidP="002D2FCF">
            <w:pPr>
              <w:widowControl w:val="0"/>
              <w:jc w:val="right"/>
              <w:rPr>
                <w:color w:val="000000"/>
                <w:sz w:val="21"/>
                <w:szCs w:val="21"/>
              </w:rPr>
            </w:pPr>
            <w:r w:rsidRPr="002D2FCF">
              <w:rPr>
                <w:color w:val="000000"/>
                <w:sz w:val="21"/>
                <w:szCs w:val="21"/>
              </w:rPr>
              <w:t>17.50</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right w:w="230" w:type="dxa"/>
            </w:tcMar>
            <w:vAlign w:val="bottom"/>
          </w:tcPr>
          <w:p w14:paraId="5943B7FC" w14:textId="77777777" w:rsidR="00A742EA" w:rsidRPr="002D2FCF" w:rsidRDefault="00A742EA" w:rsidP="002D2FCF">
            <w:pPr>
              <w:widowControl w:val="0"/>
              <w:jc w:val="right"/>
              <w:rPr>
                <w:color w:val="000000"/>
                <w:sz w:val="21"/>
                <w:szCs w:val="21"/>
              </w:rPr>
            </w:pPr>
            <w:r w:rsidRPr="002D2FCF">
              <w:rPr>
                <w:color w:val="000000"/>
                <w:sz w:val="21"/>
                <w:szCs w:val="21"/>
              </w:rPr>
              <w:t>18.26</w:t>
            </w:r>
          </w:p>
        </w:tc>
        <w:tc>
          <w:tcPr>
            <w:tcW w:w="593" w:type="pct"/>
            <w:tcBorders>
              <w:top w:val="single" w:sz="4" w:space="0" w:color="auto"/>
              <w:left w:val="single" w:sz="4" w:space="0" w:color="auto"/>
              <w:bottom w:val="single" w:sz="4" w:space="0" w:color="auto"/>
            </w:tcBorders>
            <w:noWrap/>
            <w:tcMar>
              <w:right w:w="230" w:type="dxa"/>
            </w:tcMar>
          </w:tcPr>
          <w:p w14:paraId="15F63337" w14:textId="77777777" w:rsidR="00A742EA" w:rsidRPr="002D2FCF" w:rsidRDefault="00A742EA" w:rsidP="002D2FCF">
            <w:pPr>
              <w:widowControl w:val="0"/>
              <w:jc w:val="right"/>
              <w:rPr>
                <w:color w:val="000000"/>
                <w:sz w:val="21"/>
                <w:szCs w:val="21"/>
                <w:lang w:val="en-CA"/>
              </w:rPr>
            </w:pPr>
            <w:r w:rsidRPr="002D2FCF">
              <w:rPr>
                <w:color w:val="000000"/>
                <w:sz w:val="21"/>
                <w:szCs w:val="21"/>
                <w:lang w:val="en-CA"/>
              </w:rPr>
              <w:t>16.51</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21177157" w14:textId="77777777" w:rsidR="00A742EA" w:rsidRPr="002D2FCF" w:rsidRDefault="00A742EA" w:rsidP="002D2FCF">
            <w:pPr>
              <w:widowControl w:val="0"/>
              <w:jc w:val="right"/>
              <w:rPr>
                <w:color w:val="000000"/>
                <w:sz w:val="21"/>
                <w:szCs w:val="21"/>
                <w:lang w:val="en-CA"/>
              </w:rPr>
            </w:pPr>
            <w:r w:rsidRPr="002D2FCF">
              <w:rPr>
                <w:color w:val="000000"/>
                <w:sz w:val="21"/>
                <w:szCs w:val="21"/>
                <w:lang w:val="en-CA"/>
              </w:rPr>
              <w:t>16.34</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1B63DE77" w14:textId="77777777" w:rsidR="00A742EA" w:rsidRPr="002D2FCF" w:rsidRDefault="005E4A26" w:rsidP="002D2FCF">
            <w:pPr>
              <w:widowControl w:val="0"/>
              <w:jc w:val="right"/>
              <w:rPr>
                <w:color w:val="000000"/>
                <w:sz w:val="21"/>
                <w:szCs w:val="21"/>
                <w:lang w:val="en-CA"/>
              </w:rPr>
            </w:pPr>
            <w:r w:rsidRPr="002D2FCF">
              <w:rPr>
                <w:sz w:val="21"/>
                <w:szCs w:val="21"/>
              </w:rPr>
              <w:t>14.36</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center"/>
          </w:tcPr>
          <w:p w14:paraId="615A361F" w14:textId="77777777" w:rsidR="00A742EA" w:rsidRPr="002D2FCF" w:rsidRDefault="00A742EA" w:rsidP="002D2FCF">
            <w:pPr>
              <w:widowControl w:val="0"/>
              <w:jc w:val="right"/>
              <w:rPr>
                <w:color w:val="000000"/>
                <w:sz w:val="21"/>
                <w:szCs w:val="21"/>
              </w:rPr>
            </w:pPr>
            <w:r w:rsidRPr="002D2FCF">
              <w:rPr>
                <w:color w:val="000000"/>
                <w:sz w:val="21"/>
                <w:szCs w:val="21"/>
              </w:rPr>
              <w:t>22.24</w:t>
            </w:r>
          </w:p>
        </w:tc>
      </w:tr>
      <w:tr w:rsidR="00A742EA" w:rsidRPr="00FE3307" w14:paraId="613830A3" w14:textId="77777777" w:rsidTr="002D2FCF">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164CD29" w14:textId="77777777" w:rsidR="00A742EA" w:rsidRPr="002D2FCF" w:rsidRDefault="00A742EA" w:rsidP="002D2FCF">
            <w:pPr>
              <w:widowControl w:val="0"/>
              <w:jc w:val="left"/>
              <w:rPr>
                <w:color w:val="000000"/>
                <w:sz w:val="21"/>
                <w:szCs w:val="21"/>
                <w:lang w:val="en-CA"/>
              </w:rPr>
            </w:pPr>
            <w:r w:rsidRPr="002D2FCF">
              <w:rPr>
                <w:color w:val="000000"/>
                <w:sz w:val="21"/>
                <w:szCs w:val="21"/>
                <w:lang w:val="en-CA"/>
              </w:rPr>
              <w:t>HCFC-123</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bottom"/>
          </w:tcPr>
          <w:p w14:paraId="731F9135" w14:textId="77777777" w:rsidR="00A742EA" w:rsidRPr="002D2FCF" w:rsidRDefault="00A742EA" w:rsidP="002D2FCF">
            <w:pPr>
              <w:widowControl w:val="0"/>
              <w:jc w:val="right"/>
              <w:rPr>
                <w:color w:val="000000"/>
                <w:sz w:val="21"/>
                <w:szCs w:val="21"/>
              </w:rPr>
            </w:pPr>
            <w:r w:rsidRPr="002D2FCF">
              <w:rPr>
                <w:color w:val="000000"/>
                <w:sz w:val="21"/>
                <w:szCs w:val="21"/>
              </w:rPr>
              <w:t>0.03</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right w:w="230" w:type="dxa"/>
            </w:tcMar>
            <w:vAlign w:val="bottom"/>
          </w:tcPr>
          <w:p w14:paraId="1D128D00" w14:textId="77777777" w:rsidR="00A742EA" w:rsidRPr="002D2FCF" w:rsidRDefault="00A742EA" w:rsidP="002D2FCF">
            <w:pPr>
              <w:widowControl w:val="0"/>
              <w:jc w:val="right"/>
              <w:rPr>
                <w:color w:val="000000"/>
                <w:sz w:val="21"/>
                <w:szCs w:val="21"/>
              </w:rPr>
            </w:pPr>
            <w:r w:rsidRPr="002D2FCF">
              <w:rPr>
                <w:color w:val="000000"/>
                <w:sz w:val="21"/>
                <w:szCs w:val="21"/>
              </w:rPr>
              <w:t>0.09</w:t>
            </w:r>
          </w:p>
        </w:tc>
        <w:tc>
          <w:tcPr>
            <w:tcW w:w="593" w:type="pct"/>
            <w:tcBorders>
              <w:top w:val="single" w:sz="4" w:space="0" w:color="auto"/>
              <w:left w:val="single" w:sz="4" w:space="0" w:color="auto"/>
              <w:bottom w:val="single" w:sz="4" w:space="0" w:color="auto"/>
            </w:tcBorders>
            <w:noWrap/>
            <w:tcMar>
              <w:right w:w="230" w:type="dxa"/>
            </w:tcMar>
          </w:tcPr>
          <w:p w14:paraId="6BB7FE75" w14:textId="77777777" w:rsidR="00A742EA" w:rsidRPr="002D2FCF" w:rsidRDefault="00A742EA" w:rsidP="002D2FCF">
            <w:pPr>
              <w:widowControl w:val="0"/>
              <w:jc w:val="right"/>
              <w:rPr>
                <w:color w:val="000000"/>
                <w:sz w:val="21"/>
                <w:szCs w:val="21"/>
                <w:lang w:val="en-CA"/>
              </w:rPr>
            </w:pPr>
            <w:r w:rsidRPr="002D2FCF">
              <w:rPr>
                <w:color w:val="000000"/>
                <w:sz w:val="21"/>
                <w:szCs w:val="21"/>
                <w:lang w:val="en-CA"/>
              </w:rPr>
              <w:t>0.01</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0CA9B6F5"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65DC9092"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center"/>
          </w:tcPr>
          <w:p w14:paraId="59A31A63" w14:textId="77777777" w:rsidR="00A742EA" w:rsidRPr="002D2FCF" w:rsidRDefault="00A742EA" w:rsidP="002D2FCF">
            <w:pPr>
              <w:widowControl w:val="0"/>
              <w:jc w:val="right"/>
              <w:rPr>
                <w:color w:val="000000"/>
                <w:sz w:val="21"/>
                <w:szCs w:val="21"/>
              </w:rPr>
            </w:pPr>
            <w:r w:rsidRPr="002D2FCF">
              <w:rPr>
                <w:color w:val="000000"/>
                <w:sz w:val="21"/>
                <w:szCs w:val="21"/>
              </w:rPr>
              <w:t>0.05</w:t>
            </w:r>
          </w:p>
        </w:tc>
      </w:tr>
      <w:tr w:rsidR="00A742EA" w:rsidRPr="00FE3307" w14:paraId="795592F2" w14:textId="77777777" w:rsidTr="002D2FCF">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3AED3E7" w14:textId="77777777" w:rsidR="00A742EA" w:rsidRPr="002D2FCF" w:rsidRDefault="00A742EA" w:rsidP="002D2FCF">
            <w:pPr>
              <w:widowControl w:val="0"/>
              <w:jc w:val="left"/>
              <w:rPr>
                <w:color w:val="000000"/>
                <w:sz w:val="21"/>
                <w:szCs w:val="21"/>
                <w:lang w:val="en-CA"/>
              </w:rPr>
            </w:pPr>
            <w:r w:rsidRPr="002D2FCF">
              <w:rPr>
                <w:color w:val="000000"/>
                <w:sz w:val="21"/>
                <w:szCs w:val="21"/>
                <w:lang w:val="en-CA"/>
              </w:rPr>
              <w:t>HCFC-124</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bottom"/>
          </w:tcPr>
          <w:p w14:paraId="250413F8" w14:textId="77777777" w:rsidR="00A742EA" w:rsidRPr="002D2FCF" w:rsidRDefault="00A742EA" w:rsidP="002D2FCF">
            <w:pPr>
              <w:widowControl w:val="0"/>
              <w:jc w:val="right"/>
              <w:rPr>
                <w:color w:val="000000"/>
                <w:sz w:val="21"/>
                <w:szCs w:val="21"/>
              </w:rPr>
            </w:pPr>
            <w:r w:rsidRPr="002D2FCF">
              <w:rPr>
                <w:color w:val="000000"/>
                <w:sz w:val="21"/>
                <w:szCs w:val="21"/>
              </w:rPr>
              <w:t>0.00</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right w:w="230" w:type="dxa"/>
            </w:tcMar>
            <w:vAlign w:val="bottom"/>
          </w:tcPr>
          <w:p w14:paraId="287EDCC6" w14:textId="77777777" w:rsidR="00A742EA" w:rsidRPr="002D2FCF" w:rsidRDefault="00A742EA" w:rsidP="002D2FCF">
            <w:pPr>
              <w:widowControl w:val="0"/>
              <w:jc w:val="right"/>
              <w:rPr>
                <w:color w:val="000000"/>
                <w:sz w:val="21"/>
                <w:szCs w:val="21"/>
              </w:rPr>
            </w:pPr>
            <w:r w:rsidRPr="002D2FCF">
              <w:rPr>
                <w:color w:val="000000"/>
                <w:sz w:val="21"/>
                <w:szCs w:val="21"/>
              </w:rPr>
              <w:t>0.00</w:t>
            </w:r>
          </w:p>
        </w:tc>
        <w:tc>
          <w:tcPr>
            <w:tcW w:w="593" w:type="pct"/>
            <w:tcBorders>
              <w:top w:val="single" w:sz="4" w:space="0" w:color="auto"/>
              <w:left w:val="single" w:sz="4" w:space="0" w:color="auto"/>
              <w:bottom w:val="single" w:sz="4" w:space="0" w:color="auto"/>
            </w:tcBorders>
            <w:noWrap/>
            <w:tcMar>
              <w:right w:w="230" w:type="dxa"/>
            </w:tcMar>
          </w:tcPr>
          <w:p w14:paraId="25E85CF1" w14:textId="77777777" w:rsidR="00A742EA" w:rsidRPr="002D2FCF" w:rsidRDefault="00A742EA"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5E424830"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2FD853F2"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center"/>
          </w:tcPr>
          <w:p w14:paraId="19194415" w14:textId="77777777" w:rsidR="00A742EA" w:rsidRPr="002D2FCF" w:rsidRDefault="00A742EA" w:rsidP="002D2FCF">
            <w:pPr>
              <w:widowControl w:val="0"/>
              <w:jc w:val="right"/>
              <w:rPr>
                <w:color w:val="000000"/>
                <w:sz w:val="21"/>
                <w:szCs w:val="21"/>
              </w:rPr>
            </w:pPr>
            <w:r w:rsidRPr="002D2FCF">
              <w:rPr>
                <w:color w:val="000000"/>
                <w:sz w:val="21"/>
                <w:szCs w:val="21"/>
              </w:rPr>
              <w:t>0.01</w:t>
            </w:r>
          </w:p>
        </w:tc>
      </w:tr>
      <w:tr w:rsidR="00A742EA" w:rsidRPr="00FE3307" w14:paraId="2B984EA3" w14:textId="77777777" w:rsidTr="002D2FCF">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2F34C64" w14:textId="77777777" w:rsidR="00A742EA" w:rsidRPr="002D2FCF" w:rsidRDefault="00A742EA" w:rsidP="002D2FCF">
            <w:pPr>
              <w:widowControl w:val="0"/>
              <w:jc w:val="left"/>
              <w:rPr>
                <w:color w:val="000000"/>
                <w:sz w:val="21"/>
                <w:szCs w:val="21"/>
                <w:lang w:val="en-CA"/>
              </w:rPr>
            </w:pPr>
            <w:r w:rsidRPr="002D2FCF">
              <w:rPr>
                <w:color w:val="000000"/>
                <w:sz w:val="21"/>
                <w:szCs w:val="21"/>
                <w:lang w:val="en-CA"/>
              </w:rPr>
              <w:t>HCFC-141b</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bottom"/>
          </w:tcPr>
          <w:p w14:paraId="2AC6898C" w14:textId="77777777" w:rsidR="00A742EA" w:rsidRPr="002D2FCF" w:rsidRDefault="00A742EA" w:rsidP="002D2FCF">
            <w:pPr>
              <w:widowControl w:val="0"/>
              <w:jc w:val="right"/>
              <w:rPr>
                <w:color w:val="000000"/>
                <w:sz w:val="21"/>
                <w:szCs w:val="21"/>
              </w:rPr>
            </w:pPr>
            <w:r w:rsidRPr="002D2FCF">
              <w:rPr>
                <w:color w:val="000000"/>
                <w:sz w:val="21"/>
                <w:szCs w:val="21"/>
              </w:rPr>
              <w:t>0.00</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right w:w="230" w:type="dxa"/>
            </w:tcMar>
            <w:vAlign w:val="bottom"/>
          </w:tcPr>
          <w:p w14:paraId="1D9784F2" w14:textId="77777777" w:rsidR="00A742EA" w:rsidRPr="002D2FCF" w:rsidRDefault="00A742EA" w:rsidP="002D2FCF">
            <w:pPr>
              <w:widowControl w:val="0"/>
              <w:jc w:val="right"/>
              <w:rPr>
                <w:color w:val="000000"/>
                <w:sz w:val="21"/>
                <w:szCs w:val="21"/>
              </w:rPr>
            </w:pPr>
            <w:r w:rsidRPr="002D2FCF">
              <w:rPr>
                <w:color w:val="000000"/>
                <w:sz w:val="21"/>
                <w:szCs w:val="21"/>
              </w:rPr>
              <w:t>0.00</w:t>
            </w:r>
          </w:p>
        </w:tc>
        <w:tc>
          <w:tcPr>
            <w:tcW w:w="593" w:type="pct"/>
            <w:tcBorders>
              <w:top w:val="single" w:sz="4" w:space="0" w:color="auto"/>
              <w:left w:val="single" w:sz="4" w:space="0" w:color="auto"/>
              <w:bottom w:val="single" w:sz="4" w:space="0" w:color="auto"/>
            </w:tcBorders>
            <w:noWrap/>
            <w:tcMar>
              <w:right w:w="230" w:type="dxa"/>
            </w:tcMar>
          </w:tcPr>
          <w:p w14:paraId="58D3FD85" w14:textId="77777777" w:rsidR="00A742EA" w:rsidRPr="002D2FCF" w:rsidRDefault="00A742EA"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57B1CDB4"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5B2D4BEE"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center"/>
          </w:tcPr>
          <w:p w14:paraId="73C6C59F" w14:textId="77777777" w:rsidR="00A742EA" w:rsidRPr="002D2FCF" w:rsidRDefault="00A742EA" w:rsidP="002D2FCF">
            <w:pPr>
              <w:widowControl w:val="0"/>
              <w:jc w:val="right"/>
              <w:rPr>
                <w:color w:val="000000"/>
                <w:sz w:val="21"/>
                <w:szCs w:val="21"/>
              </w:rPr>
            </w:pPr>
            <w:r w:rsidRPr="002D2FCF">
              <w:rPr>
                <w:color w:val="000000"/>
                <w:sz w:val="21"/>
                <w:szCs w:val="21"/>
              </w:rPr>
              <w:t>2.30</w:t>
            </w:r>
          </w:p>
        </w:tc>
      </w:tr>
      <w:tr w:rsidR="00A742EA" w:rsidRPr="00FE3307" w14:paraId="5FDDD8EF" w14:textId="77777777" w:rsidTr="002D2FCF">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D0D9005" w14:textId="77777777" w:rsidR="00A742EA" w:rsidRPr="002D2FCF" w:rsidRDefault="00A742EA" w:rsidP="002D2FCF">
            <w:pPr>
              <w:widowControl w:val="0"/>
              <w:jc w:val="left"/>
              <w:rPr>
                <w:color w:val="000000"/>
                <w:sz w:val="21"/>
                <w:szCs w:val="21"/>
                <w:lang w:val="en-CA"/>
              </w:rPr>
            </w:pPr>
            <w:r w:rsidRPr="002D2FCF">
              <w:rPr>
                <w:color w:val="000000"/>
                <w:sz w:val="21"/>
                <w:szCs w:val="21"/>
                <w:lang w:val="en-CA"/>
              </w:rPr>
              <w:t>HCFC-142b</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bottom"/>
          </w:tcPr>
          <w:p w14:paraId="5C5ACA42" w14:textId="77777777" w:rsidR="00A742EA" w:rsidRPr="002D2FCF" w:rsidRDefault="00A742EA" w:rsidP="002D2FCF">
            <w:pPr>
              <w:widowControl w:val="0"/>
              <w:jc w:val="right"/>
              <w:rPr>
                <w:color w:val="000000"/>
                <w:sz w:val="21"/>
                <w:szCs w:val="21"/>
              </w:rPr>
            </w:pPr>
            <w:r w:rsidRPr="002D2FCF">
              <w:rPr>
                <w:color w:val="000000"/>
                <w:sz w:val="21"/>
                <w:szCs w:val="21"/>
              </w:rPr>
              <w:t>0.00</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right w:w="230" w:type="dxa"/>
            </w:tcMar>
            <w:vAlign w:val="bottom"/>
          </w:tcPr>
          <w:p w14:paraId="220E39E5" w14:textId="77777777" w:rsidR="00A742EA" w:rsidRPr="002D2FCF" w:rsidRDefault="00A742EA" w:rsidP="002D2FCF">
            <w:pPr>
              <w:widowControl w:val="0"/>
              <w:jc w:val="right"/>
              <w:rPr>
                <w:color w:val="000000"/>
                <w:sz w:val="21"/>
                <w:szCs w:val="21"/>
              </w:rPr>
            </w:pPr>
            <w:r w:rsidRPr="002D2FCF">
              <w:rPr>
                <w:color w:val="000000"/>
                <w:sz w:val="21"/>
                <w:szCs w:val="21"/>
              </w:rPr>
              <w:t>0.00</w:t>
            </w:r>
          </w:p>
        </w:tc>
        <w:tc>
          <w:tcPr>
            <w:tcW w:w="593" w:type="pct"/>
            <w:tcBorders>
              <w:top w:val="single" w:sz="4" w:space="0" w:color="auto"/>
              <w:left w:val="single" w:sz="4" w:space="0" w:color="auto"/>
              <w:bottom w:val="single" w:sz="4" w:space="0" w:color="auto"/>
            </w:tcBorders>
            <w:noWrap/>
            <w:tcMar>
              <w:right w:w="230" w:type="dxa"/>
            </w:tcMar>
          </w:tcPr>
          <w:p w14:paraId="16CFB998" w14:textId="77777777" w:rsidR="00A742EA" w:rsidRPr="002D2FCF" w:rsidRDefault="00A742EA"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3A0FC6EC"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0A4F2940" w14:textId="77777777" w:rsidR="00A742EA" w:rsidRPr="002D2FCF" w:rsidRDefault="005E4A26" w:rsidP="002D2FCF">
            <w:pPr>
              <w:widowControl w:val="0"/>
              <w:jc w:val="right"/>
              <w:rPr>
                <w:color w:val="000000"/>
                <w:sz w:val="21"/>
                <w:szCs w:val="21"/>
                <w:lang w:val="en-CA"/>
              </w:rPr>
            </w:pPr>
            <w:r w:rsidRPr="002D2FCF">
              <w:rPr>
                <w:color w:val="000000"/>
                <w:sz w:val="21"/>
                <w:szCs w:val="21"/>
                <w:lang w:val="en-CA"/>
              </w:rPr>
              <w:t>0.00</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center"/>
          </w:tcPr>
          <w:p w14:paraId="19EE23BD" w14:textId="77777777" w:rsidR="00A742EA" w:rsidRPr="002D2FCF" w:rsidRDefault="00A742EA" w:rsidP="002D2FCF">
            <w:pPr>
              <w:widowControl w:val="0"/>
              <w:jc w:val="right"/>
              <w:rPr>
                <w:color w:val="000000"/>
                <w:sz w:val="21"/>
                <w:szCs w:val="21"/>
              </w:rPr>
            </w:pPr>
            <w:r w:rsidRPr="002D2FCF">
              <w:rPr>
                <w:color w:val="000000"/>
                <w:sz w:val="21"/>
                <w:szCs w:val="21"/>
              </w:rPr>
              <w:t>0.18</w:t>
            </w:r>
          </w:p>
        </w:tc>
      </w:tr>
      <w:tr w:rsidR="00A742EA" w:rsidRPr="00FE3307" w14:paraId="23811DCD" w14:textId="77777777" w:rsidTr="002D2FCF">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5CD82968" w14:textId="77777777" w:rsidR="00A742EA" w:rsidRPr="002D2FCF" w:rsidRDefault="00A742EA" w:rsidP="002D2FCF">
            <w:pPr>
              <w:jc w:val="left"/>
              <w:rPr>
                <w:rFonts w:eastAsiaTheme="minorHAnsi"/>
                <w:b/>
                <w:sz w:val="21"/>
                <w:szCs w:val="21"/>
                <w:lang w:val="en-CA"/>
              </w:rPr>
            </w:pPr>
            <w:r w:rsidRPr="002D2FCF">
              <w:rPr>
                <w:b/>
                <w:sz w:val="21"/>
                <w:szCs w:val="21"/>
                <w:lang w:val="en-CA"/>
              </w:rPr>
              <w:t>Total (ODP tonnes)</w:t>
            </w:r>
          </w:p>
        </w:tc>
        <w:tc>
          <w:tcPr>
            <w:tcW w:w="593" w:type="pct"/>
            <w:tcBorders>
              <w:top w:val="single" w:sz="4" w:space="0" w:color="auto"/>
              <w:bottom w:val="single" w:sz="4" w:space="0" w:color="auto"/>
              <w:right w:val="single" w:sz="4" w:space="0" w:color="auto"/>
            </w:tcBorders>
            <w:shd w:val="clear" w:color="auto" w:fill="auto"/>
            <w:noWrap/>
            <w:tcMar>
              <w:right w:w="230" w:type="dxa"/>
            </w:tcMar>
            <w:vAlign w:val="center"/>
          </w:tcPr>
          <w:p w14:paraId="6BB959CA" w14:textId="77777777" w:rsidR="00A742EA" w:rsidRPr="002D2FCF" w:rsidRDefault="00A742EA" w:rsidP="002D2FCF">
            <w:pPr>
              <w:widowControl w:val="0"/>
              <w:jc w:val="right"/>
              <w:rPr>
                <w:b/>
                <w:color w:val="000000"/>
                <w:sz w:val="21"/>
                <w:szCs w:val="21"/>
              </w:rPr>
            </w:pPr>
            <w:r w:rsidRPr="002D2FCF">
              <w:rPr>
                <w:b/>
                <w:color w:val="000000"/>
                <w:sz w:val="21"/>
                <w:szCs w:val="21"/>
              </w:rPr>
              <w:t>17.53</w:t>
            </w:r>
          </w:p>
        </w:tc>
        <w:tc>
          <w:tcPr>
            <w:tcW w:w="593" w:type="pct"/>
            <w:tcBorders>
              <w:top w:val="single" w:sz="4" w:space="0" w:color="auto"/>
              <w:left w:val="single" w:sz="4" w:space="0" w:color="auto"/>
              <w:bottom w:val="single" w:sz="4" w:space="0" w:color="auto"/>
              <w:right w:val="single" w:sz="4" w:space="0" w:color="auto"/>
            </w:tcBorders>
            <w:noWrap/>
            <w:tcMar>
              <w:right w:w="230" w:type="dxa"/>
            </w:tcMar>
          </w:tcPr>
          <w:p w14:paraId="40B68083" w14:textId="77777777" w:rsidR="00A742EA" w:rsidRPr="002D2FCF" w:rsidRDefault="00A742EA" w:rsidP="002D2FCF">
            <w:pPr>
              <w:jc w:val="right"/>
              <w:rPr>
                <w:b/>
                <w:color w:val="000000"/>
                <w:sz w:val="21"/>
                <w:szCs w:val="21"/>
              </w:rPr>
            </w:pPr>
            <w:r w:rsidRPr="002D2FCF">
              <w:rPr>
                <w:b/>
                <w:color w:val="000000"/>
                <w:sz w:val="21"/>
                <w:szCs w:val="21"/>
              </w:rPr>
              <w:t>18.35</w:t>
            </w:r>
          </w:p>
        </w:tc>
        <w:tc>
          <w:tcPr>
            <w:tcW w:w="593" w:type="pct"/>
            <w:tcBorders>
              <w:top w:val="single" w:sz="4" w:space="0" w:color="auto"/>
              <w:left w:val="single" w:sz="4" w:space="0" w:color="auto"/>
              <w:bottom w:val="single" w:sz="4" w:space="0" w:color="auto"/>
            </w:tcBorders>
            <w:noWrap/>
            <w:tcMar>
              <w:right w:w="230" w:type="dxa"/>
            </w:tcMar>
          </w:tcPr>
          <w:p w14:paraId="346CEB3F" w14:textId="77777777" w:rsidR="00A742EA" w:rsidRPr="002D2FCF" w:rsidRDefault="00A742EA" w:rsidP="002D2FCF">
            <w:pPr>
              <w:jc w:val="right"/>
              <w:rPr>
                <w:b/>
                <w:color w:val="000000"/>
                <w:sz w:val="21"/>
                <w:szCs w:val="21"/>
                <w:lang w:val="en-CA"/>
              </w:rPr>
            </w:pPr>
            <w:r w:rsidRPr="002D2FCF">
              <w:rPr>
                <w:b/>
                <w:color w:val="000000"/>
                <w:sz w:val="21"/>
                <w:szCs w:val="21"/>
                <w:lang w:val="en-CA"/>
              </w:rPr>
              <w:t>16.53</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51899891" w14:textId="77777777" w:rsidR="00A742EA" w:rsidRPr="002D2FCF" w:rsidRDefault="00A742EA" w:rsidP="002D2FCF">
            <w:pPr>
              <w:jc w:val="right"/>
              <w:rPr>
                <w:b/>
                <w:color w:val="000000"/>
                <w:sz w:val="21"/>
                <w:szCs w:val="21"/>
                <w:lang w:val="en-CA"/>
              </w:rPr>
            </w:pPr>
            <w:r w:rsidRPr="002D2FCF">
              <w:rPr>
                <w:b/>
                <w:color w:val="000000"/>
                <w:sz w:val="21"/>
                <w:szCs w:val="21"/>
                <w:lang w:val="en-CA"/>
              </w:rPr>
              <w:t>16.34</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26AED3DC" w14:textId="77777777" w:rsidR="00A742EA" w:rsidRPr="002D2FCF" w:rsidRDefault="005E4A26" w:rsidP="002D2FCF">
            <w:pPr>
              <w:jc w:val="right"/>
              <w:rPr>
                <w:b/>
                <w:color w:val="000000"/>
                <w:sz w:val="21"/>
                <w:szCs w:val="21"/>
                <w:lang w:val="en-CA"/>
              </w:rPr>
            </w:pPr>
            <w:r w:rsidRPr="002D2FCF">
              <w:rPr>
                <w:b/>
                <w:sz w:val="21"/>
                <w:szCs w:val="21"/>
              </w:rPr>
              <w:t>14.36</w:t>
            </w:r>
          </w:p>
        </w:tc>
        <w:tc>
          <w:tcPr>
            <w:tcW w:w="593" w:type="pct"/>
            <w:tcBorders>
              <w:top w:val="single" w:sz="4" w:space="0" w:color="auto"/>
              <w:bottom w:val="single" w:sz="4" w:space="0" w:color="auto"/>
              <w:right w:val="single" w:sz="4" w:space="0" w:color="auto"/>
            </w:tcBorders>
            <w:shd w:val="clear" w:color="auto" w:fill="auto"/>
            <w:noWrap/>
            <w:tcMar>
              <w:right w:w="230" w:type="dxa"/>
            </w:tcMar>
          </w:tcPr>
          <w:p w14:paraId="1C0268F4" w14:textId="77777777" w:rsidR="00A742EA" w:rsidRPr="002D2FCF" w:rsidRDefault="00A742EA" w:rsidP="002D2FCF">
            <w:pPr>
              <w:jc w:val="right"/>
              <w:rPr>
                <w:rFonts w:eastAsiaTheme="minorHAnsi"/>
                <w:b/>
                <w:color w:val="000000"/>
                <w:sz w:val="21"/>
                <w:szCs w:val="21"/>
              </w:rPr>
            </w:pPr>
            <w:r w:rsidRPr="002D2FCF">
              <w:rPr>
                <w:b/>
                <w:color w:val="000000"/>
                <w:sz w:val="21"/>
                <w:szCs w:val="21"/>
              </w:rPr>
              <w:t>24.77</w:t>
            </w:r>
          </w:p>
        </w:tc>
      </w:tr>
      <w:tr w:rsidR="00A742EA" w:rsidRPr="00FE3307" w14:paraId="727E8B94" w14:textId="77777777" w:rsidTr="002D2FCF">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2B610E0D" w14:textId="438EE57C" w:rsidR="00A742EA" w:rsidRPr="002D2FCF" w:rsidRDefault="00A742EA" w:rsidP="006D6DA8">
            <w:pPr>
              <w:jc w:val="left"/>
              <w:rPr>
                <w:color w:val="000000"/>
                <w:sz w:val="21"/>
                <w:szCs w:val="21"/>
                <w:highlight w:val="magenta"/>
                <w:lang w:val="en-CA"/>
              </w:rPr>
            </w:pPr>
            <w:r w:rsidRPr="002D2FCF">
              <w:rPr>
                <w:color w:val="000000"/>
                <w:sz w:val="21"/>
                <w:szCs w:val="21"/>
                <w:lang w:val="en-CA"/>
              </w:rPr>
              <w:t>HCFC-141b in imported pre</w:t>
            </w:r>
            <w:r w:rsidR="006D6DA8">
              <w:rPr>
                <w:color w:val="000000"/>
                <w:sz w:val="21"/>
                <w:szCs w:val="21"/>
                <w:lang w:val="en-CA"/>
              </w:rPr>
              <w:noBreakHyphen/>
            </w:r>
            <w:r w:rsidRPr="002D2FCF">
              <w:rPr>
                <w:color w:val="000000"/>
                <w:sz w:val="21"/>
                <w:szCs w:val="21"/>
                <w:lang w:val="en-CA"/>
              </w:rPr>
              <w:t>blended polyols*</w:t>
            </w:r>
          </w:p>
        </w:tc>
        <w:tc>
          <w:tcPr>
            <w:tcW w:w="593" w:type="pct"/>
            <w:tcBorders>
              <w:top w:val="single" w:sz="4" w:space="0" w:color="auto"/>
              <w:bottom w:val="single" w:sz="4" w:space="0" w:color="auto"/>
              <w:right w:val="single" w:sz="4" w:space="0" w:color="auto"/>
            </w:tcBorders>
            <w:shd w:val="clear" w:color="auto" w:fill="auto"/>
            <w:noWrap/>
            <w:tcMar>
              <w:right w:w="230" w:type="dxa"/>
            </w:tcMar>
          </w:tcPr>
          <w:p w14:paraId="4564D4A0" w14:textId="77777777" w:rsidR="00A742EA" w:rsidRPr="002D2FCF" w:rsidRDefault="00A742EA" w:rsidP="002D2FCF">
            <w:pPr>
              <w:jc w:val="right"/>
              <w:rPr>
                <w:rFonts w:eastAsiaTheme="minorHAnsi"/>
                <w:color w:val="000000"/>
                <w:sz w:val="21"/>
                <w:szCs w:val="21"/>
                <w:lang w:val="en-CA"/>
              </w:rPr>
            </w:pPr>
            <w:r w:rsidRPr="002D2FCF">
              <w:rPr>
                <w:rFonts w:eastAsiaTheme="minorHAnsi"/>
                <w:color w:val="000000"/>
                <w:sz w:val="21"/>
                <w:szCs w:val="21"/>
                <w:lang w:val="en-CA"/>
              </w:rPr>
              <w:t>8.73</w:t>
            </w:r>
          </w:p>
        </w:tc>
        <w:tc>
          <w:tcPr>
            <w:tcW w:w="593" w:type="pct"/>
            <w:tcBorders>
              <w:top w:val="single" w:sz="4" w:space="0" w:color="auto"/>
              <w:left w:val="single" w:sz="4" w:space="0" w:color="auto"/>
              <w:bottom w:val="single" w:sz="4" w:space="0" w:color="auto"/>
              <w:right w:val="single" w:sz="4" w:space="0" w:color="auto"/>
            </w:tcBorders>
            <w:noWrap/>
            <w:tcMar>
              <w:right w:w="230" w:type="dxa"/>
            </w:tcMar>
          </w:tcPr>
          <w:p w14:paraId="483DD80A" w14:textId="77777777" w:rsidR="00A742EA" w:rsidRPr="002D2FCF" w:rsidRDefault="00A742EA" w:rsidP="002D2FCF">
            <w:pPr>
              <w:jc w:val="right"/>
              <w:rPr>
                <w:color w:val="000000"/>
                <w:sz w:val="21"/>
                <w:szCs w:val="21"/>
                <w:lang w:val="en-CA"/>
              </w:rPr>
            </w:pPr>
            <w:r w:rsidRPr="002D2FCF">
              <w:rPr>
                <w:color w:val="000000"/>
                <w:sz w:val="21"/>
                <w:szCs w:val="21"/>
                <w:lang w:val="en-CA"/>
              </w:rPr>
              <w:t>4.55</w:t>
            </w:r>
          </w:p>
        </w:tc>
        <w:tc>
          <w:tcPr>
            <w:tcW w:w="593" w:type="pct"/>
            <w:tcBorders>
              <w:top w:val="single" w:sz="4" w:space="0" w:color="auto"/>
              <w:left w:val="single" w:sz="4" w:space="0" w:color="auto"/>
              <w:bottom w:val="single" w:sz="4" w:space="0" w:color="auto"/>
            </w:tcBorders>
            <w:noWrap/>
            <w:tcMar>
              <w:right w:w="230" w:type="dxa"/>
            </w:tcMar>
          </w:tcPr>
          <w:p w14:paraId="0795D047" w14:textId="77777777" w:rsidR="00A742EA" w:rsidRPr="002D2FCF" w:rsidRDefault="00A742EA" w:rsidP="002D2FCF">
            <w:pPr>
              <w:jc w:val="right"/>
              <w:rPr>
                <w:rFonts w:eastAsiaTheme="minorHAnsi"/>
                <w:color w:val="000000"/>
                <w:sz w:val="21"/>
                <w:szCs w:val="21"/>
                <w:lang w:val="en-CA"/>
              </w:rPr>
            </w:pPr>
            <w:r w:rsidRPr="002D2FCF">
              <w:rPr>
                <w:rFonts w:eastAsiaTheme="minorHAnsi"/>
                <w:color w:val="000000"/>
                <w:sz w:val="21"/>
                <w:szCs w:val="21"/>
                <w:lang w:val="en-CA"/>
              </w:rPr>
              <w:t>6.67</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1963E2B3" w14:textId="77777777" w:rsidR="00A742EA" w:rsidRPr="002D2FCF" w:rsidRDefault="00A742EA" w:rsidP="002D2FCF">
            <w:pPr>
              <w:jc w:val="right"/>
              <w:rPr>
                <w:color w:val="000000"/>
                <w:sz w:val="21"/>
                <w:szCs w:val="21"/>
                <w:lang w:val="en-CA"/>
              </w:rPr>
            </w:pPr>
            <w:r w:rsidRPr="002D2FCF">
              <w:rPr>
                <w:color w:val="000000"/>
                <w:sz w:val="21"/>
                <w:szCs w:val="21"/>
                <w:lang w:val="en-CA"/>
              </w:rPr>
              <w:t>5.81</w:t>
            </w:r>
          </w:p>
        </w:tc>
        <w:tc>
          <w:tcPr>
            <w:tcW w:w="593" w:type="pct"/>
            <w:tcBorders>
              <w:top w:val="single" w:sz="4" w:space="0" w:color="auto"/>
              <w:left w:val="single" w:sz="4" w:space="0" w:color="auto"/>
              <w:bottom w:val="single" w:sz="4" w:space="0" w:color="auto"/>
              <w:right w:val="single" w:sz="4" w:space="0" w:color="auto"/>
            </w:tcBorders>
            <w:tcMar>
              <w:right w:w="230" w:type="dxa"/>
            </w:tcMar>
          </w:tcPr>
          <w:p w14:paraId="27FCBBA1" w14:textId="77777777" w:rsidR="00A742EA" w:rsidRPr="002D2FCF" w:rsidRDefault="000F3BDE" w:rsidP="002D2FCF">
            <w:pPr>
              <w:jc w:val="right"/>
              <w:rPr>
                <w:rFonts w:eastAsiaTheme="minorHAnsi"/>
                <w:color w:val="000000"/>
                <w:sz w:val="21"/>
                <w:szCs w:val="21"/>
                <w:lang w:val="en-CA"/>
              </w:rPr>
            </w:pPr>
            <w:r w:rsidRPr="002D2FCF">
              <w:rPr>
                <w:rFonts w:eastAsiaTheme="minorHAnsi"/>
                <w:color w:val="000000"/>
                <w:sz w:val="21"/>
                <w:szCs w:val="21"/>
                <w:lang w:val="en-CA"/>
              </w:rPr>
              <w:t>7.78</w:t>
            </w:r>
          </w:p>
        </w:tc>
        <w:tc>
          <w:tcPr>
            <w:tcW w:w="593" w:type="pct"/>
            <w:tcBorders>
              <w:top w:val="single" w:sz="4" w:space="0" w:color="auto"/>
              <w:bottom w:val="single" w:sz="4" w:space="0" w:color="auto"/>
              <w:right w:val="single" w:sz="4" w:space="0" w:color="auto"/>
            </w:tcBorders>
            <w:shd w:val="clear" w:color="auto" w:fill="auto"/>
            <w:noWrap/>
            <w:tcMar>
              <w:right w:w="230" w:type="dxa"/>
            </w:tcMar>
          </w:tcPr>
          <w:p w14:paraId="25B6D7B9" w14:textId="77777777" w:rsidR="00A742EA" w:rsidRPr="002D2FCF" w:rsidRDefault="00A742EA" w:rsidP="002D2FCF">
            <w:pPr>
              <w:jc w:val="right"/>
              <w:rPr>
                <w:rFonts w:eastAsiaTheme="minorHAnsi"/>
                <w:color w:val="000000"/>
                <w:sz w:val="21"/>
                <w:szCs w:val="21"/>
              </w:rPr>
            </w:pPr>
            <w:r w:rsidRPr="002D2FCF">
              <w:rPr>
                <w:color w:val="000000"/>
                <w:sz w:val="21"/>
                <w:szCs w:val="21"/>
              </w:rPr>
              <w:t>2.50</w:t>
            </w:r>
            <w:r w:rsidRPr="002D2FCF">
              <w:rPr>
                <w:rFonts w:eastAsiaTheme="minorHAnsi"/>
                <w:color w:val="000000"/>
                <w:sz w:val="21"/>
                <w:szCs w:val="21"/>
              </w:rPr>
              <w:t>**</w:t>
            </w:r>
          </w:p>
        </w:tc>
      </w:tr>
    </w:tbl>
    <w:p w14:paraId="7BBD8F85" w14:textId="435E8515" w:rsidR="00A742EA" w:rsidRPr="002D2FCF" w:rsidRDefault="00A742EA" w:rsidP="002D2FCF">
      <w:pPr>
        <w:rPr>
          <w:sz w:val="20"/>
          <w:szCs w:val="20"/>
          <w:lang w:val="en-CA"/>
        </w:rPr>
      </w:pPr>
      <w:r w:rsidRPr="002D2FCF">
        <w:rPr>
          <w:sz w:val="20"/>
          <w:szCs w:val="20"/>
          <w:lang w:val="en-CA"/>
        </w:rPr>
        <w:t>* Country programme data.</w:t>
      </w:r>
    </w:p>
    <w:p w14:paraId="3237CABE" w14:textId="77777777" w:rsidR="00A742EA" w:rsidRPr="002D2FCF" w:rsidRDefault="00A742EA" w:rsidP="002D2FCF">
      <w:pPr>
        <w:rPr>
          <w:sz w:val="20"/>
          <w:szCs w:val="20"/>
          <w:highlight w:val="magenta"/>
          <w:lang w:val="en-CA"/>
        </w:rPr>
      </w:pPr>
      <w:r w:rsidRPr="002D2FCF">
        <w:rPr>
          <w:sz w:val="20"/>
          <w:szCs w:val="20"/>
          <w:lang w:val="en-CA"/>
        </w:rPr>
        <w:t>**Average consumption between 2007 and 2009.</w:t>
      </w:r>
    </w:p>
    <w:p w14:paraId="2169A461" w14:textId="77777777" w:rsidR="00D54581" w:rsidRPr="00FE3307" w:rsidRDefault="00D54581" w:rsidP="002D2FCF">
      <w:pPr>
        <w:rPr>
          <w:lang w:val="en-CA"/>
        </w:rPr>
      </w:pPr>
    </w:p>
    <w:p w14:paraId="6CD3F068" w14:textId="57C69CB5" w:rsidR="00C93B3E" w:rsidRPr="00C93B3E" w:rsidRDefault="00F11451" w:rsidP="00F11451">
      <w:pPr>
        <w:pStyle w:val="Heading1"/>
        <w:rPr>
          <w:lang w:val="en-CA"/>
        </w:rPr>
      </w:pPr>
      <w:r>
        <w:rPr>
          <w:lang w:val="en-CA"/>
        </w:rPr>
        <w:t>Since 2016</w:t>
      </w:r>
      <w:r w:rsidR="006D6DA8">
        <w:rPr>
          <w:lang w:val="en-CA"/>
        </w:rPr>
        <w:t>,</w:t>
      </w:r>
      <w:r>
        <w:rPr>
          <w:lang w:val="en-CA"/>
        </w:rPr>
        <w:t xml:space="preserve"> </w:t>
      </w:r>
      <w:r w:rsidR="00C93B3E" w:rsidRPr="00C93B3E">
        <w:rPr>
          <w:lang w:val="en-CA"/>
        </w:rPr>
        <w:t xml:space="preserve">HCFC consumption </w:t>
      </w:r>
      <w:r w:rsidR="006D6DA8">
        <w:rPr>
          <w:lang w:val="en-CA"/>
        </w:rPr>
        <w:t xml:space="preserve">has </w:t>
      </w:r>
      <w:r w:rsidR="00C93B3E">
        <w:rPr>
          <w:lang w:val="en-CA"/>
        </w:rPr>
        <w:t xml:space="preserve">continued </w:t>
      </w:r>
      <w:r w:rsidR="00EA4AB9">
        <w:rPr>
          <w:lang w:val="en-CA"/>
        </w:rPr>
        <w:t xml:space="preserve">to decrease steadily </w:t>
      </w:r>
      <w:r w:rsidR="00631A39">
        <w:rPr>
          <w:lang w:val="en-CA"/>
        </w:rPr>
        <w:t>due</w:t>
      </w:r>
      <w:r w:rsidR="00EA4AB9">
        <w:rPr>
          <w:lang w:val="en-CA"/>
        </w:rPr>
        <w:t xml:space="preserve"> to </w:t>
      </w:r>
      <w:r w:rsidR="00C93B3E">
        <w:rPr>
          <w:lang w:val="en-CA"/>
        </w:rPr>
        <w:t xml:space="preserve">the </w:t>
      </w:r>
      <w:r w:rsidR="00C93B3E" w:rsidRPr="00C93B3E">
        <w:rPr>
          <w:lang w:val="en-CA"/>
        </w:rPr>
        <w:t>control measures imposed on ODS imports</w:t>
      </w:r>
      <w:r w:rsidR="006D6DA8">
        <w:rPr>
          <w:lang w:val="en-CA"/>
        </w:rPr>
        <w:t>,</w:t>
      </w:r>
      <w:r w:rsidR="00C93B3E" w:rsidRPr="00C93B3E">
        <w:rPr>
          <w:lang w:val="en-CA"/>
        </w:rPr>
        <w:t xml:space="preserve"> including the quota system, the ban on imports of HCFC-141b in pure form as of 1</w:t>
      </w:r>
      <w:r w:rsidR="00426DF2">
        <w:rPr>
          <w:lang w:val="en-CA"/>
        </w:rPr>
        <w:t> January </w:t>
      </w:r>
      <w:r w:rsidR="00C93B3E" w:rsidRPr="00C93B3E">
        <w:rPr>
          <w:lang w:val="en-CA"/>
        </w:rPr>
        <w:t>2014, the ban on new HCFC</w:t>
      </w:r>
      <w:r w:rsidR="00544D29">
        <w:rPr>
          <w:lang w:val="en-CA"/>
        </w:rPr>
        <w:noBreakHyphen/>
      </w:r>
      <w:r w:rsidR="00C93B3E" w:rsidRPr="00C93B3E">
        <w:rPr>
          <w:lang w:val="en-CA"/>
        </w:rPr>
        <w:t>22</w:t>
      </w:r>
      <w:r w:rsidR="00544D29">
        <w:rPr>
          <w:lang w:val="en-CA"/>
        </w:rPr>
        <w:noBreakHyphen/>
      </w:r>
      <w:r w:rsidR="00C93B3E" w:rsidRPr="00C93B3E">
        <w:rPr>
          <w:lang w:val="en-CA"/>
        </w:rPr>
        <w:t>based air</w:t>
      </w:r>
      <w:r w:rsidR="00401631">
        <w:rPr>
          <w:lang w:val="en-CA"/>
        </w:rPr>
        <w:noBreakHyphen/>
      </w:r>
      <w:r w:rsidR="00C93B3E" w:rsidRPr="00C93B3E">
        <w:rPr>
          <w:lang w:val="en-CA"/>
        </w:rPr>
        <w:t>conditioning installations as of 1</w:t>
      </w:r>
      <w:r w:rsidR="00426DF2">
        <w:rPr>
          <w:lang w:val="en-CA"/>
        </w:rPr>
        <w:t> January </w:t>
      </w:r>
      <w:r w:rsidR="00C93B3E" w:rsidRPr="00C93B3E">
        <w:rPr>
          <w:lang w:val="en-CA"/>
        </w:rPr>
        <w:t>2016</w:t>
      </w:r>
      <w:r w:rsidR="00C93B3E">
        <w:rPr>
          <w:lang w:val="en-CA"/>
        </w:rPr>
        <w:t xml:space="preserve">, and the ban on the </w:t>
      </w:r>
      <w:r w:rsidR="0005709F">
        <w:rPr>
          <w:lang w:val="en-CA"/>
        </w:rPr>
        <w:t>u</w:t>
      </w:r>
      <w:r w:rsidR="00C93B3E">
        <w:rPr>
          <w:lang w:val="en-CA"/>
        </w:rPr>
        <w:t>se of HCFC</w:t>
      </w:r>
      <w:r w:rsidR="00544D29">
        <w:rPr>
          <w:lang w:val="en-CA"/>
        </w:rPr>
        <w:noBreakHyphen/>
      </w:r>
      <w:r w:rsidR="00C93B3E">
        <w:rPr>
          <w:lang w:val="en-CA"/>
        </w:rPr>
        <w:t xml:space="preserve">22 for flushing refrigeration systems </w:t>
      </w:r>
      <w:r w:rsidR="00EA4AB9">
        <w:rPr>
          <w:lang w:val="en-CA"/>
        </w:rPr>
        <w:t xml:space="preserve">as of </w:t>
      </w:r>
      <w:r w:rsidR="00C93B3E">
        <w:rPr>
          <w:lang w:val="en-CA"/>
        </w:rPr>
        <w:t>1</w:t>
      </w:r>
      <w:r w:rsidR="00426DF2">
        <w:rPr>
          <w:lang w:val="en-CA"/>
        </w:rPr>
        <w:t> January </w:t>
      </w:r>
      <w:r w:rsidR="00C93B3E">
        <w:rPr>
          <w:lang w:val="en-CA"/>
        </w:rPr>
        <w:t>2019.</w:t>
      </w:r>
      <w:r w:rsidR="00C93B3E" w:rsidRPr="00C93B3E">
        <w:rPr>
          <w:lang w:val="en-CA"/>
        </w:rPr>
        <w:t xml:space="preserve"> </w:t>
      </w:r>
      <w:r>
        <w:rPr>
          <w:lang w:val="en-CA"/>
        </w:rPr>
        <w:t xml:space="preserve">In addition, the implementation of the phase-out </w:t>
      </w:r>
      <w:r w:rsidRPr="00F11451">
        <w:rPr>
          <w:lang w:val="en-CA"/>
        </w:rPr>
        <w:t>activities conducted under the HPMP, including</w:t>
      </w:r>
      <w:r>
        <w:rPr>
          <w:lang w:val="en-CA"/>
        </w:rPr>
        <w:t xml:space="preserve"> the technical assistance and training provided to the refrigeration serving sector, have contributed to the sustained reductions </w:t>
      </w:r>
      <w:r w:rsidR="00755295">
        <w:rPr>
          <w:lang w:val="en-CA"/>
        </w:rPr>
        <w:t>i</w:t>
      </w:r>
      <w:r>
        <w:rPr>
          <w:lang w:val="en-CA"/>
        </w:rPr>
        <w:t>n HCFC consumption. Additional phase-out of HCFCs is due to the introduction of non-HCFC-based equipment in the local market.</w:t>
      </w:r>
    </w:p>
    <w:p w14:paraId="19BAB773" w14:textId="17E73A93" w:rsidR="00C93B3E" w:rsidRPr="00983B60" w:rsidRDefault="00C93B3E" w:rsidP="002D2FCF">
      <w:pPr>
        <w:pStyle w:val="Heading1"/>
        <w:rPr>
          <w:lang w:val="en-CA"/>
        </w:rPr>
      </w:pPr>
      <w:r w:rsidRPr="00983B60">
        <w:rPr>
          <w:lang w:val="en-CA"/>
        </w:rPr>
        <w:t xml:space="preserve">The decrease in imports of HCFC-141b contained in pre-blended polyols in 2016 was due to the use of stocks that were available at the largest non-eligible consumer enterprise, </w:t>
      </w:r>
      <w:proofErr w:type="spellStart"/>
      <w:r w:rsidRPr="00983B60">
        <w:rPr>
          <w:lang w:val="en-CA"/>
        </w:rPr>
        <w:t>Huurre</w:t>
      </w:r>
      <w:proofErr w:type="spellEnd"/>
      <w:r w:rsidRPr="00983B60">
        <w:rPr>
          <w:lang w:val="en-CA"/>
        </w:rPr>
        <w:t xml:space="preserve"> Panama</w:t>
      </w:r>
      <w:r w:rsidR="0005709F">
        <w:rPr>
          <w:lang w:val="en-CA"/>
        </w:rPr>
        <w:t>,</w:t>
      </w:r>
      <w:r w:rsidR="003D117C">
        <w:rPr>
          <w:rStyle w:val="FootnoteReference"/>
          <w:lang w:val="en-CA"/>
        </w:rPr>
        <w:footnoteReference w:id="3"/>
      </w:r>
      <w:r w:rsidR="0005709F">
        <w:rPr>
          <w:lang w:val="en-CA"/>
        </w:rPr>
        <w:t xml:space="preserve"> and the </w:t>
      </w:r>
      <w:r w:rsidR="000F3BDE">
        <w:rPr>
          <w:lang w:val="en-CA"/>
        </w:rPr>
        <w:lastRenderedPageBreak/>
        <w:t xml:space="preserve">increase in 2019 </w:t>
      </w:r>
      <w:r w:rsidR="003D117C">
        <w:rPr>
          <w:lang w:val="en-CA"/>
        </w:rPr>
        <w:t>was</w:t>
      </w:r>
      <w:r w:rsidR="000F3BDE">
        <w:rPr>
          <w:lang w:val="en-CA"/>
        </w:rPr>
        <w:t xml:space="preserve"> due to</w:t>
      </w:r>
      <w:r w:rsidR="003D117C">
        <w:rPr>
          <w:lang w:val="en-CA"/>
        </w:rPr>
        <w:t xml:space="preserve"> </w:t>
      </w:r>
      <w:r w:rsidR="0005709F">
        <w:rPr>
          <w:lang w:val="en-CA"/>
        </w:rPr>
        <w:t xml:space="preserve">imports </w:t>
      </w:r>
      <w:r w:rsidR="00EA4AB9">
        <w:rPr>
          <w:lang w:val="en-CA"/>
        </w:rPr>
        <w:t xml:space="preserve">for </w:t>
      </w:r>
      <w:r w:rsidR="0005709F">
        <w:rPr>
          <w:lang w:val="en-CA"/>
        </w:rPr>
        <w:t>stockpil</w:t>
      </w:r>
      <w:r w:rsidR="00EA4AB9">
        <w:rPr>
          <w:lang w:val="en-CA"/>
        </w:rPr>
        <w:t>ing</w:t>
      </w:r>
      <w:r w:rsidR="0005709F">
        <w:rPr>
          <w:lang w:val="en-CA"/>
        </w:rPr>
        <w:t xml:space="preserve"> </w:t>
      </w:r>
      <w:r w:rsidR="003D117C">
        <w:rPr>
          <w:lang w:val="en-CA"/>
        </w:rPr>
        <w:t xml:space="preserve">by enterprises before the ban on </w:t>
      </w:r>
      <w:r w:rsidR="00405B8F">
        <w:rPr>
          <w:lang w:val="en-CA"/>
        </w:rPr>
        <w:t xml:space="preserve">formulated polyols containing </w:t>
      </w:r>
      <w:r w:rsidR="003D117C">
        <w:rPr>
          <w:lang w:val="en-CA"/>
        </w:rPr>
        <w:t>HCFC</w:t>
      </w:r>
      <w:r w:rsidR="003D117C">
        <w:rPr>
          <w:lang w:val="en-CA"/>
        </w:rPr>
        <w:noBreakHyphen/>
        <w:t xml:space="preserve">141b entered into force </w:t>
      </w:r>
      <w:r w:rsidR="00AE7E08">
        <w:rPr>
          <w:lang w:val="en-CA"/>
        </w:rPr>
        <w:t xml:space="preserve">on </w:t>
      </w:r>
      <w:r w:rsidR="003D117C">
        <w:rPr>
          <w:lang w:val="en-CA"/>
        </w:rPr>
        <w:t>1</w:t>
      </w:r>
      <w:r w:rsidR="00426DF2">
        <w:rPr>
          <w:lang w:val="en-CA"/>
        </w:rPr>
        <w:t> January </w:t>
      </w:r>
      <w:r w:rsidR="003D117C">
        <w:rPr>
          <w:lang w:val="en-CA"/>
        </w:rPr>
        <w:t>2020.</w:t>
      </w:r>
    </w:p>
    <w:p w14:paraId="2B1C7F62" w14:textId="2F38F1DE" w:rsidR="00D54581" w:rsidRPr="00FE3307" w:rsidRDefault="00403913" w:rsidP="002D2FCF">
      <w:pPr>
        <w:rPr>
          <w:i/>
          <w:lang w:val="en-CA"/>
        </w:rPr>
      </w:pPr>
      <w:r>
        <w:rPr>
          <w:i/>
          <w:lang w:val="en-CA"/>
        </w:rPr>
        <w:t>CP</w:t>
      </w:r>
      <w:r w:rsidR="00D54581" w:rsidRPr="00FE3307">
        <w:rPr>
          <w:i/>
          <w:lang w:val="en-CA"/>
        </w:rPr>
        <w:t xml:space="preserve"> implementation report</w:t>
      </w:r>
    </w:p>
    <w:p w14:paraId="7F4FACD0" w14:textId="77777777" w:rsidR="00D54581" w:rsidRPr="00FE3307" w:rsidRDefault="00D54581" w:rsidP="002D2FCF">
      <w:pPr>
        <w:rPr>
          <w:lang w:val="en-CA"/>
        </w:rPr>
      </w:pPr>
    </w:p>
    <w:p w14:paraId="5E1DAA26" w14:textId="1A8CCE46" w:rsidR="00A617A8" w:rsidRPr="0073113A" w:rsidRDefault="00D54581" w:rsidP="0073113A">
      <w:pPr>
        <w:pStyle w:val="Heading1"/>
        <w:rPr>
          <w:lang w:val="en-CA"/>
        </w:rPr>
      </w:pPr>
      <w:r w:rsidRPr="00A617A8">
        <w:rPr>
          <w:lang w:val="en-CA"/>
        </w:rPr>
        <w:t xml:space="preserve">The Government of </w:t>
      </w:r>
      <w:r w:rsidR="00A742EA" w:rsidRPr="00A617A8">
        <w:rPr>
          <w:lang w:val="en-CA"/>
        </w:rPr>
        <w:t>Panama</w:t>
      </w:r>
      <w:r w:rsidRPr="00A617A8">
        <w:rPr>
          <w:lang w:val="en-CA"/>
        </w:rPr>
        <w:t xml:space="preserve"> reported HCFC sector consumption data under the </w:t>
      </w:r>
      <w:bookmarkStart w:id="1" w:name="_Hlk37428916"/>
      <w:r w:rsidR="00F11451">
        <w:rPr>
          <w:lang w:val="en-CA"/>
        </w:rPr>
        <w:t>201</w:t>
      </w:r>
      <w:r w:rsidR="00247844">
        <w:rPr>
          <w:lang w:val="en-CA"/>
        </w:rPr>
        <w:t xml:space="preserve">8 </w:t>
      </w:r>
      <w:r w:rsidRPr="00A617A8">
        <w:rPr>
          <w:lang w:val="en-CA"/>
        </w:rPr>
        <w:t>CP</w:t>
      </w:r>
      <w:r w:rsidR="00403913">
        <w:rPr>
          <w:lang w:val="en-CA"/>
        </w:rPr>
        <w:t> </w:t>
      </w:r>
      <w:r w:rsidRPr="00A617A8">
        <w:rPr>
          <w:lang w:val="en-CA"/>
        </w:rPr>
        <w:t xml:space="preserve">implementation report </w:t>
      </w:r>
      <w:bookmarkEnd w:id="1"/>
      <w:r w:rsidR="00AE7E08">
        <w:rPr>
          <w:lang w:val="en-CA"/>
        </w:rPr>
        <w:t>that</w:t>
      </w:r>
      <w:r w:rsidRPr="00A617A8">
        <w:rPr>
          <w:lang w:val="en-CA"/>
        </w:rPr>
        <w:t xml:space="preserve"> is consistent with the data reported under Article 7 of the Montreal Protocol. </w:t>
      </w:r>
    </w:p>
    <w:p w14:paraId="22617020" w14:textId="7CF1AA42" w:rsidR="00D376DC" w:rsidRPr="00A617A8" w:rsidRDefault="00D376DC" w:rsidP="002D2FCF">
      <w:pPr>
        <w:pStyle w:val="Heading1"/>
        <w:keepNext/>
        <w:keepLines/>
        <w:numPr>
          <w:ilvl w:val="0"/>
          <w:numId w:val="0"/>
        </w:numPr>
        <w:rPr>
          <w:i/>
          <w:lang w:val="en-CA"/>
        </w:rPr>
      </w:pPr>
      <w:r w:rsidRPr="00A617A8">
        <w:rPr>
          <w:i/>
          <w:lang w:val="en-CA"/>
        </w:rPr>
        <w:t>Verification report</w:t>
      </w:r>
    </w:p>
    <w:p w14:paraId="0CCC2CB1" w14:textId="030CC113" w:rsidR="00D376DC" w:rsidRPr="00983B60" w:rsidRDefault="00D376DC" w:rsidP="002D2FCF">
      <w:pPr>
        <w:pStyle w:val="Heading1"/>
        <w:rPr>
          <w:lang w:val="en-CA"/>
        </w:rPr>
      </w:pPr>
      <w:r w:rsidRPr="00983B60">
        <w:rPr>
          <w:lang w:val="en-CA"/>
        </w:rPr>
        <w:t>The verification report confirmed that</w:t>
      </w:r>
      <w:r w:rsidR="005F673C">
        <w:rPr>
          <w:lang w:val="en-CA"/>
        </w:rPr>
        <w:t xml:space="preserve"> Panama has a</w:t>
      </w:r>
      <w:r w:rsidR="00F11451">
        <w:rPr>
          <w:lang w:val="en-CA"/>
        </w:rPr>
        <w:t>n</w:t>
      </w:r>
      <w:r w:rsidR="005F673C">
        <w:rPr>
          <w:lang w:val="en-CA"/>
        </w:rPr>
        <w:t xml:space="preserve"> effective system to allocate licenses and quotas to importing enterprises</w:t>
      </w:r>
      <w:r w:rsidR="00AE7E08">
        <w:rPr>
          <w:lang w:val="en-CA"/>
        </w:rPr>
        <w:t>,</w:t>
      </w:r>
      <w:r w:rsidR="005F673C">
        <w:rPr>
          <w:lang w:val="en-CA"/>
        </w:rPr>
        <w:t xml:space="preserve"> and keeps an accurate record of actual ODS imports into the country. The quota system has been effective in meeting the national ODS consumption targets. T</w:t>
      </w:r>
      <w:r w:rsidRPr="00983B60">
        <w:rPr>
          <w:lang w:val="en-CA"/>
        </w:rPr>
        <w:t>he total</w:t>
      </w:r>
      <w:r w:rsidR="005F673C">
        <w:rPr>
          <w:lang w:val="en-CA"/>
        </w:rPr>
        <w:t xml:space="preserve"> levels of</w:t>
      </w:r>
      <w:r w:rsidRPr="00983B60">
        <w:rPr>
          <w:lang w:val="en-CA"/>
        </w:rPr>
        <w:t xml:space="preserve"> </w:t>
      </w:r>
      <w:r w:rsidR="005F673C">
        <w:rPr>
          <w:lang w:val="en-CA"/>
        </w:rPr>
        <w:t xml:space="preserve">HCFC </w:t>
      </w:r>
      <w:r w:rsidRPr="00983B60">
        <w:rPr>
          <w:lang w:val="en-CA"/>
        </w:rPr>
        <w:t>consumption for 201</w:t>
      </w:r>
      <w:r w:rsidR="00983B60">
        <w:rPr>
          <w:lang w:val="en-CA"/>
        </w:rPr>
        <w:t xml:space="preserve">8 and 2019 </w:t>
      </w:r>
      <w:r w:rsidRPr="002943A6">
        <w:rPr>
          <w:lang w:val="en-CA"/>
        </w:rPr>
        <w:t>w</w:t>
      </w:r>
      <w:r w:rsidR="005F673C">
        <w:rPr>
          <w:lang w:val="en-CA"/>
        </w:rPr>
        <w:t>ere</w:t>
      </w:r>
      <w:r w:rsidRPr="002943A6">
        <w:rPr>
          <w:lang w:val="en-CA"/>
        </w:rPr>
        <w:t xml:space="preserve"> </w:t>
      </w:r>
      <w:r w:rsidR="005F673C">
        <w:rPr>
          <w:lang w:val="en-CA"/>
        </w:rPr>
        <w:t xml:space="preserve">below </w:t>
      </w:r>
      <w:r w:rsidR="005F673C" w:rsidRPr="00983B60">
        <w:rPr>
          <w:lang w:val="en-CA"/>
        </w:rPr>
        <w:t xml:space="preserve">the import quota </w:t>
      </w:r>
      <w:r w:rsidR="00EB0680">
        <w:rPr>
          <w:lang w:val="en-CA"/>
        </w:rPr>
        <w:t xml:space="preserve">issued </w:t>
      </w:r>
      <w:r w:rsidR="005F673C">
        <w:rPr>
          <w:lang w:val="en-CA"/>
        </w:rPr>
        <w:t>and the HCFC</w:t>
      </w:r>
      <w:r w:rsidRPr="002943A6">
        <w:rPr>
          <w:lang w:val="en-CA"/>
        </w:rPr>
        <w:t xml:space="preserve"> consumption target</w:t>
      </w:r>
      <w:r w:rsidR="005F673C">
        <w:rPr>
          <w:lang w:val="en-CA"/>
        </w:rPr>
        <w:t xml:space="preserve"> of </w:t>
      </w:r>
      <w:r w:rsidR="005F673C" w:rsidRPr="00983B60">
        <w:rPr>
          <w:lang w:val="en-CA"/>
        </w:rPr>
        <w:t>22.30</w:t>
      </w:r>
      <w:r w:rsidR="00A0412F">
        <w:rPr>
          <w:lang w:val="en-CA"/>
        </w:rPr>
        <w:t> </w:t>
      </w:r>
      <w:r w:rsidR="005F673C" w:rsidRPr="00983B60">
        <w:rPr>
          <w:lang w:val="en-CA"/>
        </w:rPr>
        <w:t>ODP tonnes</w:t>
      </w:r>
      <w:r w:rsidR="005F673C">
        <w:rPr>
          <w:lang w:val="en-CA"/>
        </w:rPr>
        <w:t xml:space="preserve"> </w:t>
      </w:r>
      <w:r w:rsidRPr="002943A6">
        <w:rPr>
          <w:lang w:val="en-CA"/>
        </w:rPr>
        <w:t xml:space="preserve">for the </w:t>
      </w:r>
      <w:r w:rsidR="005F673C">
        <w:rPr>
          <w:lang w:val="en-CA"/>
        </w:rPr>
        <w:t xml:space="preserve">same years, as established in the Agreement </w:t>
      </w:r>
      <w:r w:rsidR="00F11451">
        <w:rPr>
          <w:lang w:val="en-CA"/>
        </w:rPr>
        <w:t xml:space="preserve">between the Government and the Executive Committee </w:t>
      </w:r>
      <w:r w:rsidR="005F673C">
        <w:rPr>
          <w:lang w:val="en-CA"/>
        </w:rPr>
        <w:t>for stage II of the HPMP.</w:t>
      </w:r>
      <w:r w:rsidRPr="00983B60">
        <w:rPr>
          <w:lang w:val="en-CA"/>
        </w:rPr>
        <w:t xml:space="preserve"> </w:t>
      </w:r>
    </w:p>
    <w:p w14:paraId="0FDB345B" w14:textId="77777777" w:rsidR="00D54581" w:rsidRPr="00FE3307" w:rsidRDefault="00D54581" w:rsidP="002D2FCF">
      <w:pPr>
        <w:rPr>
          <w:u w:val="single"/>
          <w:lang w:val="en-CA"/>
        </w:rPr>
      </w:pPr>
      <w:r w:rsidRPr="00FE3307">
        <w:rPr>
          <w:u w:val="single"/>
          <w:lang w:val="en-CA"/>
        </w:rPr>
        <w:t xml:space="preserve">Progress report on the implementation of </w:t>
      </w:r>
      <w:r w:rsidRPr="00A742EA">
        <w:rPr>
          <w:u w:val="single"/>
          <w:lang w:val="en-CA"/>
        </w:rPr>
        <w:t xml:space="preserve">the </w:t>
      </w:r>
      <w:r w:rsidR="00A742EA" w:rsidRPr="00A742EA">
        <w:rPr>
          <w:u w:val="single"/>
          <w:lang w:val="en-CA"/>
        </w:rPr>
        <w:t>second</w:t>
      </w:r>
      <w:r w:rsidRPr="00A742EA">
        <w:rPr>
          <w:u w:val="single"/>
          <w:lang w:val="en-CA"/>
        </w:rPr>
        <w:t xml:space="preserve"> tranche of the HPMP</w:t>
      </w:r>
    </w:p>
    <w:p w14:paraId="6774476B" w14:textId="77777777" w:rsidR="00D54581" w:rsidRPr="00FE3307" w:rsidRDefault="00D54581" w:rsidP="002D2FCF">
      <w:pPr>
        <w:rPr>
          <w:lang w:val="en-CA"/>
        </w:rPr>
      </w:pPr>
    </w:p>
    <w:p w14:paraId="72E4D532" w14:textId="77777777" w:rsidR="00D54581" w:rsidRPr="00FE3307" w:rsidRDefault="00D54581" w:rsidP="002D2FCF">
      <w:pPr>
        <w:rPr>
          <w:i/>
          <w:lang w:val="en-CA"/>
        </w:rPr>
      </w:pPr>
      <w:r w:rsidRPr="00FE3307">
        <w:rPr>
          <w:i/>
          <w:lang w:val="en-CA"/>
        </w:rPr>
        <w:t>Legal framework</w:t>
      </w:r>
    </w:p>
    <w:p w14:paraId="4FD3CCA2" w14:textId="77777777" w:rsidR="00D54581" w:rsidRPr="00FE3307" w:rsidRDefault="00D54581" w:rsidP="002D2FCF">
      <w:pPr>
        <w:rPr>
          <w:lang w:val="en-CA"/>
        </w:rPr>
      </w:pPr>
    </w:p>
    <w:p w14:paraId="0B5E4B3B" w14:textId="7F9C5181" w:rsidR="00D376DC" w:rsidRPr="006C6A2C" w:rsidRDefault="00D376DC" w:rsidP="002D2FCF">
      <w:pPr>
        <w:pStyle w:val="Heading1"/>
        <w:rPr>
          <w:lang w:val="en-US" w:eastAsia="en-CA"/>
        </w:rPr>
      </w:pPr>
      <w:r w:rsidRPr="006C6A2C">
        <w:rPr>
          <w:lang w:val="en-CA"/>
        </w:rPr>
        <w:t xml:space="preserve">The Government completed the following set of regulations: </w:t>
      </w:r>
    </w:p>
    <w:p w14:paraId="3B78CAE2" w14:textId="2CD30664" w:rsidR="00D376DC" w:rsidRPr="006C6A2C" w:rsidRDefault="00D376DC" w:rsidP="002D2FCF">
      <w:pPr>
        <w:pStyle w:val="Heading2"/>
        <w:numPr>
          <w:ilvl w:val="1"/>
          <w:numId w:val="1"/>
        </w:numPr>
        <w:rPr>
          <w:lang w:val="en-US" w:eastAsia="en-CA"/>
        </w:rPr>
      </w:pPr>
      <w:r w:rsidRPr="006C6A2C">
        <w:rPr>
          <w:lang w:val="en-US"/>
        </w:rPr>
        <w:t>A</w:t>
      </w:r>
      <w:r w:rsidRPr="006C6A2C">
        <w:rPr>
          <w:lang w:val="en-CA"/>
        </w:rPr>
        <w:t xml:space="preserve"> ban on the use of HCFC-22 as a cleaning agent </w:t>
      </w:r>
      <w:r w:rsidRPr="006C6A2C">
        <w:rPr>
          <w:lang w:val="en-US" w:eastAsia="en-CA"/>
        </w:rPr>
        <w:t xml:space="preserve">in refrigeration and air-conditioning </w:t>
      </w:r>
      <w:r w:rsidR="008C6D2F">
        <w:rPr>
          <w:lang w:val="en-US" w:eastAsia="en-CA"/>
        </w:rPr>
        <w:t xml:space="preserve">(RAC) </w:t>
      </w:r>
      <w:r w:rsidRPr="006C6A2C">
        <w:rPr>
          <w:lang w:val="en-US" w:eastAsia="en-CA"/>
        </w:rPr>
        <w:t>systems and in the production of extruded polystyrene (XPS) foam, both in existing and new facilities as of</w:t>
      </w:r>
      <w:r w:rsidRPr="006C6A2C">
        <w:t xml:space="preserve"> </w:t>
      </w:r>
      <w:r w:rsidRPr="006C6A2C">
        <w:rPr>
          <w:lang w:val="en-US" w:eastAsia="en-CA"/>
        </w:rPr>
        <w:t>1</w:t>
      </w:r>
      <w:r w:rsidR="00426DF2">
        <w:rPr>
          <w:lang w:val="en-US" w:eastAsia="en-CA"/>
        </w:rPr>
        <w:t> January </w:t>
      </w:r>
      <w:r w:rsidRPr="006C6A2C">
        <w:rPr>
          <w:lang w:val="en-US" w:eastAsia="en-CA"/>
        </w:rPr>
        <w:t>2019;</w:t>
      </w:r>
      <w:r w:rsidR="00F87F25">
        <w:rPr>
          <w:lang w:val="en-US" w:eastAsia="en-CA"/>
        </w:rPr>
        <w:t xml:space="preserve"> </w:t>
      </w:r>
      <w:r w:rsidR="00C22A17">
        <w:rPr>
          <w:lang w:val="en-US" w:eastAsia="en-CA"/>
        </w:rPr>
        <w:t>and</w:t>
      </w:r>
    </w:p>
    <w:p w14:paraId="240C1FA3" w14:textId="1E6FBACB" w:rsidR="00D376DC" w:rsidRPr="006C6A2C" w:rsidRDefault="00D376DC" w:rsidP="002D2FCF">
      <w:pPr>
        <w:pStyle w:val="Heading2"/>
        <w:numPr>
          <w:ilvl w:val="1"/>
          <w:numId w:val="1"/>
        </w:numPr>
        <w:rPr>
          <w:lang w:val="en-US" w:eastAsia="en-CA"/>
        </w:rPr>
      </w:pPr>
      <w:r w:rsidRPr="006C6A2C">
        <w:rPr>
          <w:lang w:val="en-US" w:eastAsia="en-CA"/>
        </w:rPr>
        <w:t>A ban on imports of formulated polyols containing</w:t>
      </w:r>
      <w:r w:rsidR="00C22A17">
        <w:rPr>
          <w:lang w:val="en-US" w:eastAsia="en-CA"/>
        </w:rPr>
        <w:t xml:space="preserve"> HCFC-141b as of 1</w:t>
      </w:r>
      <w:r w:rsidR="00426DF2">
        <w:rPr>
          <w:lang w:val="en-US" w:eastAsia="en-CA"/>
        </w:rPr>
        <w:t> January </w:t>
      </w:r>
      <w:r w:rsidR="00C22A17">
        <w:rPr>
          <w:lang w:val="en-US" w:eastAsia="en-CA"/>
        </w:rPr>
        <w:t>2020.</w:t>
      </w:r>
    </w:p>
    <w:p w14:paraId="5F3247C9" w14:textId="46FF256F" w:rsidR="006C6A2C" w:rsidRDefault="00DA7C94" w:rsidP="002D2FCF">
      <w:pPr>
        <w:pStyle w:val="Heading1"/>
        <w:rPr>
          <w:lang w:val="en-CA"/>
        </w:rPr>
      </w:pPr>
      <w:r w:rsidRPr="00DA7C94">
        <w:rPr>
          <w:lang w:val="en-CA"/>
        </w:rPr>
        <w:t>Following</w:t>
      </w:r>
      <w:r w:rsidR="006C75ED">
        <w:rPr>
          <w:lang w:val="en-CA"/>
        </w:rPr>
        <w:t xml:space="preserve"> </w:t>
      </w:r>
      <w:r w:rsidR="00DD4D22">
        <w:rPr>
          <w:lang w:val="en-CA"/>
        </w:rPr>
        <w:t>recommendations</w:t>
      </w:r>
      <w:r>
        <w:rPr>
          <w:lang w:val="en-CA"/>
        </w:rPr>
        <w:t xml:space="preserve"> in v</w:t>
      </w:r>
      <w:r w:rsidR="00891D1A" w:rsidRPr="00DA7C94">
        <w:rPr>
          <w:lang w:val="en-CA"/>
        </w:rPr>
        <w:t>erific</w:t>
      </w:r>
      <w:r>
        <w:rPr>
          <w:lang w:val="en-CA"/>
        </w:rPr>
        <w:t>ation r</w:t>
      </w:r>
      <w:r w:rsidR="00891D1A" w:rsidRPr="00DA7C94">
        <w:rPr>
          <w:lang w:val="en-CA"/>
        </w:rPr>
        <w:t xml:space="preserve">eports, as of </w:t>
      </w:r>
      <w:r>
        <w:rPr>
          <w:lang w:val="en-CA"/>
        </w:rPr>
        <w:t xml:space="preserve">4 </w:t>
      </w:r>
      <w:r w:rsidR="006C75ED">
        <w:rPr>
          <w:lang w:val="en-CA"/>
        </w:rPr>
        <w:t>February</w:t>
      </w:r>
      <w:r w:rsidR="00891D1A" w:rsidRPr="00DA7C94">
        <w:rPr>
          <w:lang w:val="en-CA"/>
        </w:rPr>
        <w:t xml:space="preserve"> 2020, </w:t>
      </w:r>
      <w:r w:rsidR="006C75ED">
        <w:rPr>
          <w:lang w:val="en-CA"/>
        </w:rPr>
        <w:t>pre</w:t>
      </w:r>
      <w:r w:rsidR="00702561">
        <w:rPr>
          <w:lang w:val="en-CA"/>
        </w:rPr>
        <w:noBreakHyphen/>
      </w:r>
      <w:r w:rsidR="006C75ED">
        <w:rPr>
          <w:lang w:val="en-CA"/>
        </w:rPr>
        <w:t xml:space="preserve">declarations </w:t>
      </w:r>
      <w:r w:rsidR="0073113A">
        <w:rPr>
          <w:lang w:val="en-CA"/>
        </w:rPr>
        <w:t>f</w:t>
      </w:r>
      <w:r w:rsidR="0099652F">
        <w:rPr>
          <w:lang w:val="en-CA"/>
        </w:rPr>
        <w:t xml:space="preserve">or imports of controlled substances under the Protocol are being approved </w:t>
      </w:r>
      <w:r w:rsidR="006C75ED">
        <w:rPr>
          <w:lang w:val="en-CA"/>
        </w:rPr>
        <w:t>through</w:t>
      </w:r>
      <w:r w:rsidR="00891D1A" w:rsidRPr="00DA7C94">
        <w:rPr>
          <w:lang w:val="en-CA"/>
        </w:rPr>
        <w:t xml:space="preserve"> the digital platform</w:t>
      </w:r>
      <w:r w:rsidR="0099652F">
        <w:rPr>
          <w:lang w:val="en-CA"/>
        </w:rPr>
        <w:t xml:space="preserve"> established at the </w:t>
      </w:r>
      <w:r w:rsidR="0099652F" w:rsidRPr="00DA7C94">
        <w:rPr>
          <w:lang w:val="en-CA"/>
        </w:rPr>
        <w:t>National Cu</w:t>
      </w:r>
      <w:r w:rsidR="0099652F">
        <w:rPr>
          <w:lang w:val="en-CA"/>
        </w:rPr>
        <w:t>stoms Authority</w:t>
      </w:r>
      <w:r w:rsidR="0099652F" w:rsidRPr="00DA7C94">
        <w:rPr>
          <w:lang w:val="en-CA"/>
        </w:rPr>
        <w:t xml:space="preserve"> </w:t>
      </w:r>
      <w:r w:rsidR="0099652F">
        <w:rPr>
          <w:lang w:val="en-CA"/>
        </w:rPr>
        <w:t>(ANA)</w:t>
      </w:r>
      <w:r w:rsidR="00891D1A" w:rsidRPr="00DA7C94">
        <w:rPr>
          <w:lang w:val="en-CA"/>
        </w:rPr>
        <w:t xml:space="preserve">. </w:t>
      </w:r>
      <w:r w:rsidR="006C6A2C" w:rsidRPr="00DA7C94">
        <w:rPr>
          <w:lang w:val="en-CA"/>
        </w:rPr>
        <w:t xml:space="preserve">In addition, </w:t>
      </w:r>
      <w:r w:rsidR="006C75ED">
        <w:rPr>
          <w:lang w:val="en-CA"/>
        </w:rPr>
        <w:t>enterprises</w:t>
      </w:r>
      <w:r w:rsidR="006C75ED" w:rsidRPr="00DA7C94">
        <w:rPr>
          <w:lang w:val="en-CA"/>
        </w:rPr>
        <w:t xml:space="preserve"> importing </w:t>
      </w:r>
      <w:r w:rsidR="00DD4D22" w:rsidRPr="00DA7C94">
        <w:rPr>
          <w:lang w:val="en-CA"/>
        </w:rPr>
        <w:t>fully</w:t>
      </w:r>
      <w:r w:rsidR="00403913">
        <w:rPr>
          <w:lang w:val="en-CA"/>
        </w:rPr>
        <w:t xml:space="preserve"> </w:t>
      </w:r>
      <w:r w:rsidR="00DD4D22" w:rsidRPr="00DA7C94">
        <w:rPr>
          <w:lang w:val="en-CA"/>
        </w:rPr>
        <w:t xml:space="preserve">formulated </w:t>
      </w:r>
      <w:r w:rsidR="006C75ED" w:rsidRPr="00DA7C94">
        <w:rPr>
          <w:lang w:val="en-CA"/>
        </w:rPr>
        <w:t>polyol</w:t>
      </w:r>
      <w:r w:rsidR="0099652F">
        <w:rPr>
          <w:lang w:val="en-CA"/>
        </w:rPr>
        <w:t xml:space="preserve"> </w:t>
      </w:r>
      <w:r w:rsidR="006C75ED">
        <w:rPr>
          <w:lang w:val="en-CA"/>
        </w:rPr>
        <w:t>s</w:t>
      </w:r>
      <w:r w:rsidR="0099652F">
        <w:rPr>
          <w:lang w:val="en-CA"/>
        </w:rPr>
        <w:t>ystems</w:t>
      </w:r>
      <w:r w:rsidR="006C75ED" w:rsidRPr="00DA7C94">
        <w:rPr>
          <w:lang w:val="en-CA"/>
        </w:rPr>
        <w:t xml:space="preserve"> </w:t>
      </w:r>
      <w:r w:rsidR="006C75ED">
        <w:rPr>
          <w:lang w:val="en-CA"/>
        </w:rPr>
        <w:t xml:space="preserve">are required to </w:t>
      </w:r>
      <w:r w:rsidR="006C6A2C" w:rsidRPr="00DA7C94">
        <w:rPr>
          <w:lang w:val="en-CA"/>
        </w:rPr>
        <w:t>regist</w:t>
      </w:r>
      <w:r w:rsidR="006C75ED">
        <w:rPr>
          <w:lang w:val="en-CA"/>
        </w:rPr>
        <w:t>er</w:t>
      </w:r>
      <w:r w:rsidR="006C6A2C" w:rsidRPr="00DA7C94">
        <w:rPr>
          <w:lang w:val="en-CA"/>
        </w:rPr>
        <w:t xml:space="preserve"> </w:t>
      </w:r>
      <w:r w:rsidR="006C75ED">
        <w:rPr>
          <w:lang w:val="en-CA"/>
        </w:rPr>
        <w:t>f</w:t>
      </w:r>
      <w:r w:rsidR="006C6A2C" w:rsidRPr="00DA7C94">
        <w:rPr>
          <w:lang w:val="en-CA"/>
        </w:rPr>
        <w:t>or import authorization</w:t>
      </w:r>
      <w:r w:rsidR="0099652F">
        <w:rPr>
          <w:lang w:val="en-CA"/>
        </w:rPr>
        <w:t>;</w:t>
      </w:r>
      <w:r w:rsidR="006C6A2C" w:rsidRPr="00DA7C94">
        <w:rPr>
          <w:lang w:val="en-CA"/>
        </w:rPr>
        <w:t xml:space="preserve"> </w:t>
      </w:r>
      <w:r w:rsidR="0099652F">
        <w:rPr>
          <w:lang w:val="en-CA"/>
        </w:rPr>
        <w:t>t</w:t>
      </w:r>
      <w:r w:rsidR="006C75ED">
        <w:rPr>
          <w:lang w:val="en-CA"/>
        </w:rPr>
        <w:t xml:space="preserve">o date, </w:t>
      </w:r>
      <w:r w:rsidR="00403913">
        <w:rPr>
          <w:lang w:val="en-CA"/>
        </w:rPr>
        <w:t xml:space="preserve">six </w:t>
      </w:r>
      <w:r w:rsidR="006C6A2C" w:rsidRPr="00DA7C94">
        <w:rPr>
          <w:lang w:val="en-CA"/>
        </w:rPr>
        <w:t>rigid foam</w:t>
      </w:r>
      <w:r w:rsidR="0099652F">
        <w:rPr>
          <w:lang w:val="en-CA"/>
        </w:rPr>
        <w:t xml:space="preserve"> enterprise</w:t>
      </w:r>
      <w:r w:rsidR="006C6A2C" w:rsidRPr="00DA7C94">
        <w:rPr>
          <w:lang w:val="en-CA"/>
        </w:rPr>
        <w:t>s have been registered.</w:t>
      </w:r>
    </w:p>
    <w:p w14:paraId="20A9675A" w14:textId="05E583E1" w:rsidR="004E2ACC" w:rsidRPr="004E2ACC" w:rsidRDefault="004E2ACC" w:rsidP="002D2FCF">
      <w:pPr>
        <w:pStyle w:val="Heading1"/>
        <w:rPr>
          <w:lang w:val="en-CA"/>
        </w:rPr>
      </w:pPr>
      <w:r>
        <w:rPr>
          <w:lang w:val="en-CA"/>
        </w:rPr>
        <w:t xml:space="preserve">Other activities implemented with </w:t>
      </w:r>
      <w:r w:rsidR="00B37A83">
        <w:rPr>
          <w:lang w:val="en-CA"/>
        </w:rPr>
        <w:t xml:space="preserve">the </w:t>
      </w:r>
      <w:r>
        <w:rPr>
          <w:lang w:val="en-CA"/>
        </w:rPr>
        <w:t>ANA include:</w:t>
      </w:r>
      <w:r w:rsidR="00683629">
        <w:rPr>
          <w:lang w:val="en-CA"/>
        </w:rPr>
        <w:t xml:space="preserve"> </w:t>
      </w:r>
      <w:r w:rsidRPr="00A0412F">
        <w:rPr>
          <w:lang w:val="en-CA"/>
        </w:rPr>
        <w:t xml:space="preserve">training </w:t>
      </w:r>
      <w:r w:rsidR="00683629" w:rsidRPr="00A0412F">
        <w:rPr>
          <w:lang w:val="en-CA"/>
        </w:rPr>
        <w:t xml:space="preserve">of </w:t>
      </w:r>
      <w:r w:rsidRPr="00A0412F">
        <w:rPr>
          <w:lang w:val="en-CA"/>
        </w:rPr>
        <w:t>65 customs officers on HCFC identification and control</w:t>
      </w:r>
      <w:r w:rsidR="00683629" w:rsidRPr="00A0412F">
        <w:rPr>
          <w:lang w:val="en-CA"/>
        </w:rPr>
        <w:t>; training of 28</w:t>
      </w:r>
      <w:r w:rsidRPr="00A0412F">
        <w:rPr>
          <w:lang w:val="en-CA"/>
        </w:rPr>
        <w:t xml:space="preserve"> </w:t>
      </w:r>
      <w:r w:rsidR="00683629" w:rsidRPr="00A0412F">
        <w:rPr>
          <w:lang w:val="en-CA"/>
        </w:rPr>
        <w:t>customs officers (including 15 women)</w:t>
      </w:r>
      <w:r w:rsidRPr="00A0412F">
        <w:rPr>
          <w:lang w:val="en-CA"/>
        </w:rPr>
        <w:t xml:space="preserve"> on the operation</w:t>
      </w:r>
      <w:r w:rsidRPr="004E2ACC">
        <w:rPr>
          <w:lang w:val="en-CA"/>
        </w:rPr>
        <w:t xml:space="preserve"> of the refrigerant identifier</w:t>
      </w:r>
      <w:r w:rsidR="00683629">
        <w:rPr>
          <w:lang w:val="en-CA"/>
        </w:rPr>
        <w:t xml:space="preserve">; </w:t>
      </w:r>
      <w:r w:rsidRPr="004E2ACC">
        <w:rPr>
          <w:lang w:val="en-CA"/>
        </w:rPr>
        <w:t xml:space="preserve">training </w:t>
      </w:r>
      <w:r w:rsidR="00683629">
        <w:rPr>
          <w:lang w:val="en-CA"/>
        </w:rPr>
        <w:t xml:space="preserve">of 28 customs officers (including 13 women) on </w:t>
      </w:r>
      <w:r>
        <w:rPr>
          <w:lang w:val="en-CA"/>
        </w:rPr>
        <w:t>t</w:t>
      </w:r>
      <w:r w:rsidRPr="004E2ACC">
        <w:rPr>
          <w:lang w:val="en-CA"/>
        </w:rPr>
        <w:t xml:space="preserve">rade </w:t>
      </w:r>
      <w:r>
        <w:rPr>
          <w:lang w:val="en-CA"/>
        </w:rPr>
        <w:t>c</w:t>
      </w:r>
      <w:r w:rsidRPr="004E2ACC">
        <w:rPr>
          <w:lang w:val="en-CA"/>
        </w:rPr>
        <w:t xml:space="preserve">ontrol </w:t>
      </w:r>
      <w:r>
        <w:rPr>
          <w:lang w:val="en-CA"/>
        </w:rPr>
        <w:t>m</w:t>
      </w:r>
      <w:r w:rsidRPr="004E2ACC">
        <w:rPr>
          <w:lang w:val="en-CA"/>
        </w:rPr>
        <w:t xml:space="preserve">easures and </w:t>
      </w:r>
      <w:r w:rsidR="00B37A83">
        <w:rPr>
          <w:lang w:val="en-CA"/>
        </w:rPr>
        <w:t xml:space="preserve">the </w:t>
      </w:r>
      <w:r>
        <w:rPr>
          <w:lang w:val="en-CA"/>
        </w:rPr>
        <w:t>p</w:t>
      </w:r>
      <w:r w:rsidRPr="004E2ACC">
        <w:rPr>
          <w:lang w:val="en-CA"/>
        </w:rPr>
        <w:t xml:space="preserve">revention of </w:t>
      </w:r>
      <w:r>
        <w:rPr>
          <w:lang w:val="en-CA"/>
        </w:rPr>
        <w:t>i</w:t>
      </w:r>
      <w:r w:rsidRPr="004E2ACC">
        <w:rPr>
          <w:lang w:val="en-CA"/>
        </w:rPr>
        <w:t xml:space="preserve">llicit </w:t>
      </w:r>
      <w:r w:rsidR="00BD4F10">
        <w:rPr>
          <w:lang w:val="en-CA"/>
        </w:rPr>
        <w:t xml:space="preserve">trade </w:t>
      </w:r>
      <w:r w:rsidRPr="004E2ACC">
        <w:rPr>
          <w:lang w:val="en-CA"/>
        </w:rPr>
        <w:t>within the framework of the Montreal Protocol</w:t>
      </w:r>
      <w:r w:rsidR="00683629">
        <w:rPr>
          <w:lang w:val="en-CA"/>
        </w:rPr>
        <w:t>; and t</w:t>
      </w:r>
      <w:r w:rsidRPr="004E2ACC">
        <w:rPr>
          <w:lang w:val="en-CA"/>
        </w:rPr>
        <w:t xml:space="preserve">raining </w:t>
      </w:r>
      <w:r w:rsidR="00683629">
        <w:rPr>
          <w:lang w:val="en-CA"/>
        </w:rPr>
        <w:t xml:space="preserve">of </w:t>
      </w:r>
      <w:r w:rsidR="00544D29">
        <w:rPr>
          <w:lang w:val="en-CA"/>
        </w:rPr>
        <w:t>24 </w:t>
      </w:r>
      <w:r w:rsidR="00683629">
        <w:rPr>
          <w:lang w:val="en-CA"/>
        </w:rPr>
        <w:t xml:space="preserve">customs officers (including 11 women) </w:t>
      </w:r>
      <w:r w:rsidRPr="004E2ACC">
        <w:rPr>
          <w:lang w:val="en-CA"/>
        </w:rPr>
        <w:t xml:space="preserve">on the </w:t>
      </w:r>
      <w:r>
        <w:rPr>
          <w:lang w:val="en-CA"/>
        </w:rPr>
        <w:t>i</w:t>
      </w:r>
      <w:r w:rsidRPr="004E2ACC">
        <w:rPr>
          <w:lang w:val="en-CA"/>
        </w:rPr>
        <w:t>mplementation of the Montreal Protocol.</w:t>
      </w:r>
    </w:p>
    <w:p w14:paraId="26F8D4B9" w14:textId="4F2BFED6" w:rsidR="00DD4D22" w:rsidRDefault="00BD4F10" w:rsidP="002D2FCF">
      <w:pPr>
        <w:pStyle w:val="Heading1"/>
        <w:rPr>
          <w:lang w:val="en-CA"/>
        </w:rPr>
      </w:pPr>
      <w:r>
        <w:rPr>
          <w:lang w:val="en-CA"/>
        </w:rPr>
        <w:t>P</w:t>
      </w:r>
      <w:r w:rsidR="00C93B3E" w:rsidRPr="00DD4D22">
        <w:rPr>
          <w:lang w:val="en-CA"/>
        </w:rPr>
        <w:t xml:space="preserve">rogress </w:t>
      </w:r>
      <w:r w:rsidR="00403913">
        <w:rPr>
          <w:lang w:val="en-CA"/>
        </w:rPr>
        <w:t>has been achieved</w:t>
      </w:r>
      <w:r w:rsidR="00403913" w:rsidRPr="00DD4D22">
        <w:rPr>
          <w:lang w:val="en-CA"/>
        </w:rPr>
        <w:t xml:space="preserve"> </w:t>
      </w:r>
      <w:r w:rsidR="00C93B3E" w:rsidRPr="00DD4D22">
        <w:rPr>
          <w:lang w:val="en-CA"/>
        </w:rPr>
        <w:t>in adapting</w:t>
      </w:r>
      <w:r w:rsidR="004927F7">
        <w:rPr>
          <w:lang w:val="en-CA"/>
        </w:rPr>
        <w:t xml:space="preserve"> ISO standard 5149:2014 on</w:t>
      </w:r>
      <w:r w:rsidR="00DD4D22" w:rsidRPr="00DD4D22">
        <w:rPr>
          <w:lang w:val="en-CA"/>
        </w:rPr>
        <w:t xml:space="preserve"> safety and environmental </w:t>
      </w:r>
      <w:r w:rsidR="004927F7">
        <w:rPr>
          <w:lang w:val="en-CA"/>
        </w:rPr>
        <w:t xml:space="preserve">aspects applicable to </w:t>
      </w:r>
      <w:r w:rsidR="00DD4D22" w:rsidRPr="00DD4D22">
        <w:rPr>
          <w:lang w:val="en-CA"/>
        </w:rPr>
        <w:t>refrigeration systems and heat p</w:t>
      </w:r>
      <w:r w:rsidR="00C93B3E" w:rsidRPr="00DD4D22">
        <w:rPr>
          <w:lang w:val="en-CA"/>
        </w:rPr>
        <w:t>umps</w:t>
      </w:r>
      <w:r>
        <w:rPr>
          <w:lang w:val="en-CA"/>
        </w:rPr>
        <w:t xml:space="preserve">: </w:t>
      </w:r>
      <w:r w:rsidR="00843E17">
        <w:rPr>
          <w:lang w:val="en-CA"/>
        </w:rPr>
        <w:t>p</w:t>
      </w:r>
      <w:r w:rsidR="004927F7">
        <w:rPr>
          <w:lang w:val="en-CA"/>
        </w:rPr>
        <w:t>art I (definitions, classification and sele</w:t>
      </w:r>
      <w:r w:rsidR="00843E17">
        <w:rPr>
          <w:lang w:val="en-CA"/>
        </w:rPr>
        <w:t>ction criteria) and part III (i</w:t>
      </w:r>
      <w:r w:rsidR="004927F7">
        <w:rPr>
          <w:lang w:val="en-CA"/>
        </w:rPr>
        <w:t xml:space="preserve">nstallation place) </w:t>
      </w:r>
      <w:r>
        <w:rPr>
          <w:lang w:val="en-CA"/>
        </w:rPr>
        <w:t xml:space="preserve">of the standard </w:t>
      </w:r>
      <w:r w:rsidR="00B37A83">
        <w:rPr>
          <w:lang w:val="en-CA"/>
        </w:rPr>
        <w:t>have</w:t>
      </w:r>
      <w:r w:rsidR="004927F7">
        <w:rPr>
          <w:lang w:val="en-CA"/>
        </w:rPr>
        <w:t xml:space="preserve"> already </w:t>
      </w:r>
      <w:r w:rsidR="00B37A83">
        <w:rPr>
          <w:lang w:val="en-CA"/>
        </w:rPr>
        <w:t xml:space="preserve">been </w:t>
      </w:r>
      <w:r w:rsidR="004927F7">
        <w:rPr>
          <w:lang w:val="en-CA"/>
        </w:rPr>
        <w:t>approved.</w:t>
      </w:r>
    </w:p>
    <w:p w14:paraId="745BAFA0" w14:textId="207924CC" w:rsidR="008C6D2F" w:rsidRPr="002D2FCF" w:rsidRDefault="008C6D2F" w:rsidP="002D2FCF">
      <w:pPr>
        <w:pStyle w:val="Heading1"/>
        <w:rPr>
          <w:lang w:val="en-CA"/>
        </w:rPr>
      </w:pPr>
      <w:r w:rsidRPr="006C6A2C">
        <w:rPr>
          <w:lang w:val="en-US" w:eastAsia="en-CA"/>
        </w:rPr>
        <w:t xml:space="preserve">Panama ratified the Kigali Amendment </w:t>
      </w:r>
      <w:r>
        <w:rPr>
          <w:lang w:val="en-US" w:eastAsia="en-CA"/>
        </w:rPr>
        <w:t xml:space="preserve">on </w:t>
      </w:r>
      <w:r w:rsidRPr="006C6A2C">
        <w:rPr>
          <w:lang w:val="en-US" w:eastAsia="en-CA"/>
        </w:rPr>
        <w:t>28 September 2018.</w:t>
      </w:r>
    </w:p>
    <w:p w14:paraId="320091CC" w14:textId="1A580B77" w:rsidR="00C22A17" w:rsidRPr="00C22A17" w:rsidRDefault="00C22A17" w:rsidP="002D2FCF">
      <w:pPr>
        <w:pStyle w:val="Heading1"/>
        <w:numPr>
          <w:ilvl w:val="0"/>
          <w:numId w:val="0"/>
        </w:numPr>
        <w:rPr>
          <w:i/>
          <w:lang w:val="en-CA"/>
        </w:rPr>
      </w:pPr>
      <w:r>
        <w:rPr>
          <w:i/>
          <w:lang w:val="en-CA"/>
        </w:rPr>
        <w:t>Free Trade Zone (FTZ)</w:t>
      </w:r>
    </w:p>
    <w:p w14:paraId="1E816C83" w14:textId="493589D2" w:rsidR="000A59FB" w:rsidRPr="000A59FB" w:rsidRDefault="00BD4F10" w:rsidP="002D2FCF">
      <w:pPr>
        <w:pStyle w:val="Heading1"/>
        <w:rPr>
          <w:i/>
          <w:lang w:val="en-CA"/>
        </w:rPr>
      </w:pPr>
      <w:r>
        <w:rPr>
          <w:lang w:val="en-CA"/>
        </w:rPr>
        <w:t xml:space="preserve">The Government of Panama continued its </w:t>
      </w:r>
      <w:r w:rsidR="000A59FB" w:rsidRPr="000A59FB">
        <w:rPr>
          <w:lang w:val="en-CA"/>
        </w:rPr>
        <w:t>effort</w:t>
      </w:r>
      <w:r>
        <w:rPr>
          <w:lang w:val="en-CA"/>
        </w:rPr>
        <w:t>s</w:t>
      </w:r>
      <w:r w:rsidR="000A59FB" w:rsidRPr="000A59FB">
        <w:rPr>
          <w:lang w:val="en-CA"/>
        </w:rPr>
        <w:t xml:space="preserve"> to strengthen the ODS control mechanisms of the FTZ</w:t>
      </w:r>
      <w:r w:rsidR="00C22A17">
        <w:rPr>
          <w:lang w:val="en-CA"/>
        </w:rPr>
        <w:t xml:space="preserve">. In February 2020, the Government sent an official communication to the FTZ </w:t>
      </w:r>
      <w:r>
        <w:rPr>
          <w:lang w:val="en-CA"/>
        </w:rPr>
        <w:t xml:space="preserve">authorities </w:t>
      </w:r>
      <w:r w:rsidR="00C22A17">
        <w:rPr>
          <w:lang w:val="en-CA"/>
        </w:rPr>
        <w:t xml:space="preserve">requesting information on HCFC imports and exports. </w:t>
      </w:r>
      <w:r w:rsidR="00AB2C22" w:rsidRPr="000A59FB">
        <w:rPr>
          <w:lang w:val="en-CA"/>
        </w:rPr>
        <w:t>A meeting was</w:t>
      </w:r>
      <w:r w:rsidR="000A59FB" w:rsidRPr="000A59FB">
        <w:rPr>
          <w:lang w:val="en-CA"/>
        </w:rPr>
        <w:t xml:space="preserve"> also</w:t>
      </w:r>
      <w:r w:rsidR="00403913">
        <w:rPr>
          <w:lang w:val="en-CA"/>
        </w:rPr>
        <w:t xml:space="preserve"> held with representatives of</w:t>
      </w:r>
      <w:r>
        <w:rPr>
          <w:lang w:val="en-CA"/>
        </w:rPr>
        <w:t xml:space="preserve"> a </w:t>
      </w:r>
      <w:r w:rsidR="000A59FB" w:rsidRPr="000A59FB">
        <w:rPr>
          <w:lang w:val="en-CA"/>
        </w:rPr>
        <w:t>non</w:t>
      </w:r>
      <w:r w:rsidR="00403913">
        <w:rPr>
          <w:lang w:val="en-CA"/>
        </w:rPr>
        <w:noBreakHyphen/>
      </w:r>
      <w:r w:rsidR="000A59FB" w:rsidRPr="000A59FB">
        <w:rPr>
          <w:lang w:val="en-CA"/>
        </w:rPr>
        <w:t>Article</w:t>
      </w:r>
      <w:r w:rsidR="00403913">
        <w:rPr>
          <w:lang w:val="en-CA"/>
        </w:rPr>
        <w:noBreakHyphen/>
      </w:r>
      <w:r w:rsidR="000A59FB" w:rsidRPr="000A59FB">
        <w:rPr>
          <w:lang w:val="en-CA"/>
        </w:rPr>
        <w:t>5</w:t>
      </w:r>
      <w:r w:rsidR="00403913">
        <w:rPr>
          <w:lang w:val="en-CA"/>
        </w:rPr>
        <w:noBreakHyphen/>
      </w:r>
      <w:r w:rsidR="000A59FB" w:rsidRPr="000A59FB">
        <w:rPr>
          <w:lang w:val="en-CA"/>
        </w:rPr>
        <w:t>owned systems house operating in the FTZ</w:t>
      </w:r>
      <w:r>
        <w:rPr>
          <w:lang w:val="en-CA"/>
        </w:rPr>
        <w:t xml:space="preserve"> (</w:t>
      </w:r>
      <w:proofErr w:type="spellStart"/>
      <w:r w:rsidRPr="000A59FB">
        <w:rPr>
          <w:lang w:val="en-CA"/>
        </w:rPr>
        <w:t>Synthesia</w:t>
      </w:r>
      <w:proofErr w:type="spellEnd"/>
      <w:r w:rsidR="00403913">
        <w:rPr>
          <w:lang w:val="en-CA"/>
        </w:rPr>
        <w:t>) to discuss</w:t>
      </w:r>
      <w:r>
        <w:rPr>
          <w:lang w:val="en-CA"/>
        </w:rPr>
        <w:t xml:space="preserve"> matters related to </w:t>
      </w:r>
      <w:r w:rsidR="00C22A17">
        <w:rPr>
          <w:lang w:val="en-CA"/>
        </w:rPr>
        <w:lastRenderedPageBreak/>
        <w:t>HCFC</w:t>
      </w:r>
      <w:r w:rsidR="00C22A17">
        <w:rPr>
          <w:lang w:val="en-CA"/>
        </w:rPr>
        <w:noBreakHyphen/>
      </w:r>
      <w:r w:rsidR="000A59FB" w:rsidRPr="000A59FB">
        <w:rPr>
          <w:lang w:val="en-CA"/>
        </w:rPr>
        <w:t>141b</w:t>
      </w:r>
      <w:r w:rsidR="00C22A17">
        <w:rPr>
          <w:lang w:val="en-CA"/>
        </w:rPr>
        <w:t xml:space="preserve"> imports and exports</w:t>
      </w:r>
      <w:r w:rsidR="00CB20CF">
        <w:rPr>
          <w:lang w:val="en-CA"/>
        </w:rPr>
        <w:t>,</w:t>
      </w:r>
      <w:r w:rsidR="00AB2C22" w:rsidRPr="000A59FB">
        <w:rPr>
          <w:lang w:val="en-CA"/>
        </w:rPr>
        <w:t xml:space="preserve"> </w:t>
      </w:r>
      <w:r w:rsidR="000A59FB" w:rsidRPr="000A59FB">
        <w:rPr>
          <w:lang w:val="en-CA"/>
        </w:rPr>
        <w:t xml:space="preserve">and </w:t>
      </w:r>
      <w:r w:rsidR="00AB2C22" w:rsidRPr="000A59FB">
        <w:rPr>
          <w:lang w:val="en-CA"/>
        </w:rPr>
        <w:t>the</w:t>
      </w:r>
      <w:r w:rsidR="000A59FB" w:rsidRPr="000A59FB">
        <w:rPr>
          <w:lang w:val="en-CA"/>
        </w:rPr>
        <w:t xml:space="preserve"> ban</w:t>
      </w:r>
      <w:r w:rsidR="00AB2C22" w:rsidRPr="000A59FB">
        <w:rPr>
          <w:lang w:val="en-CA"/>
        </w:rPr>
        <w:t xml:space="preserve"> on import</w:t>
      </w:r>
      <w:r w:rsidR="000A59FB" w:rsidRPr="000A59FB">
        <w:rPr>
          <w:lang w:val="en-CA"/>
        </w:rPr>
        <w:t xml:space="preserve">s of </w:t>
      </w:r>
      <w:r>
        <w:rPr>
          <w:lang w:val="en-CA"/>
        </w:rPr>
        <w:t xml:space="preserve">pre-blended </w:t>
      </w:r>
      <w:r w:rsidR="00AB2C22" w:rsidRPr="000A59FB">
        <w:rPr>
          <w:lang w:val="en-CA"/>
        </w:rPr>
        <w:t>polyols formulated with HCFC</w:t>
      </w:r>
      <w:r w:rsidR="00544D29">
        <w:rPr>
          <w:lang w:val="en-CA"/>
        </w:rPr>
        <w:noBreakHyphen/>
      </w:r>
      <w:r w:rsidR="00AB2C22" w:rsidRPr="000A59FB">
        <w:rPr>
          <w:lang w:val="en-CA"/>
        </w:rPr>
        <w:t>141b</w:t>
      </w:r>
      <w:r w:rsidR="00CB20CF">
        <w:rPr>
          <w:lang w:val="en-CA"/>
        </w:rPr>
        <w:t xml:space="preserve"> that went into effect on</w:t>
      </w:r>
      <w:r w:rsidR="00AB2C22" w:rsidRPr="000A59FB">
        <w:rPr>
          <w:lang w:val="en-CA"/>
        </w:rPr>
        <w:t xml:space="preserve"> </w:t>
      </w:r>
      <w:r w:rsidR="00A0555C" w:rsidRPr="000A59FB">
        <w:rPr>
          <w:lang w:val="en-CA"/>
        </w:rPr>
        <w:t>1</w:t>
      </w:r>
      <w:r w:rsidR="00426DF2">
        <w:rPr>
          <w:lang w:val="en-CA"/>
        </w:rPr>
        <w:t> January </w:t>
      </w:r>
      <w:r w:rsidR="00AB2C22" w:rsidRPr="000A59FB">
        <w:rPr>
          <w:lang w:val="en-CA"/>
        </w:rPr>
        <w:t>2020</w:t>
      </w:r>
      <w:r w:rsidR="00C22A17">
        <w:rPr>
          <w:lang w:val="en-CA"/>
        </w:rPr>
        <w:t>, which includes import</w:t>
      </w:r>
      <w:r w:rsidR="002E26AC">
        <w:rPr>
          <w:lang w:val="en-CA"/>
        </w:rPr>
        <w:t>s</w:t>
      </w:r>
      <w:r w:rsidR="00C22A17">
        <w:rPr>
          <w:lang w:val="en-CA"/>
        </w:rPr>
        <w:t xml:space="preserve"> from the FTZ. The Government </w:t>
      </w:r>
      <w:r>
        <w:rPr>
          <w:lang w:val="en-CA"/>
        </w:rPr>
        <w:t>ha</w:t>
      </w:r>
      <w:r w:rsidR="002B6A9E">
        <w:rPr>
          <w:lang w:val="en-CA"/>
        </w:rPr>
        <w:t>s</w:t>
      </w:r>
      <w:r>
        <w:rPr>
          <w:lang w:val="en-CA"/>
        </w:rPr>
        <w:t xml:space="preserve"> confirmed that as of 1 January </w:t>
      </w:r>
      <w:r w:rsidR="00C22A17">
        <w:rPr>
          <w:lang w:val="en-CA"/>
        </w:rPr>
        <w:t>2020</w:t>
      </w:r>
      <w:r w:rsidR="002B6A9E">
        <w:rPr>
          <w:lang w:val="en-CA"/>
        </w:rPr>
        <w:t>,</w:t>
      </w:r>
      <w:r w:rsidR="00C22A17">
        <w:rPr>
          <w:lang w:val="en-CA"/>
        </w:rPr>
        <w:t xml:space="preserve"> imports of HCFC-141b contained in pre</w:t>
      </w:r>
      <w:r w:rsidR="002E26AC">
        <w:rPr>
          <w:lang w:val="en-CA"/>
        </w:rPr>
        <w:t>-</w:t>
      </w:r>
      <w:r w:rsidR="00C22A17">
        <w:rPr>
          <w:lang w:val="en-CA"/>
        </w:rPr>
        <w:t xml:space="preserve">blended polyols </w:t>
      </w:r>
      <w:r>
        <w:rPr>
          <w:lang w:val="en-CA"/>
        </w:rPr>
        <w:t xml:space="preserve">by </w:t>
      </w:r>
      <w:r w:rsidR="00C22A17">
        <w:rPr>
          <w:lang w:val="en-CA"/>
        </w:rPr>
        <w:t xml:space="preserve">the FTZ is zero. </w:t>
      </w:r>
    </w:p>
    <w:p w14:paraId="1EB610C1" w14:textId="5A4A294D" w:rsidR="00E41E3B" w:rsidRDefault="00E41E3B" w:rsidP="002D2FCF">
      <w:pPr>
        <w:rPr>
          <w:i/>
          <w:lang w:val="en-CA"/>
        </w:rPr>
      </w:pPr>
      <w:r>
        <w:rPr>
          <w:i/>
          <w:lang w:val="en-CA"/>
        </w:rPr>
        <w:t>Polyurethane (PU) foam manufacturing sector</w:t>
      </w:r>
    </w:p>
    <w:p w14:paraId="6A1F6415" w14:textId="77777777" w:rsidR="0010711E" w:rsidRPr="0010711E" w:rsidRDefault="0010711E" w:rsidP="002D2FCF">
      <w:pPr>
        <w:rPr>
          <w:lang w:val="en-CA"/>
        </w:rPr>
      </w:pPr>
    </w:p>
    <w:p w14:paraId="508A3EBE" w14:textId="52CF9C98" w:rsidR="006E2A79" w:rsidRPr="00A0555C" w:rsidRDefault="006E2A79" w:rsidP="002D2FCF">
      <w:pPr>
        <w:pStyle w:val="Heading1"/>
        <w:rPr>
          <w:lang w:val="en-CA"/>
        </w:rPr>
      </w:pPr>
      <w:r w:rsidRPr="00A0555C">
        <w:rPr>
          <w:lang w:val="en-CA"/>
        </w:rPr>
        <w:t xml:space="preserve">During the second tranche, the NOU </w:t>
      </w:r>
      <w:r>
        <w:rPr>
          <w:lang w:val="en-CA"/>
        </w:rPr>
        <w:t>presented</w:t>
      </w:r>
      <w:r w:rsidRPr="00A0555C">
        <w:rPr>
          <w:lang w:val="en-CA"/>
        </w:rPr>
        <w:t xml:space="preserve"> the new regulatory framework for the control of ODS in the foam sector </w:t>
      </w:r>
      <w:r>
        <w:rPr>
          <w:lang w:val="en-CA"/>
        </w:rPr>
        <w:t>to</w:t>
      </w:r>
      <w:r w:rsidRPr="00A0555C">
        <w:rPr>
          <w:lang w:val="en-CA"/>
        </w:rPr>
        <w:t xml:space="preserve"> importers</w:t>
      </w:r>
      <w:r>
        <w:rPr>
          <w:lang w:val="en-CA"/>
        </w:rPr>
        <w:t xml:space="preserve">, and provided </w:t>
      </w:r>
      <w:r w:rsidRPr="00A0555C">
        <w:rPr>
          <w:lang w:val="en-CA"/>
        </w:rPr>
        <w:t xml:space="preserve">technical assistance to </w:t>
      </w:r>
      <w:r>
        <w:rPr>
          <w:lang w:val="en-CA"/>
        </w:rPr>
        <w:t>PU foam enterprises</w:t>
      </w:r>
      <w:r w:rsidRPr="00A0555C">
        <w:rPr>
          <w:lang w:val="en-CA"/>
        </w:rPr>
        <w:t xml:space="preserve"> for the development of tests with new formulations </w:t>
      </w:r>
      <w:r>
        <w:rPr>
          <w:lang w:val="en-CA"/>
        </w:rPr>
        <w:t xml:space="preserve">with zero-ODP and </w:t>
      </w:r>
      <w:r w:rsidRPr="00A0555C">
        <w:rPr>
          <w:lang w:val="en-CA"/>
        </w:rPr>
        <w:t>low</w:t>
      </w:r>
      <w:r w:rsidR="008319D0">
        <w:rPr>
          <w:lang w:val="en-CA"/>
        </w:rPr>
        <w:noBreakHyphen/>
      </w:r>
      <w:r w:rsidRPr="00A0555C">
        <w:rPr>
          <w:lang w:val="en-CA"/>
        </w:rPr>
        <w:t>global</w:t>
      </w:r>
      <w:r>
        <w:rPr>
          <w:lang w:val="en-CA"/>
        </w:rPr>
        <w:noBreakHyphen/>
      </w:r>
      <w:r w:rsidRPr="00A0555C">
        <w:rPr>
          <w:lang w:val="en-CA"/>
        </w:rPr>
        <w:t>warming</w:t>
      </w:r>
      <w:r w:rsidR="008319D0">
        <w:rPr>
          <w:lang w:val="en-CA"/>
        </w:rPr>
        <w:noBreakHyphen/>
      </w:r>
      <w:r w:rsidRPr="00A0555C">
        <w:rPr>
          <w:lang w:val="en-CA"/>
        </w:rPr>
        <w:t>potential</w:t>
      </w:r>
      <w:r>
        <w:rPr>
          <w:lang w:val="en-CA"/>
        </w:rPr>
        <w:t> (GWP)</w:t>
      </w:r>
      <w:r w:rsidR="00BD4F10">
        <w:rPr>
          <w:lang w:val="en-CA"/>
        </w:rPr>
        <w:t xml:space="preserve"> blowing agents</w:t>
      </w:r>
      <w:r w:rsidRPr="00A0555C">
        <w:rPr>
          <w:lang w:val="en-CA"/>
        </w:rPr>
        <w:t>.</w:t>
      </w:r>
    </w:p>
    <w:p w14:paraId="3341C686" w14:textId="47A296B4" w:rsidR="0010711E" w:rsidRPr="0010711E" w:rsidRDefault="0055062A" w:rsidP="002D2FCF">
      <w:pPr>
        <w:pStyle w:val="Heading1"/>
        <w:rPr>
          <w:lang w:val="en-CA"/>
        </w:rPr>
      </w:pPr>
      <w:r w:rsidRPr="001F5147">
        <w:rPr>
          <w:lang w:val="en-CA"/>
        </w:rPr>
        <w:t>Out of the five PU foam sector enterprises included in stage II to phase out 1.19 ODP tonnes</w:t>
      </w:r>
      <w:r w:rsidR="00BD4F10">
        <w:rPr>
          <w:lang w:val="en-CA"/>
        </w:rPr>
        <w:t xml:space="preserve"> of HCFC</w:t>
      </w:r>
      <w:r w:rsidR="00A0412F">
        <w:rPr>
          <w:lang w:val="en-CA"/>
        </w:rPr>
        <w:noBreakHyphen/>
      </w:r>
      <w:r w:rsidR="00BD4F10">
        <w:rPr>
          <w:lang w:val="en-CA"/>
        </w:rPr>
        <w:t>141b</w:t>
      </w:r>
      <w:r w:rsidRPr="001F5147">
        <w:rPr>
          <w:lang w:val="en-CA"/>
        </w:rPr>
        <w:t>, t</w:t>
      </w:r>
      <w:r w:rsidR="00BE5244" w:rsidRPr="001F5147">
        <w:rPr>
          <w:lang w:val="en-CA"/>
        </w:rPr>
        <w:t>hree</w:t>
      </w:r>
      <w:r w:rsidRPr="001F5147">
        <w:rPr>
          <w:lang w:val="en-CA"/>
        </w:rPr>
        <w:t xml:space="preserve"> (</w:t>
      </w:r>
      <w:proofErr w:type="spellStart"/>
      <w:r w:rsidRPr="001F5147">
        <w:rPr>
          <w:lang w:val="en-CA"/>
        </w:rPr>
        <w:t>Fibropinturas</w:t>
      </w:r>
      <w:proofErr w:type="spellEnd"/>
      <w:r w:rsidR="00BE5244" w:rsidRPr="001F5147">
        <w:rPr>
          <w:lang w:val="en-CA"/>
        </w:rPr>
        <w:t>,</w:t>
      </w:r>
      <w:r w:rsidRPr="001F5147">
        <w:rPr>
          <w:lang w:val="en-CA"/>
        </w:rPr>
        <w:t xml:space="preserve"> Cangas Trucks</w:t>
      </w:r>
      <w:r w:rsidR="00BE5244" w:rsidRPr="001F5147">
        <w:rPr>
          <w:lang w:val="en-CA"/>
        </w:rPr>
        <w:t xml:space="preserve"> and </w:t>
      </w:r>
      <w:proofErr w:type="spellStart"/>
      <w:r w:rsidR="00BE5244" w:rsidRPr="001F5147">
        <w:rPr>
          <w:lang w:val="en-CA"/>
        </w:rPr>
        <w:t>Refrigeracion</w:t>
      </w:r>
      <w:proofErr w:type="spellEnd"/>
      <w:r w:rsidR="00BE5244" w:rsidRPr="001F5147">
        <w:rPr>
          <w:lang w:val="en-CA"/>
        </w:rPr>
        <w:t xml:space="preserve"> </w:t>
      </w:r>
      <w:proofErr w:type="spellStart"/>
      <w:r w:rsidR="00BE5244" w:rsidRPr="001F5147">
        <w:rPr>
          <w:lang w:val="en-CA"/>
        </w:rPr>
        <w:t>Internacional</w:t>
      </w:r>
      <w:proofErr w:type="spellEnd"/>
      <w:r w:rsidR="00BE5244" w:rsidRPr="001F5147">
        <w:rPr>
          <w:lang w:val="en-CA"/>
        </w:rPr>
        <w:t xml:space="preserve"> S.A.</w:t>
      </w:r>
      <w:r w:rsidRPr="001F5147">
        <w:rPr>
          <w:lang w:val="en-CA"/>
        </w:rPr>
        <w:t>) signed contracts for the phase</w:t>
      </w:r>
      <w:r w:rsidR="00A0555C" w:rsidRPr="001F5147">
        <w:rPr>
          <w:lang w:val="en-CA"/>
        </w:rPr>
        <w:noBreakHyphen/>
      </w:r>
      <w:r w:rsidRPr="001F5147">
        <w:rPr>
          <w:lang w:val="en-CA"/>
        </w:rPr>
        <w:t xml:space="preserve">out of </w:t>
      </w:r>
      <w:r w:rsidR="00CE7EC4" w:rsidRPr="001F5147">
        <w:rPr>
          <w:lang w:val="en-CA"/>
        </w:rPr>
        <w:t>0.70</w:t>
      </w:r>
      <w:r w:rsidRPr="001F5147">
        <w:rPr>
          <w:lang w:val="en-CA"/>
        </w:rPr>
        <w:t xml:space="preserve"> ODP tonnes</w:t>
      </w:r>
      <w:r w:rsidR="002B5483" w:rsidRPr="001F5147">
        <w:rPr>
          <w:lang w:val="en-CA"/>
        </w:rPr>
        <w:t xml:space="preserve">. One </w:t>
      </w:r>
      <w:r w:rsidR="00E41E3B" w:rsidRPr="001F5147">
        <w:rPr>
          <w:lang w:val="en-CA"/>
        </w:rPr>
        <w:t>of them</w:t>
      </w:r>
      <w:r w:rsidR="00CB20CF">
        <w:rPr>
          <w:lang w:val="en-CA"/>
        </w:rPr>
        <w:t xml:space="preserve"> has</w:t>
      </w:r>
      <w:r w:rsidR="002B5483" w:rsidRPr="001F5147">
        <w:rPr>
          <w:lang w:val="en-CA"/>
        </w:rPr>
        <w:t xml:space="preserve"> already tested the technology and is waiting for certification to adopt </w:t>
      </w:r>
      <w:r w:rsidR="00067A32">
        <w:rPr>
          <w:lang w:val="en-CA"/>
        </w:rPr>
        <w:t>it, while t</w:t>
      </w:r>
      <w:r w:rsidR="00E41E3B" w:rsidRPr="001F5147">
        <w:rPr>
          <w:lang w:val="en-CA"/>
        </w:rPr>
        <w:t>h</w:t>
      </w:r>
      <w:r w:rsidR="002B5483" w:rsidRPr="001F5147">
        <w:rPr>
          <w:lang w:val="en-CA"/>
        </w:rPr>
        <w:t xml:space="preserve">e other two will undertake tests in the first </w:t>
      </w:r>
      <w:r w:rsidR="00A0555C" w:rsidRPr="001F5147">
        <w:rPr>
          <w:lang w:val="en-CA"/>
        </w:rPr>
        <w:t>half</w:t>
      </w:r>
      <w:r w:rsidR="002B5483" w:rsidRPr="001F5147">
        <w:rPr>
          <w:lang w:val="en-CA"/>
        </w:rPr>
        <w:t xml:space="preserve"> of 2020 and will complete their conversions by</w:t>
      </w:r>
      <w:r w:rsidR="00D204F0">
        <w:rPr>
          <w:lang w:val="en-CA"/>
        </w:rPr>
        <w:t xml:space="preserve"> the end of 2020, although the current situation </w:t>
      </w:r>
      <w:r w:rsidR="00067A32">
        <w:rPr>
          <w:lang w:val="en-CA"/>
        </w:rPr>
        <w:t xml:space="preserve">of COVID-19 </w:t>
      </w:r>
      <w:r w:rsidR="00D204F0">
        <w:rPr>
          <w:lang w:val="en-CA"/>
        </w:rPr>
        <w:t>may delay completion.</w:t>
      </w:r>
      <w:r w:rsidRPr="001F5147">
        <w:rPr>
          <w:lang w:val="en-CA"/>
        </w:rPr>
        <w:t xml:space="preserve"> </w:t>
      </w:r>
      <w:r w:rsidR="003E64EC">
        <w:rPr>
          <w:lang w:val="en-CA"/>
        </w:rPr>
        <w:t xml:space="preserve">Enterprises in the sector are still using remaining inventories of </w:t>
      </w:r>
      <w:r w:rsidR="003E64EC" w:rsidRPr="0010711E">
        <w:rPr>
          <w:lang w:val="en-CA"/>
        </w:rPr>
        <w:t xml:space="preserve">polyols </w:t>
      </w:r>
      <w:r w:rsidR="00CB20CF">
        <w:rPr>
          <w:lang w:val="en-CA"/>
        </w:rPr>
        <w:t>formulated</w:t>
      </w:r>
      <w:r w:rsidR="00CB20CF" w:rsidRPr="0010711E">
        <w:rPr>
          <w:lang w:val="en-CA"/>
        </w:rPr>
        <w:t xml:space="preserve"> </w:t>
      </w:r>
      <w:r w:rsidR="00CB20CF">
        <w:rPr>
          <w:lang w:val="en-CA"/>
        </w:rPr>
        <w:t xml:space="preserve">with </w:t>
      </w:r>
      <w:r w:rsidR="00544D29" w:rsidRPr="0010711E">
        <w:rPr>
          <w:lang w:val="en-CA"/>
        </w:rPr>
        <w:t>HCFC</w:t>
      </w:r>
      <w:r w:rsidR="00544D29">
        <w:rPr>
          <w:lang w:val="en-CA"/>
        </w:rPr>
        <w:noBreakHyphen/>
      </w:r>
      <w:r w:rsidR="003E64EC" w:rsidRPr="0010711E">
        <w:rPr>
          <w:lang w:val="en-CA"/>
        </w:rPr>
        <w:t xml:space="preserve">141b </w:t>
      </w:r>
      <w:r w:rsidR="003E64EC">
        <w:rPr>
          <w:lang w:val="en-CA"/>
        </w:rPr>
        <w:t>a</w:t>
      </w:r>
      <w:r w:rsidR="0010711E">
        <w:rPr>
          <w:lang w:val="en-CA"/>
        </w:rPr>
        <w:t xml:space="preserve">fter the </w:t>
      </w:r>
      <w:r w:rsidR="00CB20CF" w:rsidRPr="0010711E">
        <w:rPr>
          <w:lang w:val="en-CA"/>
        </w:rPr>
        <w:t>1</w:t>
      </w:r>
      <w:r w:rsidR="00426DF2">
        <w:rPr>
          <w:lang w:val="en-CA"/>
        </w:rPr>
        <w:t> January </w:t>
      </w:r>
      <w:r w:rsidR="00CB20CF" w:rsidRPr="0010711E">
        <w:t>2020</w:t>
      </w:r>
      <w:r w:rsidR="00CB20CF">
        <w:t xml:space="preserve"> </w:t>
      </w:r>
      <w:r w:rsidR="0010711E">
        <w:rPr>
          <w:lang w:val="en-CA"/>
        </w:rPr>
        <w:t>ba</w:t>
      </w:r>
      <w:r w:rsidR="0010711E" w:rsidRPr="0010711E">
        <w:rPr>
          <w:lang w:val="en-CA"/>
        </w:rPr>
        <w:t xml:space="preserve">n on </w:t>
      </w:r>
      <w:r w:rsidR="00CB20CF">
        <w:rPr>
          <w:lang w:val="en-CA"/>
        </w:rPr>
        <w:t>imports</w:t>
      </w:r>
      <w:r w:rsidR="0010711E">
        <w:rPr>
          <w:lang w:val="en-CA"/>
        </w:rPr>
        <w:t>.</w:t>
      </w:r>
    </w:p>
    <w:p w14:paraId="091BC196" w14:textId="3D2B04F1" w:rsidR="001F5147" w:rsidRPr="001F5147" w:rsidRDefault="00E41E3B" w:rsidP="002D2FCF">
      <w:pPr>
        <w:pStyle w:val="Heading1"/>
        <w:rPr>
          <w:lang w:val="en-CA"/>
        </w:rPr>
      </w:pPr>
      <w:r w:rsidRPr="001F5147">
        <w:rPr>
          <w:lang w:val="en-CA"/>
        </w:rPr>
        <w:t>The remaining two enterprises (</w:t>
      </w:r>
      <w:proofErr w:type="spellStart"/>
      <w:r w:rsidRPr="001F5147">
        <w:rPr>
          <w:lang w:val="en-CA"/>
        </w:rPr>
        <w:t>Disur</w:t>
      </w:r>
      <w:proofErr w:type="spellEnd"/>
      <w:r w:rsidRPr="001F5147">
        <w:rPr>
          <w:lang w:val="en-CA"/>
        </w:rPr>
        <w:t xml:space="preserve"> and </w:t>
      </w:r>
      <w:proofErr w:type="spellStart"/>
      <w:r w:rsidR="00B545D8" w:rsidRPr="001F5147">
        <w:rPr>
          <w:lang w:val="en-CA"/>
        </w:rPr>
        <w:t>Refratermic</w:t>
      </w:r>
      <w:proofErr w:type="spellEnd"/>
      <w:r w:rsidRPr="001F5147">
        <w:rPr>
          <w:lang w:val="en-CA"/>
        </w:rPr>
        <w:t>)</w:t>
      </w:r>
      <w:r w:rsidR="00CB20CF">
        <w:rPr>
          <w:lang w:val="en-CA"/>
        </w:rPr>
        <w:t>,</w:t>
      </w:r>
      <w:r w:rsidRPr="001F5147">
        <w:rPr>
          <w:lang w:val="en-CA"/>
        </w:rPr>
        <w:t xml:space="preserve"> with a consumption of 0.48 ODP tonnes</w:t>
      </w:r>
      <w:r w:rsidR="00CB20CF">
        <w:rPr>
          <w:lang w:val="en-CA"/>
        </w:rPr>
        <w:t>,</w:t>
      </w:r>
      <w:r w:rsidRPr="001F5147">
        <w:rPr>
          <w:lang w:val="en-CA"/>
        </w:rPr>
        <w:t xml:space="preserve"> decided to withdraw </w:t>
      </w:r>
      <w:r w:rsidR="00CB20CF">
        <w:rPr>
          <w:lang w:val="en-CA"/>
        </w:rPr>
        <w:t xml:space="preserve">from </w:t>
      </w:r>
      <w:r w:rsidR="001F5147" w:rsidRPr="001F5147">
        <w:rPr>
          <w:lang w:val="en-CA"/>
        </w:rPr>
        <w:t>stage II of the HPMP.</w:t>
      </w:r>
      <w:r w:rsidR="001F5147" w:rsidRPr="001F5147">
        <w:t xml:space="preserve"> </w:t>
      </w:r>
      <w:proofErr w:type="spellStart"/>
      <w:r w:rsidR="001F5147" w:rsidRPr="001F5147">
        <w:rPr>
          <w:lang w:val="en-CA"/>
        </w:rPr>
        <w:t>Disur</w:t>
      </w:r>
      <w:proofErr w:type="spellEnd"/>
      <w:r w:rsidR="001F5147" w:rsidRPr="001F5147">
        <w:rPr>
          <w:lang w:val="en-CA"/>
        </w:rPr>
        <w:t xml:space="preserve"> is using </w:t>
      </w:r>
      <w:proofErr w:type="spellStart"/>
      <w:r w:rsidR="00CB49FF" w:rsidRPr="001F5147">
        <w:rPr>
          <w:lang w:val="en-CA"/>
        </w:rPr>
        <w:t>cyclopentane</w:t>
      </w:r>
      <w:proofErr w:type="spellEnd"/>
      <w:r w:rsidR="001F5147" w:rsidRPr="001F5147">
        <w:rPr>
          <w:lang w:val="en-CA"/>
        </w:rPr>
        <w:t xml:space="preserve"> polyol</w:t>
      </w:r>
      <w:r w:rsidR="00CB20CF">
        <w:rPr>
          <w:lang w:val="en-CA"/>
        </w:rPr>
        <w:t>s</w:t>
      </w:r>
      <w:r w:rsidR="001F5147" w:rsidRPr="001F5147">
        <w:rPr>
          <w:lang w:val="en-CA"/>
        </w:rPr>
        <w:t xml:space="preserve">, while </w:t>
      </w:r>
      <w:proofErr w:type="spellStart"/>
      <w:r w:rsidR="001F5147" w:rsidRPr="001F5147">
        <w:rPr>
          <w:lang w:val="en-CA"/>
        </w:rPr>
        <w:t>Refratermic</w:t>
      </w:r>
      <w:proofErr w:type="spellEnd"/>
      <w:r w:rsidR="001F5147" w:rsidRPr="001F5147">
        <w:rPr>
          <w:lang w:val="en-CA"/>
        </w:rPr>
        <w:t xml:space="preserve"> </w:t>
      </w:r>
      <w:r w:rsidR="001F5147">
        <w:rPr>
          <w:lang w:val="en-CA"/>
        </w:rPr>
        <w:t>is</w:t>
      </w:r>
      <w:r w:rsidR="001F5147" w:rsidRPr="001F5147">
        <w:rPr>
          <w:lang w:val="en-CA"/>
        </w:rPr>
        <w:t xml:space="preserve"> </w:t>
      </w:r>
      <w:r w:rsidR="001F5147">
        <w:rPr>
          <w:lang w:val="en-CA"/>
        </w:rPr>
        <w:t xml:space="preserve">no longer </w:t>
      </w:r>
      <w:r w:rsidR="001F5147" w:rsidRPr="001F5147">
        <w:rPr>
          <w:lang w:val="en-CA"/>
        </w:rPr>
        <w:t>producing PU foam.</w:t>
      </w:r>
    </w:p>
    <w:p w14:paraId="0DD7CADA" w14:textId="77777777" w:rsidR="00D54581" w:rsidRPr="00FE3307" w:rsidRDefault="00D54581" w:rsidP="002D2FCF">
      <w:pPr>
        <w:rPr>
          <w:i/>
          <w:lang w:val="en-CA"/>
        </w:rPr>
      </w:pPr>
      <w:r w:rsidRPr="00FE3307">
        <w:rPr>
          <w:i/>
          <w:lang w:val="en-CA"/>
        </w:rPr>
        <w:t>Refrigeration servicing sector</w:t>
      </w:r>
    </w:p>
    <w:p w14:paraId="2A8DBA14" w14:textId="77777777" w:rsidR="00D54581" w:rsidRPr="00FE3307" w:rsidRDefault="00D54581" w:rsidP="002D2FCF">
      <w:pPr>
        <w:rPr>
          <w:lang w:val="en-CA"/>
        </w:rPr>
      </w:pPr>
    </w:p>
    <w:p w14:paraId="1A28638A" w14:textId="1A26DD0A" w:rsidR="0052173B" w:rsidRPr="0052173B" w:rsidRDefault="0052173B" w:rsidP="002D2FCF">
      <w:pPr>
        <w:pStyle w:val="Heading1"/>
        <w:rPr>
          <w:lang w:val="en-CA"/>
        </w:rPr>
      </w:pPr>
      <w:r w:rsidRPr="0052173B">
        <w:rPr>
          <w:lang w:val="en-CA"/>
        </w:rPr>
        <w:t xml:space="preserve">The following activities </w:t>
      </w:r>
      <w:r w:rsidR="00067A32">
        <w:rPr>
          <w:lang w:val="en-CA"/>
        </w:rPr>
        <w:t xml:space="preserve">were </w:t>
      </w:r>
      <w:r>
        <w:rPr>
          <w:lang w:val="en-CA"/>
        </w:rPr>
        <w:t>implement</w:t>
      </w:r>
      <w:r w:rsidR="00067A32">
        <w:rPr>
          <w:lang w:val="en-CA"/>
        </w:rPr>
        <w:t>ed</w:t>
      </w:r>
      <w:r w:rsidRPr="0052173B">
        <w:rPr>
          <w:lang w:val="en-CA"/>
        </w:rPr>
        <w:t xml:space="preserve">: </w:t>
      </w:r>
    </w:p>
    <w:p w14:paraId="5C7502B9" w14:textId="0606C691" w:rsidR="002F3C12" w:rsidRPr="00DC50CE" w:rsidRDefault="002F3C12" w:rsidP="002D2FCF">
      <w:pPr>
        <w:pStyle w:val="Heading2"/>
        <w:rPr>
          <w:lang w:val="en-CA"/>
        </w:rPr>
      </w:pPr>
      <w:r w:rsidRPr="00DC50CE">
        <w:rPr>
          <w:lang w:val="en-CA"/>
        </w:rPr>
        <w:t xml:space="preserve">Expansion of </w:t>
      </w:r>
      <w:r w:rsidR="00DC50CE" w:rsidRPr="00DC50CE">
        <w:rPr>
          <w:lang w:val="en-CA"/>
        </w:rPr>
        <w:t>the national training center</w:t>
      </w:r>
      <w:r w:rsidR="00DC50CE">
        <w:rPr>
          <w:lang w:val="en-CA"/>
        </w:rPr>
        <w:t>’s</w:t>
      </w:r>
      <w:r w:rsidR="00DC50CE" w:rsidRPr="00DC50CE">
        <w:rPr>
          <w:lang w:val="en-CA"/>
        </w:rPr>
        <w:t xml:space="preserve"> (National Institute for Professional Training for Human Development</w:t>
      </w:r>
      <w:r w:rsidR="00DC50CE">
        <w:rPr>
          <w:lang w:val="en-CA"/>
        </w:rPr>
        <w:t xml:space="preserve"> </w:t>
      </w:r>
      <w:r w:rsidR="00DC50CE" w:rsidRPr="00DC50CE">
        <w:rPr>
          <w:lang w:val="en-CA"/>
        </w:rPr>
        <w:t xml:space="preserve">(INADEH)) </w:t>
      </w:r>
      <w:r w:rsidR="00DC50CE">
        <w:rPr>
          <w:lang w:val="en-CA"/>
        </w:rPr>
        <w:t>p</w:t>
      </w:r>
      <w:r w:rsidRPr="00DC50CE">
        <w:rPr>
          <w:lang w:val="en-CA"/>
        </w:rPr>
        <w:t>rogram</w:t>
      </w:r>
      <w:r w:rsidR="004658DC">
        <w:rPr>
          <w:lang w:val="en-CA"/>
        </w:rPr>
        <w:t>me</w:t>
      </w:r>
      <w:r w:rsidRPr="00DC50CE">
        <w:rPr>
          <w:lang w:val="en-CA"/>
        </w:rPr>
        <w:t xml:space="preserve"> for mechanics in domestic refrigeration</w:t>
      </w:r>
      <w:r w:rsidR="001F5147" w:rsidRPr="00DC50CE">
        <w:rPr>
          <w:lang w:val="en-CA"/>
        </w:rPr>
        <w:t xml:space="preserve"> to</w:t>
      </w:r>
      <w:r w:rsidRPr="00DC50CE">
        <w:rPr>
          <w:lang w:val="en-CA"/>
        </w:rPr>
        <w:t xml:space="preserve"> 925 hours, including a </w:t>
      </w:r>
      <w:r w:rsidR="000A7C59" w:rsidRPr="00DC50CE">
        <w:rPr>
          <w:lang w:val="en-CA"/>
        </w:rPr>
        <w:t xml:space="preserve">mandatory </w:t>
      </w:r>
      <w:r w:rsidRPr="00DC50CE">
        <w:rPr>
          <w:lang w:val="en-CA"/>
        </w:rPr>
        <w:t>module on good practices in refrigerant m</w:t>
      </w:r>
      <w:r w:rsidR="000A7C59" w:rsidRPr="00DC50CE">
        <w:rPr>
          <w:lang w:val="en-CA"/>
        </w:rPr>
        <w:t>anagement (40</w:t>
      </w:r>
      <w:r w:rsidR="00144682">
        <w:rPr>
          <w:lang w:val="en-CA"/>
        </w:rPr>
        <w:t> </w:t>
      </w:r>
      <w:r w:rsidR="000A7C59" w:rsidRPr="00DC50CE">
        <w:rPr>
          <w:lang w:val="en-CA"/>
        </w:rPr>
        <w:t>hours)</w:t>
      </w:r>
      <w:r w:rsidRPr="00DC50CE">
        <w:rPr>
          <w:lang w:val="en-CA"/>
        </w:rPr>
        <w:t xml:space="preserve">; </w:t>
      </w:r>
      <w:r w:rsidR="000A7C59" w:rsidRPr="00DC50CE">
        <w:rPr>
          <w:lang w:val="en-CA"/>
        </w:rPr>
        <w:t xml:space="preserve">the </w:t>
      </w:r>
      <w:r w:rsidRPr="00DC50CE">
        <w:rPr>
          <w:lang w:val="en-CA"/>
        </w:rPr>
        <w:t xml:space="preserve">updated curriculum will be adopted by </w:t>
      </w:r>
      <w:r w:rsidR="004658DC">
        <w:rPr>
          <w:lang w:val="en-CA"/>
        </w:rPr>
        <w:t>10</w:t>
      </w:r>
      <w:r w:rsidRPr="00DC50CE">
        <w:rPr>
          <w:lang w:val="en-CA"/>
        </w:rPr>
        <w:t xml:space="preserve"> teaching cent</w:t>
      </w:r>
      <w:r w:rsidR="00CB20CF" w:rsidRPr="00DC50CE">
        <w:rPr>
          <w:lang w:val="en-CA"/>
        </w:rPr>
        <w:t>re</w:t>
      </w:r>
      <w:r w:rsidRPr="00DC50CE">
        <w:rPr>
          <w:lang w:val="en-CA"/>
        </w:rPr>
        <w:t>s as of 2020;</w:t>
      </w:r>
    </w:p>
    <w:p w14:paraId="76F25696" w14:textId="6CAD6DB4" w:rsidR="00BB1182" w:rsidRPr="00DD10ED" w:rsidRDefault="00BB1182" w:rsidP="002D2FCF">
      <w:pPr>
        <w:pStyle w:val="Heading2"/>
        <w:rPr>
          <w:lang w:val="en-CA"/>
        </w:rPr>
      </w:pPr>
      <w:r w:rsidRPr="00DD10ED">
        <w:rPr>
          <w:lang w:val="en-CA"/>
        </w:rPr>
        <w:t>Train-the-trainer workshop on the safe use of R</w:t>
      </w:r>
      <w:r w:rsidRPr="00DD10ED">
        <w:rPr>
          <w:lang w:val="en-CA"/>
        </w:rPr>
        <w:noBreakHyphen/>
        <w:t>600a and R</w:t>
      </w:r>
      <w:r w:rsidRPr="00DD10ED">
        <w:rPr>
          <w:lang w:val="en-CA"/>
        </w:rPr>
        <w:noBreakHyphen/>
        <w:t>290</w:t>
      </w:r>
      <w:r w:rsidRPr="0052173B">
        <w:t xml:space="preserve"> </w:t>
      </w:r>
      <w:r w:rsidR="00CB20CF">
        <w:t>for</w:t>
      </w:r>
      <w:r w:rsidRPr="0052173B">
        <w:t xml:space="preserve"> </w:t>
      </w:r>
      <w:r w:rsidRPr="00DD10ED">
        <w:rPr>
          <w:lang w:val="en-CA"/>
        </w:rPr>
        <w:t>24 instructors from</w:t>
      </w:r>
      <w:r w:rsidRPr="0052173B">
        <w:t xml:space="preserve"> </w:t>
      </w:r>
      <w:r w:rsidRPr="00DD10ED">
        <w:rPr>
          <w:lang w:val="en-CA"/>
        </w:rPr>
        <w:t xml:space="preserve">INADEH, the Technological University of Panama (UTP) and the Ministry of Education (MEDUCA); and </w:t>
      </w:r>
      <w:r>
        <w:rPr>
          <w:lang w:val="en-CA"/>
        </w:rPr>
        <w:t>p</w:t>
      </w:r>
      <w:r w:rsidRPr="00DD10ED">
        <w:rPr>
          <w:lang w:val="en-CA"/>
        </w:rPr>
        <w:t xml:space="preserve">articipation of two instructors in a course on the installation and maintenance of air-conditioners with R-290 </w:t>
      </w:r>
      <w:r w:rsidR="00CB20CF">
        <w:rPr>
          <w:lang w:val="en-CA"/>
        </w:rPr>
        <w:t>at</w:t>
      </w:r>
      <w:r w:rsidRPr="00DD10ED">
        <w:rPr>
          <w:lang w:val="en-CA"/>
        </w:rPr>
        <w:t xml:space="preserve"> the Costa Rica learning institute</w:t>
      </w:r>
      <w:r>
        <w:rPr>
          <w:lang w:val="en-CA"/>
        </w:rPr>
        <w:t>;</w:t>
      </w:r>
      <w:r w:rsidRPr="00DD10ED">
        <w:rPr>
          <w:lang w:val="en-CA"/>
        </w:rPr>
        <w:t xml:space="preserve"> </w:t>
      </w:r>
    </w:p>
    <w:p w14:paraId="05498384" w14:textId="156D1C68" w:rsidR="002F3C12" w:rsidRDefault="002F3C12" w:rsidP="002D2FCF">
      <w:pPr>
        <w:pStyle w:val="Heading2"/>
        <w:rPr>
          <w:lang w:val="en-CA"/>
        </w:rPr>
      </w:pPr>
      <w:r>
        <w:rPr>
          <w:lang w:val="en-CA"/>
        </w:rPr>
        <w:t xml:space="preserve">Training of </w:t>
      </w:r>
      <w:r w:rsidR="00BC79D3">
        <w:rPr>
          <w:lang w:val="en-CA"/>
        </w:rPr>
        <w:t>199</w:t>
      </w:r>
      <w:r>
        <w:rPr>
          <w:lang w:val="en-CA"/>
        </w:rPr>
        <w:t xml:space="preserve"> </w:t>
      </w:r>
      <w:r w:rsidR="0052173B" w:rsidRPr="0052173B">
        <w:rPr>
          <w:lang w:val="en-CA"/>
        </w:rPr>
        <w:t xml:space="preserve">technicians </w:t>
      </w:r>
      <w:r w:rsidR="00FD2DD7">
        <w:rPr>
          <w:lang w:val="en-CA"/>
        </w:rPr>
        <w:t xml:space="preserve">in six </w:t>
      </w:r>
      <w:r w:rsidR="00067A32">
        <w:rPr>
          <w:lang w:val="en-CA"/>
        </w:rPr>
        <w:t>centres</w:t>
      </w:r>
      <w:r w:rsidR="00FD2DD7" w:rsidRPr="0052173B">
        <w:rPr>
          <w:lang w:val="en-CA"/>
        </w:rPr>
        <w:t xml:space="preserve"> </w:t>
      </w:r>
      <w:r w:rsidR="00CB20CF">
        <w:rPr>
          <w:lang w:val="en-CA"/>
        </w:rPr>
        <w:t>o</w:t>
      </w:r>
      <w:r w:rsidR="001F5147">
        <w:rPr>
          <w:lang w:val="en-CA"/>
        </w:rPr>
        <w:t xml:space="preserve">n good servicing practices using the updated </w:t>
      </w:r>
      <w:r w:rsidR="001F5147" w:rsidRPr="001F5147">
        <w:rPr>
          <w:lang w:val="en-CA"/>
        </w:rPr>
        <w:t>program</w:t>
      </w:r>
      <w:r w:rsidR="004C2DC8">
        <w:rPr>
          <w:lang w:val="en-CA"/>
        </w:rPr>
        <w:t>me</w:t>
      </w:r>
      <w:r w:rsidR="001F5147" w:rsidRPr="001F5147">
        <w:rPr>
          <w:lang w:val="en-CA"/>
        </w:rPr>
        <w:t xml:space="preserve"> for mech</w:t>
      </w:r>
      <w:r w:rsidR="001F5147">
        <w:rPr>
          <w:lang w:val="en-CA"/>
        </w:rPr>
        <w:t>anics in domestic refrigeration; t</w:t>
      </w:r>
      <w:r>
        <w:rPr>
          <w:lang w:val="en-CA"/>
        </w:rPr>
        <w:t xml:space="preserve">raining of </w:t>
      </w:r>
      <w:r w:rsidR="00CB20CF">
        <w:rPr>
          <w:lang w:val="en-CA"/>
        </w:rPr>
        <w:t xml:space="preserve">an </w:t>
      </w:r>
      <w:r>
        <w:rPr>
          <w:lang w:val="en-CA"/>
        </w:rPr>
        <w:t>additional 20</w:t>
      </w:r>
      <w:r w:rsidR="008319D0">
        <w:rPr>
          <w:lang w:val="en-CA"/>
        </w:rPr>
        <w:t> </w:t>
      </w:r>
      <w:r>
        <w:rPr>
          <w:lang w:val="en-CA"/>
        </w:rPr>
        <w:t xml:space="preserve">technicians </w:t>
      </w:r>
      <w:r w:rsidR="008319D0">
        <w:rPr>
          <w:lang w:val="en-CA"/>
        </w:rPr>
        <w:t>i</w:t>
      </w:r>
      <w:r>
        <w:rPr>
          <w:lang w:val="en-CA"/>
        </w:rPr>
        <w:t xml:space="preserve">n a five-day course </w:t>
      </w:r>
      <w:r w:rsidR="00CB20CF">
        <w:rPr>
          <w:lang w:val="en-CA"/>
        </w:rPr>
        <w:t>o</w:t>
      </w:r>
      <w:r>
        <w:rPr>
          <w:lang w:val="en-CA"/>
        </w:rPr>
        <w:t>n good practices in refrigerant m</w:t>
      </w:r>
      <w:r w:rsidRPr="005413F4">
        <w:rPr>
          <w:lang w:val="en-CA"/>
        </w:rPr>
        <w:t xml:space="preserve">anagement, including the safe use of </w:t>
      </w:r>
      <w:r w:rsidR="008319D0">
        <w:rPr>
          <w:lang w:val="en-CA"/>
        </w:rPr>
        <w:t>flammable</w:t>
      </w:r>
      <w:r w:rsidRPr="005413F4">
        <w:rPr>
          <w:lang w:val="en-CA"/>
        </w:rPr>
        <w:t xml:space="preserve"> refrigeran</w:t>
      </w:r>
      <w:r>
        <w:rPr>
          <w:lang w:val="en-CA"/>
        </w:rPr>
        <w:t>t</w:t>
      </w:r>
      <w:r w:rsidRPr="005413F4">
        <w:rPr>
          <w:lang w:val="en-CA"/>
        </w:rPr>
        <w:t>s</w:t>
      </w:r>
      <w:r>
        <w:rPr>
          <w:lang w:val="en-CA"/>
        </w:rPr>
        <w:t xml:space="preserve">; and a one-day workshop </w:t>
      </w:r>
      <w:r w:rsidR="00CB20CF">
        <w:rPr>
          <w:lang w:val="en-CA"/>
        </w:rPr>
        <w:t>for</w:t>
      </w:r>
      <w:r>
        <w:rPr>
          <w:lang w:val="en-CA"/>
        </w:rPr>
        <w:t xml:space="preserve"> 31 technicians </w:t>
      </w:r>
      <w:r w:rsidRPr="005413F4">
        <w:rPr>
          <w:lang w:val="en-CA"/>
        </w:rPr>
        <w:t xml:space="preserve">on </w:t>
      </w:r>
      <w:r>
        <w:rPr>
          <w:lang w:val="en-CA"/>
        </w:rPr>
        <w:t>the safe h</w:t>
      </w:r>
      <w:r w:rsidRPr="005413F4">
        <w:rPr>
          <w:lang w:val="en-CA"/>
        </w:rPr>
        <w:t>andling of R-</w:t>
      </w:r>
      <w:r>
        <w:rPr>
          <w:lang w:val="en-CA"/>
        </w:rPr>
        <w:t>290 and R-600a refrigerants;</w:t>
      </w:r>
      <w:r w:rsidRPr="005413F4">
        <w:rPr>
          <w:lang w:val="en-CA"/>
        </w:rPr>
        <w:t xml:space="preserve"> </w:t>
      </w:r>
    </w:p>
    <w:p w14:paraId="0E3DEF5C" w14:textId="7976ADFB" w:rsidR="00DD10ED" w:rsidRPr="00162F53" w:rsidRDefault="00DD10ED" w:rsidP="002D2FCF">
      <w:pPr>
        <w:pStyle w:val="Heading2"/>
        <w:rPr>
          <w:lang w:val="en-CA"/>
        </w:rPr>
      </w:pPr>
      <w:r>
        <w:rPr>
          <w:lang w:val="en-CA"/>
        </w:rPr>
        <w:t>Procurement of 15</w:t>
      </w:r>
      <w:r w:rsidRPr="00162F53">
        <w:rPr>
          <w:lang w:val="en-CA"/>
        </w:rPr>
        <w:t xml:space="preserve"> basic toolkits</w:t>
      </w:r>
      <w:r w:rsidR="00702561">
        <w:rPr>
          <w:rStyle w:val="FootnoteReference"/>
          <w:lang w:val="en-CA"/>
        </w:rPr>
        <w:footnoteReference w:id="4"/>
      </w:r>
      <w:r w:rsidRPr="00162F53">
        <w:rPr>
          <w:lang w:val="en-CA"/>
        </w:rPr>
        <w:t xml:space="preserve"> for courses in good practice</w:t>
      </w:r>
      <w:r>
        <w:rPr>
          <w:lang w:val="en-CA"/>
        </w:rPr>
        <w:t>s in</w:t>
      </w:r>
      <w:r w:rsidRPr="00162F53">
        <w:rPr>
          <w:lang w:val="en-CA"/>
        </w:rPr>
        <w:t xml:space="preserve"> </w:t>
      </w:r>
      <w:r>
        <w:rPr>
          <w:lang w:val="en-CA"/>
        </w:rPr>
        <w:t>the handling of refrigerants, six of</w:t>
      </w:r>
      <w:r w:rsidR="00DB73C5">
        <w:rPr>
          <w:lang w:val="en-CA"/>
        </w:rPr>
        <w:t xml:space="preserve"> which</w:t>
      </w:r>
      <w:r>
        <w:rPr>
          <w:lang w:val="en-CA"/>
        </w:rPr>
        <w:t xml:space="preserve"> have been delivered </w:t>
      </w:r>
      <w:r w:rsidR="008A77A0">
        <w:rPr>
          <w:lang w:val="en-CA"/>
        </w:rPr>
        <w:t xml:space="preserve">to training institutes </w:t>
      </w:r>
      <w:r>
        <w:rPr>
          <w:lang w:val="en-CA"/>
        </w:rPr>
        <w:t>and</w:t>
      </w:r>
      <w:r w:rsidRPr="00162F53">
        <w:rPr>
          <w:lang w:val="en-CA"/>
        </w:rPr>
        <w:t xml:space="preserve"> </w:t>
      </w:r>
      <w:r w:rsidR="00702561">
        <w:rPr>
          <w:lang w:val="en-CA"/>
        </w:rPr>
        <w:t>nine</w:t>
      </w:r>
      <w:r w:rsidR="00702561" w:rsidRPr="00162F53">
        <w:rPr>
          <w:lang w:val="en-CA"/>
        </w:rPr>
        <w:t xml:space="preserve"> </w:t>
      </w:r>
      <w:r w:rsidRPr="00162F53">
        <w:rPr>
          <w:lang w:val="en-CA"/>
        </w:rPr>
        <w:t>are scheduled for delive</w:t>
      </w:r>
      <w:r>
        <w:rPr>
          <w:lang w:val="en-CA"/>
        </w:rPr>
        <w:t xml:space="preserve">ry in the first quarter of 2020. </w:t>
      </w:r>
      <w:r w:rsidR="004C2DC8">
        <w:rPr>
          <w:lang w:val="en-CA"/>
        </w:rPr>
        <w:t>A total of 70</w:t>
      </w:r>
      <w:r>
        <w:rPr>
          <w:lang w:val="en-CA"/>
        </w:rPr>
        <w:t xml:space="preserve"> additional sets </w:t>
      </w:r>
      <w:r w:rsidR="00D70C7C">
        <w:rPr>
          <w:lang w:val="en-CA"/>
        </w:rPr>
        <w:t>of equipment (i.e.,</w:t>
      </w:r>
      <w:r w:rsidR="00755295">
        <w:rPr>
          <w:lang w:val="en-CA"/>
        </w:rPr>
        <w:t> </w:t>
      </w:r>
      <w:r w:rsidR="00D70C7C">
        <w:rPr>
          <w:lang w:val="en-CA"/>
        </w:rPr>
        <w:t>R</w:t>
      </w:r>
      <w:r w:rsidR="00144682">
        <w:rPr>
          <w:lang w:val="en-CA"/>
        </w:rPr>
        <w:noBreakHyphen/>
      </w:r>
      <w:r w:rsidR="00D70C7C">
        <w:rPr>
          <w:lang w:val="en-CA"/>
        </w:rPr>
        <w:t>290</w:t>
      </w:r>
      <w:r w:rsidR="00144682">
        <w:rPr>
          <w:lang w:val="en-CA"/>
        </w:rPr>
        <w:noBreakHyphen/>
      </w:r>
      <w:r w:rsidR="00D70C7C">
        <w:rPr>
          <w:lang w:val="en-CA"/>
        </w:rPr>
        <w:t>based split AC units and R</w:t>
      </w:r>
      <w:r w:rsidR="00144682">
        <w:rPr>
          <w:lang w:val="en-CA"/>
        </w:rPr>
        <w:noBreakHyphen/>
      </w:r>
      <w:r w:rsidR="00D70C7C">
        <w:rPr>
          <w:lang w:val="en-CA"/>
        </w:rPr>
        <w:t>600a</w:t>
      </w:r>
      <w:r w:rsidR="00144682">
        <w:rPr>
          <w:lang w:val="en-CA"/>
        </w:rPr>
        <w:noBreakHyphen/>
      </w:r>
      <w:r w:rsidR="00D70C7C">
        <w:rPr>
          <w:lang w:val="en-CA"/>
        </w:rPr>
        <w:t xml:space="preserve">based refrigerators for demonstration) and </w:t>
      </w:r>
      <w:r w:rsidR="00D70C7C">
        <w:rPr>
          <w:lang w:val="en-CA"/>
        </w:rPr>
        <w:lastRenderedPageBreak/>
        <w:t xml:space="preserve">tools </w:t>
      </w:r>
      <w:r>
        <w:rPr>
          <w:lang w:val="en-CA"/>
        </w:rPr>
        <w:t>will be procured and distributed during the second half of 2020;</w:t>
      </w:r>
    </w:p>
    <w:p w14:paraId="7FE20D83" w14:textId="40339189" w:rsidR="00BB1182" w:rsidRDefault="00BB1182" w:rsidP="002D2FCF">
      <w:pPr>
        <w:pStyle w:val="Heading2"/>
        <w:rPr>
          <w:lang w:val="en-CA"/>
        </w:rPr>
      </w:pPr>
      <w:r>
        <w:rPr>
          <w:lang w:val="en-CA"/>
        </w:rPr>
        <w:t xml:space="preserve">Progress on the establishment of a certification scheme for RAC technicians through coordination meetings </w:t>
      </w:r>
      <w:r w:rsidR="00DB73C5">
        <w:rPr>
          <w:lang w:val="en-CA"/>
        </w:rPr>
        <w:t xml:space="preserve">and </w:t>
      </w:r>
      <w:r>
        <w:rPr>
          <w:lang w:val="en-CA"/>
        </w:rPr>
        <w:t>two i</w:t>
      </w:r>
      <w:r w:rsidRPr="00BB1182">
        <w:rPr>
          <w:lang w:val="en-CA"/>
        </w:rPr>
        <w:t>nduction workshop</w:t>
      </w:r>
      <w:r>
        <w:rPr>
          <w:lang w:val="en-CA"/>
        </w:rPr>
        <w:t>s</w:t>
      </w:r>
      <w:r w:rsidRPr="00BB1182">
        <w:rPr>
          <w:lang w:val="en-CA"/>
        </w:rPr>
        <w:t xml:space="preserve"> </w:t>
      </w:r>
      <w:r>
        <w:rPr>
          <w:lang w:val="en-CA"/>
        </w:rPr>
        <w:t>for all involved institutions</w:t>
      </w:r>
      <w:r>
        <w:rPr>
          <w:rStyle w:val="FootnoteReference"/>
          <w:lang w:val="en-CA"/>
        </w:rPr>
        <w:footnoteReference w:id="5"/>
      </w:r>
      <w:r>
        <w:rPr>
          <w:lang w:val="en-CA"/>
        </w:rPr>
        <w:t xml:space="preserve"> o</w:t>
      </w:r>
      <w:r w:rsidRPr="00BB1182">
        <w:rPr>
          <w:lang w:val="en-CA"/>
        </w:rPr>
        <w:t xml:space="preserve">n the certification process </w:t>
      </w:r>
      <w:r w:rsidR="000F5970">
        <w:rPr>
          <w:lang w:val="en-CA"/>
        </w:rPr>
        <w:t xml:space="preserve">being prepared </w:t>
      </w:r>
      <w:r w:rsidRPr="00BB1182">
        <w:rPr>
          <w:lang w:val="en-CA"/>
        </w:rPr>
        <w:t>based on labor competencies</w:t>
      </w:r>
      <w:r>
        <w:rPr>
          <w:lang w:val="en-CA"/>
        </w:rPr>
        <w:t xml:space="preserve">; </w:t>
      </w:r>
    </w:p>
    <w:p w14:paraId="2AA29E49" w14:textId="73B5FDF4" w:rsidR="00DC19E1" w:rsidRDefault="00437C89" w:rsidP="002D2FCF">
      <w:pPr>
        <w:pStyle w:val="Heading2"/>
        <w:rPr>
          <w:lang w:val="en-CA"/>
        </w:rPr>
      </w:pPr>
      <w:r>
        <w:rPr>
          <w:lang w:val="en-CA"/>
        </w:rPr>
        <w:t>Updates</w:t>
      </w:r>
      <w:r w:rsidR="002F3C12">
        <w:rPr>
          <w:lang w:val="en-CA"/>
        </w:rPr>
        <w:t xml:space="preserve"> by I</w:t>
      </w:r>
      <w:r>
        <w:rPr>
          <w:lang w:val="en-CA"/>
        </w:rPr>
        <w:t xml:space="preserve">NADEH </w:t>
      </w:r>
      <w:r w:rsidR="002F3C12">
        <w:rPr>
          <w:lang w:val="en-CA"/>
        </w:rPr>
        <w:t xml:space="preserve">to </w:t>
      </w:r>
      <w:r>
        <w:rPr>
          <w:lang w:val="en-CA"/>
        </w:rPr>
        <w:t>t</w:t>
      </w:r>
      <w:r w:rsidR="00383C9C" w:rsidRPr="00437C89">
        <w:rPr>
          <w:lang w:val="en-CA"/>
        </w:rPr>
        <w:t xml:space="preserve">he </w:t>
      </w:r>
      <w:r>
        <w:rPr>
          <w:lang w:val="en-CA"/>
        </w:rPr>
        <w:t>data</w:t>
      </w:r>
      <w:r w:rsidRPr="00437C89">
        <w:rPr>
          <w:lang w:val="en-CA"/>
        </w:rPr>
        <w:t xml:space="preserve">base </w:t>
      </w:r>
      <w:r>
        <w:rPr>
          <w:lang w:val="en-CA"/>
        </w:rPr>
        <w:t xml:space="preserve">of </w:t>
      </w:r>
      <w:r w:rsidR="00383C9C" w:rsidRPr="00437C89">
        <w:rPr>
          <w:lang w:val="en-CA"/>
        </w:rPr>
        <w:t>technicians</w:t>
      </w:r>
      <w:r>
        <w:rPr>
          <w:lang w:val="en-CA"/>
        </w:rPr>
        <w:t xml:space="preserve"> and </w:t>
      </w:r>
      <w:r w:rsidR="00383C9C" w:rsidRPr="00437C89">
        <w:rPr>
          <w:lang w:val="en-CA"/>
        </w:rPr>
        <w:t>t</w:t>
      </w:r>
      <w:r w:rsidR="00DC19E1" w:rsidRPr="00437C89">
        <w:rPr>
          <w:lang w:val="en-CA"/>
        </w:rPr>
        <w:t xml:space="preserve">he </w:t>
      </w:r>
      <w:r>
        <w:rPr>
          <w:lang w:val="en-CA"/>
        </w:rPr>
        <w:t>i</w:t>
      </w:r>
      <w:r w:rsidR="00DC19E1" w:rsidRPr="00437C89">
        <w:rPr>
          <w:lang w:val="en-CA"/>
        </w:rPr>
        <w:t xml:space="preserve">nstruction </w:t>
      </w:r>
      <w:r>
        <w:rPr>
          <w:lang w:val="en-CA"/>
        </w:rPr>
        <w:t>m</w:t>
      </w:r>
      <w:r w:rsidR="00DC19E1" w:rsidRPr="00437C89">
        <w:rPr>
          <w:lang w:val="en-CA"/>
        </w:rPr>
        <w:t xml:space="preserve">anual </w:t>
      </w:r>
      <w:r w:rsidR="00383C9C" w:rsidRPr="00437C89">
        <w:rPr>
          <w:lang w:val="en-CA"/>
        </w:rPr>
        <w:t xml:space="preserve">for </w:t>
      </w:r>
      <w:r>
        <w:rPr>
          <w:lang w:val="en-CA"/>
        </w:rPr>
        <w:t>g</w:t>
      </w:r>
      <w:r w:rsidR="00DC19E1" w:rsidRPr="00437C89">
        <w:rPr>
          <w:lang w:val="en-CA"/>
        </w:rPr>
        <w:t xml:space="preserve">ood </w:t>
      </w:r>
      <w:r w:rsidR="00067A32">
        <w:rPr>
          <w:lang w:val="en-CA"/>
        </w:rPr>
        <w:t>servic</w:t>
      </w:r>
      <w:r w:rsidR="00907CB2">
        <w:rPr>
          <w:lang w:val="en-CA"/>
        </w:rPr>
        <w:t>e</w:t>
      </w:r>
      <w:r w:rsidR="00067A32">
        <w:rPr>
          <w:lang w:val="en-CA"/>
        </w:rPr>
        <w:t xml:space="preserve"> </w:t>
      </w:r>
      <w:r>
        <w:rPr>
          <w:lang w:val="en-CA"/>
        </w:rPr>
        <w:t>p</w:t>
      </w:r>
      <w:r w:rsidR="00DC19E1" w:rsidRPr="00437C89">
        <w:rPr>
          <w:lang w:val="en-CA"/>
        </w:rPr>
        <w:t xml:space="preserve">ractices in the </w:t>
      </w:r>
      <w:r>
        <w:rPr>
          <w:lang w:val="en-CA"/>
        </w:rPr>
        <w:t>m</w:t>
      </w:r>
      <w:r w:rsidR="00DC19E1" w:rsidRPr="00437C89">
        <w:rPr>
          <w:lang w:val="en-CA"/>
        </w:rPr>
        <w:t xml:space="preserve">anagement of </w:t>
      </w:r>
      <w:r>
        <w:rPr>
          <w:lang w:val="en-CA"/>
        </w:rPr>
        <w:t>r</w:t>
      </w:r>
      <w:r w:rsidR="00DC19E1" w:rsidRPr="00437C89">
        <w:rPr>
          <w:lang w:val="en-CA"/>
        </w:rPr>
        <w:t xml:space="preserve">efrigerants </w:t>
      </w:r>
      <w:r>
        <w:rPr>
          <w:lang w:val="en-CA"/>
        </w:rPr>
        <w:t>for domestic refrigeration mechanics</w:t>
      </w:r>
      <w:r w:rsidR="00A867B3">
        <w:rPr>
          <w:lang w:val="en-CA"/>
        </w:rPr>
        <w:t>;</w:t>
      </w:r>
      <w:r w:rsidRPr="00437C89">
        <w:rPr>
          <w:lang w:val="en-CA"/>
        </w:rPr>
        <w:t xml:space="preserve"> </w:t>
      </w:r>
      <w:r w:rsidR="00DB73C5">
        <w:rPr>
          <w:lang w:val="en-CA"/>
        </w:rPr>
        <w:t>and</w:t>
      </w:r>
    </w:p>
    <w:p w14:paraId="62A7BC4A" w14:textId="6AE4C396" w:rsidR="00DC19E1" w:rsidRPr="00DF7A02" w:rsidRDefault="005F6ED0" w:rsidP="002D2FCF">
      <w:pPr>
        <w:pStyle w:val="Heading2"/>
        <w:rPr>
          <w:lang w:val="en-CA"/>
        </w:rPr>
      </w:pPr>
      <w:r>
        <w:rPr>
          <w:lang w:val="en-CA"/>
        </w:rPr>
        <w:t>P</w:t>
      </w:r>
      <w:r w:rsidR="00A867B3" w:rsidRPr="00A867B3">
        <w:rPr>
          <w:lang w:val="en-CA"/>
        </w:rPr>
        <w:t>romot</w:t>
      </w:r>
      <w:r>
        <w:rPr>
          <w:lang w:val="en-CA"/>
        </w:rPr>
        <w:t xml:space="preserve">ion of the </w:t>
      </w:r>
      <w:r w:rsidR="00A867B3" w:rsidRPr="00A867B3">
        <w:rPr>
          <w:lang w:val="en-CA"/>
        </w:rPr>
        <w:t>use of CO</w:t>
      </w:r>
      <w:r w:rsidR="00A867B3" w:rsidRPr="00E6383C">
        <w:rPr>
          <w:vertAlign w:val="subscript"/>
          <w:lang w:val="en-CA"/>
        </w:rPr>
        <w:t>2</w:t>
      </w:r>
      <w:r w:rsidR="00A867B3" w:rsidRPr="00A867B3">
        <w:rPr>
          <w:lang w:val="en-CA"/>
        </w:rPr>
        <w:t xml:space="preserve"> </w:t>
      </w:r>
      <w:r w:rsidR="00E6383C">
        <w:rPr>
          <w:lang w:val="en-CA"/>
        </w:rPr>
        <w:t>a</w:t>
      </w:r>
      <w:r>
        <w:rPr>
          <w:lang w:val="en-CA"/>
        </w:rPr>
        <w:t>n</w:t>
      </w:r>
      <w:r w:rsidR="00E6383C">
        <w:rPr>
          <w:lang w:val="en-CA"/>
        </w:rPr>
        <w:t xml:space="preserve">d other low-GWP refrigerants as alternatives to HCFCs </w:t>
      </w:r>
      <w:r>
        <w:rPr>
          <w:lang w:val="en-CA"/>
        </w:rPr>
        <w:t xml:space="preserve">through nine meetings </w:t>
      </w:r>
      <w:r w:rsidR="00A867B3" w:rsidRPr="00A867B3">
        <w:rPr>
          <w:lang w:val="en-CA"/>
        </w:rPr>
        <w:t xml:space="preserve">for </w:t>
      </w:r>
      <w:r w:rsidR="00E6383C">
        <w:rPr>
          <w:lang w:val="en-CA"/>
        </w:rPr>
        <w:t>enterprises</w:t>
      </w:r>
      <w:r w:rsidR="00A867B3" w:rsidRPr="00A867B3">
        <w:rPr>
          <w:lang w:val="en-CA"/>
        </w:rPr>
        <w:t xml:space="preserve"> </w:t>
      </w:r>
      <w:r w:rsidR="00E6383C">
        <w:rPr>
          <w:lang w:val="en-CA"/>
        </w:rPr>
        <w:t>in the relevant sectors</w:t>
      </w:r>
      <w:r>
        <w:rPr>
          <w:lang w:val="en-CA"/>
        </w:rPr>
        <w:t xml:space="preserve"> (e.g., </w:t>
      </w:r>
      <w:r w:rsidR="00E6383C">
        <w:rPr>
          <w:lang w:val="en-CA"/>
        </w:rPr>
        <w:t>supermarkets and hotels</w:t>
      </w:r>
      <w:r>
        <w:rPr>
          <w:lang w:val="en-CA"/>
        </w:rPr>
        <w:t>)</w:t>
      </w:r>
      <w:r w:rsidR="00954CE0">
        <w:rPr>
          <w:lang w:val="en-CA"/>
        </w:rPr>
        <w:t xml:space="preserve">, </w:t>
      </w:r>
      <w:r>
        <w:rPr>
          <w:lang w:val="en-CA"/>
        </w:rPr>
        <w:t>three seminar-workshops with 75 participants including technicians and decision makers from relevant sectors</w:t>
      </w:r>
      <w:r w:rsidR="00954CE0">
        <w:rPr>
          <w:lang w:val="en-CA"/>
        </w:rPr>
        <w:t xml:space="preserve">, and production of technical brochures on </w:t>
      </w:r>
      <w:r w:rsidR="009C07D2">
        <w:rPr>
          <w:lang w:val="en-CA"/>
        </w:rPr>
        <w:t>alternative refrigerants.</w:t>
      </w:r>
    </w:p>
    <w:p w14:paraId="671F8955" w14:textId="797330D6" w:rsidR="00D54581" w:rsidRPr="00FE3307" w:rsidRDefault="00D54581" w:rsidP="002D2FCF">
      <w:pPr>
        <w:rPr>
          <w:i/>
          <w:lang w:val="en-CA"/>
        </w:rPr>
      </w:pPr>
      <w:r w:rsidRPr="00FE3307">
        <w:rPr>
          <w:i/>
          <w:lang w:val="en-CA"/>
        </w:rPr>
        <w:t>Project implemen</w:t>
      </w:r>
      <w:r w:rsidR="00870CC8">
        <w:rPr>
          <w:i/>
          <w:lang w:val="en-CA"/>
        </w:rPr>
        <w:t>tation and monitoring</w:t>
      </w:r>
    </w:p>
    <w:p w14:paraId="3FE47B90" w14:textId="77777777" w:rsidR="00D54581" w:rsidRDefault="00D54581" w:rsidP="002D2FCF">
      <w:pPr>
        <w:rPr>
          <w:lang w:val="en-CA"/>
        </w:rPr>
      </w:pPr>
    </w:p>
    <w:p w14:paraId="310533E0" w14:textId="6472CA2E" w:rsidR="005C715A" w:rsidRPr="00870CC8" w:rsidRDefault="00DB73C5" w:rsidP="002D2FCF">
      <w:pPr>
        <w:pStyle w:val="Heading1"/>
        <w:rPr>
          <w:lang w:val="en-CA"/>
        </w:rPr>
      </w:pPr>
      <w:r>
        <w:rPr>
          <w:lang w:val="en-CA"/>
        </w:rPr>
        <w:t>HPMP</w:t>
      </w:r>
      <w:r w:rsidRPr="00870CC8">
        <w:rPr>
          <w:lang w:val="en-CA"/>
        </w:rPr>
        <w:t xml:space="preserve"> </w:t>
      </w:r>
      <w:r w:rsidR="00870CC8" w:rsidRPr="00870CC8">
        <w:rPr>
          <w:lang w:val="en-CA"/>
        </w:rPr>
        <w:t>project coordination and management is supervised by the NOU. Activities include p</w:t>
      </w:r>
      <w:r w:rsidR="00922B40" w:rsidRPr="00870CC8">
        <w:rPr>
          <w:lang w:val="en-CA"/>
        </w:rPr>
        <w:t>roject monitoring and operational implementation of the stage II activities</w:t>
      </w:r>
      <w:r w:rsidR="00870CC8" w:rsidRPr="00870CC8">
        <w:rPr>
          <w:lang w:val="en-CA"/>
        </w:rPr>
        <w:t xml:space="preserve"> in both </w:t>
      </w:r>
      <w:r>
        <w:rPr>
          <w:lang w:val="en-CA"/>
        </w:rPr>
        <w:t xml:space="preserve">the </w:t>
      </w:r>
      <w:r w:rsidR="00870CC8" w:rsidRPr="00870CC8">
        <w:rPr>
          <w:lang w:val="en-CA"/>
        </w:rPr>
        <w:t xml:space="preserve">refrigeration and PU foam sectors. </w:t>
      </w:r>
      <w:r w:rsidR="00320A5A" w:rsidRPr="00870CC8">
        <w:rPr>
          <w:lang w:val="en-CA"/>
        </w:rPr>
        <w:t>So far</w:t>
      </w:r>
      <w:r w:rsidR="00110634">
        <w:rPr>
          <w:lang w:val="en-CA"/>
        </w:rPr>
        <w:t>,</w:t>
      </w:r>
      <w:r w:rsidR="00320A5A" w:rsidRPr="00870CC8">
        <w:rPr>
          <w:lang w:val="en-CA"/>
        </w:rPr>
        <w:t xml:space="preserve"> a total of </w:t>
      </w:r>
      <w:r w:rsidR="002D2FCF">
        <w:rPr>
          <w:lang w:val="en-CA"/>
        </w:rPr>
        <w:t>US $</w:t>
      </w:r>
      <w:r w:rsidR="00320A5A" w:rsidRPr="00870CC8">
        <w:rPr>
          <w:lang w:val="en-CA"/>
        </w:rPr>
        <w:t>31,361 ha</w:t>
      </w:r>
      <w:r w:rsidR="00110634">
        <w:rPr>
          <w:lang w:val="en-CA"/>
        </w:rPr>
        <w:t>s</w:t>
      </w:r>
      <w:r w:rsidR="00320A5A" w:rsidRPr="00870CC8">
        <w:rPr>
          <w:lang w:val="en-CA"/>
        </w:rPr>
        <w:t xml:space="preserve"> been spent</w:t>
      </w:r>
      <w:r w:rsidR="008319D0">
        <w:rPr>
          <w:lang w:val="en-CA"/>
        </w:rPr>
        <w:t xml:space="preserve"> </w:t>
      </w:r>
      <w:r w:rsidR="00067A32">
        <w:rPr>
          <w:lang w:val="en-CA"/>
        </w:rPr>
        <w:t xml:space="preserve">(i.e., </w:t>
      </w:r>
      <w:r w:rsidR="002D2FCF">
        <w:rPr>
          <w:lang w:val="en-CA"/>
        </w:rPr>
        <w:t>US $</w:t>
      </w:r>
      <w:r w:rsidR="00320A5A" w:rsidRPr="00870CC8">
        <w:rPr>
          <w:lang w:val="en-CA"/>
        </w:rPr>
        <w:t xml:space="preserve">17,047 on staff and consultants, </w:t>
      </w:r>
      <w:r w:rsidR="002D2FCF">
        <w:rPr>
          <w:lang w:val="en-CA"/>
        </w:rPr>
        <w:t>US $</w:t>
      </w:r>
      <w:r w:rsidR="00320A5A" w:rsidRPr="00870CC8">
        <w:rPr>
          <w:lang w:val="en-CA"/>
        </w:rPr>
        <w:t xml:space="preserve">2,814 on workshops and meetings and </w:t>
      </w:r>
      <w:r w:rsidR="002D2FCF">
        <w:rPr>
          <w:lang w:val="en-CA"/>
        </w:rPr>
        <w:t>US $</w:t>
      </w:r>
      <w:r w:rsidR="00320A5A" w:rsidRPr="00870CC8">
        <w:rPr>
          <w:lang w:val="en-CA"/>
        </w:rPr>
        <w:t>11,50</w:t>
      </w:r>
      <w:r w:rsidR="00144682">
        <w:rPr>
          <w:lang w:val="en-CA"/>
        </w:rPr>
        <w:t>0 on reports and verifications</w:t>
      </w:r>
      <w:r w:rsidR="00067A32">
        <w:rPr>
          <w:lang w:val="en-CA"/>
        </w:rPr>
        <w:t>)</w:t>
      </w:r>
      <w:r w:rsidR="00144682">
        <w:rPr>
          <w:lang w:val="en-CA"/>
        </w:rPr>
        <w:t>.</w:t>
      </w:r>
    </w:p>
    <w:p w14:paraId="77F51195" w14:textId="77777777" w:rsidR="00D54581" w:rsidRPr="00FE3307" w:rsidRDefault="00D54581" w:rsidP="002D2FCF">
      <w:pPr>
        <w:rPr>
          <w:u w:val="single"/>
          <w:lang w:val="en-CA"/>
        </w:rPr>
      </w:pPr>
      <w:r w:rsidRPr="00FE3307">
        <w:rPr>
          <w:u w:val="single"/>
          <w:lang w:val="en-CA"/>
        </w:rPr>
        <w:t>Level of fund disbursement</w:t>
      </w:r>
    </w:p>
    <w:p w14:paraId="0FB07EDD" w14:textId="77777777" w:rsidR="00D54581" w:rsidRPr="00FE3307" w:rsidRDefault="00D54581" w:rsidP="002D2FCF">
      <w:pPr>
        <w:rPr>
          <w:lang w:val="en-CA"/>
        </w:rPr>
      </w:pPr>
    </w:p>
    <w:p w14:paraId="00FF8FF9" w14:textId="6228DCE8" w:rsidR="00D54581" w:rsidRPr="00E9731A" w:rsidRDefault="00D54581" w:rsidP="002D2FCF">
      <w:pPr>
        <w:pStyle w:val="Heading1"/>
        <w:rPr>
          <w:lang w:val="en-CA"/>
        </w:rPr>
      </w:pPr>
      <w:r w:rsidRPr="00FE3307">
        <w:rPr>
          <w:lang w:val="en-CA"/>
        </w:rPr>
        <w:t xml:space="preserve">As of </w:t>
      </w:r>
      <w:r w:rsidR="00AE3F0B">
        <w:rPr>
          <w:lang w:val="en-CA"/>
        </w:rPr>
        <w:t>March</w:t>
      </w:r>
      <w:r>
        <w:rPr>
          <w:lang w:val="en-CA"/>
        </w:rPr>
        <w:t xml:space="preserve"> 2020</w:t>
      </w:r>
      <w:r w:rsidRPr="00FE3307">
        <w:rPr>
          <w:lang w:val="en-CA"/>
        </w:rPr>
        <w:t xml:space="preserve">, of the </w:t>
      </w:r>
      <w:r w:rsidR="002D2FCF">
        <w:rPr>
          <w:lang w:val="en-CA"/>
        </w:rPr>
        <w:t>US $</w:t>
      </w:r>
      <w:r w:rsidR="00756116" w:rsidRPr="00756116">
        <w:rPr>
          <w:lang w:val="en-CA"/>
        </w:rPr>
        <w:t>650,900</w:t>
      </w:r>
      <w:r w:rsidRPr="00756116">
        <w:rPr>
          <w:lang w:val="en-CA"/>
        </w:rPr>
        <w:t xml:space="preserve"> approved</w:t>
      </w:r>
      <w:r w:rsidRPr="00FE3307">
        <w:rPr>
          <w:lang w:val="en-CA"/>
        </w:rPr>
        <w:t xml:space="preserve"> so </w:t>
      </w:r>
      <w:r w:rsidRPr="00A0412F">
        <w:rPr>
          <w:lang w:val="en-CA"/>
        </w:rPr>
        <w:t xml:space="preserve">far, </w:t>
      </w:r>
      <w:r w:rsidR="002D2FCF" w:rsidRPr="00A0412F">
        <w:rPr>
          <w:lang w:val="en-CA"/>
        </w:rPr>
        <w:t>US $</w:t>
      </w:r>
      <w:r w:rsidR="00E9731A" w:rsidRPr="00A0412F">
        <w:rPr>
          <w:szCs w:val="20"/>
          <w:lang w:val="en-CA"/>
        </w:rPr>
        <w:t>2</w:t>
      </w:r>
      <w:r w:rsidR="00401EEE" w:rsidRPr="00A0412F">
        <w:rPr>
          <w:szCs w:val="20"/>
          <w:lang w:val="en-CA"/>
        </w:rPr>
        <w:t>3</w:t>
      </w:r>
      <w:r w:rsidR="00C21C44" w:rsidRPr="00A0412F">
        <w:rPr>
          <w:szCs w:val="20"/>
          <w:lang w:val="en-CA"/>
        </w:rPr>
        <w:t>9</w:t>
      </w:r>
      <w:r w:rsidR="00E9731A" w:rsidRPr="00A0412F">
        <w:rPr>
          <w:szCs w:val="20"/>
          <w:lang w:val="en-CA"/>
        </w:rPr>
        <w:t>,</w:t>
      </w:r>
      <w:r w:rsidR="00C21C44" w:rsidRPr="00A0412F">
        <w:rPr>
          <w:szCs w:val="20"/>
          <w:lang w:val="en-CA"/>
        </w:rPr>
        <w:t>7</w:t>
      </w:r>
      <w:r w:rsidR="00E9731A" w:rsidRPr="00A0412F">
        <w:rPr>
          <w:szCs w:val="20"/>
          <w:lang w:val="en-CA"/>
        </w:rPr>
        <w:t xml:space="preserve">16 </w:t>
      </w:r>
      <w:r w:rsidRPr="00A0412F">
        <w:rPr>
          <w:lang w:val="en-CA"/>
        </w:rPr>
        <w:t>had been disbursed</w:t>
      </w:r>
      <w:r w:rsidR="00756116" w:rsidRPr="00A0412F">
        <w:rPr>
          <w:lang w:val="en-CA"/>
        </w:rPr>
        <w:t>,</w:t>
      </w:r>
      <w:r w:rsidRPr="00A0412F">
        <w:rPr>
          <w:lang w:val="en-CA"/>
        </w:rPr>
        <w:t xml:space="preserve"> as shown in Table 2. The balance of </w:t>
      </w:r>
      <w:r w:rsidR="002D2FCF" w:rsidRPr="00A0412F">
        <w:rPr>
          <w:lang w:val="en-CA"/>
        </w:rPr>
        <w:t>US $</w:t>
      </w:r>
      <w:r w:rsidR="00401EEE" w:rsidRPr="00A0412F">
        <w:rPr>
          <w:lang w:val="en-CA"/>
        </w:rPr>
        <w:t>411</w:t>
      </w:r>
      <w:r w:rsidR="00C21C44" w:rsidRPr="00A0412F">
        <w:rPr>
          <w:lang w:val="en-CA"/>
        </w:rPr>
        <w:t>,1</w:t>
      </w:r>
      <w:r w:rsidR="00E9731A" w:rsidRPr="00A0412F">
        <w:rPr>
          <w:lang w:val="en-CA"/>
        </w:rPr>
        <w:t>84</w:t>
      </w:r>
      <w:r w:rsidRPr="00A0412F">
        <w:rPr>
          <w:lang w:val="en-CA"/>
        </w:rPr>
        <w:t xml:space="preserve"> will be disbursed in </w:t>
      </w:r>
      <w:r w:rsidR="00E9731A" w:rsidRPr="00A0412F">
        <w:rPr>
          <w:lang w:val="en-CA"/>
        </w:rPr>
        <w:t>2020</w:t>
      </w:r>
      <w:r w:rsidR="001F1328" w:rsidRPr="00A0412F">
        <w:rPr>
          <w:lang w:val="en-CA"/>
        </w:rPr>
        <w:t xml:space="preserve"> and</w:t>
      </w:r>
      <w:r w:rsidR="001F1328">
        <w:rPr>
          <w:lang w:val="en-CA"/>
        </w:rPr>
        <w:t xml:space="preserve"> 2021</w:t>
      </w:r>
      <w:r w:rsidRPr="00E9731A">
        <w:rPr>
          <w:lang w:val="en-CA"/>
        </w:rPr>
        <w:t>.</w:t>
      </w:r>
    </w:p>
    <w:p w14:paraId="6742F2F6" w14:textId="40350B3F" w:rsidR="00D54581" w:rsidRPr="00FE3307" w:rsidRDefault="00D54581" w:rsidP="002D2FCF">
      <w:pPr>
        <w:rPr>
          <w:b/>
          <w:lang w:val="en-CA"/>
        </w:rPr>
      </w:pPr>
      <w:r w:rsidRPr="006609C0">
        <w:rPr>
          <w:b/>
          <w:lang w:val="en-CA"/>
        </w:rPr>
        <w:t>Table</w:t>
      </w:r>
      <w:r w:rsidR="006609C0" w:rsidRPr="006609C0">
        <w:rPr>
          <w:b/>
          <w:lang w:val="en-CA"/>
        </w:rPr>
        <w:t> 2. Financial report of stage II</w:t>
      </w:r>
      <w:r w:rsidRPr="006609C0">
        <w:rPr>
          <w:b/>
          <w:lang w:val="en-CA"/>
        </w:rPr>
        <w:t xml:space="preserve"> of the HPMP for </w:t>
      </w:r>
      <w:r w:rsidR="006609C0" w:rsidRPr="006609C0">
        <w:rPr>
          <w:b/>
          <w:lang w:val="en-CA"/>
        </w:rPr>
        <w:t>Panama</w:t>
      </w:r>
      <w:r w:rsidRPr="006609C0">
        <w:rPr>
          <w:b/>
          <w:lang w:val="en-CA"/>
        </w:rPr>
        <w:t xml:space="preserve"> (</w:t>
      </w:r>
      <w:r w:rsidR="002D2FCF">
        <w:rPr>
          <w:b/>
          <w:lang w:val="en-CA"/>
        </w:rPr>
        <w:t>US $</w:t>
      </w:r>
      <w:r w:rsidRPr="006609C0">
        <w:rPr>
          <w:b/>
          <w:lang w:val="en-CA"/>
        </w:rPr>
        <w:t>)</w:t>
      </w:r>
    </w:p>
    <w:tbl>
      <w:tblPr>
        <w:tblW w:w="9355" w:type="dxa"/>
        <w:tblLayout w:type="fixed"/>
        <w:tblLook w:val="04A0" w:firstRow="1" w:lastRow="0" w:firstColumn="1" w:lastColumn="0" w:noHBand="0" w:noVBand="1"/>
      </w:tblPr>
      <w:tblGrid>
        <w:gridCol w:w="2338"/>
        <w:gridCol w:w="2339"/>
        <w:gridCol w:w="2339"/>
        <w:gridCol w:w="2339"/>
      </w:tblGrid>
      <w:tr w:rsidR="002D2FCF" w:rsidRPr="002D2FCF" w14:paraId="73C2BFB4" w14:textId="77777777" w:rsidTr="002D2FCF">
        <w:tc>
          <w:tcPr>
            <w:tcW w:w="2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68FA3" w14:textId="77777777" w:rsidR="002D2FCF" w:rsidRPr="002D2FCF" w:rsidRDefault="002D2FCF" w:rsidP="002D2FCF">
            <w:pPr>
              <w:jc w:val="left"/>
              <w:rPr>
                <w:b/>
                <w:color w:val="000000"/>
                <w:sz w:val="21"/>
                <w:szCs w:val="21"/>
                <w:lang w:val="en-CA" w:eastAsia="en-CA"/>
              </w:rPr>
            </w:pPr>
            <w:r w:rsidRPr="002D2FCF">
              <w:rPr>
                <w:b/>
                <w:color w:val="000000"/>
                <w:sz w:val="21"/>
                <w:szCs w:val="21"/>
                <w:lang w:val="en-CA" w:eastAsia="en-CA"/>
              </w:rPr>
              <w:t>Tranche</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14:paraId="39E12467" w14:textId="77777777" w:rsidR="002D2FCF" w:rsidRPr="002D2FCF" w:rsidRDefault="002D2FCF" w:rsidP="002D2FCF">
            <w:pPr>
              <w:jc w:val="center"/>
              <w:rPr>
                <w:b/>
                <w:color w:val="000000"/>
                <w:sz w:val="21"/>
                <w:szCs w:val="21"/>
                <w:lang w:val="en-CA" w:eastAsia="en-CA"/>
              </w:rPr>
            </w:pPr>
            <w:r w:rsidRPr="002D2FCF">
              <w:rPr>
                <w:b/>
                <w:color w:val="000000"/>
                <w:sz w:val="21"/>
                <w:szCs w:val="21"/>
                <w:lang w:val="en-CA" w:eastAsia="en-CA"/>
              </w:rPr>
              <w:t>Approved</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14:paraId="0D3E5924" w14:textId="77777777" w:rsidR="002D2FCF" w:rsidRPr="002D2FCF" w:rsidRDefault="002D2FCF" w:rsidP="002D2FCF">
            <w:pPr>
              <w:jc w:val="center"/>
              <w:rPr>
                <w:b/>
                <w:color w:val="000000"/>
                <w:sz w:val="21"/>
                <w:szCs w:val="21"/>
                <w:lang w:val="en-CA" w:eastAsia="en-CA"/>
              </w:rPr>
            </w:pPr>
            <w:r w:rsidRPr="002D2FCF">
              <w:rPr>
                <w:b/>
                <w:color w:val="000000"/>
                <w:sz w:val="21"/>
                <w:szCs w:val="21"/>
                <w:lang w:val="en-CA" w:eastAsia="en-CA"/>
              </w:rPr>
              <w:t>Disbursed</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14:paraId="2BEE65C3" w14:textId="6780C4B9" w:rsidR="002D2FCF" w:rsidRPr="002D2FCF" w:rsidRDefault="002D2FCF" w:rsidP="002D2FCF">
            <w:pPr>
              <w:jc w:val="center"/>
              <w:rPr>
                <w:color w:val="000000"/>
                <w:sz w:val="21"/>
                <w:szCs w:val="21"/>
                <w:lang w:val="en-CA" w:eastAsia="en-CA"/>
              </w:rPr>
            </w:pPr>
            <w:r w:rsidRPr="006609C0">
              <w:rPr>
                <w:b/>
                <w:sz w:val="20"/>
                <w:szCs w:val="20"/>
                <w:lang w:val="en-CA"/>
              </w:rPr>
              <w:t>Disbursement rate (%)</w:t>
            </w:r>
          </w:p>
        </w:tc>
      </w:tr>
      <w:tr w:rsidR="002D2FCF" w:rsidRPr="002D2FCF" w14:paraId="44C35B41" w14:textId="77777777" w:rsidTr="002D2FCF">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114162BD" w14:textId="77777777" w:rsidR="002D2FCF" w:rsidRPr="002D2FCF" w:rsidRDefault="002D2FCF" w:rsidP="002D2FCF">
            <w:pPr>
              <w:jc w:val="left"/>
              <w:rPr>
                <w:color w:val="000000"/>
                <w:sz w:val="21"/>
                <w:szCs w:val="21"/>
                <w:lang w:val="en-CA" w:eastAsia="en-CA"/>
              </w:rPr>
            </w:pPr>
            <w:r w:rsidRPr="002D2FCF">
              <w:rPr>
                <w:color w:val="000000"/>
                <w:sz w:val="21"/>
                <w:szCs w:val="21"/>
                <w:lang w:val="en-CA" w:eastAsia="en-CA"/>
              </w:rPr>
              <w:t>First</w:t>
            </w:r>
          </w:p>
        </w:tc>
        <w:tc>
          <w:tcPr>
            <w:tcW w:w="2339"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1475BA5D" w14:textId="77777777" w:rsidR="002D2FCF" w:rsidRPr="002D2FCF" w:rsidRDefault="002D2FCF" w:rsidP="002D2FCF">
            <w:pPr>
              <w:jc w:val="right"/>
              <w:rPr>
                <w:color w:val="000000"/>
                <w:sz w:val="21"/>
                <w:szCs w:val="21"/>
                <w:lang w:val="en-CA" w:eastAsia="en-CA"/>
              </w:rPr>
            </w:pPr>
            <w:r w:rsidRPr="002D2FCF">
              <w:rPr>
                <w:color w:val="000000"/>
                <w:sz w:val="21"/>
                <w:szCs w:val="21"/>
                <w:lang w:val="en-CA" w:eastAsia="en-CA"/>
              </w:rPr>
              <w:t>265,100</w:t>
            </w:r>
          </w:p>
        </w:tc>
        <w:tc>
          <w:tcPr>
            <w:tcW w:w="2339"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037B4320" w14:textId="77777777" w:rsidR="002D2FCF" w:rsidRPr="002D2FCF" w:rsidRDefault="002D2FCF" w:rsidP="002D2FCF">
            <w:pPr>
              <w:jc w:val="right"/>
              <w:rPr>
                <w:color w:val="000000"/>
                <w:sz w:val="21"/>
                <w:szCs w:val="21"/>
                <w:lang w:val="en-CA" w:eastAsia="en-CA"/>
              </w:rPr>
            </w:pPr>
            <w:r w:rsidRPr="002D2FCF">
              <w:rPr>
                <w:color w:val="000000"/>
                <w:sz w:val="21"/>
                <w:szCs w:val="21"/>
                <w:lang w:val="en-CA" w:eastAsia="en-CA"/>
              </w:rPr>
              <w:t>159,300</w:t>
            </w:r>
          </w:p>
        </w:tc>
        <w:tc>
          <w:tcPr>
            <w:tcW w:w="2339" w:type="dxa"/>
            <w:tcBorders>
              <w:top w:val="nil"/>
              <w:left w:val="nil"/>
              <w:bottom w:val="single" w:sz="4" w:space="0" w:color="auto"/>
              <w:right w:val="single" w:sz="4" w:space="0" w:color="auto"/>
            </w:tcBorders>
            <w:shd w:val="clear" w:color="auto" w:fill="auto"/>
            <w:noWrap/>
            <w:vAlign w:val="center"/>
            <w:hideMark/>
          </w:tcPr>
          <w:p w14:paraId="2ACAE517" w14:textId="77777777" w:rsidR="002D2FCF" w:rsidRPr="002D2FCF" w:rsidRDefault="002D2FCF" w:rsidP="002D2FCF">
            <w:pPr>
              <w:jc w:val="center"/>
              <w:rPr>
                <w:color w:val="000000"/>
                <w:sz w:val="21"/>
                <w:szCs w:val="21"/>
                <w:lang w:val="en-CA" w:eastAsia="en-CA"/>
              </w:rPr>
            </w:pPr>
            <w:r w:rsidRPr="002D2FCF">
              <w:rPr>
                <w:color w:val="000000"/>
                <w:sz w:val="21"/>
                <w:szCs w:val="21"/>
                <w:lang w:val="en-CA" w:eastAsia="en-CA"/>
              </w:rPr>
              <w:t>60</w:t>
            </w:r>
          </w:p>
        </w:tc>
      </w:tr>
      <w:tr w:rsidR="002D2FCF" w:rsidRPr="002D2FCF" w14:paraId="434F2FAD" w14:textId="77777777" w:rsidTr="002D2FCF">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1590936C" w14:textId="77777777" w:rsidR="002D2FCF" w:rsidRPr="002D2FCF" w:rsidRDefault="002D2FCF" w:rsidP="002D2FCF">
            <w:pPr>
              <w:jc w:val="left"/>
              <w:rPr>
                <w:color w:val="000000"/>
                <w:sz w:val="21"/>
                <w:szCs w:val="21"/>
                <w:lang w:val="en-CA" w:eastAsia="en-CA"/>
              </w:rPr>
            </w:pPr>
            <w:r w:rsidRPr="002D2FCF">
              <w:rPr>
                <w:color w:val="000000"/>
                <w:sz w:val="21"/>
                <w:szCs w:val="21"/>
                <w:lang w:val="en-CA" w:eastAsia="en-CA"/>
              </w:rPr>
              <w:t>Second</w:t>
            </w:r>
          </w:p>
        </w:tc>
        <w:tc>
          <w:tcPr>
            <w:tcW w:w="2339"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667462A9" w14:textId="77777777" w:rsidR="002D2FCF" w:rsidRPr="002D2FCF" w:rsidRDefault="002D2FCF" w:rsidP="002D2FCF">
            <w:pPr>
              <w:jc w:val="right"/>
              <w:rPr>
                <w:color w:val="000000"/>
                <w:sz w:val="21"/>
                <w:szCs w:val="21"/>
                <w:lang w:val="en-CA" w:eastAsia="en-CA"/>
              </w:rPr>
            </w:pPr>
            <w:r w:rsidRPr="002D2FCF">
              <w:rPr>
                <w:color w:val="000000"/>
                <w:sz w:val="21"/>
                <w:szCs w:val="21"/>
                <w:lang w:val="en-CA" w:eastAsia="en-CA"/>
              </w:rPr>
              <w:t>385,800</w:t>
            </w:r>
          </w:p>
        </w:tc>
        <w:tc>
          <w:tcPr>
            <w:tcW w:w="2339"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19F9D1BA" w14:textId="77777777" w:rsidR="002D2FCF" w:rsidRPr="002D2FCF" w:rsidRDefault="002D2FCF" w:rsidP="002D2FCF">
            <w:pPr>
              <w:jc w:val="right"/>
              <w:rPr>
                <w:color w:val="000000"/>
                <w:sz w:val="21"/>
                <w:szCs w:val="21"/>
                <w:lang w:val="en-CA" w:eastAsia="en-CA"/>
              </w:rPr>
            </w:pPr>
            <w:r w:rsidRPr="002D2FCF">
              <w:rPr>
                <w:color w:val="000000"/>
                <w:sz w:val="21"/>
                <w:szCs w:val="21"/>
                <w:lang w:val="en-CA" w:eastAsia="en-CA"/>
              </w:rPr>
              <w:t>80,416</w:t>
            </w:r>
          </w:p>
        </w:tc>
        <w:tc>
          <w:tcPr>
            <w:tcW w:w="2339" w:type="dxa"/>
            <w:tcBorders>
              <w:top w:val="nil"/>
              <w:left w:val="nil"/>
              <w:bottom w:val="single" w:sz="4" w:space="0" w:color="auto"/>
              <w:right w:val="single" w:sz="4" w:space="0" w:color="auto"/>
            </w:tcBorders>
            <w:shd w:val="clear" w:color="auto" w:fill="auto"/>
            <w:noWrap/>
            <w:vAlign w:val="center"/>
            <w:hideMark/>
          </w:tcPr>
          <w:p w14:paraId="1FEF885E" w14:textId="77777777" w:rsidR="002D2FCF" w:rsidRPr="002D2FCF" w:rsidRDefault="002D2FCF" w:rsidP="002D2FCF">
            <w:pPr>
              <w:jc w:val="center"/>
              <w:rPr>
                <w:color w:val="000000"/>
                <w:sz w:val="21"/>
                <w:szCs w:val="21"/>
                <w:lang w:val="en-CA" w:eastAsia="en-CA"/>
              </w:rPr>
            </w:pPr>
            <w:r w:rsidRPr="002D2FCF">
              <w:rPr>
                <w:color w:val="000000"/>
                <w:sz w:val="21"/>
                <w:szCs w:val="21"/>
                <w:lang w:val="en-CA" w:eastAsia="en-CA"/>
              </w:rPr>
              <w:t>21</w:t>
            </w:r>
          </w:p>
        </w:tc>
      </w:tr>
      <w:tr w:rsidR="002D2FCF" w:rsidRPr="002D2FCF" w14:paraId="567B9A90" w14:textId="77777777" w:rsidTr="002D2FCF">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4FE4DC29" w14:textId="77777777" w:rsidR="002D2FCF" w:rsidRPr="008319D0" w:rsidRDefault="002D2FCF" w:rsidP="002D2FCF">
            <w:pPr>
              <w:jc w:val="left"/>
              <w:rPr>
                <w:b/>
                <w:color w:val="000000"/>
                <w:sz w:val="21"/>
                <w:szCs w:val="21"/>
                <w:lang w:val="en-CA" w:eastAsia="en-CA"/>
              </w:rPr>
            </w:pPr>
            <w:r w:rsidRPr="008319D0">
              <w:rPr>
                <w:b/>
                <w:color w:val="000000"/>
                <w:sz w:val="21"/>
                <w:szCs w:val="21"/>
                <w:lang w:val="en-CA" w:eastAsia="en-CA"/>
              </w:rPr>
              <w:t>Total</w:t>
            </w:r>
          </w:p>
        </w:tc>
        <w:tc>
          <w:tcPr>
            <w:tcW w:w="2339"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19DEE258" w14:textId="77777777" w:rsidR="002D2FCF" w:rsidRPr="002D2FCF" w:rsidRDefault="002D2FCF" w:rsidP="002D2FCF">
            <w:pPr>
              <w:jc w:val="right"/>
              <w:rPr>
                <w:color w:val="000000"/>
                <w:sz w:val="21"/>
                <w:szCs w:val="21"/>
                <w:lang w:val="en-CA" w:eastAsia="en-CA"/>
              </w:rPr>
            </w:pPr>
            <w:r w:rsidRPr="002D2FCF">
              <w:rPr>
                <w:color w:val="000000"/>
                <w:sz w:val="21"/>
                <w:szCs w:val="21"/>
                <w:lang w:val="en-CA" w:eastAsia="en-CA"/>
              </w:rPr>
              <w:t>650,900</w:t>
            </w:r>
          </w:p>
        </w:tc>
        <w:tc>
          <w:tcPr>
            <w:tcW w:w="2339"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169E0E75" w14:textId="77777777" w:rsidR="002D2FCF" w:rsidRPr="002D2FCF" w:rsidRDefault="002D2FCF" w:rsidP="002D2FCF">
            <w:pPr>
              <w:jc w:val="right"/>
              <w:rPr>
                <w:color w:val="000000"/>
                <w:sz w:val="21"/>
                <w:szCs w:val="21"/>
                <w:lang w:val="en-CA" w:eastAsia="en-CA"/>
              </w:rPr>
            </w:pPr>
            <w:r w:rsidRPr="002D2FCF">
              <w:rPr>
                <w:color w:val="000000"/>
                <w:sz w:val="21"/>
                <w:szCs w:val="21"/>
                <w:lang w:val="en-CA" w:eastAsia="en-CA"/>
              </w:rPr>
              <w:t>239,716</w:t>
            </w:r>
          </w:p>
        </w:tc>
        <w:tc>
          <w:tcPr>
            <w:tcW w:w="2339" w:type="dxa"/>
            <w:tcBorders>
              <w:top w:val="nil"/>
              <w:left w:val="nil"/>
              <w:bottom w:val="single" w:sz="4" w:space="0" w:color="auto"/>
              <w:right w:val="single" w:sz="4" w:space="0" w:color="auto"/>
            </w:tcBorders>
            <w:shd w:val="clear" w:color="auto" w:fill="auto"/>
            <w:noWrap/>
            <w:vAlign w:val="center"/>
            <w:hideMark/>
          </w:tcPr>
          <w:p w14:paraId="489D52BB" w14:textId="77777777" w:rsidR="002D2FCF" w:rsidRPr="002D2FCF" w:rsidRDefault="002D2FCF" w:rsidP="002D2FCF">
            <w:pPr>
              <w:jc w:val="center"/>
              <w:rPr>
                <w:color w:val="000000"/>
                <w:sz w:val="21"/>
                <w:szCs w:val="21"/>
                <w:lang w:val="en-CA" w:eastAsia="en-CA"/>
              </w:rPr>
            </w:pPr>
            <w:r w:rsidRPr="002D2FCF">
              <w:rPr>
                <w:color w:val="000000"/>
                <w:sz w:val="21"/>
                <w:szCs w:val="21"/>
                <w:lang w:val="en-CA" w:eastAsia="en-CA"/>
              </w:rPr>
              <w:t>37</w:t>
            </w:r>
          </w:p>
        </w:tc>
      </w:tr>
    </w:tbl>
    <w:p w14:paraId="71D176C8" w14:textId="77777777" w:rsidR="002D2FCF" w:rsidRPr="00FE3307" w:rsidRDefault="002D2FCF" w:rsidP="002D2FCF">
      <w:pPr>
        <w:rPr>
          <w:lang w:val="en-CA"/>
        </w:rPr>
      </w:pPr>
    </w:p>
    <w:p w14:paraId="28F2429B" w14:textId="77777777" w:rsidR="00D54581" w:rsidRPr="00FE3307" w:rsidRDefault="00D54581" w:rsidP="002D2FCF">
      <w:pPr>
        <w:rPr>
          <w:u w:val="single"/>
          <w:lang w:val="en-CA"/>
        </w:rPr>
      </w:pPr>
      <w:r w:rsidRPr="006609C0">
        <w:rPr>
          <w:u w:val="single"/>
          <w:lang w:val="en-CA"/>
        </w:rPr>
        <w:t xml:space="preserve">Implementation plan for the </w:t>
      </w:r>
      <w:r w:rsidR="006609C0" w:rsidRPr="006609C0">
        <w:rPr>
          <w:u w:val="single"/>
          <w:lang w:val="en-CA"/>
        </w:rPr>
        <w:t>third</w:t>
      </w:r>
      <w:r w:rsidRPr="006609C0">
        <w:rPr>
          <w:u w:val="single"/>
          <w:lang w:val="en-CA"/>
        </w:rPr>
        <w:t xml:space="preserve"> </w:t>
      </w:r>
      <w:r w:rsidR="006609C0" w:rsidRPr="006609C0">
        <w:rPr>
          <w:u w:val="single"/>
          <w:lang w:val="en-CA"/>
        </w:rPr>
        <w:t>and final</w:t>
      </w:r>
      <w:r w:rsidRPr="006609C0">
        <w:rPr>
          <w:u w:val="single"/>
          <w:lang w:val="en-CA"/>
        </w:rPr>
        <w:t xml:space="preserve"> tranche of the HPMP</w:t>
      </w:r>
    </w:p>
    <w:p w14:paraId="70F20049" w14:textId="77777777" w:rsidR="00D54581" w:rsidRPr="00FE3307" w:rsidRDefault="00D54581" w:rsidP="002D2FCF">
      <w:pPr>
        <w:rPr>
          <w:lang w:val="en-CA"/>
        </w:rPr>
      </w:pPr>
    </w:p>
    <w:p w14:paraId="0F01D168" w14:textId="77777777" w:rsidR="00D54581" w:rsidRPr="001F1328" w:rsidRDefault="00D54581" w:rsidP="002D2FCF">
      <w:pPr>
        <w:pStyle w:val="Heading1"/>
        <w:rPr>
          <w:lang w:val="en-CA"/>
        </w:rPr>
      </w:pPr>
      <w:r w:rsidRPr="001F1328">
        <w:rPr>
          <w:lang w:val="en-CA"/>
        </w:rPr>
        <w:t>The following activities will be implemented between</w:t>
      </w:r>
      <w:r w:rsidR="00460AD9" w:rsidRPr="001F1328">
        <w:rPr>
          <w:lang w:val="en-CA"/>
        </w:rPr>
        <w:t xml:space="preserve"> July </w:t>
      </w:r>
      <w:r w:rsidRPr="001F1328">
        <w:rPr>
          <w:lang w:val="en-CA"/>
        </w:rPr>
        <w:t>2020 and</w:t>
      </w:r>
      <w:r w:rsidR="00460AD9" w:rsidRPr="001F1328">
        <w:rPr>
          <w:lang w:val="en-CA"/>
        </w:rPr>
        <w:t xml:space="preserve"> December 2021</w:t>
      </w:r>
      <w:r w:rsidRPr="001F1328">
        <w:rPr>
          <w:lang w:val="en-CA"/>
        </w:rPr>
        <w:t>:</w:t>
      </w:r>
    </w:p>
    <w:p w14:paraId="6578E6C5" w14:textId="43B9D15F" w:rsidR="008A0D4A" w:rsidRPr="001F1328" w:rsidRDefault="008A0D4A" w:rsidP="002D2FCF">
      <w:pPr>
        <w:pStyle w:val="Heading2"/>
        <w:rPr>
          <w:lang w:val="en-CA"/>
        </w:rPr>
      </w:pPr>
      <w:r>
        <w:rPr>
          <w:lang w:val="en-CA"/>
        </w:rPr>
        <w:t>S</w:t>
      </w:r>
      <w:r w:rsidRPr="001F1328">
        <w:rPr>
          <w:lang w:val="en-CA"/>
        </w:rPr>
        <w:t>trengthening national capa</w:t>
      </w:r>
      <w:r>
        <w:rPr>
          <w:lang w:val="en-CA"/>
        </w:rPr>
        <w:t>cities for the control of HCFCs through the training of 50 additional customs officers on HCFC-related regulations; d</w:t>
      </w:r>
      <w:r w:rsidRPr="001F1328">
        <w:rPr>
          <w:lang w:val="en-CA"/>
        </w:rPr>
        <w:t>evelopment of educational material to be distributed among the participants of th</w:t>
      </w:r>
      <w:r>
        <w:rPr>
          <w:lang w:val="en-CA"/>
        </w:rPr>
        <w:t xml:space="preserve">e training for customs officers; and continuation of the process of </w:t>
      </w:r>
      <w:r w:rsidRPr="001F1328">
        <w:rPr>
          <w:lang w:val="en-CA"/>
        </w:rPr>
        <w:t>consult</w:t>
      </w:r>
      <w:r>
        <w:rPr>
          <w:lang w:val="en-CA"/>
        </w:rPr>
        <w:t xml:space="preserve">ation with relevant institutions on the </w:t>
      </w:r>
      <w:r w:rsidRPr="001F1328">
        <w:rPr>
          <w:lang w:val="en-CA"/>
        </w:rPr>
        <w:t>regulation</w:t>
      </w:r>
      <w:r>
        <w:rPr>
          <w:lang w:val="en-CA"/>
        </w:rPr>
        <w:t xml:space="preserve"> to manag</w:t>
      </w:r>
      <w:r w:rsidRPr="001F1328">
        <w:rPr>
          <w:lang w:val="en-CA"/>
        </w:rPr>
        <w:t>e</w:t>
      </w:r>
      <w:r>
        <w:rPr>
          <w:lang w:val="en-CA"/>
        </w:rPr>
        <w:t xml:space="preserve"> n</w:t>
      </w:r>
      <w:r w:rsidRPr="001F1328">
        <w:rPr>
          <w:lang w:val="en-CA"/>
        </w:rPr>
        <w:t>atural refrigerant</w:t>
      </w:r>
      <w:r>
        <w:rPr>
          <w:lang w:val="en-CA"/>
        </w:rPr>
        <w:t xml:space="preserve">s </w:t>
      </w:r>
      <w:r w:rsidRPr="001F1328">
        <w:rPr>
          <w:lang w:val="en-CA"/>
        </w:rPr>
        <w:t>(</w:t>
      </w:r>
      <w:r w:rsidR="002D2FCF">
        <w:rPr>
          <w:lang w:val="en-CA"/>
        </w:rPr>
        <w:t>US $</w:t>
      </w:r>
      <w:r w:rsidRPr="001F1328">
        <w:rPr>
          <w:lang w:val="en-CA"/>
        </w:rPr>
        <w:t>27,500)</w:t>
      </w:r>
      <w:r>
        <w:rPr>
          <w:lang w:val="en-CA"/>
        </w:rPr>
        <w:t>;</w:t>
      </w:r>
    </w:p>
    <w:p w14:paraId="57E58174" w14:textId="010EB25E" w:rsidR="006118EC" w:rsidRPr="001F1328" w:rsidRDefault="006118EC" w:rsidP="002D2FCF">
      <w:pPr>
        <w:pStyle w:val="Heading2"/>
        <w:rPr>
          <w:lang w:val="en-CA"/>
        </w:rPr>
      </w:pPr>
      <w:r w:rsidRPr="001F1328">
        <w:rPr>
          <w:lang w:val="en-CA"/>
        </w:rPr>
        <w:t xml:space="preserve">Completion of the conversion of three PU foam manufacturing enterprises (funds from previous tranches); </w:t>
      </w:r>
    </w:p>
    <w:p w14:paraId="53CB3103" w14:textId="472CC968" w:rsidR="00154224" w:rsidRPr="0075384B" w:rsidRDefault="0075384B" w:rsidP="002D2FCF">
      <w:pPr>
        <w:pStyle w:val="Heading2"/>
        <w:rPr>
          <w:lang w:val="en-CA"/>
        </w:rPr>
      </w:pPr>
      <w:r w:rsidRPr="0075384B">
        <w:rPr>
          <w:lang w:val="en-CA"/>
        </w:rPr>
        <w:t xml:space="preserve">State-approved </w:t>
      </w:r>
      <w:r>
        <w:rPr>
          <w:lang w:val="en-CA"/>
        </w:rPr>
        <w:t>p</w:t>
      </w:r>
      <w:r w:rsidR="00460AD9" w:rsidRPr="0075384B">
        <w:rPr>
          <w:lang w:val="en-CA"/>
        </w:rPr>
        <w:t>rogram</w:t>
      </w:r>
      <w:r w:rsidR="008A0D4A">
        <w:rPr>
          <w:lang w:val="en-CA"/>
        </w:rPr>
        <w:t>me</w:t>
      </w:r>
      <w:r w:rsidR="00460AD9" w:rsidRPr="0075384B">
        <w:rPr>
          <w:lang w:val="en-CA"/>
        </w:rPr>
        <w:t xml:space="preserve"> for </w:t>
      </w:r>
      <w:r w:rsidR="001F1328" w:rsidRPr="0075384B">
        <w:rPr>
          <w:lang w:val="en-CA"/>
        </w:rPr>
        <w:t>reducing</w:t>
      </w:r>
      <w:r w:rsidR="00460AD9" w:rsidRPr="0075384B">
        <w:rPr>
          <w:lang w:val="en-CA"/>
        </w:rPr>
        <w:t xml:space="preserve"> </w:t>
      </w:r>
      <w:r w:rsidRPr="0075384B">
        <w:rPr>
          <w:lang w:val="en-CA"/>
        </w:rPr>
        <w:t xml:space="preserve">the use of </w:t>
      </w:r>
      <w:r w:rsidR="00460AD9" w:rsidRPr="0075384B">
        <w:rPr>
          <w:lang w:val="en-CA"/>
        </w:rPr>
        <w:t>HCFCs in the RAC servic</w:t>
      </w:r>
      <w:r w:rsidR="001F1328" w:rsidRPr="0075384B">
        <w:rPr>
          <w:lang w:val="en-CA"/>
        </w:rPr>
        <w:t>ing</w:t>
      </w:r>
      <w:r w:rsidR="00460AD9" w:rsidRPr="0075384B">
        <w:rPr>
          <w:lang w:val="en-CA"/>
        </w:rPr>
        <w:t xml:space="preserve"> sector</w:t>
      </w:r>
      <w:r w:rsidR="001F1328" w:rsidRPr="0075384B">
        <w:rPr>
          <w:lang w:val="en-CA"/>
        </w:rPr>
        <w:t>, including</w:t>
      </w:r>
      <w:r w:rsidR="00460AD9" w:rsidRPr="0075384B">
        <w:rPr>
          <w:lang w:val="en-CA"/>
        </w:rPr>
        <w:t xml:space="preserve"> </w:t>
      </w:r>
      <w:r w:rsidRPr="0075384B">
        <w:rPr>
          <w:lang w:val="en-CA"/>
        </w:rPr>
        <w:t xml:space="preserve">five </w:t>
      </w:r>
      <w:r w:rsidR="001F1328" w:rsidRPr="0075384B">
        <w:rPr>
          <w:lang w:val="en-CA"/>
        </w:rPr>
        <w:t>t</w:t>
      </w:r>
      <w:r w:rsidR="00154224" w:rsidRPr="0075384B">
        <w:rPr>
          <w:lang w:val="en-CA"/>
        </w:rPr>
        <w:t>rain</w:t>
      </w:r>
      <w:r w:rsidRPr="0075384B">
        <w:rPr>
          <w:lang w:val="en-CA"/>
        </w:rPr>
        <w:t>ing</w:t>
      </w:r>
      <w:r w:rsidR="00DB73C5">
        <w:rPr>
          <w:lang w:val="en-CA"/>
        </w:rPr>
        <w:t xml:space="preserve"> session</w:t>
      </w:r>
      <w:r w:rsidRPr="0075384B">
        <w:rPr>
          <w:lang w:val="en-CA"/>
        </w:rPr>
        <w:t>s for 125 technicians and</w:t>
      </w:r>
      <w:r w:rsidR="00154224" w:rsidRPr="0075384B">
        <w:rPr>
          <w:lang w:val="en-CA"/>
        </w:rPr>
        <w:t xml:space="preserve"> a campaign to publicize the national </w:t>
      </w:r>
      <w:r>
        <w:rPr>
          <w:lang w:val="en-CA"/>
        </w:rPr>
        <w:t>technician</w:t>
      </w:r>
      <w:r w:rsidRPr="0075384B">
        <w:rPr>
          <w:lang w:val="en-CA"/>
        </w:rPr>
        <w:t xml:space="preserve"> </w:t>
      </w:r>
      <w:r w:rsidR="00154224" w:rsidRPr="0075384B">
        <w:rPr>
          <w:lang w:val="en-CA"/>
        </w:rPr>
        <w:t xml:space="preserve">certification system </w:t>
      </w:r>
      <w:r w:rsidR="001F1328" w:rsidRPr="0075384B">
        <w:rPr>
          <w:lang w:val="en-CA"/>
        </w:rPr>
        <w:t>(</w:t>
      </w:r>
      <w:r w:rsidR="002D2FCF">
        <w:rPr>
          <w:lang w:val="en-CA"/>
        </w:rPr>
        <w:t>US $</w:t>
      </w:r>
      <w:r w:rsidR="001F1328" w:rsidRPr="0075384B">
        <w:rPr>
          <w:lang w:val="en-CA"/>
        </w:rPr>
        <w:t>30,254)</w:t>
      </w:r>
      <w:r>
        <w:rPr>
          <w:lang w:val="en-CA"/>
        </w:rPr>
        <w:t>;</w:t>
      </w:r>
      <w:r w:rsidR="00154224" w:rsidRPr="0075384B">
        <w:rPr>
          <w:lang w:val="en-CA"/>
        </w:rPr>
        <w:t xml:space="preserve"> </w:t>
      </w:r>
      <w:r w:rsidR="008A0D4A">
        <w:rPr>
          <w:lang w:val="en-CA"/>
        </w:rPr>
        <w:t xml:space="preserve">and </w:t>
      </w:r>
    </w:p>
    <w:p w14:paraId="2510ECB3" w14:textId="4DCB4EF3" w:rsidR="00D54581" w:rsidRPr="00285DB2" w:rsidRDefault="00460AD9" w:rsidP="00067A32">
      <w:pPr>
        <w:pStyle w:val="Heading2"/>
        <w:rPr>
          <w:lang w:val="en-CA"/>
        </w:rPr>
      </w:pPr>
      <w:r w:rsidRPr="00285DB2">
        <w:rPr>
          <w:lang w:val="en-CA"/>
        </w:rPr>
        <w:t xml:space="preserve">Project </w:t>
      </w:r>
      <w:r w:rsidR="008C6D92" w:rsidRPr="00285DB2">
        <w:rPr>
          <w:lang w:val="en-CA"/>
        </w:rPr>
        <w:t>implementation and monitoring</w:t>
      </w:r>
      <w:r w:rsidRPr="00285DB2">
        <w:rPr>
          <w:lang w:val="en-CA"/>
        </w:rPr>
        <w:t xml:space="preserve"> </w:t>
      </w:r>
      <w:r w:rsidR="00D54581" w:rsidRPr="00285DB2">
        <w:rPr>
          <w:lang w:val="en-CA"/>
        </w:rPr>
        <w:t>(</w:t>
      </w:r>
      <w:r w:rsidR="002D2FCF">
        <w:rPr>
          <w:lang w:val="en-CA"/>
        </w:rPr>
        <w:t>US $</w:t>
      </w:r>
      <w:r w:rsidRPr="00285DB2">
        <w:rPr>
          <w:lang w:val="en-CA"/>
        </w:rPr>
        <w:t>15,000</w:t>
      </w:r>
      <w:r w:rsidR="008C6D92" w:rsidRPr="00285DB2">
        <w:rPr>
          <w:lang w:val="en-CA"/>
        </w:rPr>
        <w:t>), including staff and consultants (</w:t>
      </w:r>
      <w:r w:rsidR="002D2FCF">
        <w:rPr>
          <w:lang w:val="en-CA"/>
        </w:rPr>
        <w:t>US $</w:t>
      </w:r>
      <w:r w:rsidR="008C6D92" w:rsidRPr="00285DB2">
        <w:rPr>
          <w:lang w:val="en-CA"/>
        </w:rPr>
        <w:t>1</w:t>
      </w:r>
      <w:r w:rsidR="00285DB2" w:rsidRPr="00285DB2">
        <w:rPr>
          <w:lang w:val="en-CA"/>
        </w:rPr>
        <w:t>2</w:t>
      </w:r>
      <w:r w:rsidR="008C6D92" w:rsidRPr="00285DB2">
        <w:rPr>
          <w:lang w:val="en-CA"/>
        </w:rPr>
        <w:t>,000), workshops and meetings (</w:t>
      </w:r>
      <w:r w:rsidR="002D2FCF">
        <w:rPr>
          <w:lang w:val="en-CA"/>
        </w:rPr>
        <w:t>US $</w:t>
      </w:r>
      <w:r w:rsidR="00285DB2" w:rsidRPr="00285DB2">
        <w:rPr>
          <w:lang w:val="en-CA"/>
        </w:rPr>
        <w:t>3,0</w:t>
      </w:r>
      <w:r w:rsidR="008C6D92" w:rsidRPr="00285DB2">
        <w:rPr>
          <w:lang w:val="en-CA"/>
        </w:rPr>
        <w:t>00</w:t>
      </w:r>
      <w:r w:rsidR="00285DB2" w:rsidRPr="00285DB2">
        <w:rPr>
          <w:lang w:val="en-CA"/>
        </w:rPr>
        <w:t>).</w:t>
      </w:r>
    </w:p>
    <w:p w14:paraId="30E5ACDC" w14:textId="77777777" w:rsidR="00673993" w:rsidRPr="00FE3307" w:rsidRDefault="00673993" w:rsidP="002D2FCF">
      <w:pPr>
        <w:jc w:val="center"/>
        <w:rPr>
          <w:b/>
          <w:lang w:val="en-CA"/>
        </w:rPr>
      </w:pPr>
      <w:r w:rsidRPr="00FE3307">
        <w:rPr>
          <w:b/>
          <w:lang w:val="en-CA"/>
        </w:rPr>
        <w:t>SECRETARIAT’S COMMENTS AND RECOMMENDATION</w:t>
      </w:r>
    </w:p>
    <w:p w14:paraId="7625328F" w14:textId="77777777" w:rsidR="00673993" w:rsidRPr="00FE3307" w:rsidRDefault="00673993" w:rsidP="002D2FCF">
      <w:pPr>
        <w:rPr>
          <w:lang w:val="en-CA"/>
        </w:rPr>
      </w:pPr>
    </w:p>
    <w:p w14:paraId="0C119276" w14:textId="77777777" w:rsidR="00673993" w:rsidRPr="00FE3307" w:rsidRDefault="00673993" w:rsidP="002D2FCF">
      <w:pPr>
        <w:rPr>
          <w:b/>
          <w:lang w:val="en-CA"/>
        </w:rPr>
      </w:pPr>
      <w:r w:rsidRPr="00FE3307">
        <w:rPr>
          <w:b/>
          <w:lang w:val="en-CA"/>
        </w:rPr>
        <w:t>COMMENTS</w:t>
      </w:r>
    </w:p>
    <w:p w14:paraId="192C6BBF" w14:textId="77777777" w:rsidR="00673993" w:rsidRPr="00FE3307" w:rsidRDefault="00673993" w:rsidP="002D2FCF">
      <w:pPr>
        <w:rPr>
          <w:lang w:val="en-CA"/>
        </w:rPr>
      </w:pPr>
    </w:p>
    <w:p w14:paraId="582E3EAD" w14:textId="77777777" w:rsidR="00673993" w:rsidRPr="00FE3307" w:rsidRDefault="00673993" w:rsidP="002D2FCF">
      <w:pPr>
        <w:rPr>
          <w:u w:val="single"/>
          <w:lang w:val="en-CA"/>
        </w:rPr>
      </w:pPr>
      <w:r w:rsidRPr="00FE3307">
        <w:rPr>
          <w:u w:val="single"/>
          <w:lang w:val="en-CA"/>
        </w:rPr>
        <w:t xml:space="preserve">Progress report on the implementation of </w:t>
      </w:r>
      <w:r w:rsidRPr="009C31FD">
        <w:rPr>
          <w:u w:val="single"/>
          <w:lang w:val="en-CA"/>
        </w:rPr>
        <w:t>the second tranche</w:t>
      </w:r>
      <w:r w:rsidRPr="00FE3307">
        <w:rPr>
          <w:u w:val="single"/>
          <w:lang w:val="en-CA"/>
        </w:rPr>
        <w:t xml:space="preserve"> of the HPMP</w:t>
      </w:r>
    </w:p>
    <w:p w14:paraId="012746D9" w14:textId="77777777" w:rsidR="00673993" w:rsidRPr="00FE3307" w:rsidRDefault="00673993" w:rsidP="002D2FCF">
      <w:pPr>
        <w:rPr>
          <w:lang w:val="en-CA"/>
        </w:rPr>
      </w:pPr>
    </w:p>
    <w:p w14:paraId="2E6477CC" w14:textId="58FD7B68" w:rsidR="00F93B42" w:rsidRPr="00F93B42" w:rsidRDefault="00F93B42" w:rsidP="002D2FCF">
      <w:pPr>
        <w:pStyle w:val="Heading1"/>
        <w:rPr>
          <w:lang w:val="en-CA"/>
        </w:rPr>
      </w:pPr>
      <w:r>
        <w:rPr>
          <w:lang w:val="en-CA"/>
        </w:rPr>
        <w:t>In a</w:t>
      </w:r>
      <w:r w:rsidRPr="00F93B42">
        <w:rPr>
          <w:lang w:val="en-CA"/>
        </w:rPr>
        <w:t>pproving the</w:t>
      </w:r>
      <w:r>
        <w:rPr>
          <w:lang w:val="en-CA"/>
        </w:rPr>
        <w:t xml:space="preserve"> second </w:t>
      </w:r>
      <w:r w:rsidRPr="00F93B42">
        <w:rPr>
          <w:lang w:val="en-CA"/>
        </w:rPr>
        <w:t xml:space="preserve">tranche of stage II of </w:t>
      </w:r>
      <w:r w:rsidR="00E41065">
        <w:rPr>
          <w:lang w:val="en-CA"/>
        </w:rPr>
        <w:t xml:space="preserve">the HPMP of </w:t>
      </w:r>
      <w:r w:rsidRPr="00F93B42">
        <w:rPr>
          <w:lang w:val="en-CA"/>
        </w:rPr>
        <w:t>Panama at the 82</w:t>
      </w:r>
      <w:r w:rsidRPr="004679EE">
        <w:rPr>
          <w:vertAlign w:val="superscript"/>
          <w:lang w:val="en-CA"/>
        </w:rPr>
        <w:t>nd</w:t>
      </w:r>
      <w:r w:rsidR="004679EE">
        <w:rPr>
          <w:lang w:val="en-CA"/>
        </w:rPr>
        <w:t xml:space="preserve"> </w:t>
      </w:r>
      <w:r w:rsidRPr="00F93B42">
        <w:rPr>
          <w:lang w:val="en-CA"/>
        </w:rPr>
        <w:t>meeting (</w:t>
      </w:r>
      <w:r w:rsidR="00F62491">
        <w:rPr>
          <w:lang w:val="en-CA"/>
        </w:rPr>
        <w:t xml:space="preserve">by </w:t>
      </w:r>
      <w:r w:rsidRPr="00F93B42">
        <w:rPr>
          <w:lang w:val="en-CA"/>
        </w:rPr>
        <w:t>blanket approval)</w:t>
      </w:r>
      <w:r>
        <w:rPr>
          <w:lang w:val="en-CA"/>
        </w:rPr>
        <w:t xml:space="preserve">, the Executive Committee requested </w:t>
      </w:r>
      <w:r w:rsidRPr="00F93B42">
        <w:rPr>
          <w:lang w:val="en-CA"/>
        </w:rPr>
        <w:t>UNEP to return at the 83</w:t>
      </w:r>
      <w:r w:rsidRPr="00F93B42">
        <w:rPr>
          <w:vertAlign w:val="superscript"/>
          <w:lang w:val="en-CA"/>
        </w:rPr>
        <w:t>rd</w:t>
      </w:r>
      <w:r>
        <w:rPr>
          <w:lang w:val="en-CA"/>
        </w:rPr>
        <w:t xml:space="preserve"> </w:t>
      </w:r>
      <w:r w:rsidRPr="00F93B42">
        <w:rPr>
          <w:lang w:val="en-CA"/>
        </w:rPr>
        <w:t>meeting any remaining balances approved under stage I of the HPMP.</w:t>
      </w:r>
      <w:r>
        <w:rPr>
          <w:lang w:val="en-CA"/>
        </w:rPr>
        <w:t xml:space="preserve"> </w:t>
      </w:r>
      <w:r w:rsidR="00755295">
        <w:rPr>
          <w:lang w:val="en-CA"/>
        </w:rPr>
        <w:t>I</w:t>
      </w:r>
      <w:r w:rsidR="00DC213C">
        <w:rPr>
          <w:lang w:val="en-CA"/>
        </w:rPr>
        <w:t xml:space="preserve">n this regard, UNEP informed </w:t>
      </w:r>
      <w:r w:rsidR="00755295">
        <w:rPr>
          <w:lang w:val="en-CA"/>
        </w:rPr>
        <w:t xml:space="preserve">the Secretariat </w:t>
      </w:r>
      <w:r w:rsidR="00DC213C">
        <w:rPr>
          <w:lang w:val="en-CA"/>
        </w:rPr>
        <w:t xml:space="preserve">through UNDP that the project has not been financially closed. </w:t>
      </w:r>
      <w:r w:rsidR="000A18B6">
        <w:rPr>
          <w:lang w:val="en-CA"/>
        </w:rPr>
        <w:t>This issue</w:t>
      </w:r>
      <w:r w:rsidR="00DC213C">
        <w:rPr>
          <w:lang w:val="en-CA"/>
        </w:rPr>
        <w:t xml:space="preserve"> </w:t>
      </w:r>
      <w:r w:rsidR="000A18B6">
        <w:rPr>
          <w:lang w:val="en-CA"/>
        </w:rPr>
        <w:t xml:space="preserve">is being </w:t>
      </w:r>
      <w:r w:rsidR="002763FC">
        <w:rPr>
          <w:lang w:val="en-CA"/>
        </w:rPr>
        <w:t>addressed</w:t>
      </w:r>
      <w:r w:rsidR="000A18B6">
        <w:rPr>
          <w:lang w:val="en-CA"/>
        </w:rPr>
        <w:t xml:space="preserve"> in </w:t>
      </w:r>
      <w:r w:rsidR="008A0D4A">
        <w:rPr>
          <w:lang w:val="en-CA"/>
        </w:rPr>
        <w:t>the Report on balances and availability of resources</w:t>
      </w:r>
      <w:r w:rsidR="008319D0">
        <w:rPr>
          <w:lang w:val="en-CA"/>
        </w:rPr>
        <w:t>.</w:t>
      </w:r>
      <w:r w:rsidR="008A0D4A">
        <w:rPr>
          <w:rStyle w:val="FootnoteReference"/>
          <w:lang w:val="en-CA"/>
        </w:rPr>
        <w:footnoteReference w:id="6"/>
      </w:r>
      <w:r w:rsidR="008A0D4A">
        <w:rPr>
          <w:lang w:val="en-CA"/>
        </w:rPr>
        <w:t xml:space="preserve"> </w:t>
      </w:r>
    </w:p>
    <w:p w14:paraId="03AAD6B1" w14:textId="24C69532" w:rsidR="00673993" w:rsidRPr="006609C0" w:rsidRDefault="00673993" w:rsidP="002D2FCF">
      <w:pPr>
        <w:rPr>
          <w:i/>
          <w:lang w:val="en-CA"/>
        </w:rPr>
      </w:pPr>
      <w:r w:rsidRPr="006609C0">
        <w:rPr>
          <w:i/>
          <w:lang w:val="en-CA"/>
        </w:rPr>
        <w:t>Legal framework</w:t>
      </w:r>
      <w:r w:rsidR="00B229B6">
        <w:rPr>
          <w:i/>
          <w:lang w:val="en-CA"/>
        </w:rPr>
        <w:t xml:space="preserve"> </w:t>
      </w:r>
    </w:p>
    <w:p w14:paraId="4BFAE7D1" w14:textId="77777777" w:rsidR="00673993" w:rsidRPr="00FE3307" w:rsidRDefault="00673993" w:rsidP="002D2FCF">
      <w:pPr>
        <w:rPr>
          <w:lang w:val="en-CA"/>
        </w:rPr>
      </w:pPr>
    </w:p>
    <w:p w14:paraId="739C1A82" w14:textId="63616382" w:rsidR="00673993" w:rsidRPr="00B229B6" w:rsidRDefault="00673993" w:rsidP="002D2FCF">
      <w:pPr>
        <w:pStyle w:val="Heading1"/>
        <w:rPr>
          <w:lang w:val="en-CA"/>
        </w:rPr>
      </w:pPr>
      <w:r w:rsidRPr="004927F7">
        <w:rPr>
          <w:lang w:val="en-CA"/>
        </w:rPr>
        <w:t xml:space="preserve">The Government of Panama has already issued HCFC import quotas for 2020 at </w:t>
      </w:r>
      <w:r>
        <w:rPr>
          <w:lang w:val="en-CA"/>
        </w:rPr>
        <w:t>14.22 </w:t>
      </w:r>
      <w:r w:rsidRPr="00580F90">
        <w:rPr>
          <w:lang w:val="en-CA"/>
        </w:rPr>
        <w:t>ODP</w:t>
      </w:r>
      <w:r>
        <w:rPr>
          <w:lang w:val="en-CA"/>
        </w:rPr>
        <w:t> </w:t>
      </w:r>
      <w:r w:rsidRPr="00580F90">
        <w:rPr>
          <w:lang w:val="en-CA"/>
        </w:rPr>
        <w:t>tonnes</w:t>
      </w:r>
      <w:r w:rsidR="008A0D4A">
        <w:rPr>
          <w:lang w:val="en-CA"/>
        </w:rPr>
        <w:t xml:space="preserve"> (258.55</w:t>
      </w:r>
      <w:r w:rsidR="00E82357">
        <w:rPr>
          <w:lang w:val="en-CA"/>
        </w:rPr>
        <w:t> </w:t>
      </w:r>
      <w:proofErr w:type="spellStart"/>
      <w:r w:rsidR="008A0D4A" w:rsidRPr="00580F90">
        <w:rPr>
          <w:lang w:val="en-CA"/>
        </w:rPr>
        <w:t>mt</w:t>
      </w:r>
      <w:proofErr w:type="spellEnd"/>
      <w:r w:rsidR="008A0D4A">
        <w:rPr>
          <w:lang w:val="en-CA"/>
        </w:rPr>
        <w:t>)</w:t>
      </w:r>
      <w:r w:rsidRPr="00580F90">
        <w:rPr>
          <w:lang w:val="en-CA"/>
        </w:rPr>
        <w:t xml:space="preserve">, which is </w:t>
      </w:r>
      <w:r>
        <w:rPr>
          <w:lang w:val="en-CA"/>
        </w:rPr>
        <w:t>11.7</w:t>
      </w:r>
      <w:r w:rsidRPr="00580F90">
        <w:rPr>
          <w:lang w:val="en-CA"/>
        </w:rPr>
        <w:t xml:space="preserve"> per cent below the compliance level of </w:t>
      </w:r>
      <w:r>
        <w:rPr>
          <w:lang w:val="en-CA"/>
        </w:rPr>
        <w:t>16.11</w:t>
      </w:r>
      <w:r w:rsidRPr="00580F90">
        <w:rPr>
          <w:lang w:val="en-CA"/>
        </w:rPr>
        <w:t xml:space="preserve"> ODP tonnes under the Montreal </w:t>
      </w:r>
      <w:r w:rsidRPr="00B229B6">
        <w:rPr>
          <w:lang w:val="en-CA"/>
        </w:rPr>
        <w:t>Protocol</w:t>
      </w:r>
      <w:r w:rsidR="008A0D4A">
        <w:rPr>
          <w:lang w:val="en-CA"/>
        </w:rPr>
        <w:t xml:space="preserve"> control targets</w:t>
      </w:r>
      <w:r w:rsidRPr="00B229B6">
        <w:rPr>
          <w:lang w:val="en-CA"/>
        </w:rPr>
        <w:t>.</w:t>
      </w:r>
    </w:p>
    <w:p w14:paraId="5414C76D" w14:textId="5464E64E" w:rsidR="00BD0151" w:rsidRPr="00BD0151" w:rsidRDefault="00F62491" w:rsidP="002D2FCF">
      <w:pPr>
        <w:pStyle w:val="Heading1"/>
        <w:numPr>
          <w:ilvl w:val="0"/>
          <w:numId w:val="0"/>
        </w:numPr>
        <w:rPr>
          <w:lang w:val="en-CA"/>
        </w:rPr>
      </w:pPr>
      <w:r>
        <w:rPr>
          <w:i/>
          <w:lang w:val="en-CA"/>
        </w:rPr>
        <w:t xml:space="preserve">Issues related to the </w:t>
      </w:r>
      <w:r w:rsidR="00BD0151">
        <w:rPr>
          <w:i/>
          <w:lang w:val="en-CA"/>
        </w:rPr>
        <w:t>FTZ</w:t>
      </w:r>
    </w:p>
    <w:p w14:paraId="47C58F11" w14:textId="564FED9B" w:rsidR="00B229B6" w:rsidRPr="00B229B6" w:rsidRDefault="00673993" w:rsidP="002D2FCF">
      <w:pPr>
        <w:pStyle w:val="Heading1"/>
        <w:rPr>
          <w:lang w:val="en-CA"/>
        </w:rPr>
      </w:pPr>
      <w:r w:rsidRPr="00B229B6">
        <w:rPr>
          <w:lang w:val="en-CA"/>
        </w:rPr>
        <w:t>In approving the second tranche</w:t>
      </w:r>
      <w:r w:rsidR="00F62491">
        <w:rPr>
          <w:lang w:val="en-CA"/>
        </w:rPr>
        <w:t xml:space="preserve"> of stage II of the HPMP</w:t>
      </w:r>
      <w:r w:rsidRPr="00B229B6">
        <w:rPr>
          <w:lang w:val="en-CA"/>
        </w:rPr>
        <w:t xml:space="preserve">, the Executive Committee requested the Government of Panama </w:t>
      </w:r>
      <w:r w:rsidR="00920700">
        <w:rPr>
          <w:lang w:val="en-CA"/>
        </w:rPr>
        <w:t xml:space="preserve">and UNDP </w:t>
      </w:r>
      <w:r w:rsidRPr="00B229B6">
        <w:rPr>
          <w:lang w:val="en-CA"/>
        </w:rPr>
        <w:t>to continue reporting</w:t>
      </w:r>
      <w:r w:rsidR="00E41065">
        <w:rPr>
          <w:lang w:val="en-CA"/>
        </w:rPr>
        <w:t>,</w:t>
      </w:r>
      <w:r w:rsidRPr="00B229B6">
        <w:rPr>
          <w:lang w:val="en-CA"/>
        </w:rPr>
        <w:t xml:space="preserve"> at the time of submission of the remaining tranche requests</w:t>
      </w:r>
      <w:r w:rsidR="00E41065">
        <w:rPr>
          <w:lang w:val="en-CA"/>
        </w:rPr>
        <w:t>,</w:t>
      </w:r>
      <w:r w:rsidRPr="00B229B6">
        <w:rPr>
          <w:lang w:val="en-CA"/>
        </w:rPr>
        <w:t xml:space="preserve"> on the status of the Government’s efforts to obtain data from the systems house in the </w:t>
      </w:r>
      <w:r w:rsidR="001C19F3" w:rsidRPr="00B229B6">
        <w:rPr>
          <w:lang w:val="en-CA"/>
        </w:rPr>
        <w:t>FTZ</w:t>
      </w:r>
      <w:r w:rsidR="00A3753F">
        <w:rPr>
          <w:lang w:val="en-CA"/>
        </w:rPr>
        <w:t xml:space="preserve"> and </w:t>
      </w:r>
      <w:r w:rsidRPr="00B229B6">
        <w:rPr>
          <w:lang w:val="en-CA"/>
        </w:rPr>
        <w:t xml:space="preserve">information on HCFCs imported to and exported from the </w:t>
      </w:r>
      <w:r w:rsidR="001C19F3" w:rsidRPr="00B229B6">
        <w:rPr>
          <w:lang w:val="en-CA"/>
        </w:rPr>
        <w:t>FTZ</w:t>
      </w:r>
      <w:r w:rsidRPr="00B229B6">
        <w:rPr>
          <w:lang w:val="en-CA"/>
        </w:rPr>
        <w:t>. The</w:t>
      </w:r>
      <w:r w:rsidR="00B229B6" w:rsidRPr="00B229B6">
        <w:rPr>
          <w:lang w:val="en-CA"/>
        </w:rPr>
        <w:t xml:space="preserve"> Secretariat notes with appreciation the efforts made by the Government </w:t>
      </w:r>
      <w:r w:rsidR="00E41065">
        <w:rPr>
          <w:lang w:val="en-CA"/>
        </w:rPr>
        <w:t>i</w:t>
      </w:r>
      <w:r w:rsidR="00B229B6" w:rsidRPr="00B229B6">
        <w:rPr>
          <w:lang w:val="en-CA"/>
        </w:rPr>
        <w:t xml:space="preserve">n this regard, including the appointment of two focal points at the FTZ to address the issue, </w:t>
      </w:r>
      <w:r w:rsidR="001C19F3" w:rsidRPr="00B229B6">
        <w:rPr>
          <w:lang w:val="en-CA"/>
        </w:rPr>
        <w:t xml:space="preserve">the </w:t>
      </w:r>
      <w:r w:rsidR="00F62491">
        <w:rPr>
          <w:lang w:val="en-CA"/>
        </w:rPr>
        <w:t xml:space="preserve">several </w:t>
      </w:r>
      <w:r w:rsidR="001C19F3" w:rsidRPr="00B229B6">
        <w:rPr>
          <w:lang w:val="en-CA"/>
        </w:rPr>
        <w:t xml:space="preserve">meetings held by the Government and UNDP with the systems house and the FTZ focal points, </w:t>
      </w:r>
      <w:r w:rsidR="00920700">
        <w:rPr>
          <w:lang w:val="en-CA"/>
        </w:rPr>
        <w:t xml:space="preserve">and </w:t>
      </w:r>
      <w:r w:rsidR="001C19F3" w:rsidRPr="00B229B6">
        <w:rPr>
          <w:lang w:val="en-CA"/>
        </w:rPr>
        <w:t>the official communication sent in February 2020</w:t>
      </w:r>
      <w:r w:rsidRPr="00B229B6">
        <w:rPr>
          <w:lang w:val="en-CA"/>
        </w:rPr>
        <w:t xml:space="preserve"> requesting data on imports and exports of HCFC in 2019</w:t>
      </w:r>
      <w:r w:rsidR="001C19F3" w:rsidRPr="00B229B6">
        <w:rPr>
          <w:lang w:val="en-CA"/>
        </w:rPr>
        <w:t xml:space="preserve">. </w:t>
      </w:r>
    </w:p>
    <w:p w14:paraId="46B1E869" w14:textId="296915C8" w:rsidR="00673993" w:rsidRDefault="00B229B6" w:rsidP="002D2FCF">
      <w:pPr>
        <w:pStyle w:val="Heading1"/>
        <w:rPr>
          <w:lang w:val="en-CA"/>
        </w:rPr>
      </w:pPr>
      <w:r w:rsidRPr="00014472">
        <w:rPr>
          <w:lang w:val="en-CA"/>
        </w:rPr>
        <w:t xml:space="preserve">In providing additional </w:t>
      </w:r>
      <w:r w:rsidR="00A3753F" w:rsidRPr="00014472">
        <w:rPr>
          <w:lang w:val="en-CA"/>
        </w:rPr>
        <w:t>detail</w:t>
      </w:r>
      <w:r w:rsidR="00E41065" w:rsidRPr="00014472">
        <w:rPr>
          <w:lang w:val="en-CA"/>
        </w:rPr>
        <w:t>s</w:t>
      </w:r>
      <w:r w:rsidR="00A3753F" w:rsidRPr="00014472">
        <w:rPr>
          <w:lang w:val="en-CA"/>
        </w:rPr>
        <w:t xml:space="preserve"> o</w:t>
      </w:r>
      <w:r w:rsidRPr="00014472">
        <w:rPr>
          <w:lang w:val="en-CA"/>
        </w:rPr>
        <w:t>n the</w:t>
      </w:r>
      <w:r w:rsidR="00A3753F" w:rsidRPr="00014472">
        <w:rPr>
          <w:lang w:val="en-CA"/>
        </w:rPr>
        <w:t>se efforts,</w:t>
      </w:r>
      <w:r w:rsidRPr="00014472">
        <w:rPr>
          <w:lang w:val="en-CA"/>
        </w:rPr>
        <w:t xml:space="preserve"> </w:t>
      </w:r>
      <w:r w:rsidR="001C19F3" w:rsidRPr="00014472">
        <w:rPr>
          <w:lang w:val="en-CA"/>
        </w:rPr>
        <w:t xml:space="preserve">UNDP </w:t>
      </w:r>
      <w:r w:rsidR="00F62491" w:rsidRPr="00014472">
        <w:rPr>
          <w:lang w:val="en-CA"/>
        </w:rPr>
        <w:t xml:space="preserve">also </w:t>
      </w:r>
      <w:r w:rsidRPr="00014472">
        <w:rPr>
          <w:lang w:val="en-CA"/>
        </w:rPr>
        <w:t xml:space="preserve">informed that </w:t>
      </w:r>
      <w:r w:rsidR="00F62491" w:rsidRPr="00014472">
        <w:rPr>
          <w:lang w:val="en-CA"/>
        </w:rPr>
        <w:t xml:space="preserve">although </w:t>
      </w:r>
      <w:r w:rsidR="001C19F3" w:rsidRPr="00014472">
        <w:rPr>
          <w:lang w:val="en-CA"/>
        </w:rPr>
        <w:t xml:space="preserve">a </w:t>
      </w:r>
      <w:r w:rsidR="00673993" w:rsidRPr="00014472">
        <w:rPr>
          <w:lang w:val="en-CA"/>
        </w:rPr>
        <w:t xml:space="preserve">meeting </w:t>
      </w:r>
      <w:r w:rsidR="00A3753F" w:rsidRPr="00014472">
        <w:rPr>
          <w:lang w:val="en-CA"/>
        </w:rPr>
        <w:t xml:space="preserve">with the systems house </w:t>
      </w:r>
      <w:r w:rsidR="00673993" w:rsidRPr="00014472">
        <w:rPr>
          <w:lang w:val="en-CA"/>
        </w:rPr>
        <w:t xml:space="preserve">planned </w:t>
      </w:r>
      <w:r w:rsidR="001C19F3" w:rsidRPr="00014472">
        <w:rPr>
          <w:lang w:val="en-CA"/>
        </w:rPr>
        <w:t>for M</w:t>
      </w:r>
      <w:r w:rsidR="00673993" w:rsidRPr="00014472">
        <w:rPr>
          <w:lang w:val="en-CA"/>
        </w:rPr>
        <w:t xml:space="preserve">arch </w:t>
      </w:r>
      <w:r w:rsidR="001C19F3" w:rsidRPr="00014472">
        <w:rPr>
          <w:lang w:val="en-CA"/>
        </w:rPr>
        <w:t xml:space="preserve">2020 </w:t>
      </w:r>
      <w:r w:rsidR="00673993" w:rsidRPr="00014472">
        <w:rPr>
          <w:lang w:val="en-CA"/>
        </w:rPr>
        <w:t>could not take place because of</w:t>
      </w:r>
      <w:r w:rsidR="00E82357">
        <w:rPr>
          <w:lang w:val="en-CA"/>
        </w:rPr>
        <w:t xml:space="preserve"> issues related to </w:t>
      </w:r>
      <w:r w:rsidR="00E41065" w:rsidRPr="00014472">
        <w:rPr>
          <w:lang w:val="en-CA"/>
        </w:rPr>
        <w:t>COVID</w:t>
      </w:r>
      <w:r w:rsidR="00E82357">
        <w:rPr>
          <w:lang w:val="en-CA"/>
        </w:rPr>
        <w:noBreakHyphen/>
      </w:r>
      <w:r w:rsidR="00E41065" w:rsidRPr="00014472">
        <w:rPr>
          <w:lang w:val="en-CA"/>
        </w:rPr>
        <w:t>19</w:t>
      </w:r>
      <w:r w:rsidRPr="00014472">
        <w:rPr>
          <w:lang w:val="en-CA"/>
        </w:rPr>
        <w:t xml:space="preserve">, the Government will continue </w:t>
      </w:r>
      <w:r w:rsidR="00A3753F" w:rsidRPr="00014472">
        <w:rPr>
          <w:lang w:val="en-CA"/>
        </w:rPr>
        <w:t>its</w:t>
      </w:r>
      <w:r w:rsidRPr="00014472">
        <w:rPr>
          <w:lang w:val="en-CA"/>
        </w:rPr>
        <w:t xml:space="preserve"> efforts to obtain data from the FTZ. UND</w:t>
      </w:r>
      <w:r w:rsidR="00662B95" w:rsidRPr="00014472">
        <w:rPr>
          <w:lang w:val="en-CA"/>
        </w:rPr>
        <w:t>P</w:t>
      </w:r>
      <w:r w:rsidRPr="00014472">
        <w:rPr>
          <w:lang w:val="en-CA"/>
        </w:rPr>
        <w:t xml:space="preserve"> also clarified that </w:t>
      </w:r>
      <w:r w:rsidR="00F62491" w:rsidRPr="00014472">
        <w:rPr>
          <w:lang w:val="en-CA"/>
        </w:rPr>
        <w:t>the</w:t>
      </w:r>
      <w:r w:rsidRPr="00014472">
        <w:rPr>
          <w:lang w:val="en-CA"/>
        </w:rPr>
        <w:t xml:space="preserve"> bans on imports of HCFC-141</w:t>
      </w:r>
      <w:r w:rsidR="00F62491" w:rsidRPr="00014472">
        <w:rPr>
          <w:lang w:val="en-CA"/>
        </w:rPr>
        <w:t xml:space="preserve">b </w:t>
      </w:r>
      <w:r w:rsidRPr="00014472">
        <w:rPr>
          <w:lang w:val="en-CA"/>
        </w:rPr>
        <w:t xml:space="preserve">pure and contained in pre-blended polyols </w:t>
      </w:r>
      <w:r w:rsidR="00E41065" w:rsidRPr="00014472">
        <w:rPr>
          <w:lang w:val="en-CA"/>
        </w:rPr>
        <w:t>have been</w:t>
      </w:r>
      <w:r w:rsidRPr="00014472">
        <w:rPr>
          <w:lang w:val="en-CA"/>
        </w:rPr>
        <w:t xml:space="preserve"> extended to the FTZ</w:t>
      </w:r>
      <w:r w:rsidR="00E41065" w:rsidRPr="00014472">
        <w:rPr>
          <w:lang w:val="en-CA"/>
        </w:rPr>
        <w:t>. T</w:t>
      </w:r>
      <w:r w:rsidRPr="00014472">
        <w:rPr>
          <w:lang w:val="en-CA"/>
        </w:rPr>
        <w:t>herefore</w:t>
      </w:r>
      <w:r w:rsidR="00E41065" w:rsidRPr="00014472">
        <w:rPr>
          <w:lang w:val="en-CA"/>
        </w:rPr>
        <w:t>,</w:t>
      </w:r>
      <w:r w:rsidRPr="00014472">
        <w:rPr>
          <w:lang w:val="en-CA"/>
        </w:rPr>
        <w:t xml:space="preserve"> since 1</w:t>
      </w:r>
      <w:r w:rsidR="00426DF2" w:rsidRPr="00014472">
        <w:rPr>
          <w:lang w:val="en-CA"/>
        </w:rPr>
        <w:t> January </w:t>
      </w:r>
      <w:r w:rsidRPr="00014472">
        <w:rPr>
          <w:lang w:val="en-CA"/>
        </w:rPr>
        <w:t xml:space="preserve">2020 the systems house in the FTZ cannot import HCFC-141b for export </w:t>
      </w:r>
      <w:r w:rsidR="003402C9" w:rsidRPr="00014472">
        <w:rPr>
          <w:lang w:val="en-CA"/>
        </w:rPr>
        <w:t>in pre</w:t>
      </w:r>
      <w:r w:rsidR="00E82357">
        <w:rPr>
          <w:lang w:val="en-CA"/>
        </w:rPr>
        <w:noBreakHyphen/>
      </w:r>
      <w:r w:rsidR="003402C9" w:rsidRPr="00014472">
        <w:rPr>
          <w:lang w:val="en-CA"/>
        </w:rPr>
        <w:t xml:space="preserve">blended polyols </w:t>
      </w:r>
      <w:r w:rsidRPr="00014472">
        <w:rPr>
          <w:lang w:val="en-CA"/>
        </w:rPr>
        <w:t xml:space="preserve">to </w:t>
      </w:r>
      <w:r w:rsidR="003402C9" w:rsidRPr="00014472">
        <w:rPr>
          <w:lang w:val="en-CA"/>
        </w:rPr>
        <w:t>Panama or oth</w:t>
      </w:r>
      <w:r w:rsidRPr="00014472">
        <w:rPr>
          <w:lang w:val="en-CA"/>
        </w:rPr>
        <w:t xml:space="preserve">er countries. </w:t>
      </w:r>
      <w:r w:rsidR="003402C9" w:rsidRPr="00014472">
        <w:rPr>
          <w:lang w:val="en-CA"/>
        </w:rPr>
        <w:t>Furthermore</w:t>
      </w:r>
      <w:r w:rsidRPr="00014472">
        <w:rPr>
          <w:lang w:val="en-CA"/>
        </w:rPr>
        <w:t>, the systems house in the FTZ has cooperated with UNDP to facilitate the import of low-GWP blowing agent</w:t>
      </w:r>
      <w:r w:rsidR="00E41065" w:rsidRPr="00014472">
        <w:rPr>
          <w:lang w:val="en-CA"/>
        </w:rPr>
        <w:t>s</w:t>
      </w:r>
      <w:r w:rsidRPr="00014472">
        <w:rPr>
          <w:lang w:val="en-CA"/>
        </w:rPr>
        <w:t xml:space="preserve"> (i.e., HFOs) in Panama and other countries in the region.</w:t>
      </w:r>
    </w:p>
    <w:p w14:paraId="576E4C23" w14:textId="7D4553FE" w:rsidR="00857492" w:rsidRPr="00DC0423" w:rsidRDefault="00857492" w:rsidP="00DC0423">
      <w:pPr>
        <w:pStyle w:val="Heading1"/>
        <w:rPr>
          <w:lang w:val="en-CA"/>
        </w:rPr>
      </w:pPr>
      <w:r w:rsidRPr="00DC0423">
        <w:rPr>
          <w:lang w:val="en-CA"/>
        </w:rPr>
        <w:t>UNDP also informed</w:t>
      </w:r>
      <w:r w:rsidR="00E82357" w:rsidRPr="00DC0423">
        <w:rPr>
          <w:lang w:val="en-CA"/>
        </w:rPr>
        <w:t xml:space="preserve"> the Secretariat</w:t>
      </w:r>
      <w:r w:rsidRPr="00DC0423">
        <w:rPr>
          <w:lang w:val="en-CA"/>
        </w:rPr>
        <w:t xml:space="preserve"> that </w:t>
      </w:r>
      <w:r w:rsidR="00C47DB8" w:rsidRPr="00DC0423">
        <w:rPr>
          <w:lang w:val="en-CA"/>
        </w:rPr>
        <w:t>m</w:t>
      </w:r>
      <w:r w:rsidRPr="00DC0423">
        <w:rPr>
          <w:lang w:val="en-CA"/>
        </w:rPr>
        <w:t>easures to prevent import</w:t>
      </w:r>
      <w:r w:rsidR="00755295">
        <w:rPr>
          <w:lang w:val="en-CA"/>
        </w:rPr>
        <w:t>s</w:t>
      </w:r>
      <w:r w:rsidRPr="00DC0423">
        <w:rPr>
          <w:lang w:val="en-CA"/>
        </w:rPr>
        <w:t xml:space="preserve"> of </w:t>
      </w:r>
      <w:r w:rsidR="00DC0423" w:rsidRPr="00DC0423">
        <w:rPr>
          <w:lang w:val="en-CA"/>
        </w:rPr>
        <w:t>PU foam products using HCFC</w:t>
      </w:r>
      <w:r w:rsidR="00755295">
        <w:rPr>
          <w:lang w:val="en-CA"/>
        </w:rPr>
        <w:noBreakHyphen/>
      </w:r>
      <w:r w:rsidR="00DC0423" w:rsidRPr="00DC0423">
        <w:rPr>
          <w:lang w:val="en-CA"/>
        </w:rPr>
        <w:t xml:space="preserve">141b </w:t>
      </w:r>
      <w:r w:rsidRPr="00DC0423">
        <w:rPr>
          <w:lang w:val="en-CA"/>
        </w:rPr>
        <w:t xml:space="preserve">will be introduced </w:t>
      </w:r>
      <w:r w:rsidR="00DC0423">
        <w:rPr>
          <w:lang w:val="en-CA"/>
        </w:rPr>
        <w:t>once</w:t>
      </w:r>
      <w:r w:rsidRPr="00DC0423">
        <w:rPr>
          <w:lang w:val="en-CA"/>
        </w:rPr>
        <w:t xml:space="preserve"> the </w:t>
      </w:r>
      <w:r w:rsidR="00DC0423">
        <w:rPr>
          <w:lang w:val="en-CA"/>
        </w:rPr>
        <w:t xml:space="preserve">PU foam enterprises being converted under </w:t>
      </w:r>
      <w:r w:rsidR="00DC0423" w:rsidRPr="00DC0423">
        <w:rPr>
          <w:lang w:val="en-CA"/>
        </w:rPr>
        <w:t xml:space="preserve">stage II complete their projects. </w:t>
      </w:r>
      <w:r w:rsidRPr="00DC0423">
        <w:rPr>
          <w:lang w:val="en-CA"/>
        </w:rPr>
        <w:t xml:space="preserve">The Secretariat considers the extension of the bans on imports of HCFC-141b pure </w:t>
      </w:r>
      <w:r w:rsidR="00920700" w:rsidRPr="00DC0423">
        <w:rPr>
          <w:lang w:val="en-CA"/>
        </w:rPr>
        <w:t>and in pre</w:t>
      </w:r>
      <w:r w:rsidR="00755295">
        <w:rPr>
          <w:lang w:val="en-CA"/>
        </w:rPr>
        <w:noBreakHyphen/>
      </w:r>
      <w:r w:rsidR="00920700" w:rsidRPr="00DC0423">
        <w:rPr>
          <w:lang w:val="en-CA"/>
        </w:rPr>
        <w:t xml:space="preserve">blended polyols </w:t>
      </w:r>
      <w:r w:rsidRPr="00DC0423">
        <w:rPr>
          <w:lang w:val="en-CA"/>
        </w:rPr>
        <w:t>to the FTZ will ensure the sustainability of the phase out of HCFC-141b in the PU</w:t>
      </w:r>
      <w:r w:rsidR="00755295">
        <w:rPr>
          <w:lang w:val="en-CA"/>
        </w:rPr>
        <w:t> </w:t>
      </w:r>
      <w:r w:rsidRPr="00DC0423">
        <w:rPr>
          <w:lang w:val="en-CA"/>
        </w:rPr>
        <w:t xml:space="preserve">foam sector in Panama, </w:t>
      </w:r>
      <w:r w:rsidR="00920700" w:rsidRPr="00DC0423">
        <w:rPr>
          <w:lang w:val="en-CA"/>
        </w:rPr>
        <w:t xml:space="preserve">and in the Latin America and Caribbean </w:t>
      </w:r>
      <w:r w:rsidRPr="00DC0423">
        <w:rPr>
          <w:lang w:val="en-CA"/>
        </w:rPr>
        <w:t>region</w:t>
      </w:r>
      <w:r w:rsidR="00B86E25" w:rsidRPr="00DC0423">
        <w:rPr>
          <w:lang w:val="en-CA"/>
        </w:rPr>
        <w:t xml:space="preserve"> as many pre-blended polyols containing HCFC</w:t>
      </w:r>
      <w:r w:rsidR="00755295">
        <w:rPr>
          <w:lang w:val="en-CA"/>
        </w:rPr>
        <w:noBreakHyphen/>
      </w:r>
      <w:r w:rsidR="00B86E25" w:rsidRPr="00DC0423">
        <w:rPr>
          <w:lang w:val="en-CA"/>
        </w:rPr>
        <w:t xml:space="preserve">141b were imported by </w:t>
      </w:r>
      <w:r w:rsidR="00920700" w:rsidRPr="00DC0423">
        <w:rPr>
          <w:lang w:val="en-CA"/>
        </w:rPr>
        <w:t xml:space="preserve">several of these </w:t>
      </w:r>
      <w:r w:rsidR="00B86E25" w:rsidRPr="00DC0423">
        <w:rPr>
          <w:lang w:val="en-CA"/>
        </w:rPr>
        <w:t>countries from the FTZ.</w:t>
      </w:r>
    </w:p>
    <w:p w14:paraId="22767792" w14:textId="3C14A7FB" w:rsidR="00673993" w:rsidRPr="00FE3307" w:rsidRDefault="008064AB" w:rsidP="00E82357">
      <w:pPr>
        <w:keepNext/>
        <w:keepLines/>
        <w:rPr>
          <w:i/>
          <w:lang w:val="en-CA"/>
        </w:rPr>
      </w:pPr>
      <w:r>
        <w:rPr>
          <w:i/>
          <w:lang w:val="en-CA"/>
        </w:rPr>
        <w:t>PU foam manufac</w:t>
      </w:r>
      <w:r w:rsidR="00673993" w:rsidRPr="00FE3307">
        <w:rPr>
          <w:i/>
          <w:lang w:val="en-CA"/>
        </w:rPr>
        <w:t>turing sector</w:t>
      </w:r>
    </w:p>
    <w:p w14:paraId="35D5D12A" w14:textId="77777777" w:rsidR="00673993" w:rsidRPr="00FE3307" w:rsidRDefault="00673993" w:rsidP="00E82357">
      <w:pPr>
        <w:keepNext/>
        <w:keepLines/>
        <w:rPr>
          <w:lang w:val="en-CA"/>
        </w:rPr>
      </w:pPr>
    </w:p>
    <w:p w14:paraId="1988E23A" w14:textId="223EAAD4" w:rsidR="00AF300D" w:rsidRPr="00EA2149" w:rsidRDefault="00673993" w:rsidP="00E82357">
      <w:pPr>
        <w:pStyle w:val="Heading1"/>
        <w:keepNext/>
        <w:keepLines/>
        <w:rPr>
          <w:lang w:val="en-CA"/>
        </w:rPr>
      </w:pPr>
      <w:r w:rsidRPr="00EA2149">
        <w:rPr>
          <w:lang w:val="en-CA"/>
        </w:rPr>
        <w:t xml:space="preserve">The PU foam enterprises </w:t>
      </w:r>
      <w:proofErr w:type="spellStart"/>
      <w:r w:rsidRPr="00EA2149">
        <w:rPr>
          <w:lang w:val="en-CA"/>
        </w:rPr>
        <w:t>Disur</w:t>
      </w:r>
      <w:proofErr w:type="spellEnd"/>
      <w:r w:rsidRPr="00EA2149">
        <w:rPr>
          <w:lang w:val="en-CA"/>
        </w:rPr>
        <w:t xml:space="preserve"> (0.34 ODP tonnes) and </w:t>
      </w:r>
      <w:proofErr w:type="spellStart"/>
      <w:r w:rsidRPr="00EA2149">
        <w:rPr>
          <w:lang w:val="en-CA"/>
        </w:rPr>
        <w:t>Refratermic</w:t>
      </w:r>
      <w:proofErr w:type="spellEnd"/>
      <w:r w:rsidRPr="00EA2149">
        <w:rPr>
          <w:lang w:val="en-CA"/>
        </w:rPr>
        <w:t xml:space="preserve"> (0.14 ODP tonnes) decided to withdraw </w:t>
      </w:r>
      <w:r w:rsidR="00E41065" w:rsidRPr="00EA2149">
        <w:rPr>
          <w:lang w:val="en-CA"/>
        </w:rPr>
        <w:t>from</w:t>
      </w:r>
      <w:r w:rsidRPr="00EA2149">
        <w:rPr>
          <w:lang w:val="en-CA"/>
        </w:rPr>
        <w:t xml:space="preserve"> stage II of the HPMP</w:t>
      </w:r>
      <w:r w:rsidR="00D43ABB" w:rsidRPr="00EA2149">
        <w:rPr>
          <w:lang w:val="en-CA"/>
        </w:rPr>
        <w:t xml:space="preserve">. </w:t>
      </w:r>
      <w:r w:rsidRPr="00EA2149">
        <w:rPr>
          <w:lang w:val="en-CA"/>
        </w:rPr>
        <w:t xml:space="preserve">UNDP informed </w:t>
      </w:r>
      <w:r w:rsidR="00E41065" w:rsidRPr="00EA2149">
        <w:rPr>
          <w:lang w:val="en-CA"/>
        </w:rPr>
        <w:t xml:space="preserve">the Secretariat </w:t>
      </w:r>
      <w:r w:rsidR="00F13275">
        <w:rPr>
          <w:lang w:val="en-CA"/>
        </w:rPr>
        <w:t xml:space="preserve">that </w:t>
      </w:r>
      <w:r w:rsidR="00AF300D" w:rsidRPr="00EA2149">
        <w:rPr>
          <w:lang w:val="en-CA"/>
        </w:rPr>
        <w:t xml:space="preserve">a portion of the </w:t>
      </w:r>
      <w:r w:rsidR="007C6FBE" w:rsidRPr="00EA2149">
        <w:rPr>
          <w:lang w:val="en-CA"/>
        </w:rPr>
        <w:t xml:space="preserve">cost related to visits by the international expert to all </w:t>
      </w:r>
      <w:r w:rsidR="00E41065" w:rsidRPr="00EA2149">
        <w:rPr>
          <w:lang w:val="en-CA"/>
        </w:rPr>
        <w:t xml:space="preserve">of the </w:t>
      </w:r>
      <w:r w:rsidR="007C6FBE" w:rsidRPr="00EA2149">
        <w:rPr>
          <w:lang w:val="en-CA"/>
        </w:rPr>
        <w:t>enterprises</w:t>
      </w:r>
      <w:r w:rsidR="00AF300D" w:rsidRPr="00EA2149">
        <w:rPr>
          <w:lang w:val="en-CA"/>
        </w:rPr>
        <w:t xml:space="preserve"> and participation in workshops</w:t>
      </w:r>
      <w:r w:rsidR="00920700" w:rsidRPr="00EA2149">
        <w:rPr>
          <w:lang w:val="en-CA"/>
        </w:rPr>
        <w:t xml:space="preserve"> had been incurred; therefore, t</w:t>
      </w:r>
      <w:r w:rsidR="007C6FBE" w:rsidRPr="00EA2149">
        <w:rPr>
          <w:lang w:val="en-CA"/>
        </w:rPr>
        <w:t xml:space="preserve">he total </w:t>
      </w:r>
      <w:r w:rsidR="00C47DB8" w:rsidRPr="00EA2149">
        <w:rPr>
          <w:lang w:val="en-CA"/>
        </w:rPr>
        <w:t xml:space="preserve">funding </w:t>
      </w:r>
      <w:r w:rsidR="007C6FBE" w:rsidRPr="00EA2149">
        <w:rPr>
          <w:lang w:val="en-CA"/>
        </w:rPr>
        <w:t xml:space="preserve">to be returned </w:t>
      </w:r>
      <w:r w:rsidR="00D43ABB" w:rsidRPr="00EA2149">
        <w:rPr>
          <w:lang w:val="en-CA"/>
        </w:rPr>
        <w:t xml:space="preserve">amounts to </w:t>
      </w:r>
      <w:r w:rsidR="002D2FCF" w:rsidRPr="00EA2149">
        <w:rPr>
          <w:lang w:val="en-CA"/>
        </w:rPr>
        <w:t>US $</w:t>
      </w:r>
      <w:r w:rsidR="007C6FBE" w:rsidRPr="00EA2149">
        <w:rPr>
          <w:lang w:val="en-CA"/>
        </w:rPr>
        <w:t>43,15</w:t>
      </w:r>
      <w:r w:rsidR="00125084" w:rsidRPr="00EA2149">
        <w:rPr>
          <w:lang w:val="en-CA"/>
        </w:rPr>
        <w:t>3</w:t>
      </w:r>
      <w:r w:rsidR="003B7A45">
        <w:rPr>
          <w:lang w:val="en-CA"/>
        </w:rPr>
        <w:t xml:space="preserve"> </w:t>
      </w:r>
      <w:r w:rsidR="003B7A45" w:rsidRPr="00EA2149">
        <w:rPr>
          <w:lang w:val="en-CA"/>
        </w:rPr>
        <w:t xml:space="preserve">(i.e., US $29,360 from </w:t>
      </w:r>
      <w:proofErr w:type="spellStart"/>
      <w:r w:rsidR="003B7A45" w:rsidRPr="00EA2149">
        <w:rPr>
          <w:lang w:val="en-CA"/>
        </w:rPr>
        <w:t>Disur</w:t>
      </w:r>
      <w:proofErr w:type="spellEnd"/>
      <w:r w:rsidR="003B7A45" w:rsidRPr="00EA2149">
        <w:rPr>
          <w:lang w:val="en-CA"/>
        </w:rPr>
        <w:t xml:space="preserve"> and US $13,793 from </w:t>
      </w:r>
      <w:proofErr w:type="spellStart"/>
      <w:r w:rsidR="003B7A45" w:rsidRPr="00EA2149">
        <w:rPr>
          <w:lang w:val="en-CA"/>
        </w:rPr>
        <w:t>Refratermic</w:t>
      </w:r>
      <w:proofErr w:type="spellEnd"/>
      <w:r w:rsidR="003B7A45" w:rsidRPr="00EA2149">
        <w:rPr>
          <w:lang w:val="en-CA"/>
        </w:rPr>
        <w:t>)</w:t>
      </w:r>
      <w:r w:rsidR="00D43ABB" w:rsidRPr="00EA2149">
        <w:rPr>
          <w:lang w:val="en-CA"/>
        </w:rPr>
        <w:t>, plus agency support costs of US $</w:t>
      </w:r>
      <w:r w:rsidR="00DC0423">
        <w:rPr>
          <w:lang w:val="en-CA"/>
        </w:rPr>
        <w:t>3,021</w:t>
      </w:r>
      <w:r w:rsidR="00D43ABB" w:rsidRPr="00EA2149">
        <w:rPr>
          <w:lang w:val="en-CA"/>
        </w:rPr>
        <w:t xml:space="preserve"> for UNDP</w:t>
      </w:r>
      <w:r w:rsidR="00C47DB8" w:rsidRPr="00EA2149">
        <w:rPr>
          <w:lang w:val="en-CA"/>
        </w:rPr>
        <w:t xml:space="preserve"> of the </w:t>
      </w:r>
      <w:r w:rsidR="002D2FCF" w:rsidRPr="00A0412F">
        <w:rPr>
          <w:lang w:val="en-CA"/>
        </w:rPr>
        <w:t>US $</w:t>
      </w:r>
      <w:r w:rsidR="00F73BBA" w:rsidRPr="00A0412F">
        <w:rPr>
          <w:lang w:val="en-CA"/>
        </w:rPr>
        <w:t>47,753</w:t>
      </w:r>
      <w:r w:rsidR="00C47DB8" w:rsidRPr="00A0412F">
        <w:rPr>
          <w:lang w:val="en-CA"/>
        </w:rPr>
        <w:t xml:space="preserve"> approved</w:t>
      </w:r>
      <w:r w:rsidR="00D43ABB" w:rsidRPr="00A0412F">
        <w:rPr>
          <w:lang w:val="en-CA"/>
        </w:rPr>
        <w:t>.</w:t>
      </w:r>
      <w:r w:rsidR="00EA2149" w:rsidRPr="00A0412F">
        <w:rPr>
          <w:lang w:val="en-CA"/>
        </w:rPr>
        <w:t xml:space="preserve"> Further to a discussion, </w:t>
      </w:r>
      <w:r w:rsidR="00AF300D" w:rsidRPr="00A0412F">
        <w:rPr>
          <w:lang w:val="en-CA"/>
        </w:rPr>
        <w:t xml:space="preserve">it was agreed </w:t>
      </w:r>
      <w:r w:rsidR="00C47DB8" w:rsidRPr="00A0412F">
        <w:rPr>
          <w:lang w:val="en-CA"/>
        </w:rPr>
        <w:t xml:space="preserve">that UNDP would </w:t>
      </w:r>
      <w:r w:rsidR="00AF300D" w:rsidRPr="00A0412F">
        <w:rPr>
          <w:lang w:val="en-CA"/>
        </w:rPr>
        <w:t>return the balance from the PU foam</w:t>
      </w:r>
      <w:r w:rsidR="00AF300D" w:rsidRPr="00EA2149">
        <w:rPr>
          <w:lang w:val="en-CA"/>
        </w:rPr>
        <w:t xml:space="preserve"> enterprises at the 86</w:t>
      </w:r>
      <w:r w:rsidR="00AF300D" w:rsidRPr="00EA2149">
        <w:rPr>
          <w:vertAlign w:val="superscript"/>
          <w:lang w:val="en-CA"/>
        </w:rPr>
        <w:t>th</w:t>
      </w:r>
      <w:r w:rsidR="00AF300D" w:rsidRPr="00EA2149">
        <w:rPr>
          <w:lang w:val="en-CA"/>
        </w:rPr>
        <w:t xml:space="preserve"> meeting.</w:t>
      </w:r>
    </w:p>
    <w:p w14:paraId="02874318" w14:textId="32B65FE0" w:rsidR="009E5E4A" w:rsidRPr="00AF300D" w:rsidRDefault="009E5E4A" w:rsidP="002D2FCF">
      <w:pPr>
        <w:pStyle w:val="Heading1"/>
        <w:numPr>
          <w:ilvl w:val="0"/>
          <w:numId w:val="0"/>
        </w:numPr>
        <w:rPr>
          <w:lang w:val="en-CA"/>
        </w:rPr>
      </w:pPr>
      <w:r w:rsidRPr="00AF300D">
        <w:rPr>
          <w:u w:val="single"/>
          <w:lang w:val="en-CA"/>
        </w:rPr>
        <w:t>Gender policy implementation</w:t>
      </w:r>
      <w:r>
        <w:rPr>
          <w:rStyle w:val="FootnoteReference"/>
          <w:u w:val="single"/>
          <w:lang w:val="en-CA"/>
        </w:rPr>
        <w:footnoteReference w:id="7"/>
      </w:r>
    </w:p>
    <w:p w14:paraId="55E59CA4" w14:textId="6B28340D" w:rsidR="00E36793" w:rsidRPr="00620D8E" w:rsidRDefault="00E36793" w:rsidP="002D2FCF">
      <w:pPr>
        <w:pStyle w:val="Heading1"/>
        <w:rPr>
          <w:lang w:val="en-CA"/>
        </w:rPr>
      </w:pPr>
      <w:r w:rsidRPr="00620D8E">
        <w:rPr>
          <w:lang w:val="en-CA"/>
        </w:rPr>
        <w:t>UNDP reported that</w:t>
      </w:r>
      <w:r>
        <w:rPr>
          <w:lang w:val="en-CA"/>
        </w:rPr>
        <w:t>,</w:t>
      </w:r>
      <w:r w:rsidRPr="00620D8E">
        <w:rPr>
          <w:lang w:val="en-CA"/>
        </w:rPr>
        <w:t xml:space="preserve"> </w:t>
      </w:r>
      <w:r w:rsidR="00DF72F6">
        <w:rPr>
          <w:lang w:val="en-CA"/>
        </w:rPr>
        <w:t xml:space="preserve">in </w:t>
      </w:r>
      <w:r>
        <w:rPr>
          <w:lang w:val="en-CA"/>
        </w:rPr>
        <w:t>initiating</w:t>
      </w:r>
      <w:r w:rsidRPr="00620D8E">
        <w:rPr>
          <w:lang w:val="en-CA"/>
        </w:rPr>
        <w:t xml:space="preserve"> actions on gender mainstreaming</w:t>
      </w:r>
      <w:r>
        <w:rPr>
          <w:lang w:val="en-CA"/>
        </w:rPr>
        <w:t>,</w:t>
      </w:r>
      <w:r w:rsidRPr="00620D8E">
        <w:rPr>
          <w:lang w:val="en-CA"/>
        </w:rPr>
        <w:t xml:space="preserve"> </w:t>
      </w:r>
      <w:r>
        <w:rPr>
          <w:lang w:val="en-CA"/>
        </w:rPr>
        <w:t xml:space="preserve">the NOU </w:t>
      </w:r>
      <w:r w:rsidRPr="00620D8E">
        <w:rPr>
          <w:lang w:val="en-CA"/>
        </w:rPr>
        <w:t>w</w:t>
      </w:r>
      <w:r>
        <w:rPr>
          <w:lang w:val="en-CA"/>
        </w:rPr>
        <w:t>ould</w:t>
      </w:r>
      <w:r w:rsidRPr="00620D8E">
        <w:rPr>
          <w:lang w:val="en-CA"/>
        </w:rPr>
        <w:t xml:space="preserve"> monitor, report, and raise awareness</w:t>
      </w:r>
      <w:r>
        <w:rPr>
          <w:lang w:val="en-CA"/>
        </w:rPr>
        <w:t xml:space="preserve"> </w:t>
      </w:r>
      <w:r w:rsidR="00DF72F6">
        <w:rPr>
          <w:lang w:val="en-CA"/>
        </w:rPr>
        <w:t>by</w:t>
      </w:r>
      <w:r>
        <w:rPr>
          <w:lang w:val="en-CA"/>
        </w:rPr>
        <w:t>:</w:t>
      </w:r>
    </w:p>
    <w:p w14:paraId="64B71A3D" w14:textId="105EB963" w:rsidR="00E36793" w:rsidRPr="00620D8E" w:rsidRDefault="00DF72F6" w:rsidP="002D2FCF">
      <w:pPr>
        <w:pStyle w:val="Heading2"/>
        <w:numPr>
          <w:ilvl w:val="1"/>
          <w:numId w:val="1"/>
        </w:numPr>
        <w:tabs>
          <w:tab w:val="clear" w:pos="0"/>
          <w:tab w:val="num" w:pos="1418"/>
        </w:tabs>
        <w:ind w:left="1418"/>
        <w:rPr>
          <w:lang w:val="en-CA"/>
        </w:rPr>
      </w:pPr>
      <w:r>
        <w:rPr>
          <w:lang w:val="en-CA"/>
        </w:rPr>
        <w:t>C</w:t>
      </w:r>
      <w:r w:rsidR="00E36793" w:rsidRPr="00620D8E">
        <w:rPr>
          <w:lang w:val="en-CA"/>
        </w:rPr>
        <w:t>ollect</w:t>
      </w:r>
      <w:r>
        <w:rPr>
          <w:lang w:val="en-CA"/>
        </w:rPr>
        <w:t>ing</w:t>
      </w:r>
      <w:r w:rsidR="00E36793" w:rsidRPr="00620D8E">
        <w:rPr>
          <w:lang w:val="en-CA"/>
        </w:rPr>
        <w:t xml:space="preserve"> data to produce gender-disaggregated indicators; </w:t>
      </w:r>
    </w:p>
    <w:p w14:paraId="5F768E1E" w14:textId="25B0DF76" w:rsidR="00E36793" w:rsidRPr="00A0412F" w:rsidRDefault="00DF72F6" w:rsidP="002D2FCF">
      <w:pPr>
        <w:pStyle w:val="Heading2"/>
        <w:numPr>
          <w:ilvl w:val="1"/>
          <w:numId w:val="1"/>
        </w:numPr>
        <w:tabs>
          <w:tab w:val="clear" w:pos="0"/>
          <w:tab w:val="num" w:pos="1418"/>
        </w:tabs>
        <w:ind w:left="1418"/>
        <w:rPr>
          <w:lang w:val="en-CA"/>
        </w:rPr>
      </w:pPr>
      <w:r>
        <w:rPr>
          <w:lang w:val="en-CA"/>
        </w:rPr>
        <w:t>S</w:t>
      </w:r>
      <w:r w:rsidR="00E36793" w:rsidRPr="00620D8E">
        <w:rPr>
          <w:lang w:val="en-CA"/>
        </w:rPr>
        <w:t>how</w:t>
      </w:r>
      <w:r>
        <w:rPr>
          <w:lang w:val="en-CA"/>
        </w:rPr>
        <w:t>ing</w:t>
      </w:r>
      <w:r w:rsidR="00E36793" w:rsidRPr="00620D8E">
        <w:rPr>
          <w:lang w:val="en-CA"/>
        </w:rPr>
        <w:t xml:space="preserve"> the disaggregated figures; introduc</w:t>
      </w:r>
      <w:r>
        <w:rPr>
          <w:lang w:val="en-CA"/>
        </w:rPr>
        <w:t>ing</w:t>
      </w:r>
      <w:r w:rsidR="00E36793" w:rsidRPr="00620D8E">
        <w:rPr>
          <w:lang w:val="en-CA"/>
        </w:rPr>
        <w:t xml:space="preserve"> gender considerations in t</w:t>
      </w:r>
      <w:r w:rsidR="00E36793">
        <w:rPr>
          <w:lang w:val="en-CA"/>
        </w:rPr>
        <w:t xml:space="preserve">raining </w:t>
      </w:r>
      <w:r w:rsidR="00E36793" w:rsidRPr="005836F5">
        <w:rPr>
          <w:lang w:val="en-CA"/>
        </w:rPr>
        <w:t>sessions and training materials; collect</w:t>
      </w:r>
      <w:r>
        <w:rPr>
          <w:lang w:val="en-CA"/>
        </w:rPr>
        <w:t>ing</w:t>
      </w:r>
      <w:r w:rsidR="00E36793" w:rsidRPr="005836F5">
        <w:rPr>
          <w:lang w:val="en-CA"/>
        </w:rPr>
        <w:t xml:space="preserve"> data to establish an ex-post baseline of women technicians in the RAC sector and compar</w:t>
      </w:r>
      <w:r w:rsidR="00B443E3">
        <w:rPr>
          <w:lang w:val="en-CA"/>
        </w:rPr>
        <w:t>ing</w:t>
      </w:r>
      <w:r w:rsidR="00E36793" w:rsidRPr="005836F5">
        <w:rPr>
          <w:lang w:val="en-CA"/>
        </w:rPr>
        <w:t xml:space="preserve"> it with the number of women </w:t>
      </w:r>
      <w:r w:rsidR="00E36793" w:rsidRPr="00A0412F">
        <w:rPr>
          <w:lang w:val="en-CA"/>
        </w:rPr>
        <w:t xml:space="preserve">involved in </w:t>
      </w:r>
      <w:r w:rsidR="00187023" w:rsidRPr="00A0412F">
        <w:rPr>
          <w:lang w:val="en-CA"/>
        </w:rPr>
        <w:t>NOU</w:t>
      </w:r>
      <w:r w:rsidR="00E36793" w:rsidRPr="00A0412F">
        <w:rPr>
          <w:lang w:val="en-CA"/>
        </w:rPr>
        <w:t xml:space="preserve"> activities for the sector; and </w:t>
      </w:r>
    </w:p>
    <w:p w14:paraId="62370DAE" w14:textId="030E8C90" w:rsidR="00E36793" w:rsidRPr="005836F5" w:rsidRDefault="00B443E3" w:rsidP="002D2FCF">
      <w:pPr>
        <w:pStyle w:val="Heading2"/>
        <w:numPr>
          <w:ilvl w:val="1"/>
          <w:numId w:val="1"/>
        </w:numPr>
        <w:tabs>
          <w:tab w:val="clear" w:pos="0"/>
          <w:tab w:val="num" w:pos="1418"/>
        </w:tabs>
        <w:ind w:left="1418"/>
        <w:rPr>
          <w:lang w:val="en-CA"/>
        </w:rPr>
      </w:pPr>
      <w:r w:rsidRPr="00A0412F">
        <w:rPr>
          <w:lang w:val="en-CA"/>
        </w:rPr>
        <w:t>I</w:t>
      </w:r>
      <w:r w:rsidR="00E36793" w:rsidRPr="00A0412F">
        <w:rPr>
          <w:lang w:val="en-CA"/>
        </w:rPr>
        <w:t>ntroduc</w:t>
      </w:r>
      <w:r w:rsidRPr="00A0412F">
        <w:rPr>
          <w:lang w:val="en-CA"/>
        </w:rPr>
        <w:t>ing</w:t>
      </w:r>
      <w:r w:rsidR="00E36793" w:rsidRPr="00A0412F">
        <w:rPr>
          <w:lang w:val="en-CA"/>
        </w:rPr>
        <w:t xml:space="preserve"> gender-sensitive language into communications; incorporat</w:t>
      </w:r>
      <w:r w:rsidRPr="00A0412F">
        <w:rPr>
          <w:lang w:val="en-CA"/>
        </w:rPr>
        <w:t>ing</w:t>
      </w:r>
      <w:r w:rsidR="00E36793" w:rsidRPr="00A0412F">
        <w:rPr>
          <w:lang w:val="en-CA"/>
        </w:rPr>
        <w:t xml:space="preserve"> gender aspects in the recruitment of new staff to </w:t>
      </w:r>
      <w:r w:rsidR="00187023" w:rsidRPr="00A0412F">
        <w:rPr>
          <w:lang w:val="en-CA"/>
        </w:rPr>
        <w:t>the NOU;</w:t>
      </w:r>
      <w:r w:rsidR="00E36793" w:rsidRPr="00A0412F">
        <w:rPr>
          <w:lang w:val="en-CA"/>
        </w:rPr>
        <w:t xml:space="preserve"> consider</w:t>
      </w:r>
      <w:r w:rsidRPr="00A0412F">
        <w:rPr>
          <w:lang w:val="en-CA"/>
        </w:rPr>
        <w:t>ing</w:t>
      </w:r>
      <w:r w:rsidR="00E36793" w:rsidRPr="00A0412F">
        <w:rPr>
          <w:lang w:val="en-CA"/>
        </w:rPr>
        <w:t xml:space="preserve"> adding a gender-related element in each job description; </w:t>
      </w:r>
      <w:r w:rsidRPr="00A0412F">
        <w:rPr>
          <w:lang w:val="en-CA"/>
        </w:rPr>
        <w:t xml:space="preserve">and </w:t>
      </w:r>
      <w:r w:rsidR="00E36793" w:rsidRPr="00A0412F">
        <w:rPr>
          <w:lang w:val="en-CA"/>
        </w:rPr>
        <w:t>ensur</w:t>
      </w:r>
      <w:r w:rsidRPr="00A0412F">
        <w:rPr>
          <w:lang w:val="en-CA"/>
        </w:rPr>
        <w:t>ing</w:t>
      </w:r>
      <w:r w:rsidR="00E36793" w:rsidRPr="00A0412F">
        <w:rPr>
          <w:lang w:val="en-CA"/>
        </w:rPr>
        <w:t xml:space="preserve"> that monitoring and evaluation consultant</w:t>
      </w:r>
      <w:r w:rsidR="00E36793" w:rsidRPr="005836F5">
        <w:rPr>
          <w:lang w:val="en-CA"/>
        </w:rPr>
        <w:t xml:space="preserve">s and project personnel have the required competences to incorporate gender considerations at all stages of their work. </w:t>
      </w:r>
    </w:p>
    <w:p w14:paraId="56C27F3A" w14:textId="77777777" w:rsidR="009E5E4A" w:rsidRPr="005836F5" w:rsidRDefault="009E5E4A" w:rsidP="002D2FCF">
      <w:pPr>
        <w:rPr>
          <w:u w:val="single"/>
          <w:lang w:val="en-CA"/>
        </w:rPr>
      </w:pPr>
      <w:r w:rsidRPr="005836F5">
        <w:rPr>
          <w:u w:val="single"/>
          <w:lang w:val="en-CA"/>
        </w:rPr>
        <w:t>Sustainability of the HCFC phase-out</w:t>
      </w:r>
    </w:p>
    <w:p w14:paraId="7E97C19D" w14:textId="77777777" w:rsidR="009E5E4A" w:rsidRPr="005836F5" w:rsidRDefault="009E5E4A" w:rsidP="002D2FCF">
      <w:pPr>
        <w:rPr>
          <w:u w:val="single"/>
          <w:lang w:val="en-CA"/>
        </w:rPr>
      </w:pPr>
    </w:p>
    <w:p w14:paraId="4B66EC6C" w14:textId="095382F7" w:rsidR="00D53925" w:rsidRPr="0050650C" w:rsidRDefault="00FE3EDF" w:rsidP="00D316D2">
      <w:pPr>
        <w:pStyle w:val="Heading1"/>
        <w:rPr>
          <w:lang w:val="en-CA"/>
        </w:rPr>
      </w:pPr>
      <w:r w:rsidRPr="0050650C">
        <w:rPr>
          <w:lang w:val="en-CA"/>
        </w:rPr>
        <w:t>The Government is ensuring sustainability of the phase</w:t>
      </w:r>
      <w:r w:rsidR="00B443E3" w:rsidRPr="0050650C">
        <w:rPr>
          <w:lang w:val="en-CA"/>
        </w:rPr>
        <w:t>-</w:t>
      </w:r>
      <w:r w:rsidRPr="0050650C">
        <w:rPr>
          <w:lang w:val="en-CA"/>
        </w:rPr>
        <w:t>out of HCFC through a comprehensive set of regulations including a</w:t>
      </w:r>
      <w:r w:rsidR="00D525DC" w:rsidRPr="0050650C">
        <w:rPr>
          <w:lang w:val="en-CA"/>
        </w:rPr>
        <w:t xml:space="preserve"> ban on the use of </w:t>
      </w:r>
      <w:r w:rsidR="00D525DC" w:rsidRPr="00A0412F">
        <w:rPr>
          <w:lang w:val="en-CA"/>
        </w:rPr>
        <w:t xml:space="preserve">HCFC-22 as a cleaning agent in </w:t>
      </w:r>
      <w:r w:rsidRPr="00A0412F">
        <w:rPr>
          <w:lang w:val="en-CA"/>
        </w:rPr>
        <w:t>RAC</w:t>
      </w:r>
      <w:r w:rsidR="00D525DC" w:rsidRPr="00A0412F">
        <w:rPr>
          <w:lang w:val="en-CA"/>
        </w:rPr>
        <w:t xml:space="preserve"> systems and in the production of XPS foam, both in existing and new facilities as of 1</w:t>
      </w:r>
      <w:r w:rsidR="00426DF2" w:rsidRPr="00A0412F">
        <w:rPr>
          <w:lang w:val="en-CA"/>
        </w:rPr>
        <w:t> January </w:t>
      </w:r>
      <w:r w:rsidR="00D525DC" w:rsidRPr="00A0412F">
        <w:rPr>
          <w:lang w:val="en-CA"/>
        </w:rPr>
        <w:t xml:space="preserve">2019; and </w:t>
      </w:r>
      <w:r w:rsidRPr="00A0412F">
        <w:rPr>
          <w:lang w:val="en-CA"/>
        </w:rPr>
        <w:t>a</w:t>
      </w:r>
      <w:r w:rsidR="00D525DC" w:rsidRPr="00A0412F">
        <w:rPr>
          <w:lang w:val="en-CA"/>
        </w:rPr>
        <w:t xml:space="preserve"> ban on imports of formulated polyols containing HCFC-141b as of 1</w:t>
      </w:r>
      <w:r w:rsidR="00426DF2" w:rsidRPr="00A0412F">
        <w:rPr>
          <w:lang w:val="en-CA"/>
        </w:rPr>
        <w:t> January </w:t>
      </w:r>
      <w:r w:rsidR="00D525DC" w:rsidRPr="00A0412F">
        <w:rPr>
          <w:lang w:val="en-CA"/>
        </w:rPr>
        <w:t>2020.</w:t>
      </w:r>
      <w:r w:rsidRPr="00A0412F">
        <w:rPr>
          <w:lang w:val="en-CA"/>
        </w:rPr>
        <w:t xml:space="preserve"> </w:t>
      </w:r>
      <w:r w:rsidR="0050650C" w:rsidRPr="00A0412F">
        <w:rPr>
          <w:lang w:val="en-CA"/>
        </w:rPr>
        <w:t xml:space="preserve">The bans on imports of HCFC-141b pure and contained in pre-blended polyols have been extended to the FTZ, and </w:t>
      </w:r>
      <w:r w:rsidR="008A48F5" w:rsidRPr="00A0412F">
        <w:rPr>
          <w:lang w:val="en-CA"/>
        </w:rPr>
        <w:t xml:space="preserve">the systems house in the FTZ </w:t>
      </w:r>
      <w:r w:rsidR="0050650C" w:rsidRPr="00A0412F">
        <w:rPr>
          <w:lang w:val="en-CA"/>
        </w:rPr>
        <w:t>is now f</w:t>
      </w:r>
      <w:r w:rsidR="008A48F5" w:rsidRPr="00A0412F">
        <w:rPr>
          <w:lang w:val="en-CA"/>
        </w:rPr>
        <w:t>acilitat</w:t>
      </w:r>
      <w:r w:rsidR="0050650C" w:rsidRPr="00A0412F">
        <w:rPr>
          <w:lang w:val="en-CA"/>
        </w:rPr>
        <w:t>ing</w:t>
      </w:r>
      <w:r w:rsidR="008A48F5" w:rsidRPr="00A0412F">
        <w:rPr>
          <w:lang w:val="en-CA"/>
        </w:rPr>
        <w:t xml:space="preserve"> the import of low-GWP blowing agents (i.e., HFOs) in Panama and other countries in the region.</w:t>
      </w:r>
      <w:r w:rsidR="0050650C" w:rsidRPr="00A0412F">
        <w:rPr>
          <w:lang w:val="en-CA"/>
        </w:rPr>
        <w:t xml:space="preserve"> </w:t>
      </w:r>
      <w:r w:rsidR="00A70741" w:rsidRPr="00A0412F">
        <w:rPr>
          <w:lang w:val="en-CA"/>
        </w:rPr>
        <w:t xml:space="preserve">In the refrigeration servicing sector </w:t>
      </w:r>
      <w:r w:rsidRPr="00A0412F">
        <w:rPr>
          <w:lang w:val="en-CA"/>
        </w:rPr>
        <w:t>I</w:t>
      </w:r>
      <w:r w:rsidR="00D53925" w:rsidRPr="00A0412F">
        <w:rPr>
          <w:lang w:val="en-CA"/>
        </w:rPr>
        <w:t>NADEH</w:t>
      </w:r>
      <w:r w:rsidR="00A70741" w:rsidRPr="00A0412F">
        <w:rPr>
          <w:lang w:val="en-CA"/>
        </w:rPr>
        <w:t xml:space="preserve"> </w:t>
      </w:r>
      <w:r w:rsidR="00D53925" w:rsidRPr="00A0412F">
        <w:rPr>
          <w:lang w:val="en-CA"/>
        </w:rPr>
        <w:t xml:space="preserve">has included good servicing practices in its </w:t>
      </w:r>
      <w:r w:rsidRPr="00A0412F">
        <w:rPr>
          <w:lang w:val="en-CA"/>
        </w:rPr>
        <w:t>RAC</w:t>
      </w:r>
      <w:r w:rsidR="00D53925" w:rsidRPr="00A0412F">
        <w:rPr>
          <w:lang w:val="en-CA"/>
        </w:rPr>
        <w:t xml:space="preserve"> courses</w:t>
      </w:r>
      <w:r w:rsidRPr="00A0412F">
        <w:rPr>
          <w:lang w:val="en-CA"/>
        </w:rPr>
        <w:t xml:space="preserve"> and the Government is developing a labo</w:t>
      </w:r>
      <w:r w:rsidR="00B443E3" w:rsidRPr="00A0412F">
        <w:rPr>
          <w:lang w:val="en-CA"/>
        </w:rPr>
        <w:t>u</w:t>
      </w:r>
      <w:r w:rsidRPr="00A0412F">
        <w:rPr>
          <w:lang w:val="en-CA"/>
        </w:rPr>
        <w:t xml:space="preserve">r competency </w:t>
      </w:r>
      <w:r w:rsidR="00D53925" w:rsidRPr="00A0412F">
        <w:rPr>
          <w:lang w:val="en-CA"/>
        </w:rPr>
        <w:t xml:space="preserve">certification </w:t>
      </w:r>
      <w:r w:rsidRPr="00A0412F">
        <w:rPr>
          <w:lang w:val="en-CA"/>
        </w:rPr>
        <w:t>scheme</w:t>
      </w:r>
      <w:r w:rsidR="00B443E3" w:rsidRPr="00A0412F">
        <w:rPr>
          <w:lang w:val="en-CA"/>
        </w:rPr>
        <w:t xml:space="preserve"> for technicians</w:t>
      </w:r>
      <w:r w:rsidRPr="00A0412F">
        <w:rPr>
          <w:lang w:val="en-CA"/>
        </w:rPr>
        <w:t xml:space="preserve"> operated by local institutions that will </w:t>
      </w:r>
      <w:r w:rsidR="0036293E" w:rsidRPr="00A0412F">
        <w:rPr>
          <w:lang w:val="en-CA"/>
        </w:rPr>
        <w:t>help promote the training of technicians</w:t>
      </w:r>
      <w:r w:rsidR="0036293E" w:rsidRPr="0050650C">
        <w:rPr>
          <w:lang w:val="en-CA"/>
        </w:rPr>
        <w:t xml:space="preserve"> in the country. </w:t>
      </w:r>
    </w:p>
    <w:p w14:paraId="4E837937" w14:textId="7408DBEE" w:rsidR="009E5E4A" w:rsidRPr="00BF037F" w:rsidRDefault="009E5E4A" w:rsidP="002D2FCF">
      <w:pPr>
        <w:pStyle w:val="Heading1"/>
        <w:rPr>
          <w:lang w:val="en-CA"/>
        </w:rPr>
      </w:pPr>
      <w:r w:rsidRPr="005836F5">
        <w:rPr>
          <w:lang w:val="en-CA"/>
        </w:rPr>
        <w:t>As per the Agreement, the duration of stage I</w:t>
      </w:r>
      <w:r w:rsidR="007A2ADF">
        <w:rPr>
          <w:lang w:val="en-CA"/>
        </w:rPr>
        <w:t>I</w:t>
      </w:r>
      <w:r w:rsidRPr="005836F5">
        <w:rPr>
          <w:lang w:val="en-CA"/>
        </w:rPr>
        <w:t xml:space="preserve"> is up to December 2021. UNDP has confirmed that so far activities are progres</w:t>
      </w:r>
      <w:r w:rsidRPr="00F27EBB">
        <w:rPr>
          <w:lang w:val="en-CA"/>
        </w:rPr>
        <w:t>sing as planned</w:t>
      </w:r>
      <w:r>
        <w:rPr>
          <w:lang w:val="en-CA"/>
        </w:rPr>
        <w:t xml:space="preserve"> and completion is </w:t>
      </w:r>
      <w:r w:rsidRPr="00F27EBB">
        <w:rPr>
          <w:lang w:val="en-CA"/>
        </w:rPr>
        <w:t xml:space="preserve">expected by </w:t>
      </w:r>
      <w:r>
        <w:rPr>
          <w:lang w:val="en-CA"/>
        </w:rPr>
        <w:t>the scheduled date</w:t>
      </w:r>
      <w:r w:rsidRPr="00F27EBB">
        <w:rPr>
          <w:lang w:val="en-CA"/>
        </w:rPr>
        <w:t xml:space="preserve">. </w:t>
      </w:r>
    </w:p>
    <w:p w14:paraId="2F0F1407" w14:textId="77777777" w:rsidR="00673993" w:rsidRPr="00FE3307" w:rsidRDefault="00673993" w:rsidP="002D2FCF">
      <w:pPr>
        <w:rPr>
          <w:u w:val="single"/>
          <w:lang w:val="en-CA"/>
        </w:rPr>
      </w:pPr>
      <w:r w:rsidRPr="00FE3307">
        <w:rPr>
          <w:u w:val="single"/>
          <w:lang w:val="en-CA"/>
        </w:rPr>
        <w:t xml:space="preserve">Conclusion </w:t>
      </w:r>
    </w:p>
    <w:p w14:paraId="70801613" w14:textId="77777777" w:rsidR="00673993" w:rsidRPr="00FE3307" w:rsidRDefault="00673993" w:rsidP="002D2FCF">
      <w:pPr>
        <w:rPr>
          <w:lang w:val="en-CA"/>
        </w:rPr>
      </w:pPr>
    </w:p>
    <w:p w14:paraId="7CDBC651" w14:textId="19227765" w:rsidR="00673993" w:rsidRPr="00663E8B" w:rsidRDefault="00673993" w:rsidP="002D2FCF">
      <w:pPr>
        <w:pStyle w:val="Heading1"/>
        <w:rPr>
          <w:lang w:val="en-CA"/>
        </w:rPr>
      </w:pPr>
      <w:r w:rsidRPr="00663E8B">
        <w:rPr>
          <w:lang w:val="en-CA"/>
        </w:rPr>
        <w:t xml:space="preserve">Panama continues to be in compliance with the Montreal Protocol and the HCFC consumption targets defined in its Agreement with the Executive Committee. </w:t>
      </w:r>
      <w:r w:rsidR="00D53925" w:rsidRPr="00663E8B">
        <w:rPr>
          <w:lang w:val="en-CA"/>
        </w:rPr>
        <w:t xml:space="preserve">Verified </w:t>
      </w:r>
      <w:r w:rsidRPr="00663E8B">
        <w:rPr>
          <w:lang w:val="en-CA"/>
        </w:rPr>
        <w:t>HCFC consumption in 201</w:t>
      </w:r>
      <w:r w:rsidR="00D53925" w:rsidRPr="00663E8B">
        <w:rPr>
          <w:lang w:val="en-CA"/>
        </w:rPr>
        <w:t>9</w:t>
      </w:r>
      <w:r w:rsidRPr="00663E8B">
        <w:rPr>
          <w:lang w:val="en-CA"/>
        </w:rPr>
        <w:t xml:space="preserve"> was </w:t>
      </w:r>
      <w:r w:rsidR="00D53925" w:rsidRPr="00663E8B">
        <w:rPr>
          <w:lang w:val="en-CA"/>
        </w:rPr>
        <w:t>42</w:t>
      </w:r>
      <w:r w:rsidRPr="00663E8B">
        <w:rPr>
          <w:lang w:val="en-CA"/>
        </w:rPr>
        <w:t xml:space="preserve"> per cent below the HCFC consumption baseline and </w:t>
      </w:r>
      <w:r w:rsidR="00D53925" w:rsidRPr="00663E8B">
        <w:rPr>
          <w:lang w:val="en-CA"/>
        </w:rPr>
        <w:t>35.6</w:t>
      </w:r>
      <w:r w:rsidRPr="00663E8B">
        <w:rPr>
          <w:lang w:val="en-CA"/>
        </w:rPr>
        <w:t xml:space="preserve"> per cent below the limit established in the Agreement. Under the </w:t>
      </w:r>
      <w:r w:rsidR="00D53925" w:rsidRPr="00663E8B">
        <w:rPr>
          <w:lang w:val="en-CA"/>
        </w:rPr>
        <w:t>second</w:t>
      </w:r>
      <w:r w:rsidRPr="00663E8B">
        <w:rPr>
          <w:lang w:val="en-CA"/>
        </w:rPr>
        <w:t xml:space="preserve"> tranche, </w:t>
      </w:r>
      <w:r w:rsidR="00D53925" w:rsidRPr="00663E8B">
        <w:rPr>
          <w:lang w:val="en-CA"/>
        </w:rPr>
        <w:t>three</w:t>
      </w:r>
      <w:r w:rsidRPr="00663E8B">
        <w:rPr>
          <w:lang w:val="en-CA"/>
        </w:rPr>
        <w:t xml:space="preserve"> PU foam enterprises </w:t>
      </w:r>
      <w:r w:rsidR="00663E8B">
        <w:rPr>
          <w:lang w:val="en-CA"/>
        </w:rPr>
        <w:t>signed contract</w:t>
      </w:r>
      <w:r w:rsidR="00B443E3">
        <w:rPr>
          <w:lang w:val="en-CA"/>
        </w:rPr>
        <w:t>s</w:t>
      </w:r>
      <w:r w:rsidR="00663E8B">
        <w:rPr>
          <w:lang w:val="en-CA"/>
        </w:rPr>
        <w:t xml:space="preserve"> to </w:t>
      </w:r>
      <w:r w:rsidRPr="00663E8B">
        <w:rPr>
          <w:lang w:val="en-CA"/>
        </w:rPr>
        <w:t>conver</w:t>
      </w:r>
      <w:r w:rsidR="00663E8B" w:rsidRPr="00663E8B">
        <w:rPr>
          <w:lang w:val="en-CA"/>
        </w:rPr>
        <w:t>t</w:t>
      </w:r>
      <w:r w:rsidRPr="00663E8B">
        <w:rPr>
          <w:lang w:val="en-CA"/>
        </w:rPr>
        <w:t xml:space="preserve"> to HFO technology</w:t>
      </w:r>
      <w:r w:rsidR="00663E8B">
        <w:rPr>
          <w:lang w:val="en-CA"/>
        </w:rPr>
        <w:t xml:space="preserve"> and one of them started testing the technology</w:t>
      </w:r>
      <w:r w:rsidRPr="00663E8B">
        <w:rPr>
          <w:lang w:val="en-CA"/>
        </w:rPr>
        <w:t>;</w:t>
      </w:r>
      <w:r w:rsidR="00663E8B">
        <w:rPr>
          <w:lang w:val="en-CA"/>
        </w:rPr>
        <w:t xml:space="preserve"> training was provided to customs officers and refrigeration technicians; </w:t>
      </w:r>
      <w:r w:rsidR="009F3268">
        <w:rPr>
          <w:lang w:val="en-CA"/>
        </w:rPr>
        <w:t xml:space="preserve">progress was made in the </w:t>
      </w:r>
      <w:r w:rsidR="009F3268" w:rsidRPr="009F3268">
        <w:rPr>
          <w:lang w:val="en-CA"/>
        </w:rPr>
        <w:t>establishment of a certification scheme for RAC technicians</w:t>
      </w:r>
      <w:r w:rsidR="009F3268">
        <w:rPr>
          <w:lang w:val="en-CA"/>
        </w:rPr>
        <w:t>;</w:t>
      </w:r>
      <w:r w:rsidR="00663E8B" w:rsidRPr="009F3268">
        <w:rPr>
          <w:lang w:val="en-CA"/>
        </w:rPr>
        <w:t xml:space="preserve"> </w:t>
      </w:r>
      <w:r w:rsidR="00663E8B">
        <w:rPr>
          <w:lang w:val="en-CA"/>
        </w:rPr>
        <w:t>and</w:t>
      </w:r>
      <w:r w:rsidRPr="00663E8B">
        <w:rPr>
          <w:lang w:val="en-CA"/>
        </w:rPr>
        <w:t xml:space="preserve"> the Government </w:t>
      </w:r>
      <w:r w:rsidR="00663E8B" w:rsidRPr="00663E8B">
        <w:rPr>
          <w:lang w:val="en-CA"/>
        </w:rPr>
        <w:t xml:space="preserve">adopted </w:t>
      </w:r>
      <w:r w:rsidRPr="00663E8B">
        <w:rPr>
          <w:lang w:val="en-CA"/>
        </w:rPr>
        <w:t>bans on the use of HCFC-22 as a cleaning agent in</w:t>
      </w:r>
      <w:r w:rsidR="009F3268">
        <w:rPr>
          <w:lang w:val="en-CA"/>
        </w:rPr>
        <w:t xml:space="preserve"> RAC </w:t>
      </w:r>
      <w:r w:rsidRPr="00663E8B">
        <w:rPr>
          <w:lang w:val="en-CA"/>
        </w:rPr>
        <w:t>systems (1</w:t>
      </w:r>
      <w:r w:rsidR="00426DF2">
        <w:rPr>
          <w:lang w:val="en-CA"/>
        </w:rPr>
        <w:t> January </w:t>
      </w:r>
      <w:r w:rsidRPr="00663E8B">
        <w:rPr>
          <w:lang w:val="en-CA"/>
        </w:rPr>
        <w:t>2019), on the production of XPS foam, both in existing and new facilities (1</w:t>
      </w:r>
      <w:r w:rsidR="00426DF2">
        <w:rPr>
          <w:lang w:val="en-CA"/>
        </w:rPr>
        <w:t> January </w:t>
      </w:r>
      <w:r w:rsidRPr="00663E8B">
        <w:rPr>
          <w:lang w:val="en-CA"/>
        </w:rPr>
        <w:t>2019), and on imports of formulated polyols containing HCFC</w:t>
      </w:r>
      <w:r w:rsidRPr="00663E8B">
        <w:rPr>
          <w:lang w:val="en-CA"/>
        </w:rPr>
        <w:noBreakHyphen/>
        <w:t>141b (1</w:t>
      </w:r>
      <w:r w:rsidR="00426DF2">
        <w:rPr>
          <w:lang w:val="en-CA"/>
        </w:rPr>
        <w:t> January </w:t>
      </w:r>
      <w:r w:rsidRPr="00663E8B">
        <w:rPr>
          <w:lang w:val="en-CA"/>
        </w:rPr>
        <w:t xml:space="preserve">2020). The Government has also </w:t>
      </w:r>
      <w:r w:rsidR="00663E8B" w:rsidRPr="00663E8B">
        <w:rPr>
          <w:lang w:val="en-CA"/>
        </w:rPr>
        <w:t>continued c</w:t>
      </w:r>
      <w:r w:rsidRPr="00663E8B">
        <w:rPr>
          <w:lang w:val="en-CA"/>
        </w:rPr>
        <w:t xml:space="preserve">ontact with the authorities of the FTZ and the enterprise </w:t>
      </w:r>
      <w:proofErr w:type="spellStart"/>
      <w:r w:rsidRPr="00663E8B">
        <w:rPr>
          <w:lang w:val="en-CA"/>
        </w:rPr>
        <w:t>Synthesia</w:t>
      </w:r>
      <w:proofErr w:type="spellEnd"/>
      <w:r w:rsidRPr="00663E8B">
        <w:rPr>
          <w:lang w:val="en-CA"/>
        </w:rPr>
        <w:t xml:space="preserve"> to strengthen ODS control mechanisms in the FTZ</w:t>
      </w:r>
      <w:r w:rsidR="009F3268">
        <w:rPr>
          <w:lang w:val="en-CA"/>
        </w:rPr>
        <w:t>.</w:t>
      </w:r>
      <w:r w:rsidRPr="00663E8B">
        <w:rPr>
          <w:lang w:val="en-CA"/>
        </w:rPr>
        <w:t xml:space="preserve"> The level of disbursement</w:t>
      </w:r>
      <w:r w:rsidR="00BE380D">
        <w:rPr>
          <w:lang w:val="en-CA"/>
        </w:rPr>
        <w:t xml:space="preserve"> from the previous tranche</w:t>
      </w:r>
      <w:r w:rsidRPr="00663E8B">
        <w:rPr>
          <w:lang w:val="en-CA"/>
        </w:rPr>
        <w:t xml:space="preserve"> is above 20 per cent.</w:t>
      </w:r>
      <w:r w:rsidR="00663E8B" w:rsidRPr="00663E8B">
        <w:rPr>
          <w:lang w:val="en-CA"/>
        </w:rPr>
        <w:t xml:space="preserve"> The funds associated </w:t>
      </w:r>
      <w:r w:rsidR="00B443E3">
        <w:rPr>
          <w:lang w:val="en-CA"/>
        </w:rPr>
        <w:t>with</w:t>
      </w:r>
      <w:r w:rsidR="00663E8B" w:rsidRPr="00663E8B">
        <w:rPr>
          <w:lang w:val="en-CA"/>
        </w:rPr>
        <w:t xml:space="preserve"> two PU foam enterprises that </w:t>
      </w:r>
      <w:r w:rsidR="00B443E3">
        <w:rPr>
          <w:lang w:val="en-CA"/>
        </w:rPr>
        <w:t xml:space="preserve">have </w:t>
      </w:r>
      <w:r w:rsidR="00663E8B" w:rsidRPr="00663E8B">
        <w:rPr>
          <w:lang w:val="en-CA"/>
        </w:rPr>
        <w:t>withdr</w:t>
      </w:r>
      <w:r w:rsidR="00B443E3">
        <w:rPr>
          <w:lang w:val="en-CA"/>
        </w:rPr>
        <w:t>awn</w:t>
      </w:r>
      <w:r w:rsidR="00663E8B" w:rsidRPr="00663E8B">
        <w:rPr>
          <w:lang w:val="en-CA"/>
        </w:rPr>
        <w:t xml:space="preserve"> from the HPMP are being returned to the Multilateral Fund</w:t>
      </w:r>
      <w:r w:rsidR="00E92766">
        <w:rPr>
          <w:lang w:val="en-CA"/>
        </w:rPr>
        <w:t xml:space="preserve"> at the 86</w:t>
      </w:r>
      <w:r w:rsidR="00E92766" w:rsidRPr="00E92766">
        <w:rPr>
          <w:vertAlign w:val="superscript"/>
          <w:lang w:val="en-CA"/>
        </w:rPr>
        <w:t>th</w:t>
      </w:r>
      <w:r w:rsidR="00E92766">
        <w:rPr>
          <w:lang w:val="en-CA"/>
        </w:rPr>
        <w:t xml:space="preserve"> meeting</w:t>
      </w:r>
      <w:r w:rsidR="00663E8B" w:rsidRPr="00663E8B">
        <w:rPr>
          <w:lang w:val="en-CA"/>
        </w:rPr>
        <w:t>.</w:t>
      </w:r>
      <w:r w:rsidRPr="00663E8B">
        <w:rPr>
          <w:lang w:val="en-CA"/>
        </w:rPr>
        <w:t xml:space="preserve"> </w:t>
      </w:r>
    </w:p>
    <w:p w14:paraId="32CA9883" w14:textId="77777777" w:rsidR="00673993" w:rsidRDefault="00673993" w:rsidP="002D2FCF">
      <w:pPr>
        <w:rPr>
          <w:highlight w:val="magenta"/>
          <w:lang w:val="en-CA"/>
        </w:rPr>
      </w:pPr>
      <w:r w:rsidRPr="00FE3307">
        <w:rPr>
          <w:b/>
          <w:lang w:val="en-CA"/>
        </w:rPr>
        <w:t xml:space="preserve">RECOMMENDATION </w:t>
      </w:r>
    </w:p>
    <w:p w14:paraId="2149A379" w14:textId="77777777" w:rsidR="00673993" w:rsidRPr="00FE3307" w:rsidRDefault="00673993" w:rsidP="002D2FCF">
      <w:pPr>
        <w:rPr>
          <w:lang w:val="en-CA"/>
        </w:rPr>
      </w:pPr>
    </w:p>
    <w:p w14:paraId="2111102E" w14:textId="4AAC79E9" w:rsidR="00673993" w:rsidRPr="006609C0" w:rsidRDefault="00673993" w:rsidP="002D2FCF">
      <w:pPr>
        <w:pStyle w:val="Heading1"/>
        <w:rPr>
          <w:lang w:val="en-CA"/>
        </w:rPr>
      </w:pPr>
      <w:r w:rsidRPr="00FE3307">
        <w:rPr>
          <w:lang w:val="en-CA"/>
        </w:rPr>
        <w:t>The Fund Secretariat recommends t</w:t>
      </w:r>
      <w:r w:rsidR="00B443E3">
        <w:rPr>
          <w:lang w:val="en-CA"/>
        </w:rPr>
        <w:t>o</w:t>
      </w:r>
      <w:r w:rsidRPr="00FE3307">
        <w:rPr>
          <w:lang w:val="en-CA"/>
        </w:rPr>
        <w:t xml:space="preserve"> the Executive </w:t>
      </w:r>
      <w:r w:rsidRPr="006609C0">
        <w:rPr>
          <w:lang w:val="en-CA"/>
        </w:rPr>
        <w:t xml:space="preserve">Committee: </w:t>
      </w:r>
    </w:p>
    <w:p w14:paraId="697EE3BB" w14:textId="77777777" w:rsidR="00E0679F" w:rsidRDefault="00E0679F" w:rsidP="002D2FCF">
      <w:pPr>
        <w:pStyle w:val="Heading2"/>
        <w:numPr>
          <w:ilvl w:val="1"/>
          <w:numId w:val="1"/>
        </w:numPr>
        <w:rPr>
          <w:lang w:val="en-CA"/>
        </w:rPr>
      </w:pPr>
      <w:r>
        <w:rPr>
          <w:lang w:val="en-CA"/>
        </w:rPr>
        <w:t>To note:</w:t>
      </w:r>
    </w:p>
    <w:p w14:paraId="4CDD06C3" w14:textId="590733C5" w:rsidR="00D53925" w:rsidRDefault="00E0679F" w:rsidP="002D2FCF">
      <w:pPr>
        <w:pStyle w:val="Heading3"/>
        <w:rPr>
          <w:lang w:val="en-CA"/>
        </w:rPr>
      </w:pPr>
      <w:r>
        <w:rPr>
          <w:lang w:val="en-CA"/>
        </w:rPr>
        <w:t>T</w:t>
      </w:r>
      <w:r w:rsidR="00673993" w:rsidRPr="006609C0">
        <w:rPr>
          <w:lang w:val="en-CA"/>
        </w:rPr>
        <w:t>he progress report on the implementation of the second tranche of stage II of the HCFC phase-out management plan of (HPMP) for Panama;</w:t>
      </w:r>
      <w:r w:rsidR="00E00E39">
        <w:rPr>
          <w:lang w:val="en-CA"/>
        </w:rPr>
        <w:t xml:space="preserve"> </w:t>
      </w:r>
    </w:p>
    <w:p w14:paraId="237D0C35" w14:textId="530FF0A4" w:rsidR="00E0679F" w:rsidRPr="00A0412F" w:rsidRDefault="00E0679F" w:rsidP="002D2FCF">
      <w:pPr>
        <w:pStyle w:val="Heading3"/>
        <w:rPr>
          <w:lang w:val="en-CA"/>
        </w:rPr>
      </w:pPr>
      <w:r>
        <w:rPr>
          <w:lang w:val="en-CA"/>
        </w:rPr>
        <w:t>T</w:t>
      </w:r>
      <w:r w:rsidR="00D53925">
        <w:rPr>
          <w:lang w:val="en-CA"/>
        </w:rPr>
        <w:t>hat</w:t>
      </w:r>
      <w:r>
        <w:rPr>
          <w:lang w:val="en-CA"/>
        </w:rPr>
        <w:t xml:space="preserve"> the</w:t>
      </w:r>
      <w:r w:rsidR="00D53925">
        <w:rPr>
          <w:lang w:val="en-CA"/>
        </w:rPr>
        <w:t xml:space="preserve"> </w:t>
      </w:r>
      <w:r>
        <w:rPr>
          <w:lang w:val="en-CA"/>
        </w:rPr>
        <w:t xml:space="preserve">two polyurethane foam enterprises </w:t>
      </w:r>
      <w:proofErr w:type="spellStart"/>
      <w:r>
        <w:rPr>
          <w:lang w:val="en-CA"/>
        </w:rPr>
        <w:t>Disur</w:t>
      </w:r>
      <w:proofErr w:type="spellEnd"/>
      <w:r>
        <w:rPr>
          <w:lang w:val="en-CA"/>
        </w:rPr>
        <w:t xml:space="preserve"> and </w:t>
      </w:r>
      <w:proofErr w:type="spellStart"/>
      <w:r>
        <w:rPr>
          <w:lang w:val="en-CA"/>
        </w:rPr>
        <w:t>Refratermic</w:t>
      </w:r>
      <w:proofErr w:type="spellEnd"/>
      <w:r>
        <w:rPr>
          <w:lang w:val="en-CA"/>
        </w:rPr>
        <w:t xml:space="preserve">, with a consumption of </w:t>
      </w:r>
      <w:r w:rsidR="00617249">
        <w:rPr>
          <w:lang w:val="en-CA"/>
        </w:rPr>
        <w:t xml:space="preserve">0.48 </w:t>
      </w:r>
      <w:r w:rsidR="00617249" w:rsidRPr="00A0412F">
        <w:rPr>
          <w:lang w:val="en-CA"/>
        </w:rPr>
        <w:t xml:space="preserve">ODP tonnes </w:t>
      </w:r>
      <w:r w:rsidR="00BE380D" w:rsidRPr="00A0412F">
        <w:rPr>
          <w:lang w:val="en-CA"/>
        </w:rPr>
        <w:t xml:space="preserve">(4.36 metric tonnes) </w:t>
      </w:r>
      <w:r w:rsidR="00617249" w:rsidRPr="00A0412F">
        <w:rPr>
          <w:lang w:val="en-CA"/>
        </w:rPr>
        <w:t>of HCFC-141b</w:t>
      </w:r>
      <w:r w:rsidR="00B443E3" w:rsidRPr="00A0412F">
        <w:rPr>
          <w:lang w:val="en-CA"/>
        </w:rPr>
        <w:t>,</w:t>
      </w:r>
      <w:r w:rsidR="00617249" w:rsidRPr="00A0412F">
        <w:rPr>
          <w:lang w:val="en-CA"/>
        </w:rPr>
        <w:t xml:space="preserve"> </w:t>
      </w:r>
      <w:r w:rsidRPr="00A0412F">
        <w:rPr>
          <w:lang w:val="en-CA"/>
        </w:rPr>
        <w:t xml:space="preserve">and associated funding of </w:t>
      </w:r>
      <w:r w:rsidR="002D2FCF" w:rsidRPr="00A0412F">
        <w:rPr>
          <w:lang w:val="en-CA"/>
        </w:rPr>
        <w:t>US $</w:t>
      </w:r>
      <w:r w:rsidR="00E00E39" w:rsidRPr="00A0412F">
        <w:rPr>
          <w:lang w:val="en-CA"/>
        </w:rPr>
        <w:t>4</w:t>
      </w:r>
      <w:r w:rsidR="00187023" w:rsidRPr="00A0412F">
        <w:rPr>
          <w:lang w:val="en-CA"/>
        </w:rPr>
        <w:t>7</w:t>
      </w:r>
      <w:r w:rsidR="00E00E39" w:rsidRPr="00A0412F">
        <w:rPr>
          <w:lang w:val="en-CA"/>
        </w:rPr>
        <w:t>,</w:t>
      </w:r>
      <w:r w:rsidR="00187023" w:rsidRPr="00A0412F">
        <w:rPr>
          <w:lang w:val="en-CA"/>
        </w:rPr>
        <w:t>7</w:t>
      </w:r>
      <w:r w:rsidR="00E00E39" w:rsidRPr="00A0412F">
        <w:rPr>
          <w:lang w:val="en-CA"/>
        </w:rPr>
        <w:t>53</w:t>
      </w:r>
      <w:r w:rsidR="00CD1C40" w:rsidRPr="00A0412F">
        <w:rPr>
          <w:lang w:val="en-CA"/>
        </w:rPr>
        <w:t>,</w:t>
      </w:r>
      <w:r w:rsidRPr="00A0412F">
        <w:rPr>
          <w:lang w:val="en-CA"/>
        </w:rPr>
        <w:t xml:space="preserve"> have </w:t>
      </w:r>
      <w:r w:rsidR="00F13275" w:rsidRPr="00A0412F">
        <w:rPr>
          <w:lang w:val="en-CA"/>
        </w:rPr>
        <w:t>withdrawn from</w:t>
      </w:r>
      <w:r w:rsidRPr="00A0412F">
        <w:rPr>
          <w:lang w:val="en-CA"/>
        </w:rPr>
        <w:t xml:space="preserve"> stage II</w:t>
      </w:r>
      <w:r w:rsidR="00EA2149" w:rsidRPr="00A0412F">
        <w:rPr>
          <w:lang w:val="en-CA"/>
        </w:rPr>
        <w:t xml:space="preserve">, noting that the consumption associated with those enterprises </w:t>
      </w:r>
      <w:r w:rsidR="00A0412F" w:rsidRPr="00A0412F">
        <w:rPr>
          <w:lang w:val="en-CA"/>
        </w:rPr>
        <w:t xml:space="preserve">had been phased </w:t>
      </w:r>
      <w:r w:rsidR="00187023" w:rsidRPr="00A0412F">
        <w:rPr>
          <w:lang w:val="en-CA"/>
        </w:rPr>
        <w:t>out</w:t>
      </w:r>
      <w:r w:rsidRPr="00A0412F">
        <w:rPr>
          <w:lang w:val="en-CA"/>
        </w:rPr>
        <w:t>;</w:t>
      </w:r>
    </w:p>
    <w:p w14:paraId="740A2EC4" w14:textId="43C0C5E8" w:rsidR="00673993" w:rsidRPr="00A0412F" w:rsidRDefault="00B443E3" w:rsidP="002D2FCF">
      <w:pPr>
        <w:pStyle w:val="Heading2"/>
        <w:rPr>
          <w:lang w:val="en-CA"/>
        </w:rPr>
      </w:pPr>
      <w:r w:rsidRPr="00A0412F">
        <w:rPr>
          <w:lang w:val="en-CA"/>
        </w:rPr>
        <w:t>To r</w:t>
      </w:r>
      <w:r w:rsidR="00673993" w:rsidRPr="00A0412F">
        <w:rPr>
          <w:lang w:val="en-CA"/>
        </w:rPr>
        <w:t xml:space="preserve">equest UNDP and the Government of Panama to </w:t>
      </w:r>
      <w:r w:rsidR="009D5F97" w:rsidRPr="00A0412F">
        <w:rPr>
          <w:lang w:val="en-CA"/>
        </w:rPr>
        <w:t>include in the</w:t>
      </w:r>
      <w:r w:rsidR="00673993" w:rsidRPr="00A0412F">
        <w:rPr>
          <w:lang w:val="en-CA"/>
        </w:rPr>
        <w:t xml:space="preserve"> submission of </w:t>
      </w:r>
      <w:r w:rsidR="00173A3C" w:rsidRPr="00A0412F">
        <w:rPr>
          <w:lang w:val="en-CA"/>
        </w:rPr>
        <w:t xml:space="preserve">the first tranche </w:t>
      </w:r>
      <w:r w:rsidR="00673993" w:rsidRPr="00A0412F">
        <w:rPr>
          <w:lang w:val="en-CA"/>
        </w:rPr>
        <w:t xml:space="preserve">request </w:t>
      </w:r>
      <w:r w:rsidR="00173A3C" w:rsidRPr="00A0412F">
        <w:rPr>
          <w:lang w:val="en-CA"/>
        </w:rPr>
        <w:t>of</w:t>
      </w:r>
      <w:r w:rsidR="00673993" w:rsidRPr="00A0412F">
        <w:rPr>
          <w:lang w:val="en-CA"/>
        </w:rPr>
        <w:t xml:space="preserve"> stage </w:t>
      </w:r>
      <w:r w:rsidR="00776DA8" w:rsidRPr="00A0412F">
        <w:rPr>
          <w:lang w:val="en-CA"/>
        </w:rPr>
        <w:t>I</w:t>
      </w:r>
      <w:r w:rsidR="00673993" w:rsidRPr="00A0412F">
        <w:rPr>
          <w:lang w:val="en-CA"/>
        </w:rPr>
        <w:t xml:space="preserve">II of the HPMP </w:t>
      </w:r>
      <w:r w:rsidR="005758B2" w:rsidRPr="00A0412F">
        <w:rPr>
          <w:lang w:val="en-CA"/>
        </w:rPr>
        <w:t xml:space="preserve">an update on </w:t>
      </w:r>
      <w:r w:rsidR="009D10CA" w:rsidRPr="00A0412F">
        <w:rPr>
          <w:lang w:val="en-CA"/>
        </w:rPr>
        <w:t>t</w:t>
      </w:r>
      <w:r w:rsidR="00673993" w:rsidRPr="00A0412F">
        <w:rPr>
          <w:lang w:val="en-CA"/>
        </w:rPr>
        <w:t>he status of the Government’s efforts to obtain data from the systems house in the Free Trade Zone</w:t>
      </w:r>
      <w:r w:rsidR="009D10CA" w:rsidRPr="00A0412F">
        <w:rPr>
          <w:lang w:val="en-CA"/>
        </w:rPr>
        <w:t xml:space="preserve"> and information on </w:t>
      </w:r>
      <w:r w:rsidR="00673993" w:rsidRPr="00A0412F">
        <w:rPr>
          <w:lang w:val="en-CA"/>
        </w:rPr>
        <w:t>HCFCs imported to and exported from the Free Trade Zone; and</w:t>
      </w:r>
    </w:p>
    <w:p w14:paraId="3F89EF3F" w14:textId="0594A4E1" w:rsidR="00AF300D" w:rsidRPr="00AF300D" w:rsidRDefault="00AF300D" w:rsidP="002D2FCF">
      <w:pPr>
        <w:pStyle w:val="Heading2"/>
        <w:rPr>
          <w:lang w:val="en-CA"/>
        </w:rPr>
      </w:pPr>
      <w:r>
        <w:rPr>
          <w:lang w:val="en-CA"/>
        </w:rPr>
        <w:t xml:space="preserve">To further request UNDP to return </w:t>
      </w:r>
      <w:r w:rsidR="00E00E39">
        <w:rPr>
          <w:lang w:val="en-CA"/>
        </w:rPr>
        <w:t>to the 86</w:t>
      </w:r>
      <w:r w:rsidR="00E00E39" w:rsidRPr="00E00E39">
        <w:rPr>
          <w:vertAlign w:val="superscript"/>
          <w:lang w:val="en-CA"/>
        </w:rPr>
        <w:t>th</w:t>
      </w:r>
      <w:r w:rsidR="00E00E39">
        <w:rPr>
          <w:lang w:val="en-CA"/>
        </w:rPr>
        <w:t xml:space="preserve"> meeting </w:t>
      </w:r>
      <w:r w:rsidR="002D2FCF">
        <w:rPr>
          <w:lang w:val="en-CA"/>
        </w:rPr>
        <w:t>US $</w:t>
      </w:r>
      <w:r>
        <w:rPr>
          <w:lang w:val="en-CA"/>
        </w:rPr>
        <w:t>43,153</w:t>
      </w:r>
      <w:r w:rsidR="00CD1C40">
        <w:rPr>
          <w:lang w:val="en-CA"/>
        </w:rPr>
        <w:t>,</w:t>
      </w:r>
      <w:r w:rsidR="00E00E39">
        <w:rPr>
          <w:lang w:val="en-CA"/>
        </w:rPr>
        <w:t xml:space="preserve"> plus agency support cost of </w:t>
      </w:r>
      <w:r w:rsidR="002D2FCF">
        <w:rPr>
          <w:lang w:val="en-CA"/>
        </w:rPr>
        <w:t>US $</w:t>
      </w:r>
      <w:r w:rsidR="00E00E39">
        <w:rPr>
          <w:lang w:val="en-CA"/>
        </w:rPr>
        <w:t>3</w:t>
      </w:r>
      <w:r w:rsidR="009D10CA">
        <w:rPr>
          <w:lang w:val="en-CA"/>
        </w:rPr>
        <w:t>,</w:t>
      </w:r>
      <w:r w:rsidR="00E00E39">
        <w:rPr>
          <w:lang w:val="en-CA"/>
        </w:rPr>
        <w:t>021</w:t>
      </w:r>
      <w:r w:rsidR="00CD1C40">
        <w:rPr>
          <w:lang w:val="en-CA"/>
        </w:rPr>
        <w:t>,</w:t>
      </w:r>
      <w:r w:rsidR="009D10CA">
        <w:rPr>
          <w:lang w:val="en-CA"/>
        </w:rPr>
        <w:t xml:space="preserve"> </w:t>
      </w:r>
      <w:r>
        <w:rPr>
          <w:lang w:val="en-CA"/>
        </w:rPr>
        <w:t xml:space="preserve">from the project </w:t>
      </w:r>
      <w:r w:rsidRPr="00AF300D">
        <w:rPr>
          <w:lang w:val="en-CA"/>
        </w:rPr>
        <w:t>PAN/PHA/76/INV/44</w:t>
      </w:r>
      <w:r w:rsidR="00E00E39">
        <w:rPr>
          <w:lang w:val="en-CA"/>
        </w:rPr>
        <w:t xml:space="preserve">, </w:t>
      </w:r>
      <w:r w:rsidR="00E00E39" w:rsidRPr="00E00E39">
        <w:rPr>
          <w:lang w:val="en-CA"/>
        </w:rPr>
        <w:t>corresponding to the unused balance of funds associated with the enterprises in paragraph (a)(ii)</w:t>
      </w:r>
      <w:r w:rsidR="00E00E39">
        <w:rPr>
          <w:lang w:val="en-CA"/>
        </w:rPr>
        <w:t>;</w:t>
      </w:r>
    </w:p>
    <w:p w14:paraId="7ABC39AA" w14:textId="6E157BC8" w:rsidR="00673993" w:rsidRPr="00FE3307" w:rsidRDefault="00673993" w:rsidP="002D2FCF">
      <w:pPr>
        <w:pStyle w:val="Heading1"/>
        <w:rPr>
          <w:lang w:val="en-CA"/>
        </w:rPr>
      </w:pPr>
      <w:r w:rsidRPr="00FE3307">
        <w:rPr>
          <w:lang w:val="en-CA"/>
        </w:rPr>
        <w:t xml:space="preserve">The Fund Secretariat further recommends blanket approval of </w:t>
      </w:r>
      <w:r w:rsidRPr="006609C0">
        <w:rPr>
          <w:lang w:val="en-CA"/>
        </w:rPr>
        <w:t xml:space="preserve">the third </w:t>
      </w:r>
      <w:r>
        <w:rPr>
          <w:lang w:val="en-CA"/>
        </w:rPr>
        <w:t>and final</w:t>
      </w:r>
      <w:r w:rsidRPr="006609C0">
        <w:rPr>
          <w:lang w:val="en-CA"/>
        </w:rPr>
        <w:t xml:space="preserve"> tranche</w:t>
      </w:r>
      <w:r w:rsidRPr="00FE3307">
        <w:rPr>
          <w:lang w:val="en-CA"/>
        </w:rPr>
        <w:t xml:space="preserve"> of stage </w:t>
      </w:r>
      <w:r>
        <w:rPr>
          <w:lang w:val="en-CA"/>
        </w:rPr>
        <w:t>I</w:t>
      </w:r>
      <w:r w:rsidRPr="00FE3307">
        <w:rPr>
          <w:lang w:val="en-CA"/>
        </w:rPr>
        <w:t xml:space="preserve">I of the HPMP </w:t>
      </w:r>
      <w:r w:rsidRPr="006609C0">
        <w:rPr>
          <w:lang w:val="en-CA"/>
        </w:rPr>
        <w:t>for Panama, and</w:t>
      </w:r>
      <w:r>
        <w:rPr>
          <w:lang w:val="en-CA"/>
        </w:rPr>
        <w:t xml:space="preserve"> the corresponding </w:t>
      </w:r>
      <w:r w:rsidRPr="0023766A">
        <w:rPr>
          <w:lang w:val="en-CA"/>
        </w:rPr>
        <w:t>2020-2021 tranche</w:t>
      </w:r>
      <w:r w:rsidRPr="00FE3307">
        <w:rPr>
          <w:lang w:val="en-CA"/>
        </w:rPr>
        <w:t xml:space="preserve"> implementation plan, at the funding level shown in the table below:</w:t>
      </w:r>
      <w:r w:rsidR="002D2FCF">
        <w:rPr>
          <w:lang w:val="en-CA"/>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673993" w:rsidRPr="00FE3307" w14:paraId="2BFD0E96" w14:textId="77777777" w:rsidTr="00C22A17">
        <w:tc>
          <w:tcPr>
            <w:tcW w:w="540" w:type="dxa"/>
          </w:tcPr>
          <w:p w14:paraId="21FD2020" w14:textId="77777777" w:rsidR="00673993" w:rsidRPr="00FE3307" w:rsidRDefault="00673993" w:rsidP="002D2FCF">
            <w:pPr>
              <w:jc w:val="center"/>
              <w:rPr>
                <w:b/>
                <w:bCs/>
                <w:sz w:val="20"/>
                <w:szCs w:val="20"/>
                <w:lang w:val="en-CA"/>
              </w:rPr>
            </w:pPr>
          </w:p>
        </w:tc>
        <w:tc>
          <w:tcPr>
            <w:tcW w:w="4320" w:type="dxa"/>
          </w:tcPr>
          <w:p w14:paraId="06C63EB9" w14:textId="77777777" w:rsidR="00673993" w:rsidRPr="00FE3307" w:rsidRDefault="00673993" w:rsidP="002D2FCF">
            <w:pPr>
              <w:jc w:val="center"/>
              <w:rPr>
                <w:b/>
                <w:bCs/>
                <w:sz w:val="20"/>
                <w:szCs w:val="20"/>
                <w:lang w:val="en-CA"/>
              </w:rPr>
            </w:pPr>
            <w:r w:rsidRPr="00FE3307">
              <w:rPr>
                <w:b/>
                <w:bCs/>
                <w:sz w:val="20"/>
                <w:szCs w:val="20"/>
                <w:lang w:val="en-CA"/>
              </w:rPr>
              <w:t>Project title</w:t>
            </w:r>
          </w:p>
        </w:tc>
        <w:tc>
          <w:tcPr>
            <w:tcW w:w="1461" w:type="dxa"/>
            <w:tcMar>
              <w:left w:w="29" w:type="dxa"/>
              <w:right w:w="29" w:type="dxa"/>
            </w:tcMar>
          </w:tcPr>
          <w:p w14:paraId="7E61038A" w14:textId="0C7B94BF" w:rsidR="00673993" w:rsidRPr="00FE3307" w:rsidRDefault="00673993" w:rsidP="002D2FCF">
            <w:pPr>
              <w:jc w:val="center"/>
              <w:rPr>
                <w:b/>
                <w:bCs/>
                <w:sz w:val="20"/>
                <w:szCs w:val="20"/>
                <w:lang w:val="en-CA"/>
              </w:rPr>
            </w:pPr>
            <w:r w:rsidRPr="00FE3307">
              <w:rPr>
                <w:b/>
                <w:bCs/>
                <w:sz w:val="20"/>
                <w:szCs w:val="20"/>
                <w:lang w:val="en-CA"/>
              </w:rPr>
              <w:t>Project funding (</w:t>
            </w:r>
            <w:r w:rsidR="002D2FCF">
              <w:rPr>
                <w:b/>
                <w:bCs/>
                <w:sz w:val="20"/>
                <w:szCs w:val="20"/>
                <w:lang w:val="en-CA"/>
              </w:rPr>
              <w:t>US $</w:t>
            </w:r>
            <w:r w:rsidRPr="00FE3307">
              <w:rPr>
                <w:b/>
                <w:bCs/>
                <w:sz w:val="20"/>
                <w:szCs w:val="20"/>
                <w:lang w:val="en-CA"/>
              </w:rPr>
              <w:t>)</w:t>
            </w:r>
          </w:p>
        </w:tc>
        <w:tc>
          <w:tcPr>
            <w:tcW w:w="1461" w:type="dxa"/>
            <w:tcMar>
              <w:left w:w="29" w:type="dxa"/>
              <w:right w:w="29" w:type="dxa"/>
            </w:tcMar>
          </w:tcPr>
          <w:p w14:paraId="6AD1B825" w14:textId="12BBB609" w:rsidR="00673993" w:rsidRPr="00FE3307" w:rsidRDefault="00673993" w:rsidP="002D2FCF">
            <w:pPr>
              <w:jc w:val="center"/>
              <w:rPr>
                <w:b/>
                <w:bCs/>
                <w:sz w:val="20"/>
                <w:szCs w:val="20"/>
                <w:lang w:val="en-CA"/>
              </w:rPr>
            </w:pPr>
            <w:r w:rsidRPr="00FE3307">
              <w:rPr>
                <w:b/>
                <w:bCs/>
                <w:sz w:val="20"/>
                <w:szCs w:val="20"/>
                <w:lang w:val="en-CA"/>
              </w:rPr>
              <w:t>Support cost (</w:t>
            </w:r>
            <w:r w:rsidR="002D2FCF">
              <w:rPr>
                <w:b/>
                <w:bCs/>
                <w:sz w:val="20"/>
                <w:szCs w:val="20"/>
                <w:lang w:val="en-CA"/>
              </w:rPr>
              <w:t>US $</w:t>
            </w:r>
            <w:r w:rsidRPr="00FE3307">
              <w:rPr>
                <w:b/>
                <w:bCs/>
                <w:sz w:val="20"/>
                <w:szCs w:val="20"/>
                <w:lang w:val="en-CA"/>
              </w:rPr>
              <w:t>)</w:t>
            </w:r>
          </w:p>
        </w:tc>
        <w:tc>
          <w:tcPr>
            <w:tcW w:w="1461" w:type="dxa"/>
            <w:tcMar>
              <w:left w:w="29" w:type="dxa"/>
              <w:right w:w="29" w:type="dxa"/>
            </w:tcMar>
          </w:tcPr>
          <w:p w14:paraId="0A925CC1" w14:textId="77777777" w:rsidR="00673993" w:rsidRPr="00FE3307" w:rsidRDefault="00673993" w:rsidP="002D2FCF">
            <w:pPr>
              <w:jc w:val="center"/>
              <w:rPr>
                <w:b/>
                <w:bCs/>
                <w:sz w:val="20"/>
                <w:szCs w:val="20"/>
                <w:lang w:val="en-CA"/>
              </w:rPr>
            </w:pPr>
            <w:r w:rsidRPr="00FE3307">
              <w:rPr>
                <w:b/>
                <w:bCs/>
                <w:sz w:val="20"/>
                <w:szCs w:val="20"/>
                <w:lang w:val="en-CA"/>
              </w:rPr>
              <w:t>Implementing agency</w:t>
            </w:r>
          </w:p>
        </w:tc>
      </w:tr>
      <w:tr w:rsidR="00673993" w:rsidRPr="00FE3307" w14:paraId="25A4E02C" w14:textId="77777777" w:rsidTr="00C22A17">
        <w:tc>
          <w:tcPr>
            <w:tcW w:w="540" w:type="dxa"/>
          </w:tcPr>
          <w:p w14:paraId="26256C5B" w14:textId="77777777" w:rsidR="00673993" w:rsidRPr="00FE3307" w:rsidRDefault="00673993" w:rsidP="002D2FCF">
            <w:pPr>
              <w:rPr>
                <w:sz w:val="20"/>
                <w:szCs w:val="20"/>
                <w:lang w:val="en-CA"/>
              </w:rPr>
            </w:pPr>
            <w:r w:rsidRPr="00FE3307">
              <w:rPr>
                <w:sz w:val="20"/>
                <w:szCs w:val="20"/>
                <w:lang w:val="en-CA"/>
              </w:rPr>
              <w:t>(a)</w:t>
            </w:r>
          </w:p>
        </w:tc>
        <w:tc>
          <w:tcPr>
            <w:tcW w:w="4320" w:type="dxa"/>
          </w:tcPr>
          <w:p w14:paraId="04BAAD10" w14:textId="63D3F639" w:rsidR="00673993" w:rsidRPr="00FE3307" w:rsidRDefault="00673993" w:rsidP="002D2FCF">
            <w:pPr>
              <w:rPr>
                <w:sz w:val="20"/>
                <w:szCs w:val="20"/>
                <w:lang w:val="en-CA"/>
              </w:rPr>
            </w:pPr>
            <w:r w:rsidRPr="00FE3307">
              <w:rPr>
                <w:sz w:val="20"/>
                <w:szCs w:val="20"/>
                <w:lang w:val="en-CA"/>
              </w:rPr>
              <w:t>HCFC phase-out management plan (stage I</w:t>
            </w:r>
            <w:r>
              <w:rPr>
                <w:sz w:val="20"/>
                <w:szCs w:val="20"/>
                <w:lang w:val="en-CA"/>
              </w:rPr>
              <w:t>I</w:t>
            </w:r>
            <w:r w:rsidRPr="00FE3307">
              <w:rPr>
                <w:sz w:val="20"/>
                <w:szCs w:val="20"/>
                <w:lang w:val="en-CA"/>
              </w:rPr>
              <w:t xml:space="preserve">, </w:t>
            </w:r>
            <w:r w:rsidRPr="005B39D0">
              <w:rPr>
                <w:sz w:val="20"/>
                <w:szCs w:val="20"/>
                <w:lang w:val="en-CA"/>
              </w:rPr>
              <w:t>third</w:t>
            </w:r>
            <w:r w:rsidR="004C5213">
              <w:rPr>
                <w:sz w:val="20"/>
                <w:szCs w:val="20"/>
                <w:lang w:val="en-CA"/>
              </w:rPr>
              <w:t> </w:t>
            </w:r>
            <w:r w:rsidRPr="00FE3307">
              <w:rPr>
                <w:sz w:val="20"/>
                <w:szCs w:val="20"/>
                <w:lang w:val="en-CA"/>
              </w:rPr>
              <w:t>tranche)</w:t>
            </w:r>
          </w:p>
        </w:tc>
        <w:tc>
          <w:tcPr>
            <w:tcW w:w="1461" w:type="dxa"/>
          </w:tcPr>
          <w:p w14:paraId="088DF5AA" w14:textId="5102EA06" w:rsidR="00673993" w:rsidRPr="00DF2CA3" w:rsidRDefault="00DF2CA3" w:rsidP="002D2FCF">
            <w:pPr>
              <w:jc w:val="right"/>
              <w:rPr>
                <w:sz w:val="20"/>
                <w:szCs w:val="20"/>
                <w:lang w:val="en-CA"/>
              </w:rPr>
            </w:pPr>
            <w:r w:rsidRPr="00DF2CA3">
              <w:rPr>
                <w:color w:val="000000"/>
                <w:sz w:val="20"/>
                <w:szCs w:val="18"/>
                <w:lang w:val="en-US"/>
              </w:rPr>
              <w:t>72,754</w:t>
            </w:r>
          </w:p>
        </w:tc>
        <w:tc>
          <w:tcPr>
            <w:tcW w:w="1461" w:type="dxa"/>
          </w:tcPr>
          <w:p w14:paraId="49162CBC" w14:textId="4A74C149" w:rsidR="00673993" w:rsidRPr="00DF2CA3" w:rsidRDefault="00DF2CA3" w:rsidP="002D2FCF">
            <w:pPr>
              <w:jc w:val="right"/>
              <w:rPr>
                <w:sz w:val="20"/>
                <w:lang w:val="en-CA"/>
              </w:rPr>
            </w:pPr>
            <w:r w:rsidRPr="00DF2CA3">
              <w:rPr>
                <w:rFonts w:eastAsiaTheme="minorHAnsi"/>
                <w:sz w:val="20"/>
                <w:szCs w:val="18"/>
              </w:rPr>
              <w:t>5,093</w:t>
            </w:r>
          </w:p>
        </w:tc>
        <w:tc>
          <w:tcPr>
            <w:tcW w:w="1461" w:type="dxa"/>
          </w:tcPr>
          <w:p w14:paraId="72BF080D" w14:textId="77777777" w:rsidR="00673993" w:rsidRPr="00DF2CA3" w:rsidRDefault="00673993" w:rsidP="002D2FCF">
            <w:pPr>
              <w:jc w:val="center"/>
              <w:rPr>
                <w:sz w:val="20"/>
                <w:szCs w:val="20"/>
                <w:lang w:val="en-CA"/>
              </w:rPr>
            </w:pPr>
            <w:r w:rsidRPr="00DF2CA3">
              <w:rPr>
                <w:sz w:val="20"/>
                <w:szCs w:val="20"/>
                <w:lang w:val="en-CA"/>
              </w:rPr>
              <w:t>UNDP</w:t>
            </w:r>
          </w:p>
        </w:tc>
      </w:tr>
    </w:tbl>
    <w:p w14:paraId="4138BECB" w14:textId="66FB3E1F" w:rsidR="00673993" w:rsidRDefault="00673993" w:rsidP="002D2FCF">
      <w:pPr>
        <w:rPr>
          <w:lang w:val="en-CA"/>
        </w:rPr>
      </w:pPr>
    </w:p>
    <w:p w14:paraId="4F8B0852" w14:textId="77777777" w:rsidR="002D2FCF" w:rsidRPr="00FE3307" w:rsidRDefault="002D2FCF" w:rsidP="002D2FCF">
      <w:pPr>
        <w:rPr>
          <w:lang w:val="en-CA"/>
        </w:rPr>
      </w:pPr>
    </w:p>
    <w:p w14:paraId="64BED6E5" w14:textId="77777777" w:rsidR="00D54581" w:rsidRDefault="00D54581" w:rsidP="002D2FCF">
      <w:pPr>
        <w:pStyle w:val="Tit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D54581" w14:paraId="1A37E218" w14:textId="77777777" w:rsidTr="00080621">
        <w:tc>
          <w:tcPr>
            <w:tcW w:w="1871" w:type="dxa"/>
          </w:tcPr>
          <w:p w14:paraId="0846FEEA" w14:textId="77777777" w:rsidR="00D54581" w:rsidRDefault="00D54581" w:rsidP="002D2FCF"/>
        </w:tc>
        <w:tc>
          <w:tcPr>
            <w:tcW w:w="1872" w:type="dxa"/>
          </w:tcPr>
          <w:p w14:paraId="26AE03D1" w14:textId="77777777" w:rsidR="00D54581" w:rsidRDefault="00D54581" w:rsidP="002D2FCF"/>
        </w:tc>
        <w:tc>
          <w:tcPr>
            <w:tcW w:w="1872" w:type="dxa"/>
            <w:tcBorders>
              <w:bottom w:val="single" w:sz="4" w:space="0" w:color="auto"/>
            </w:tcBorders>
          </w:tcPr>
          <w:p w14:paraId="7CD5343A" w14:textId="77777777" w:rsidR="00D54581" w:rsidRDefault="00D54581" w:rsidP="002D2FCF"/>
        </w:tc>
        <w:tc>
          <w:tcPr>
            <w:tcW w:w="1872" w:type="dxa"/>
          </w:tcPr>
          <w:p w14:paraId="1A4183F8" w14:textId="77777777" w:rsidR="00D54581" w:rsidRDefault="00D54581" w:rsidP="002D2FCF"/>
        </w:tc>
        <w:tc>
          <w:tcPr>
            <w:tcW w:w="1873" w:type="dxa"/>
          </w:tcPr>
          <w:p w14:paraId="5E706DF9" w14:textId="77777777" w:rsidR="00D54581" w:rsidRDefault="00D54581" w:rsidP="002D2FCF"/>
        </w:tc>
      </w:tr>
    </w:tbl>
    <w:p w14:paraId="6CE97720" w14:textId="77777777" w:rsidR="00D54581" w:rsidRPr="00B04161" w:rsidRDefault="00D54581" w:rsidP="002D2FCF">
      <w:pPr>
        <w:rPr>
          <w:lang w:val="en-CA"/>
        </w:rPr>
      </w:pPr>
    </w:p>
    <w:sectPr w:rsidR="00D54581" w:rsidRPr="00B04161"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549FAF" w16cid:durableId="22428B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C4831" w14:textId="77777777" w:rsidR="002203FE" w:rsidRDefault="002203FE" w:rsidP="004A504B">
      <w:r>
        <w:separator/>
      </w:r>
    </w:p>
  </w:endnote>
  <w:endnote w:type="continuationSeparator" w:id="0">
    <w:p w14:paraId="7014C39E" w14:textId="77777777" w:rsidR="002203FE" w:rsidRDefault="002203FE" w:rsidP="004A504B">
      <w:r>
        <w:continuationSeparator/>
      </w:r>
    </w:p>
  </w:endnote>
  <w:endnote w:type="continuationNotice" w:id="1">
    <w:p w14:paraId="35C2CF3C" w14:textId="77777777" w:rsidR="002203FE" w:rsidRDefault="00220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7C6A" w14:textId="2C027496" w:rsidR="00DC0423" w:rsidRPr="0033525D" w:rsidRDefault="00DC0423">
    <w:pPr>
      <w:jc w:val="center"/>
    </w:pPr>
    <w:r>
      <w:fldChar w:fldCharType="begin"/>
    </w:r>
    <w:r>
      <w:instrText xml:space="preserve"> PAGE </w:instrText>
    </w:r>
    <w:r>
      <w:fldChar w:fldCharType="separate"/>
    </w:r>
    <w:r w:rsidR="00BA4563">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FDA4" w14:textId="1CCA7FA4" w:rsidR="00DC0423" w:rsidRPr="0033525D" w:rsidRDefault="00DC0423">
    <w:pPr>
      <w:jc w:val="center"/>
    </w:pPr>
    <w:r>
      <w:fldChar w:fldCharType="begin"/>
    </w:r>
    <w:r>
      <w:instrText xml:space="preserve"> PAGE </w:instrText>
    </w:r>
    <w:r>
      <w:fldChar w:fldCharType="separate"/>
    </w:r>
    <w:r w:rsidR="00BA4563">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2A21" w14:textId="77777777" w:rsidR="00DC0423" w:rsidRDefault="00DC0423"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29B924E8" w14:textId="77777777" w:rsidR="00DC0423" w:rsidRDefault="00DC0423"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09F73" w14:textId="77777777" w:rsidR="002203FE" w:rsidRDefault="002203FE" w:rsidP="004A504B">
      <w:r>
        <w:separator/>
      </w:r>
    </w:p>
  </w:footnote>
  <w:footnote w:type="continuationSeparator" w:id="0">
    <w:p w14:paraId="1867F435" w14:textId="77777777" w:rsidR="002203FE" w:rsidRDefault="002203FE" w:rsidP="004A504B">
      <w:r>
        <w:continuationSeparator/>
      </w:r>
    </w:p>
  </w:footnote>
  <w:footnote w:type="continuationNotice" w:id="1">
    <w:p w14:paraId="78248FB2" w14:textId="77777777" w:rsidR="002203FE" w:rsidRDefault="002203FE"/>
  </w:footnote>
  <w:footnote w:id="2">
    <w:p w14:paraId="756B0915" w14:textId="77777777" w:rsidR="00DC0423" w:rsidRPr="00FE3307" w:rsidRDefault="00DC0423" w:rsidP="00080621">
      <w:pPr>
        <w:pStyle w:val="FootnoteText"/>
        <w:rPr>
          <w:lang w:val="en-CA"/>
        </w:rPr>
      </w:pPr>
      <w:r w:rsidRPr="00FE3307">
        <w:rPr>
          <w:rStyle w:val="FootnoteReference"/>
        </w:rPr>
        <w:footnoteRef/>
      </w:r>
      <w:r w:rsidRPr="00FE3307">
        <w:t xml:space="preserve"> </w:t>
      </w:r>
      <w:r w:rsidRPr="00FE3307">
        <w:rPr>
          <w:lang w:val="en-CA"/>
        </w:rPr>
        <w:t xml:space="preserve">As per the letter </w:t>
      </w:r>
      <w:r w:rsidRPr="000F3BDE">
        <w:rPr>
          <w:lang w:val="en-CA"/>
        </w:rPr>
        <w:t>of 12 March</w:t>
      </w:r>
      <w:r>
        <w:rPr>
          <w:lang w:val="en-CA"/>
        </w:rPr>
        <w:t xml:space="preserve"> 2020</w:t>
      </w:r>
      <w:r w:rsidRPr="00FE3307">
        <w:rPr>
          <w:lang w:val="en-CA"/>
        </w:rPr>
        <w:t xml:space="preserve"> from the Ministry of </w:t>
      </w:r>
      <w:r>
        <w:rPr>
          <w:lang w:val="en-CA"/>
        </w:rPr>
        <w:t>Health of Panama to UNDP.</w:t>
      </w:r>
    </w:p>
  </w:footnote>
  <w:footnote w:id="3">
    <w:p w14:paraId="479D6F9D" w14:textId="34CEABD9" w:rsidR="00DC0423" w:rsidRPr="003D117C" w:rsidRDefault="00DC0423">
      <w:pPr>
        <w:pStyle w:val="FootnoteText"/>
        <w:rPr>
          <w:lang w:val="en-CA"/>
        </w:rPr>
      </w:pPr>
      <w:r>
        <w:rPr>
          <w:rStyle w:val="FootnoteReference"/>
        </w:rPr>
        <w:footnoteRef/>
      </w:r>
      <w:r>
        <w:t xml:space="preserve"> </w:t>
      </w:r>
      <w:r w:rsidRPr="003D117C">
        <w:t xml:space="preserve">The enterprise is expected to convert to </w:t>
      </w:r>
      <w:proofErr w:type="spellStart"/>
      <w:r w:rsidRPr="003D117C">
        <w:t>cyclopentane</w:t>
      </w:r>
      <w:proofErr w:type="spellEnd"/>
      <w:r w:rsidRPr="003D117C">
        <w:t xml:space="preserve"> with its own resources before 2020, when the ban on imports of HCFC-141b contained in pre-blended polyols enters into force</w:t>
      </w:r>
      <w:r>
        <w:t>.</w:t>
      </w:r>
    </w:p>
  </w:footnote>
  <w:footnote w:id="4">
    <w:p w14:paraId="3D6843F7" w14:textId="408547F2" w:rsidR="00DC0423" w:rsidRPr="00702561" w:rsidRDefault="00DC0423">
      <w:pPr>
        <w:pStyle w:val="FootnoteText"/>
        <w:rPr>
          <w:lang w:val="en-US"/>
        </w:rPr>
      </w:pPr>
      <w:r>
        <w:rPr>
          <w:rStyle w:val="FootnoteReference"/>
        </w:rPr>
        <w:footnoteRef/>
      </w:r>
      <w:r>
        <w:t xml:space="preserve"> </w:t>
      </w:r>
      <w:r w:rsidRPr="00702561">
        <w:rPr>
          <w:lang w:val="en-US"/>
        </w:rPr>
        <w:t xml:space="preserve">Including </w:t>
      </w:r>
      <w:r w:rsidRPr="00702561">
        <w:rPr>
          <w:lang w:val="en-CA"/>
        </w:rPr>
        <w:t xml:space="preserve">recovery units and cylinders, manifolds, capillary tube cutters, silver welding, containers, lock rings, digital vacuum, digital thermometers, R-290 and R-600a flaring kits, </w:t>
      </w:r>
      <w:r>
        <w:rPr>
          <w:lang w:val="en-CA"/>
        </w:rPr>
        <w:t xml:space="preserve">and </w:t>
      </w:r>
      <w:r w:rsidRPr="00702561">
        <w:rPr>
          <w:lang w:val="en-CA"/>
        </w:rPr>
        <w:t>cooling ratchets</w:t>
      </w:r>
      <w:r>
        <w:rPr>
          <w:lang w:val="en-CA"/>
        </w:rPr>
        <w:t>.</w:t>
      </w:r>
    </w:p>
  </w:footnote>
  <w:footnote w:id="5">
    <w:p w14:paraId="26FF3A1C" w14:textId="631856DE" w:rsidR="00DC0423" w:rsidRPr="00BB1182" w:rsidRDefault="00DC0423">
      <w:pPr>
        <w:pStyle w:val="FootnoteText"/>
        <w:rPr>
          <w:lang w:val="en-CA"/>
        </w:rPr>
      </w:pPr>
      <w:r>
        <w:rPr>
          <w:rStyle w:val="FootnoteReference"/>
        </w:rPr>
        <w:footnoteRef/>
      </w:r>
      <w:r>
        <w:t xml:space="preserve"> </w:t>
      </w:r>
      <w:r w:rsidRPr="00BB1182">
        <w:rPr>
          <w:lang w:val="en-CA"/>
        </w:rPr>
        <w:t>Secretariat of the Certification System for Labor Competencies of INADEH, the Technical Board of Engineering and Architecture, the Panamanian Society of Engineers and Architects</w:t>
      </w:r>
      <w:r>
        <w:rPr>
          <w:lang w:val="en-CA"/>
        </w:rPr>
        <w:t>,</w:t>
      </w:r>
      <w:r w:rsidRPr="00BB1182">
        <w:rPr>
          <w:lang w:val="en-CA"/>
        </w:rPr>
        <w:t xml:space="preserve"> the College of Electrical, Mechanical and Industrial Engineers</w:t>
      </w:r>
      <w:r>
        <w:rPr>
          <w:lang w:val="en-CA"/>
        </w:rPr>
        <w:t xml:space="preserve">, Ministry of Education, Ministry of Environment, Ministry of Health, Ministry of Labor, trainers from INADEH and other education institutes, unions and technicians. </w:t>
      </w:r>
    </w:p>
  </w:footnote>
  <w:footnote w:id="6">
    <w:p w14:paraId="5043C264" w14:textId="24EB6DDA" w:rsidR="00DC0423" w:rsidRPr="002D2FCF" w:rsidRDefault="00DC0423">
      <w:pPr>
        <w:pStyle w:val="FootnoteText"/>
        <w:rPr>
          <w:lang w:val="en-CA"/>
        </w:rPr>
      </w:pPr>
      <w:r>
        <w:rPr>
          <w:rStyle w:val="FootnoteReference"/>
        </w:rPr>
        <w:footnoteRef/>
      </w:r>
      <w:r>
        <w:t xml:space="preserve"> </w:t>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w:t>
      </w:r>
      <w:r w:rsidRPr="00E82357">
        <w:rPr>
          <w:lang w:val="en-CA"/>
        </w:rPr>
        <w:t>85/4.</w:t>
      </w:r>
    </w:p>
  </w:footnote>
  <w:footnote w:id="7">
    <w:p w14:paraId="24CE1464" w14:textId="77777777" w:rsidR="00DC0423" w:rsidRPr="00C82FBE" w:rsidRDefault="00DC0423" w:rsidP="009E5E4A">
      <w:pPr>
        <w:pStyle w:val="FootnoteText"/>
        <w:rPr>
          <w:lang w:val="en-CA"/>
        </w:rPr>
      </w:pPr>
      <w:r>
        <w:rPr>
          <w:rStyle w:val="FootnoteReference"/>
        </w:rPr>
        <w:footnoteRef/>
      </w:r>
      <w:r>
        <w:t xml:space="preserve"> </w:t>
      </w:r>
      <w:r>
        <w:rPr>
          <w:lang w:val="en-CA"/>
        </w:rPr>
        <w:t>D</w:t>
      </w:r>
      <w:r w:rsidRPr="00AB5129">
        <w:rPr>
          <w:lang w:val="en-CA"/>
        </w:rPr>
        <w:t>ecision 84/92(d) requested bilateral and implementing agencies to apply the operational policy on gender mainstreaming throughout the project cycle</w:t>
      </w:r>
      <w:r>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7847" w14:textId="4A2F8A00" w:rsidR="00DC0423" w:rsidRPr="0033525D" w:rsidRDefault="002203FE">
    <w:r>
      <w:fldChar w:fldCharType="begin"/>
    </w:r>
    <w:r>
      <w:instrText xml:space="preserve"> DOCPROPERTY "Document number"  \* MERGEFORMAT </w:instrText>
    </w:r>
    <w:r>
      <w:fldChar w:fldCharType="separate"/>
    </w:r>
    <w:r w:rsidR="00DC0423">
      <w:t>UNEP/</w:t>
    </w:r>
    <w:proofErr w:type="spellStart"/>
    <w:r w:rsidR="00DC0423">
      <w:t>OzL.Pro</w:t>
    </w:r>
    <w:proofErr w:type="spellEnd"/>
    <w:r w:rsidR="00DC0423">
      <w:t>/</w:t>
    </w:r>
    <w:proofErr w:type="spellStart"/>
    <w:r w:rsidR="00DC0423">
      <w:t>ExCom</w:t>
    </w:r>
    <w:proofErr w:type="spellEnd"/>
    <w:r w:rsidR="00DC0423">
      <w:t>/85/40</w:t>
    </w:r>
    <w:r>
      <w:fldChar w:fldCharType="end"/>
    </w:r>
  </w:p>
  <w:p w14:paraId="525E2EA8" w14:textId="77777777" w:rsidR="00DC0423" w:rsidRPr="0033525D" w:rsidRDefault="00DC0423"/>
  <w:p w14:paraId="0230CE68" w14:textId="77777777" w:rsidR="00DC0423" w:rsidRPr="0033525D" w:rsidRDefault="00DC042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4562" w14:textId="23304CEB" w:rsidR="00DC0423" w:rsidRPr="0033525D" w:rsidRDefault="002203FE">
    <w:pPr>
      <w:jc w:val="right"/>
    </w:pPr>
    <w:r>
      <w:fldChar w:fldCharType="begin"/>
    </w:r>
    <w:r>
      <w:instrText xml:space="preserve"> DOCPROPERTY "Document number"  \* MERGEFORMAT </w:instrText>
    </w:r>
    <w:r>
      <w:fldChar w:fldCharType="separate"/>
    </w:r>
    <w:r w:rsidR="00DC0423">
      <w:t>UNEP/</w:t>
    </w:r>
    <w:proofErr w:type="spellStart"/>
    <w:r w:rsidR="00DC0423">
      <w:t>OzL.Pro</w:t>
    </w:r>
    <w:proofErr w:type="spellEnd"/>
    <w:r w:rsidR="00DC0423">
      <w:t>/</w:t>
    </w:r>
    <w:proofErr w:type="spellStart"/>
    <w:r w:rsidR="00DC0423">
      <w:t>ExCom</w:t>
    </w:r>
    <w:proofErr w:type="spellEnd"/>
    <w:r w:rsidR="00DC0423">
      <w:t>/85/40</w:t>
    </w:r>
    <w:r>
      <w:fldChar w:fldCharType="end"/>
    </w:r>
  </w:p>
  <w:p w14:paraId="183D8A69" w14:textId="77777777" w:rsidR="00DC0423" w:rsidRPr="0033525D" w:rsidRDefault="00DC0423"/>
  <w:p w14:paraId="0BF38E67" w14:textId="77777777" w:rsidR="00DC0423" w:rsidRPr="0033525D" w:rsidRDefault="00DC0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2221120"/>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2D77DE0"/>
    <w:multiLevelType w:val="hybridMultilevel"/>
    <w:tmpl w:val="7AC450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7"/>
  </w:num>
  <w:num w:numId="20">
    <w:abstractNumId w:val="13"/>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D54581"/>
    <w:rsid w:val="00000FED"/>
    <w:rsid w:val="0000434E"/>
    <w:rsid w:val="00004831"/>
    <w:rsid w:val="00014472"/>
    <w:rsid w:val="000211A9"/>
    <w:rsid w:val="00031260"/>
    <w:rsid w:val="0003681A"/>
    <w:rsid w:val="000372B7"/>
    <w:rsid w:val="0004435E"/>
    <w:rsid w:val="00052D7D"/>
    <w:rsid w:val="0005709F"/>
    <w:rsid w:val="00061EC2"/>
    <w:rsid w:val="00067A32"/>
    <w:rsid w:val="00080621"/>
    <w:rsid w:val="00080ED0"/>
    <w:rsid w:val="00085B8F"/>
    <w:rsid w:val="00087561"/>
    <w:rsid w:val="00090481"/>
    <w:rsid w:val="000A18B6"/>
    <w:rsid w:val="000A59FB"/>
    <w:rsid w:val="000A6C26"/>
    <w:rsid w:val="000A7C59"/>
    <w:rsid w:val="000B375B"/>
    <w:rsid w:val="000D52A4"/>
    <w:rsid w:val="000D6479"/>
    <w:rsid w:val="000E07BC"/>
    <w:rsid w:val="000E11A9"/>
    <w:rsid w:val="000E31CD"/>
    <w:rsid w:val="000E518C"/>
    <w:rsid w:val="000F1CD4"/>
    <w:rsid w:val="000F1D07"/>
    <w:rsid w:val="000F3BDE"/>
    <w:rsid w:val="000F4103"/>
    <w:rsid w:val="000F5970"/>
    <w:rsid w:val="000F70A7"/>
    <w:rsid w:val="0010711E"/>
    <w:rsid w:val="00110634"/>
    <w:rsid w:val="00113CCA"/>
    <w:rsid w:val="00122F25"/>
    <w:rsid w:val="00125084"/>
    <w:rsid w:val="00135980"/>
    <w:rsid w:val="00144682"/>
    <w:rsid w:val="001501F6"/>
    <w:rsid w:val="00154224"/>
    <w:rsid w:val="001557FC"/>
    <w:rsid w:val="00162F53"/>
    <w:rsid w:val="00164719"/>
    <w:rsid w:val="00166FC4"/>
    <w:rsid w:val="001677AC"/>
    <w:rsid w:val="00173A3C"/>
    <w:rsid w:val="001804EA"/>
    <w:rsid w:val="001838C7"/>
    <w:rsid w:val="0018684A"/>
    <w:rsid w:val="00187023"/>
    <w:rsid w:val="00190A61"/>
    <w:rsid w:val="00190B99"/>
    <w:rsid w:val="001A3342"/>
    <w:rsid w:val="001A3E3D"/>
    <w:rsid w:val="001A7049"/>
    <w:rsid w:val="001A7BD5"/>
    <w:rsid w:val="001B1E40"/>
    <w:rsid w:val="001C19F3"/>
    <w:rsid w:val="001C570B"/>
    <w:rsid w:val="001C764E"/>
    <w:rsid w:val="001E1052"/>
    <w:rsid w:val="001E21B1"/>
    <w:rsid w:val="001E2F93"/>
    <w:rsid w:val="001E61E5"/>
    <w:rsid w:val="001F1328"/>
    <w:rsid w:val="001F20D8"/>
    <w:rsid w:val="001F2159"/>
    <w:rsid w:val="001F5147"/>
    <w:rsid w:val="00203822"/>
    <w:rsid w:val="00204273"/>
    <w:rsid w:val="00204956"/>
    <w:rsid w:val="00214863"/>
    <w:rsid w:val="002156B4"/>
    <w:rsid w:val="002203FE"/>
    <w:rsid w:val="00220973"/>
    <w:rsid w:val="0023766A"/>
    <w:rsid w:val="00247844"/>
    <w:rsid w:val="00253222"/>
    <w:rsid w:val="00262847"/>
    <w:rsid w:val="0027040F"/>
    <w:rsid w:val="002763FC"/>
    <w:rsid w:val="00276690"/>
    <w:rsid w:val="00276BAF"/>
    <w:rsid w:val="00281BB2"/>
    <w:rsid w:val="00285DB2"/>
    <w:rsid w:val="002943A6"/>
    <w:rsid w:val="002B5483"/>
    <w:rsid w:val="002B6A9E"/>
    <w:rsid w:val="002B72E9"/>
    <w:rsid w:val="002C7998"/>
    <w:rsid w:val="002D2FCF"/>
    <w:rsid w:val="002E26AC"/>
    <w:rsid w:val="002F1E53"/>
    <w:rsid w:val="002F2CAA"/>
    <w:rsid w:val="002F3C12"/>
    <w:rsid w:val="0030052C"/>
    <w:rsid w:val="00310603"/>
    <w:rsid w:val="00320A5A"/>
    <w:rsid w:val="003306E1"/>
    <w:rsid w:val="003320E4"/>
    <w:rsid w:val="0033525D"/>
    <w:rsid w:val="003402C9"/>
    <w:rsid w:val="00340D36"/>
    <w:rsid w:val="0034113A"/>
    <w:rsid w:val="003414F3"/>
    <w:rsid w:val="0035613E"/>
    <w:rsid w:val="00356AEF"/>
    <w:rsid w:val="0036293E"/>
    <w:rsid w:val="00363EE9"/>
    <w:rsid w:val="00376128"/>
    <w:rsid w:val="0037742E"/>
    <w:rsid w:val="00377D56"/>
    <w:rsid w:val="0038245A"/>
    <w:rsid w:val="003839DD"/>
    <w:rsid w:val="00383C9C"/>
    <w:rsid w:val="003840E6"/>
    <w:rsid w:val="00385CFC"/>
    <w:rsid w:val="0039337A"/>
    <w:rsid w:val="00397175"/>
    <w:rsid w:val="003A3189"/>
    <w:rsid w:val="003A3CA7"/>
    <w:rsid w:val="003A4501"/>
    <w:rsid w:val="003A4F3E"/>
    <w:rsid w:val="003B33BD"/>
    <w:rsid w:val="003B569D"/>
    <w:rsid w:val="003B7A45"/>
    <w:rsid w:val="003C3C0E"/>
    <w:rsid w:val="003D117C"/>
    <w:rsid w:val="003D42A6"/>
    <w:rsid w:val="003D4FAC"/>
    <w:rsid w:val="003E5A53"/>
    <w:rsid w:val="003E5CB1"/>
    <w:rsid w:val="003E64EC"/>
    <w:rsid w:val="003E7906"/>
    <w:rsid w:val="003F3C50"/>
    <w:rsid w:val="00401631"/>
    <w:rsid w:val="00401EEE"/>
    <w:rsid w:val="00403913"/>
    <w:rsid w:val="00405B8F"/>
    <w:rsid w:val="00406A6A"/>
    <w:rsid w:val="00406B22"/>
    <w:rsid w:val="00425491"/>
    <w:rsid w:val="00426DF2"/>
    <w:rsid w:val="00427C04"/>
    <w:rsid w:val="004328A7"/>
    <w:rsid w:val="00434C74"/>
    <w:rsid w:val="00437C89"/>
    <w:rsid w:val="00454D53"/>
    <w:rsid w:val="00456EB4"/>
    <w:rsid w:val="00460AD9"/>
    <w:rsid w:val="004658DC"/>
    <w:rsid w:val="00466043"/>
    <w:rsid w:val="004679EE"/>
    <w:rsid w:val="004718F3"/>
    <w:rsid w:val="00475040"/>
    <w:rsid w:val="00477880"/>
    <w:rsid w:val="00486FC7"/>
    <w:rsid w:val="004920E6"/>
    <w:rsid w:val="004927F7"/>
    <w:rsid w:val="00493D40"/>
    <w:rsid w:val="004967B6"/>
    <w:rsid w:val="004A504B"/>
    <w:rsid w:val="004A5B6D"/>
    <w:rsid w:val="004A6911"/>
    <w:rsid w:val="004B54E0"/>
    <w:rsid w:val="004B7384"/>
    <w:rsid w:val="004C2DC8"/>
    <w:rsid w:val="004C4269"/>
    <w:rsid w:val="004C5213"/>
    <w:rsid w:val="004D6236"/>
    <w:rsid w:val="004D7F90"/>
    <w:rsid w:val="004E2ACC"/>
    <w:rsid w:val="004E4DBB"/>
    <w:rsid w:val="004E4E41"/>
    <w:rsid w:val="004E67F5"/>
    <w:rsid w:val="004E7F9C"/>
    <w:rsid w:val="004F0FC0"/>
    <w:rsid w:val="004F3493"/>
    <w:rsid w:val="004F5143"/>
    <w:rsid w:val="004F6A69"/>
    <w:rsid w:val="0050650C"/>
    <w:rsid w:val="005129AE"/>
    <w:rsid w:val="00512B09"/>
    <w:rsid w:val="00513095"/>
    <w:rsid w:val="0052173B"/>
    <w:rsid w:val="00526F50"/>
    <w:rsid w:val="00533796"/>
    <w:rsid w:val="00537343"/>
    <w:rsid w:val="005413F4"/>
    <w:rsid w:val="005446D7"/>
    <w:rsid w:val="00544D29"/>
    <w:rsid w:val="0055062A"/>
    <w:rsid w:val="00555D75"/>
    <w:rsid w:val="00560DF0"/>
    <w:rsid w:val="00562CC1"/>
    <w:rsid w:val="005635DC"/>
    <w:rsid w:val="0056759C"/>
    <w:rsid w:val="005758B2"/>
    <w:rsid w:val="00580F90"/>
    <w:rsid w:val="005836F5"/>
    <w:rsid w:val="00594F63"/>
    <w:rsid w:val="0059513E"/>
    <w:rsid w:val="005B39D0"/>
    <w:rsid w:val="005B48FF"/>
    <w:rsid w:val="005C0A6A"/>
    <w:rsid w:val="005C3B91"/>
    <w:rsid w:val="005C715A"/>
    <w:rsid w:val="005D678C"/>
    <w:rsid w:val="005E4A26"/>
    <w:rsid w:val="005E6BBA"/>
    <w:rsid w:val="005F063F"/>
    <w:rsid w:val="005F60EF"/>
    <w:rsid w:val="005F673C"/>
    <w:rsid w:val="005F6ED0"/>
    <w:rsid w:val="00601C49"/>
    <w:rsid w:val="00604C15"/>
    <w:rsid w:val="006063BB"/>
    <w:rsid w:val="00607630"/>
    <w:rsid w:val="006118EC"/>
    <w:rsid w:val="006158D5"/>
    <w:rsid w:val="00617249"/>
    <w:rsid w:val="0061752E"/>
    <w:rsid w:val="00625D83"/>
    <w:rsid w:val="00631A39"/>
    <w:rsid w:val="00634E5C"/>
    <w:rsid w:val="0064195E"/>
    <w:rsid w:val="006469EB"/>
    <w:rsid w:val="00654A1C"/>
    <w:rsid w:val="00656DC8"/>
    <w:rsid w:val="006609C0"/>
    <w:rsid w:val="006623E7"/>
    <w:rsid w:val="00662B80"/>
    <w:rsid w:val="00662B95"/>
    <w:rsid w:val="00663E8B"/>
    <w:rsid w:val="00670F6C"/>
    <w:rsid w:val="00673993"/>
    <w:rsid w:val="00683629"/>
    <w:rsid w:val="006852C7"/>
    <w:rsid w:val="006852CE"/>
    <w:rsid w:val="006C1727"/>
    <w:rsid w:val="006C26EF"/>
    <w:rsid w:val="006C32FD"/>
    <w:rsid w:val="006C39CE"/>
    <w:rsid w:val="006C6A2C"/>
    <w:rsid w:val="006C75ED"/>
    <w:rsid w:val="006D0FCC"/>
    <w:rsid w:val="006D6DA8"/>
    <w:rsid w:val="006E1FC3"/>
    <w:rsid w:val="006E2A79"/>
    <w:rsid w:val="00702561"/>
    <w:rsid w:val="007044D7"/>
    <w:rsid w:val="0070616B"/>
    <w:rsid w:val="00706FDA"/>
    <w:rsid w:val="00711F9A"/>
    <w:rsid w:val="00713810"/>
    <w:rsid w:val="00716C9A"/>
    <w:rsid w:val="007303A5"/>
    <w:rsid w:val="00730B3E"/>
    <w:rsid w:val="0073113A"/>
    <w:rsid w:val="0073420B"/>
    <w:rsid w:val="0074760E"/>
    <w:rsid w:val="007503B8"/>
    <w:rsid w:val="0075384B"/>
    <w:rsid w:val="00754ABA"/>
    <w:rsid w:val="00755295"/>
    <w:rsid w:val="007560E3"/>
    <w:rsid w:val="00756116"/>
    <w:rsid w:val="00776DA8"/>
    <w:rsid w:val="0078459F"/>
    <w:rsid w:val="0079402D"/>
    <w:rsid w:val="007946BE"/>
    <w:rsid w:val="007A1546"/>
    <w:rsid w:val="007A228C"/>
    <w:rsid w:val="007A2ADF"/>
    <w:rsid w:val="007A368E"/>
    <w:rsid w:val="007A547E"/>
    <w:rsid w:val="007A5868"/>
    <w:rsid w:val="007B04CE"/>
    <w:rsid w:val="007B1E3B"/>
    <w:rsid w:val="007B2FFE"/>
    <w:rsid w:val="007B6871"/>
    <w:rsid w:val="007B7A2F"/>
    <w:rsid w:val="007C3D33"/>
    <w:rsid w:val="007C6FBE"/>
    <w:rsid w:val="007D294A"/>
    <w:rsid w:val="007D47D2"/>
    <w:rsid w:val="007D6EC0"/>
    <w:rsid w:val="007D7E1D"/>
    <w:rsid w:val="007F7870"/>
    <w:rsid w:val="007F7A1C"/>
    <w:rsid w:val="00805920"/>
    <w:rsid w:val="008064AB"/>
    <w:rsid w:val="00817ADC"/>
    <w:rsid w:val="00831979"/>
    <w:rsid w:val="008319D0"/>
    <w:rsid w:val="00843E17"/>
    <w:rsid w:val="00851352"/>
    <w:rsid w:val="00855847"/>
    <w:rsid w:val="00857077"/>
    <w:rsid w:val="00857492"/>
    <w:rsid w:val="00863230"/>
    <w:rsid w:val="00870CC8"/>
    <w:rsid w:val="008717D8"/>
    <w:rsid w:val="0087215C"/>
    <w:rsid w:val="00880E35"/>
    <w:rsid w:val="0088627F"/>
    <w:rsid w:val="008875FE"/>
    <w:rsid w:val="00887F8E"/>
    <w:rsid w:val="00891D1A"/>
    <w:rsid w:val="00896234"/>
    <w:rsid w:val="00897A78"/>
    <w:rsid w:val="00897E43"/>
    <w:rsid w:val="008A0D4A"/>
    <w:rsid w:val="008A48F5"/>
    <w:rsid w:val="008A77A0"/>
    <w:rsid w:val="008C5738"/>
    <w:rsid w:val="008C6D2F"/>
    <w:rsid w:val="008C6D92"/>
    <w:rsid w:val="008C7EAD"/>
    <w:rsid w:val="008D0CFE"/>
    <w:rsid w:val="008D6152"/>
    <w:rsid w:val="008F0F81"/>
    <w:rsid w:val="008F27BF"/>
    <w:rsid w:val="00907CB2"/>
    <w:rsid w:val="00907F07"/>
    <w:rsid w:val="009142EC"/>
    <w:rsid w:val="009154C3"/>
    <w:rsid w:val="00920700"/>
    <w:rsid w:val="00922B40"/>
    <w:rsid w:val="00923540"/>
    <w:rsid w:val="0092542B"/>
    <w:rsid w:val="00926767"/>
    <w:rsid w:val="009361D5"/>
    <w:rsid w:val="009428A4"/>
    <w:rsid w:val="00954CE0"/>
    <w:rsid w:val="009659F4"/>
    <w:rsid w:val="00970D60"/>
    <w:rsid w:val="00981A3B"/>
    <w:rsid w:val="00983B60"/>
    <w:rsid w:val="00986B17"/>
    <w:rsid w:val="00991DF8"/>
    <w:rsid w:val="009960E5"/>
    <w:rsid w:val="0099652F"/>
    <w:rsid w:val="009A7ADC"/>
    <w:rsid w:val="009C07D2"/>
    <w:rsid w:val="009C19B7"/>
    <w:rsid w:val="009C2E94"/>
    <w:rsid w:val="009C31FD"/>
    <w:rsid w:val="009C5ABB"/>
    <w:rsid w:val="009D10CA"/>
    <w:rsid w:val="009D5F97"/>
    <w:rsid w:val="009D7C51"/>
    <w:rsid w:val="009D7C75"/>
    <w:rsid w:val="009D7D48"/>
    <w:rsid w:val="009E196C"/>
    <w:rsid w:val="009E5E4A"/>
    <w:rsid w:val="009F2262"/>
    <w:rsid w:val="009F3268"/>
    <w:rsid w:val="009F36BF"/>
    <w:rsid w:val="009F4753"/>
    <w:rsid w:val="00A0412F"/>
    <w:rsid w:val="00A0555C"/>
    <w:rsid w:val="00A111B6"/>
    <w:rsid w:val="00A26D27"/>
    <w:rsid w:val="00A3753F"/>
    <w:rsid w:val="00A376EE"/>
    <w:rsid w:val="00A42A99"/>
    <w:rsid w:val="00A5151A"/>
    <w:rsid w:val="00A57E0A"/>
    <w:rsid w:val="00A601FE"/>
    <w:rsid w:val="00A617A8"/>
    <w:rsid w:val="00A628AC"/>
    <w:rsid w:val="00A70741"/>
    <w:rsid w:val="00A725D8"/>
    <w:rsid w:val="00A742EA"/>
    <w:rsid w:val="00A823F6"/>
    <w:rsid w:val="00A867B3"/>
    <w:rsid w:val="00A8719E"/>
    <w:rsid w:val="00A9086E"/>
    <w:rsid w:val="00AA0A89"/>
    <w:rsid w:val="00AA6429"/>
    <w:rsid w:val="00AA7A26"/>
    <w:rsid w:val="00AB2C22"/>
    <w:rsid w:val="00AC01AA"/>
    <w:rsid w:val="00AC4F72"/>
    <w:rsid w:val="00AD3932"/>
    <w:rsid w:val="00AD47C5"/>
    <w:rsid w:val="00AE3F0B"/>
    <w:rsid w:val="00AE7E08"/>
    <w:rsid w:val="00AF300D"/>
    <w:rsid w:val="00AF5A13"/>
    <w:rsid w:val="00AF741A"/>
    <w:rsid w:val="00B01ADB"/>
    <w:rsid w:val="00B04161"/>
    <w:rsid w:val="00B056F9"/>
    <w:rsid w:val="00B11E3D"/>
    <w:rsid w:val="00B13DCF"/>
    <w:rsid w:val="00B17E82"/>
    <w:rsid w:val="00B2046A"/>
    <w:rsid w:val="00B229B6"/>
    <w:rsid w:val="00B30287"/>
    <w:rsid w:val="00B37A83"/>
    <w:rsid w:val="00B443E3"/>
    <w:rsid w:val="00B4575A"/>
    <w:rsid w:val="00B545D8"/>
    <w:rsid w:val="00B575BA"/>
    <w:rsid w:val="00B623F9"/>
    <w:rsid w:val="00B70C0F"/>
    <w:rsid w:val="00B71B7E"/>
    <w:rsid w:val="00B76429"/>
    <w:rsid w:val="00B86E25"/>
    <w:rsid w:val="00B930B6"/>
    <w:rsid w:val="00B956D4"/>
    <w:rsid w:val="00B97446"/>
    <w:rsid w:val="00BA4563"/>
    <w:rsid w:val="00BA7432"/>
    <w:rsid w:val="00BB1182"/>
    <w:rsid w:val="00BB50FD"/>
    <w:rsid w:val="00BC0478"/>
    <w:rsid w:val="00BC1AA0"/>
    <w:rsid w:val="00BC2495"/>
    <w:rsid w:val="00BC79D3"/>
    <w:rsid w:val="00BC7EB9"/>
    <w:rsid w:val="00BD0151"/>
    <w:rsid w:val="00BD2643"/>
    <w:rsid w:val="00BD4F10"/>
    <w:rsid w:val="00BD56B1"/>
    <w:rsid w:val="00BD6558"/>
    <w:rsid w:val="00BD7BA1"/>
    <w:rsid w:val="00BE1876"/>
    <w:rsid w:val="00BE2540"/>
    <w:rsid w:val="00BE380D"/>
    <w:rsid w:val="00BE5244"/>
    <w:rsid w:val="00BF2F76"/>
    <w:rsid w:val="00BF3022"/>
    <w:rsid w:val="00BF3214"/>
    <w:rsid w:val="00BF5573"/>
    <w:rsid w:val="00C15867"/>
    <w:rsid w:val="00C21C44"/>
    <w:rsid w:val="00C2296D"/>
    <w:rsid w:val="00C22A17"/>
    <w:rsid w:val="00C23155"/>
    <w:rsid w:val="00C40C41"/>
    <w:rsid w:val="00C45885"/>
    <w:rsid w:val="00C47DB8"/>
    <w:rsid w:val="00C50DA1"/>
    <w:rsid w:val="00C50F22"/>
    <w:rsid w:val="00C57971"/>
    <w:rsid w:val="00C65BD7"/>
    <w:rsid w:val="00C76BA4"/>
    <w:rsid w:val="00C81D4B"/>
    <w:rsid w:val="00C83A48"/>
    <w:rsid w:val="00C85865"/>
    <w:rsid w:val="00C85E2B"/>
    <w:rsid w:val="00C85E85"/>
    <w:rsid w:val="00C93B3E"/>
    <w:rsid w:val="00CA2EAE"/>
    <w:rsid w:val="00CA4AC1"/>
    <w:rsid w:val="00CB0316"/>
    <w:rsid w:val="00CB0B11"/>
    <w:rsid w:val="00CB20CF"/>
    <w:rsid w:val="00CB49FF"/>
    <w:rsid w:val="00CB5354"/>
    <w:rsid w:val="00CC3C9E"/>
    <w:rsid w:val="00CC60A3"/>
    <w:rsid w:val="00CC6A14"/>
    <w:rsid w:val="00CC70A3"/>
    <w:rsid w:val="00CD1C40"/>
    <w:rsid w:val="00CD4442"/>
    <w:rsid w:val="00CD53C3"/>
    <w:rsid w:val="00CD574E"/>
    <w:rsid w:val="00CE4C22"/>
    <w:rsid w:val="00CE7EC4"/>
    <w:rsid w:val="00CF41EC"/>
    <w:rsid w:val="00CF594B"/>
    <w:rsid w:val="00CF5D04"/>
    <w:rsid w:val="00D036F9"/>
    <w:rsid w:val="00D04DE4"/>
    <w:rsid w:val="00D063F1"/>
    <w:rsid w:val="00D14F22"/>
    <w:rsid w:val="00D204F0"/>
    <w:rsid w:val="00D35E20"/>
    <w:rsid w:val="00D376DC"/>
    <w:rsid w:val="00D43ABB"/>
    <w:rsid w:val="00D4741C"/>
    <w:rsid w:val="00D525DC"/>
    <w:rsid w:val="00D53925"/>
    <w:rsid w:val="00D54581"/>
    <w:rsid w:val="00D57918"/>
    <w:rsid w:val="00D65E30"/>
    <w:rsid w:val="00D70C7C"/>
    <w:rsid w:val="00D73DC6"/>
    <w:rsid w:val="00D74C1A"/>
    <w:rsid w:val="00D754C1"/>
    <w:rsid w:val="00D77393"/>
    <w:rsid w:val="00D77A35"/>
    <w:rsid w:val="00D81B3E"/>
    <w:rsid w:val="00D853C3"/>
    <w:rsid w:val="00D90C70"/>
    <w:rsid w:val="00D90E49"/>
    <w:rsid w:val="00D96ADE"/>
    <w:rsid w:val="00DA0CE2"/>
    <w:rsid w:val="00DA7C94"/>
    <w:rsid w:val="00DB28EF"/>
    <w:rsid w:val="00DB73C5"/>
    <w:rsid w:val="00DC0423"/>
    <w:rsid w:val="00DC19E1"/>
    <w:rsid w:val="00DC213C"/>
    <w:rsid w:val="00DC50CE"/>
    <w:rsid w:val="00DC6A10"/>
    <w:rsid w:val="00DD10ED"/>
    <w:rsid w:val="00DD4D22"/>
    <w:rsid w:val="00DE2E0A"/>
    <w:rsid w:val="00DE657E"/>
    <w:rsid w:val="00DF2CA3"/>
    <w:rsid w:val="00DF4704"/>
    <w:rsid w:val="00DF72F6"/>
    <w:rsid w:val="00DF7A02"/>
    <w:rsid w:val="00E00D54"/>
    <w:rsid w:val="00E00E39"/>
    <w:rsid w:val="00E024AA"/>
    <w:rsid w:val="00E042E2"/>
    <w:rsid w:val="00E0679F"/>
    <w:rsid w:val="00E0782C"/>
    <w:rsid w:val="00E2412E"/>
    <w:rsid w:val="00E250F1"/>
    <w:rsid w:val="00E3550D"/>
    <w:rsid w:val="00E36793"/>
    <w:rsid w:val="00E41065"/>
    <w:rsid w:val="00E41E3B"/>
    <w:rsid w:val="00E614E0"/>
    <w:rsid w:val="00E6383C"/>
    <w:rsid w:val="00E71B5A"/>
    <w:rsid w:val="00E73F7F"/>
    <w:rsid w:val="00E82357"/>
    <w:rsid w:val="00E85409"/>
    <w:rsid w:val="00E92766"/>
    <w:rsid w:val="00E93077"/>
    <w:rsid w:val="00E9731A"/>
    <w:rsid w:val="00EA2149"/>
    <w:rsid w:val="00EA429F"/>
    <w:rsid w:val="00EA4AB9"/>
    <w:rsid w:val="00EA4F9E"/>
    <w:rsid w:val="00EA63CA"/>
    <w:rsid w:val="00EA6D3B"/>
    <w:rsid w:val="00EB00AD"/>
    <w:rsid w:val="00EB0680"/>
    <w:rsid w:val="00EB136C"/>
    <w:rsid w:val="00EB2280"/>
    <w:rsid w:val="00EB480E"/>
    <w:rsid w:val="00EB5EC6"/>
    <w:rsid w:val="00EB7FC9"/>
    <w:rsid w:val="00ED27E8"/>
    <w:rsid w:val="00ED7137"/>
    <w:rsid w:val="00F11451"/>
    <w:rsid w:val="00F13275"/>
    <w:rsid w:val="00F205F9"/>
    <w:rsid w:val="00F21088"/>
    <w:rsid w:val="00F327E7"/>
    <w:rsid w:val="00F34325"/>
    <w:rsid w:val="00F35746"/>
    <w:rsid w:val="00F447C7"/>
    <w:rsid w:val="00F5211B"/>
    <w:rsid w:val="00F554A9"/>
    <w:rsid w:val="00F6195F"/>
    <w:rsid w:val="00F62491"/>
    <w:rsid w:val="00F716FD"/>
    <w:rsid w:val="00F719C0"/>
    <w:rsid w:val="00F73BBA"/>
    <w:rsid w:val="00F74118"/>
    <w:rsid w:val="00F75EB9"/>
    <w:rsid w:val="00F80355"/>
    <w:rsid w:val="00F8323D"/>
    <w:rsid w:val="00F87C43"/>
    <w:rsid w:val="00F87C7F"/>
    <w:rsid w:val="00F87F25"/>
    <w:rsid w:val="00F93B42"/>
    <w:rsid w:val="00FB0C81"/>
    <w:rsid w:val="00FB64EA"/>
    <w:rsid w:val="00FC2200"/>
    <w:rsid w:val="00FC2540"/>
    <w:rsid w:val="00FD2DD7"/>
    <w:rsid w:val="00FE3EDF"/>
    <w:rsid w:val="00FF0204"/>
    <w:rsid w:val="00FF2CB5"/>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38845"/>
  <w15:docId w15:val="{0028AE6D-1444-41B9-8DF3-00E3F28A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D54581"/>
    <w:pPr>
      <w:ind w:left="720"/>
      <w:contextualSpacing/>
    </w:pPr>
  </w:style>
  <w:style w:type="paragraph" w:styleId="FootnoteText">
    <w:name w:val="footnote text"/>
    <w:basedOn w:val="Normal"/>
    <w:link w:val="FootnoteTextChar"/>
    <w:uiPriority w:val="99"/>
    <w:semiHidden/>
    <w:unhideWhenUsed/>
    <w:rsid w:val="00D54581"/>
    <w:rPr>
      <w:sz w:val="20"/>
      <w:szCs w:val="20"/>
    </w:rPr>
  </w:style>
  <w:style w:type="character" w:customStyle="1" w:styleId="FootnoteTextChar">
    <w:name w:val="Footnote Text Char"/>
    <w:basedOn w:val="DefaultParagraphFont"/>
    <w:link w:val="FootnoteText"/>
    <w:uiPriority w:val="99"/>
    <w:semiHidden/>
    <w:rsid w:val="00D54581"/>
    <w:rPr>
      <w:lang w:val="en-GB"/>
    </w:rPr>
  </w:style>
  <w:style w:type="character" w:styleId="FootnoteReference">
    <w:name w:val="footnote reference"/>
    <w:basedOn w:val="DefaultParagraphFont"/>
    <w:uiPriority w:val="99"/>
    <w:semiHidden/>
    <w:unhideWhenUsed/>
    <w:rsid w:val="00D54581"/>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B930B6"/>
    <w:rPr>
      <w:sz w:val="22"/>
      <w:szCs w:val="22"/>
      <w:lang w:val="en-GB"/>
    </w:rPr>
  </w:style>
  <w:style w:type="paragraph" w:styleId="Revision">
    <w:name w:val="Revision"/>
    <w:hidden/>
    <w:uiPriority w:val="99"/>
    <w:semiHidden/>
    <w:rsid w:val="00544D29"/>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2204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3051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C4716D3F019F488CE3B89D33B3E908" ma:contentTypeVersion="4" ma:contentTypeDescription="Create a new document." ma:contentTypeScope="" ma:versionID="45a0c8b828b22e603891381e90c22e1a">
  <xsd:schema xmlns:xsd="http://www.w3.org/2001/XMLSchema" xmlns:p="http://schemas.microsoft.com/office/2006/metadata/properties" xmlns:ns2="6b03d5a6-c642-4a08-93b6-965b66bfac2e" xmlns:ns3="64e33b30-101d-41de-b951-961aab25ea29" targetNamespace="http://schemas.microsoft.com/office/2006/metadata/properties" ma:root="true" ma:fieldsID="9ea923941b472cb1f56ee2421d6b039b"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UNEP/OzL.Pro/ExCom/85/40</Document_x0020_Number>
    <DocumentType xmlns="64e33b30-101d-41de-b951-961aab25ea29">Pre-session</DocumentType>
  </documentManagement>
</p:properties>
</file>

<file path=customXml/itemProps1.xml><?xml version="1.0" encoding="utf-8"?>
<ds:datastoreItem xmlns:ds="http://schemas.openxmlformats.org/officeDocument/2006/customXml" ds:itemID="{961D6DE2-5B54-4E6E-86D4-DB5CB6BEF869}"/>
</file>

<file path=customXml/itemProps2.xml><?xml version="1.0" encoding="utf-8"?>
<ds:datastoreItem xmlns:ds="http://schemas.openxmlformats.org/officeDocument/2006/customXml" ds:itemID="{26257030-8CA7-49C8-A9A9-C3EAD6800B0C}"/>
</file>

<file path=customXml/itemProps3.xml><?xml version="1.0" encoding="utf-8"?>
<ds:datastoreItem xmlns:ds="http://schemas.openxmlformats.org/officeDocument/2006/customXml" ds:itemID="{DA40B1AE-1364-4574-BFFC-8B0AC86A8DEB}"/>
</file>

<file path=customXml/itemProps4.xml><?xml version="1.0" encoding="utf-8"?>
<ds:datastoreItem xmlns:ds="http://schemas.openxmlformats.org/officeDocument/2006/customXml" ds:itemID="{9A9D8F2E-BEF7-4D42-A4EC-0E423E62F650}"/>
</file>

<file path=docProps/app.xml><?xml version="1.0" encoding="utf-8"?>
<Properties xmlns="http://schemas.openxmlformats.org/officeDocument/2006/extended-properties" xmlns:vt="http://schemas.openxmlformats.org/officeDocument/2006/docPropsVTypes">
  <Template>Normal</Template>
  <TotalTime>0</TotalTime>
  <Pages>9</Pages>
  <Words>3449</Words>
  <Characters>18700</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Project proposal: Panama</vt:lpstr>
    </vt:vector>
  </TitlesOfParts>
  <Company>UNMFS</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Panama</dc:title>
  <dc:creator>Dominika Anna Suwik</dc:creator>
  <cp:keywords>85th</cp:keywords>
  <cp:lastModifiedBy>Dominika Anna Suwik</cp:lastModifiedBy>
  <cp:revision>2</cp:revision>
  <cp:lastPrinted>2001-05-26T16:40:00Z</cp:lastPrinted>
  <dcterms:created xsi:type="dcterms:W3CDTF">2020-04-28T20:14:00Z</dcterms:created>
  <dcterms:modified xsi:type="dcterms:W3CDTF">2020-04-28T20:14:00Z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UNEP/OzL.Pro/ExCom/85/40</vt:lpwstr>
  </property>
  <property fmtid="{D5CDD505-2E9C-101B-9397-08002B2CF9AE}" pid="3" name="Revision date">
    <vt:lpwstr>04/28/2020</vt:lpwstr>
  </property>
  <property fmtid="{D5CDD505-2E9C-101B-9397-08002B2CF9AE}" pid="4" name="ContentTypeId">
    <vt:lpwstr>0x0101005EC4716D3F019F488CE3B89D33B3E908</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