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AC107A" w:rsidRPr="00AC107A" w14:paraId="688EBED8" w14:textId="77777777" w:rsidTr="004D5FDF">
        <w:trPr>
          <w:trHeight w:val="720"/>
        </w:trPr>
        <w:tc>
          <w:tcPr>
            <w:tcW w:w="5490" w:type="dxa"/>
            <w:gridSpan w:val="2"/>
            <w:tcBorders>
              <w:bottom w:val="single" w:sz="18" w:space="0" w:color="auto"/>
            </w:tcBorders>
          </w:tcPr>
          <w:p w14:paraId="1A4FAD9D" w14:textId="77777777" w:rsidR="00C15867" w:rsidRPr="00AC107A" w:rsidRDefault="00C15867" w:rsidP="004D5FD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AC107A">
              <w:rPr>
                <w:rFonts w:ascii="Univers" w:hAnsi="Univers"/>
                <w:b/>
                <w:sz w:val="28"/>
                <w:szCs w:val="28"/>
                <w:lang w:val="en-CA"/>
              </w:rPr>
              <w:t>UNITED</w:t>
            </w:r>
            <w:r w:rsidRPr="00AC107A">
              <w:rPr>
                <w:rFonts w:ascii="Univers" w:hAnsi="Univers"/>
                <w:b/>
                <w:sz w:val="28"/>
                <w:szCs w:val="28"/>
                <w:lang w:val="en-CA"/>
              </w:rPr>
              <w:br/>
              <w:t>NATIONS</w:t>
            </w:r>
          </w:p>
        </w:tc>
        <w:tc>
          <w:tcPr>
            <w:tcW w:w="4590" w:type="dxa"/>
            <w:tcBorders>
              <w:bottom w:val="single" w:sz="18" w:space="0" w:color="auto"/>
            </w:tcBorders>
          </w:tcPr>
          <w:p w14:paraId="7DC42364" w14:textId="77777777" w:rsidR="00C15867" w:rsidRPr="00AC107A" w:rsidRDefault="00C15867" w:rsidP="004D5FDF">
            <w:pPr>
              <w:jc w:val="right"/>
              <w:rPr>
                <w:sz w:val="52"/>
                <w:szCs w:val="52"/>
                <w:lang w:val="en-CA"/>
              </w:rPr>
            </w:pPr>
            <w:r w:rsidRPr="00AC107A">
              <w:rPr>
                <w:rFonts w:ascii="Univers Bold" w:hAnsi="Univers Bold"/>
                <w:b/>
                <w:sz w:val="72"/>
                <w:lang w:val="en-CA"/>
              </w:rPr>
              <w:t>EP</w:t>
            </w:r>
          </w:p>
        </w:tc>
      </w:tr>
      <w:tr w:rsidR="00AC107A" w:rsidRPr="00AC107A" w14:paraId="3FCD69A7" w14:textId="77777777" w:rsidTr="004D5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73C46B3" w14:textId="77777777" w:rsidR="00C15867" w:rsidRPr="00AC107A" w:rsidRDefault="00E52838" w:rsidP="004D5FDF">
            <w:pPr>
              <w:spacing w:before="120"/>
              <w:rPr>
                <w:lang w:val="en-CA"/>
              </w:rPr>
            </w:pPr>
            <w:r w:rsidRPr="00AC107A">
              <w:rPr>
                <w:noProof/>
                <w:lang w:val="en-US"/>
              </w:rPr>
              <mc:AlternateContent>
                <mc:Choice Requires="wpg">
                  <w:drawing>
                    <wp:anchor distT="0" distB="0" distL="114300" distR="114300" simplePos="0" relativeHeight="251660288" behindDoc="0" locked="0" layoutInCell="1" allowOverlap="1" wp14:anchorId="60FD5FA6" wp14:editId="734B4D8D">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1AC1B67D"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6E711FE2" w14:textId="77777777" w:rsidR="00C15867" w:rsidRPr="00AC107A" w:rsidRDefault="00C15867" w:rsidP="004D5FD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AC107A">
              <w:rPr>
                <w:rFonts w:ascii="Univers" w:hAnsi="Univers"/>
                <w:b/>
                <w:sz w:val="32"/>
                <w:lang w:val="en-CA"/>
              </w:rPr>
              <w:t>United Nations</w:t>
            </w:r>
          </w:p>
          <w:p w14:paraId="04E11FA9" w14:textId="77777777" w:rsidR="00C15867" w:rsidRPr="00AC107A" w:rsidRDefault="00C15867" w:rsidP="004D5FD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AC107A">
              <w:rPr>
                <w:rFonts w:ascii="Univers" w:hAnsi="Univers"/>
                <w:b/>
                <w:sz w:val="32"/>
                <w:lang w:val="en-CA"/>
              </w:rPr>
              <w:t>Environment</w:t>
            </w:r>
          </w:p>
          <w:p w14:paraId="4B8841ED" w14:textId="77777777" w:rsidR="00C15867" w:rsidRPr="00AC107A" w:rsidRDefault="00C15867" w:rsidP="004D5FD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AC107A">
              <w:rPr>
                <w:rFonts w:ascii="Univers" w:hAnsi="Univers"/>
                <w:b/>
                <w:sz w:val="32"/>
                <w:lang w:val="en-CA"/>
              </w:rPr>
              <w:t>Programme</w:t>
            </w:r>
          </w:p>
          <w:p w14:paraId="45560F64" w14:textId="77777777" w:rsidR="00C15867" w:rsidRPr="00AC107A" w:rsidRDefault="00C15867" w:rsidP="004D5FDF">
            <w:pPr>
              <w:spacing w:before="720"/>
              <w:ind w:left="158"/>
              <w:rPr>
                <w:lang w:val="en-CA"/>
              </w:rPr>
            </w:pPr>
          </w:p>
        </w:tc>
        <w:tc>
          <w:tcPr>
            <w:tcW w:w="4590" w:type="dxa"/>
            <w:tcBorders>
              <w:top w:val="nil"/>
              <w:left w:val="nil"/>
              <w:bottom w:val="single" w:sz="36" w:space="0" w:color="auto"/>
              <w:right w:val="nil"/>
            </w:tcBorders>
          </w:tcPr>
          <w:p w14:paraId="1199578E" w14:textId="77777777" w:rsidR="00C15867" w:rsidRPr="00AC107A" w:rsidRDefault="00C15867" w:rsidP="004D5FDF">
            <w:pPr>
              <w:rPr>
                <w:lang w:val="en-CA"/>
              </w:rPr>
            </w:pPr>
            <w:r w:rsidRPr="00AC107A">
              <w:rPr>
                <w:lang w:val="en-CA"/>
              </w:rPr>
              <w:t>Distr.</w:t>
            </w:r>
          </w:p>
          <w:p w14:paraId="42C0AF76" w14:textId="77777777" w:rsidR="00923540" w:rsidRPr="00AC107A" w:rsidRDefault="00923540" w:rsidP="00923540">
            <w:pPr>
              <w:rPr>
                <w:lang w:val="en-CA"/>
              </w:rPr>
            </w:pPr>
            <w:r w:rsidRPr="00AC107A">
              <w:rPr>
                <w:lang w:val="en-CA"/>
              </w:rPr>
              <w:t>GENERAL</w:t>
            </w:r>
          </w:p>
          <w:p w14:paraId="751829A4" w14:textId="77777777" w:rsidR="00C15867" w:rsidRPr="00AC107A" w:rsidRDefault="00C15867" w:rsidP="004D5FDF">
            <w:pPr>
              <w:rPr>
                <w:lang w:val="en-CA"/>
              </w:rPr>
            </w:pPr>
          </w:p>
          <w:p w14:paraId="3B02685F" w14:textId="77777777" w:rsidR="00C15867" w:rsidRPr="00AC107A" w:rsidRDefault="00C15867" w:rsidP="004D5FDF">
            <w:pPr>
              <w:rPr>
                <w:lang w:val="en-CA"/>
              </w:rPr>
            </w:pPr>
          </w:p>
          <w:p w14:paraId="666ADEA6" w14:textId="77777777" w:rsidR="00C15867" w:rsidRPr="00AC107A" w:rsidRDefault="00B156C5" w:rsidP="004D5FDF">
            <w:pPr>
              <w:rPr>
                <w:lang w:val="en-CA"/>
              </w:rPr>
            </w:pPr>
            <w:r w:rsidRPr="00AC107A">
              <w:rPr>
                <w:lang w:val="en-CA"/>
              </w:rPr>
              <w:fldChar w:fldCharType="begin"/>
            </w:r>
            <w:r w:rsidRPr="00AC107A">
              <w:rPr>
                <w:lang w:val="en-CA"/>
              </w:rPr>
              <w:instrText xml:space="preserve"> DOCPROPERTY "Document number"  \* MERGEFORMAT </w:instrText>
            </w:r>
            <w:r w:rsidRPr="00AC107A">
              <w:rPr>
                <w:lang w:val="en-CA"/>
              </w:rPr>
              <w:fldChar w:fldCharType="separate"/>
            </w:r>
            <w:r w:rsidR="009E1113" w:rsidRPr="00AC107A">
              <w:rPr>
                <w:lang w:val="en-CA"/>
              </w:rPr>
              <w:t>UNEP/</w:t>
            </w:r>
            <w:proofErr w:type="spellStart"/>
            <w:r w:rsidR="009E1113" w:rsidRPr="00AC107A">
              <w:rPr>
                <w:lang w:val="en-CA"/>
              </w:rPr>
              <w:t>OzL.Pro</w:t>
            </w:r>
            <w:proofErr w:type="spellEnd"/>
            <w:r w:rsidR="009E1113" w:rsidRPr="00AC107A">
              <w:rPr>
                <w:lang w:val="en-CA"/>
              </w:rPr>
              <w:t>/</w:t>
            </w:r>
            <w:proofErr w:type="spellStart"/>
            <w:r w:rsidR="009E1113" w:rsidRPr="00AC107A">
              <w:rPr>
                <w:lang w:val="en-CA"/>
              </w:rPr>
              <w:t>ExCom</w:t>
            </w:r>
            <w:proofErr w:type="spellEnd"/>
            <w:r w:rsidR="009E1113" w:rsidRPr="00AC107A">
              <w:rPr>
                <w:lang w:val="en-CA"/>
              </w:rPr>
              <w:t>/85/35</w:t>
            </w:r>
            <w:r w:rsidRPr="00AC107A">
              <w:rPr>
                <w:lang w:val="en-CA"/>
              </w:rPr>
              <w:fldChar w:fldCharType="end"/>
            </w:r>
          </w:p>
          <w:p w14:paraId="2CEC73DA" w14:textId="44A35652" w:rsidR="00C15867" w:rsidRPr="00AC107A" w:rsidRDefault="00BC2495" w:rsidP="004D5FDF">
            <w:pPr>
              <w:rPr>
                <w:lang w:val="en-CA"/>
              </w:rPr>
            </w:pPr>
            <w:r w:rsidRPr="00AC107A">
              <w:rPr>
                <w:lang w:val="en-CA"/>
              </w:rPr>
              <w:fldChar w:fldCharType="begin"/>
            </w:r>
            <w:r w:rsidR="00851352" w:rsidRPr="00AC107A">
              <w:rPr>
                <w:lang w:val="en-CA"/>
              </w:rPr>
              <w:instrText xml:space="preserve"> DOCPROPERTY "Revision date" \@ "d MMMM YYYY"  \* MERGEFORMAT </w:instrText>
            </w:r>
            <w:r w:rsidRPr="00AC107A">
              <w:rPr>
                <w:lang w:val="en-CA"/>
              </w:rPr>
              <w:fldChar w:fldCharType="separate"/>
            </w:r>
            <w:r w:rsidR="00AC107A">
              <w:rPr>
                <w:lang w:val="en-CA"/>
              </w:rPr>
              <w:t>30 April 2020</w:t>
            </w:r>
            <w:r w:rsidRPr="00AC107A">
              <w:rPr>
                <w:lang w:val="en-CA"/>
              </w:rPr>
              <w:fldChar w:fldCharType="end"/>
            </w:r>
          </w:p>
          <w:p w14:paraId="06253B1B" w14:textId="77777777" w:rsidR="00C15867" w:rsidRPr="00AC107A" w:rsidRDefault="00C15867" w:rsidP="004D5FDF">
            <w:pPr>
              <w:rPr>
                <w:caps/>
                <w:lang w:val="en-CA"/>
              </w:rPr>
            </w:pPr>
          </w:p>
          <w:p w14:paraId="5D59242B" w14:textId="77777777" w:rsidR="00C15867" w:rsidRPr="00AC107A" w:rsidRDefault="00C15867" w:rsidP="004D5FDF">
            <w:pPr>
              <w:rPr>
                <w:lang w:val="en-CA"/>
              </w:rPr>
            </w:pPr>
            <w:r w:rsidRPr="00AC107A">
              <w:rPr>
                <w:lang w:val="en-CA"/>
              </w:rPr>
              <w:t>ORIGINAL: ENGLISH</w:t>
            </w:r>
          </w:p>
        </w:tc>
      </w:tr>
    </w:tbl>
    <w:p w14:paraId="465AF1F3" w14:textId="77777777" w:rsidR="00857077" w:rsidRPr="00AC107A" w:rsidRDefault="00C15867" w:rsidP="00857077">
      <w:pPr>
        <w:jc w:val="left"/>
        <w:rPr>
          <w:lang w:val="en-CA"/>
        </w:rPr>
      </w:pPr>
      <w:r w:rsidRPr="00AC107A">
        <w:rPr>
          <w:lang w:val="en-CA"/>
        </w:rPr>
        <w:t>EXECUTIVE COMMITTEE OF</w:t>
      </w:r>
      <w:r w:rsidRPr="00AC107A">
        <w:rPr>
          <w:lang w:val="en-CA"/>
        </w:rPr>
        <w:br/>
        <w:t xml:space="preserve">  THE MULTILATERAL FUND FOR THE</w:t>
      </w:r>
      <w:r w:rsidRPr="00AC107A">
        <w:rPr>
          <w:lang w:val="en-CA"/>
        </w:rPr>
        <w:br/>
        <w:t xml:space="preserve">  IMPLEMENTATION OF THE MONTREAL PROTOCOL</w:t>
      </w:r>
      <w:r w:rsidRPr="00AC107A">
        <w:rPr>
          <w:lang w:val="en-CA"/>
        </w:rPr>
        <w:br/>
      </w:r>
      <w:r w:rsidR="00EF06EA" w:rsidRPr="00AC107A">
        <w:rPr>
          <w:lang w:val="en-CA"/>
        </w:rPr>
        <w:t>Eighty-</w:t>
      </w:r>
      <w:r w:rsidR="00CC3C9E" w:rsidRPr="00AC107A">
        <w:rPr>
          <w:lang w:val="en-CA"/>
        </w:rPr>
        <w:t>fifth</w:t>
      </w:r>
      <w:r w:rsidR="00857077" w:rsidRPr="00AC107A">
        <w:rPr>
          <w:lang w:val="en-CA"/>
        </w:rPr>
        <w:t xml:space="preserve"> Meeting</w:t>
      </w:r>
    </w:p>
    <w:p w14:paraId="2A00DFA7" w14:textId="77777777" w:rsidR="00857077" w:rsidRPr="00AC107A" w:rsidRDefault="00857077" w:rsidP="00857077">
      <w:pPr>
        <w:jc w:val="left"/>
        <w:rPr>
          <w:lang w:val="en-CA"/>
        </w:rPr>
      </w:pPr>
      <w:r w:rsidRPr="00AC107A">
        <w:rPr>
          <w:lang w:val="en-CA"/>
        </w:rPr>
        <w:t xml:space="preserve">Montreal, </w:t>
      </w:r>
      <w:r w:rsidR="002B254E" w:rsidRPr="00AC107A">
        <w:rPr>
          <w:lang w:val="en-CA"/>
        </w:rPr>
        <w:t>25-</w:t>
      </w:r>
      <w:r w:rsidR="009C5ABB" w:rsidRPr="00AC107A">
        <w:rPr>
          <w:lang w:val="en-CA"/>
        </w:rPr>
        <w:t>29 May 2020</w:t>
      </w:r>
    </w:p>
    <w:p w14:paraId="7E90E47A" w14:textId="77777777" w:rsidR="00C15867" w:rsidRPr="00AC107A" w:rsidRDefault="00AD03A4" w:rsidP="00857077">
      <w:pPr>
        <w:jc w:val="left"/>
        <w:rPr>
          <w:lang w:val="en-CA"/>
        </w:rPr>
      </w:pPr>
      <w:r w:rsidRPr="00AC107A">
        <w:rPr>
          <w:lang w:val="en-CA"/>
        </w:rPr>
        <w:t>Postponed to 19-22 July 2020*</w:t>
      </w:r>
    </w:p>
    <w:p w14:paraId="179A2238" w14:textId="77777777" w:rsidR="00AD03A4" w:rsidRPr="00AC107A" w:rsidRDefault="00AD03A4" w:rsidP="00857077">
      <w:pPr>
        <w:jc w:val="left"/>
        <w:rPr>
          <w:lang w:val="en-CA"/>
        </w:rPr>
      </w:pPr>
    </w:p>
    <w:p w14:paraId="0F1F889A" w14:textId="77777777" w:rsidR="004E7F9C" w:rsidRPr="00AC107A" w:rsidRDefault="004E7F9C" w:rsidP="004E7F9C">
      <w:pPr>
        <w:pStyle w:val="Title1"/>
        <w:rPr>
          <w:lang w:val="en-CA"/>
        </w:rPr>
      </w:pPr>
    </w:p>
    <w:p w14:paraId="47C82FA5" w14:textId="77777777" w:rsidR="00D24A18" w:rsidRPr="00AC107A" w:rsidRDefault="00D24A18" w:rsidP="00D24A18">
      <w:pPr>
        <w:jc w:val="center"/>
        <w:rPr>
          <w:b/>
          <w:lang w:val="en-CA"/>
        </w:rPr>
      </w:pPr>
      <w:r w:rsidRPr="00AC107A">
        <w:rPr>
          <w:b/>
          <w:lang w:val="en-CA"/>
        </w:rPr>
        <w:t>PROJECT PROPOSAL: LIBERIA</w:t>
      </w:r>
    </w:p>
    <w:p w14:paraId="65D8B384" w14:textId="77777777" w:rsidR="00D24A18" w:rsidRPr="00AC107A" w:rsidRDefault="00D24A18" w:rsidP="00D24A18">
      <w:pPr>
        <w:rPr>
          <w:lang w:val="en-CA"/>
        </w:rPr>
      </w:pPr>
    </w:p>
    <w:p w14:paraId="456BC258" w14:textId="77777777" w:rsidR="00D24A18" w:rsidRPr="00AC107A" w:rsidRDefault="00D24A18" w:rsidP="00D24A18">
      <w:pPr>
        <w:rPr>
          <w:lang w:val="en-CA"/>
        </w:rPr>
      </w:pPr>
    </w:p>
    <w:p w14:paraId="520B7951" w14:textId="77777777" w:rsidR="00D24A18" w:rsidRPr="00AC107A" w:rsidRDefault="00D24A18" w:rsidP="00D24A18">
      <w:pPr>
        <w:ind w:firstLine="720"/>
        <w:rPr>
          <w:lang w:val="en-CA"/>
        </w:rPr>
      </w:pPr>
      <w:r w:rsidRPr="00AC107A">
        <w:rPr>
          <w:lang w:val="en-CA"/>
        </w:rPr>
        <w:t xml:space="preserve">This document consists of the comments and recommendation of the Secretariat on the following project proposal: </w:t>
      </w:r>
    </w:p>
    <w:p w14:paraId="1D39FFFB" w14:textId="77777777" w:rsidR="00D24A18" w:rsidRPr="00AC107A" w:rsidRDefault="00D24A18" w:rsidP="00D24A18">
      <w:pPr>
        <w:rPr>
          <w:lang w:val="en-CA"/>
        </w:rPr>
      </w:pPr>
    </w:p>
    <w:p w14:paraId="551DF4B5" w14:textId="77777777" w:rsidR="00D24A18" w:rsidRPr="00AC107A" w:rsidRDefault="00D24A18" w:rsidP="00D24A18">
      <w:pPr>
        <w:rPr>
          <w:u w:val="single"/>
          <w:lang w:val="en-CA"/>
        </w:rPr>
      </w:pPr>
      <w:r w:rsidRPr="00AC107A">
        <w:rPr>
          <w:u w:val="single"/>
          <w:lang w:val="en-CA"/>
        </w:rPr>
        <w:t>Phase-out</w:t>
      </w:r>
    </w:p>
    <w:p w14:paraId="7941AA41" w14:textId="77777777" w:rsidR="00D24A18" w:rsidRPr="00AC107A" w:rsidRDefault="00D24A18" w:rsidP="00D24A18">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514BA4" w:rsidRPr="00AC107A" w14:paraId="293FE1B5" w14:textId="77777777" w:rsidTr="004D5FDF">
        <w:tc>
          <w:tcPr>
            <w:tcW w:w="6941" w:type="dxa"/>
          </w:tcPr>
          <w:p w14:paraId="672D6C08" w14:textId="77777777" w:rsidR="00D24A18" w:rsidRPr="00AC107A" w:rsidRDefault="00D24A18" w:rsidP="004D5FDF">
            <w:pPr>
              <w:pStyle w:val="ListParagraph"/>
              <w:numPr>
                <w:ilvl w:val="0"/>
                <w:numId w:val="21"/>
              </w:numPr>
              <w:ind w:hanging="830"/>
              <w:rPr>
                <w:lang w:val="en-CA"/>
              </w:rPr>
            </w:pPr>
            <w:r w:rsidRPr="00AC107A">
              <w:rPr>
                <w:lang w:val="en-CA"/>
              </w:rPr>
              <w:t>HCFC phase-out management plan (stage I, third tranche)</w:t>
            </w:r>
          </w:p>
        </w:tc>
        <w:tc>
          <w:tcPr>
            <w:tcW w:w="2409" w:type="dxa"/>
          </w:tcPr>
          <w:p w14:paraId="549668D0" w14:textId="77777777" w:rsidR="00D24A18" w:rsidRPr="00AC107A" w:rsidRDefault="00D24A18" w:rsidP="00BE50DC">
            <w:pPr>
              <w:jc w:val="right"/>
              <w:rPr>
                <w:lang w:val="en-CA"/>
              </w:rPr>
            </w:pPr>
            <w:r w:rsidRPr="00AC107A">
              <w:rPr>
                <w:lang w:val="en-CA"/>
              </w:rPr>
              <w:t>Germany</w:t>
            </w:r>
          </w:p>
        </w:tc>
      </w:tr>
    </w:tbl>
    <w:p w14:paraId="12C2B70C" w14:textId="77777777" w:rsidR="004E7F9C" w:rsidRPr="00AC107A" w:rsidRDefault="004E7F9C" w:rsidP="004E7F9C">
      <w:pPr>
        <w:pStyle w:val="Title1"/>
        <w:rPr>
          <w:lang w:val="en-CA"/>
        </w:rPr>
      </w:pPr>
    </w:p>
    <w:p w14:paraId="52F4F61D" w14:textId="77777777" w:rsidR="00AD03A4" w:rsidRPr="00AC107A" w:rsidRDefault="00AD03A4" w:rsidP="004E7F9C">
      <w:pPr>
        <w:pStyle w:val="StyleHeader4Para4Left0Firstline0"/>
        <w:numPr>
          <w:ilvl w:val="0"/>
          <w:numId w:val="0"/>
        </w:numPr>
        <w:rPr>
          <w:lang w:val="en-CA"/>
        </w:rPr>
      </w:pPr>
    </w:p>
    <w:p w14:paraId="1A929D90" w14:textId="77777777" w:rsidR="00AD03A4" w:rsidRPr="00AC107A" w:rsidRDefault="00AD03A4" w:rsidP="004E7F9C">
      <w:pPr>
        <w:pStyle w:val="StyleHeader4Para4Left0Firstline0"/>
        <w:numPr>
          <w:ilvl w:val="0"/>
          <w:numId w:val="0"/>
        </w:numPr>
        <w:rPr>
          <w:lang w:val="en-CA"/>
        </w:rPr>
      </w:pPr>
    </w:p>
    <w:p w14:paraId="05B36DCA" w14:textId="77777777" w:rsidR="00AD03A4" w:rsidRPr="00AC107A" w:rsidRDefault="00AD03A4" w:rsidP="004E7F9C">
      <w:pPr>
        <w:pStyle w:val="StyleHeader4Para4Left0Firstline0"/>
        <w:numPr>
          <w:ilvl w:val="0"/>
          <w:numId w:val="0"/>
        </w:numPr>
        <w:rPr>
          <w:lang w:val="en-CA"/>
        </w:rPr>
      </w:pPr>
    </w:p>
    <w:p w14:paraId="4F879501" w14:textId="77777777" w:rsidR="00AD03A4" w:rsidRPr="00AC107A" w:rsidRDefault="00AD03A4" w:rsidP="004E7F9C">
      <w:pPr>
        <w:pStyle w:val="StyleHeader4Para4Left0Firstline0"/>
        <w:numPr>
          <w:ilvl w:val="0"/>
          <w:numId w:val="0"/>
        </w:numPr>
        <w:rPr>
          <w:lang w:val="en-CA"/>
        </w:rPr>
      </w:pPr>
    </w:p>
    <w:p w14:paraId="1F6C312A" w14:textId="77777777" w:rsidR="00AD03A4" w:rsidRPr="00AC107A" w:rsidRDefault="00AD03A4" w:rsidP="004E7F9C">
      <w:pPr>
        <w:pStyle w:val="StyleHeader4Para4Left0Firstline0"/>
        <w:numPr>
          <w:ilvl w:val="0"/>
          <w:numId w:val="0"/>
        </w:numPr>
        <w:rPr>
          <w:lang w:val="en-CA"/>
        </w:rPr>
      </w:pPr>
    </w:p>
    <w:p w14:paraId="14A6DE05" w14:textId="77777777" w:rsidR="00AD03A4" w:rsidRPr="00AC107A" w:rsidRDefault="00AD03A4" w:rsidP="004E7F9C">
      <w:pPr>
        <w:pStyle w:val="StyleHeader4Para4Left0Firstline0"/>
        <w:numPr>
          <w:ilvl w:val="0"/>
          <w:numId w:val="0"/>
        </w:numPr>
        <w:rPr>
          <w:lang w:val="en-CA"/>
        </w:rPr>
      </w:pPr>
    </w:p>
    <w:p w14:paraId="60A01D69" w14:textId="77777777" w:rsidR="00AD03A4" w:rsidRPr="00AC107A" w:rsidRDefault="00AD03A4" w:rsidP="004E7F9C">
      <w:pPr>
        <w:pStyle w:val="StyleHeader4Para4Left0Firstline0"/>
        <w:numPr>
          <w:ilvl w:val="0"/>
          <w:numId w:val="0"/>
        </w:numPr>
        <w:rPr>
          <w:lang w:val="en-CA"/>
        </w:rPr>
      </w:pPr>
    </w:p>
    <w:p w14:paraId="79953CCD" w14:textId="77777777" w:rsidR="00AD03A4" w:rsidRPr="00AC107A" w:rsidRDefault="00AD03A4" w:rsidP="004E7F9C">
      <w:pPr>
        <w:pStyle w:val="StyleHeader4Para4Left0Firstline0"/>
        <w:numPr>
          <w:ilvl w:val="0"/>
          <w:numId w:val="0"/>
        </w:numPr>
        <w:rPr>
          <w:lang w:val="en-CA"/>
        </w:rPr>
      </w:pPr>
    </w:p>
    <w:p w14:paraId="6D4A87BF" w14:textId="77777777" w:rsidR="00AD03A4" w:rsidRPr="00AC107A" w:rsidRDefault="00AD03A4" w:rsidP="004E7F9C">
      <w:pPr>
        <w:pStyle w:val="StyleHeader4Para4Left0Firstline0"/>
        <w:numPr>
          <w:ilvl w:val="0"/>
          <w:numId w:val="0"/>
        </w:numPr>
        <w:rPr>
          <w:lang w:val="en-CA"/>
        </w:rPr>
      </w:pPr>
    </w:p>
    <w:p w14:paraId="5F468D37" w14:textId="77777777" w:rsidR="00AD03A4" w:rsidRPr="00AC107A" w:rsidRDefault="00AD03A4" w:rsidP="004E7F9C">
      <w:pPr>
        <w:pStyle w:val="StyleHeader4Para4Left0Firstline0"/>
        <w:numPr>
          <w:ilvl w:val="0"/>
          <w:numId w:val="0"/>
        </w:numPr>
        <w:rPr>
          <w:lang w:val="en-CA"/>
        </w:rPr>
      </w:pPr>
    </w:p>
    <w:p w14:paraId="30A4674D" w14:textId="77777777" w:rsidR="00D24A18" w:rsidRPr="00AC107A" w:rsidRDefault="00D24A18" w:rsidP="00D24A18">
      <w:pPr>
        <w:pStyle w:val="StyleHeader4Para4Left0Firstline0"/>
        <w:numPr>
          <w:ilvl w:val="0"/>
          <w:numId w:val="0"/>
        </w:numPr>
        <w:spacing w:after="0"/>
        <w:rPr>
          <w:lang w:val="en-CA"/>
        </w:rPr>
      </w:pPr>
    </w:p>
    <w:p w14:paraId="2E1BB32A" w14:textId="77777777" w:rsidR="008C5738" w:rsidRPr="00AC107A" w:rsidRDefault="00AD03A4" w:rsidP="00D24A18">
      <w:pPr>
        <w:pStyle w:val="StyleHeader4Para4Left0Firstline0"/>
        <w:numPr>
          <w:ilvl w:val="0"/>
          <w:numId w:val="0"/>
        </w:numPr>
        <w:spacing w:after="0"/>
        <w:rPr>
          <w:b/>
          <w:lang w:val="en-CA"/>
        </w:rPr>
      </w:pPr>
      <w:r w:rsidRPr="00AC107A">
        <w:rPr>
          <w:lang w:val="en-CA"/>
        </w:rPr>
        <w:t xml:space="preserve">* Due to coronavirus disease </w:t>
      </w:r>
      <w:r w:rsidR="00EA065E" w:rsidRPr="00AC107A">
        <w:rPr>
          <w:lang w:val="en-CA"/>
        </w:rPr>
        <w:t>(COVID-19)</w:t>
      </w:r>
      <w:r w:rsidR="004E7F9C" w:rsidRPr="00AC107A">
        <w:rPr>
          <w:b/>
          <w:lang w:val="en-CA"/>
        </w:rPr>
        <w:br w:type="page"/>
      </w:r>
    </w:p>
    <w:p w14:paraId="77B522F4" w14:textId="77777777" w:rsidR="00D24A18" w:rsidRPr="00AC107A" w:rsidRDefault="00D24A18" w:rsidP="00D24A18">
      <w:pPr>
        <w:jc w:val="center"/>
        <w:rPr>
          <w:b/>
          <w:lang w:val="en-CA"/>
        </w:rPr>
      </w:pPr>
      <w:r w:rsidRPr="00AC107A">
        <w:rPr>
          <w:b/>
          <w:lang w:val="en-CA"/>
        </w:rPr>
        <w:lastRenderedPageBreak/>
        <w:t>PROJECT EVALUATION SHEET – MULTI-YEAR PROJECTS</w:t>
      </w:r>
    </w:p>
    <w:p w14:paraId="7B0ADC87" w14:textId="77777777" w:rsidR="00D24A18" w:rsidRPr="00AC107A" w:rsidRDefault="00D24A18" w:rsidP="00D24A18">
      <w:pPr>
        <w:jc w:val="center"/>
        <w:rPr>
          <w:lang w:val="en-CA"/>
        </w:rPr>
      </w:pPr>
    </w:p>
    <w:p w14:paraId="6ABB2AD7" w14:textId="77777777" w:rsidR="00D24A18" w:rsidRPr="00AC107A" w:rsidRDefault="00D24A18" w:rsidP="00D24A18">
      <w:pPr>
        <w:jc w:val="center"/>
        <w:rPr>
          <w:b/>
          <w:lang w:val="en-CA"/>
        </w:rPr>
      </w:pPr>
      <w:r w:rsidRPr="00AC107A">
        <w:rPr>
          <w:b/>
          <w:lang w:val="en-CA"/>
        </w:rPr>
        <w:t>Liberia</w:t>
      </w:r>
    </w:p>
    <w:p w14:paraId="2967676D" w14:textId="77777777" w:rsidR="00D24A18" w:rsidRPr="00AC107A" w:rsidRDefault="00D24A18" w:rsidP="00D24A18">
      <w:pPr>
        <w:jc w:val="center"/>
        <w:rPr>
          <w:lang w:val="en-CA"/>
        </w:rPr>
      </w:pPr>
    </w:p>
    <w:tbl>
      <w:tblPr>
        <w:tblStyle w:val="TableGrid"/>
        <w:tblW w:w="5051"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53"/>
        <w:gridCol w:w="1581"/>
        <w:gridCol w:w="2493"/>
        <w:gridCol w:w="2518"/>
      </w:tblGrid>
      <w:tr w:rsidR="00AC107A" w:rsidRPr="00AC107A" w14:paraId="0A4BA17C" w14:textId="77777777" w:rsidTr="004D5FDF">
        <w:trPr>
          <w:trHeight w:val="240"/>
        </w:trPr>
        <w:tc>
          <w:tcPr>
            <w:tcW w:w="1510" w:type="pct"/>
            <w:shd w:val="clear" w:color="auto" w:fill="auto"/>
          </w:tcPr>
          <w:p w14:paraId="7EF79AF5" w14:textId="77777777" w:rsidR="00D24A18" w:rsidRPr="00AC107A" w:rsidRDefault="00D24A18" w:rsidP="004D5FDF">
            <w:pPr>
              <w:pStyle w:val="StyleHeader4Para4Left0Firstline0"/>
              <w:numPr>
                <w:ilvl w:val="0"/>
                <w:numId w:val="0"/>
              </w:numPr>
              <w:spacing w:after="80"/>
              <w:jc w:val="left"/>
              <w:rPr>
                <w:b/>
                <w:sz w:val="19"/>
                <w:szCs w:val="19"/>
                <w:lang w:val="en-CA"/>
              </w:rPr>
            </w:pPr>
            <w:r w:rsidRPr="00AC107A">
              <w:rPr>
                <w:b/>
                <w:sz w:val="19"/>
                <w:szCs w:val="19"/>
                <w:lang w:val="en-CA"/>
              </w:rPr>
              <w:t>(I) PROJECT TITLE</w:t>
            </w:r>
          </w:p>
        </w:tc>
        <w:tc>
          <w:tcPr>
            <w:tcW w:w="837" w:type="pct"/>
            <w:shd w:val="clear" w:color="auto" w:fill="auto"/>
          </w:tcPr>
          <w:p w14:paraId="7C00AB73" w14:textId="77777777" w:rsidR="00D24A18" w:rsidRPr="00AC107A" w:rsidRDefault="00D24A18" w:rsidP="004D5FDF">
            <w:pPr>
              <w:pStyle w:val="StyleHeader4Para4Left0Firstline0"/>
              <w:numPr>
                <w:ilvl w:val="0"/>
                <w:numId w:val="0"/>
              </w:numPr>
              <w:spacing w:after="80"/>
              <w:jc w:val="center"/>
              <w:rPr>
                <w:b/>
                <w:sz w:val="19"/>
                <w:szCs w:val="19"/>
                <w:lang w:val="en-CA"/>
              </w:rPr>
            </w:pPr>
            <w:r w:rsidRPr="00AC107A">
              <w:rPr>
                <w:b/>
                <w:sz w:val="19"/>
                <w:szCs w:val="19"/>
                <w:lang w:val="en-CA"/>
              </w:rPr>
              <w:t>AGENCY</w:t>
            </w:r>
          </w:p>
        </w:tc>
        <w:tc>
          <w:tcPr>
            <w:tcW w:w="1320" w:type="pct"/>
            <w:shd w:val="clear" w:color="auto" w:fill="auto"/>
          </w:tcPr>
          <w:p w14:paraId="40BE641F" w14:textId="77777777" w:rsidR="00D24A18" w:rsidRPr="00AC107A" w:rsidRDefault="00D24A18" w:rsidP="004D5FDF">
            <w:pPr>
              <w:pStyle w:val="StyleHeader4Para4Left0Firstline0"/>
              <w:numPr>
                <w:ilvl w:val="0"/>
                <w:numId w:val="0"/>
              </w:numPr>
              <w:spacing w:after="80"/>
              <w:jc w:val="center"/>
              <w:rPr>
                <w:b/>
                <w:sz w:val="19"/>
                <w:szCs w:val="19"/>
                <w:lang w:val="en-CA"/>
              </w:rPr>
            </w:pPr>
            <w:r w:rsidRPr="00AC107A">
              <w:rPr>
                <w:b/>
                <w:sz w:val="19"/>
                <w:szCs w:val="19"/>
                <w:lang w:val="en-CA"/>
              </w:rPr>
              <w:t>MEETING APPROVED</w:t>
            </w:r>
          </w:p>
        </w:tc>
        <w:tc>
          <w:tcPr>
            <w:tcW w:w="1333" w:type="pct"/>
            <w:shd w:val="clear" w:color="auto" w:fill="auto"/>
          </w:tcPr>
          <w:p w14:paraId="6313D127" w14:textId="77777777" w:rsidR="00D24A18" w:rsidRPr="00AC107A" w:rsidRDefault="00D24A18" w:rsidP="004D5FDF">
            <w:pPr>
              <w:pStyle w:val="StyleHeader4Para4Left0Firstline0"/>
              <w:numPr>
                <w:ilvl w:val="0"/>
                <w:numId w:val="0"/>
              </w:numPr>
              <w:spacing w:after="80"/>
              <w:jc w:val="center"/>
              <w:rPr>
                <w:b/>
                <w:sz w:val="19"/>
                <w:szCs w:val="19"/>
                <w:lang w:val="en-CA"/>
              </w:rPr>
            </w:pPr>
            <w:r w:rsidRPr="00AC107A">
              <w:rPr>
                <w:b/>
                <w:sz w:val="19"/>
                <w:szCs w:val="19"/>
                <w:lang w:val="en-CA"/>
              </w:rPr>
              <w:t>CONTROL MEASURE</w:t>
            </w:r>
          </w:p>
        </w:tc>
      </w:tr>
      <w:tr w:rsidR="00514BA4" w:rsidRPr="00AC107A" w14:paraId="58AE41C4" w14:textId="77777777" w:rsidTr="004D5FDF">
        <w:trPr>
          <w:trHeight w:val="240"/>
        </w:trPr>
        <w:tc>
          <w:tcPr>
            <w:tcW w:w="1510" w:type="pct"/>
            <w:shd w:val="clear" w:color="auto" w:fill="auto"/>
          </w:tcPr>
          <w:p w14:paraId="127EBD22" w14:textId="77777777" w:rsidR="00D24A18" w:rsidRPr="00AC107A" w:rsidRDefault="00D24A18" w:rsidP="004D5FDF">
            <w:pPr>
              <w:pStyle w:val="StyleHeader4Para4Left0Firstline0"/>
              <w:numPr>
                <w:ilvl w:val="0"/>
                <w:numId w:val="0"/>
              </w:numPr>
              <w:spacing w:after="80"/>
              <w:jc w:val="center"/>
              <w:rPr>
                <w:sz w:val="19"/>
                <w:szCs w:val="19"/>
                <w:lang w:val="en-CA"/>
              </w:rPr>
            </w:pPr>
            <w:r w:rsidRPr="00AC107A">
              <w:rPr>
                <w:sz w:val="19"/>
                <w:szCs w:val="19"/>
                <w:lang w:val="en-CA"/>
              </w:rPr>
              <w:t>HCFC phase out plan (Stage I)</w:t>
            </w:r>
          </w:p>
        </w:tc>
        <w:tc>
          <w:tcPr>
            <w:tcW w:w="837" w:type="pct"/>
            <w:shd w:val="clear" w:color="auto" w:fill="auto"/>
          </w:tcPr>
          <w:p w14:paraId="232A85D7" w14:textId="77777777" w:rsidR="00D24A18" w:rsidRPr="00AC107A" w:rsidRDefault="00D24A18" w:rsidP="004D5FDF">
            <w:pPr>
              <w:pStyle w:val="StyleHeader4Para4Left0Firstline0"/>
              <w:numPr>
                <w:ilvl w:val="0"/>
                <w:numId w:val="0"/>
              </w:numPr>
              <w:spacing w:after="80"/>
              <w:jc w:val="center"/>
              <w:rPr>
                <w:sz w:val="19"/>
                <w:szCs w:val="19"/>
                <w:lang w:val="en-CA"/>
              </w:rPr>
            </w:pPr>
            <w:r w:rsidRPr="00AC107A">
              <w:rPr>
                <w:sz w:val="19"/>
                <w:szCs w:val="19"/>
                <w:lang w:val="en-CA"/>
              </w:rPr>
              <w:t>Germany (lead)</w:t>
            </w:r>
          </w:p>
        </w:tc>
        <w:tc>
          <w:tcPr>
            <w:tcW w:w="1320" w:type="pct"/>
            <w:shd w:val="clear" w:color="auto" w:fill="auto"/>
          </w:tcPr>
          <w:p w14:paraId="315D3D55" w14:textId="77777777" w:rsidR="00D24A18" w:rsidRPr="00AC107A" w:rsidRDefault="00D24A18" w:rsidP="004D5FDF">
            <w:pPr>
              <w:pStyle w:val="StyleHeader4Para4Left0Firstline0"/>
              <w:numPr>
                <w:ilvl w:val="0"/>
                <w:numId w:val="0"/>
              </w:numPr>
              <w:spacing w:after="80"/>
              <w:jc w:val="center"/>
              <w:rPr>
                <w:sz w:val="19"/>
                <w:szCs w:val="19"/>
                <w:lang w:val="en-CA"/>
              </w:rPr>
            </w:pPr>
            <w:r w:rsidRPr="00AC107A">
              <w:rPr>
                <w:sz w:val="19"/>
                <w:szCs w:val="19"/>
                <w:lang w:val="en-CA"/>
              </w:rPr>
              <w:t>63</w:t>
            </w:r>
            <w:r w:rsidRPr="00AC107A">
              <w:rPr>
                <w:sz w:val="19"/>
                <w:szCs w:val="19"/>
                <w:vertAlign w:val="superscript"/>
                <w:lang w:val="en-CA"/>
              </w:rPr>
              <w:t>rd</w:t>
            </w:r>
            <w:r w:rsidRPr="00AC107A">
              <w:rPr>
                <w:sz w:val="19"/>
                <w:szCs w:val="19"/>
                <w:lang w:val="en-CA"/>
              </w:rPr>
              <w:t xml:space="preserve"> meeting</w:t>
            </w:r>
          </w:p>
        </w:tc>
        <w:tc>
          <w:tcPr>
            <w:tcW w:w="1333" w:type="pct"/>
            <w:shd w:val="clear" w:color="auto" w:fill="auto"/>
          </w:tcPr>
          <w:p w14:paraId="6106B081" w14:textId="77777777" w:rsidR="00D24A18" w:rsidRPr="00AC107A" w:rsidRDefault="00D24A18" w:rsidP="004D5FDF">
            <w:pPr>
              <w:pStyle w:val="StyleHeader4Para4Left0Firstline0"/>
              <w:numPr>
                <w:ilvl w:val="0"/>
                <w:numId w:val="0"/>
              </w:numPr>
              <w:spacing w:after="80"/>
              <w:jc w:val="center"/>
              <w:rPr>
                <w:sz w:val="19"/>
                <w:szCs w:val="19"/>
                <w:lang w:val="en-CA"/>
              </w:rPr>
            </w:pPr>
            <w:r w:rsidRPr="00AC107A">
              <w:rPr>
                <w:sz w:val="19"/>
                <w:szCs w:val="19"/>
                <w:lang w:val="en-CA"/>
              </w:rPr>
              <w:t>35% by 2020</w:t>
            </w:r>
          </w:p>
        </w:tc>
      </w:tr>
    </w:tbl>
    <w:p w14:paraId="301DF48A" w14:textId="77777777" w:rsidR="00D24A18" w:rsidRPr="00AC107A" w:rsidRDefault="00D24A18" w:rsidP="00D24A18">
      <w:pPr>
        <w:jc w:val="center"/>
        <w:rPr>
          <w:lang w:val="en-CA"/>
        </w:rPr>
      </w:pPr>
    </w:p>
    <w:tbl>
      <w:tblPr>
        <w:tblStyle w:val="TableGrid"/>
        <w:tblW w:w="944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1845"/>
      </w:tblGrid>
      <w:tr w:rsidR="00514BA4" w:rsidRPr="00AC107A" w14:paraId="4264E1DC" w14:textId="77777777" w:rsidTr="004D5FDF">
        <w:trPr>
          <w:trHeight w:val="240"/>
        </w:trPr>
        <w:tc>
          <w:tcPr>
            <w:tcW w:w="5200" w:type="dxa"/>
            <w:shd w:val="clear" w:color="auto" w:fill="auto"/>
          </w:tcPr>
          <w:p w14:paraId="083B2109" w14:textId="77777777" w:rsidR="00D24A18" w:rsidRPr="00AC107A" w:rsidRDefault="00D24A18" w:rsidP="004D5FDF">
            <w:pPr>
              <w:pStyle w:val="StyleHeader4Para4Left0Firstline0"/>
              <w:numPr>
                <w:ilvl w:val="0"/>
                <w:numId w:val="0"/>
              </w:numPr>
              <w:spacing w:after="60"/>
              <w:jc w:val="left"/>
              <w:rPr>
                <w:b/>
                <w:sz w:val="19"/>
                <w:szCs w:val="19"/>
                <w:lang w:val="en-CA"/>
              </w:rPr>
            </w:pPr>
            <w:r w:rsidRPr="00AC107A">
              <w:rPr>
                <w:b/>
                <w:sz w:val="19"/>
                <w:szCs w:val="19"/>
                <w:lang w:val="en-CA"/>
              </w:rPr>
              <w:t>(II) LATEST ARTICLE 7 DATA (Annex C Group l)</w:t>
            </w:r>
          </w:p>
        </w:tc>
        <w:tc>
          <w:tcPr>
            <w:tcW w:w="2400" w:type="dxa"/>
            <w:shd w:val="clear" w:color="auto" w:fill="auto"/>
          </w:tcPr>
          <w:p w14:paraId="5F6F1402" w14:textId="77777777" w:rsidR="00D24A18" w:rsidRPr="00AC107A" w:rsidRDefault="00D24A18" w:rsidP="00BE50DC">
            <w:pPr>
              <w:pStyle w:val="StyleHeader4Para4Left0Firstline0"/>
              <w:numPr>
                <w:ilvl w:val="0"/>
                <w:numId w:val="0"/>
              </w:numPr>
              <w:spacing w:after="60"/>
              <w:jc w:val="center"/>
              <w:rPr>
                <w:sz w:val="19"/>
                <w:szCs w:val="19"/>
                <w:lang w:val="en-CA"/>
              </w:rPr>
            </w:pPr>
            <w:r w:rsidRPr="00AC107A">
              <w:rPr>
                <w:sz w:val="19"/>
                <w:szCs w:val="19"/>
                <w:lang w:val="en-CA"/>
              </w:rPr>
              <w:t>Year: 201</w:t>
            </w:r>
            <w:r w:rsidR="00BE50DC" w:rsidRPr="00AC107A">
              <w:rPr>
                <w:sz w:val="19"/>
                <w:szCs w:val="19"/>
                <w:lang w:val="en-CA"/>
              </w:rPr>
              <w:t>9</w:t>
            </w:r>
          </w:p>
        </w:tc>
        <w:tc>
          <w:tcPr>
            <w:tcW w:w="1845" w:type="dxa"/>
            <w:shd w:val="clear" w:color="auto" w:fill="auto"/>
          </w:tcPr>
          <w:p w14:paraId="435F8457" w14:textId="77777777" w:rsidR="00D24A18" w:rsidRPr="00AC107A" w:rsidRDefault="00BE50DC" w:rsidP="004D5FDF">
            <w:pPr>
              <w:pStyle w:val="StyleHeader4Para4Left0Firstline0"/>
              <w:numPr>
                <w:ilvl w:val="0"/>
                <w:numId w:val="0"/>
              </w:numPr>
              <w:spacing w:after="60"/>
              <w:jc w:val="right"/>
              <w:rPr>
                <w:sz w:val="19"/>
                <w:szCs w:val="19"/>
                <w:lang w:val="en-CA"/>
              </w:rPr>
            </w:pPr>
            <w:r w:rsidRPr="00AC107A">
              <w:rPr>
                <w:sz w:val="19"/>
                <w:szCs w:val="19"/>
                <w:lang w:val="en-CA"/>
              </w:rPr>
              <w:t>0</w:t>
            </w:r>
            <w:r w:rsidR="00D24A18" w:rsidRPr="00AC107A">
              <w:rPr>
                <w:sz w:val="19"/>
                <w:szCs w:val="19"/>
                <w:lang w:val="en-CA"/>
              </w:rPr>
              <w:t>.78 (ODP tonnes)</w:t>
            </w:r>
          </w:p>
        </w:tc>
      </w:tr>
    </w:tbl>
    <w:p w14:paraId="3339901C" w14:textId="77777777" w:rsidR="00D24A18" w:rsidRPr="00AC107A" w:rsidRDefault="00D24A18" w:rsidP="00D24A18">
      <w:pPr>
        <w:jc w:val="center"/>
        <w:rPr>
          <w:lang w:val="en-CA"/>
        </w:rPr>
      </w:pPr>
    </w:p>
    <w:tbl>
      <w:tblPr>
        <w:tblStyle w:val="TableGrid"/>
        <w:tblW w:w="5051"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97"/>
        <w:gridCol w:w="850"/>
        <w:gridCol w:w="672"/>
        <w:gridCol w:w="852"/>
        <w:gridCol w:w="1405"/>
        <w:gridCol w:w="984"/>
        <w:gridCol w:w="827"/>
        <w:gridCol w:w="829"/>
        <w:gridCol w:w="529"/>
        <w:gridCol w:w="1200"/>
      </w:tblGrid>
      <w:tr w:rsidR="00AC107A" w:rsidRPr="00AC107A" w14:paraId="57EC010F" w14:textId="77777777" w:rsidTr="004D5FDF">
        <w:trPr>
          <w:trHeight w:val="240"/>
        </w:trPr>
        <w:tc>
          <w:tcPr>
            <w:tcW w:w="4084" w:type="pct"/>
            <w:gridSpan w:val="8"/>
            <w:shd w:val="clear" w:color="auto" w:fill="auto"/>
          </w:tcPr>
          <w:p w14:paraId="425A5E2F" w14:textId="77777777" w:rsidR="00D24A18" w:rsidRPr="00AC107A" w:rsidRDefault="00D24A18" w:rsidP="004D5FDF">
            <w:pPr>
              <w:pStyle w:val="StyleHeader4Para4Left0Firstline0"/>
              <w:numPr>
                <w:ilvl w:val="0"/>
                <w:numId w:val="0"/>
              </w:numPr>
              <w:spacing w:after="60"/>
              <w:jc w:val="left"/>
              <w:rPr>
                <w:b/>
                <w:sz w:val="19"/>
                <w:szCs w:val="19"/>
                <w:lang w:val="en-CA"/>
              </w:rPr>
            </w:pPr>
            <w:r w:rsidRPr="00AC107A">
              <w:rPr>
                <w:b/>
                <w:sz w:val="19"/>
                <w:szCs w:val="19"/>
                <w:lang w:val="en-CA"/>
              </w:rPr>
              <w:t>(III) LATEST COUNTRY PROGRAMME SECTORAL DATA (ODP tonnes)</w:t>
            </w:r>
          </w:p>
        </w:tc>
        <w:tc>
          <w:tcPr>
            <w:tcW w:w="916" w:type="pct"/>
            <w:gridSpan w:val="2"/>
            <w:shd w:val="clear" w:color="auto" w:fill="auto"/>
          </w:tcPr>
          <w:p w14:paraId="1FDC0D03" w14:textId="77777777" w:rsidR="00D24A18" w:rsidRPr="00AC107A" w:rsidRDefault="00D24A18" w:rsidP="004D5FDF">
            <w:pPr>
              <w:pStyle w:val="StyleHeader4Para4Left0Firstline0"/>
              <w:numPr>
                <w:ilvl w:val="0"/>
                <w:numId w:val="0"/>
              </w:numPr>
              <w:spacing w:after="60"/>
              <w:jc w:val="right"/>
              <w:rPr>
                <w:b/>
                <w:sz w:val="19"/>
                <w:szCs w:val="19"/>
                <w:lang w:val="en-CA"/>
              </w:rPr>
            </w:pPr>
            <w:r w:rsidRPr="00AC107A">
              <w:rPr>
                <w:b/>
                <w:sz w:val="19"/>
                <w:szCs w:val="19"/>
                <w:lang w:val="en-CA"/>
              </w:rPr>
              <w:t>Year: 2019</w:t>
            </w:r>
          </w:p>
        </w:tc>
      </w:tr>
      <w:tr w:rsidR="00AC107A" w:rsidRPr="00AC107A" w14:paraId="2CCE6239" w14:textId="77777777" w:rsidTr="004D5FDF">
        <w:trPr>
          <w:trHeight w:val="240"/>
        </w:trPr>
        <w:tc>
          <w:tcPr>
            <w:tcW w:w="686" w:type="pct"/>
            <w:shd w:val="clear" w:color="auto" w:fill="auto"/>
          </w:tcPr>
          <w:p w14:paraId="13F1758B"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Chemical</w:t>
            </w:r>
          </w:p>
        </w:tc>
        <w:tc>
          <w:tcPr>
            <w:tcW w:w="450" w:type="pct"/>
            <w:shd w:val="clear" w:color="auto" w:fill="auto"/>
          </w:tcPr>
          <w:p w14:paraId="313707D9"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Aerosol</w:t>
            </w:r>
          </w:p>
        </w:tc>
        <w:tc>
          <w:tcPr>
            <w:tcW w:w="356" w:type="pct"/>
            <w:shd w:val="clear" w:color="auto" w:fill="auto"/>
          </w:tcPr>
          <w:p w14:paraId="2734EC12"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Foam</w:t>
            </w:r>
          </w:p>
        </w:tc>
        <w:tc>
          <w:tcPr>
            <w:tcW w:w="451" w:type="pct"/>
            <w:shd w:val="clear" w:color="auto" w:fill="auto"/>
          </w:tcPr>
          <w:p w14:paraId="34513905"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Fire fighting</w:t>
            </w:r>
          </w:p>
        </w:tc>
        <w:tc>
          <w:tcPr>
            <w:tcW w:w="1265" w:type="pct"/>
            <w:gridSpan w:val="2"/>
            <w:shd w:val="clear" w:color="auto" w:fill="auto"/>
          </w:tcPr>
          <w:p w14:paraId="2B053D6C"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Refrigeration</w:t>
            </w:r>
          </w:p>
        </w:tc>
        <w:tc>
          <w:tcPr>
            <w:tcW w:w="438" w:type="pct"/>
            <w:shd w:val="clear" w:color="auto" w:fill="auto"/>
          </w:tcPr>
          <w:p w14:paraId="03123274"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Solvent</w:t>
            </w:r>
          </w:p>
        </w:tc>
        <w:tc>
          <w:tcPr>
            <w:tcW w:w="439" w:type="pct"/>
            <w:shd w:val="clear" w:color="auto" w:fill="auto"/>
          </w:tcPr>
          <w:p w14:paraId="6C2633ED"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Process agent</w:t>
            </w:r>
          </w:p>
        </w:tc>
        <w:tc>
          <w:tcPr>
            <w:tcW w:w="280" w:type="pct"/>
            <w:shd w:val="clear" w:color="auto" w:fill="auto"/>
          </w:tcPr>
          <w:p w14:paraId="10A2F640"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Lab use</w:t>
            </w:r>
          </w:p>
        </w:tc>
        <w:tc>
          <w:tcPr>
            <w:tcW w:w="636" w:type="pct"/>
            <w:shd w:val="clear" w:color="auto" w:fill="auto"/>
          </w:tcPr>
          <w:p w14:paraId="56CDB610"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Total sector consumption</w:t>
            </w:r>
          </w:p>
        </w:tc>
      </w:tr>
      <w:tr w:rsidR="00AC107A" w:rsidRPr="00AC107A" w14:paraId="340F3DE7" w14:textId="77777777" w:rsidTr="004D5FDF">
        <w:trPr>
          <w:trHeight w:val="240"/>
        </w:trPr>
        <w:tc>
          <w:tcPr>
            <w:tcW w:w="1942" w:type="pct"/>
            <w:gridSpan w:val="4"/>
            <w:shd w:val="clear" w:color="auto" w:fill="auto"/>
          </w:tcPr>
          <w:p w14:paraId="049AF974"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 xml:space="preserve"> </w:t>
            </w:r>
          </w:p>
        </w:tc>
        <w:tc>
          <w:tcPr>
            <w:tcW w:w="744" w:type="pct"/>
            <w:shd w:val="clear" w:color="auto" w:fill="auto"/>
          </w:tcPr>
          <w:p w14:paraId="48609B53"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Manufacturing</w:t>
            </w:r>
          </w:p>
        </w:tc>
        <w:tc>
          <w:tcPr>
            <w:tcW w:w="520" w:type="pct"/>
            <w:shd w:val="clear" w:color="auto" w:fill="auto"/>
          </w:tcPr>
          <w:p w14:paraId="3D33A43B"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Servicing</w:t>
            </w:r>
          </w:p>
        </w:tc>
        <w:tc>
          <w:tcPr>
            <w:tcW w:w="1793" w:type="pct"/>
            <w:gridSpan w:val="4"/>
            <w:shd w:val="clear" w:color="auto" w:fill="auto"/>
          </w:tcPr>
          <w:p w14:paraId="0130468D" w14:textId="77777777" w:rsidR="00D24A18" w:rsidRPr="00AC107A" w:rsidRDefault="00D24A18" w:rsidP="004D5FDF">
            <w:pPr>
              <w:pStyle w:val="StyleHeader4Para4Left0Firstline0"/>
              <w:numPr>
                <w:ilvl w:val="0"/>
                <w:numId w:val="0"/>
              </w:numPr>
              <w:spacing w:after="60"/>
              <w:jc w:val="center"/>
              <w:rPr>
                <w:sz w:val="19"/>
                <w:szCs w:val="19"/>
                <w:lang w:val="en-CA"/>
              </w:rPr>
            </w:pPr>
          </w:p>
        </w:tc>
      </w:tr>
      <w:tr w:rsidR="00514BA4" w:rsidRPr="00AC107A" w14:paraId="7E754216" w14:textId="77777777" w:rsidTr="004D5FDF">
        <w:trPr>
          <w:trHeight w:val="240"/>
        </w:trPr>
        <w:tc>
          <w:tcPr>
            <w:tcW w:w="686" w:type="pct"/>
            <w:shd w:val="clear" w:color="auto" w:fill="auto"/>
          </w:tcPr>
          <w:p w14:paraId="47C6A6FA" w14:textId="77777777" w:rsidR="00D24A18" w:rsidRPr="00AC107A" w:rsidRDefault="00D24A18" w:rsidP="004D5FDF">
            <w:pPr>
              <w:pStyle w:val="StyleHeader4Para4Left0Firstline0"/>
              <w:numPr>
                <w:ilvl w:val="0"/>
                <w:numId w:val="0"/>
              </w:numPr>
              <w:spacing w:after="60"/>
              <w:jc w:val="left"/>
              <w:rPr>
                <w:sz w:val="19"/>
                <w:szCs w:val="19"/>
                <w:lang w:val="en-CA"/>
              </w:rPr>
            </w:pPr>
            <w:r w:rsidRPr="00AC107A">
              <w:rPr>
                <w:sz w:val="19"/>
                <w:szCs w:val="19"/>
                <w:lang w:val="en-CA"/>
              </w:rPr>
              <w:t>HCFC-22</w:t>
            </w:r>
          </w:p>
        </w:tc>
        <w:tc>
          <w:tcPr>
            <w:tcW w:w="450" w:type="pct"/>
            <w:shd w:val="clear" w:color="auto" w:fill="auto"/>
          </w:tcPr>
          <w:p w14:paraId="2B00A4EB" w14:textId="77777777" w:rsidR="00D24A18" w:rsidRPr="00AC107A" w:rsidRDefault="00D24A18" w:rsidP="004D5FDF">
            <w:pPr>
              <w:pStyle w:val="StyleHeader4Para4Left0Firstline0"/>
              <w:numPr>
                <w:ilvl w:val="0"/>
                <w:numId w:val="0"/>
              </w:numPr>
              <w:spacing w:after="60"/>
              <w:jc w:val="right"/>
              <w:rPr>
                <w:sz w:val="19"/>
                <w:szCs w:val="19"/>
                <w:lang w:val="en-CA"/>
              </w:rPr>
            </w:pPr>
          </w:p>
        </w:tc>
        <w:tc>
          <w:tcPr>
            <w:tcW w:w="356" w:type="pct"/>
            <w:shd w:val="clear" w:color="auto" w:fill="auto"/>
          </w:tcPr>
          <w:p w14:paraId="52C3904E" w14:textId="77777777" w:rsidR="00D24A18" w:rsidRPr="00AC107A" w:rsidRDefault="00D24A18" w:rsidP="004D5FDF">
            <w:pPr>
              <w:pStyle w:val="StyleHeader4Para4Left0Firstline0"/>
              <w:numPr>
                <w:ilvl w:val="0"/>
                <w:numId w:val="0"/>
              </w:numPr>
              <w:spacing w:after="60"/>
              <w:jc w:val="right"/>
              <w:rPr>
                <w:sz w:val="19"/>
                <w:szCs w:val="19"/>
                <w:lang w:val="en-CA"/>
              </w:rPr>
            </w:pPr>
          </w:p>
        </w:tc>
        <w:tc>
          <w:tcPr>
            <w:tcW w:w="451" w:type="pct"/>
            <w:shd w:val="clear" w:color="auto" w:fill="auto"/>
          </w:tcPr>
          <w:p w14:paraId="3383DE5F" w14:textId="77777777" w:rsidR="00D24A18" w:rsidRPr="00AC107A" w:rsidRDefault="00D24A18" w:rsidP="004D5FDF">
            <w:pPr>
              <w:pStyle w:val="StyleHeader4Para4Left0Firstline0"/>
              <w:numPr>
                <w:ilvl w:val="0"/>
                <w:numId w:val="0"/>
              </w:numPr>
              <w:spacing w:after="60"/>
              <w:jc w:val="right"/>
              <w:rPr>
                <w:sz w:val="19"/>
                <w:szCs w:val="19"/>
                <w:lang w:val="en-CA"/>
              </w:rPr>
            </w:pPr>
          </w:p>
        </w:tc>
        <w:tc>
          <w:tcPr>
            <w:tcW w:w="744" w:type="pct"/>
            <w:shd w:val="clear" w:color="auto" w:fill="auto"/>
          </w:tcPr>
          <w:p w14:paraId="64F6BAC6" w14:textId="77777777" w:rsidR="00D24A18" w:rsidRPr="00AC107A" w:rsidRDefault="00D24A18" w:rsidP="004D5FDF">
            <w:pPr>
              <w:pStyle w:val="StyleHeader4Para4Left0Firstline0"/>
              <w:numPr>
                <w:ilvl w:val="0"/>
                <w:numId w:val="0"/>
              </w:numPr>
              <w:spacing w:after="60"/>
              <w:jc w:val="right"/>
              <w:rPr>
                <w:sz w:val="19"/>
                <w:szCs w:val="19"/>
                <w:lang w:val="en-CA"/>
              </w:rPr>
            </w:pPr>
          </w:p>
        </w:tc>
        <w:tc>
          <w:tcPr>
            <w:tcW w:w="520" w:type="pct"/>
            <w:shd w:val="clear" w:color="auto" w:fill="auto"/>
          </w:tcPr>
          <w:p w14:paraId="68683D15"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0.78</w:t>
            </w:r>
          </w:p>
        </w:tc>
        <w:tc>
          <w:tcPr>
            <w:tcW w:w="438" w:type="pct"/>
            <w:shd w:val="clear" w:color="auto" w:fill="auto"/>
          </w:tcPr>
          <w:p w14:paraId="01FC31D7" w14:textId="77777777" w:rsidR="00D24A18" w:rsidRPr="00AC107A" w:rsidRDefault="00D24A18" w:rsidP="004D5FDF">
            <w:pPr>
              <w:pStyle w:val="StyleHeader4Para4Left0Firstline0"/>
              <w:numPr>
                <w:ilvl w:val="0"/>
                <w:numId w:val="0"/>
              </w:numPr>
              <w:spacing w:after="60"/>
              <w:jc w:val="right"/>
              <w:rPr>
                <w:sz w:val="19"/>
                <w:szCs w:val="19"/>
                <w:lang w:val="en-CA"/>
              </w:rPr>
            </w:pPr>
          </w:p>
        </w:tc>
        <w:tc>
          <w:tcPr>
            <w:tcW w:w="439" w:type="pct"/>
            <w:shd w:val="clear" w:color="auto" w:fill="auto"/>
          </w:tcPr>
          <w:p w14:paraId="4310A51A" w14:textId="77777777" w:rsidR="00D24A18" w:rsidRPr="00AC107A" w:rsidRDefault="00D24A18" w:rsidP="004D5FDF">
            <w:pPr>
              <w:pStyle w:val="StyleHeader4Para4Left0Firstline0"/>
              <w:numPr>
                <w:ilvl w:val="0"/>
                <w:numId w:val="0"/>
              </w:numPr>
              <w:spacing w:after="60"/>
              <w:jc w:val="right"/>
              <w:rPr>
                <w:sz w:val="19"/>
                <w:szCs w:val="19"/>
                <w:lang w:val="en-CA"/>
              </w:rPr>
            </w:pPr>
          </w:p>
        </w:tc>
        <w:tc>
          <w:tcPr>
            <w:tcW w:w="280" w:type="pct"/>
            <w:shd w:val="clear" w:color="auto" w:fill="auto"/>
          </w:tcPr>
          <w:p w14:paraId="709A9F6D" w14:textId="77777777" w:rsidR="00D24A18" w:rsidRPr="00AC107A" w:rsidRDefault="00D24A18" w:rsidP="004D5FDF">
            <w:pPr>
              <w:pStyle w:val="StyleHeader4Para4Left0Firstline0"/>
              <w:numPr>
                <w:ilvl w:val="0"/>
                <w:numId w:val="0"/>
              </w:numPr>
              <w:spacing w:after="60"/>
              <w:jc w:val="right"/>
              <w:rPr>
                <w:sz w:val="19"/>
                <w:szCs w:val="19"/>
                <w:lang w:val="en-CA"/>
              </w:rPr>
            </w:pPr>
          </w:p>
        </w:tc>
        <w:tc>
          <w:tcPr>
            <w:tcW w:w="636" w:type="pct"/>
            <w:shd w:val="clear" w:color="auto" w:fill="auto"/>
          </w:tcPr>
          <w:p w14:paraId="76E3064A"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 xml:space="preserve">0.78 </w:t>
            </w:r>
          </w:p>
        </w:tc>
      </w:tr>
    </w:tbl>
    <w:p w14:paraId="737533E9" w14:textId="77777777" w:rsidR="00D24A18" w:rsidRPr="00AC107A" w:rsidRDefault="00D24A18" w:rsidP="00D24A18">
      <w:pPr>
        <w:rPr>
          <w:lang w:val="en-CA"/>
        </w:rPr>
      </w:pPr>
    </w:p>
    <w:tbl>
      <w:tblPr>
        <w:tblStyle w:val="TableGrid"/>
        <w:tblW w:w="5051"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82"/>
        <w:gridCol w:w="742"/>
        <w:gridCol w:w="5382"/>
        <w:gridCol w:w="739"/>
      </w:tblGrid>
      <w:tr w:rsidR="00AC107A" w:rsidRPr="00AC107A" w14:paraId="4FEF86C1" w14:textId="77777777" w:rsidTr="004D5FDF">
        <w:trPr>
          <w:trHeight w:val="240"/>
        </w:trPr>
        <w:tc>
          <w:tcPr>
            <w:tcW w:w="5000" w:type="pct"/>
            <w:gridSpan w:val="4"/>
            <w:shd w:val="clear" w:color="auto" w:fill="auto"/>
          </w:tcPr>
          <w:p w14:paraId="72555D77" w14:textId="77777777" w:rsidR="00D24A18" w:rsidRPr="00AC107A" w:rsidRDefault="00D24A18" w:rsidP="004D5FDF">
            <w:pPr>
              <w:pStyle w:val="StyleHeader4Para4Left0Firstline0"/>
              <w:numPr>
                <w:ilvl w:val="0"/>
                <w:numId w:val="0"/>
              </w:numPr>
              <w:spacing w:after="60"/>
              <w:jc w:val="left"/>
              <w:rPr>
                <w:b/>
                <w:sz w:val="19"/>
                <w:szCs w:val="19"/>
                <w:lang w:val="en-CA"/>
              </w:rPr>
            </w:pPr>
            <w:r w:rsidRPr="00AC107A">
              <w:rPr>
                <w:b/>
                <w:sz w:val="19"/>
                <w:szCs w:val="19"/>
                <w:lang w:val="en-CA"/>
              </w:rPr>
              <w:t>(IV) CONSUMPTION DATA (ODP tonnes)</w:t>
            </w:r>
          </w:p>
        </w:tc>
      </w:tr>
      <w:tr w:rsidR="00AC107A" w:rsidRPr="00AC107A" w14:paraId="5D6366B3" w14:textId="77777777" w:rsidTr="004D5FDF">
        <w:trPr>
          <w:trHeight w:val="240"/>
        </w:trPr>
        <w:tc>
          <w:tcPr>
            <w:tcW w:w="1367" w:type="pct"/>
            <w:shd w:val="clear" w:color="auto" w:fill="auto"/>
          </w:tcPr>
          <w:p w14:paraId="331182F0"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2009 - 2010 baseline:</w:t>
            </w:r>
          </w:p>
        </w:tc>
        <w:tc>
          <w:tcPr>
            <w:tcW w:w="393" w:type="pct"/>
            <w:shd w:val="clear" w:color="auto" w:fill="auto"/>
          </w:tcPr>
          <w:p w14:paraId="41D90F73"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5.30</w:t>
            </w:r>
          </w:p>
        </w:tc>
        <w:tc>
          <w:tcPr>
            <w:tcW w:w="2849" w:type="pct"/>
            <w:shd w:val="clear" w:color="auto" w:fill="auto"/>
          </w:tcPr>
          <w:p w14:paraId="3F327596"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Starting point for sustained aggregate reductions:</w:t>
            </w:r>
          </w:p>
        </w:tc>
        <w:tc>
          <w:tcPr>
            <w:tcW w:w="391" w:type="pct"/>
            <w:shd w:val="clear" w:color="auto" w:fill="auto"/>
          </w:tcPr>
          <w:p w14:paraId="0DD5C7EC"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5.30</w:t>
            </w:r>
          </w:p>
        </w:tc>
      </w:tr>
      <w:tr w:rsidR="00AC107A" w:rsidRPr="00AC107A" w14:paraId="2CB7B9F7" w14:textId="77777777" w:rsidTr="004D5FDF">
        <w:trPr>
          <w:trHeight w:val="240"/>
        </w:trPr>
        <w:tc>
          <w:tcPr>
            <w:tcW w:w="5000" w:type="pct"/>
            <w:gridSpan w:val="4"/>
            <w:shd w:val="clear" w:color="auto" w:fill="auto"/>
          </w:tcPr>
          <w:p w14:paraId="4967C32F" w14:textId="77777777" w:rsidR="00D24A18" w:rsidRPr="00AC107A" w:rsidRDefault="00D24A18" w:rsidP="004D5FDF">
            <w:pPr>
              <w:pStyle w:val="StyleHeader4Para4Left0Firstline0"/>
              <w:numPr>
                <w:ilvl w:val="0"/>
                <w:numId w:val="0"/>
              </w:numPr>
              <w:spacing w:after="60"/>
              <w:jc w:val="center"/>
              <w:rPr>
                <w:b/>
                <w:sz w:val="19"/>
                <w:szCs w:val="19"/>
                <w:lang w:val="en-CA"/>
              </w:rPr>
            </w:pPr>
            <w:r w:rsidRPr="00AC107A">
              <w:rPr>
                <w:b/>
                <w:sz w:val="19"/>
                <w:szCs w:val="19"/>
                <w:lang w:val="en-CA"/>
              </w:rPr>
              <w:t>CONSUMPTION ELIGIBLE FOR FUNDING (ODP tonnes)</w:t>
            </w:r>
          </w:p>
        </w:tc>
      </w:tr>
      <w:tr w:rsidR="00514BA4" w:rsidRPr="00AC107A" w14:paraId="7A1DF911" w14:textId="77777777" w:rsidTr="004D5FDF">
        <w:trPr>
          <w:trHeight w:val="240"/>
        </w:trPr>
        <w:tc>
          <w:tcPr>
            <w:tcW w:w="1367" w:type="pct"/>
            <w:shd w:val="clear" w:color="auto" w:fill="auto"/>
          </w:tcPr>
          <w:p w14:paraId="1F66150B"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Already approved:</w:t>
            </w:r>
          </w:p>
        </w:tc>
        <w:tc>
          <w:tcPr>
            <w:tcW w:w="393" w:type="pct"/>
            <w:shd w:val="clear" w:color="auto" w:fill="auto"/>
          </w:tcPr>
          <w:p w14:paraId="2A421872"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1.85</w:t>
            </w:r>
          </w:p>
        </w:tc>
        <w:tc>
          <w:tcPr>
            <w:tcW w:w="2849" w:type="pct"/>
            <w:shd w:val="clear" w:color="auto" w:fill="auto"/>
          </w:tcPr>
          <w:p w14:paraId="44B091E6"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Remaining:</w:t>
            </w:r>
          </w:p>
        </w:tc>
        <w:tc>
          <w:tcPr>
            <w:tcW w:w="391" w:type="pct"/>
            <w:shd w:val="clear" w:color="auto" w:fill="auto"/>
          </w:tcPr>
          <w:p w14:paraId="44D9FF25"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3.45</w:t>
            </w:r>
          </w:p>
        </w:tc>
      </w:tr>
    </w:tbl>
    <w:p w14:paraId="6AE8FE14" w14:textId="77777777" w:rsidR="00D24A18" w:rsidRPr="00AC107A" w:rsidRDefault="00D24A18" w:rsidP="00D24A18">
      <w:pPr>
        <w:rPr>
          <w:lang w:val="en-CA"/>
        </w:rPr>
      </w:pPr>
    </w:p>
    <w:tbl>
      <w:tblPr>
        <w:tblStyle w:val="TableGrid"/>
        <w:tblW w:w="5051"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743"/>
        <w:gridCol w:w="4683"/>
        <w:gridCol w:w="1642"/>
        <w:gridCol w:w="1377"/>
      </w:tblGrid>
      <w:tr w:rsidR="00AC107A" w:rsidRPr="00AC107A" w14:paraId="6AAA2BBF" w14:textId="77777777" w:rsidTr="004D5FDF">
        <w:trPr>
          <w:trHeight w:val="262"/>
        </w:trPr>
        <w:tc>
          <w:tcPr>
            <w:tcW w:w="3402" w:type="pct"/>
            <w:gridSpan w:val="2"/>
            <w:shd w:val="clear" w:color="auto" w:fill="auto"/>
          </w:tcPr>
          <w:p w14:paraId="07683DAE" w14:textId="77777777" w:rsidR="00D24A18" w:rsidRPr="00AC107A" w:rsidRDefault="00D24A18" w:rsidP="004D5FDF">
            <w:pPr>
              <w:pStyle w:val="StyleHeader4Para4Left0Firstline0"/>
              <w:numPr>
                <w:ilvl w:val="0"/>
                <w:numId w:val="0"/>
              </w:numPr>
              <w:spacing w:after="60"/>
              <w:jc w:val="left"/>
              <w:rPr>
                <w:b/>
                <w:sz w:val="19"/>
                <w:szCs w:val="19"/>
                <w:lang w:val="en-CA"/>
              </w:rPr>
            </w:pPr>
            <w:r w:rsidRPr="00AC107A">
              <w:rPr>
                <w:b/>
                <w:sz w:val="19"/>
                <w:szCs w:val="19"/>
                <w:lang w:val="en-CA"/>
              </w:rPr>
              <w:t>(V) BUSINESS PLAN</w:t>
            </w:r>
          </w:p>
        </w:tc>
        <w:tc>
          <w:tcPr>
            <w:tcW w:w="869" w:type="pct"/>
            <w:shd w:val="clear" w:color="auto" w:fill="auto"/>
          </w:tcPr>
          <w:p w14:paraId="4512EBCA" w14:textId="77777777" w:rsidR="00D24A18" w:rsidRPr="00AC107A" w:rsidRDefault="00D24A18" w:rsidP="004D5FDF">
            <w:pPr>
              <w:pStyle w:val="StyleHeader4Para4Left0Firstline0"/>
              <w:numPr>
                <w:ilvl w:val="0"/>
                <w:numId w:val="0"/>
              </w:numPr>
              <w:spacing w:after="60"/>
              <w:jc w:val="center"/>
              <w:rPr>
                <w:b/>
                <w:sz w:val="19"/>
                <w:szCs w:val="19"/>
                <w:lang w:val="en-CA"/>
              </w:rPr>
            </w:pPr>
            <w:r w:rsidRPr="00AC107A">
              <w:rPr>
                <w:b/>
                <w:sz w:val="19"/>
                <w:szCs w:val="19"/>
                <w:lang w:val="en-CA"/>
              </w:rPr>
              <w:t>2020</w:t>
            </w:r>
          </w:p>
        </w:tc>
        <w:tc>
          <w:tcPr>
            <w:tcW w:w="729" w:type="pct"/>
            <w:shd w:val="clear" w:color="auto" w:fill="auto"/>
          </w:tcPr>
          <w:p w14:paraId="01EC8B57" w14:textId="77777777" w:rsidR="00D24A18" w:rsidRPr="00AC107A" w:rsidRDefault="00D24A18" w:rsidP="004D5FDF">
            <w:pPr>
              <w:pStyle w:val="StyleHeader4Para4Left0Firstline0"/>
              <w:numPr>
                <w:ilvl w:val="0"/>
                <w:numId w:val="0"/>
              </w:numPr>
              <w:spacing w:after="60"/>
              <w:jc w:val="center"/>
              <w:rPr>
                <w:b/>
                <w:sz w:val="19"/>
                <w:szCs w:val="19"/>
                <w:lang w:val="en-CA"/>
              </w:rPr>
            </w:pPr>
            <w:r w:rsidRPr="00AC107A">
              <w:rPr>
                <w:b/>
                <w:sz w:val="19"/>
                <w:szCs w:val="19"/>
                <w:lang w:val="en-CA"/>
              </w:rPr>
              <w:t>Total</w:t>
            </w:r>
          </w:p>
        </w:tc>
      </w:tr>
      <w:tr w:rsidR="00AC107A" w:rsidRPr="00AC107A" w14:paraId="19CA3518" w14:textId="77777777" w:rsidTr="004D5FDF">
        <w:trPr>
          <w:trHeight w:val="262"/>
        </w:trPr>
        <w:tc>
          <w:tcPr>
            <w:tcW w:w="923" w:type="pct"/>
            <w:vMerge w:val="restart"/>
            <w:shd w:val="clear" w:color="auto" w:fill="auto"/>
          </w:tcPr>
          <w:p w14:paraId="1D5D1F80"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Germany</w:t>
            </w:r>
          </w:p>
        </w:tc>
        <w:tc>
          <w:tcPr>
            <w:tcW w:w="2479" w:type="pct"/>
            <w:shd w:val="clear" w:color="auto" w:fill="auto"/>
          </w:tcPr>
          <w:p w14:paraId="188E2534" w14:textId="77777777" w:rsidR="00D24A18" w:rsidRPr="00AC107A" w:rsidRDefault="00D24A18" w:rsidP="004D5FDF">
            <w:pPr>
              <w:pStyle w:val="StyleHeader4Para4Left0Firstline0"/>
              <w:numPr>
                <w:ilvl w:val="0"/>
                <w:numId w:val="0"/>
              </w:numPr>
              <w:spacing w:after="60"/>
              <w:jc w:val="left"/>
              <w:rPr>
                <w:sz w:val="19"/>
                <w:szCs w:val="19"/>
                <w:lang w:val="en-CA"/>
              </w:rPr>
            </w:pPr>
            <w:r w:rsidRPr="00AC107A">
              <w:rPr>
                <w:sz w:val="19"/>
                <w:szCs w:val="19"/>
                <w:lang w:val="en-CA"/>
              </w:rPr>
              <w:t>ODS phase-out (ODP tonnes)</w:t>
            </w:r>
          </w:p>
        </w:tc>
        <w:tc>
          <w:tcPr>
            <w:tcW w:w="869" w:type="pct"/>
            <w:shd w:val="clear" w:color="auto" w:fill="auto"/>
          </w:tcPr>
          <w:p w14:paraId="2035FC1B"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0.2</w:t>
            </w:r>
          </w:p>
        </w:tc>
        <w:tc>
          <w:tcPr>
            <w:tcW w:w="729" w:type="pct"/>
            <w:shd w:val="clear" w:color="auto" w:fill="auto"/>
          </w:tcPr>
          <w:p w14:paraId="521564D6"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0.2</w:t>
            </w:r>
          </w:p>
        </w:tc>
      </w:tr>
      <w:tr w:rsidR="00514BA4" w:rsidRPr="00AC107A" w14:paraId="26ECF0E2" w14:textId="77777777" w:rsidTr="004D5FDF">
        <w:trPr>
          <w:trHeight w:val="262"/>
        </w:trPr>
        <w:tc>
          <w:tcPr>
            <w:tcW w:w="923" w:type="pct"/>
            <w:vMerge/>
            <w:shd w:val="clear" w:color="auto" w:fill="auto"/>
          </w:tcPr>
          <w:p w14:paraId="7D639AE7" w14:textId="77777777" w:rsidR="00D24A18" w:rsidRPr="00AC107A" w:rsidRDefault="00D24A18" w:rsidP="004D5FDF">
            <w:pPr>
              <w:pStyle w:val="StyleHeader4Para4Left0Firstline0"/>
              <w:numPr>
                <w:ilvl w:val="0"/>
                <w:numId w:val="0"/>
              </w:numPr>
              <w:spacing w:after="60"/>
              <w:jc w:val="center"/>
              <w:rPr>
                <w:sz w:val="19"/>
                <w:szCs w:val="19"/>
                <w:lang w:val="en-CA"/>
              </w:rPr>
            </w:pPr>
          </w:p>
        </w:tc>
        <w:tc>
          <w:tcPr>
            <w:tcW w:w="2479" w:type="pct"/>
            <w:shd w:val="clear" w:color="auto" w:fill="auto"/>
          </w:tcPr>
          <w:p w14:paraId="713A912B" w14:textId="77777777" w:rsidR="00D24A18" w:rsidRPr="00AC107A" w:rsidRDefault="00D24A18" w:rsidP="004D5FDF">
            <w:pPr>
              <w:pStyle w:val="StyleHeader4Para4Left0Firstline0"/>
              <w:numPr>
                <w:ilvl w:val="0"/>
                <w:numId w:val="0"/>
              </w:numPr>
              <w:spacing w:after="60"/>
              <w:jc w:val="left"/>
              <w:rPr>
                <w:sz w:val="19"/>
                <w:szCs w:val="19"/>
                <w:lang w:val="en-CA"/>
              </w:rPr>
            </w:pPr>
            <w:r w:rsidRPr="00AC107A">
              <w:rPr>
                <w:sz w:val="19"/>
                <w:szCs w:val="19"/>
                <w:lang w:val="en-CA"/>
              </w:rPr>
              <w:t>Funding (</w:t>
            </w:r>
            <w:r w:rsidR="00504E94" w:rsidRPr="00AC107A">
              <w:rPr>
                <w:sz w:val="19"/>
                <w:szCs w:val="19"/>
                <w:lang w:val="en-CA"/>
              </w:rPr>
              <w:t>US $</w:t>
            </w:r>
            <w:r w:rsidRPr="00AC107A">
              <w:rPr>
                <w:sz w:val="19"/>
                <w:szCs w:val="19"/>
                <w:lang w:val="en-CA"/>
              </w:rPr>
              <w:t>)</w:t>
            </w:r>
          </w:p>
        </w:tc>
        <w:tc>
          <w:tcPr>
            <w:tcW w:w="869" w:type="pct"/>
            <w:shd w:val="clear" w:color="auto" w:fill="auto"/>
          </w:tcPr>
          <w:p w14:paraId="6EE00532"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35,595</w:t>
            </w:r>
          </w:p>
        </w:tc>
        <w:tc>
          <w:tcPr>
            <w:tcW w:w="729" w:type="pct"/>
            <w:shd w:val="clear" w:color="auto" w:fill="auto"/>
          </w:tcPr>
          <w:p w14:paraId="233442A1"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35,595</w:t>
            </w:r>
          </w:p>
        </w:tc>
      </w:tr>
    </w:tbl>
    <w:p w14:paraId="6AE1D222" w14:textId="77777777" w:rsidR="00D24A18" w:rsidRPr="00AC107A" w:rsidRDefault="00D24A18" w:rsidP="00D24A18">
      <w:pPr>
        <w:rPr>
          <w:lang w:val="en-CA"/>
        </w:rPr>
      </w:pPr>
    </w:p>
    <w:tbl>
      <w:tblPr>
        <w:tblStyle w:val="TableGrid"/>
        <w:tblW w:w="5051"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403"/>
        <w:gridCol w:w="736"/>
        <w:gridCol w:w="1242"/>
        <w:gridCol w:w="674"/>
        <w:gridCol w:w="674"/>
        <w:gridCol w:w="674"/>
        <w:gridCol w:w="674"/>
        <w:gridCol w:w="674"/>
        <w:gridCol w:w="674"/>
        <w:gridCol w:w="674"/>
        <w:gridCol w:w="674"/>
        <w:gridCol w:w="672"/>
      </w:tblGrid>
      <w:tr w:rsidR="00AC107A" w:rsidRPr="00AC107A" w14:paraId="5AD75C0D" w14:textId="77777777" w:rsidTr="00504E94">
        <w:trPr>
          <w:trHeight w:val="388"/>
        </w:trPr>
        <w:tc>
          <w:tcPr>
            <w:tcW w:w="1787" w:type="pct"/>
            <w:gridSpan w:val="3"/>
            <w:shd w:val="clear" w:color="auto" w:fill="auto"/>
            <w:tcMar>
              <w:left w:w="58" w:type="dxa"/>
              <w:right w:w="58" w:type="dxa"/>
            </w:tcMar>
          </w:tcPr>
          <w:p w14:paraId="74475FDB" w14:textId="77777777" w:rsidR="00D24A18" w:rsidRPr="00AC107A" w:rsidRDefault="00D24A18" w:rsidP="004D5FDF">
            <w:pPr>
              <w:pStyle w:val="StyleHeader4Para4Left0Firstline0"/>
              <w:numPr>
                <w:ilvl w:val="0"/>
                <w:numId w:val="0"/>
              </w:numPr>
              <w:spacing w:after="60"/>
              <w:jc w:val="left"/>
              <w:rPr>
                <w:b/>
                <w:sz w:val="19"/>
                <w:szCs w:val="19"/>
                <w:lang w:val="en-CA"/>
              </w:rPr>
            </w:pPr>
            <w:r w:rsidRPr="00AC107A">
              <w:rPr>
                <w:b/>
                <w:sz w:val="19"/>
                <w:szCs w:val="19"/>
                <w:lang w:val="en-CA"/>
              </w:rPr>
              <w:t>(VI) PROJECT DATA</w:t>
            </w:r>
          </w:p>
        </w:tc>
        <w:tc>
          <w:tcPr>
            <w:tcW w:w="357" w:type="pct"/>
            <w:shd w:val="clear" w:color="auto" w:fill="auto"/>
            <w:tcMar>
              <w:left w:w="0" w:type="dxa"/>
              <w:right w:w="0" w:type="dxa"/>
            </w:tcMar>
          </w:tcPr>
          <w:p w14:paraId="713537FC" w14:textId="77777777" w:rsidR="00D24A18" w:rsidRPr="00AC107A" w:rsidRDefault="00D24A18" w:rsidP="004D5FDF">
            <w:pPr>
              <w:pStyle w:val="StyleHeader4Para4Left0Firstline0"/>
              <w:numPr>
                <w:ilvl w:val="0"/>
                <w:numId w:val="0"/>
              </w:numPr>
              <w:spacing w:after="60"/>
              <w:jc w:val="center"/>
              <w:rPr>
                <w:b/>
                <w:sz w:val="19"/>
                <w:szCs w:val="19"/>
                <w:lang w:val="en-CA"/>
              </w:rPr>
            </w:pPr>
            <w:r w:rsidRPr="00AC107A">
              <w:rPr>
                <w:b/>
                <w:sz w:val="19"/>
                <w:szCs w:val="19"/>
                <w:lang w:val="en-CA"/>
              </w:rPr>
              <w:t>2011</w:t>
            </w:r>
          </w:p>
        </w:tc>
        <w:tc>
          <w:tcPr>
            <w:tcW w:w="357" w:type="pct"/>
            <w:shd w:val="clear" w:color="auto" w:fill="auto"/>
            <w:tcMar>
              <w:left w:w="0" w:type="dxa"/>
              <w:right w:w="0" w:type="dxa"/>
            </w:tcMar>
          </w:tcPr>
          <w:p w14:paraId="21B1C040" w14:textId="77777777" w:rsidR="00D24A18" w:rsidRPr="00AC107A" w:rsidRDefault="00D24A18" w:rsidP="004D5FDF">
            <w:pPr>
              <w:pStyle w:val="StyleHeader4Para4Left0Firstline0"/>
              <w:numPr>
                <w:ilvl w:val="0"/>
                <w:numId w:val="0"/>
              </w:numPr>
              <w:spacing w:after="60"/>
              <w:jc w:val="center"/>
              <w:rPr>
                <w:b/>
                <w:sz w:val="19"/>
                <w:szCs w:val="19"/>
                <w:lang w:val="en-CA"/>
              </w:rPr>
            </w:pPr>
            <w:r w:rsidRPr="00AC107A">
              <w:rPr>
                <w:b/>
                <w:sz w:val="19"/>
                <w:szCs w:val="19"/>
                <w:lang w:val="en-CA"/>
              </w:rPr>
              <w:t>2012</w:t>
            </w:r>
          </w:p>
        </w:tc>
        <w:tc>
          <w:tcPr>
            <w:tcW w:w="357" w:type="pct"/>
            <w:shd w:val="clear" w:color="auto" w:fill="auto"/>
            <w:tcMar>
              <w:left w:w="0" w:type="dxa"/>
              <w:right w:w="0" w:type="dxa"/>
            </w:tcMar>
          </w:tcPr>
          <w:p w14:paraId="3B291AE9" w14:textId="77777777" w:rsidR="00D24A18" w:rsidRPr="00AC107A" w:rsidRDefault="00D24A18" w:rsidP="004D5FDF">
            <w:pPr>
              <w:pStyle w:val="StyleHeader4Para4Left0Firstline0"/>
              <w:numPr>
                <w:ilvl w:val="0"/>
                <w:numId w:val="0"/>
              </w:numPr>
              <w:spacing w:after="60"/>
              <w:jc w:val="center"/>
              <w:rPr>
                <w:b/>
                <w:sz w:val="19"/>
                <w:szCs w:val="19"/>
                <w:lang w:val="en-CA"/>
              </w:rPr>
            </w:pPr>
            <w:r w:rsidRPr="00AC107A">
              <w:rPr>
                <w:b/>
                <w:sz w:val="19"/>
                <w:szCs w:val="19"/>
                <w:lang w:val="en-CA"/>
              </w:rPr>
              <w:t>2013</w:t>
            </w:r>
          </w:p>
        </w:tc>
        <w:tc>
          <w:tcPr>
            <w:tcW w:w="357" w:type="pct"/>
            <w:shd w:val="clear" w:color="auto" w:fill="auto"/>
            <w:tcMar>
              <w:left w:w="0" w:type="dxa"/>
              <w:right w:w="0" w:type="dxa"/>
            </w:tcMar>
          </w:tcPr>
          <w:p w14:paraId="32FA374F" w14:textId="77777777" w:rsidR="00D24A18" w:rsidRPr="00AC107A" w:rsidRDefault="00D24A18" w:rsidP="004D5FDF">
            <w:pPr>
              <w:pStyle w:val="StyleHeader4Para4Left0Firstline0"/>
              <w:numPr>
                <w:ilvl w:val="0"/>
                <w:numId w:val="0"/>
              </w:numPr>
              <w:spacing w:after="60"/>
              <w:jc w:val="center"/>
              <w:rPr>
                <w:b/>
                <w:sz w:val="19"/>
                <w:szCs w:val="19"/>
                <w:lang w:val="en-CA"/>
              </w:rPr>
            </w:pPr>
            <w:r w:rsidRPr="00AC107A">
              <w:rPr>
                <w:b/>
                <w:sz w:val="19"/>
                <w:szCs w:val="19"/>
                <w:lang w:val="en-CA"/>
              </w:rPr>
              <w:t>2014</w:t>
            </w:r>
          </w:p>
        </w:tc>
        <w:tc>
          <w:tcPr>
            <w:tcW w:w="357" w:type="pct"/>
            <w:shd w:val="clear" w:color="auto" w:fill="auto"/>
            <w:tcMar>
              <w:left w:w="0" w:type="dxa"/>
              <w:right w:w="0" w:type="dxa"/>
            </w:tcMar>
          </w:tcPr>
          <w:p w14:paraId="4428A34C" w14:textId="77777777" w:rsidR="00D24A18" w:rsidRPr="00AC107A" w:rsidRDefault="00D24A18" w:rsidP="004D5FDF">
            <w:pPr>
              <w:pStyle w:val="StyleHeader4Para4Left0Firstline0"/>
              <w:numPr>
                <w:ilvl w:val="0"/>
                <w:numId w:val="0"/>
              </w:numPr>
              <w:spacing w:after="60"/>
              <w:jc w:val="center"/>
              <w:rPr>
                <w:b/>
                <w:sz w:val="19"/>
                <w:szCs w:val="19"/>
                <w:lang w:val="en-CA"/>
              </w:rPr>
            </w:pPr>
            <w:r w:rsidRPr="00AC107A">
              <w:rPr>
                <w:b/>
                <w:sz w:val="19"/>
                <w:szCs w:val="19"/>
                <w:lang w:val="en-CA"/>
              </w:rPr>
              <w:t>2015</w:t>
            </w:r>
          </w:p>
        </w:tc>
        <w:tc>
          <w:tcPr>
            <w:tcW w:w="357" w:type="pct"/>
            <w:shd w:val="clear" w:color="auto" w:fill="auto"/>
            <w:tcMar>
              <w:left w:w="0" w:type="dxa"/>
              <w:right w:w="0" w:type="dxa"/>
            </w:tcMar>
          </w:tcPr>
          <w:p w14:paraId="660D6D07" w14:textId="77777777" w:rsidR="00D24A18" w:rsidRPr="00AC107A" w:rsidRDefault="00D24A18" w:rsidP="004D5FDF">
            <w:pPr>
              <w:pStyle w:val="StyleHeader4Para4Left0Firstline0"/>
              <w:numPr>
                <w:ilvl w:val="0"/>
                <w:numId w:val="0"/>
              </w:numPr>
              <w:spacing w:after="60"/>
              <w:jc w:val="center"/>
              <w:rPr>
                <w:b/>
                <w:sz w:val="19"/>
                <w:szCs w:val="19"/>
                <w:lang w:val="en-CA"/>
              </w:rPr>
            </w:pPr>
            <w:r w:rsidRPr="00AC107A">
              <w:rPr>
                <w:b/>
                <w:sz w:val="19"/>
                <w:szCs w:val="19"/>
                <w:lang w:val="en-CA"/>
              </w:rPr>
              <w:t>2016- 2017</w:t>
            </w:r>
          </w:p>
        </w:tc>
        <w:tc>
          <w:tcPr>
            <w:tcW w:w="357" w:type="pct"/>
            <w:shd w:val="clear" w:color="auto" w:fill="auto"/>
            <w:tcMar>
              <w:left w:w="0" w:type="dxa"/>
              <w:right w:w="0" w:type="dxa"/>
            </w:tcMar>
          </w:tcPr>
          <w:p w14:paraId="2C1C9E41" w14:textId="77777777" w:rsidR="00D24A18" w:rsidRPr="00AC107A" w:rsidRDefault="00D24A18" w:rsidP="004D5FDF">
            <w:pPr>
              <w:pStyle w:val="StyleHeader4Para4Left0Firstline0"/>
              <w:numPr>
                <w:ilvl w:val="0"/>
                <w:numId w:val="0"/>
              </w:numPr>
              <w:spacing w:after="60"/>
              <w:jc w:val="center"/>
              <w:rPr>
                <w:b/>
                <w:sz w:val="19"/>
                <w:szCs w:val="19"/>
                <w:lang w:val="en-CA"/>
              </w:rPr>
            </w:pPr>
            <w:r w:rsidRPr="00AC107A">
              <w:rPr>
                <w:b/>
                <w:sz w:val="19"/>
                <w:szCs w:val="19"/>
                <w:lang w:val="en-CA"/>
              </w:rPr>
              <w:t>2018-2019</w:t>
            </w:r>
          </w:p>
        </w:tc>
        <w:tc>
          <w:tcPr>
            <w:tcW w:w="357" w:type="pct"/>
            <w:shd w:val="clear" w:color="auto" w:fill="auto"/>
            <w:tcMar>
              <w:left w:w="0" w:type="dxa"/>
              <w:right w:w="0" w:type="dxa"/>
            </w:tcMar>
          </w:tcPr>
          <w:p w14:paraId="60EFEEFD" w14:textId="77777777" w:rsidR="00D24A18" w:rsidRPr="00AC107A" w:rsidRDefault="00D24A18" w:rsidP="004D5FDF">
            <w:pPr>
              <w:pStyle w:val="StyleHeader4Para4Left0Firstline0"/>
              <w:numPr>
                <w:ilvl w:val="0"/>
                <w:numId w:val="0"/>
              </w:numPr>
              <w:spacing w:after="60"/>
              <w:jc w:val="center"/>
              <w:rPr>
                <w:b/>
                <w:sz w:val="19"/>
                <w:szCs w:val="19"/>
                <w:lang w:val="en-CA"/>
              </w:rPr>
            </w:pPr>
            <w:r w:rsidRPr="00AC107A">
              <w:rPr>
                <w:b/>
                <w:sz w:val="19"/>
                <w:szCs w:val="19"/>
                <w:lang w:val="en-CA"/>
              </w:rPr>
              <w:t>2020</w:t>
            </w:r>
          </w:p>
        </w:tc>
        <w:tc>
          <w:tcPr>
            <w:tcW w:w="357" w:type="pct"/>
            <w:shd w:val="clear" w:color="auto" w:fill="auto"/>
            <w:tcMar>
              <w:left w:w="0" w:type="dxa"/>
              <w:right w:w="0" w:type="dxa"/>
            </w:tcMar>
          </w:tcPr>
          <w:p w14:paraId="6FB055C5" w14:textId="77777777" w:rsidR="00D24A18" w:rsidRPr="00AC107A" w:rsidRDefault="00D24A18" w:rsidP="004D5FDF">
            <w:pPr>
              <w:pStyle w:val="StyleHeader4Para4Left0Firstline0"/>
              <w:numPr>
                <w:ilvl w:val="0"/>
                <w:numId w:val="0"/>
              </w:numPr>
              <w:spacing w:after="60"/>
              <w:jc w:val="center"/>
              <w:rPr>
                <w:b/>
                <w:sz w:val="19"/>
                <w:szCs w:val="19"/>
                <w:lang w:val="en-CA"/>
              </w:rPr>
            </w:pPr>
            <w:r w:rsidRPr="00AC107A">
              <w:rPr>
                <w:b/>
                <w:sz w:val="19"/>
                <w:szCs w:val="19"/>
                <w:lang w:val="en-CA"/>
              </w:rPr>
              <w:t>Total</w:t>
            </w:r>
          </w:p>
        </w:tc>
      </w:tr>
      <w:tr w:rsidR="00AC107A" w:rsidRPr="00AC107A" w14:paraId="026D135D" w14:textId="77777777" w:rsidTr="00504E94">
        <w:trPr>
          <w:trHeight w:val="209"/>
        </w:trPr>
        <w:tc>
          <w:tcPr>
            <w:tcW w:w="1787" w:type="pct"/>
            <w:gridSpan w:val="3"/>
            <w:shd w:val="clear" w:color="auto" w:fill="auto"/>
            <w:tcMar>
              <w:left w:w="58" w:type="dxa"/>
              <w:right w:w="58" w:type="dxa"/>
            </w:tcMar>
          </w:tcPr>
          <w:p w14:paraId="12F357BC" w14:textId="77777777" w:rsidR="00D24A18" w:rsidRPr="00AC107A" w:rsidRDefault="00D24A18" w:rsidP="004D5FDF">
            <w:pPr>
              <w:pStyle w:val="StyleHeader4Para4Left0Firstline0"/>
              <w:numPr>
                <w:ilvl w:val="0"/>
                <w:numId w:val="0"/>
              </w:numPr>
              <w:spacing w:after="60"/>
              <w:jc w:val="left"/>
              <w:rPr>
                <w:sz w:val="19"/>
                <w:szCs w:val="19"/>
                <w:lang w:val="en-CA"/>
              </w:rPr>
            </w:pPr>
            <w:r w:rsidRPr="00AC107A">
              <w:rPr>
                <w:sz w:val="19"/>
                <w:szCs w:val="19"/>
                <w:lang w:val="en-CA"/>
              </w:rPr>
              <w:t>Montreal Protocol consumption limits</w:t>
            </w:r>
          </w:p>
        </w:tc>
        <w:tc>
          <w:tcPr>
            <w:tcW w:w="357" w:type="pct"/>
            <w:shd w:val="clear" w:color="auto" w:fill="auto"/>
            <w:tcMar>
              <w:left w:w="0" w:type="dxa"/>
              <w:right w:w="0" w:type="dxa"/>
            </w:tcMar>
          </w:tcPr>
          <w:p w14:paraId="1C798830"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n/a</w:t>
            </w:r>
          </w:p>
        </w:tc>
        <w:tc>
          <w:tcPr>
            <w:tcW w:w="357" w:type="pct"/>
            <w:shd w:val="clear" w:color="auto" w:fill="auto"/>
            <w:tcMar>
              <w:left w:w="0" w:type="dxa"/>
              <w:right w:w="0" w:type="dxa"/>
            </w:tcMar>
          </w:tcPr>
          <w:p w14:paraId="7D6A5873"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n/a</w:t>
            </w:r>
          </w:p>
        </w:tc>
        <w:tc>
          <w:tcPr>
            <w:tcW w:w="357" w:type="pct"/>
            <w:shd w:val="clear" w:color="auto" w:fill="auto"/>
            <w:tcMar>
              <w:left w:w="0" w:type="dxa"/>
              <w:right w:w="0" w:type="dxa"/>
            </w:tcMar>
          </w:tcPr>
          <w:p w14:paraId="73D02AC3"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5.3</w:t>
            </w:r>
          </w:p>
        </w:tc>
        <w:tc>
          <w:tcPr>
            <w:tcW w:w="357" w:type="pct"/>
            <w:shd w:val="clear" w:color="auto" w:fill="auto"/>
            <w:tcMar>
              <w:left w:w="0" w:type="dxa"/>
              <w:right w:w="0" w:type="dxa"/>
            </w:tcMar>
          </w:tcPr>
          <w:p w14:paraId="140565C4"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5.3</w:t>
            </w:r>
          </w:p>
        </w:tc>
        <w:tc>
          <w:tcPr>
            <w:tcW w:w="357" w:type="pct"/>
            <w:shd w:val="clear" w:color="auto" w:fill="auto"/>
            <w:tcMar>
              <w:left w:w="0" w:type="dxa"/>
              <w:right w:w="0" w:type="dxa"/>
            </w:tcMar>
          </w:tcPr>
          <w:p w14:paraId="2E1DCB79"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4.77</w:t>
            </w:r>
          </w:p>
        </w:tc>
        <w:tc>
          <w:tcPr>
            <w:tcW w:w="357" w:type="pct"/>
            <w:shd w:val="clear" w:color="auto" w:fill="auto"/>
            <w:tcMar>
              <w:left w:w="0" w:type="dxa"/>
              <w:right w:w="0" w:type="dxa"/>
            </w:tcMar>
          </w:tcPr>
          <w:p w14:paraId="4813AE6F"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4.77</w:t>
            </w:r>
          </w:p>
        </w:tc>
        <w:tc>
          <w:tcPr>
            <w:tcW w:w="357" w:type="pct"/>
            <w:shd w:val="clear" w:color="auto" w:fill="auto"/>
            <w:tcMar>
              <w:left w:w="0" w:type="dxa"/>
              <w:right w:w="0" w:type="dxa"/>
            </w:tcMar>
          </w:tcPr>
          <w:p w14:paraId="3617AB1F"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4.77</w:t>
            </w:r>
          </w:p>
        </w:tc>
        <w:tc>
          <w:tcPr>
            <w:tcW w:w="357" w:type="pct"/>
            <w:shd w:val="clear" w:color="auto" w:fill="auto"/>
            <w:tcMar>
              <w:left w:w="0" w:type="dxa"/>
              <w:right w:w="0" w:type="dxa"/>
            </w:tcMar>
          </w:tcPr>
          <w:p w14:paraId="450C9316"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3.45</w:t>
            </w:r>
          </w:p>
        </w:tc>
        <w:tc>
          <w:tcPr>
            <w:tcW w:w="357" w:type="pct"/>
            <w:shd w:val="clear" w:color="auto" w:fill="auto"/>
            <w:tcMar>
              <w:left w:w="0" w:type="dxa"/>
              <w:right w:w="0" w:type="dxa"/>
            </w:tcMar>
          </w:tcPr>
          <w:p w14:paraId="0E739022"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n/a</w:t>
            </w:r>
          </w:p>
        </w:tc>
      </w:tr>
      <w:tr w:rsidR="00AC107A" w:rsidRPr="00AC107A" w14:paraId="2B95C413" w14:textId="77777777" w:rsidTr="00504E94">
        <w:trPr>
          <w:trHeight w:val="388"/>
        </w:trPr>
        <w:tc>
          <w:tcPr>
            <w:tcW w:w="1787" w:type="pct"/>
            <w:gridSpan w:val="3"/>
            <w:shd w:val="clear" w:color="auto" w:fill="auto"/>
            <w:tcMar>
              <w:left w:w="58" w:type="dxa"/>
              <w:right w:w="58" w:type="dxa"/>
            </w:tcMar>
          </w:tcPr>
          <w:p w14:paraId="2D8C944E" w14:textId="77777777" w:rsidR="00D24A18" w:rsidRPr="00AC107A" w:rsidRDefault="00D24A18" w:rsidP="004D5FDF">
            <w:pPr>
              <w:pStyle w:val="StyleHeader4Para4Left0Firstline0"/>
              <w:numPr>
                <w:ilvl w:val="0"/>
                <w:numId w:val="0"/>
              </w:numPr>
              <w:spacing w:after="60"/>
              <w:jc w:val="left"/>
              <w:rPr>
                <w:sz w:val="19"/>
                <w:szCs w:val="19"/>
                <w:lang w:val="en-CA"/>
              </w:rPr>
            </w:pPr>
            <w:r w:rsidRPr="00AC107A">
              <w:rPr>
                <w:sz w:val="19"/>
                <w:szCs w:val="19"/>
                <w:lang w:val="en-CA"/>
              </w:rPr>
              <w:t>Maximum allowable consumption (ODP tonnes)</w:t>
            </w:r>
          </w:p>
        </w:tc>
        <w:tc>
          <w:tcPr>
            <w:tcW w:w="357" w:type="pct"/>
            <w:shd w:val="clear" w:color="auto" w:fill="auto"/>
            <w:tcMar>
              <w:left w:w="0" w:type="dxa"/>
              <w:right w:w="0" w:type="dxa"/>
            </w:tcMar>
          </w:tcPr>
          <w:p w14:paraId="05222CB0"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n/a</w:t>
            </w:r>
          </w:p>
        </w:tc>
        <w:tc>
          <w:tcPr>
            <w:tcW w:w="357" w:type="pct"/>
            <w:shd w:val="clear" w:color="auto" w:fill="auto"/>
            <w:tcMar>
              <w:left w:w="0" w:type="dxa"/>
              <w:right w:w="0" w:type="dxa"/>
            </w:tcMar>
          </w:tcPr>
          <w:p w14:paraId="0B1916D6"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n/a</w:t>
            </w:r>
          </w:p>
        </w:tc>
        <w:tc>
          <w:tcPr>
            <w:tcW w:w="357" w:type="pct"/>
            <w:shd w:val="clear" w:color="auto" w:fill="auto"/>
            <w:tcMar>
              <w:left w:w="0" w:type="dxa"/>
              <w:right w:w="0" w:type="dxa"/>
            </w:tcMar>
          </w:tcPr>
          <w:p w14:paraId="5C8DBA60"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5.3</w:t>
            </w:r>
          </w:p>
        </w:tc>
        <w:tc>
          <w:tcPr>
            <w:tcW w:w="357" w:type="pct"/>
            <w:shd w:val="clear" w:color="auto" w:fill="auto"/>
            <w:tcMar>
              <w:left w:w="0" w:type="dxa"/>
              <w:right w:w="0" w:type="dxa"/>
            </w:tcMar>
          </w:tcPr>
          <w:p w14:paraId="4433DC47"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5.3</w:t>
            </w:r>
          </w:p>
        </w:tc>
        <w:tc>
          <w:tcPr>
            <w:tcW w:w="357" w:type="pct"/>
            <w:shd w:val="clear" w:color="auto" w:fill="auto"/>
            <w:tcMar>
              <w:left w:w="0" w:type="dxa"/>
              <w:right w:w="0" w:type="dxa"/>
            </w:tcMar>
          </w:tcPr>
          <w:p w14:paraId="14965CBF"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4.77</w:t>
            </w:r>
          </w:p>
        </w:tc>
        <w:tc>
          <w:tcPr>
            <w:tcW w:w="357" w:type="pct"/>
            <w:shd w:val="clear" w:color="auto" w:fill="auto"/>
            <w:tcMar>
              <w:left w:w="0" w:type="dxa"/>
              <w:right w:w="0" w:type="dxa"/>
            </w:tcMar>
          </w:tcPr>
          <w:p w14:paraId="6770D3C4"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4.77</w:t>
            </w:r>
          </w:p>
        </w:tc>
        <w:tc>
          <w:tcPr>
            <w:tcW w:w="357" w:type="pct"/>
            <w:shd w:val="clear" w:color="auto" w:fill="auto"/>
            <w:tcMar>
              <w:left w:w="0" w:type="dxa"/>
              <w:right w:w="0" w:type="dxa"/>
            </w:tcMar>
          </w:tcPr>
          <w:p w14:paraId="6E78F1DF"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4.77</w:t>
            </w:r>
          </w:p>
        </w:tc>
        <w:tc>
          <w:tcPr>
            <w:tcW w:w="357" w:type="pct"/>
            <w:shd w:val="clear" w:color="auto" w:fill="auto"/>
            <w:tcMar>
              <w:left w:w="0" w:type="dxa"/>
              <w:right w:w="0" w:type="dxa"/>
            </w:tcMar>
          </w:tcPr>
          <w:p w14:paraId="30E3F8E4"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3.45</w:t>
            </w:r>
          </w:p>
        </w:tc>
        <w:tc>
          <w:tcPr>
            <w:tcW w:w="357" w:type="pct"/>
            <w:shd w:val="clear" w:color="auto" w:fill="auto"/>
            <w:tcMar>
              <w:left w:w="0" w:type="dxa"/>
              <w:right w:w="0" w:type="dxa"/>
            </w:tcMar>
          </w:tcPr>
          <w:p w14:paraId="34D0067D"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n/a</w:t>
            </w:r>
          </w:p>
        </w:tc>
      </w:tr>
      <w:tr w:rsidR="00AC107A" w:rsidRPr="00AC107A" w14:paraId="1B28BFB0" w14:textId="77777777" w:rsidTr="00504E94">
        <w:trPr>
          <w:trHeight w:val="227"/>
        </w:trPr>
        <w:tc>
          <w:tcPr>
            <w:tcW w:w="742" w:type="pct"/>
            <w:vMerge w:val="restart"/>
            <w:shd w:val="clear" w:color="auto" w:fill="auto"/>
            <w:tcMar>
              <w:left w:w="58" w:type="dxa"/>
              <w:right w:w="58" w:type="dxa"/>
            </w:tcMar>
          </w:tcPr>
          <w:p w14:paraId="2B8FDE80" w14:textId="77777777" w:rsidR="00D24A18" w:rsidRPr="00AC107A" w:rsidRDefault="00D24A18" w:rsidP="004D5FDF">
            <w:pPr>
              <w:pStyle w:val="StyleHeader4Para4Left0Firstline0"/>
              <w:numPr>
                <w:ilvl w:val="0"/>
                <w:numId w:val="0"/>
              </w:numPr>
              <w:spacing w:after="60"/>
              <w:jc w:val="left"/>
              <w:rPr>
                <w:sz w:val="19"/>
                <w:szCs w:val="19"/>
                <w:lang w:val="en-CA"/>
              </w:rPr>
            </w:pPr>
            <w:r w:rsidRPr="00AC107A">
              <w:rPr>
                <w:sz w:val="19"/>
                <w:szCs w:val="19"/>
                <w:lang w:val="en-CA"/>
              </w:rPr>
              <w:t>Agreed funding (US$)</w:t>
            </w:r>
          </w:p>
        </w:tc>
        <w:tc>
          <w:tcPr>
            <w:tcW w:w="389" w:type="pct"/>
            <w:vMerge w:val="restart"/>
            <w:shd w:val="clear" w:color="auto" w:fill="auto"/>
            <w:tcMar>
              <w:left w:w="0" w:type="dxa"/>
              <w:right w:w="0" w:type="dxa"/>
            </w:tcMar>
          </w:tcPr>
          <w:p w14:paraId="4957A6EC"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Germany</w:t>
            </w:r>
          </w:p>
        </w:tc>
        <w:tc>
          <w:tcPr>
            <w:tcW w:w="657" w:type="pct"/>
            <w:shd w:val="clear" w:color="auto" w:fill="auto"/>
            <w:tcMar>
              <w:left w:w="58" w:type="dxa"/>
              <w:right w:w="58" w:type="dxa"/>
            </w:tcMar>
          </w:tcPr>
          <w:p w14:paraId="42AB7E15" w14:textId="77777777" w:rsidR="00D24A18" w:rsidRPr="00AC107A" w:rsidRDefault="00D24A18" w:rsidP="004D5FDF">
            <w:pPr>
              <w:pStyle w:val="StyleHeader4Para4Left0Firstline0"/>
              <w:numPr>
                <w:ilvl w:val="0"/>
                <w:numId w:val="0"/>
              </w:numPr>
              <w:spacing w:after="60"/>
              <w:jc w:val="left"/>
              <w:rPr>
                <w:sz w:val="19"/>
                <w:szCs w:val="19"/>
                <w:lang w:val="en-CA"/>
              </w:rPr>
            </w:pPr>
            <w:r w:rsidRPr="00AC107A">
              <w:rPr>
                <w:sz w:val="19"/>
                <w:szCs w:val="19"/>
                <w:lang w:val="en-CA"/>
              </w:rPr>
              <w:t>Project costs</w:t>
            </w:r>
          </w:p>
        </w:tc>
        <w:tc>
          <w:tcPr>
            <w:tcW w:w="357" w:type="pct"/>
            <w:shd w:val="clear" w:color="auto" w:fill="auto"/>
            <w:tcMar>
              <w:left w:w="0" w:type="dxa"/>
              <w:right w:w="0" w:type="dxa"/>
            </w:tcMar>
          </w:tcPr>
          <w:p w14:paraId="4810B702" w14:textId="77777777" w:rsidR="00D24A18" w:rsidRPr="00AC107A" w:rsidRDefault="00D24A18" w:rsidP="00284E89">
            <w:pPr>
              <w:pStyle w:val="StyleHeader4Para4Left0Firstline0"/>
              <w:numPr>
                <w:ilvl w:val="0"/>
                <w:numId w:val="0"/>
              </w:numPr>
              <w:spacing w:after="60"/>
              <w:jc w:val="right"/>
              <w:rPr>
                <w:sz w:val="19"/>
                <w:szCs w:val="19"/>
                <w:lang w:val="en-CA"/>
              </w:rPr>
            </w:pPr>
            <w:r w:rsidRPr="00AC107A">
              <w:rPr>
                <w:sz w:val="19"/>
                <w:szCs w:val="19"/>
                <w:lang w:val="en-CA"/>
              </w:rPr>
              <w:t>157,500</w:t>
            </w:r>
          </w:p>
        </w:tc>
        <w:tc>
          <w:tcPr>
            <w:tcW w:w="357" w:type="pct"/>
            <w:shd w:val="clear" w:color="auto" w:fill="auto"/>
            <w:tcMar>
              <w:left w:w="0" w:type="dxa"/>
              <w:right w:w="0" w:type="dxa"/>
            </w:tcMar>
          </w:tcPr>
          <w:p w14:paraId="4449973A"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563B5B32"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3E265FCF"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61366F73" w14:textId="77777777" w:rsidR="00D24A18" w:rsidRPr="00AC107A" w:rsidRDefault="00D24A18" w:rsidP="00284E89">
            <w:pPr>
              <w:pStyle w:val="StyleHeader4Para4Left0Firstline0"/>
              <w:numPr>
                <w:ilvl w:val="0"/>
                <w:numId w:val="0"/>
              </w:numPr>
              <w:spacing w:after="60"/>
              <w:jc w:val="right"/>
              <w:rPr>
                <w:sz w:val="19"/>
                <w:szCs w:val="19"/>
                <w:lang w:val="en-CA"/>
              </w:rPr>
            </w:pPr>
            <w:r w:rsidRPr="00AC107A">
              <w:rPr>
                <w:sz w:val="19"/>
                <w:szCs w:val="19"/>
                <w:lang w:val="en-CA"/>
              </w:rPr>
              <w:t>126,000</w:t>
            </w:r>
          </w:p>
        </w:tc>
        <w:tc>
          <w:tcPr>
            <w:tcW w:w="357" w:type="pct"/>
            <w:shd w:val="clear" w:color="auto" w:fill="auto"/>
            <w:tcMar>
              <w:left w:w="0" w:type="dxa"/>
              <w:right w:w="0" w:type="dxa"/>
            </w:tcMar>
          </w:tcPr>
          <w:p w14:paraId="005E7429"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429AF327"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4D6F0A17"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31,500</w:t>
            </w:r>
          </w:p>
        </w:tc>
        <w:tc>
          <w:tcPr>
            <w:tcW w:w="357" w:type="pct"/>
            <w:shd w:val="clear" w:color="auto" w:fill="auto"/>
            <w:tcMar>
              <w:left w:w="0" w:type="dxa"/>
              <w:right w:w="0" w:type="dxa"/>
            </w:tcMar>
          </w:tcPr>
          <w:p w14:paraId="37E3044D"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315,000</w:t>
            </w:r>
          </w:p>
        </w:tc>
      </w:tr>
      <w:tr w:rsidR="00AC107A" w:rsidRPr="00AC107A" w14:paraId="5B0C30E2" w14:textId="77777777" w:rsidTr="00504E94">
        <w:trPr>
          <w:trHeight w:val="185"/>
        </w:trPr>
        <w:tc>
          <w:tcPr>
            <w:tcW w:w="742" w:type="pct"/>
            <w:vMerge/>
            <w:shd w:val="clear" w:color="auto" w:fill="auto"/>
            <w:tcMar>
              <w:left w:w="58" w:type="dxa"/>
              <w:right w:w="58" w:type="dxa"/>
            </w:tcMar>
          </w:tcPr>
          <w:p w14:paraId="054E81E2" w14:textId="77777777" w:rsidR="00D24A18" w:rsidRPr="00AC107A" w:rsidRDefault="00D24A18" w:rsidP="004D5FDF">
            <w:pPr>
              <w:pStyle w:val="StyleHeader4Para4Left0Firstline0"/>
              <w:numPr>
                <w:ilvl w:val="0"/>
                <w:numId w:val="0"/>
              </w:numPr>
              <w:spacing w:after="60"/>
              <w:jc w:val="center"/>
              <w:rPr>
                <w:sz w:val="19"/>
                <w:szCs w:val="19"/>
                <w:lang w:val="en-CA"/>
              </w:rPr>
            </w:pPr>
          </w:p>
        </w:tc>
        <w:tc>
          <w:tcPr>
            <w:tcW w:w="389" w:type="pct"/>
            <w:vMerge/>
            <w:shd w:val="clear" w:color="auto" w:fill="auto"/>
            <w:tcMar>
              <w:left w:w="58" w:type="dxa"/>
              <w:right w:w="58" w:type="dxa"/>
            </w:tcMar>
          </w:tcPr>
          <w:p w14:paraId="2FD95E65" w14:textId="77777777" w:rsidR="00D24A18" w:rsidRPr="00AC107A" w:rsidRDefault="00D24A18" w:rsidP="004D5FDF">
            <w:pPr>
              <w:pStyle w:val="StyleHeader4Para4Left0Firstline0"/>
              <w:numPr>
                <w:ilvl w:val="0"/>
                <w:numId w:val="0"/>
              </w:numPr>
              <w:spacing w:after="60"/>
              <w:jc w:val="center"/>
              <w:rPr>
                <w:sz w:val="19"/>
                <w:szCs w:val="19"/>
                <w:lang w:val="en-CA"/>
              </w:rPr>
            </w:pPr>
          </w:p>
        </w:tc>
        <w:tc>
          <w:tcPr>
            <w:tcW w:w="657" w:type="pct"/>
            <w:shd w:val="clear" w:color="auto" w:fill="auto"/>
            <w:tcMar>
              <w:left w:w="58" w:type="dxa"/>
              <w:right w:w="58" w:type="dxa"/>
            </w:tcMar>
          </w:tcPr>
          <w:p w14:paraId="4107115F" w14:textId="77777777" w:rsidR="00D24A18" w:rsidRPr="00AC107A" w:rsidRDefault="00D24A18" w:rsidP="004D5FDF">
            <w:pPr>
              <w:pStyle w:val="StyleHeader4Para4Left0Firstline0"/>
              <w:numPr>
                <w:ilvl w:val="0"/>
                <w:numId w:val="0"/>
              </w:numPr>
              <w:spacing w:after="60"/>
              <w:jc w:val="left"/>
              <w:rPr>
                <w:sz w:val="19"/>
                <w:szCs w:val="19"/>
                <w:lang w:val="en-CA"/>
              </w:rPr>
            </w:pPr>
            <w:r w:rsidRPr="00AC107A">
              <w:rPr>
                <w:sz w:val="19"/>
                <w:szCs w:val="19"/>
                <w:lang w:val="en-CA"/>
              </w:rPr>
              <w:t>Support costs</w:t>
            </w:r>
          </w:p>
        </w:tc>
        <w:tc>
          <w:tcPr>
            <w:tcW w:w="357" w:type="pct"/>
            <w:shd w:val="clear" w:color="auto" w:fill="auto"/>
            <w:tcMar>
              <w:left w:w="0" w:type="dxa"/>
              <w:right w:w="0" w:type="dxa"/>
            </w:tcMar>
          </w:tcPr>
          <w:p w14:paraId="47324AB2"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20,475</w:t>
            </w:r>
          </w:p>
        </w:tc>
        <w:tc>
          <w:tcPr>
            <w:tcW w:w="357" w:type="pct"/>
            <w:shd w:val="clear" w:color="auto" w:fill="auto"/>
            <w:tcMar>
              <w:left w:w="0" w:type="dxa"/>
              <w:right w:w="0" w:type="dxa"/>
            </w:tcMar>
          </w:tcPr>
          <w:p w14:paraId="6F6858B1"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111F69D3"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7D2B904D"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0B4BD336"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16,380</w:t>
            </w:r>
          </w:p>
        </w:tc>
        <w:tc>
          <w:tcPr>
            <w:tcW w:w="357" w:type="pct"/>
            <w:shd w:val="clear" w:color="auto" w:fill="auto"/>
            <w:tcMar>
              <w:left w:w="0" w:type="dxa"/>
              <w:right w:w="0" w:type="dxa"/>
            </w:tcMar>
          </w:tcPr>
          <w:p w14:paraId="76F26E32"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4D7A5B1D"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6A06578D"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4,095</w:t>
            </w:r>
          </w:p>
        </w:tc>
        <w:tc>
          <w:tcPr>
            <w:tcW w:w="357" w:type="pct"/>
            <w:shd w:val="clear" w:color="auto" w:fill="auto"/>
            <w:tcMar>
              <w:left w:w="0" w:type="dxa"/>
              <w:right w:w="0" w:type="dxa"/>
            </w:tcMar>
          </w:tcPr>
          <w:p w14:paraId="1059AB45"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40,950</w:t>
            </w:r>
          </w:p>
        </w:tc>
      </w:tr>
      <w:tr w:rsidR="00AC107A" w:rsidRPr="00AC107A" w14:paraId="06B9CC67" w14:textId="77777777" w:rsidTr="00504E94">
        <w:trPr>
          <w:trHeight w:val="209"/>
        </w:trPr>
        <w:tc>
          <w:tcPr>
            <w:tcW w:w="1130" w:type="pct"/>
            <w:gridSpan w:val="2"/>
            <w:vMerge w:val="restart"/>
            <w:shd w:val="clear" w:color="auto" w:fill="auto"/>
            <w:tcMar>
              <w:left w:w="58" w:type="dxa"/>
              <w:right w:w="58" w:type="dxa"/>
            </w:tcMar>
          </w:tcPr>
          <w:p w14:paraId="7DBC3E7E" w14:textId="77777777" w:rsidR="00D24A18" w:rsidRPr="00AC107A" w:rsidRDefault="00D24A18" w:rsidP="004D5FDF">
            <w:pPr>
              <w:pStyle w:val="StyleHeader4Para4Left0Firstline0"/>
              <w:numPr>
                <w:ilvl w:val="0"/>
                <w:numId w:val="0"/>
              </w:numPr>
              <w:spacing w:after="60"/>
              <w:jc w:val="left"/>
              <w:rPr>
                <w:sz w:val="19"/>
                <w:szCs w:val="19"/>
                <w:lang w:val="en-CA"/>
              </w:rPr>
            </w:pPr>
            <w:r w:rsidRPr="00AC107A">
              <w:rPr>
                <w:sz w:val="19"/>
                <w:szCs w:val="19"/>
                <w:lang w:val="en-CA"/>
              </w:rPr>
              <w:t xml:space="preserve">Funds approved by </w:t>
            </w:r>
            <w:proofErr w:type="spellStart"/>
            <w:r w:rsidRPr="00AC107A">
              <w:rPr>
                <w:sz w:val="19"/>
                <w:szCs w:val="19"/>
                <w:lang w:val="en-CA"/>
              </w:rPr>
              <w:t>ExCom</w:t>
            </w:r>
            <w:proofErr w:type="spellEnd"/>
            <w:r w:rsidRPr="00AC107A">
              <w:rPr>
                <w:sz w:val="19"/>
                <w:szCs w:val="19"/>
                <w:lang w:val="en-CA"/>
              </w:rPr>
              <w:t xml:space="preserve"> (</w:t>
            </w:r>
            <w:r w:rsidR="00504E94" w:rsidRPr="00AC107A">
              <w:rPr>
                <w:sz w:val="19"/>
                <w:szCs w:val="19"/>
                <w:lang w:val="en-CA"/>
              </w:rPr>
              <w:t>US $</w:t>
            </w:r>
            <w:r w:rsidRPr="00AC107A">
              <w:rPr>
                <w:sz w:val="19"/>
                <w:szCs w:val="19"/>
                <w:lang w:val="en-CA"/>
              </w:rPr>
              <w:t>)</w:t>
            </w:r>
          </w:p>
        </w:tc>
        <w:tc>
          <w:tcPr>
            <w:tcW w:w="657" w:type="pct"/>
            <w:shd w:val="clear" w:color="auto" w:fill="auto"/>
            <w:tcMar>
              <w:left w:w="58" w:type="dxa"/>
              <w:right w:w="58" w:type="dxa"/>
            </w:tcMar>
          </w:tcPr>
          <w:p w14:paraId="39B6534C" w14:textId="77777777" w:rsidR="00D24A18" w:rsidRPr="00AC107A" w:rsidRDefault="00D24A18" w:rsidP="004D5FDF">
            <w:pPr>
              <w:pStyle w:val="StyleHeader4Para4Left0Firstline0"/>
              <w:numPr>
                <w:ilvl w:val="0"/>
                <w:numId w:val="0"/>
              </w:numPr>
              <w:spacing w:after="60"/>
              <w:jc w:val="left"/>
              <w:rPr>
                <w:sz w:val="19"/>
                <w:szCs w:val="19"/>
                <w:lang w:val="en-CA"/>
              </w:rPr>
            </w:pPr>
            <w:r w:rsidRPr="00AC107A">
              <w:rPr>
                <w:sz w:val="19"/>
                <w:szCs w:val="19"/>
                <w:lang w:val="en-CA"/>
              </w:rPr>
              <w:t>Project costs</w:t>
            </w:r>
          </w:p>
        </w:tc>
        <w:tc>
          <w:tcPr>
            <w:tcW w:w="357" w:type="pct"/>
            <w:shd w:val="clear" w:color="auto" w:fill="auto"/>
            <w:tcMar>
              <w:left w:w="0" w:type="dxa"/>
              <w:right w:w="0" w:type="dxa"/>
            </w:tcMar>
          </w:tcPr>
          <w:p w14:paraId="22A65743" w14:textId="77777777" w:rsidR="00D24A18" w:rsidRPr="00AC107A" w:rsidRDefault="00D24A18" w:rsidP="00284E89">
            <w:pPr>
              <w:pStyle w:val="StyleHeader4Para4Left0Firstline0"/>
              <w:numPr>
                <w:ilvl w:val="0"/>
                <w:numId w:val="0"/>
              </w:numPr>
              <w:spacing w:after="60"/>
              <w:jc w:val="right"/>
              <w:rPr>
                <w:sz w:val="19"/>
                <w:szCs w:val="19"/>
                <w:lang w:val="en-CA"/>
              </w:rPr>
            </w:pPr>
            <w:r w:rsidRPr="00AC107A">
              <w:rPr>
                <w:sz w:val="19"/>
                <w:szCs w:val="19"/>
                <w:lang w:val="en-CA"/>
              </w:rPr>
              <w:t>157,500</w:t>
            </w:r>
          </w:p>
        </w:tc>
        <w:tc>
          <w:tcPr>
            <w:tcW w:w="357" w:type="pct"/>
            <w:shd w:val="clear" w:color="auto" w:fill="auto"/>
            <w:tcMar>
              <w:left w:w="0" w:type="dxa"/>
              <w:right w:w="0" w:type="dxa"/>
            </w:tcMar>
          </w:tcPr>
          <w:p w14:paraId="626E7835"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43068569"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6C38E628"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5DE284A4" w14:textId="77777777" w:rsidR="00D24A18" w:rsidRPr="00AC107A" w:rsidRDefault="00D24A18" w:rsidP="00284E89">
            <w:pPr>
              <w:pStyle w:val="StyleHeader4Para4Left0Firstline0"/>
              <w:numPr>
                <w:ilvl w:val="0"/>
                <w:numId w:val="0"/>
              </w:numPr>
              <w:spacing w:after="60"/>
              <w:jc w:val="right"/>
              <w:rPr>
                <w:sz w:val="19"/>
                <w:szCs w:val="19"/>
                <w:lang w:val="en-CA"/>
              </w:rPr>
            </w:pPr>
            <w:r w:rsidRPr="00AC107A">
              <w:rPr>
                <w:sz w:val="19"/>
                <w:szCs w:val="19"/>
                <w:lang w:val="en-CA"/>
              </w:rPr>
              <w:t>126,000</w:t>
            </w:r>
          </w:p>
        </w:tc>
        <w:tc>
          <w:tcPr>
            <w:tcW w:w="357" w:type="pct"/>
            <w:shd w:val="clear" w:color="auto" w:fill="auto"/>
            <w:tcMar>
              <w:left w:w="0" w:type="dxa"/>
              <w:right w:w="0" w:type="dxa"/>
            </w:tcMar>
          </w:tcPr>
          <w:p w14:paraId="56076803"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752E0C29"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02956F45"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39DA4C9C" w14:textId="77777777" w:rsidR="00D24A18" w:rsidRPr="00AC107A" w:rsidRDefault="00BE50DC">
            <w:pPr>
              <w:pStyle w:val="StyleHeader4Para4Left0Firstline0"/>
              <w:numPr>
                <w:ilvl w:val="0"/>
                <w:numId w:val="0"/>
              </w:numPr>
              <w:spacing w:after="60"/>
              <w:jc w:val="right"/>
              <w:rPr>
                <w:sz w:val="19"/>
                <w:szCs w:val="19"/>
                <w:lang w:val="en-CA"/>
              </w:rPr>
            </w:pPr>
            <w:r w:rsidRPr="00AC107A">
              <w:rPr>
                <w:sz w:val="19"/>
                <w:szCs w:val="19"/>
                <w:lang w:val="en-CA"/>
              </w:rPr>
              <w:t>283,500</w:t>
            </w:r>
          </w:p>
        </w:tc>
      </w:tr>
      <w:tr w:rsidR="00AC107A" w:rsidRPr="00AC107A" w14:paraId="7ACB5CB5" w14:textId="77777777" w:rsidTr="00504E94">
        <w:trPr>
          <w:trHeight w:val="223"/>
        </w:trPr>
        <w:tc>
          <w:tcPr>
            <w:tcW w:w="1130" w:type="pct"/>
            <w:gridSpan w:val="2"/>
            <w:vMerge/>
            <w:shd w:val="clear" w:color="auto" w:fill="auto"/>
            <w:tcMar>
              <w:left w:w="58" w:type="dxa"/>
              <w:right w:w="58" w:type="dxa"/>
            </w:tcMar>
          </w:tcPr>
          <w:p w14:paraId="20E339BA" w14:textId="77777777" w:rsidR="00D24A18" w:rsidRPr="00AC107A" w:rsidRDefault="00D24A18" w:rsidP="004D5FDF">
            <w:pPr>
              <w:pStyle w:val="StyleHeader4Para4Left0Firstline0"/>
              <w:numPr>
                <w:ilvl w:val="0"/>
                <w:numId w:val="0"/>
              </w:numPr>
              <w:spacing w:after="60"/>
              <w:jc w:val="center"/>
              <w:rPr>
                <w:sz w:val="19"/>
                <w:szCs w:val="19"/>
                <w:lang w:val="en-CA"/>
              </w:rPr>
            </w:pPr>
          </w:p>
        </w:tc>
        <w:tc>
          <w:tcPr>
            <w:tcW w:w="657" w:type="pct"/>
            <w:shd w:val="clear" w:color="auto" w:fill="auto"/>
            <w:tcMar>
              <w:left w:w="58" w:type="dxa"/>
              <w:right w:w="58" w:type="dxa"/>
            </w:tcMar>
          </w:tcPr>
          <w:p w14:paraId="482A51C9" w14:textId="77777777" w:rsidR="00D24A18" w:rsidRPr="00AC107A" w:rsidRDefault="00D24A18" w:rsidP="004D5FDF">
            <w:pPr>
              <w:pStyle w:val="StyleHeader4Para4Left0Firstline0"/>
              <w:numPr>
                <w:ilvl w:val="0"/>
                <w:numId w:val="0"/>
              </w:numPr>
              <w:spacing w:after="60"/>
              <w:jc w:val="left"/>
              <w:rPr>
                <w:sz w:val="19"/>
                <w:szCs w:val="19"/>
                <w:lang w:val="en-CA"/>
              </w:rPr>
            </w:pPr>
            <w:r w:rsidRPr="00AC107A">
              <w:rPr>
                <w:sz w:val="19"/>
                <w:szCs w:val="19"/>
                <w:lang w:val="en-CA"/>
              </w:rPr>
              <w:t>Support costs</w:t>
            </w:r>
          </w:p>
        </w:tc>
        <w:tc>
          <w:tcPr>
            <w:tcW w:w="357" w:type="pct"/>
            <w:shd w:val="clear" w:color="auto" w:fill="auto"/>
            <w:tcMar>
              <w:left w:w="0" w:type="dxa"/>
              <w:right w:w="0" w:type="dxa"/>
            </w:tcMar>
          </w:tcPr>
          <w:p w14:paraId="1A907539"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20,475</w:t>
            </w:r>
          </w:p>
        </w:tc>
        <w:tc>
          <w:tcPr>
            <w:tcW w:w="357" w:type="pct"/>
            <w:shd w:val="clear" w:color="auto" w:fill="auto"/>
            <w:tcMar>
              <w:left w:w="0" w:type="dxa"/>
              <w:right w:w="0" w:type="dxa"/>
            </w:tcMar>
          </w:tcPr>
          <w:p w14:paraId="32EDC015"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65EEBE31"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13035278"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017F71F5"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16,380</w:t>
            </w:r>
          </w:p>
        </w:tc>
        <w:tc>
          <w:tcPr>
            <w:tcW w:w="357" w:type="pct"/>
            <w:shd w:val="clear" w:color="auto" w:fill="auto"/>
            <w:tcMar>
              <w:left w:w="0" w:type="dxa"/>
              <w:right w:w="0" w:type="dxa"/>
            </w:tcMar>
          </w:tcPr>
          <w:p w14:paraId="11436580"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61999A65"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5CC4F130"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0A65B487" w14:textId="2693B58A" w:rsidR="00D24A18" w:rsidRPr="00AC107A" w:rsidRDefault="00BE50DC" w:rsidP="00A23B66">
            <w:pPr>
              <w:pStyle w:val="StyleHeader4Para4Left0Firstline0"/>
              <w:numPr>
                <w:ilvl w:val="0"/>
                <w:numId w:val="0"/>
              </w:numPr>
              <w:spacing w:after="60"/>
              <w:jc w:val="right"/>
              <w:rPr>
                <w:sz w:val="19"/>
                <w:szCs w:val="19"/>
                <w:lang w:val="en-CA"/>
              </w:rPr>
            </w:pPr>
            <w:r w:rsidRPr="00AC107A">
              <w:rPr>
                <w:sz w:val="19"/>
                <w:szCs w:val="19"/>
                <w:lang w:val="en-CA"/>
              </w:rPr>
              <w:t>36,855</w:t>
            </w:r>
          </w:p>
        </w:tc>
      </w:tr>
      <w:tr w:rsidR="00AC107A" w:rsidRPr="00AC107A" w14:paraId="777E76F7" w14:textId="77777777" w:rsidTr="00504E94">
        <w:trPr>
          <w:trHeight w:val="216"/>
        </w:trPr>
        <w:tc>
          <w:tcPr>
            <w:tcW w:w="1130" w:type="pct"/>
            <w:gridSpan w:val="2"/>
            <w:vMerge w:val="restart"/>
            <w:shd w:val="clear" w:color="auto" w:fill="auto"/>
            <w:tcMar>
              <w:left w:w="58" w:type="dxa"/>
              <w:right w:w="58" w:type="dxa"/>
            </w:tcMar>
          </w:tcPr>
          <w:p w14:paraId="66B07866" w14:textId="77777777" w:rsidR="00D24A18" w:rsidRPr="00AC107A" w:rsidRDefault="00D24A18" w:rsidP="004D5FDF">
            <w:pPr>
              <w:pStyle w:val="StyleHeader4Para4Left0Firstline0"/>
              <w:numPr>
                <w:ilvl w:val="0"/>
                <w:numId w:val="0"/>
              </w:numPr>
              <w:spacing w:after="60"/>
              <w:jc w:val="left"/>
              <w:rPr>
                <w:sz w:val="19"/>
                <w:szCs w:val="19"/>
                <w:lang w:val="en-CA"/>
              </w:rPr>
            </w:pPr>
            <w:r w:rsidRPr="00AC107A">
              <w:rPr>
                <w:sz w:val="19"/>
                <w:szCs w:val="19"/>
                <w:lang w:val="en-CA"/>
              </w:rPr>
              <w:t>Total funds requested for approval at this meeting (</w:t>
            </w:r>
            <w:r w:rsidR="00504E94" w:rsidRPr="00AC107A">
              <w:rPr>
                <w:sz w:val="19"/>
                <w:szCs w:val="19"/>
                <w:lang w:val="en-CA"/>
              </w:rPr>
              <w:t>US $</w:t>
            </w:r>
            <w:r w:rsidRPr="00AC107A">
              <w:rPr>
                <w:sz w:val="19"/>
                <w:szCs w:val="19"/>
                <w:lang w:val="en-CA"/>
              </w:rPr>
              <w:t>)</w:t>
            </w:r>
          </w:p>
        </w:tc>
        <w:tc>
          <w:tcPr>
            <w:tcW w:w="657" w:type="pct"/>
            <w:shd w:val="clear" w:color="auto" w:fill="auto"/>
            <w:tcMar>
              <w:left w:w="58" w:type="dxa"/>
              <w:right w:w="58" w:type="dxa"/>
            </w:tcMar>
          </w:tcPr>
          <w:p w14:paraId="1B07C995" w14:textId="77777777" w:rsidR="00D24A18" w:rsidRPr="00AC107A" w:rsidRDefault="00D24A18" w:rsidP="004D5FDF">
            <w:pPr>
              <w:pStyle w:val="StyleHeader4Para4Left0Firstline0"/>
              <w:numPr>
                <w:ilvl w:val="0"/>
                <w:numId w:val="0"/>
              </w:numPr>
              <w:spacing w:after="60"/>
              <w:jc w:val="left"/>
              <w:rPr>
                <w:sz w:val="19"/>
                <w:szCs w:val="19"/>
                <w:lang w:val="en-CA"/>
              </w:rPr>
            </w:pPr>
            <w:r w:rsidRPr="00AC107A">
              <w:rPr>
                <w:sz w:val="19"/>
                <w:szCs w:val="19"/>
                <w:lang w:val="en-CA"/>
              </w:rPr>
              <w:t>Project costs</w:t>
            </w:r>
          </w:p>
        </w:tc>
        <w:tc>
          <w:tcPr>
            <w:tcW w:w="357" w:type="pct"/>
            <w:shd w:val="clear" w:color="auto" w:fill="auto"/>
            <w:tcMar>
              <w:left w:w="0" w:type="dxa"/>
              <w:right w:w="0" w:type="dxa"/>
            </w:tcMar>
          </w:tcPr>
          <w:p w14:paraId="14CD1B85"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1BA56E3F"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348331D1"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281AEAFB"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2BB560AC"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684A76E1"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0BBF921F"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4F5576D1" w14:textId="77777777" w:rsidR="00D24A18" w:rsidRPr="00AC107A" w:rsidRDefault="00D24A18" w:rsidP="00284E89">
            <w:pPr>
              <w:pStyle w:val="StyleHeader4Para4Left0Firstline0"/>
              <w:numPr>
                <w:ilvl w:val="0"/>
                <w:numId w:val="0"/>
              </w:numPr>
              <w:spacing w:after="60"/>
              <w:jc w:val="right"/>
              <w:rPr>
                <w:b/>
                <w:sz w:val="19"/>
                <w:szCs w:val="19"/>
                <w:lang w:val="en-CA"/>
              </w:rPr>
            </w:pPr>
            <w:r w:rsidRPr="00AC107A">
              <w:rPr>
                <w:sz w:val="19"/>
                <w:szCs w:val="19"/>
                <w:lang w:val="en-CA"/>
              </w:rPr>
              <w:t>31,500</w:t>
            </w:r>
          </w:p>
        </w:tc>
        <w:tc>
          <w:tcPr>
            <w:tcW w:w="357" w:type="pct"/>
            <w:shd w:val="clear" w:color="auto" w:fill="auto"/>
            <w:tcMar>
              <w:left w:w="0" w:type="dxa"/>
              <w:right w:w="0" w:type="dxa"/>
            </w:tcMar>
          </w:tcPr>
          <w:p w14:paraId="1CBC1BAD" w14:textId="77777777" w:rsidR="00D24A18" w:rsidRPr="00AC107A" w:rsidRDefault="00D24A18" w:rsidP="00284E89">
            <w:pPr>
              <w:pStyle w:val="StyleHeader4Para4Left0Firstline0"/>
              <w:numPr>
                <w:ilvl w:val="0"/>
                <w:numId w:val="0"/>
              </w:numPr>
              <w:spacing w:after="60"/>
              <w:jc w:val="right"/>
              <w:rPr>
                <w:sz w:val="19"/>
                <w:szCs w:val="19"/>
                <w:lang w:val="en-CA"/>
              </w:rPr>
            </w:pPr>
            <w:r w:rsidRPr="00AC107A">
              <w:rPr>
                <w:sz w:val="19"/>
                <w:szCs w:val="19"/>
                <w:lang w:val="en-CA"/>
              </w:rPr>
              <w:t>31,500</w:t>
            </w:r>
          </w:p>
        </w:tc>
      </w:tr>
      <w:tr w:rsidR="00504E94" w:rsidRPr="00AC107A" w14:paraId="60094C83" w14:textId="77777777" w:rsidTr="00504E94">
        <w:trPr>
          <w:trHeight w:val="515"/>
        </w:trPr>
        <w:tc>
          <w:tcPr>
            <w:tcW w:w="1130" w:type="pct"/>
            <w:gridSpan w:val="2"/>
            <w:vMerge/>
            <w:shd w:val="clear" w:color="auto" w:fill="auto"/>
            <w:tcMar>
              <w:left w:w="58" w:type="dxa"/>
              <w:right w:w="58" w:type="dxa"/>
            </w:tcMar>
          </w:tcPr>
          <w:p w14:paraId="49A6C7A2" w14:textId="77777777" w:rsidR="00D24A18" w:rsidRPr="00AC107A" w:rsidRDefault="00D24A18" w:rsidP="004D5FDF">
            <w:pPr>
              <w:pStyle w:val="StyleHeader4Para4Left0Firstline0"/>
              <w:numPr>
                <w:ilvl w:val="0"/>
                <w:numId w:val="0"/>
              </w:numPr>
              <w:spacing w:after="60"/>
              <w:jc w:val="center"/>
              <w:rPr>
                <w:sz w:val="19"/>
                <w:szCs w:val="19"/>
                <w:lang w:val="en-CA"/>
              </w:rPr>
            </w:pPr>
          </w:p>
        </w:tc>
        <w:tc>
          <w:tcPr>
            <w:tcW w:w="657" w:type="pct"/>
            <w:shd w:val="clear" w:color="auto" w:fill="auto"/>
            <w:tcMar>
              <w:left w:w="58" w:type="dxa"/>
              <w:right w:w="58" w:type="dxa"/>
            </w:tcMar>
          </w:tcPr>
          <w:p w14:paraId="1E456CE4" w14:textId="77777777" w:rsidR="00D24A18" w:rsidRPr="00AC107A" w:rsidRDefault="00D24A18" w:rsidP="004D5FDF">
            <w:pPr>
              <w:pStyle w:val="StyleHeader4Para4Left0Firstline0"/>
              <w:numPr>
                <w:ilvl w:val="0"/>
                <w:numId w:val="0"/>
              </w:numPr>
              <w:spacing w:after="60"/>
              <w:jc w:val="left"/>
              <w:rPr>
                <w:sz w:val="19"/>
                <w:szCs w:val="19"/>
                <w:lang w:val="en-CA"/>
              </w:rPr>
            </w:pPr>
            <w:r w:rsidRPr="00AC107A">
              <w:rPr>
                <w:sz w:val="19"/>
                <w:szCs w:val="19"/>
                <w:lang w:val="en-CA"/>
              </w:rPr>
              <w:t>Support costs</w:t>
            </w:r>
          </w:p>
        </w:tc>
        <w:tc>
          <w:tcPr>
            <w:tcW w:w="357" w:type="pct"/>
            <w:shd w:val="clear" w:color="auto" w:fill="auto"/>
            <w:tcMar>
              <w:left w:w="0" w:type="dxa"/>
              <w:right w:w="0" w:type="dxa"/>
            </w:tcMar>
          </w:tcPr>
          <w:p w14:paraId="686F34E7"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0D4D661A"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6D52A14D"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1602E71C"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0868D273"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385E3EE0"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129EDA97"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0</w:t>
            </w:r>
          </w:p>
        </w:tc>
        <w:tc>
          <w:tcPr>
            <w:tcW w:w="357" w:type="pct"/>
            <w:shd w:val="clear" w:color="auto" w:fill="auto"/>
            <w:tcMar>
              <w:left w:w="0" w:type="dxa"/>
              <w:right w:w="0" w:type="dxa"/>
            </w:tcMar>
          </w:tcPr>
          <w:p w14:paraId="733483B5" w14:textId="77777777" w:rsidR="00D24A18" w:rsidRPr="00AC107A" w:rsidRDefault="00D24A18" w:rsidP="004D5FDF">
            <w:pPr>
              <w:pStyle w:val="StyleHeader4Para4Left0Firstline0"/>
              <w:numPr>
                <w:ilvl w:val="0"/>
                <w:numId w:val="0"/>
              </w:numPr>
              <w:spacing w:after="60"/>
              <w:jc w:val="right"/>
              <w:rPr>
                <w:b/>
                <w:sz w:val="19"/>
                <w:szCs w:val="19"/>
                <w:lang w:val="en-CA"/>
              </w:rPr>
            </w:pPr>
            <w:r w:rsidRPr="00AC107A">
              <w:rPr>
                <w:sz w:val="19"/>
                <w:szCs w:val="19"/>
                <w:lang w:val="en-CA"/>
              </w:rPr>
              <w:t>4,095</w:t>
            </w:r>
          </w:p>
        </w:tc>
        <w:tc>
          <w:tcPr>
            <w:tcW w:w="357" w:type="pct"/>
            <w:shd w:val="clear" w:color="auto" w:fill="auto"/>
            <w:tcMar>
              <w:left w:w="0" w:type="dxa"/>
              <w:right w:w="0" w:type="dxa"/>
            </w:tcMar>
          </w:tcPr>
          <w:p w14:paraId="40ADA114" w14:textId="77777777" w:rsidR="00D24A18" w:rsidRPr="00AC107A" w:rsidRDefault="00D24A18" w:rsidP="004D5FDF">
            <w:pPr>
              <w:pStyle w:val="StyleHeader4Para4Left0Firstline0"/>
              <w:numPr>
                <w:ilvl w:val="0"/>
                <w:numId w:val="0"/>
              </w:numPr>
              <w:spacing w:after="60"/>
              <w:jc w:val="right"/>
              <w:rPr>
                <w:sz w:val="19"/>
                <w:szCs w:val="19"/>
                <w:lang w:val="en-CA"/>
              </w:rPr>
            </w:pPr>
            <w:r w:rsidRPr="00AC107A">
              <w:rPr>
                <w:sz w:val="19"/>
                <w:szCs w:val="19"/>
                <w:lang w:val="en-CA"/>
              </w:rPr>
              <w:t>4,095</w:t>
            </w:r>
          </w:p>
        </w:tc>
      </w:tr>
    </w:tbl>
    <w:p w14:paraId="5FC92C08" w14:textId="77777777" w:rsidR="00D24A18" w:rsidRPr="00AC107A" w:rsidRDefault="00D24A18" w:rsidP="00D24A18">
      <w:pPr>
        <w:pStyle w:val="StyleHeader4Para4Left0Firstline0"/>
        <w:numPr>
          <w:ilvl w:val="0"/>
          <w:numId w:val="0"/>
        </w:numPr>
        <w:spacing w:after="0"/>
        <w:rPr>
          <w:sz w:val="22"/>
          <w:lang w:val="en-CA"/>
        </w:rPr>
      </w:pPr>
    </w:p>
    <w:tbl>
      <w:tblPr>
        <w:tblStyle w:val="TableGrid"/>
        <w:tblW w:w="5051"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113"/>
        <w:gridCol w:w="6332"/>
      </w:tblGrid>
      <w:tr w:rsidR="00AC107A" w:rsidRPr="00AC107A" w14:paraId="520CC882" w14:textId="77777777" w:rsidTr="004D5FDF">
        <w:trPr>
          <w:trHeight w:val="240"/>
        </w:trPr>
        <w:tc>
          <w:tcPr>
            <w:tcW w:w="1648" w:type="pct"/>
            <w:shd w:val="clear" w:color="auto" w:fill="auto"/>
          </w:tcPr>
          <w:p w14:paraId="43AB2511" w14:textId="77777777" w:rsidR="00D24A18" w:rsidRPr="00AC107A" w:rsidRDefault="00D24A18" w:rsidP="004D5FDF">
            <w:pPr>
              <w:pStyle w:val="StyleHeader4Para4Left0Firstline0"/>
              <w:numPr>
                <w:ilvl w:val="0"/>
                <w:numId w:val="0"/>
              </w:numPr>
              <w:spacing w:after="60"/>
              <w:jc w:val="left"/>
              <w:rPr>
                <w:b/>
                <w:sz w:val="19"/>
                <w:szCs w:val="19"/>
                <w:lang w:val="en-CA"/>
              </w:rPr>
            </w:pPr>
            <w:r w:rsidRPr="00AC107A">
              <w:rPr>
                <w:b/>
                <w:sz w:val="19"/>
                <w:szCs w:val="19"/>
                <w:lang w:val="en-CA"/>
              </w:rPr>
              <w:t>Secretariat's recommendation:</w:t>
            </w:r>
          </w:p>
        </w:tc>
        <w:tc>
          <w:tcPr>
            <w:tcW w:w="3352" w:type="pct"/>
            <w:shd w:val="clear" w:color="auto" w:fill="auto"/>
          </w:tcPr>
          <w:p w14:paraId="17B9E82D" w14:textId="77777777" w:rsidR="00D24A18" w:rsidRPr="00AC107A" w:rsidRDefault="00D24A18" w:rsidP="004D5FDF">
            <w:pPr>
              <w:pStyle w:val="StyleHeader4Para4Left0Firstline0"/>
              <w:numPr>
                <w:ilvl w:val="0"/>
                <w:numId w:val="0"/>
              </w:numPr>
              <w:spacing w:after="60"/>
              <w:jc w:val="center"/>
              <w:rPr>
                <w:sz w:val="19"/>
                <w:szCs w:val="19"/>
                <w:lang w:val="en-CA"/>
              </w:rPr>
            </w:pPr>
            <w:r w:rsidRPr="00AC107A">
              <w:rPr>
                <w:sz w:val="19"/>
                <w:szCs w:val="19"/>
                <w:lang w:val="en-CA"/>
              </w:rPr>
              <w:t>Blanket approval</w:t>
            </w:r>
          </w:p>
        </w:tc>
      </w:tr>
    </w:tbl>
    <w:p w14:paraId="4F750BFA" w14:textId="77777777" w:rsidR="00D24A18" w:rsidRPr="00AC107A" w:rsidRDefault="00D24A18" w:rsidP="00D24A18">
      <w:pPr>
        <w:jc w:val="center"/>
        <w:rPr>
          <w:lang w:val="en-CA"/>
        </w:rPr>
      </w:pPr>
      <w:r w:rsidRPr="00AC107A">
        <w:rPr>
          <w:lang w:val="en-CA"/>
        </w:rPr>
        <w:br w:type="page"/>
      </w:r>
    </w:p>
    <w:p w14:paraId="58594D1C" w14:textId="77777777" w:rsidR="00D24A18" w:rsidRPr="00AC107A" w:rsidRDefault="00D24A18" w:rsidP="00D24A18">
      <w:pPr>
        <w:jc w:val="center"/>
        <w:rPr>
          <w:b/>
          <w:lang w:val="en-CA"/>
        </w:rPr>
      </w:pPr>
      <w:r w:rsidRPr="00AC107A">
        <w:rPr>
          <w:b/>
          <w:lang w:val="en-CA"/>
        </w:rPr>
        <w:lastRenderedPageBreak/>
        <w:t>PROJECT DESCRIPTION</w:t>
      </w:r>
    </w:p>
    <w:p w14:paraId="74F01C76" w14:textId="77777777" w:rsidR="00D24A18" w:rsidRPr="00AC107A" w:rsidRDefault="00D24A18" w:rsidP="00D24A18">
      <w:pPr>
        <w:rPr>
          <w:lang w:val="en-CA"/>
        </w:rPr>
      </w:pPr>
    </w:p>
    <w:p w14:paraId="3A80CD49" w14:textId="77777777" w:rsidR="00D24A18" w:rsidRPr="00AC107A" w:rsidRDefault="00D24A18" w:rsidP="00D106C4">
      <w:pPr>
        <w:pStyle w:val="Heading1"/>
        <w:rPr>
          <w:lang w:val="en-CA"/>
        </w:rPr>
      </w:pPr>
      <w:r w:rsidRPr="00AC107A">
        <w:rPr>
          <w:lang w:val="en-CA"/>
        </w:rPr>
        <w:t xml:space="preserve">On behalf of the Government of Liberia, the Government of Germany as the designated implementing agency has submitted a request for funding for the third and final tranche of stage I of the HCFC phase-out management plan (HPMP), at the amount of </w:t>
      </w:r>
      <w:r w:rsidR="00504E94" w:rsidRPr="00AC107A">
        <w:rPr>
          <w:lang w:val="en-CA"/>
        </w:rPr>
        <w:t>US $</w:t>
      </w:r>
      <w:r w:rsidRPr="00AC107A">
        <w:rPr>
          <w:lang w:val="en-CA"/>
        </w:rPr>
        <w:t xml:space="preserve">31,500, plus agency support costs of </w:t>
      </w:r>
      <w:r w:rsidR="00504E94" w:rsidRPr="00AC107A">
        <w:rPr>
          <w:lang w:val="en-CA"/>
        </w:rPr>
        <w:t>US $</w:t>
      </w:r>
      <w:r w:rsidRPr="00AC107A">
        <w:rPr>
          <w:lang w:val="en-CA"/>
        </w:rPr>
        <w:t>4,0</w:t>
      </w:r>
      <w:r w:rsidR="00BE50DC" w:rsidRPr="00AC107A">
        <w:rPr>
          <w:lang w:val="en-CA"/>
        </w:rPr>
        <w:t>9</w:t>
      </w:r>
      <w:r w:rsidRPr="00AC107A">
        <w:rPr>
          <w:lang w:val="en-CA"/>
        </w:rPr>
        <w:t>5.</w:t>
      </w:r>
      <w:r w:rsidRPr="00AC107A">
        <w:rPr>
          <w:rStyle w:val="FootnoteReference"/>
          <w:lang w:val="en-CA"/>
        </w:rPr>
        <w:footnoteReference w:id="1"/>
      </w:r>
      <w:r w:rsidRPr="00AC107A">
        <w:rPr>
          <w:lang w:val="en-CA"/>
        </w:rPr>
        <w:t xml:space="preserve"> The submission includes a progress report on the implementation of the </w:t>
      </w:r>
      <w:r w:rsidR="00BE50DC" w:rsidRPr="00AC107A">
        <w:rPr>
          <w:lang w:val="en-CA"/>
        </w:rPr>
        <w:t>second</w:t>
      </w:r>
      <w:r w:rsidRPr="00AC107A">
        <w:rPr>
          <w:lang w:val="en-CA"/>
        </w:rPr>
        <w:t xml:space="preserve"> tranche and the tranche implementation plan for 2020 to 2021.</w:t>
      </w:r>
    </w:p>
    <w:p w14:paraId="7A502B14" w14:textId="77777777" w:rsidR="00D24A18" w:rsidRPr="00AC107A" w:rsidRDefault="00D24A18" w:rsidP="00D24A18">
      <w:pPr>
        <w:rPr>
          <w:u w:val="single"/>
          <w:lang w:val="en-CA"/>
        </w:rPr>
      </w:pPr>
      <w:r w:rsidRPr="00AC107A">
        <w:rPr>
          <w:u w:val="single"/>
          <w:lang w:val="en-CA"/>
        </w:rPr>
        <w:t>Report on HCFC consumption</w:t>
      </w:r>
    </w:p>
    <w:p w14:paraId="70919BFE" w14:textId="77777777" w:rsidR="00D24A18" w:rsidRPr="00AC107A" w:rsidRDefault="00D24A18" w:rsidP="00D24A18">
      <w:pPr>
        <w:rPr>
          <w:lang w:val="en-CA"/>
        </w:rPr>
      </w:pPr>
    </w:p>
    <w:p w14:paraId="1D1A57B0" w14:textId="77777777" w:rsidR="00D24A18" w:rsidRPr="00AC107A" w:rsidRDefault="00D24A18" w:rsidP="00D106C4">
      <w:pPr>
        <w:pStyle w:val="Heading1"/>
        <w:rPr>
          <w:lang w:val="en-CA"/>
        </w:rPr>
      </w:pPr>
      <w:r w:rsidRPr="00AC107A">
        <w:rPr>
          <w:lang w:val="en-CA"/>
        </w:rPr>
        <w:t>The Government of Liberia reported consumption of 0.78 ODP tonnes of HCFC in 2019, which is 85.3 per cent below the HCFC baseline for compliance. The 2015-2019 HCFC consumption is shown in Table 1.</w:t>
      </w:r>
      <w:r w:rsidR="00504E94" w:rsidRPr="00AC107A">
        <w:rPr>
          <w:lang w:val="en-CA"/>
        </w:rPr>
        <w:t xml:space="preserve"> </w:t>
      </w:r>
    </w:p>
    <w:p w14:paraId="16A2AA85" w14:textId="77777777" w:rsidR="00D24A18" w:rsidRPr="00AC107A" w:rsidRDefault="00D24A18" w:rsidP="00D24A18">
      <w:pPr>
        <w:rPr>
          <w:b/>
          <w:lang w:val="en-CA"/>
        </w:rPr>
      </w:pPr>
      <w:r w:rsidRPr="00AC107A">
        <w:rPr>
          <w:b/>
          <w:lang w:val="en-CA"/>
        </w:rPr>
        <w:t>Table 1. HCFC consumption in Liberia (2015-2019 Article 7 data)</w:t>
      </w:r>
    </w:p>
    <w:tbl>
      <w:tblPr>
        <w:tblW w:w="5000" w:type="pct"/>
        <w:tblLayout w:type="fixed"/>
        <w:tblLook w:val="04A0" w:firstRow="1" w:lastRow="0" w:firstColumn="1" w:lastColumn="0" w:noHBand="0" w:noVBand="1"/>
      </w:tblPr>
      <w:tblGrid>
        <w:gridCol w:w="2966"/>
        <w:gridCol w:w="1064"/>
        <w:gridCol w:w="1064"/>
        <w:gridCol w:w="1064"/>
        <w:gridCol w:w="1064"/>
        <w:gridCol w:w="1064"/>
        <w:gridCol w:w="1064"/>
      </w:tblGrid>
      <w:tr w:rsidR="00AC107A" w:rsidRPr="00AC107A" w14:paraId="33BBB8B4" w14:textId="77777777" w:rsidTr="00504E94">
        <w:trPr>
          <w:tblHeader/>
        </w:trPr>
        <w:tc>
          <w:tcPr>
            <w:tcW w:w="158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97470E7" w14:textId="77777777" w:rsidR="00D24A18" w:rsidRPr="00AC107A" w:rsidRDefault="00D24A18" w:rsidP="004D5FDF">
            <w:pPr>
              <w:widowControl w:val="0"/>
              <w:jc w:val="left"/>
              <w:rPr>
                <w:b/>
                <w:bCs/>
                <w:lang w:val="en-CA"/>
              </w:rPr>
            </w:pPr>
            <w:r w:rsidRPr="00AC107A">
              <w:rPr>
                <w:b/>
                <w:bCs/>
                <w:lang w:val="en-CA"/>
              </w:rPr>
              <w:t>HCFC</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031C3DCA" w14:textId="77777777" w:rsidR="00D24A18" w:rsidRPr="00AC107A" w:rsidRDefault="00D24A18" w:rsidP="004D5FDF">
            <w:pPr>
              <w:widowControl w:val="0"/>
              <w:jc w:val="center"/>
              <w:rPr>
                <w:b/>
                <w:bCs/>
                <w:lang w:val="en-CA"/>
              </w:rPr>
            </w:pPr>
            <w:r w:rsidRPr="00AC107A">
              <w:rPr>
                <w:b/>
                <w:bCs/>
                <w:lang w:val="en-CA"/>
              </w:rPr>
              <w:t>2015</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6D7B2933" w14:textId="77777777" w:rsidR="00D24A18" w:rsidRPr="00AC107A" w:rsidRDefault="00D24A18" w:rsidP="004D5FDF">
            <w:pPr>
              <w:widowControl w:val="0"/>
              <w:jc w:val="center"/>
              <w:rPr>
                <w:b/>
                <w:bCs/>
                <w:lang w:val="en-CA"/>
              </w:rPr>
            </w:pPr>
            <w:r w:rsidRPr="00AC107A">
              <w:rPr>
                <w:b/>
                <w:bCs/>
                <w:lang w:val="en-CA"/>
              </w:rPr>
              <w:t>2016</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28E879ED" w14:textId="77777777" w:rsidR="00D24A18" w:rsidRPr="00AC107A" w:rsidRDefault="00D24A18" w:rsidP="004D5FDF">
            <w:pPr>
              <w:widowControl w:val="0"/>
              <w:jc w:val="center"/>
              <w:rPr>
                <w:b/>
                <w:bCs/>
                <w:lang w:val="en-CA"/>
              </w:rPr>
            </w:pPr>
            <w:r w:rsidRPr="00AC107A">
              <w:rPr>
                <w:b/>
                <w:bCs/>
                <w:lang w:val="en-CA"/>
              </w:rPr>
              <w:t>2017</w:t>
            </w:r>
          </w:p>
        </w:tc>
        <w:tc>
          <w:tcPr>
            <w:tcW w:w="569" w:type="pct"/>
            <w:tcBorders>
              <w:top w:val="single" w:sz="4" w:space="0" w:color="auto"/>
              <w:left w:val="nil"/>
              <w:bottom w:val="single" w:sz="4" w:space="0" w:color="auto"/>
              <w:right w:val="single" w:sz="4" w:space="0" w:color="auto"/>
            </w:tcBorders>
          </w:tcPr>
          <w:p w14:paraId="799A2EF8" w14:textId="77777777" w:rsidR="00D24A18" w:rsidRPr="00AC107A" w:rsidRDefault="00D24A18" w:rsidP="004D5FDF">
            <w:pPr>
              <w:widowControl w:val="0"/>
              <w:jc w:val="center"/>
              <w:rPr>
                <w:b/>
                <w:bCs/>
                <w:lang w:val="en-CA"/>
              </w:rPr>
            </w:pPr>
            <w:r w:rsidRPr="00AC107A">
              <w:rPr>
                <w:b/>
                <w:bCs/>
                <w:lang w:val="en-CA"/>
              </w:rPr>
              <w:t>2018</w:t>
            </w:r>
          </w:p>
        </w:tc>
        <w:tc>
          <w:tcPr>
            <w:tcW w:w="569" w:type="pct"/>
            <w:tcBorders>
              <w:top w:val="single" w:sz="4" w:space="0" w:color="auto"/>
              <w:left w:val="single" w:sz="4" w:space="0" w:color="auto"/>
              <w:bottom w:val="single" w:sz="4" w:space="0" w:color="auto"/>
              <w:right w:val="single" w:sz="4" w:space="0" w:color="auto"/>
            </w:tcBorders>
          </w:tcPr>
          <w:p w14:paraId="2B08D0F0" w14:textId="77777777" w:rsidR="00D24A18" w:rsidRPr="00AC107A" w:rsidRDefault="00D24A18" w:rsidP="004D5FDF">
            <w:pPr>
              <w:widowControl w:val="0"/>
              <w:jc w:val="center"/>
              <w:rPr>
                <w:b/>
                <w:bCs/>
                <w:lang w:val="en-CA"/>
              </w:rPr>
            </w:pPr>
            <w:r w:rsidRPr="00AC107A">
              <w:rPr>
                <w:b/>
                <w:bCs/>
                <w:lang w:val="en-CA"/>
              </w:rPr>
              <w:t>2019</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44FF2" w14:textId="77777777" w:rsidR="00D24A18" w:rsidRPr="00AC107A" w:rsidRDefault="00D24A18" w:rsidP="004D5FDF">
            <w:pPr>
              <w:widowControl w:val="0"/>
              <w:jc w:val="center"/>
              <w:rPr>
                <w:b/>
                <w:bCs/>
                <w:lang w:val="en-CA"/>
              </w:rPr>
            </w:pPr>
            <w:r w:rsidRPr="00AC107A">
              <w:rPr>
                <w:b/>
                <w:bCs/>
                <w:lang w:val="en-CA"/>
              </w:rPr>
              <w:t>Baseline</w:t>
            </w:r>
          </w:p>
        </w:tc>
      </w:tr>
      <w:tr w:rsidR="00AC107A" w:rsidRPr="00AC107A" w14:paraId="54E8C0B3" w14:textId="77777777" w:rsidTr="00504E94">
        <w:tc>
          <w:tcPr>
            <w:tcW w:w="1586"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3A9974C" w14:textId="77777777" w:rsidR="00D24A18" w:rsidRPr="00AC107A" w:rsidRDefault="00D24A18" w:rsidP="004D5FDF">
            <w:pPr>
              <w:widowControl w:val="0"/>
              <w:jc w:val="left"/>
              <w:rPr>
                <w:b/>
                <w:bCs/>
                <w:lang w:val="en-CA"/>
              </w:rPr>
            </w:pPr>
            <w:r w:rsidRPr="00AC107A">
              <w:rPr>
                <w:b/>
                <w:bCs/>
                <w:lang w:val="en-CA"/>
              </w:rPr>
              <w:t>Metric tonnes (</w:t>
            </w:r>
            <w:proofErr w:type="spellStart"/>
            <w:r w:rsidRPr="00AC107A">
              <w:rPr>
                <w:b/>
                <w:bCs/>
                <w:lang w:val="en-CA"/>
              </w:rPr>
              <w:t>mt</w:t>
            </w:r>
            <w:proofErr w:type="spellEnd"/>
            <w:r w:rsidRPr="00AC107A">
              <w:rPr>
                <w:b/>
                <w:bCs/>
                <w:lang w:val="en-CA"/>
              </w:rPr>
              <w:t>)</w:t>
            </w:r>
          </w:p>
        </w:tc>
        <w:tc>
          <w:tcPr>
            <w:tcW w:w="569" w:type="pct"/>
            <w:tcBorders>
              <w:top w:val="nil"/>
              <w:left w:val="nil"/>
              <w:bottom w:val="single" w:sz="4" w:space="0" w:color="auto"/>
              <w:right w:val="single" w:sz="4" w:space="0" w:color="auto"/>
            </w:tcBorders>
            <w:shd w:val="clear" w:color="auto" w:fill="auto"/>
            <w:noWrap/>
            <w:tcMar>
              <w:left w:w="115" w:type="dxa"/>
              <w:right w:w="187" w:type="dxa"/>
            </w:tcMar>
            <w:vAlign w:val="center"/>
            <w:hideMark/>
          </w:tcPr>
          <w:p w14:paraId="5C1E2A81" w14:textId="77777777" w:rsidR="00D24A18" w:rsidRPr="00AC107A" w:rsidRDefault="00D24A18" w:rsidP="004D5FDF">
            <w:pPr>
              <w:widowControl w:val="0"/>
              <w:jc w:val="center"/>
              <w:rPr>
                <w:b/>
                <w:bCs/>
                <w:lang w:val="en-CA"/>
              </w:rPr>
            </w:pPr>
          </w:p>
        </w:tc>
        <w:tc>
          <w:tcPr>
            <w:tcW w:w="569" w:type="pct"/>
            <w:tcBorders>
              <w:top w:val="nil"/>
              <w:left w:val="nil"/>
              <w:bottom w:val="single" w:sz="4" w:space="0" w:color="auto"/>
              <w:right w:val="single" w:sz="4" w:space="0" w:color="auto"/>
            </w:tcBorders>
            <w:shd w:val="clear" w:color="auto" w:fill="auto"/>
            <w:noWrap/>
            <w:tcMar>
              <w:left w:w="115" w:type="dxa"/>
              <w:right w:w="187" w:type="dxa"/>
            </w:tcMar>
            <w:vAlign w:val="center"/>
            <w:hideMark/>
          </w:tcPr>
          <w:p w14:paraId="0C518649" w14:textId="77777777" w:rsidR="00D24A18" w:rsidRPr="00AC107A" w:rsidRDefault="00D24A18" w:rsidP="004D5FDF">
            <w:pPr>
              <w:widowControl w:val="0"/>
              <w:jc w:val="center"/>
              <w:rPr>
                <w:b/>
                <w:bCs/>
                <w:lang w:val="en-CA"/>
              </w:rPr>
            </w:pPr>
          </w:p>
        </w:tc>
        <w:tc>
          <w:tcPr>
            <w:tcW w:w="569" w:type="pct"/>
            <w:tcBorders>
              <w:top w:val="nil"/>
              <w:left w:val="nil"/>
              <w:bottom w:val="single" w:sz="4" w:space="0" w:color="auto"/>
              <w:right w:val="single" w:sz="4" w:space="0" w:color="auto"/>
            </w:tcBorders>
            <w:shd w:val="clear" w:color="auto" w:fill="auto"/>
            <w:noWrap/>
            <w:tcMar>
              <w:left w:w="115" w:type="dxa"/>
              <w:right w:w="187" w:type="dxa"/>
            </w:tcMar>
            <w:vAlign w:val="center"/>
            <w:hideMark/>
          </w:tcPr>
          <w:p w14:paraId="2E9955D1" w14:textId="77777777" w:rsidR="00D24A18" w:rsidRPr="00AC107A" w:rsidRDefault="00D24A18" w:rsidP="004D5FDF">
            <w:pPr>
              <w:widowControl w:val="0"/>
              <w:jc w:val="center"/>
              <w:rPr>
                <w:b/>
                <w:bCs/>
                <w:lang w:val="en-CA"/>
              </w:rPr>
            </w:pPr>
          </w:p>
        </w:tc>
        <w:tc>
          <w:tcPr>
            <w:tcW w:w="569" w:type="pct"/>
            <w:tcBorders>
              <w:top w:val="single" w:sz="4" w:space="0" w:color="auto"/>
              <w:left w:val="nil"/>
              <w:bottom w:val="single" w:sz="4" w:space="0" w:color="auto"/>
              <w:right w:val="single" w:sz="4" w:space="0" w:color="auto"/>
            </w:tcBorders>
            <w:tcMar>
              <w:left w:w="115" w:type="dxa"/>
              <w:right w:w="187" w:type="dxa"/>
            </w:tcMar>
          </w:tcPr>
          <w:p w14:paraId="4B7E0EB6" w14:textId="77777777" w:rsidR="00D24A18" w:rsidRPr="00AC107A" w:rsidRDefault="00D24A18" w:rsidP="004D5FDF">
            <w:pPr>
              <w:widowControl w:val="0"/>
              <w:jc w:val="center"/>
              <w:rPr>
                <w:b/>
                <w:bCs/>
                <w:lang w:val="en-CA"/>
              </w:rPr>
            </w:pPr>
          </w:p>
        </w:tc>
        <w:tc>
          <w:tcPr>
            <w:tcW w:w="569" w:type="pct"/>
            <w:tcBorders>
              <w:top w:val="nil"/>
              <w:left w:val="single" w:sz="4" w:space="0" w:color="auto"/>
              <w:bottom w:val="single" w:sz="4" w:space="0" w:color="auto"/>
              <w:right w:val="single" w:sz="4" w:space="0" w:color="auto"/>
            </w:tcBorders>
            <w:tcMar>
              <w:left w:w="115" w:type="dxa"/>
              <w:right w:w="187" w:type="dxa"/>
            </w:tcMar>
          </w:tcPr>
          <w:p w14:paraId="3E074983" w14:textId="77777777" w:rsidR="00D24A18" w:rsidRPr="00AC107A" w:rsidRDefault="00D24A18" w:rsidP="004D5FDF">
            <w:pPr>
              <w:widowControl w:val="0"/>
              <w:jc w:val="center"/>
              <w:rPr>
                <w:b/>
                <w:bCs/>
                <w:lang w:val="en-CA"/>
              </w:rPr>
            </w:pPr>
          </w:p>
        </w:tc>
        <w:tc>
          <w:tcPr>
            <w:tcW w:w="570" w:type="pct"/>
            <w:tcBorders>
              <w:top w:val="nil"/>
              <w:left w:val="single" w:sz="4" w:space="0" w:color="auto"/>
              <w:bottom w:val="single" w:sz="4" w:space="0" w:color="auto"/>
              <w:right w:val="single" w:sz="4" w:space="0" w:color="auto"/>
            </w:tcBorders>
            <w:shd w:val="clear" w:color="auto" w:fill="auto"/>
            <w:noWrap/>
            <w:tcMar>
              <w:left w:w="115" w:type="dxa"/>
              <w:right w:w="187" w:type="dxa"/>
            </w:tcMar>
            <w:vAlign w:val="center"/>
            <w:hideMark/>
          </w:tcPr>
          <w:p w14:paraId="389C07EC" w14:textId="77777777" w:rsidR="00D24A18" w:rsidRPr="00AC107A" w:rsidRDefault="00D24A18" w:rsidP="004D5FDF">
            <w:pPr>
              <w:widowControl w:val="0"/>
              <w:jc w:val="center"/>
              <w:rPr>
                <w:b/>
                <w:bCs/>
                <w:lang w:val="en-CA"/>
              </w:rPr>
            </w:pPr>
          </w:p>
        </w:tc>
      </w:tr>
      <w:tr w:rsidR="00AC107A" w:rsidRPr="00AC107A" w14:paraId="424340DA" w14:textId="77777777" w:rsidTr="00504E94">
        <w:tc>
          <w:tcPr>
            <w:tcW w:w="1586"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0357650" w14:textId="77777777" w:rsidR="00D24A18" w:rsidRPr="00AC107A" w:rsidRDefault="00D24A18" w:rsidP="004D5FDF">
            <w:pPr>
              <w:widowControl w:val="0"/>
              <w:jc w:val="left"/>
              <w:rPr>
                <w:lang w:val="en-CA"/>
              </w:rPr>
            </w:pPr>
            <w:r w:rsidRPr="00AC107A">
              <w:rPr>
                <w:lang w:val="en-CA"/>
              </w:rPr>
              <w:t>HCFC-22</w:t>
            </w:r>
          </w:p>
        </w:tc>
        <w:tc>
          <w:tcPr>
            <w:tcW w:w="569" w:type="pct"/>
            <w:tcBorders>
              <w:top w:val="nil"/>
              <w:left w:val="nil"/>
              <w:bottom w:val="single" w:sz="4" w:space="0" w:color="auto"/>
              <w:right w:val="single" w:sz="4" w:space="0" w:color="auto"/>
            </w:tcBorders>
            <w:shd w:val="clear" w:color="auto" w:fill="auto"/>
            <w:noWrap/>
            <w:tcMar>
              <w:left w:w="115" w:type="dxa"/>
              <w:right w:w="187" w:type="dxa"/>
            </w:tcMar>
          </w:tcPr>
          <w:p w14:paraId="1E088207" w14:textId="77777777" w:rsidR="00D24A18" w:rsidRPr="00AC107A" w:rsidRDefault="00D24A18" w:rsidP="004D5FDF">
            <w:pPr>
              <w:widowControl w:val="0"/>
              <w:jc w:val="right"/>
              <w:rPr>
                <w:lang w:val="en-CA"/>
              </w:rPr>
            </w:pPr>
            <w:r w:rsidRPr="00AC107A">
              <w:rPr>
                <w:rFonts w:eastAsiaTheme="minorHAnsi"/>
                <w:lang w:val="en-CA"/>
              </w:rPr>
              <w:t>56.90</w:t>
            </w:r>
          </w:p>
        </w:tc>
        <w:tc>
          <w:tcPr>
            <w:tcW w:w="569" w:type="pct"/>
            <w:tcBorders>
              <w:top w:val="nil"/>
              <w:left w:val="nil"/>
              <w:bottom w:val="single" w:sz="4" w:space="0" w:color="auto"/>
              <w:right w:val="single" w:sz="4" w:space="0" w:color="auto"/>
            </w:tcBorders>
            <w:shd w:val="clear" w:color="auto" w:fill="auto"/>
            <w:noWrap/>
            <w:tcMar>
              <w:left w:w="115" w:type="dxa"/>
              <w:right w:w="187" w:type="dxa"/>
            </w:tcMar>
          </w:tcPr>
          <w:p w14:paraId="47710B67" w14:textId="77777777" w:rsidR="00D24A18" w:rsidRPr="00AC107A" w:rsidRDefault="00D24A18" w:rsidP="004D5FDF">
            <w:pPr>
              <w:widowControl w:val="0"/>
              <w:jc w:val="right"/>
              <w:rPr>
                <w:lang w:val="en-CA"/>
              </w:rPr>
            </w:pPr>
            <w:r w:rsidRPr="00AC107A">
              <w:rPr>
                <w:rFonts w:eastAsiaTheme="minorHAnsi"/>
                <w:lang w:val="en-CA"/>
              </w:rPr>
              <w:t>51.60</w:t>
            </w:r>
          </w:p>
        </w:tc>
        <w:tc>
          <w:tcPr>
            <w:tcW w:w="569" w:type="pct"/>
            <w:tcBorders>
              <w:top w:val="nil"/>
              <w:left w:val="nil"/>
              <w:bottom w:val="single" w:sz="4" w:space="0" w:color="auto"/>
              <w:right w:val="single" w:sz="4" w:space="0" w:color="auto"/>
            </w:tcBorders>
            <w:shd w:val="clear" w:color="auto" w:fill="auto"/>
            <w:noWrap/>
            <w:tcMar>
              <w:left w:w="115" w:type="dxa"/>
              <w:right w:w="187" w:type="dxa"/>
            </w:tcMar>
          </w:tcPr>
          <w:p w14:paraId="56CF53DF" w14:textId="77777777" w:rsidR="00D24A18" w:rsidRPr="00AC107A" w:rsidRDefault="00D24A18" w:rsidP="004D5FDF">
            <w:pPr>
              <w:widowControl w:val="0"/>
              <w:jc w:val="right"/>
              <w:rPr>
                <w:lang w:val="en-CA"/>
              </w:rPr>
            </w:pPr>
            <w:r w:rsidRPr="00AC107A">
              <w:rPr>
                <w:rFonts w:eastAsiaTheme="minorHAnsi"/>
                <w:lang w:val="en-CA"/>
              </w:rPr>
              <w:t>42.10</w:t>
            </w:r>
          </w:p>
        </w:tc>
        <w:tc>
          <w:tcPr>
            <w:tcW w:w="569" w:type="pct"/>
            <w:tcBorders>
              <w:top w:val="single" w:sz="4" w:space="0" w:color="auto"/>
              <w:left w:val="nil"/>
              <w:bottom w:val="single" w:sz="4" w:space="0" w:color="auto"/>
              <w:right w:val="single" w:sz="4" w:space="0" w:color="auto"/>
            </w:tcBorders>
            <w:tcMar>
              <w:left w:w="115" w:type="dxa"/>
              <w:right w:w="187" w:type="dxa"/>
            </w:tcMar>
          </w:tcPr>
          <w:p w14:paraId="6AD1699A" w14:textId="77777777" w:rsidR="00D24A18" w:rsidRPr="00AC107A" w:rsidRDefault="00D24A18" w:rsidP="004D5FDF">
            <w:pPr>
              <w:widowControl w:val="0"/>
              <w:jc w:val="right"/>
              <w:rPr>
                <w:lang w:val="en-CA"/>
              </w:rPr>
            </w:pPr>
            <w:r w:rsidRPr="00AC107A">
              <w:rPr>
                <w:rFonts w:eastAsiaTheme="minorHAnsi"/>
                <w:lang w:val="en-CA"/>
              </w:rPr>
              <w:t>32.40</w:t>
            </w:r>
          </w:p>
        </w:tc>
        <w:tc>
          <w:tcPr>
            <w:tcW w:w="569" w:type="pct"/>
            <w:tcBorders>
              <w:top w:val="nil"/>
              <w:left w:val="single" w:sz="4" w:space="0" w:color="auto"/>
              <w:bottom w:val="single" w:sz="4" w:space="0" w:color="auto"/>
              <w:right w:val="single" w:sz="4" w:space="0" w:color="auto"/>
            </w:tcBorders>
            <w:tcMar>
              <w:left w:w="115" w:type="dxa"/>
              <w:right w:w="187" w:type="dxa"/>
            </w:tcMar>
          </w:tcPr>
          <w:p w14:paraId="7ECD1FBE" w14:textId="77777777" w:rsidR="00D24A18" w:rsidRPr="00AC107A" w:rsidRDefault="00D24A18" w:rsidP="004D5FDF">
            <w:pPr>
              <w:widowControl w:val="0"/>
              <w:jc w:val="right"/>
              <w:rPr>
                <w:lang w:val="en-CA"/>
              </w:rPr>
            </w:pPr>
            <w:r w:rsidRPr="00AC107A">
              <w:rPr>
                <w:rFonts w:eastAsiaTheme="minorHAnsi"/>
                <w:lang w:val="en-CA"/>
              </w:rPr>
              <w:t>14.20</w:t>
            </w:r>
          </w:p>
        </w:tc>
        <w:tc>
          <w:tcPr>
            <w:tcW w:w="570" w:type="pct"/>
            <w:tcBorders>
              <w:top w:val="nil"/>
              <w:left w:val="single" w:sz="4" w:space="0" w:color="auto"/>
              <w:bottom w:val="single" w:sz="4" w:space="0" w:color="auto"/>
              <w:right w:val="single" w:sz="4" w:space="0" w:color="auto"/>
            </w:tcBorders>
            <w:shd w:val="clear" w:color="auto" w:fill="auto"/>
            <w:noWrap/>
            <w:tcMar>
              <w:left w:w="115" w:type="dxa"/>
              <w:right w:w="187" w:type="dxa"/>
            </w:tcMar>
            <w:vAlign w:val="center"/>
          </w:tcPr>
          <w:p w14:paraId="1E47C452" w14:textId="3C47AD51" w:rsidR="00D24A18" w:rsidRPr="00AC107A" w:rsidRDefault="00A23B66">
            <w:pPr>
              <w:widowControl w:val="0"/>
              <w:jc w:val="right"/>
              <w:rPr>
                <w:lang w:val="en-CA"/>
              </w:rPr>
            </w:pPr>
            <w:r w:rsidRPr="00AC107A">
              <w:rPr>
                <w:lang w:val="en-CA"/>
              </w:rPr>
              <w:t>95.45</w:t>
            </w:r>
          </w:p>
        </w:tc>
      </w:tr>
      <w:tr w:rsidR="00AC107A" w:rsidRPr="00AC107A" w14:paraId="73FCD623" w14:textId="77777777" w:rsidTr="00504E94">
        <w:tc>
          <w:tcPr>
            <w:tcW w:w="158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91BB47A" w14:textId="77777777" w:rsidR="00D24A18" w:rsidRPr="00AC107A" w:rsidRDefault="00D24A18" w:rsidP="004D5FDF">
            <w:pPr>
              <w:widowControl w:val="0"/>
              <w:jc w:val="left"/>
              <w:rPr>
                <w:b/>
                <w:bCs/>
                <w:lang w:val="en-CA"/>
              </w:rPr>
            </w:pPr>
            <w:r w:rsidRPr="00AC107A">
              <w:rPr>
                <w:b/>
                <w:bCs/>
                <w:lang w:val="en-CA"/>
              </w:rPr>
              <w:t>ODP tonnes</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87" w:type="dxa"/>
            </w:tcMar>
            <w:vAlign w:val="center"/>
            <w:hideMark/>
          </w:tcPr>
          <w:p w14:paraId="26E77886" w14:textId="77777777" w:rsidR="00D24A18" w:rsidRPr="00AC107A" w:rsidRDefault="00D24A18" w:rsidP="004D5FDF">
            <w:pPr>
              <w:widowControl w:val="0"/>
              <w:jc w:val="right"/>
              <w:rPr>
                <w:lang w:val="en-CA"/>
              </w:rPr>
            </w:pP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87" w:type="dxa"/>
            </w:tcMar>
            <w:vAlign w:val="center"/>
            <w:hideMark/>
          </w:tcPr>
          <w:p w14:paraId="19077C1B" w14:textId="77777777" w:rsidR="00D24A18" w:rsidRPr="00AC107A" w:rsidRDefault="00D24A18" w:rsidP="004D5FDF">
            <w:pPr>
              <w:widowControl w:val="0"/>
              <w:jc w:val="right"/>
              <w:rPr>
                <w:lang w:val="en-CA"/>
              </w:rPr>
            </w:pP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87" w:type="dxa"/>
            </w:tcMar>
            <w:vAlign w:val="center"/>
          </w:tcPr>
          <w:p w14:paraId="4F30DFF7" w14:textId="77777777" w:rsidR="00D24A18" w:rsidRPr="00AC107A" w:rsidRDefault="00D24A18" w:rsidP="004D5FDF">
            <w:pPr>
              <w:widowControl w:val="0"/>
              <w:jc w:val="right"/>
              <w:rPr>
                <w:lang w:val="en-CA"/>
              </w:rPr>
            </w:pPr>
          </w:p>
        </w:tc>
        <w:tc>
          <w:tcPr>
            <w:tcW w:w="569" w:type="pct"/>
            <w:tcBorders>
              <w:top w:val="single" w:sz="4" w:space="0" w:color="auto"/>
              <w:left w:val="single" w:sz="4" w:space="0" w:color="auto"/>
              <w:bottom w:val="single" w:sz="4" w:space="0" w:color="auto"/>
              <w:right w:val="single" w:sz="4" w:space="0" w:color="auto"/>
            </w:tcBorders>
            <w:tcMar>
              <w:left w:w="115" w:type="dxa"/>
              <w:right w:w="187" w:type="dxa"/>
            </w:tcMar>
          </w:tcPr>
          <w:p w14:paraId="210CDD80" w14:textId="77777777" w:rsidR="00D24A18" w:rsidRPr="00AC107A" w:rsidRDefault="00D24A18" w:rsidP="004D5FDF">
            <w:pPr>
              <w:widowControl w:val="0"/>
              <w:jc w:val="right"/>
              <w:rPr>
                <w:lang w:val="en-CA"/>
              </w:rPr>
            </w:pPr>
          </w:p>
        </w:tc>
        <w:tc>
          <w:tcPr>
            <w:tcW w:w="569" w:type="pct"/>
            <w:tcBorders>
              <w:top w:val="single" w:sz="4" w:space="0" w:color="auto"/>
              <w:left w:val="single" w:sz="4" w:space="0" w:color="auto"/>
              <w:bottom w:val="single" w:sz="4" w:space="0" w:color="auto"/>
              <w:right w:val="single" w:sz="4" w:space="0" w:color="auto"/>
            </w:tcBorders>
            <w:tcMar>
              <w:left w:w="115" w:type="dxa"/>
              <w:right w:w="187" w:type="dxa"/>
            </w:tcMar>
          </w:tcPr>
          <w:p w14:paraId="059A3804" w14:textId="77777777" w:rsidR="00D24A18" w:rsidRPr="00AC107A" w:rsidRDefault="00D24A18" w:rsidP="004D5FDF">
            <w:pPr>
              <w:widowControl w:val="0"/>
              <w:jc w:val="right"/>
              <w:rPr>
                <w:lang w:val="en-CA"/>
              </w:rPr>
            </w:pPr>
          </w:p>
        </w:tc>
        <w:tc>
          <w:tcPr>
            <w:tcW w:w="57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87" w:type="dxa"/>
            </w:tcMar>
            <w:vAlign w:val="center"/>
            <w:hideMark/>
          </w:tcPr>
          <w:p w14:paraId="0863B3FE" w14:textId="77777777" w:rsidR="00D24A18" w:rsidRPr="00AC107A" w:rsidRDefault="00D24A18" w:rsidP="004D5FDF">
            <w:pPr>
              <w:widowControl w:val="0"/>
              <w:jc w:val="right"/>
              <w:rPr>
                <w:lang w:val="en-CA"/>
              </w:rPr>
            </w:pPr>
          </w:p>
        </w:tc>
      </w:tr>
      <w:tr w:rsidR="00514BA4" w:rsidRPr="00AC107A" w14:paraId="552D189F" w14:textId="77777777" w:rsidTr="00504E94">
        <w:tc>
          <w:tcPr>
            <w:tcW w:w="158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5AFE5C4" w14:textId="77777777" w:rsidR="00D24A18" w:rsidRPr="00AC107A" w:rsidRDefault="00D24A18" w:rsidP="004D5FDF">
            <w:pPr>
              <w:widowControl w:val="0"/>
              <w:jc w:val="left"/>
              <w:rPr>
                <w:lang w:val="en-CA"/>
              </w:rPr>
            </w:pPr>
            <w:r w:rsidRPr="00AC107A">
              <w:rPr>
                <w:lang w:val="en-CA"/>
              </w:rPr>
              <w:t>HCFC-22</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87" w:type="dxa"/>
            </w:tcMar>
          </w:tcPr>
          <w:p w14:paraId="080E5D29" w14:textId="77777777" w:rsidR="00D24A18" w:rsidRPr="00AC107A" w:rsidRDefault="004F379F">
            <w:pPr>
              <w:widowControl w:val="0"/>
              <w:jc w:val="right"/>
              <w:rPr>
                <w:lang w:val="en-CA"/>
              </w:rPr>
            </w:pPr>
            <w:r w:rsidRPr="00AC107A">
              <w:rPr>
                <w:lang w:val="en-CA"/>
              </w:rPr>
              <w:t>3.13</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87" w:type="dxa"/>
            </w:tcMar>
          </w:tcPr>
          <w:p w14:paraId="2A188FEA" w14:textId="77777777" w:rsidR="00D24A18" w:rsidRPr="00AC107A" w:rsidRDefault="004F379F">
            <w:pPr>
              <w:widowControl w:val="0"/>
              <w:jc w:val="right"/>
              <w:rPr>
                <w:lang w:val="en-CA"/>
              </w:rPr>
            </w:pPr>
            <w:r w:rsidRPr="00AC107A">
              <w:rPr>
                <w:lang w:val="en-CA"/>
              </w:rPr>
              <w:t>2.84</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87" w:type="dxa"/>
            </w:tcMar>
          </w:tcPr>
          <w:p w14:paraId="0B55C952" w14:textId="77777777" w:rsidR="00D24A18" w:rsidRPr="00AC107A" w:rsidRDefault="004F379F">
            <w:pPr>
              <w:widowControl w:val="0"/>
              <w:jc w:val="right"/>
              <w:rPr>
                <w:lang w:val="en-CA"/>
              </w:rPr>
            </w:pPr>
            <w:r w:rsidRPr="00AC107A">
              <w:rPr>
                <w:lang w:val="en-CA"/>
              </w:rPr>
              <w:t>2.31</w:t>
            </w:r>
          </w:p>
        </w:tc>
        <w:tc>
          <w:tcPr>
            <w:tcW w:w="569" w:type="pct"/>
            <w:tcBorders>
              <w:top w:val="single" w:sz="4" w:space="0" w:color="auto"/>
              <w:left w:val="single" w:sz="4" w:space="0" w:color="auto"/>
              <w:bottom w:val="single" w:sz="4" w:space="0" w:color="auto"/>
              <w:right w:val="single" w:sz="4" w:space="0" w:color="auto"/>
            </w:tcBorders>
            <w:tcMar>
              <w:left w:w="115" w:type="dxa"/>
              <w:right w:w="187" w:type="dxa"/>
            </w:tcMar>
          </w:tcPr>
          <w:p w14:paraId="751902F0" w14:textId="77777777" w:rsidR="00D24A18" w:rsidRPr="00AC107A" w:rsidRDefault="004F379F">
            <w:pPr>
              <w:widowControl w:val="0"/>
              <w:jc w:val="right"/>
              <w:rPr>
                <w:lang w:val="en-CA"/>
              </w:rPr>
            </w:pPr>
            <w:r w:rsidRPr="00AC107A">
              <w:rPr>
                <w:lang w:val="en-CA"/>
              </w:rPr>
              <w:t>1.78</w:t>
            </w:r>
          </w:p>
        </w:tc>
        <w:tc>
          <w:tcPr>
            <w:tcW w:w="569" w:type="pct"/>
            <w:tcBorders>
              <w:top w:val="single" w:sz="4" w:space="0" w:color="auto"/>
              <w:left w:val="single" w:sz="4" w:space="0" w:color="auto"/>
              <w:bottom w:val="single" w:sz="4" w:space="0" w:color="auto"/>
              <w:right w:val="single" w:sz="4" w:space="0" w:color="auto"/>
            </w:tcBorders>
            <w:tcMar>
              <w:left w:w="115" w:type="dxa"/>
              <w:right w:w="187" w:type="dxa"/>
            </w:tcMar>
          </w:tcPr>
          <w:p w14:paraId="5B929B36" w14:textId="77777777" w:rsidR="00D24A18" w:rsidRPr="00AC107A" w:rsidRDefault="00D24A18" w:rsidP="004D5FDF">
            <w:pPr>
              <w:widowControl w:val="0"/>
              <w:jc w:val="right"/>
              <w:rPr>
                <w:lang w:val="en-CA"/>
              </w:rPr>
            </w:pPr>
            <w:r w:rsidRPr="00AC107A">
              <w:rPr>
                <w:lang w:val="en-CA"/>
              </w:rPr>
              <w:t>0.78</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87" w:type="dxa"/>
            </w:tcMar>
            <w:vAlign w:val="center"/>
          </w:tcPr>
          <w:p w14:paraId="2259415C" w14:textId="69263261" w:rsidR="00D24A18" w:rsidRPr="00AC107A" w:rsidRDefault="00A23B66">
            <w:pPr>
              <w:widowControl w:val="0"/>
              <w:jc w:val="right"/>
              <w:rPr>
                <w:lang w:val="en-CA"/>
              </w:rPr>
            </w:pPr>
            <w:r w:rsidRPr="00AC107A">
              <w:rPr>
                <w:lang w:val="en-CA" w:eastAsia="en-CA"/>
              </w:rPr>
              <w:t>5.30</w:t>
            </w:r>
          </w:p>
        </w:tc>
      </w:tr>
    </w:tbl>
    <w:p w14:paraId="3E16806D" w14:textId="77777777" w:rsidR="00D24A18" w:rsidRPr="00AC107A" w:rsidRDefault="00D24A18" w:rsidP="00D24A18">
      <w:pPr>
        <w:rPr>
          <w:lang w:val="en-CA"/>
        </w:rPr>
      </w:pPr>
    </w:p>
    <w:p w14:paraId="0049A853" w14:textId="77777777" w:rsidR="00D24A18" w:rsidRPr="00AC107A" w:rsidRDefault="00D24A18" w:rsidP="00D106C4">
      <w:pPr>
        <w:pStyle w:val="Heading1"/>
        <w:rPr>
          <w:lang w:val="en-CA"/>
        </w:rPr>
      </w:pPr>
      <w:r w:rsidRPr="00AC107A">
        <w:rPr>
          <w:lang w:val="en-CA"/>
        </w:rPr>
        <w:t>The reduction of HCFC imports can be attributed to the enforcement of the ODS regulations</w:t>
      </w:r>
      <w:r w:rsidR="004F379F" w:rsidRPr="00AC107A">
        <w:rPr>
          <w:lang w:val="en-CA"/>
        </w:rPr>
        <w:t xml:space="preserve"> including the licensing and quota system</w:t>
      </w:r>
      <w:r w:rsidRPr="00AC107A">
        <w:rPr>
          <w:lang w:val="en-CA"/>
        </w:rPr>
        <w:t xml:space="preserve">, training </w:t>
      </w:r>
      <w:r w:rsidR="004F379F" w:rsidRPr="00AC107A">
        <w:rPr>
          <w:lang w:val="en-CA"/>
        </w:rPr>
        <w:t xml:space="preserve">activities </w:t>
      </w:r>
      <w:r w:rsidRPr="00AC107A">
        <w:rPr>
          <w:lang w:val="en-CA"/>
        </w:rPr>
        <w:t xml:space="preserve">in </w:t>
      </w:r>
      <w:r w:rsidR="004F379F" w:rsidRPr="00AC107A">
        <w:rPr>
          <w:lang w:val="en-CA"/>
        </w:rPr>
        <w:t xml:space="preserve">customs and </w:t>
      </w:r>
      <w:r w:rsidRPr="00AC107A">
        <w:rPr>
          <w:lang w:val="en-CA"/>
        </w:rPr>
        <w:t xml:space="preserve">refrigeration servicing </w:t>
      </w:r>
      <w:r w:rsidR="004F379F" w:rsidRPr="00AC107A">
        <w:rPr>
          <w:lang w:val="en-CA"/>
        </w:rPr>
        <w:t>sector under the HPMP</w:t>
      </w:r>
      <w:r w:rsidRPr="00AC107A">
        <w:rPr>
          <w:lang w:val="en-CA"/>
        </w:rPr>
        <w:t xml:space="preserve">, availability and use of alternative refrigerants in refrigeration and air-conditioning </w:t>
      </w:r>
      <w:r w:rsidR="00C50AE6" w:rsidRPr="00AC107A">
        <w:rPr>
          <w:lang w:val="en-CA"/>
        </w:rPr>
        <w:t xml:space="preserve">(RAC) </w:t>
      </w:r>
      <w:r w:rsidRPr="00AC107A">
        <w:rPr>
          <w:lang w:val="en-CA"/>
        </w:rPr>
        <w:t xml:space="preserve">units (e.g., HFC-134a, R-410A,) as well as robust nationwide ozone protection awareness initiatives. Moreover, challenges that Liberia has faced like the Ebola epidemic and political uncertainties, disrupted regular economic activity in the country and resulted in additional reduction in the HCFC imports. </w:t>
      </w:r>
    </w:p>
    <w:p w14:paraId="24CB19A6" w14:textId="77777777" w:rsidR="00D24A18" w:rsidRPr="00AC107A" w:rsidRDefault="00D24A18" w:rsidP="00D24A18">
      <w:pPr>
        <w:rPr>
          <w:i/>
          <w:lang w:val="en-CA"/>
        </w:rPr>
      </w:pPr>
      <w:r w:rsidRPr="00AC107A">
        <w:rPr>
          <w:i/>
          <w:lang w:val="en-CA"/>
        </w:rPr>
        <w:t>Country programme (CP) implementation report</w:t>
      </w:r>
    </w:p>
    <w:p w14:paraId="1EA3B034" w14:textId="77777777" w:rsidR="00D24A18" w:rsidRPr="00AC107A" w:rsidRDefault="00D24A18" w:rsidP="00D24A18">
      <w:pPr>
        <w:rPr>
          <w:lang w:val="en-CA"/>
        </w:rPr>
      </w:pPr>
    </w:p>
    <w:p w14:paraId="08AB73EA" w14:textId="77777777" w:rsidR="00D24A18" w:rsidRPr="00AC107A" w:rsidRDefault="00D24A18" w:rsidP="00D106C4">
      <w:pPr>
        <w:pStyle w:val="Heading1"/>
        <w:rPr>
          <w:u w:val="single"/>
          <w:lang w:val="en-CA"/>
        </w:rPr>
      </w:pPr>
      <w:r w:rsidRPr="00AC107A">
        <w:rPr>
          <w:lang w:val="en-CA"/>
        </w:rPr>
        <w:lastRenderedPageBreak/>
        <w:t>The Government of Liberia reported HCFC sector consumption data under the 201</w:t>
      </w:r>
      <w:r w:rsidR="004F379F" w:rsidRPr="00AC107A">
        <w:rPr>
          <w:lang w:val="en-CA"/>
        </w:rPr>
        <w:t>9</w:t>
      </w:r>
      <w:r w:rsidRPr="00AC107A">
        <w:rPr>
          <w:lang w:val="en-CA"/>
        </w:rPr>
        <w:t xml:space="preserve"> CP implementation report which is consistent with the data reported under Article 7 of the Montreal Protocol. </w:t>
      </w:r>
    </w:p>
    <w:p w14:paraId="348A9440" w14:textId="77777777" w:rsidR="00D24A18" w:rsidRPr="00AC107A" w:rsidRDefault="00D24A18" w:rsidP="00D24A18">
      <w:pPr>
        <w:pStyle w:val="Heading1"/>
        <w:numPr>
          <w:ilvl w:val="0"/>
          <w:numId w:val="0"/>
        </w:numPr>
        <w:rPr>
          <w:u w:val="single"/>
          <w:lang w:val="en-CA"/>
        </w:rPr>
      </w:pPr>
      <w:r w:rsidRPr="00AC107A">
        <w:rPr>
          <w:u w:val="single"/>
          <w:lang w:val="en-CA"/>
        </w:rPr>
        <w:t xml:space="preserve">Progress report on the implementation of the </w:t>
      </w:r>
      <w:r w:rsidR="004F379F" w:rsidRPr="00AC107A">
        <w:rPr>
          <w:u w:val="single"/>
          <w:lang w:val="en-CA"/>
        </w:rPr>
        <w:t xml:space="preserve">second </w:t>
      </w:r>
      <w:r w:rsidRPr="00AC107A">
        <w:rPr>
          <w:u w:val="single"/>
          <w:lang w:val="en-CA"/>
        </w:rPr>
        <w:t>tranche of the HPMP</w:t>
      </w:r>
    </w:p>
    <w:p w14:paraId="43663696" w14:textId="77777777" w:rsidR="00D24A18" w:rsidRPr="00AC107A" w:rsidRDefault="00D24A18" w:rsidP="00D24A18">
      <w:pPr>
        <w:rPr>
          <w:i/>
          <w:lang w:val="en-CA"/>
        </w:rPr>
      </w:pPr>
      <w:r w:rsidRPr="00AC107A">
        <w:rPr>
          <w:i/>
          <w:lang w:val="en-CA"/>
        </w:rPr>
        <w:t>Legal framework</w:t>
      </w:r>
    </w:p>
    <w:p w14:paraId="43490271" w14:textId="77777777" w:rsidR="00D24A18" w:rsidRPr="00AC107A" w:rsidRDefault="00D24A18" w:rsidP="00D24A18">
      <w:pPr>
        <w:rPr>
          <w:lang w:val="en-CA"/>
        </w:rPr>
      </w:pPr>
    </w:p>
    <w:p w14:paraId="62EF7CBE" w14:textId="77777777" w:rsidR="00D24A18" w:rsidRPr="00AC107A" w:rsidRDefault="00D24A18" w:rsidP="00D106C4">
      <w:pPr>
        <w:pStyle w:val="Heading1"/>
        <w:rPr>
          <w:i/>
          <w:lang w:val="en-CA"/>
        </w:rPr>
      </w:pPr>
      <w:r w:rsidRPr="00AC107A">
        <w:rPr>
          <w:lang w:val="en-CA"/>
        </w:rPr>
        <w:t xml:space="preserve">The Government of Liberia continues to enforce the Ozone-Depleting Substances Regulations of 2012 to control the import and export of ODS and </w:t>
      </w:r>
      <w:r w:rsidR="004F379F" w:rsidRPr="00AC107A">
        <w:rPr>
          <w:lang w:val="en-CA"/>
        </w:rPr>
        <w:t>ODS-based</w:t>
      </w:r>
      <w:r w:rsidRPr="00AC107A">
        <w:rPr>
          <w:lang w:val="en-CA"/>
        </w:rPr>
        <w:t xml:space="preserve"> equipment. The national ozone unit (NOU) works closely with customs authorities on implementing the licensing system for HCFCs. The mandatory registration of importers is in place and enforced. </w:t>
      </w:r>
      <w:r w:rsidR="00504E94" w:rsidRPr="00AC107A">
        <w:rPr>
          <w:lang w:val="en-CA"/>
        </w:rPr>
        <w:t>A</w:t>
      </w:r>
      <w:r w:rsidRPr="00AC107A">
        <w:rPr>
          <w:lang w:val="en-CA"/>
        </w:rPr>
        <w:t xml:space="preserve"> draft of the ODS regulations for including </w:t>
      </w:r>
      <w:r w:rsidR="006E193D" w:rsidRPr="00AC107A">
        <w:rPr>
          <w:lang w:val="en-CA"/>
        </w:rPr>
        <w:t xml:space="preserve">import controls of </w:t>
      </w:r>
      <w:r w:rsidRPr="00AC107A">
        <w:rPr>
          <w:lang w:val="en-CA"/>
        </w:rPr>
        <w:t xml:space="preserve">HCFC-based equipment and regulations for </w:t>
      </w:r>
      <w:r w:rsidR="006E193D" w:rsidRPr="00AC107A">
        <w:rPr>
          <w:lang w:val="en-CA"/>
        </w:rPr>
        <w:t xml:space="preserve">the </w:t>
      </w:r>
      <w:r w:rsidRPr="00AC107A">
        <w:rPr>
          <w:lang w:val="en-CA"/>
        </w:rPr>
        <w:t xml:space="preserve">implementation of the Kigali Amendment, </w:t>
      </w:r>
      <w:r w:rsidR="00504E94" w:rsidRPr="00AC107A">
        <w:rPr>
          <w:lang w:val="en-CA"/>
        </w:rPr>
        <w:t xml:space="preserve">has </w:t>
      </w:r>
      <w:r w:rsidR="006E193D" w:rsidRPr="00AC107A">
        <w:rPr>
          <w:lang w:val="en-CA"/>
        </w:rPr>
        <w:t xml:space="preserve">been </w:t>
      </w:r>
      <w:r w:rsidRPr="00AC107A">
        <w:rPr>
          <w:lang w:val="en-CA"/>
        </w:rPr>
        <w:t xml:space="preserve">prepared and </w:t>
      </w:r>
      <w:r w:rsidR="00504E94" w:rsidRPr="00AC107A">
        <w:rPr>
          <w:lang w:val="en-CA"/>
        </w:rPr>
        <w:t xml:space="preserve">is </w:t>
      </w:r>
      <w:r w:rsidRPr="00AC107A">
        <w:rPr>
          <w:lang w:val="en-CA"/>
        </w:rPr>
        <w:t xml:space="preserve">currently </w:t>
      </w:r>
      <w:r w:rsidR="00504E94" w:rsidRPr="00AC107A">
        <w:rPr>
          <w:lang w:val="en-CA"/>
        </w:rPr>
        <w:t xml:space="preserve">under </w:t>
      </w:r>
      <w:r w:rsidRPr="00AC107A">
        <w:rPr>
          <w:lang w:val="en-CA"/>
        </w:rPr>
        <w:t>review.</w:t>
      </w:r>
    </w:p>
    <w:p w14:paraId="1891811B" w14:textId="77777777" w:rsidR="00D24A18" w:rsidRPr="00AC107A" w:rsidRDefault="00D24A18" w:rsidP="00D24A18">
      <w:pPr>
        <w:pStyle w:val="Heading1"/>
        <w:numPr>
          <w:ilvl w:val="0"/>
          <w:numId w:val="0"/>
        </w:numPr>
        <w:rPr>
          <w:i/>
          <w:lang w:val="en-CA"/>
        </w:rPr>
      </w:pPr>
      <w:r w:rsidRPr="00AC107A">
        <w:rPr>
          <w:i/>
          <w:lang w:val="en-CA"/>
        </w:rPr>
        <w:t>Refrigeration servicing sector</w:t>
      </w:r>
    </w:p>
    <w:p w14:paraId="2112BADB" w14:textId="77777777" w:rsidR="00D24A18" w:rsidRPr="00AC107A" w:rsidRDefault="00D24A18" w:rsidP="00D106C4">
      <w:pPr>
        <w:pStyle w:val="Heading1"/>
        <w:rPr>
          <w:lang w:val="en-CA"/>
        </w:rPr>
      </w:pPr>
      <w:r w:rsidRPr="00AC107A">
        <w:rPr>
          <w:lang w:val="en-CA"/>
        </w:rPr>
        <w:t>The main activities carried out include:</w:t>
      </w:r>
    </w:p>
    <w:p w14:paraId="6697396D" w14:textId="77777777" w:rsidR="00D24A18" w:rsidRPr="00AC107A" w:rsidRDefault="006E193D" w:rsidP="00D106C4">
      <w:pPr>
        <w:pStyle w:val="Heading2"/>
        <w:rPr>
          <w:lang w:val="en-CA"/>
        </w:rPr>
      </w:pPr>
      <w:r w:rsidRPr="00AC107A">
        <w:rPr>
          <w:lang w:val="en-CA"/>
        </w:rPr>
        <w:t>A</w:t>
      </w:r>
      <w:r w:rsidR="00D24A18" w:rsidRPr="00AC107A">
        <w:rPr>
          <w:lang w:val="en-CA"/>
        </w:rPr>
        <w:t xml:space="preserve"> total of 190 customs officers, clearing agents, and environmental inspectors </w:t>
      </w:r>
      <w:r w:rsidR="007365D7" w:rsidRPr="00AC107A">
        <w:rPr>
          <w:lang w:val="en-CA"/>
        </w:rPr>
        <w:t xml:space="preserve">including those at the border posts </w:t>
      </w:r>
      <w:r w:rsidRPr="00AC107A">
        <w:rPr>
          <w:lang w:val="en-CA"/>
        </w:rPr>
        <w:t>were</w:t>
      </w:r>
      <w:r w:rsidR="00D24A18" w:rsidRPr="00AC107A">
        <w:rPr>
          <w:lang w:val="en-CA"/>
        </w:rPr>
        <w:t xml:space="preserve"> trained on HCFC import controls and monitoring requirements</w:t>
      </w:r>
      <w:r w:rsidR="007365D7" w:rsidRPr="00AC107A">
        <w:rPr>
          <w:lang w:val="en-CA"/>
        </w:rPr>
        <w:t>; o</w:t>
      </w:r>
      <w:r w:rsidR="00D24A18" w:rsidRPr="00AC107A">
        <w:rPr>
          <w:lang w:val="en-CA"/>
        </w:rPr>
        <w:t xml:space="preserve">ne </w:t>
      </w:r>
      <w:r w:rsidR="007365D7" w:rsidRPr="00AC107A">
        <w:rPr>
          <w:lang w:val="en-CA"/>
        </w:rPr>
        <w:t xml:space="preserve">multi-refrigerant </w:t>
      </w:r>
      <w:r w:rsidR="00D24A18" w:rsidRPr="00AC107A">
        <w:rPr>
          <w:lang w:val="en-CA"/>
        </w:rPr>
        <w:t xml:space="preserve">identifier was purchased </w:t>
      </w:r>
      <w:r w:rsidRPr="00AC107A">
        <w:rPr>
          <w:lang w:val="en-CA"/>
        </w:rPr>
        <w:t xml:space="preserve">and </w:t>
      </w:r>
      <w:r w:rsidR="00D24A18" w:rsidRPr="00AC107A">
        <w:rPr>
          <w:lang w:val="en-CA"/>
        </w:rPr>
        <w:t>is accessible to the NOU for controlling suspicious consignments;</w:t>
      </w:r>
    </w:p>
    <w:p w14:paraId="5282EA94" w14:textId="308FBD37" w:rsidR="00D24A18" w:rsidRPr="00AC107A" w:rsidRDefault="00D24A18" w:rsidP="00D106C4">
      <w:pPr>
        <w:pStyle w:val="Heading2"/>
        <w:rPr>
          <w:lang w:val="en-CA"/>
        </w:rPr>
      </w:pPr>
      <w:r w:rsidRPr="00AC107A">
        <w:rPr>
          <w:lang w:val="en-CA"/>
        </w:rPr>
        <w:t xml:space="preserve">Four trainers from two </w:t>
      </w:r>
      <w:r w:rsidR="007365D7" w:rsidRPr="00AC107A">
        <w:rPr>
          <w:lang w:val="en-CA"/>
        </w:rPr>
        <w:t xml:space="preserve">RAC </w:t>
      </w:r>
      <w:r w:rsidRPr="00AC107A">
        <w:rPr>
          <w:lang w:val="en-CA"/>
        </w:rPr>
        <w:t xml:space="preserve">training institutions (Monrovia Vocational Training Centre </w:t>
      </w:r>
      <w:r w:rsidR="00444075" w:rsidRPr="00AC107A">
        <w:rPr>
          <w:lang w:val="en-CA"/>
        </w:rPr>
        <w:t xml:space="preserve">(MVTC) </w:t>
      </w:r>
      <w:r w:rsidRPr="00AC107A">
        <w:rPr>
          <w:lang w:val="en-CA"/>
        </w:rPr>
        <w:t>and Humanity International) attend</w:t>
      </w:r>
      <w:r w:rsidR="00515AD5" w:rsidRPr="00AC107A">
        <w:rPr>
          <w:lang w:val="en-CA"/>
        </w:rPr>
        <w:t>ed</w:t>
      </w:r>
      <w:r w:rsidRPr="00AC107A">
        <w:rPr>
          <w:lang w:val="en-CA"/>
        </w:rPr>
        <w:t xml:space="preserve"> certified refrigeration courses and safe handling of refrigerants</w:t>
      </w:r>
      <w:r w:rsidR="00515AD5" w:rsidRPr="00AC107A">
        <w:rPr>
          <w:lang w:val="en-CA"/>
        </w:rPr>
        <w:t xml:space="preserve"> in South Africa</w:t>
      </w:r>
      <w:r w:rsidR="007365D7" w:rsidRPr="00AC107A">
        <w:rPr>
          <w:lang w:val="en-CA"/>
        </w:rPr>
        <w:t>;</w:t>
      </w:r>
      <w:r w:rsidR="00B31080" w:rsidRPr="00AC107A">
        <w:rPr>
          <w:rStyle w:val="FootnoteReference"/>
          <w:lang w:val="en-CA"/>
        </w:rPr>
        <w:footnoteReference w:id="2"/>
      </w:r>
      <w:r w:rsidR="007365D7" w:rsidRPr="00AC107A">
        <w:rPr>
          <w:lang w:val="en-CA"/>
        </w:rPr>
        <w:t xml:space="preserve"> who </w:t>
      </w:r>
      <w:r w:rsidR="00F4691B" w:rsidRPr="00AC107A">
        <w:rPr>
          <w:lang w:val="en-CA"/>
        </w:rPr>
        <w:t>subsequently trained</w:t>
      </w:r>
      <w:r w:rsidRPr="00AC107A">
        <w:rPr>
          <w:lang w:val="en-CA"/>
        </w:rPr>
        <w:t xml:space="preserve"> </w:t>
      </w:r>
      <w:r w:rsidR="00F4691B" w:rsidRPr="00AC107A">
        <w:rPr>
          <w:lang w:val="en-CA"/>
        </w:rPr>
        <w:t>a</w:t>
      </w:r>
      <w:r w:rsidRPr="00AC107A">
        <w:rPr>
          <w:lang w:val="en-CA"/>
        </w:rPr>
        <w:t xml:space="preserve"> t</w:t>
      </w:r>
      <w:r w:rsidR="00847463" w:rsidRPr="00AC107A">
        <w:rPr>
          <w:lang w:val="en-CA"/>
        </w:rPr>
        <w:t>otal of 196 </w:t>
      </w:r>
      <w:r w:rsidRPr="00AC107A">
        <w:rPr>
          <w:lang w:val="en-CA"/>
        </w:rPr>
        <w:t xml:space="preserve">technicians on best practices in servicing and repair of RAC systems as well as the safe handling of refrigerants. A scholarship programme for 40 of the best-performing students </w:t>
      </w:r>
      <w:r w:rsidR="00F4691B" w:rsidRPr="00AC107A">
        <w:rPr>
          <w:lang w:val="en-CA"/>
        </w:rPr>
        <w:t xml:space="preserve">(including nine women) </w:t>
      </w:r>
      <w:r w:rsidRPr="00AC107A">
        <w:rPr>
          <w:lang w:val="en-CA"/>
        </w:rPr>
        <w:t xml:space="preserve">received financial </w:t>
      </w:r>
      <w:r w:rsidR="00515AD5" w:rsidRPr="00AC107A">
        <w:rPr>
          <w:lang w:val="en-CA"/>
        </w:rPr>
        <w:lastRenderedPageBreak/>
        <w:t xml:space="preserve">assistance </w:t>
      </w:r>
      <w:r w:rsidRPr="00AC107A">
        <w:rPr>
          <w:lang w:val="en-CA"/>
        </w:rPr>
        <w:t>in covering the course fees;</w:t>
      </w:r>
    </w:p>
    <w:p w14:paraId="036E23C2" w14:textId="2E4DEDA9" w:rsidR="00D24A18" w:rsidRPr="00AC107A" w:rsidRDefault="00D24A18" w:rsidP="00D106C4">
      <w:pPr>
        <w:pStyle w:val="Heading2"/>
        <w:rPr>
          <w:lang w:val="en-CA"/>
        </w:rPr>
      </w:pPr>
      <w:r w:rsidRPr="00AC107A">
        <w:rPr>
          <w:lang w:val="en-CA"/>
        </w:rPr>
        <w:t xml:space="preserve">The two RAC training institutions received </w:t>
      </w:r>
      <w:r w:rsidR="00444075" w:rsidRPr="00AC107A">
        <w:rPr>
          <w:lang w:val="en-CA"/>
        </w:rPr>
        <w:t xml:space="preserve">equipment </w:t>
      </w:r>
      <w:r w:rsidR="00F4691B" w:rsidRPr="00AC107A">
        <w:rPr>
          <w:lang w:val="en-CA"/>
        </w:rPr>
        <w:t xml:space="preserve">and tools </w:t>
      </w:r>
      <w:r w:rsidR="007365D7" w:rsidRPr="00AC107A">
        <w:rPr>
          <w:lang w:val="en-CA"/>
        </w:rPr>
        <w:t>(e.g., one R-410A-based air</w:t>
      </w:r>
      <w:r w:rsidR="007365D7" w:rsidRPr="00AC107A">
        <w:rPr>
          <w:lang w:val="en-CA"/>
        </w:rPr>
        <w:noBreakHyphen/>
        <w:t xml:space="preserve">conditioner, refrigerant charging stations, digital vacuum pumps, manifold gauges, hand tools, clamp on meters, torque wrench and swaging tools sets) </w:t>
      </w:r>
      <w:r w:rsidR="000F73C4" w:rsidRPr="00AC107A">
        <w:rPr>
          <w:lang w:val="en-CA"/>
        </w:rPr>
        <w:t>to conduct hands</w:t>
      </w:r>
      <w:r w:rsidR="000F73C4" w:rsidRPr="00AC107A">
        <w:rPr>
          <w:lang w:val="en-CA"/>
        </w:rPr>
        <w:noBreakHyphen/>
      </w:r>
      <w:r w:rsidRPr="00AC107A">
        <w:rPr>
          <w:lang w:val="en-CA"/>
        </w:rPr>
        <w:t>on training for technicians</w:t>
      </w:r>
      <w:r w:rsidR="0020415A" w:rsidRPr="00AC107A">
        <w:rPr>
          <w:lang w:val="en-CA"/>
        </w:rPr>
        <w:t>;</w:t>
      </w:r>
      <w:r w:rsidRPr="00AC107A">
        <w:rPr>
          <w:lang w:val="en-CA"/>
        </w:rPr>
        <w:t xml:space="preserve"> </w:t>
      </w:r>
    </w:p>
    <w:p w14:paraId="335E83D9" w14:textId="0DA373A7" w:rsidR="00D24A18" w:rsidRPr="00AC107A" w:rsidRDefault="00380E5C" w:rsidP="00B028C4">
      <w:pPr>
        <w:pStyle w:val="Heading2"/>
        <w:rPr>
          <w:lang w:val="en-CA"/>
        </w:rPr>
      </w:pPr>
      <w:r w:rsidRPr="00AC107A">
        <w:rPr>
          <w:lang w:val="en-CA"/>
        </w:rPr>
        <w:t>A</w:t>
      </w:r>
      <w:r w:rsidR="00D24A18" w:rsidRPr="00AC107A">
        <w:rPr>
          <w:lang w:val="en-CA"/>
        </w:rPr>
        <w:t>dopt</w:t>
      </w:r>
      <w:r w:rsidR="007365D7" w:rsidRPr="00AC107A">
        <w:rPr>
          <w:lang w:val="en-CA"/>
        </w:rPr>
        <w:t>ion</w:t>
      </w:r>
      <w:r w:rsidRPr="00AC107A">
        <w:rPr>
          <w:lang w:val="en-CA"/>
        </w:rPr>
        <w:t xml:space="preserve">, on a voluntary basis, </w:t>
      </w:r>
      <w:r w:rsidR="00D24A18" w:rsidRPr="00AC107A">
        <w:rPr>
          <w:lang w:val="en-CA"/>
        </w:rPr>
        <w:t>ISO 5149</w:t>
      </w:r>
      <w:r w:rsidR="007365D7" w:rsidRPr="00AC107A">
        <w:rPr>
          <w:rStyle w:val="FootnoteReference"/>
          <w:lang w:val="en-CA"/>
        </w:rPr>
        <w:footnoteReference w:id="3"/>
      </w:r>
      <w:r w:rsidR="00D24A18" w:rsidRPr="00AC107A">
        <w:rPr>
          <w:lang w:val="en-CA"/>
        </w:rPr>
        <w:t xml:space="preserve"> on safety and environmental standards to be followed for refrigerating systems and heat pumps in January 2020</w:t>
      </w:r>
      <w:r w:rsidRPr="00AC107A">
        <w:rPr>
          <w:lang w:val="en-CA"/>
        </w:rPr>
        <w:t xml:space="preserve"> to serve as guidelines for the RAC servicing sector</w:t>
      </w:r>
      <w:r w:rsidR="00D24A18" w:rsidRPr="00AC107A">
        <w:rPr>
          <w:lang w:val="en-CA"/>
        </w:rPr>
        <w:t>; its gazetting is yet to be not</w:t>
      </w:r>
      <w:r w:rsidR="00847463" w:rsidRPr="00AC107A">
        <w:rPr>
          <w:lang w:val="en-CA"/>
        </w:rPr>
        <w:t>ified to the industries and end</w:t>
      </w:r>
      <w:r w:rsidR="00847463" w:rsidRPr="00AC107A">
        <w:rPr>
          <w:lang w:val="en-CA"/>
        </w:rPr>
        <w:noBreakHyphen/>
      </w:r>
      <w:r w:rsidR="00D24A18" w:rsidRPr="00AC107A">
        <w:rPr>
          <w:lang w:val="en-CA"/>
        </w:rPr>
        <w:t>users; and</w:t>
      </w:r>
    </w:p>
    <w:p w14:paraId="4BF4E26A" w14:textId="77777777" w:rsidR="00D24A18" w:rsidRPr="00AC107A" w:rsidRDefault="00D24A18" w:rsidP="00D106C4">
      <w:pPr>
        <w:pStyle w:val="Heading2"/>
        <w:rPr>
          <w:bCs/>
          <w:lang w:val="en-CA"/>
        </w:rPr>
      </w:pPr>
      <w:r w:rsidRPr="00AC107A">
        <w:rPr>
          <w:lang w:val="en-CA"/>
        </w:rPr>
        <w:t xml:space="preserve">An awareness-raising programme </w:t>
      </w:r>
      <w:r w:rsidR="00F4691B" w:rsidRPr="00AC107A">
        <w:rPr>
          <w:lang w:val="en-CA"/>
        </w:rPr>
        <w:t xml:space="preserve">on </w:t>
      </w:r>
      <w:r w:rsidR="00640155" w:rsidRPr="00AC107A">
        <w:rPr>
          <w:lang w:val="en-CA"/>
        </w:rPr>
        <w:t>ozone layer protection</w:t>
      </w:r>
      <w:r w:rsidR="00F4691B" w:rsidRPr="00AC107A">
        <w:rPr>
          <w:lang w:val="en-CA"/>
        </w:rPr>
        <w:t xml:space="preserve"> </w:t>
      </w:r>
      <w:r w:rsidRPr="00AC107A">
        <w:rPr>
          <w:lang w:val="en-CA"/>
        </w:rPr>
        <w:t>using several media channels</w:t>
      </w:r>
      <w:r w:rsidR="007365D7" w:rsidRPr="00AC107A">
        <w:rPr>
          <w:lang w:val="en-CA"/>
        </w:rPr>
        <w:t>;</w:t>
      </w:r>
      <w:r w:rsidRPr="00AC107A">
        <w:rPr>
          <w:lang w:val="en-CA"/>
        </w:rPr>
        <w:t xml:space="preserve"> handing over tools and equipment</w:t>
      </w:r>
      <w:r w:rsidR="0030002A" w:rsidRPr="00AC107A">
        <w:rPr>
          <w:lang w:val="en-CA"/>
        </w:rPr>
        <w:t xml:space="preserve"> to training centres</w:t>
      </w:r>
      <w:r w:rsidR="007365D7" w:rsidRPr="00AC107A">
        <w:rPr>
          <w:lang w:val="en-CA"/>
        </w:rPr>
        <w:t xml:space="preserve">; and </w:t>
      </w:r>
      <w:r w:rsidRPr="00AC107A">
        <w:rPr>
          <w:lang w:val="en-CA"/>
        </w:rPr>
        <w:t xml:space="preserve">stakeholder workshops </w:t>
      </w:r>
      <w:r w:rsidR="0030002A" w:rsidRPr="00AC107A">
        <w:rPr>
          <w:lang w:val="en-CA"/>
        </w:rPr>
        <w:t xml:space="preserve">on HPMP </w:t>
      </w:r>
      <w:r w:rsidR="007365D7" w:rsidRPr="00AC107A">
        <w:rPr>
          <w:lang w:val="en-CA"/>
        </w:rPr>
        <w:t>activities</w:t>
      </w:r>
      <w:r w:rsidRPr="00AC107A">
        <w:rPr>
          <w:lang w:val="en-CA"/>
        </w:rPr>
        <w:t>.</w:t>
      </w:r>
      <w:r w:rsidR="00504E94" w:rsidRPr="00AC107A">
        <w:rPr>
          <w:lang w:val="en-CA"/>
        </w:rPr>
        <w:t xml:space="preserve"> </w:t>
      </w:r>
      <w:r w:rsidRPr="00AC107A">
        <w:rPr>
          <w:lang w:val="en-CA"/>
        </w:rPr>
        <w:t xml:space="preserve">Participation of the media </w:t>
      </w:r>
      <w:r w:rsidR="0030002A" w:rsidRPr="00AC107A">
        <w:rPr>
          <w:lang w:val="en-CA"/>
        </w:rPr>
        <w:t>wa</w:t>
      </w:r>
      <w:r w:rsidRPr="00AC107A">
        <w:rPr>
          <w:lang w:val="en-CA"/>
        </w:rPr>
        <w:t xml:space="preserve">s encouraged in activities of the NOU to ensure coverage of the </w:t>
      </w:r>
      <w:r w:rsidR="0030002A" w:rsidRPr="00AC107A">
        <w:rPr>
          <w:lang w:val="en-CA"/>
        </w:rPr>
        <w:t>Montreal Protocol</w:t>
      </w:r>
      <w:r w:rsidRPr="00AC107A">
        <w:rPr>
          <w:lang w:val="en-CA"/>
        </w:rPr>
        <w:t xml:space="preserve"> activities</w:t>
      </w:r>
      <w:r w:rsidR="007365D7" w:rsidRPr="00AC107A">
        <w:rPr>
          <w:lang w:val="en-CA"/>
        </w:rPr>
        <w:t>; and a</w:t>
      </w:r>
      <w:r w:rsidRPr="00AC107A">
        <w:rPr>
          <w:lang w:val="en-CA"/>
        </w:rPr>
        <w:t xml:space="preserve"> one-day workshop with main stakeholders to discuss the </w:t>
      </w:r>
      <w:r w:rsidR="0030002A" w:rsidRPr="00AC107A">
        <w:rPr>
          <w:lang w:val="en-CA"/>
        </w:rPr>
        <w:t xml:space="preserve">HPMP </w:t>
      </w:r>
      <w:r w:rsidRPr="00AC107A">
        <w:rPr>
          <w:lang w:val="en-CA"/>
        </w:rPr>
        <w:t>activities implemented and future course of action.</w:t>
      </w:r>
      <w:r w:rsidR="00504E94" w:rsidRPr="00AC107A">
        <w:rPr>
          <w:lang w:val="en-CA"/>
        </w:rPr>
        <w:t xml:space="preserve"> </w:t>
      </w:r>
    </w:p>
    <w:p w14:paraId="0C9EDA65" w14:textId="77777777" w:rsidR="00D24A18" w:rsidRPr="00AC107A" w:rsidRDefault="00D24A18" w:rsidP="00D24A18">
      <w:pPr>
        <w:pStyle w:val="Heading2"/>
        <w:numPr>
          <w:ilvl w:val="0"/>
          <w:numId w:val="0"/>
        </w:numPr>
        <w:rPr>
          <w:bCs/>
          <w:lang w:val="en-CA"/>
        </w:rPr>
      </w:pPr>
      <w:r w:rsidRPr="00AC107A">
        <w:rPr>
          <w:i/>
          <w:lang w:val="en-CA"/>
        </w:rPr>
        <w:t>Implementation, monitoring and reporting</w:t>
      </w:r>
    </w:p>
    <w:p w14:paraId="452D1F05" w14:textId="77777777" w:rsidR="00D24A18" w:rsidRPr="00AC107A" w:rsidRDefault="00D24A18" w:rsidP="00D106C4">
      <w:pPr>
        <w:pStyle w:val="Heading1"/>
        <w:rPr>
          <w:lang w:val="en-CA"/>
        </w:rPr>
      </w:pPr>
      <w:r w:rsidRPr="00AC107A">
        <w:rPr>
          <w:lang w:val="en-CA"/>
        </w:rPr>
        <w:t>The NOU has been overseeing the implementation of the HPMP</w:t>
      </w:r>
      <w:r w:rsidR="007365D7" w:rsidRPr="00AC107A">
        <w:rPr>
          <w:lang w:val="en-CA"/>
        </w:rPr>
        <w:t>,</w:t>
      </w:r>
      <w:r w:rsidRPr="00AC107A">
        <w:rPr>
          <w:lang w:val="en-CA"/>
        </w:rPr>
        <w:t xml:space="preserve"> with the cooperation of the Government of Germany and stakeholders</w:t>
      </w:r>
      <w:r w:rsidR="0030002A" w:rsidRPr="00AC107A">
        <w:rPr>
          <w:lang w:val="en-CA"/>
        </w:rPr>
        <w:t xml:space="preserve"> in the country</w:t>
      </w:r>
      <w:r w:rsidR="00632DD2" w:rsidRPr="00AC107A">
        <w:rPr>
          <w:lang w:val="en-CA"/>
        </w:rPr>
        <w:t>; t</w:t>
      </w:r>
      <w:r w:rsidRPr="00AC107A">
        <w:rPr>
          <w:lang w:val="en-CA"/>
        </w:rPr>
        <w:t xml:space="preserve">he NOU has ensured constant monitoring </w:t>
      </w:r>
      <w:r w:rsidR="00632DD2" w:rsidRPr="00AC107A">
        <w:rPr>
          <w:lang w:val="en-CA"/>
        </w:rPr>
        <w:t xml:space="preserve">on implementation </w:t>
      </w:r>
      <w:r w:rsidRPr="00AC107A">
        <w:rPr>
          <w:lang w:val="en-CA"/>
        </w:rPr>
        <w:t xml:space="preserve">of HPMP activities. The expenditures to date amount to </w:t>
      </w:r>
      <w:r w:rsidR="00504E94" w:rsidRPr="00AC107A">
        <w:rPr>
          <w:lang w:val="en-CA"/>
        </w:rPr>
        <w:t>US $</w:t>
      </w:r>
      <w:r w:rsidR="0030002A" w:rsidRPr="00AC107A">
        <w:rPr>
          <w:lang w:val="en-CA"/>
        </w:rPr>
        <w:t>25,042 (</w:t>
      </w:r>
      <w:r w:rsidR="00504E94" w:rsidRPr="00AC107A">
        <w:rPr>
          <w:lang w:val="en-CA"/>
        </w:rPr>
        <w:t>US $</w:t>
      </w:r>
      <w:r w:rsidRPr="00AC107A">
        <w:rPr>
          <w:lang w:val="en-CA"/>
        </w:rPr>
        <w:t>22,322 for staff and consultant expenses</w:t>
      </w:r>
      <w:r w:rsidR="0030002A" w:rsidRPr="00AC107A">
        <w:rPr>
          <w:lang w:val="en-CA"/>
        </w:rPr>
        <w:t>,</w:t>
      </w:r>
      <w:r w:rsidRPr="00AC107A">
        <w:rPr>
          <w:lang w:val="en-CA"/>
        </w:rPr>
        <w:t xml:space="preserve"> and </w:t>
      </w:r>
      <w:r w:rsidR="00504E94" w:rsidRPr="00AC107A">
        <w:rPr>
          <w:lang w:val="en-CA"/>
        </w:rPr>
        <w:t>US $</w:t>
      </w:r>
      <w:r w:rsidRPr="00AC107A">
        <w:rPr>
          <w:lang w:val="en-CA"/>
        </w:rPr>
        <w:t>2,720 for monitoring travels and meetings</w:t>
      </w:r>
      <w:r w:rsidR="0030002A" w:rsidRPr="00AC107A">
        <w:rPr>
          <w:lang w:val="en-CA"/>
        </w:rPr>
        <w:t>)</w:t>
      </w:r>
      <w:r w:rsidRPr="00AC107A">
        <w:rPr>
          <w:lang w:val="en-CA"/>
        </w:rPr>
        <w:t xml:space="preserve">; this is lower than the funding allocated for the monitoring of </w:t>
      </w:r>
      <w:r w:rsidR="00504E94" w:rsidRPr="00AC107A">
        <w:rPr>
          <w:lang w:val="en-CA"/>
        </w:rPr>
        <w:t>US $</w:t>
      </w:r>
      <w:r w:rsidRPr="00AC107A">
        <w:rPr>
          <w:lang w:val="en-CA"/>
        </w:rPr>
        <w:t xml:space="preserve">30,530. </w:t>
      </w:r>
    </w:p>
    <w:p w14:paraId="6F0BE3D9" w14:textId="77777777" w:rsidR="00D24A18" w:rsidRPr="00AC107A" w:rsidRDefault="00D24A18" w:rsidP="00D24A18">
      <w:pPr>
        <w:rPr>
          <w:u w:val="single"/>
          <w:lang w:val="en-CA"/>
        </w:rPr>
      </w:pPr>
      <w:r w:rsidRPr="00AC107A">
        <w:rPr>
          <w:u w:val="single"/>
          <w:lang w:val="en-CA"/>
        </w:rPr>
        <w:t>Level of fund disbursement</w:t>
      </w:r>
    </w:p>
    <w:p w14:paraId="3630DE4A" w14:textId="77777777" w:rsidR="00D24A18" w:rsidRPr="00AC107A" w:rsidRDefault="00D24A18" w:rsidP="00D24A18">
      <w:pPr>
        <w:rPr>
          <w:lang w:val="en-CA"/>
        </w:rPr>
      </w:pPr>
    </w:p>
    <w:p w14:paraId="0BCC8A70" w14:textId="77777777" w:rsidR="00D24A18" w:rsidRPr="00AC107A" w:rsidRDefault="00D24A18" w:rsidP="00D106C4">
      <w:pPr>
        <w:pStyle w:val="Heading1"/>
        <w:rPr>
          <w:lang w:val="en-CA"/>
        </w:rPr>
      </w:pPr>
      <w:r w:rsidRPr="00AC107A">
        <w:rPr>
          <w:lang w:val="en-CA"/>
        </w:rPr>
        <w:lastRenderedPageBreak/>
        <w:t xml:space="preserve">As of January 2020, of the </w:t>
      </w:r>
      <w:r w:rsidR="00504E94" w:rsidRPr="00AC107A">
        <w:rPr>
          <w:lang w:val="en-CA"/>
        </w:rPr>
        <w:t>US $</w:t>
      </w:r>
      <w:r w:rsidRPr="00AC107A">
        <w:rPr>
          <w:lang w:val="en-CA"/>
        </w:rPr>
        <w:t xml:space="preserve">283,500 approved so far, </w:t>
      </w:r>
      <w:r w:rsidR="00504E94" w:rsidRPr="00AC107A">
        <w:rPr>
          <w:lang w:val="en-CA"/>
        </w:rPr>
        <w:t>US $</w:t>
      </w:r>
      <w:r w:rsidRPr="00AC107A">
        <w:rPr>
          <w:lang w:val="en-CA"/>
        </w:rPr>
        <w:t>248,832 had been disbursed, as shown in Table 2. The</w:t>
      </w:r>
      <w:r w:rsidR="0030002A" w:rsidRPr="00AC107A">
        <w:rPr>
          <w:lang w:val="en-CA"/>
        </w:rPr>
        <w:t xml:space="preserve"> balance </w:t>
      </w:r>
      <w:r w:rsidRPr="00AC107A">
        <w:rPr>
          <w:lang w:val="en-CA"/>
        </w:rPr>
        <w:t xml:space="preserve">of </w:t>
      </w:r>
      <w:r w:rsidR="00504E94" w:rsidRPr="00AC107A">
        <w:rPr>
          <w:lang w:val="en-CA"/>
        </w:rPr>
        <w:t>US $</w:t>
      </w:r>
      <w:r w:rsidR="00D4054A" w:rsidRPr="00AC107A">
        <w:rPr>
          <w:lang w:val="en-CA"/>
        </w:rPr>
        <w:t xml:space="preserve">34,668 </w:t>
      </w:r>
      <w:r w:rsidR="00F85660" w:rsidRPr="00AC107A">
        <w:rPr>
          <w:lang w:val="en-CA"/>
        </w:rPr>
        <w:t xml:space="preserve">(of which </w:t>
      </w:r>
      <w:r w:rsidR="00504E94" w:rsidRPr="00AC107A">
        <w:rPr>
          <w:lang w:val="en-CA"/>
        </w:rPr>
        <w:t>US $</w:t>
      </w:r>
      <w:r w:rsidR="00F85660" w:rsidRPr="00AC107A">
        <w:rPr>
          <w:lang w:val="en-CA"/>
        </w:rPr>
        <w:t xml:space="preserve">26,394 </w:t>
      </w:r>
      <w:r w:rsidR="00632DD2" w:rsidRPr="00AC107A">
        <w:rPr>
          <w:lang w:val="en-CA"/>
        </w:rPr>
        <w:t xml:space="preserve">had been </w:t>
      </w:r>
      <w:r w:rsidR="00F85660" w:rsidRPr="00AC107A">
        <w:rPr>
          <w:lang w:val="en-CA"/>
        </w:rPr>
        <w:t xml:space="preserve">committed) </w:t>
      </w:r>
      <w:r w:rsidR="00D4054A" w:rsidRPr="00AC107A">
        <w:rPr>
          <w:lang w:val="en-CA"/>
        </w:rPr>
        <w:t xml:space="preserve">will be disbursed by </w:t>
      </w:r>
      <w:r w:rsidRPr="00AC107A">
        <w:rPr>
          <w:lang w:val="en-CA"/>
        </w:rPr>
        <w:t>the end of 2020</w:t>
      </w:r>
      <w:r w:rsidR="00D4054A" w:rsidRPr="00AC107A">
        <w:rPr>
          <w:lang w:val="en-CA"/>
        </w:rPr>
        <w:t xml:space="preserve"> taking into account the potential delays due to the unforeseen outbreak of COVID-19</w:t>
      </w:r>
      <w:r w:rsidRPr="00AC107A">
        <w:rPr>
          <w:lang w:val="en-CA"/>
        </w:rPr>
        <w:t>.</w:t>
      </w:r>
    </w:p>
    <w:p w14:paraId="40E79E17" w14:textId="77777777" w:rsidR="00D24A18" w:rsidRPr="00AC107A" w:rsidRDefault="00D24A18" w:rsidP="00D24A18">
      <w:pPr>
        <w:keepNext/>
        <w:spacing w:after="5"/>
        <w:ind w:right="42" w:hanging="10"/>
        <w:rPr>
          <w:b/>
          <w:lang w:val="en-CA"/>
        </w:rPr>
      </w:pPr>
      <w:r w:rsidRPr="00AC107A">
        <w:rPr>
          <w:b/>
          <w:lang w:val="en-CA"/>
        </w:rPr>
        <w:t>Table 2. Financial report of stage I of the HPMP for Liberia (</w:t>
      </w:r>
      <w:r w:rsidR="00504E94" w:rsidRPr="00AC107A">
        <w:rPr>
          <w:b/>
          <w:lang w:val="en-CA"/>
        </w:rPr>
        <w:t>US $</w:t>
      </w:r>
      <w:r w:rsidRPr="00AC107A">
        <w:rPr>
          <w:b/>
          <w:lang w:val="en-CA"/>
        </w:rPr>
        <w:t>)</w:t>
      </w:r>
    </w:p>
    <w:tbl>
      <w:tblPr>
        <w:tblW w:w="9360" w:type="dxa"/>
        <w:tblInd w:w="-5" w:type="dxa"/>
        <w:tblLayout w:type="fixed"/>
        <w:tblLook w:val="04A0" w:firstRow="1" w:lastRow="0" w:firstColumn="1" w:lastColumn="0" w:noHBand="0" w:noVBand="1"/>
      </w:tblPr>
      <w:tblGrid>
        <w:gridCol w:w="2340"/>
        <w:gridCol w:w="2340"/>
        <w:gridCol w:w="2340"/>
        <w:gridCol w:w="2340"/>
      </w:tblGrid>
      <w:tr w:rsidR="00AC107A" w:rsidRPr="00AC107A" w14:paraId="6E15F6FB" w14:textId="77777777" w:rsidTr="00B028C4">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8A310" w14:textId="77777777" w:rsidR="00F44716" w:rsidRPr="00AC107A" w:rsidRDefault="00F44716" w:rsidP="00B028C4">
            <w:pPr>
              <w:jc w:val="left"/>
              <w:rPr>
                <w:b/>
                <w:sz w:val="21"/>
                <w:szCs w:val="21"/>
                <w:lang w:val="en-CA" w:eastAsia="en-CA"/>
              </w:rPr>
            </w:pPr>
            <w:r w:rsidRPr="00AC107A">
              <w:rPr>
                <w:b/>
                <w:sz w:val="21"/>
                <w:szCs w:val="21"/>
                <w:lang w:val="en-CA" w:eastAsia="en-CA"/>
              </w:rPr>
              <w:t>Tranche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308453F6" w14:textId="77777777" w:rsidR="00F44716" w:rsidRPr="00AC107A" w:rsidRDefault="00F44716" w:rsidP="00B028C4">
            <w:pPr>
              <w:jc w:val="center"/>
              <w:rPr>
                <w:b/>
                <w:sz w:val="21"/>
                <w:szCs w:val="21"/>
                <w:lang w:val="en-CA" w:eastAsia="en-CA"/>
              </w:rPr>
            </w:pPr>
            <w:r w:rsidRPr="00AC107A">
              <w:rPr>
                <w:b/>
                <w:sz w:val="21"/>
                <w:szCs w:val="21"/>
                <w:lang w:val="en-CA" w:eastAsia="en-CA"/>
              </w:rPr>
              <w:t>Approved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F95D237" w14:textId="77777777" w:rsidR="00F44716" w:rsidRPr="00AC107A" w:rsidRDefault="00F44716" w:rsidP="00B028C4">
            <w:pPr>
              <w:jc w:val="center"/>
              <w:rPr>
                <w:b/>
                <w:sz w:val="21"/>
                <w:szCs w:val="21"/>
                <w:lang w:val="en-CA" w:eastAsia="en-CA"/>
              </w:rPr>
            </w:pPr>
            <w:r w:rsidRPr="00AC107A">
              <w:rPr>
                <w:b/>
                <w:sz w:val="21"/>
                <w:szCs w:val="21"/>
                <w:lang w:val="en-CA" w:eastAsia="en-CA"/>
              </w:rPr>
              <w:t>Disbursed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11AE7D9F" w14:textId="77777777" w:rsidR="00F44716" w:rsidRPr="00AC107A" w:rsidRDefault="00F44716" w:rsidP="00B028C4">
            <w:pPr>
              <w:jc w:val="center"/>
              <w:rPr>
                <w:b/>
                <w:sz w:val="21"/>
                <w:szCs w:val="21"/>
                <w:lang w:val="en-CA" w:eastAsia="en-CA"/>
              </w:rPr>
            </w:pPr>
            <w:r w:rsidRPr="00AC107A">
              <w:rPr>
                <w:b/>
                <w:sz w:val="21"/>
                <w:szCs w:val="21"/>
                <w:lang w:val="en-CA" w:eastAsia="en-CA"/>
              </w:rPr>
              <w:t>Disbursement rate (%)</w:t>
            </w:r>
          </w:p>
        </w:tc>
      </w:tr>
      <w:tr w:rsidR="00AC107A" w:rsidRPr="00AC107A" w14:paraId="1E81AF0F" w14:textId="77777777" w:rsidTr="00847463">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BB0DA31" w14:textId="77777777" w:rsidR="00F44716" w:rsidRPr="00AC107A" w:rsidRDefault="00F44716" w:rsidP="00B028C4">
            <w:pPr>
              <w:jc w:val="left"/>
              <w:rPr>
                <w:sz w:val="21"/>
                <w:szCs w:val="21"/>
                <w:lang w:val="en-CA" w:eastAsia="en-CA"/>
              </w:rPr>
            </w:pPr>
            <w:r w:rsidRPr="00AC107A">
              <w:rPr>
                <w:sz w:val="21"/>
                <w:szCs w:val="21"/>
                <w:lang w:val="en-CA" w:eastAsia="en-CA"/>
              </w:rPr>
              <w:t>First</w:t>
            </w:r>
          </w:p>
        </w:tc>
        <w:tc>
          <w:tcPr>
            <w:tcW w:w="2340" w:type="dxa"/>
            <w:tcBorders>
              <w:top w:val="nil"/>
              <w:left w:val="nil"/>
              <w:bottom w:val="single" w:sz="4" w:space="0" w:color="auto"/>
              <w:right w:val="single" w:sz="4" w:space="0" w:color="auto"/>
            </w:tcBorders>
            <w:shd w:val="clear" w:color="auto" w:fill="auto"/>
            <w:noWrap/>
            <w:tcMar>
              <w:left w:w="115" w:type="dxa"/>
              <w:right w:w="101" w:type="dxa"/>
            </w:tcMar>
            <w:hideMark/>
          </w:tcPr>
          <w:p w14:paraId="2AAF6FEE" w14:textId="77777777" w:rsidR="00F44716" w:rsidRPr="00AC107A" w:rsidRDefault="00F44716" w:rsidP="00B028C4">
            <w:pPr>
              <w:jc w:val="right"/>
              <w:rPr>
                <w:sz w:val="21"/>
                <w:szCs w:val="21"/>
                <w:lang w:val="en-CA" w:eastAsia="en-CA"/>
              </w:rPr>
            </w:pPr>
            <w:r w:rsidRPr="00AC107A">
              <w:rPr>
                <w:sz w:val="21"/>
                <w:szCs w:val="21"/>
                <w:lang w:val="en-CA"/>
              </w:rPr>
              <w:t>157,500</w:t>
            </w:r>
          </w:p>
        </w:tc>
        <w:tc>
          <w:tcPr>
            <w:tcW w:w="2340" w:type="dxa"/>
            <w:tcBorders>
              <w:top w:val="nil"/>
              <w:left w:val="nil"/>
              <w:bottom w:val="single" w:sz="4" w:space="0" w:color="auto"/>
              <w:right w:val="single" w:sz="4" w:space="0" w:color="auto"/>
            </w:tcBorders>
            <w:shd w:val="clear" w:color="auto" w:fill="auto"/>
            <w:noWrap/>
            <w:tcMar>
              <w:left w:w="115" w:type="dxa"/>
              <w:right w:w="101" w:type="dxa"/>
            </w:tcMar>
            <w:hideMark/>
          </w:tcPr>
          <w:p w14:paraId="2765C70B" w14:textId="77777777" w:rsidR="00F44716" w:rsidRPr="00AC107A" w:rsidRDefault="00F44716" w:rsidP="00B028C4">
            <w:pPr>
              <w:jc w:val="right"/>
              <w:rPr>
                <w:sz w:val="21"/>
                <w:szCs w:val="21"/>
                <w:lang w:val="en-CA" w:eastAsia="en-CA"/>
              </w:rPr>
            </w:pPr>
            <w:r w:rsidRPr="00AC107A">
              <w:rPr>
                <w:lang w:val="en-CA"/>
              </w:rPr>
              <w:t>157,500</w:t>
            </w:r>
          </w:p>
        </w:tc>
        <w:tc>
          <w:tcPr>
            <w:tcW w:w="2340" w:type="dxa"/>
            <w:tcBorders>
              <w:top w:val="nil"/>
              <w:left w:val="nil"/>
              <w:bottom w:val="single" w:sz="4" w:space="0" w:color="auto"/>
              <w:right w:val="single" w:sz="4" w:space="0" w:color="auto"/>
            </w:tcBorders>
            <w:shd w:val="clear" w:color="auto" w:fill="auto"/>
            <w:noWrap/>
            <w:vAlign w:val="center"/>
            <w:hideMark/>
          </w:tcPr>
          <w:p w14:paraId="0691B2B6" w14:textId="77777777" w:rsidR="00F44716" w:rsidRPr="00AC107A" w:rsidRDefault="00F44716" w:rsidP="00B028C4">
            <w:pPr>
              <w:jc w:val="center"/>
              <w:rPr>
                <w:sz w:val="21"/>
                <w:szCs w:val="21"/>
                <w:lang w:val="en-CA" w:eastAsia="en-CA"/>
              </w:rPr>
            </w:pPr>
            <w:r w:rsidRPr="00AC107A">
              <w:rPr>
                <w:sz w:val="21"/>
                <w:szCs w:val="21"/>
                <w:lang w:val="en-CA" w:eastAsia="en-CA"/>
              </w:rPr>
              <w:t>100</w:t>
            </w:r>
          </w:p>
        </w:tc>
      </w:tr>
      <w:tr w:rsidR="00AC107A" w:rsidRPr="00AC107A" w14:paraId="3A81B910" w14:textId="77777777" w:rsidTr="00847463">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70259C1A" w14:textId="77777777" w:rsidR="00F44716" w:rsidRPr="00AC107A" w:rsidRDefault="00F44716" w:rsidP="00F44716">
            <w:pPr>
              <w:jc w:val="left"/>
              <w:rPr>
                <w:sz w:val="21"/>
                <w:szCs w:val="21"/>
                <w:lang w:val="en-CA" w:eastAsia="en-CA"/>
              </w:rPr>
            </w:pPr>
            <w:r w:rsidRPr="00AC107A">
              <w:rPr>
                <w:sz w:val="21"/>
                <w:szCs w:val="21"/>
                <w:lang w:val="en-CA" w:eastAsia="en-CA"/>
              </w:rPr>
              <w:t>Second</w:t>
            </w:r>
          </w:p>
        </w:tc>
        <w:tc>
          <w:tcPr>
            <w:tcW w:w="2340" w:type="dxa"/>
            <w:tcBorders>
              <w:top w:val="nil"/>
              <w:left w:val="nil"/>
              <w:bottom w:val="single" w:sz="4" w:space="0" w:color="auto"/>
              <w:right w:val="single" w:sz="4" w:space="0" w:color="auto"/>
            </w:tcBorders>
            <w:shd w:val="clear" w:color="auto" w:fill="auto"/>
            <w:noWrap/>
            <w:tcMar>
              <w:left w:w="115" w:type="dxa"/>
              <w:right w:w="101" w:type="dxa"/>
            </w:tcMar>
            <w:hideMark/>
          </w:tcPr>
          <w:p w14:paraId="6DE2807D" w14:textId="77777777" w:rsidR="00F44716" w:rsidRPr="00AC107A" w:rsidRDefault="00F44716" w:rsidP="00F44716">
            <w:pPr>
              <w:keepNext/>
              <w:jc w:val="right"/>
              <w:rPr>
                <w:sz w:val="21"/>
                <w:szCs w:val="21"/>
                <w:lang w:val="en-CA"/>
              </w:rPr>
            </w:pPr>
            <w:r w:rsidRPr="00AC107A">
              <w:rPr>
                <w:sz w:val="21"/>
                <w:szCs w:val="21"/>
                <w:lang w:val="en-CA"/>
              </w:rPr>
              <w:t>126,000</w:t>
            </w:r>
          </w:p>
        </w:tc>
        <w:tc>
          <w:tcPr>
            <w:tcW w:w="2340" w:type="dxa"/>
            <w:tcBorders>
              <w:top w:val="nil"/>
              <w:left w:val="nil"/>
              <w:bottom w:val="single" w:sz="4" w:space="0" w:color="auto"/>
              <w:right w:val="single" w:sz="4" w:space="0" w:color="auto"/>
            </w:tcBorders>
            <w:shd w:val="clear" w:color="auto" w:fill="auto"/>
            <w:noWrap/>
            <w:tcMar>
              <w:left w:w="115" w:type="dxa"/>
              <w:right w:w="101" w:type="dxa"/>
            </w:tcMar>
            <w:hideMark/>
          </w:tcPr>
          <w:p w14:paraId="25681CBE" w14:textId="77777777" w:rsidR="00F44716" w:rsidRPr="00AC107A" w:rsidRDefault="00F44716" w:rsidP="00F44716">
            <w:pPr>
              <w:keepNext/>
              <w:jc w:val="right"/>
              <w:rPr>
                <w:sz w:val="21"/>
                <w:szCs w:val="21"/>
                <w:lang w:val="en-CA"/>
              </w:rPr>
            </w:pPr>
            <w:r w:rsidRPr="00AC107A">
              <w:rPr>
                <w:sz w:val="21"/>
                <w:szCs w:val="21"/>
                <w:lang w:val="en-CA"/>
              </w:rPr>
              <w:t>91,332</w:t>
            </w:r>
          </w:p>
        </w:tc>
        <w:tc>
          <w:tcPr>
            <w:tcW w:w="2340" w:type="dxa"/>
            <w:tcBorders>
              <w:top w:val="nil"/>
              <w:left w:val="nil"/>
              <w:bottom w:val="single" w:sz="4" w:space="0" w:color="auto"/>
              <w:right w:val="single" w:sz="4" w:space="0" w:color="auto"/>
            </w:tcBorders>
            <w:shd w:val="clear" w:color="auto" w:fill="auto"/>
            <w:noWrap/>
            <w:vAlign w:val="center"/>
            <w:hideMark/>
          </w:tcPr>
          <w:p w14:paraId="26237D11" w14:textId="77777777" w:rsidR="00F44716" w:rsidRPr="00AC107A" w:rsidRDefault="00F44716" w:rsidP="00F44716">
            <w:pPr>
              <w:jc w:val="center"/>
              <w:rPr>
                <w:sz w:val="21"/>
                <w:szCs w:val="21"/>
                <w:lang w:val="en-CA" w:eastAsia="en-CA"/>
              </w:rPr>
            </w:pPr>
            <w:r w:rsidRPr="00AC107A">
              <w:rPr>
                <w:sz w:val="21"/>
                <w:szCs w:val="21"/>
                <w:lang w:val="en-CA" w:eastAsia="en-CA"/>
              </w:rPr>
              <w:t>73</w:t>
            </w:r>
          </w:p>
        </w:tc>
      </w:tr>
      <w:tr w:rsidR="00AC107A" w:rsidRPr="00AC107A" w14:paraId="373FD811" w14:textId="77777777" w:rsidTr="00847463">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DA56405" w14:textId="77777777" w:rsidR="00F44716" w:rsidRPr="00AC107A" w:rsidRDefault="00F44716" w:rsidP="00F44716">
            <w:pPr>
              <w:jc w:val="left"/>
              <w:rPr>
                <w:sz w:val="21"/>
                <w:szCs w:val="21"/>
                <w:lang w:val="en-CA" w:eastAsia="en-CA"/>
              </w:rPr>
            </w:pPr>
            <w:r w:rsidRPr="00AC107A">
              <w:rPr>
                <w:sz w:val="21"/>
                <w:szCs w:val="21"/>
                <w:lang w:val="en-CA" w:eastAsia="en-CA"/>
              </w:rPr>
              <w:t>Total</w:t>
            </w:r>
          </w:p>
        </w:tc>
        <w:tc>
          <w:tcPr>
            <w:tcW w:w="2340" w:type="dxa"/>
            <w:tcBorders>
              <w:top w:val="nil"/>
              <w:left w:val="nil"/>
              <w:bottom w:val="single" w:sz="4" w:space="0" w:color="auto"/>
              <w:right w:val="single" w:sz="4" w:space="0" w:color="auto"/>
            </w:tcBorders>
            <w:shd w:val="clear" w:color="auto" w:fill="auto"/>
            <w:noWrap/>
            <w:tcMar>
              <w:left w:w="115" w:type="dxa"/>
              <w:right w:w="101" w:type="dxa"/>
            </w:tcMar>
            <w:hideMark/>
          </w:tcPr>
          <w:p w14:paraId="6CFAD90C" w14:textId="77777777" w:rsidR="00F44716" w:rsidRPr="00AC107A" w:rsidRDefault="00F44716" w:rsidP="00F44716">
            <w:pPr>
              <w:keepNext/>
              <w:jc w:val="right"/>
              <w:rPr>
                <w:sz w:val="21"/>
                <w:szCs w:val="21"/>
                <w:lang w:val="en-CA"/>
              </w:rPr>
            </w:pPr>
            <w:r w:rsidRPr="00AC107A">
              <w:rPr>
                <w:sz w:val="21"/>
                <w:szCs w:val="21"/>
                <w:lang w:val="en-CA"/>
              </w:rPr>
              <w:t>283,500</w:t>
            </w:r>
          </w:p>
        </w:tc>
        <w:tc>
          <w:tcPr>
            <w:tcW w:w="2340" w:type="dxa"/>
            <w:tcBorders>
              <w:top w:val="nil"/>
              <w:left w:val="nil"/>
              <w:bottom w:val="single" w:sz="4" w:space="0" w:color="auto"/>
              <w:right w:val="single" w:sz="4" w:space="0" w:color="auto"/>
            </w:tcBorders>
            <w:shd w:val="clear" w:color="auto" w:fill="auto"/>
            <w:noWrap/>
            <w:tcMar>
              <w:left w:w="115" w:type="dxa"/>
              <w:right w:w="101" w:type="dxa"/>
            </w:tcMar>
            <w:hideMark/>
          </w:tcPr>
          <w:p w14:paraId="6E659B44" w14:textId="77777777" w:rsidR="00F44716" w:rsidRPr="00AC107A" w:rsidRDefault="00F44716" w:rsidP="00F44716">
            <w:pPr>
              <w:keepNext/>
              <w:jc w:val="right"/>
              <w:rPr>
                <w:sz w:val="21"/>
                <w:szCs w:val="21"/>
                <w:lang w:val="en-CA"/>
              </w:rPr>
            </w:pPr>
            <w:r w:rsidRPr="00AC107A">
              <w:rPr>
                <w:sz w:val="21"/>
                <w:szCs w:val="21"/>
                <w:lang w:val="en-CA"/>
              </w:rPr>
              <w:t>248,832</w:t>
            </w:r>
          </w:p>
        </w:tc>
        <w:tc>
          <w:tcPr>
            <w:tcW w:w="2340" w:type="dxa"/>
            <w:tcBorders>
              <w:top w:val="nil"/>
              <w:left w:val="nil"/>
              <w:bottom w:val="single" w:sz="4" w:space="0" w:color="auto"/>
              <w:right w:val="single" w:sz="4" w:space="0" w:color="auto"/>
            </w:tcBorders>
            <w:shd w:val="clear" w:color="auto" w:fill="auto"/>
            <w:noWrap/>
            <w:vAlign w:val="center"/>
            <w:hideMark/>
          </w:tcPr>
          <w:p w14:paraId="4B026DEC" w14:textId="77777777" w:rsidR="00F44716" w:rsidRPr="00AC107A" w:rsidRDefault="00F44716" w:rsidP="00F44716">
            <w:pPr>
              <w:jc w:val="center"/>
              <w:rPr>
                <w:sz w:val="21"/>
                <w:szCs w:val="21"/>
                <w:lang w:val="en-CA" w:eastAsia="en-CA"/>
              </w:rPr>
            </w:pPr>
            <w:r w:rsidRPr="00AC107A">
              <w:rPr>
                <w:sz w:val="21"/>
                <w:szCs w:val="21"/>
                <w:lang w:val="en-CA" w:eastAsia="en-CA"/>
              </w:rPr>
              <w:t>88</w:t>
            </w:r>
          </w:p>
        </w:tc>
      </w:tr>
    </w:tbl>
    <w:p w14:paraId="2750DC25" w14:textId="77777777" w:rsidR="00F44716" w:rsidRPr="00AC107A" w:rsidRDefault="00F44716" w:rsidP="00D24A18">
      <w:pPr>
        <w:rPr>
          <w:b/>
          <w:sz w:val="21"/>
          <w:szCs w:val="21"/>
          <w:lang w:val="en-CA"/>
        </w:rPr>
      </w:pPr>
    </w:p>
    <w:p w14:paraId="641A345B" w14:textId="77777777" w:rsidR="00D24A18" w:rsidRPr="00AC107A" w:rsidRDefault="00D24A18" w:rsidP="00847463">
      <w:pPr>
        <w:keepNext/>
        <w:rPr>
          <w:u w:val="single"/>
          <w:lang w:val="en-CA"/>
        </w:rPr>
      </w:pPr>
      <w:r w:rsidRPr="00AC107A">
        <w:rPr>
          <w:u w:val="single"/>
          <w:lang w:val="en-CA"/>
        </w:rPr>
        <w:t>Implementation plan for the third and final tranche of the HPMP</w:t>
      </w:r>
    </w:p>
    <w:p w14:paraId="5C577ABF" w14:textId="77777777" w:rsidR="00D24A18" w:rsidRPr="00AC107A" w:rsidRDefault="00D24A18" w:rsidP="00847463">
      <w:pPr>
        <w:keepNext/>
        <w:rPr>
          <w:lang w:val="en-CA"/>
        </w:rPr>
      </w:pPr>
    </w:p>
    <w:p w14:paraId="230CDC9C" w14:textId="77777777" w:rsidR="00D24A18" w:rsidRPr="00AC107A" w:rsidRDefault="00D24A18" w:rsidP="00847463">
      <w:pPr>
        <w:pStyle w:val="Heading1"/>
        <w:keepNext/>
        <w:rPr>
          <w:lang w:val="en-CA"/>
        </w:rPr>
      </w:pPr>
      <w:r w:rsidRPr="00AC107A">
        <w:rPr>
          <w:lang w:val="en-CA"/>
        </w:rPr>
        <w:t xml:space="preserve">The following activities will be implemented </w:t>
      </w:r>
      <w:r w:rsidR="00130555" w:rsidRPr="00AC107A">
        <w:rPr>
          <w:lang w:val="en-CA"/>
        </w:rPr>
        <w:t xml:space="preserve">until </w:t>
      </w:r>
      <w:r w:rsidRPr="00AC107A">
        <w:rPr>
          <w:lang w:val="en-CA"/>
        </w:rPr>
        <w:t>December 2021:</w:t>
      </w:r>
    </w:p>
    <w:p w14:paraId="3F7823BD" w14:textId="77777777" w:rsidR="00D24A18" w:rsidRPr="00AC107A" w:rsidRDefault="004F5101" w:rsidP="00D106C4">
      <w:pPr>
        <w:pStyle w:val="Heading2"/>
        <w:rPr>
          <w:lang w:val="en-CA"/>
        </w:rPr>
      </w:pPr>
      <w:r w:rsidRPr="00AC107A">
        <w:rPr>
          <w:lang w:val="en-CA"/>
        </w:rPr>
        <w:t>C</w:t>
      </w:r>
      <w:r w:rsidR="00D24A18" w:rsidRPr="00AC107A">
        <w:rPr>
          <w:lang w:val="en-CA"/>
        </w:rPr>
        <w:t>ustoms training</w:t>
      </w:r>
      <w:r w:rsidRPr="00AC107A">
        <w:rPr>
          <w:lang w:val="en-CA"/>
        </w:rPr>
        <w:t xml:space="preserve"> </w:t>
      </w:r>
      <w:r w:rsidR="00640155" w:rsidRPr="00AC107A">
        <w:rPr>
          <w:lang w:val="en-CA"/>
        </w:rPr>
        <w:t>workshops</w:t>
      </w:r>
      <w:r w:rsidR="00D24A18" w:rsidRPr="00AC107A">
        <w:rPr>
          <w:lang w:val="en-CA"/>
        </w:rPr>
        <w:t xml:space="preserve"> for 30 border officers and clearing agents on monitoring and controls of HCFCs (remaining funds from the second tranche of </w:t>
      </w:r>
      <w:r w:rsidR="00504E94" w:rsidRPr="00AC107A">
        <w:rPr>
          <w:lang w:val="en-CA"/>
        </w:rPr>
        <w:t>US $</w:t>
      </w:r>
      <w:r w:rsidR="00D24A18" w:rsidRPr="00AC107A">
        <w:rPr>
          <w:lang w:val="en-CA"/>
        </w:rPr>
        <w:t xml:space="preserve">8,274); </w:t>
      </w:r>
    </w:p>
    <w:p w14:paraId="7EFFE60B" w14:textId="77777777" w:rsidR="00D24A18" w:rsidRPr="00AC107A" w:rsidRDefault="00D24A18" w:rsidP="00D106C4">
      <w:pPr>
        <w:pStyle w:val="Heading2"/>
        <w:rPr>
          <w:lang w:val="en-CA"/>
        </w:rPr>
      </w:pPr>
      <w:r w:rsidRPr="00AC107A">
        <w:rPr>
          <w:lang w:val="en-CA"/>
        </w:rPr>
        <w:t>Continuation o</w:t>
      </w:r>
      <w:r w:rsidR="00130555" w:rsidRPr="00AC107A">
        <w:rPr>
          <w:lang w:val="en-CA"/>
        </w:rPr>
        <w:t>f</w:t>
      </w:r>
      <w:r w:rsidRPr="00AC107A">
        <w:rPr>
          <w:lang w:val="en-CA"/>
        </w:rPr>
        <w:t xml:space="preserve"> the scholarship programme </w:t>
      </w:r>
      <w:r w:rsidR="00130555" w:rsidRPr="00AC107A">
        <w:rPr>
          <w:lang w:val="en-CA"/>
        </w:rPr>
        <w:t>for</w:t>
      </w:r>
      <w:r w:rsidRPr="00AC107A">
        <w:rPr>
          <w:lang w:val="en-CA"/>
        </w:rPr>
        <w:t xml:space="preserve"> approximately 40 RAC students</w:t>
      </w:r>
      <w:r w:rsidR="00C50AE6" w:rsidRPr="00AC107A">
        <w:rPr>
          <w:lang w:val="en-CA"/>
        </w:rPr>
        <w:t xml:space="preserve">, and </w:t>
      </w:r>
      <w:r w:rsidR="00130555" w:rsidRPr="00AC107A">
        <w:rPr>
          <w:lang w:val="en-CA"/>
        </w:rPr>
        <w:t xml:space="preserve">training of </w:t>
      </w:r>
      <w:r w:rsidR="00C50AE6" w:rsidRPr="00AC107A">
        <w:rPr>
          <w:lang w:val="en-CA"/>
        </w:rPr>
        <w:t>40 </w:t>
      </w:r>
      <w:r w:rsidRPr="00AC107A">
        <w:rPr>
          <w:lang w:val="en-CA"/>
        </w:rPr>
        <w:t>technicians on good servicing practices and safe handling of alternatives along with best practices (</w:t>
      </w:r>
      <w:r w:rsidR="00504E94" w:rsidRPr="00AC107A">
        <w:rPr>
          <w:lang w:val="en-CA"/>
        </w:rPr>
        <w:t>US $</w:t>
      </w:r>
      <w:r w:rsidRPr="00AC107A">
        <w:rPr>
          <w:lang w:val="en-CA"/>
        </w:rPr>
        <w:t>28,260); and</w:t>
      </w:r>
    </w:p>
    <w:p w14:paraId="3A2932C7" w14:textId="77777777" w:rsidR="00D24A18" w:rsidRPr="00AC107A" w:rsidRDefault="00D24A18" w:rsidP="00D106C4">
      <w:pPr>
        <w:pStyle w:val="Heading2"/>
        <w:rPr>
          <w:lang w:val="en-CA"/>
        </w:rPr>
      </w:pPr>
      <w:r w:rsidRPr="00AC107A">
        <w:rPr>
          <w:lang w:val="en-CA"/>
        </w:rPr>
        <w:t>Support for ongoing implementation and conducting regular follow</w:t>
      </w:r>
      <w:r w:rsidRPr="00AC107A">
        <w:rPr>
          <w:lang w:val="en-CA"/>
        </w:rPr>
        <w:noBreakHyphen/>
        <w:t xml:space="preserve">up </w:t>
      </w:r>
      <w:r w:rsidR="004F5101" w:rsidRPr="00AC107A">
        <w:rPr>
          <w:lang w:val="en-CA"/>
        </w:rPr>
        <w:t>actions (US $</w:t>
      </w:r>
      <w:r w:rsidR="004F5101" w:rsidRPr="00AC107A">
        <w:rPr>
          <w:rFonts w:eastAsia="Calibri"/>
          <w:lang w:val="en-CA"/>
        </w:rPr>
        <w:t>3,240</w:t>
      </w:r>
      <w:r w:rsidR="004F5101" w:rsidRPr="00AC107A">
        <w:rPr>
          <w:lang w:val="en-CA"/>
        </w:rPr>
        <w:t>)</w:t>
      </w:r>
      <w:r w:rsidRPr="00AC107A">
        <w:rPr>
          <w:lang w:val="en-CA"/>
        </w:rPr>
        <w:t>.</w:t>
      </w:r>
    </w:p>
    <w:p w14:paraId="598DBCA8" w14:textId="77777777" w:rsidR="00D24A18" w:rsidRPr="00AC107A" w:rsidRDefault="00D24A18" w:rsidP="00504E94">
      <w:pPr>
        <w:jc w:val="center"/>
        <w:rPr>
          <w:b/>
          <w:lang w:val="en-CA"/>
        </w:rPr>
      </w:pPr>
      <w:r w:rsidRPr="00AC107A">
        <w:rPr>
          <w:b/>
          <w:lang w:val="en-CA"/>
        </w:rPr>
        <w:t>SECRETARIAT’S COMMENTS AND RECOMMENDATION</w:t>
      </w:r>
    </w:p>
    <w:p w14:paraId="2D8B53FF" w14:textId="77777777" w:rsidR="00D24A18" w:rsidRPr="00AC107A" w:rsidRDefault="00D24A18" w:rsidP="00504E94">
      <w:pPr>
        <w:rPr>
          <w:lang w:val="en-CA"/>
        </w:rPr>
      </w:pPr>
    </w:p>
    <w:p w14:paraId="552224BE" w14:textId="77777777" w:rsidR="00D24A18" w:rsidRPr="00AC107A" w:rsidRDefault="00D24A18" w:rsidP="00504E94">
      <w:pPr>
        <w:rPr>
          <w:b/>
          <w:lang w:val="en-CA"/>
        </w:rPr>
      </w:pPr>
      <w:r w:rsidRPr="00AC107A">
        <w:rPr>
          <w:b/>
          <w:lang w:val="en-CA"/>
        </w:rPr>
        <w:t>COMMENTS</w:t>
      </w:r>
    </w:p>
    <w:p w14:paraId="19E87554" w14:textId="77777777" w:rsidR="00D24A18" w:rsidRPr="00AC107A" w:rsidRDefault="00D24A18" w:rsidP="00504E94">
      <w:pPr>
        <w:rPr>
          <w:lang w:val="en-CA"/>
        </w:rPr>
      </w:pPr>
    </w:p>
    <w:p w14:paraId="05E9C500" w14:textId="77777777" w:rsidR="00D24A18" w:rsidRPr="00AC107A" w:rsidRDefault="00D24A18" w:rsidP="00504E94">
      <w:pPr>
        <w:rPr>
          <w:u w:val="single"/>
          <w:lang w:val="en-CA"/>
        </w:rPr>
      </w:pPr>
      <w:r w:rsidRPr="00AC107A">
        <w:rPr>
          <w:u w:val="single"/>
          <w:lang w:val="en-CA"/>
        </w:rPr>
        <w:t xml:space="preserve">Progress report on the implementation of the </w:t>
      </w:r>
      <w:r w:rsidR="006E193D" w:rsidRPr="00AC107A">
        <w:rPr>
          <w:u w:val="single"/>
          <w:lang w:val="en-CA"/>
        </w:rPr>
        <w:t>second</w:t>
      </w:r>
      <w:r w:rsidRPr="00AC107A">
        <w:rPr>
          <w:u w:val="single"/>
          <w:lang w:val="en-CA"/>
        </w:rPr>
        <w:t xml:space="preserve"> tranche of the HPMP</w:t>
      </w:r>
    </w:p>
    <w:p w14:paraId="74374E4A" w14:textId="77777777" w:rsidR="00D24A18" w:rsidRPr="00AC107A" w:rsidRDefault="00D24A18" w:rsidP="00504E94">
      <w:pPr>
        <w:rPr>
          <w:lang w:val="en-CA"/>
        </w:rPr>
      </w:pPr>
    </w:p>
    <w:p w14:paraId="08C35D0E" w14:textId="77777777" w:rsidR="006E193D" w:rsidRPr="00AC107A" w:rsidRDefault="006E193D" w:rsidP="00504E94">
      <w:pPr>
        <w:pStyle w:val="Heading1"/>
        <w:numPr>
          <w:ilvl w:val="0"/>
          <w:numId w:val="0"/>
        </w:numPr>
        <w:rPr>
          <w:i/>
          <w:lang w:val="en-CA"/>
        </w:rPr>
      </w:pPr>
      <w:r w:rsidRPr="00AC107A">
        <w:rPr>
          <w:i/>
          <w:lang w:val="en-CA"/>
        </w:rPr>
        <w:t>Verification report</w:t>
      </w:r>
    </w:p>
    <w:p w14:paraId="49D5926A" w14:textId="3F20C82D" w:rsidR="006E193D" w:rsidRPr="00AC107A" w:rsidRDefault="00F85660" w:rsidP="00504E94">
      <w:pPr>
        <w:pStyle w:val="Heading1"/>
        <w:rPr>
          <w:lang w:val="en-CA"/>
        </w:rPr>
      </w:pPr>
      <w:r w:rsidRPr="00AC107A">
        <w:rPr>
          <w:lang w:val="en-CA"/>
        </w:rPr>
        <w:lastRenderedPageBreak/>
        <w:t xml:space="preserve">The submission of this tranche request should have been accompanied by a verification report. However, the Government of Germany did </w:t>
      </w:r>
      <w:r w:rsidR="006E193D" w:rsidRPr="00AC107A">
        <w:rPr>
          <w:lang w:val="en-CA"/>
        </w:rPr>
        <w:t>not request</w:t>
      </w:r>
      <w:r w:rsidRPr="00AC107A">
        <w:rPr>
          <w:lang w:val="en-CA"/>
        </w:rPr>
        <w:t xml:space="preserve"> the funding</w:t>
      </w:r>
      <w:r w:rsidR="006E193D" w:rsidRPr="00AC107A">
        <w:rPr>
          <w:lang w:val="en-CA"/>
        </w:rPr>
        <w:t xml:space="preserve"> </w:t>
      </w:r>
      <w:r w:rsidRPr="00AC107A">
        <w:rPr>
          <w:lang w:val="en-CA"/>
        </w:rPr>
        <w:t xml:space="preserve">for the preparation of the verification report as per </w:t>
      </w:r>
      <w:r w:rsidR="006E193D" w:rsidRPr="00AC107A">
        <w:rPr>
          <w:lang w:val="en-CA"/>
        </w:rPr>
        <w:t>decision 76/17</w:t>
      </w:r>
      <w:r w:rsidRPr="00AC107A">
        <w:rPr>
          <w:lang w:val="en-CA"/>
        </w:rPr>
        <w:t>.</w:t>
      </w:r>
      <w:r w:rsidR="006E193D" w:rsidRPr="00AC107A">
        <w:rPr>
          <w:lang w:val="en-CA"/>
        </w:rPr>
        <w:t xml:space="preserve">  </w:t>
      </w:r>
      <w:r w:rsidR="00754837" w:rsidRPr="00AC107A">
        <w:rPr>
          <w:lang w:val="en-CA"/>
        </w:rPr>
        <w:t>T</w:t>
      </w:r>
      <w:r w:rsidR="006E193D" w:rsidRPr="00AC107A">
        <w:rPr>
          <w:lang w:val="en-CA"/>
        </w:rPr>
        <w:t>he Government of Germany explained that keeping the momentum reached in the implementation of the HPMP was very relevant for the sustainability of the HCFC phase</w:t>
      </w:r>
      <w:r w:rsidR="006E193D" w:rsidRPr="00AC107A">
        <w:rPr>
          <w:lang w:val="en-CA"/>
        </w:rPr>
        <w:noBreakHyphen/>
        <w:t xml:space="preserve">out achieved. Noting that the current consumption of HCFCs is significantly lower than the target set in its Agreement with the Executive Committee, </w:t>
      </w:r>
      <w:r w:rsidR="004F5101" w:rsidRPr="00AC107A">
        <w:rPr>
          <w:lang w:val="en-CA"/>
        </w:rPr>
        <w:t xml:space="preserve">that the activities under the HPMP are ongoing, and that </w:t>
      </w:r>
      <w:r w:rsidR="0071448C" w:rsidRPr="00AC107A">
        <w:rPr>
          <w:lang w:val="en-CA"/>
        </w:rPr>
        <w:t xml:space="preserve">due to an oversight funding was not </w:t>
      </w:r>
      <w:r w:rsidR="004F5101" w:rsidRPr="00AC107A">
        <w:rPr>
          <w:lang w:val="en-CA"/>
        </w:rPr>
        <w:t>request</w:t>
      </w:r>
      <w:r w:rsidR="0071448C" w:rsidRPr="00AC107A">
        <w:rPr>
          <w:lang w:val="en-CA"/>
        </w:rPr>
        <w:t>ed</w:t>
      </w:r>
      <w:r w:rsidR="004F5101" w:rsidRPr="00AC107A">
        <w:rPr>
          <w:lang w:val="en-CA"/>
        </w:rPr>
        <w:t xml:space="preserve"> for preparation of the verification </w:t>
      </w:r>
      <w:r w:rsidR="0071448C" w:rsidRPr="00AC107A">
        <w:rPr>
          <w:lang w:val="en-CA"/>
        </w:rPr>
        <w:t xml:space="preserve">of the HCFC consumption, </w:t>
      </w:r>
      <w:r w:rsidR="00782654" w:rsidRPr="00AC107A">
        <w:rPr>
          <w:lang w:val="en-CA"/>
        </w:rPr>
        <w:t>t</w:t>
      </w:r>
      <w:r w:rsidR="006E193D" w:rsidRPr="00AC107A">
        <w:rPr>
          <w:lang w:val="en-CA"/>
        </w:rPr>
        <w:t>he Secretariat</w:t>
      </w:r>
      <w:r w:rsidR="004F5101" w:rsidRPr="00AC107A">
        <w:rPr>
          <w:lang w:val="en-CA"/>
        </w:rPr>
        <w:t xml:space="preserve"> considered </w:t>
      </w:r>
      <w:r w:rsidR="0071448C" w:rsidRPr="00AC107A">
        <w:rPr>
          <w:lang w:val="en-CA"/>
        </w:rPr>
        <w:t xml:space="preserve">relevant to proceed with the implementation of the final tranche of the HPMP, noting that the Government of Germany had submitted a request for </w:t>
      </w:r>
      <w:r w:rsidR="006E193D" w:rsidRPr="00AC107A">
        <w:rPr>
          <w:lang w:val="en-CA"/>
        </w:rPr>
        <w:t>funding the verification at the 85</w:t>
      </w:r>
      <w:r w:rsidR="006E193D" w:rsidRPr="00AC107A">
        <w:rPr>
          <w:vertAlign w:val="superscript"/>
          <w:lang w:val="en-CA"/>
        </w:rPr>
        <w:t>th</w:t>
      </w:r>
      <w:r w:rsidR="006E193D" w:rsidRPr="00AC107A">
        <w:rPr>
          <w:lang w:val="en-CA"/>
        </w:rPr>
        <w:t xml:space="preserve"> meeting and </w:t>
      </w:r>
      <w:r w:rsidR="0071448C" w:rsidRPr="00AC107A">
        <w:rPr>
          <w:lang w:val="en-CA"/>
        </w:rPr>
        <w:t xml:space="preserve">that </w:t>
      </w:r>
      <w:r w:rsidR="006E193D" w:rsidRPr="00AC107A">
        <w:rPr>
          <w:lang w:val="en-CA"/>
        </w:rPr>
        <w:t>the</w:t>
      </w:r>
      <w:r w:rsidR="00754837" w:rsidRPr="00AC107A">
        <w:rPr>
          <w:lang w:val="en-CA"/>
        </w:rPr>
        <w:t xml:space="preserve"> verification</w:t>
      </w:r>
      <w:r w:rsidR="006E193D" w:rsidRPr="00AC107A">
        <w:rPr>
          <w:lang w:val="en-CA"/>
        </w:rPr>
        <w:t xml:space="preserve"> report would be submitted along with stage II of the HPMP. </w:t>
      </w:r>
    </w:p>
    <w:p w14:paraId="215ECC6B" w14:textId="77777777" w:rsidR="00D24A18" w:rsidRPr="00AC107A" w:rsidRDefault="00D24A18" w:rsidP="00504E94">
      <w:pPr>
        <w:rPr>
          <w:i/>
          <w:lang w:val="en-CA"/>
        </w:rPr>
      </w:pPr>
      <w:r w:rsidRPr="00AC107A">
        <w:rPr>
          <w:i/>
          <w:lang w:val="en-CA"/>
        </w:rPr>
        <w:t>Legal framework</w:t>
      </w:r>
    </w:p>
    <w:p w14:paraId="4CD4EB87" w14:textId="77777777" w:rsidR="00D24A18" w:rsidRPr="00AC107A" w:rsidRDefault="00D24A18" w:rsidP="00504E94">
      <w:pPr>
        <w:rPr>
          <w:lang w:val="en-CA"/>
        </w:rPr>
      </w:pPr>
    </w:p>
    <w:p w14:paraId="1F5C7EE6" w14:textId="77777777" w:rsidR="00D24A18" w:rsidRPr="00AC107A" w:rsidRDefault="00D24A18" w:rsidP="00504E94">
      <w:pPr>
        <w:pStyle w:val="Heading1"/>
        <w:rPr>
          <w:lang w:val="en-CA"/>
        </w:rPr>
      </w:pPr>
      <w:r w:rsidRPr="00AC107A">
        <w:rPr>
          <w:lang w:val="en-CA"/>
        </w:rPr>
        <w:t xml:space="preserve">The Government of Liberia </w:t>
      </w:r>
      <w:r w:rsidR="004D5FDF" w:rsidRPr="00AC107A">
        <w:rPr>
          <w:lang w:val="en-CA"/>
        </w:rPr>
        <w:t xml:space="preserve">has established the </w:t>
      </w:r>
      <w:r w:rsidRPr="00AC107A">
        <w:rPr>
          <w:lang w:val="en-CA"/>
        </w:rPr>
        <w:t xml:space="preserve">import quota for 2020 </w:t>
      </w:r>
      <w:r w:rsidR="004D5FDF" w:rsidRPr="00AC107A">
        <w:rPr>
          <w:lang w:val="en-CA"/>
        </w:rPr>
        <w:t xml:space="preserve">not exceeding </w:t>
      </w:r>
      <w:r w:rsidRPr="00AC107A">
        <w:rPr>
          <w:lang w:val="en-CA"/>
        </w:rPr>
        <w:t>3.45 ODP tonne</w:t>
      </w:r>
      <w:r w:rsidR="004D5FDF" w:rsidRPr="00AC107A">
        <w:rPr>
          <w:lang w:val="en-CA"/>
        </w:rPr>
        <w:t>s in accordance with the Montreal Protocol control target</w:t>
      </w:r>
      <w:r w:rsidRPr="00AC107A">
        <w:rPr>
          <w:lang w:val="en-CA"/>
        </w:rPr>
        <w:t>.</w:t>
      </w:r>
    </w:p>
    <w:p w14:paraId="3A7D03C3" w14:textId="77777777" w:rsidR="00D24A18" w:rsidRPr="00AC107A" w:rsidRDefault="00D24A18" w:rsidP="00D24A18">
      <w:pPr>
        <w:rPr>
          <w:i/>
          <w:lang w:val="en-CA"/>
        </w:rPr>
      </w:pPr>
      <w:r w:rsidRPr="00AC107A">
        <w:rPr>
          <w:i/>
          <w:lang w:val="en-CA"/>
        </w:rPr>
        <w:t>Refrigeration servicing sector</w:t>
      </w:r>
    </w:p>
    <w:p w14:paraId="6906313F" w14:textId="77777777" w:rsidR="00D24A18" w:rsidRPr="00AC107A" w:rsidRDefault="00D24A18" w:rsidP="00D24A18">
      <w:pPr>
        <w:rPr>
          <w:lang w:val="en-CA"/>
        </w:rPr>
      </w:pPr>
    </w:p>
    <w:p w14:paraId="2D9C1CD3" w14:textId="77777777" w:rsidR="00D24A18" w:rsidRPr="00AC107A" w:rsidRDefault="00CE7E36" w:rsidP="00D106C4">
      <w:pPr>
        <w:pStyle w:val="Heading1"/>
        <w:rPr>
          <w:lang w:val="en-CA"/>
        </w:rPr>
      </w:pPr>
      <w:r w:rsidRPr="00AC107A">
        <w:rPr>
          <w:lang w:val="en-CA"/>
        </w:rPr>
        <w:t xml:space="preserve">Upon a request for clarification regarding the </w:t>
      </w:r>
      <w:r w:rsidR="00D24A18" w:rsidRPr="00AC107A">
        <w:rPr>
          <w:lang w:val="en-CA"/>
        </w:rPr>
        <w:t>reclamation centre</w:t>
      </w:r>
      <w:r w:rsidRPr="00AC107A">
        <w:rPr>
          <w:lang w:val="en-CA"/>
        </w:rPr>
        <w:t>, t</w:t>
      </w:r>
      <w:r w:rsidR="00D24A18" w:rsidRPr="00AC107A">
        <w:rPr>
          <w:lang w:val="en-CA"/>
        </w:rPr>
        <w:t xml:space="preserve">he Government of Germany </w:t>
      </w:r>
      <w:r w:rsidRPr="00AC107A">
        <w:rPr>
          <w:lang w:val="en-CA"/>
        </w:rPr>
        <w:t xml:space="preserve">explained </w:t>
      </w:r>
      <w:r w:rsidR="00D24A18" w:rsidRPr="00AC107A">
        <w:rPr>
          <w:lang w:val="en-CA"/>
        </w:rPr>
        <w:t xml:space="preserve">that the </w:t>
      </w:r>
      <w:r w:rsidR="00132629" w:rsidRPr="00AC107A">
        <w:rPr>
          <w:lang w:val="en-CA"/>
        </w:rPr>
        <w:t xml:space="preserve">refrigeration </w:t>
      </w:r>
      <w:r w:rsidR="00D24A18" w:rsidRPr="00AC107A">
        <w:rPr>
          <w:lang w:val="en-CA"/>
        </w:rPr>
        <w:t xml:space="preserve">association was initially envisaged to serve as a reclamation centre; however, due to various problems related to ensuring membership and agreement among stakeholders on how the association should run, it remains a loosely aligned group of companies. </w:t>
      </w:r>
      <w:r w:rsidRPr="00AC107A">
        <w:rPr>
          <w:lang w:val="en-CA"/>
        </w:rPr>
        <w:t>Currently, t</w:t>
      </w:r>
      <w:r w:rsidR="00D24A18" w:rsidRPr="00AC107A">
        <w:rPr>
          <w:lang w:val="en-CA"/>
        </w:rPr>
        <w:t>he</w:t>
      </w:r>
      <w:r w:rsidR="00132629" w:rsidRPr="00AC107A">
        <w:rPr>
          <w:lang w:val="en-CA"/>
        </w:rPr>
        <w:t xml:space="preserve"> refrigeration association </w:t>
      </w:r>
      <w:r w:rsidR="00D24A18" w:rsidRPr="00AC107A">
        <w:rPr>
          <w:lang w:val="en-CA"/>
        </w:rPr>
        <w:t>only make available the recovery units provided previously to specific companies when requested.</w:t>
      </w:r>
      <w:r w:rsidR="00504E94" w:rsidRPr="00AC107A">
        <w:rPr>
          <w:lang w:val="en-CA"/>
        </w:rPr>
        <w:t xml:space="preserve"> </w:t>
      </w:r>
    </w:p>
    <w:p w14:paraId="590A8372" w14:textId="77777777" w:rsidR="00D24A18" w:rsidRPr="00AC107A" w:rsidRDefault="00D24A18" w:rsidP="00D106C4">
      <w:pPr>
        <w:pStyle w:val="Heading1"/>
        <w:rPr>
          <w:lang w:val="en-CA"/>
        </w:rPr>
      </w:pPr>
      <w:r w:rsidRPr="00AC107A">
        <w:rPr>
          <w:lang w:val="en-CA"/>
        </w:rPr>
        <w:t xml:space="preserve">Regarding the formalization of RAC technicians, the Government of Germany explained that additional efforts from the NOU are still necessary to complete </w:t>
      </w:r>
      <w:r w:rsidR="00CE7E36" w:rsidRPr="00AC107A">
        <w:rPr>
          <w:lang w:val="en-CA"/>
        </w:rPr>
        <w:t xml:space="preserve">the </w:t>
      </w:r>
      <w:r w:rsidRPr="00AC107A">
        <w:rPr>
          <w:lang w:val="en-CA"/>
        </w:rPr>
        <w:t>ongoing process</w:t>
      </w:r>
      <w:r w:rsidR="00CE7E36" w:rsidRPr="00AC107A">
        <w:rPr>
          <w:lang w:val="en-CA"/>
        </w:rPr>
        <w:t>; t</w:t>
      </w:r>
      <w:r w:rsidRPr="00AC107A">
        <w:rPr>
          <w:lang w:val="en-CA"/>
        </w:rPr>
        <w:t xml:space="preserve">he NOU has identified various informal businesses working in the servicing of RAC and encouraged them to be registered, so that they can benefit from the technician training courses </w:t>
      </w:r>
      <w:r w:rsidR="00132629" w:rsidRPr="00AC107A">
        <w:rPr>
          <w:lang w:val="en-CA"/>
        </w:rPr>
        <w:t xml:space="preserve">being </w:t>
      </w:r>
      <w:r w:rsidRPr="00AC107A">
        <w:rPr>
          <w:lang w:val="en-CA"/>
        </w:rPr>
        <w:t>conducted. Furthermore, the scholarship programme has aimed to reduce the number of drop-outs from the RAC courses to ensure that the students who come from economically challenged backgrounds are assisted in completing the</w:t>
      </w:r>
      <w:r w:rsidR="00C50AE6" w:rsidRPr="00AC107A">
        <w:rPr>
          <w:lang w:val="en-CA"/>
        </w:rPr>
        <w:t xml:space="preserve"> 18</w:t>
      </w:r>
      <w:r w:rsidR="00C50AE6" w:rsidRPr="00AC107A">
        <w:rPr>
          <w:lang w:val="en-CA"/>
        </w:rPr>
        <w:noBreakHyphen/>
      </w:r>
      <w:r w:rsidRPr="00AC107A">
        <w:rPr>
          <w:lang w:val="en-CA"/>
        </w:rPr>
        <w:t xml:space="preserve">months RAC course. </w:t>
      </w:r>
    </w:p>
    <w:p w14:paraId="0361A07B" w14:textId="77777777" w:rsidR="002B60ED" w:rsidRPr="00AC107A" w:rsidRDefault="00D24A18" w:rsidP="008407CD">
      <w:pPr>
        <w:pStyle w:val="Heading1"/>
        <w:rPr>
          <w:lang w:val="en-CA"/>
        </w:rPr>
      </w:pPr>
      <w:r w:rsidRPr="00AC107A">
        <w:rPr>
          <w:lang w:val="en-CA"/>
        </w:rPr>
        <w:lastRenderedPageBreak/>
        <w:t xml:space="preserve">The Secretariat requested additional information on implementation of demonstration projects for </w:t>
      </w:r>
      <w:r w:rsidR="00E90137" w:rsidRPr="00AC107A">
        <w:rPr>
          <w:lang w:val="en-CA"/>
        </w:rPr>
        <w:t xml:space="preserve">reducing </w:t>
      </w:r>
      <w:r w:rsidRPr="00AC107A">
        <w:rPr>
          <w:lang w:val="en-CA"/>
        </w:rPr>
        <w:t>use of HCFCs.</w:t>
      </w:r>
      <w:r w:rsidR="00504E94" w:rsidRPr="00AC107A">
        <w:rPr>
          <w:lang w:val="en-CA"/>
        </w:rPr>
        <w:t xml:space="preserve"> </w:t>
      </w:r>
      <w:r w:rsidRPr="00AC107A">
        <w:rPr>
          <w:lang w:val="en-CA"/>
        </w:rPr>
        <w:t xml:space="preserve">The Government of Germany explained that the country has reprioritized the </w:t>
      </w:r>
      <w:r w:rsidR="00B028C4" w:rsidRPr="00AC107A">
        <w:rPr>
          <w:lang w:val="en-CA"/>
        </w:rPr>
        <w:t xml:space="preserve">purchase of </w:t>
      </w:r>
      <w:r w:rsidRPr="00AC107A">
        <w:rPr>
          <w:lang w:val="en-CA"/>
        </w:rPr>
        <w:t xml:space="preserve">16 RAC units </w:t>
      </w:r>
      <w:r w:rsidR="00B028C4" w:rsidRPr="00AC107A">
        <w:rPr>
          <w:lang w:val="en-CA"/>
        </w:rPr>
        <w:t xml:space="preserve">for </w:t>
      </w:r>
      <w:r w:rsidRPr="00AC107A">
        <w:rPr>
          <w:lang w:val="en-CA"/>
        </w:rPr>
        <w:t>standards laboratory and servicing support from students from MVTC, along with trainers from MVTC and refrigeration association members; best practices were demonstrated related to existing HCFC-22 equipment</w:t>
      </w:r>
      <w:r w:rsidR="00B028C4" w:rsidRPr="00AC107A">
        <w:rPr>
          <w:lang w:val="en-CA"/>
        </w:rPr>
        <w:t>;</w:t>
      </w:r>
      <w:r w:rsidRPr="00AC107A">
        <w:rPr>
          <w:lang w:val="en-CA"/>
        </w:rPr>
        <w:t xml:space="preserve"> and new HFC-based equipment was installed and commissioned; </w:t>
      </w:r>
      <w:r w:rsidR="00B028C4" w:rsidRPr="00AC107A">
        <w:rPr>
          <w:lang w:val="en-CA"/>
        </w:rPr>
        <w:t xml:space="preserve">and </w:t>
      </w:r>
      <w:r w:rsidRPr="00AC107A">
        <w:rPr>
          <w:lang w:val="en-CA"/>
        </w:rPr>
        <w:t>additional training of trainers, training of technicians, the scholar</w:t>
      </w:r>
      <w:r w:rsidR="004B5331" w:rsidRPr="00AC107A">
        <w:rPr>
          <w:lang w:val="en-CA"/>
        </w:rPr>
        <w:t>ship programme for 40 </w:t>
      </w:r>
      <w:r w:rsidRPr="00AC107A">
        <w:rPr>
          <w:lang w:val="en-CA"/>
        </w:rPr>
        <w:t>students and equipment support for the training institutes.</w:t>
      </w:r>
    </w:p>
    <w:p w14:paraId="53565005" w14:textId="77777777" w:rsidR="00D24A18" w:rsidRPr="00AC107A" w:rsidRDefault="00D24A18" w:rsidP="00504E94">
      <w:pPr>
        <w:rPr>
          <w:u w:val="single"/>
          <w:lang w:val="en-CA"/>
        </w:rPr>
      </w:pPr>
      <w:r w:rsidRPr="00AC107A">
        <w:rPr>
          <w:u w:val="single"/>
          <w:lang w:val="en-CA"/>
        </w:rPr>
        <w:t>Gender policy implementation</w:t>
      </w:r>
      <w:r w:rsidRPr="00AC107A">
        <w:rPr>
          <w:rStyle w:val="FootnoteReference"/>
          <w:u w:val="single"/>
          <w:lang w:val="en-CA"/>
        </w:rPr>
        <w:footnoteReference w:id="4"/>
      </w:r>
    </w:p>
    <w:p w14:paraId="3148B8A4" w14:textId="77777777" w:rsidR="00D24A18" w:rsidRPr="00AC107A" w:rsidRDefault="00D24A18" w:rsidP="00504E94">
      <w:pPr>
        <w:rPr>
          <w:u w:val="single"/>
          <w:lang w:val="en-CA"/>
        </w:rPr>
      </w:pPr>
    </w:p>
    <w:p w14:paraId="4DE049D6" w14:textId="77777777" w:rsidR="00D24A18" w:rsidRPr="00AC107A" w:rsidRDefault="00D24A18" w:rsidP="00504E94">
      <w:pPr>
        <w:pStyle w:val="Heading1"/>
        <w:rPr>
          <w:lang w:val="en-CA"/>
        </w:rPr>
      </w:pPr>
      <w:r w:rsidRPr="00AC107A">
        <w:rPr>
          <w:lang w:val="en-CA"/>
        </w:rPr>
        <w:t xml:space="preserve">The Government of Germany informed that the Government of Liberia is fully committed to implementing the gender policy. The NOU </w:t>
      </w:r>
      <w:r w:rsidR="000D2B60" w:rsidRPr="00AC107A">
        <w:rPr>
          <w:lang w:val="en-CA"/>
        </w:rPr>
        <w:t xml:space="preserve">has been </w:t>
      </w:r>
      <w:r w:rsidRPr="00AC107A">
        <w:rPr>
          <w:lang w:val="en-CA"/>
        </w:rPr>
        <w:t>mak</w:t>
      </w:r>
      <w:r w:rsidR="000D2B60" w:rsidRPr="00AC107A">
        <w:rPr>
          <w:lang w:val="en-CA"/>
        </w:rPr>
        <w:t>ing</w:t>
      </w:r>
      <w:r w:rsidRPr="00AC107A">
        <w:rPr>
          <w:lang w:val="en-CA"/>
        </w:rPr>
        <w:t xml:space="preserve"> an effort to include women into the </w:t>
      </w:r>
      <w:r w:rsidR="000D2B60" w:rsidRPr="00AC107A">
        <w:rPr>
          <w:lang w:val="en-CA"/>
        </w:rPr>
        <w:t xml:space="preserve">HPMP </w:t>
      </w:r>
      <w:r w:rsidRPr="00AC107A">
        <w:rPr>
          <w:lang w:val="en-CA"/>
        </w:rPr>
        <w:t>activities whenever possible</w:t>
      </w:r>
      <w:r w:rsidR="00B028C4" w:rsidRPr="00AC107A">
        <w:rPr>
          <w:lang w:val="en-CA"/>
        </w:rPr>
        <w:t>;</w:t>
      </w:r>
      <w:r w:rsidR="000D2B60" w:rsidRPr="00AC107A">
        <w:rPr>
          <w:lang w:val="en-CA"/>
        </w:rPr>
        <w:t xml:space="preserve"> for example,</w:t>
      </w:r>
      <w:r w:rsidRPr="00AC107A">
        <w:rPr>
          <w:lang w:val="en-CA"/>
        </w:rPr>
        <w:t xml:space="preserve"> one woman out of </w:t>
      </w:r>
      <w:r w:rsidR="000D2B60" w:rsidRPr="00AC107A">
        <w:rPr>
          <w:lang w:val="en-CA"/>
        </w:rPr>
        <w:t xml:space="preserve">the </w:t>
      </w:r>
      <w:r w:rsidRPr="00AC107A">
        <w:rPr>
          <w:lang w:val="en-CA"/>
        </w:rPr>
        <w:t xml:space="preserve">four trainers participated in the </w:t>
      </w:r>
      <w:r w:rsidR="00640155" w:rsidRPr="00AC107A">
        <w:rPr>
          <w:lang w:val="en-CA"/>
        </w:rPr>
        <w:t>training of</w:t>
      </w:r>
      <w:r w:rsidRPr="00AC107A">
        <w:rPr>
          <w:lang w:val="en-CA"/>
        </w:rPr>
        <w:t xml:space="preserve"> </w:t>
      </w:r>
      <w:r w:rsidR="000D2B60" w:rsidRPr="00AC107A">
        <w:rPr>
          <w:lang w:val="en-CA"/>
        </w:rPr>
        <w:t>t</w:t>
      </w:r>
      <w:r w:rsidRPr="00AC107A">
        <w:rPr>
          <w:lang w:val="en-CA"/>
        </w:rPr>
        <w:t>rainers</w:t>
      </w:r>
      <w:r w:rsidR="000D2B60" w:rsidRPr="00AC107A">
        <w:rPr>
          <w:lang w:val="en-CA"/>
        </w:rPr>
        <w:t xml:space="preserve"> in South Africa, and</w:t>
      </w:r>
      <w:r w:rsidRPr="00AC107A">
        <w:rPr>
          <w:lang w:val="en-CA"/>
        </w:rPr>
        <w:t xml:space="preserve"> </w:t>
      </w:r>
      <w:r w:rsidR="000D2B60" w:rsidRPr="00AC107A">
        <w:rPr>
          <w:lang w:val="en-CA"/>
        </w:rPr>
        <w:t>p</w:t>
      </w:r>
      <w:r w:rsidRPr="00AC107A">
        <w:rPr>
          <w:lang w:val="en-CA"/>
        </w:rPr>
        <w:t>articipation of women in th</w:t>
      </w:r>
      <w:r w:rsidR="000D2B60" w:rsidRPr="00AC107A">
        <w:rPr>
          <w:lang w:val="en-CA"/>
        </w:rPr>
        <w:t>e RAC</w:t>
      </w:r>
      <w:r w:rsidRPr="00AC107A">
        <w:rPr>
          <w:lang w:val="en-CA"/>
        </w:rPr>
        <w:t xml:space="preserve"> sector is </w:t>
      </w:r>
      <w:r w:rsidR="000D2B60" w:rsidRPr="00AC107A">
        <w:rPr>
          <w:lang w:val="en-CA"/>
        </w:rPr>
        <w:t>gradually</w:t>
      </w:r>
      <w:r w:rsidRPr="00AC107A">
        <w:rPr>
          <w:lang w:val="en-CA"/>
        </w:rPr>
        <w:t xml:space="preserve"> incre</w:t>
      </w:r>
      <w:r w:rsidR="00F212FD" w:rsidRPr="00AC107A">
        <w:rPr>
          <w:lang w:val="en-CA"/>
        </w:rPr>
        <w:t xml:space="preserve">asing and is being encouraged. </w:t>
      </w:r>
      <w:r w:rsidRPr="00AC107A">
        <w:rPr>
          <w:lang w:val="en-CA"/>
        </w:rPr>
        <w:t xml:space="preserve">The NOU will also keep track of female technicians and customs officers trained. </w:t>
      </w:r>
    </w:p>
    <w:p w14:paraId="307D83EA" w14:textId="77777777" w:rsidR="00D24A18" w:rsidRPr="00AC107A" w:rsidRDefault="00D24A18" w:rsidP="00504E94">
      <w:pPr>
        <w:pStyle w:val="Heading1"/>
        <w:numPr>
          <w:ilvl w:val="0"/>
          <w:numId w:val="0"/>
        </w:numPr>
        <w:rPr>
          <w:u w:val="single"/>
          <w:lang w:val="en-CA"/>
        </w:rPr>
      </w:pPr>
      <w:r w:rsidRPr="00AC107A">
        <w:rPr>
          <w:u w:val="single"/>
          <w:lang w:val="en-CA"/>
        </w:rPr>
        <w:t xml:space="preserve">Sustainability of the HCFC phase-out </w:t>
      </w:r>
    </w:p>
    <w:p w14:paraId="5A3A746F" w14:textId="77777777" w:rsidR="00D24A18" w:rsidRPr="00AC107A" w:rsidRDefault="00D24A18" w:rsidP="00504E94">
      <w:pPr>
        <w:pStyle w:val="Heading1"/>
        <w:rPr>
          <w:lang w:val="en-CA"/>
        </w:rPr>
      </w:pPr>
      <w:r w:rsidRPr="00AC107A">
        <w:rPr>
          <w:lang w:val="en-CA"/>
        </w:rPr>
        <w:t xml:space="preserve">The Government is taking steps to maximise the number of technicians trained on good servicing practices and safe use of alternatives; by training the trainers on good service practices and safe adoption of flammable alternatives, the capacity of technicians in the country would be strengthened on an ongoing basis. </w:t>
      </w:r>
      <w:r w:rsidR="000D2B60" w:rsidRPr="00AC107A">
        <w:rPr>
          <w:lang w:val="en-CA"/>
        </w:rPr>
        <w:t>T</w:t>
      </w:r>
      <w:r w:rsidRPr="00AC107A">
        <w:rPr>
          <w:lang w:val="en-CA"/>
        </w:rPr>
        <w:t xml:space="preserve">wo training centers have </w:t>
      </w:r>
      <w:r w:rsidR="000D2B60" w:rsidRPr="00AC107A">
        <w:rPr>
          <w:lang w:val="en-CA"/>
        </w:rPr>
        <w:t xml:space="preserve">also </w:t>
      </w:r>
      <w:r w:rsidRPr="00AC107A">
        <w:rPr>
          <w:lang w:val="en-CA"/>
        </w:rPr>
        <w:t>been provided with equipment support for training. In addition, continuous strengthening of customs and enforcement officers through training and capacity building activities have supported the country in effectively controlling and monitoring HCFC imports. All these aforementioned efforts would ensure the sustainability of HCFC phase-out in the country.</w:t>
      </w:r>
    </w:p>
    <w:p w14:paraId="0F91AAA8" w14:textId="77777777" w:rsidR="00D24A18" w:rsidRPr="00AC107A" w:rsidRDefault="00D24A18" w:rsidP="00504E94">
      <w:pPr>
        <w:rPr>
          <w:u w:val="single"/>
          <w:lang w:val="en-CA"/>
        </w:rPr>
      </w:pPr>
      <w:r w:rsidRPr="00AC107A">
        <w:rPr>
          <w:u w:val="single"/>
          <w:lang w:val="en-CA"/>
        </w:rPr>
        <w:t xml:space="preserve">Conclusion </w:t>
      </w:r>
    </w:p>
    <w:p w14:paraId="624CAAD2" w14:textId="77777777" w:rsidR="00D24A18" w:rsidRPr="00AC107A" w:rsidRDefault="00D24A18" w:rsidP="00504E94">
      <w:pPr>
        <w:rPr>
          <w:lang w:val="en-CA"/>
        </w:rPr>
      </w:pPr>
    </w:p>
    <w:p w14:paraId="3242388B" w14:textId="77777777" w:rsidR="00D24A18" w:rsidRPr="00AC107A" w:rsidRDefault="00D24A18" w:rsidP="00504E94">
      <w:pPr>
        <w:pStyle w:val="Heading1"/>
        <w:rPr>
          <w:lang w:val="en-CA"/>
        </w:rPr>
      </w:pPr>
      <w:r w:rsidRPr="00AC107A">
        <w:rPr>
          <w:lang w:val="en-CA"/>
        </w:rPr>
        <w:lastRenderedPageBreak/>
        <w:t>The Government of Liberia has been enforcing its HCFC import and export licensing and quota system and the HCFC consumption for 2019 of 0.78 ODP tonnes was 85 per cent below the HCFC baseline for compliance and 83.6 per cent below the maximum allowed consumption for 2019. The activities planned under the second tranche were implemented and achieved the targets set for the training of technicians and enforcement officers. The level of disbursement is 88 per cent of the funds approved so far. The activities planned under the third tranche will further strengthen the refrigeration servicing sector</w:t>
      </w:r>
      <w:r w:rsidR="000D2B60" w:rsidRPr="00AC107A">
        <w:rPr>
          <w:lang w:val="en-CA"/>
        </w:rPr>
        <w:t xml:space="preserve"> and sustain the HCFC </w:t>
      </w:r>
      <w:r w:rsidR="006270B7" w:rsidRPr="00AC107A">
        <w:rPr>
          <w:lang w:val="en-CA"/>
        </w:rPr>
        <w:t>phase-out achieved</w:t>
      </w:r>
      <w:r w:rsidR="000D2B60" w:rsidRPr="00AC107A">
        <w:rPr>
          <w:lang w:val="en-CA"/>
        </w:rPr>
        <w:t>.</w:t>
      </w:r>
      <w:r w:rsidRPr="00AC107A">
        <w:rPr>
          <w:lang w:val="en-CA"/>
        </w:rPr>
        <w:t xml:space="preserve"> The country will complete stage I of the HPMP in accordance with the Agreement with the Executive Committee and plans to submit its stage II of the HPMP in 2021. Furthermore, the funding for the verification of stage I of the HPMP was requested at the 85</w:t>
      </w:r>
      <w:r w:rsidRPr="00AC107A">
        <w:rPr>
          <w:vertAlign w:val="superscript"/>
          <w:lang w:val="en-CA"/>
        </w:rPr>
        <w:t>th</w:t>
      </w:r>
      <w:r w:rsidRPr="00AC107A">
        <w:rPr>
          <w:lang w:val="en-CA"/>
        </w:rPr>
        <w:t> meeting.</w:t>
      </w:r>
    </w:p>
    <w:p w14:paraId="318008CF" w14:textId="77777777" w:rsidR="00D24A18" w:rsidRPr="00AC107A" w:rsidRDefault="00D24A18" w:rsidP="00D24A18">
      <w:pPr>
        <w:rPr>
          <w:lang w:val="en-CA"/>
        </w:rPr>
      </w:pPr>
      <w:r w:rsidRPr="00AC107A">
        <w:rPr>
          <w:b/>
          <w:lang w:val="en-CA"/>
        </w:rPr>
        <w:t xml:space="preserve">RECOMMENDATION </w:t>
      </w:r>
    </w:p>
    <w:p w14:paraId="17DEBEA6" w14:textId="77777777" w:rsidR="00D24A18" w:rsidRPr="00AC107A" w:rsidRDefault="00D24A18" w:rsidP="00D24A18">
      <w:pPr>
        <w:rPr>
          <w:lang w:val="en-CA"/>
        </w:rPr>
      </w:pPr>
    </w:p>
    <w:p w14:paraId="5744AACA" w14:textId="77777777" w:rsidR="00D24A18" w:rsidRPr="00AC107A" w:rsidRDefault="00D24A18" w:rsidP="00D106C4">
      <w:pPr>
        <w:pStyle w:val="Heading1"/>
        <w:rPr>
          <w:lang w:val="en-CA"/>
        </w:rPr>
      </w:pPr>
      <w:r w:rsidRPr="00AC107A">
        <w:rPr>
          <w:lang w:val="en-CA"/>
        </w:rPr>
        <w:t xml:space="preserve">The Fund Secretariat recommends that the Executive Committee takes note of the progress report on the implementation of the </w:t>
      </w:r>
      <w:r w:rsidR="006270B7" w:rsidRPr="00AC107A">
        <w:rPr>
          <w:lang w:val="en-CA"/>
        </w:rPr>
        <w:t xml:space="preserve">second </w:t>
      </w:r>
      <w:r w:rsidRPr="00AC107A">
        <w:rPr>
          <w:lang w:val="en-CA"/>
        </w:rPr>
        <w:t xml:space="preserve">tranche of stage I of the HCFC phase-out management plan (HPMP) for Liberia; and further recommends blanket approval of the </w:t>
      </w:r>
      <w:r w:rsidR="006270B7" w:rsidRPr="00AC107A">
        <w:rPr>
          <w:lang w:val="en-CA"/>
        </w:rPr>
        <w:t xml:space="preserve">third </w:t>
      </w:r>
      <w:r w:rsidRPr="00AC107A">
        <w:rPr>
          <w:lang w:val="en-CA"/>
        </w:rPr>
        <w:t>and final tranche of stage I of the HPMP for Liberia, and the corresponding 2020-2021 tranche implementation plan, at the funding level shown in the table below, on the understanding that:</w:t>
      </w:r>
    </w:p>
    <w:p w14:paraId="0058E1FA" w14:textId="77777777" w:rsidR="00D24A18" w:rsidRPr="00AC107A" w:rsidRDefault="00D24A18" w:rsidP="00847463">
      <w:pPr>
        <w:pStyle w:val="Heading2"/>
        <w:keepNext/>
        <w:keepLines/>
        <w:rPr>
          <w:lang w:val="en-CA"/>
        </w:rPr>
      </w:pPr>
      <w:r w:rsidRPr="00AC107A">
        <w:rPr>
          <w:lang w:val="en-CA"/>
        </w:rPr>
        <w:t xml:space="preserve">The verification report for stage I </w:t>
      </w:r>
      <w:r w:rsidR="00E90137" w:rsidRPr="00AC107A">
        <w:rPr>
          <w:lang w:val="en-CA"/>
        </w:rPr>
        <w:t>w</w:t>
      </w:r>
      <w:r w:rsidRPr="00AC107A">
        <w:rPr>
          <w:lang w:val="en-CA"/>
        </w:rPr>
        <w:t xml:space="preserve">ould be submitted together with the request for stage II of the HPMP for Liberia and </w:t>
      </w:r>
      <w:r w:rsidR="00E90137" w:rsidRPr="00AC107A">
        <w:rPr>
          <w:lang w:val="en-CA"/>
        </w:rPr>
        <w:t>w</w:t>
      </w:r>
      <w:r w:rsidRPr="00AC107A">
        <w:rPr>
          <w:lang w:val="en-CA"/>
        </w:rPr>
        <w:t>ould cover the period</w:t>
      </w:r>
      <w:r w:rsidR="005F793D" w:rsidRPr="00AC107A">
        <w:rPr>
          <w:lang w:val="en-CA"/>
        </w:rPr>
        <w:t xml:space="preserve"> from</w:t>
      </w:r>
      <w:r w:rsidRPr="00AC107A">
        <w:rPr>
          <w:lang w:val="en-CA"/>
        </w:rPr>
        <w:t xml:space="preserve"> 20</w:t>
      </w:r>
      <w:r w:rsidR="0078795A" w:rsidRPr="00AC107A">
        <w:rPr>
          <w:lang w:val="en-CA"/>
        </w:rPr>
        <w:t>1</w:t>
      </w:r>
      <w:r w:rsidR="006270B7" w:rsidRPr="00AC107A">
        <w:rPr>
          <w:lang w:val="en-CA"/>
        </w:rPr>
        <w:t>5</w:t>
      </w:r>
      <w:r w:rsidRPr="00AC107A">
        <w:rPr>
          <w:lang w:val="en-CA"/>
        </w:rPr>
        <w:t xml:space="preserve"> to the year before the submission of stage II; and </w:t>
      </w:r>
      <w:bookmarkStart w:id="0" w:name="_GoBack"/>
      <w:bookmarkEnd w:id="0"/>
    </w:p>
    <w:p w14:paraId="6CE1D815" w14:textId="3D2E9459" w:rsidR="00D24A18" w:rsidRPr="00AC107A" w:rsidRDefault="00D24A18" w:rsidP="00D106C4">
      <w:pPr>
        <w:pStyle w:val="Heading2"/>
        <w:rPr>
          <w:lang w:val="en-CA"/>
        </w:rPr>
      </w:pPr>
      <w:r w:rsidRPr="00AC107A">
        <w:rPr>
          <w:lang w:val="en-CA"/>
        </w:rPr>
        <w:t xml:space="preserve">In the </w:t>
      </w:r>
      <w:r w:rsidR="00E90137" w:rsidRPr="00AC107A">
        <w:rPr>
          <w:lang w:val="en-CA"/>
        </w:rPr>
        <w:t xml:space="preserve">unlikely </w:t>
      </w:r>
      <w:r w:rsidRPr="00AC107A">
        <w:rPr>
          <w:lang w:val="en-CA"/>
        </w:rPr>
        <w:t>event of Liberia’s non-compliance with the targets set in its Agreement with the Executive Committee for stage I of the HPMP, the penalty ap</w:t>
      </w:r>
      <w:r w:rsidR="00D106C4" w:rsidRPr="00AC107A">
        <w:rPr>
          <w:lang w:val="en-CA"/>
        </w:rPr>
        <w:t>plicable as per Appendix</w:t>
      </w:r>
      <w:r w:rsidR="00847463" w:rsidRPr="00AC107A">
        <w:rPr>
          <w:lang w:val="en-CA"/>
        </w:rPr>
        <w:t> </w:t>
      </w:r>
      <w:r w:rsidR="00D106C4" w:rsidRPr="00AC107A">
        <w:rPr>
          <w:lang w:val="en-CA"/>
        </w:rPr>
        <w:t>7</w:t>
      </w:r>
      <w:r w:rsidR="00D106C4" w:rsidRPr="00AC107A">
        <w:rPr>
          <w:lang w:val="en-CA"/>
        </w:rPr>
        <w:noBreakHyphen/>
      </w:r>
      <w:r w:rsidRPr="00AC107A">
        <w:rPr>
          <w:lang w:val="en-CA"/>
        </w:rPr>
        <w:t>A of the Agreement would be deducted from the eligible funding for its stage</w:t>
      </w:r>
      <w:r w:rsidR="00847463" w:rsidRPr="00AC107A">
        <w:rPr>
          <w:lang w:val="en-CA"/>
        </w:rPr>
        <w:t> </w:t>
      </w:r>
      <w:r w:rsidRPr="00AC107A">
        <w:rPr>
          <w:lang w:val="en-CA"/>
        </w:rPr>
        <w:t>II of the HPMP.</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528"/>
        <w:gridCol w:w="1528"/>
        <w:gridCol w:w="1529"/>
      </w:tblGrid>
      <w:tr w:rsidR="00AC107A" w:rsidRPr="00AC107A" w14:paraId="7A1A5D87" w14:textId="77777777" w:rsidTr="00504E94">
        <w:tc>
          <w:tcPr>
            <w:tcW w:w="540" w:type="dxa"/>
          </w:tcPr>
          <w:p w14:paraId="2F2B9A8A" w14:textId="77777777" w:rsidR="00D24A18" w:rsidRPr="00AC107A" w:rsidRDefault="00D24A18" w:rsidP="004D5FDF">
            <w:pPr>
              <w:jc w:val="center"/>
              <w:rPr>
                <w:b/>
                <w:bCs/>
                <w:sz w:val="20"/>
                <w:szCs w:val="20"/>
                <w:lang w:val="en-CA"/>
              </w:rPr>
            </w:pPr>
          </w:p>
        </w:tc>
        <w:tc>
          <w:tcPr>
            <w:tcW w:w="4320" w:type="dxa"/>
            <w:vAlign w:val="center"/>
          </w:tcPr>
          <w:p w14:paraId="36D45A34" w14:textId="77777777" w:rsidR="00D24A18" w:rsidRPr="00AC107A" w:rsidRDefault="00D24A18" w:rsidP="00504E94">
            <w:pPr>
              <w:jc w:val="left"/>
              <w:rPr>
                <w:b/>
                <w:bCs/>
                <w:sz w:val="20"/>
                <w:szCs w:val="20"/>
                <w:lang w:val="en-CA"/>
              </w:rPr>
            </w:pPr>
            <w:r w:rsidRPr="00AC107A">
              <w:rPr>
                <w:b/>
                <w:bCs/>
                <w:sz w:val="20"/>
                <w:szCs w:val="20"/>
                <w:lang w:val="en-CA"/>
              </w:rPr>
              <w:t>Project title</w:t>
            </w:r>
          </w:p>
        </w:tc>
        <w:tc>
          <w:tcPr>
            <w:tcW w:w="1528" w:type="dxa"/>
            <w:tcMar>
              <w:left w:w="29" w:type="dxa"/>
              <w:right w:w="29" w:type="dxa"/>
            </w:tcMar>
          </w:tcPr>
          <w:p w14:paraId="0B954DF7" w14:textId="77777777" w:rsidR="00D24A18" w:rsidRPr="00AC107A" w:rsidRDefault="00D24A18" w:rsidP="004D5FDF">
            <w:pPr>
              <w:jc w:val="center"/>
              <w:rPr>
                <w:b/>
                <w:bCs/>
                <w:sz w:val="20"/>
                <w:szCs w:val="20"/>
                <w:lang w:val="en-CA"/>
              </w:rPr>
            </w:pPr>
            <w:r w:rsidRPr="00AC107A">
              <w:rPr>
                <w:b/>
                <w:bCs/>
                <w:sz w:val="20"/>
                <w:szCs w:val="20"/>
                <w:lang w:val="en-CA"/>
              </w:rPr>
              <w:t>Project funding (</w:t>
            </w:r>
            <w:r w:rsidR="00504E94" w:rsidRPr="00AC107A">
              <w:rPr>
                <w:b/>
                <w:bCs/>
                <w:sz w:val="20"/>
                <w:szCs w:val="20"/>
                <w:lang w:val="en-CA"/>
              </w:rPr>
              <w:t>US $</w:t>
            </w:r>
            <w:r w:rsidRPr="00AC107A">
              <w:rPr>
                <w:b/>
                <w:bCs/>
                <w:sz w:val="20"/>
                <w:szCs w:val="20"/>
                <w:lang w:val="en-CA"/>
              </w:rPr>
              <w:t>)</w:t>
            </w:r>
          </w:p>
        </w:tc>
        <w:tc>
          <w:tcPr>
            <w:tcW w:w="1528" w:type="dxa"/>
            <w:tcMar>
              <w:left w:w="29" w:type="dxa"/>
              <w:right w:w="29" w:type="dxa"/>
            </w:tcMar>
          </w:tcPr>
          <w:p w14:paraId="79DCC4BC" w14:textId="77777777" w:rsidR="00D24A18" w:rsidRPr="00AC107A" w:rsidRDefault="00D24A18" w:rsidP="004D5FDF">
            <w:pPr>
              <w:jc w:val="center"/>
              <w:rPr>
                <w:b/>
                <w:bCs/>
                <w:sz w:val="20"/>
                <w:szCs w:val="20"/>
                <w:lang w:val="en-CA"/>
              </w:rPr>
            </w:pPr>
            <w:r w:rsidRPr="00AC107A">
              <w:rPr>
                <w:b/>
                <w:bCs/>
                <w:sz w:val="20"/>
                <w:szCs w:val="20"/>
                <w:lang w:val="en-CA"/>
              </w:rPr>
              <w:t>Support cost (</w:t>
            </w:r>
            <w:r w:rsidR="00504E94" w:rsidRPr="00AC107A">
              <w:rPr>
                <w:b/>
                <w:bCs/>
                <w:sz w:val="20"/>
                <w:szCs w:val="20"/>
                <w:lang w:val="en-CA"/>
              </w:rPr>
              <w:t>US $</w:t>
            </w:r>
            <w:r w:rsidRPr="00AC107A">
              <w:rPr>
                <w:b/>
                <w:bCs/>
                <w:sz w:val="20"/>
                <w:szCs w:val="20"/>
                <w:lang w:val="en-CA"/>
              </w:rPr>
              <w:t>)</w:t>
            </w:r>
          </w:p>
        </w:tc>
        <w:tc>
          <w:tcPr>
            <w:tcW w:w="1529" w:type="dxa"/>
            <w:tcMar>
              <w:left w:w="29" w:type="dxa"/>
              <w:right w:w="29" w:type="dxa"/>
            </w:tcMar>
          </w:tcPr>
          <w:p w14:paraId="25744F7E" w14:textId="77777777" w:rsidR="00D24A18" w:rsidRPr="00AC107A" w:rsidRDefault="00D24A18" w:rsidP="004D5FDF">
            <w:pPr>
              <w:jc w:val="center"/>
              <w:rPr>
                <w:b/>
                <w:bCs/>
                <w:sz w:val="20"/>
                <w:szCs w:val="20"/>
                <w:lang w:val="en-CA"/>
              </w:rPr>
            </w:pPr>
            <w:r w:rsidRPr="00AC107A">
              <w:rPr>
                <w:b/>
                <w:bCs/>
                <w:sz w:val="20"/>
                <w:szCs w:val="20"/>
                <w:lang w:val="en-CA"/>
              </w:rPr>
              <w:t>Implementing agency</w:t>
            </w:r>
          </w:p>
        </w:tc>
      </w:tr>
      <w:tr w:rsidR="00514BA4" w:rsidRPr="00AC107A" w14:paraId="14A1D0F9" w14:textId="77777777" w:rsidTr="00504E94">
        <w:tc>
          <w:tcPr>
            <w:tcW w:w="540" w:type="dxa"/>
          </w:tcPr>
          <w:p w14:paraId="6082EC31" w14:textId="77777777" w:rsidR="00D24A18" w:rsidRPr="00AC107A" w:rsidRDefault="00D24A18" w:rsidP="004D5FDF">
            <w:pPr>
              <w:rPr>
                <w:sz w:val="20"/>
                <w:szCs w:val="20"/>
                <w:lang w:val="en-CA"/>
              </w:rPr>
            </w:pPr>
            <w:r w:rsidRPr="00AC107A">
              <w:rPr>
                <w:sz w:val="20"/>
                <w:szCs w:val="20"/>
                <w:lang w:val="en-CA"/>
              </w:rPr>
              <w:t>(a)</w:t>
            </w:r>
          </w:p>
        </w:tc>
        <w:tc>
          <w:tcPr>
            <w:tcW w:w="4320" w:type="dxa"/>
          </w:tcPr>
          <w:p w14:paraId="19AC003A" w14:textId="77777777" w:rsidR="00D24A18" w:rsidRPr="00AC107A" w:rsidRDefault="00D24A18" w:rsidP="004D5FDF">
            <w:pPr>
              <w:rPr>
                <w:sz w:val="20"/>
                <w:szCs w:val="20"/>
                <w:lang w:val="en-CA"/>
              </w:rPr>
            </w:pPr>
            <w:r w:rsidRPr="00AC107A">
              <w:rPr>
                <w:sz w:val="20"/>
                <w:szCs w:val="20"/>
                <w:lang w:val="en-CA"/>
              </w:rPr>
              <w:t>HCFC phase-out management plan (stage I, fourth tranche)</w:t>
            </w:r>
          </w:p>
        </w:tc>
        <w:tc>
          <w:tcPr>
            <w:tcW w:w="1528" w:type="dxa"/>
          </w:tcPr>
          <w:p w14:paraId="76915E2D" w14:textId="77777777" w:rsidR="00D24A18" w:rsidRPr="00AC107A" w:rsidRDefault="00D24A18" w:rsidP="004D5FDF">
            <w:pPr>
              <w:jc w:val="right"/>
              <w:rPr>
                <w:sz w:val="20"/>
                <w:szCs w:val="20"/>
                <w:lang w:val="en-CA"/>
              </w:rPr>
            </w:pPr>
            <w:r w:rsidRPr="00AC107A">
              <w:rPr>
                <w:sz w:val="20"/>
                <w:szCs w:val="20"/>
                <w:lang w:val="en-CA"/>
              </w:rPr>
              <w:t>31,500</w:t>
            </w:r>
          </w:p>
        </w:tc>
        <w:tc>
          <w:tcPr>
            <w:tcW w:w="1528" w:type="dxa"/>
          </w:tcPr>
          <w:p w14:paraId="41D6CB86" w14:textId="77777777" w:rsidR="00D24A18" w:rsidRPr="00AC107A" w:rsidRDefault="00D24A18" w:rsidP="004D5FDF">
            <w:pPr>
              <w:jc w:val="right"/>
              <w:rPr>
                <w:sz w:val="20"/>
                <w:szCs w:val="20"/>
                <w:lang w:val="en-CA"/>
              </w:rPr>
            </w:pPr>
            <w:r w:rsidRPr="00AC107A">
              <w:rPr>
                <w:sz w:val="20"/>
                <w:szCs w:val="20"/>
                <w:lang w:val="en-CA"/>
              </w:rPr>
              <w:t>4,095</w:t>
            </w:r>
          </w:p>
        </w:tc>
        <w:tc>
          <w:tcPr>
            <w:tcW w:w="1529" w:type="dxa"/>
          </w:tcPr>
          <w:p w14:paraId="684AB22A" w14:textId="77777777" w:rsidR="00D24A18" w:rsidRPr="00AC107A" w:rsidRDefault="00D24A18" w:rsidP="004D5FDF">
            <w:pPr>
              <w:jc w:val="center"/>
              <w:rPr>
                <w:sz w:val="20"/>
                <w:szCs w:val="20"/>
                <w:lang w:val="en-CA"/>
              </w:rPr>
            </w:pPr>
            <w:r w:rsidRPr="00AC107A">
              <w:rPr>
                <w:sz w:val="20"/>
                <w:szCs w:val="20"/>
                <w:lang w:val="en-CA"/>
              </w:rPr>
              <w:t>Germany</w:t>
            </w:r>
          </w:p>
        </w:tc>
      </w:tr>
    </w:tbl>
    <w:p w14:paraId="1EDAA086" w14:textId="77777777" w:rsidR="00D24A18" w:rsidRPr="00AC107A" w:rsidRDefault="00D24A18" w:rsidP="00D24A18">
      <w:pPr>
        <w:pStyle w:val="Title1"/>
        <w:jc w:val="both"/>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514BA4" w:rsidRPr="00AC107A" w14:paraId="5C26D252" w14:textId="77777777" w:rsidTr="00D24A18">
        <w:tc>
          <w:tcPr>
            <w:tcW w:w="1871" w:type="dxa"/>
          </w:tcPr>
          <w:p w14:paraId="444CF3C5" w14:textId="77777777" w:rsidR="00E85409" w:rsidRPr="00AC107A" w:rsidRDefault="00E85409" w:rsidP="004D5FDF">
            <w:pPr>
              <w:rPr>
                <w:lang w:val="en-CA"/>
              </w:rPr>
            </w:pPr>
          </w:p>
        </w:tc>
        <w:tc>
          <w:tcPr>
            <w:tcW w:w="1872" w:type="dxa"/>
          </w:tcPr>
          <w:p w14:paraId="5730A428" w14:textId="77777777" w:rsidR="00E85409" w:rsidRPr="00AC107A" w:rsidRDefault="00E85409" w:rsidP="004D5FDF">
            <w:pPr>
              <w:rPr>
                <w:lang w:val="en-CA"/>
              </w:rPr>
            </w:pPr>
          </w:p>
        </w:tc>
        <w:tc>
          <w:tcPr>
            <w:tcW w:w="1872" w:type="dxa"/>
            <w:tcBorders>
              <w:bottom w:val="single" w:sz="4" w:space="0" w:color="auto"/>
            </w:tcBorders>
          </w:tcPr>
          <w:p w14:paraId="00167956" w14:textId="77777777" w:rsidR="00E85409" w:rsidRPr="00AC107A" w:rsidRDefault="00E85409" w:rsidP="004D5FDF">
            <w:pPr>
              <w:rPr>
                <w:lang w:val="en-CA"/>
              </w:rPr>
            </w:pPr>
          </w:p>
        </w:tc>
        <w:tc>
          <w:tcPr>
            <w:tcW w:w="1872" w:type="dxa"/>
          </w:tcPr>
          <w:p w14:paraId="793993CF" w14:textId="77777777" w:rsidR="00E85409" w:rsidRPr="00AC107A" w:rsidRDefault="00E85409" w:rsidP="004D5FDF">
            <w:pPr>
              <w:rPr>
                <w:lang w:val="en-CA"/>
              </w:rPr>
            </w:pPr>
          </w:p>
        </w:tc>
        <w:tc>
          <w:tcPr>
            <w:tcW w:w="1873" w:type="dxa"/>
          </w:tcPr>
          <w:p w14:paraId="30E8558D" w14:textId="77777777" w:rsidR="00E85409" w:rsidRPr="00AC107A" w:rsidRDefault="00E85409" w:rsidP="004D5FDF">
            <w:pPr>
              <w:rPr>
                <w:lang w:val="en-CA"/>
              </w:rPr>
            </w:pPr>
          </w:p>
        </w:tc>
      </w:tr>
    </w:tbl>
    <w:p w14:paraId="585F744C" w14:textId="77777777" w:rsidR="00E85409" w:rsidRPr="00AC107A" w:rsidRDefault="00E85409" w:rsidP="004E7F9C">
      <w:pPr>
        <w:rPr>
          <w:lang w:val="en-CA"/>
        </w:rPr>
      </w:pPr>
    </w:p>
    <w:sectPr w:rsidR="00E85409" w:rsidRPr="00AC107A"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C21FD" w14:textId="77777777" w:rsidR="009409BE" w:rsidRDefault="009409BE" w:rsidP="004A504B">
      <w:r>
        <w:separator/>
      </w:r>
    </w:p>
  </w:endnote>
  <w:endnote w:type="continuationSeparator" w:id="0">
    <w:p w14:paraId="48B81651" w14:textId="77777777" w:rsidR="009409BE" w:rsidRDefault="009409B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80A2" w14:textId="42554B29" w:rsidR="00B028C4" w:rsidRPr="0033525D" w:rsidRDefault="00B028C4">
    <w:pPr>
      <w:jc w:val="center"/>
    </w:pPr>
    <w:r>
      <w:fldChar w:fldCharType="begin"/>
    </w:r>
    <w:r>
      <w:instrText xml:space="preserve"> PAGE </w:instrText>
    </w:r>
    <w:r>
      <w:fldChar w:fldCharType="separate"/>
    </w:r>
    <w:r w:rsidR="00AC107A">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6449" w14:textId="5C62798B" w:rsidR="00B028C4" w:rsidRPr="0033525D" w:rsidRDefault="00B028C4">
    <w:pPr>
      <w:jc w:val="center"/>
    </w:pPr>
    <w:r>
      <w:fldChar w:fldCharType="begin"/>
    </w:r>
    <w:r>
      <w:instrText xml:space="preserve"> PAGE </w:instrText>
    </w:r>
    <w:r>
      <w:fldChar w:fldCharType="separate"/>
    </w:r>
    <w:r w:rsidR="00AC107A">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5CD4" w14:textId="77777777" w:rsidR="00B028C4" w:rsidRDefault="00B028C4"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200F580" w14:textId="77777777" w:rsidR="00B028C4" w:rsidRDefault="00B028C4"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5F54" w14:textId="77777777" w:rsidR="009409BE" w:rsidRDefault="009409BE" w:rsidP="004A504B">
      <w:r>
        <w:separator/>
      </w:r>
    </w:p>
  </w:footnote>
  <w:footnote w:type="continuationSeparator" w:id="0">
    <w:p w14:paraId="702FD09C" w14:textId="77777777" w:rsidR="009409BE" w:rsidRDefault="009409BE" w:rsidP="004A504B">
      <w:r>
        <w:continuationSeparator/>
      </w:r>
    </w:p>
  </w:footnote>
  <w:footnote w:id="1">
    <w:p w14:paraId="2B394017" w14:textId="77777777" w:rsidR="00B028C4" w:rsidRPr="00F212FD" w:rsidRDefault="00B028C4" w:rsidP="00D24A18">
      <w:pPr>
        <w:pStyle w:val="FootnoteText"/>
        <w:rPr>
          <w:lang w:val="en-CA"/>
        </w:rPr>
      </w:pPr>
      <w:r w:rsidRPr="00F212FD">
        <w:rPr>
          <w:rStyle w:val="FootnoteReference"/>
        </w:rPr>
        <w:footnoteRef/>
      </w:r>
      <w:r w:rsidRPr="00F212FD">
        <w:t xml:space="preserve"> </w:t>
      </w:r>
      <w:r w:rsidRPr="00F212FD">
        <w:rPr>
          <w:lang w:val="en-CA"/>
        </w:rPr>
        <w:t>As per the letter of 27 March 2020 from the Environmental Protection Agency of Liberia to the Secretariat.</w:t>
      </w:r>
    </w:p>
  </w:footnote>
  <w:footnote w:id="2">
    <w:p w14:paraId="4E5C8467" w14:textId="77777777" w:rsidR="00B028C4" w:rsidRPr="00B31080" w:rsidRDefault="00B028C4">
      <w:pPr>
        <w:pStyle w:val="FootnoteText"/>
      </w:pPr>
      <w:r>
        <w:rPr>
          <w:rStyle w:val="FootnoteReference"/>
        </w:rPr>
        <w:footnoteRef/>
      </w:r>
      <w:r>
        <w:t xml:space="preserve"> Partially financed by the </w:t>
      </w:r>
      <w:r w:rsidRPr="00B31080">
        <w:t>Green Cooling Initiative, financed by the Government of Germany</w:t>
      </w:r>
      <w:r>
        <w:t xml:space="preserve"> outside the Multilateral Fund.</w:t>
      </w:r>
    </w:p>
  </w:footnote>
  <w:footnote w:id="3">
    <w:p w14:paraId="4E503949" w14:textId="77777777" w:rsidR="00B028C4" w:rsidRPr="007365D7" w:rsidRDefault="00B028C4">
      <w:pPr>
        <w:pStyle w:val="FootnoteText"/>
      </w:pPr>
      <w:r>
        <w:rPr>
          <w:rStyle w:val="FootnoteReference"/>
        </w:rPr>
        <w:footnoteRef/>
      </w:r>
      <w:r>
        <w:t xml:space="preserve"> S</w:t>
      </w:r>
      <w:r w:rsidRPr="007365D7">
        <w:t>pecifies the requirements for the safety of persons and property, provides guidance for the protection of the environment, and establishes procedures for the operation, maintenance, and repair of refrigerating systems and the recovery of refrigerants.</w:t>
      </w:r>
    </w:p>
  </w:footnote>
  <w:footnote w:id="4">
    <w:p w14:paraId="76B28580" w14:textId="77777777" w:rsidR="00B028C4" w:rsidRPr="00F212FD" w:rsidRDefault="00B028C4" w:rsidP="00D24A18">
      <w:pPr>
        <w:pStyle w:val="FootnoteText"/>
        <w:rPr>
          <w:lang w:val="en-CA"/>
        </w:rPr>
      </w:pPr>
      <w:r w:rsidRPr="00F212FD">
        <w:rPr>
          <w:rStyle w:val="FootnoteReference"/>
        </w:rPr>
        <w:footnoteRef/>
      </w:r>
      <w:r w:rsidRPr="00F212FD">
        <w:t xml:space="preserve"> </w:t>
      </w:r>
      <w:r w:rsidRPr="00F212FD">
        <w:rPr>
          <w:lang w:val="en-CA"/>
        </w:rPr>
        <w:t>Decision 84/92(d) requested bilateral and implementing agencies to apply the operational policy on gender mainstreaming throughout the project cycle.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149C" w14:textId="77777777" w:rsidR="00B028C4" w:rsidRPr="0033525D" w:rsidRDefault="000F73C4">
    <w:r>
      <w:fldChar w:fldCharType="begin"/>
    </w:r>
    <w:r>
      <w:instrText xml:space="preserve"> DOCPROPERTY "Document number"  \* MERGEFORMAT </w:instrText>
    </w:r>
    <w:r>
      <w:fldChar w:fldCharType="separate"/>
    </w:r>
    <w:r w:rsidR="00B028C4">
      <w:t>UNEP/</w:t>
    </w:r>
    <w:proofErr w:type="spellStart"/>
    <w:r w:rsidR="00B028C4">
      <w:t>OzL.Pro</w:t>
    </w:r>
    <w:proofErr w:type="spellEnd"/>
    <w:r w:rsidR="00B028C4">
      <w:t>/</w:t>
    </w:r>
    <w:proofErr w:type="spellStart"/>
    <w:r w:rsidR="00B028C4">
      <w:t>ExCom</w:t>
    </w:r>
    <w:proofErr w:type="spellEnd"/>
    <w:r w:rsidR="00B028C4">
      <w:t>/85/35</w:t>
    </w:r>
    <w:r>
      <w:fldChar w:fldCharType="end"/>
    </w:r>
  </w:p>
  <w:p w14:paraId="15C27440" w14:textId="77777777" w:rsidR="00B028C4" w:rsidRPr="0033525D" w:rsidRDefault="00B028C4"/>
  <w:p w14:paraId="5FF26AFA" w14:textId="77777777" w:rsidR="00B028C4" w:rsidRPr="0033525D" w:rsidRDefault="00B028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22061" w14:textId="77777777" w:rsidR="00B028C4" w:rsidRPr="0033525D" w:rsidRDefault="000F73C4">
    <w:pPr>
      <w:jc w:val="right"/>
    </w:pPr>
    <w:r>
      <w:fldChar w:fldCharType="begin"/>
    </w:r>
    <w:r>
      <w:instrText xml:space="preserve"> DOCPROPERTY "Document number"  \* MERGEFORMAT </w:instrText>
    </w:r>
    <w:r>
      <w:fldChar w:fldCharType="separate"/>
    </w:r>
    <w:r w:rsidR="00B028C4">
      <w:t>UNEP/</w:t>
    </w:r>
    <w:proofErr w:type="spellStart"/>
    <w:r w:rsidR="00B028C4">
      <w:t>OzL.Pro</w:t>
    </w:r>
    <w:proofErr w:type="spellEnd"/>
    <w:r w:rsidR="00B028C4">
      <w:t>/</w:t>
    </w:r>
    <w:proofErr w:type="spellStart"/>
    <w:r w:rsidR="00B028C4">
      <w:t>ExCom</w:t>
    </w:r>
    <w:proofErr w:type="spellEnd"/>
    <w:r w:rsidR="00B028C4">
      <w:t>/85/35</w:t>
    </w:r>
    <w:r>
      <w:fldChar w:fldCharType="end"/>
    </w:r>
  </w:p>
  <w:p w14:paraId="72D10B2B" w14:textId="77777777" w:rsidR="00B028C4" w:rsidRPr="0033525D" w:rsidRDefault="00B028C4"/>
  <w:p w14:paraId="58A659F8" w14:textId="77777777" w:rsidR="00B028C4" w:rsidRPr="0033525D" w:rsidRDefault="00B02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328D750"/>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AD03A4"/>
    <w:rsid w:val="00000779"/>
    <w:rsid w:val="00000FED"/>
    <w:rsid w:val="0000434E"/>
    <w:rsid w:val="000211A9"/>
    <w:rsid w:val="00031260"/>
    <w:rsid w:val="0003681A"/>
    <w:rsid w:val="000372B7"/>
    <w:rsid w:val="00045AF0"/>
    <w:rsid w:val="00050F6E"/>
    <w:rsid w:val="00061EC2"/>
    <w:rsid w:val="00080ED0"/>
    <w:rsid w:val="00085B8F"/>
    <w:rsid w:val="00090481"/>
    <w:rsid w:val="000A3826"/>
    <w:rsid w:val="000A6C26"/>
    <w:rsid w:val="000D2B60"/>
    <w:rsid w:val="000D52A4"/>
    <w:rsid w:val="000E07BC"/>
    <w:rsid w:val="000F1CD4"/>
    <w:rsid w:val="000F4103"/>
    <w:rsid w:val="000F70A7"/>
    <w:rsid w:val="000F73C4"/>
    <w:rsid w:val="00113CCA"/>
    <w:rsid w:val="0012093A"/>
    <w:rsid w:val="00122F25"/>
    <w:rsid w:val="00130555"/>
    <w:rsid w:val="00132629"/>
    <w:rsid w:val="00135980"/>
    <w:rsid w:val="00163905"/>
    <w:rsid w:val="00164719"/>
    <w:rsid w:val="00166FC4"/>
    <w:rsid w:val="001677AC"/>
    <w:rsid w:val="001804EA"/>
    <w:rsid w:val="00190A61"/>
    <w:rsid w:val="001A3342"/>
    <w:rsid w:val="001A3E3D"/>
    <w:rsid w:val="001A7049"/>
    <w:rsid w:val="001B1E40"/>
    <w:rsid w:val="001B1EAC"/>
    <w:rsid w:val="001C764E"/>
    <w:rsid w:val="001E1052"/>
    <w:rsid w:val="001E21B1"/>
    <w:rsid w:val="001E2F93"/>
    <w:rsid w:val="001E4554"/>
    <w:rsid w:val="001E61E5"/>
    <w:rsid w:val="001F2159"/>
    <w:rsid w:val="0020415A"/>
    <w:rsid w:val="00210B8B"/>
    <w:rsid w:val="00214863"/>
    <w:rsid w:val="002156B4"/>
    <w:rsid w:val="00246E21"/>
    <w:rsid w:val="00253222"/>
    <w:rsid w:val="00262847"/>
    <w:rsid w:val="00275E98"/>
    <w:rsid w:val="00281BB2"/>
    <w:rsid w:val="00284E89"/>
    <w:rsid w:val="002B254E"/>
    <w:rsid w:val="002B60ED"/>
    <w:rsid w:val="002B705C"/>
    <w:rsid w:val="002B72E9"/>
    <w:rsid w:val="002C7998"/>
    <w:rsid w:val="002F1E53"/>
    <w:rsid w:val="002F2CAA"/>
    <w:rsid w:val="0030002A"/>
    <w:rsid w:val="0030052C"/>
    <w:rsid w:val="003306E1"/>
    <w:rsid w:val="003320E4"/>
    <w:rsid w:val="0033525D"/>
    <w:rsid w:val="003414F3"/>
    <w:rsid w:val="0035613E"/>
    <w:rsid w:val="00363EE9"/>
    <w:rsid w:val="00376128"/>
    <w:rsid w:val="0037742E"/>
    <w:rsid w:val="00377D56"/>
    <w:rsid w:val="00380E5C"/>
    <w:rsid w:val="0038245A"/>
    <w:rsid w:val="003840E6"/>
    <w:rsid w:val="00385CFC"/>
    <w:rsid w:val="0039337A"/>
    <w:rsid w:val="003A3189"/>
    <w:rsid w:val="003A3CA7"/>
    <w:rsid w:val="003B33BD"/>
    <w:rsid w:val="003B569D"/>
    <w:rsid w:val="003C3C0E"/>
    <w:rsid w:val="003D42A6"/>
    <w:rsid w:val="003D4FAC"/>
    <w:rsid w:val="003D6545"/>
    <w:rsid w:val="003E7906"/>
    <w:rsid w:val="003F3C50"/>
    <w:rsid w:val="00406A6A"/>
    <w:rsid w:val="00406B22"/>
    <w:rsid w:val="004328A7"/>
    <w:rsid w:val="00434C74"/>
    <w:rsid w:val="00444075"/>
    <w:rsid w:val="0045319C"/>
    <w:rsid w:val="00456EB4"/>
    <w:rsid w:val="004718F3"/>
    <w:rsid w:val="00475040"/>
    <w:rsid w:val="00493D40"/>
    <w:rsid w:val="004967B6"/>
    <w:rsid w:val="004A504B"/>
    <w:rsid w:val="004A6911"/>
    <w:rsid w:val="004B0139"/>
    <w:rsid w:val="004B5331"/>
    <w:rsid w:val="004B54E0"/>
    <w:rsid w:val="004B7384"/>
    <w:rsid w:val="004C4269"/>
    <w:rsid w:val="004D5FDF"/>
    <w:rsid w:val="004D6236"/>
    <w:rsid w:val="004D7F90"/>
    <w:rsid w:val="004E4DBB"/>
    <w:rsid w:val="004E4E41"/>
    <w:rsid w:val="004E7F9C"/>
    <w:rsid w:val="004F3493"/>
    <w:rsid w:val="004F379F"/>
    <w:rsid w:val="004F5101"/>
    <w:rsid w:val="004F5143"/>
    <w:rsid w:val="004F7D0F"/>
    <w:rsid w:val="00504E94"/>
    <w:rsid w:val="00512B09"/>
    <w:rsid w:val="00514BA4"/>
    <w:rsid w:val="00515AD5"/>
    <w:rsid w:val="00533796"/>
    <w:rsid w:val="00537343"/>
    <w:rsid w:val="00555D75"/>
    <w:rsid w:val="00560DF0"/>
    <w:rsid w:val="00563C3F"/>
    <w:rsid w:val="0056759C"/>
    <w:rsid w:val="0059513E"/>
    <w:rsid w:val="005B48FF"/>
    <w:rsid w:val="005D363F"/>
    <w:rsid w:val="005F793D"/>
    <w:rsid w:val="00604C15"/>
    <w:rsid w:val="006158D5"/>
    <w:rsid w:val="00625D83"/>
    <w:rsid w:val="006270B7"/>
    <w:rsid w:val="00632DD2"/>
    <w:rsid w:val="00640155"/>
    <w:rsid w:val="006623E7"/>
    <w:rsid w:val="00662B80"/>
    <w:rsid w:val="00670F6C"/>
    <w:rsid w:val="006852C7"/>
    <w:rsid w:val="006852CE"/>
    <w:rsid w:val="006C1727"/>
    <w:rsid w:val="006C32FD"/>
    <w:rsid w:val="006C39CE"/>
    <w:rsid w:val="006D0FCC"/>
    <w:rsid w:val="006D21F5"/>
    <w:rsid w:val="006E193D"/>
    <w:rsid w:val="006E1FC3"/>
    <w:rsid w:val="0070616B"/>
    <w:rsid w:val="00706295"/>
    <w:rsid w:val="00706FDA"/>
    <w:rsid w:val="00711F9A"/>
    <w:rsid w:val="00713810"/>
    <w:rsid w:val="0071448C"/>
    <w:rsid w:val="007303A5"/>
    <w:rsid w:val="00730B3E"/>
    <w:rsid w:val="0073420B"/>
    <w:rsid w:val="007365D7"/>
    <w:rsid w:val="0074760E"/>
    <w:rsid w:val="00754837"/>
    <w:rsid w:val="00754ABA"/>
    <w:rsid w:val="00782654"/>
    <w:rsid w:val="0078795A"/>
    <w:rsid w:val="007A1546"/>
    <w:rsid w:val="007A228C"/>
    <w:rsid w:val="007A368E"/>
    <w:rsid w:val="007A5868"/>
    <w:rsid w:val="007B04CE"/>
    <w:rsid w:val="007B6871"/>
    <w:rsid w:val="007B7A2F"/>
    <w:rsid w:val="007C3D33"/>
    <w:rsid w:val="007D294A"/>
    <w:rsid w:val="007D47D2"/>
    <w:rsid w:val="007D6EC0"/>
    <w:rsid w:val="007D7E1D"/>
    <w:rsid w:val="00831979"/>
    <w:rsid w:val="00847463"/>
    <w:rsid w:val="00851352"/>
    <w:rsid w:val="00857077"/>
    <w:rsid w:val="00863230"/>
    <w:rsid w:val="008717D8"/>
    <w:rsid w:val="0087215C"/>
    <w:rsid w:val="00875D25"/>
    <w:rsid w:val="00880E35"/>
    <w:rsid w:val="008875FE"/>
    <w:rsid w:val="00887F8E"/>
    <w:rsid w:val="00896234"/>
    <w:rsid w:val="00897E43"/>
    <w:rsid w:val="008C5738"/>
    <w:rsid w:val="008C7EAD"/>
    <w:rsid w:val="008D0CFE"/>
    <w:rsid w:val="008D6152"/>
    <w:rsid w:val="008E7B33"/>
    <w:rsid w:val="008F0F81"/>
    <w:rsid w:val="008F27BF"/>
    <w:rsid w:val="009142EC"/>
    <w:rsid w:val="009154C3"/>
    <w:rsid w:val="00923540"/>
    <w:rsid w:val="00926767"/>
    <w:rsid w:val="009361D5"/>
    <w:rsid w:val="009409BE"/>
    <w:rsid w:val="009428A4"/>
    <w:rsid w:val="009659F4"/>
    <w:rsid w:val="00970D60"/>
    <w:rsid w:val="0099390E"/>
    <w:rsid w:val="00994601"/>
    <w:rsid w:val="009960E5"/>
    <w:rsid w:val="009A7ADC"/>
    <w:rsid w:val="009B3073"/>
    <w:rsid w:val="009C19B7"/>
    <w:rsid w:val="009C5ABB"/>
    <w:rsid w:val="009D7C51"/>
    <w:rsid w:val="009E1113"/>
    <w:rsid w:val="009E196C"/>
    <w:rsid w:val="009F36BF"/>
    <w:rsid w:val="00A111B6"/>
    <w:rsid w:val="00A23B66"/>
    <w:rsid w:val="00A26D27"/>
    <w:rsid w:val="00A376EE"/>
    <w:rsid w:val="00A42A99"/>
    <w:rsid w:val="00A5151A"/>
    <w:rsid w:val="00A57E0A"/>
    <w:rsid w:val="00A823F6"/>
    <w:rsid w:val="00A8719E"/>
    <w:rsid w:val="00AA0A89"/>
    <w:rsid w:val="00AA6429"/>
    <w:rsid w:val="00AC01AA"/>
    <w:rsid w:val="00AC107A"/>
    <w:rsid w:val="00AC4F72"/>
    <w:rsid w:val="00AD03A4"/>
    <w:rsid w:val="00AF741A"/>
    <w:rsid w:val="00B01ADB"/>
    <w:rsid w:val="00B028C4"/>
    <w:rsid w:val="00B04152"/>
    <w:rsid w:val="00B04161"/>
    <w:rsid w:val="00B056F9"/>
    <w:rsid w:val="00B11E3D"/>
    <w:rsid w:val="00B156C5"/>
    <w:rsid w:val="00B17E82"/>
    <w:rsid w:val="00B31080"/>
    <w:rsid w:val="00B4575A"/>
    <w:rsid w:val="00B575BA"/>
    <w:rsid w:val="00B71608"/>
    <w:rsid w:val="00B76429"/>
    <w:rsid w:val="00B956D4"/>
    <w:rsid w:val="00B97446"/>
    <w:rsid w:val="00BA7432"/>
    <w:rsid w:val="00BC1AA0"/>
    <w:rsid w:val="00BC2495"/>
    <w:rsid w:val="00BC7EB9"/>
    <w:rsid w:val="00BD2643"/>
    <w:rsid w:val="00BD56B1"/>
    <w:rsid w:val="00BD6558"/>
    <w:rsid w:val="00BE50DC"/>
    <w:rsid w:val="00BF2F76"/>
    <w:rsid w:val="00BF3022"/>
    <w:rsid w:val="00BF3214"/>
    <w:rsid w:val="00BF5573"/>
    <w:rsid w:val="00C15867"/>
    <w:rsid w:val="00C2296D"/>
    <w:rsid w:val="00C23155"/>
    <w:rsid w:val="00C275F8"/>
    <w:rsid w:val="00C40C41"/>
    <w:rsid w:val="00C45885"/>
    <w:rsid w:val="00C50AE6"/>
    <w:rsid w:val="00C50F22"/>
    <w:rsid w:val="00C57971"/>
    <w:rsid w:val="00C63A3C"/>
    <w:rsid w:val="00C65BD7"/>
    <w:rsid w:val="00C76BA4"/>
    <w:rsid w:val="00C83A48"/>
    <w:rsid w:val="00C85865"/>
    <w:rsid w:val="00C85E85"/>
    <w:rsid w:val="00CA2EAE"/>
    <w:rsid w:val="00CA4AC1"/>
    <w:rsid w:val="00CB0316"/>
    <w:rsid w:val="00CB0B11"/>
    <w:rsid w:val="00CB426A"/>
    <w:rsid w:val="00CB5354"/>
    <w:rsid w:val="00CC3C9E"/>
    <w:rsid w:val="00CC6A14"/>
    <w:rsid w:val="00CC70A3"/>
    <w:rsid w:val="00CD4442"/>
    <w:rsid w:val="00CD53C3"/>
    <w:rsid w:val="00CD574E"/>
    <w:rsid w:val="00CE4C22"/>
    <w:rsid w:val="00CE7E36"/>
    <w:rsid w:val="00CF41EC"/>
    <w:rsid w:val="00CF5D04"/>
    <w:rsid w:val="00D04DE4"/>
    <w:rsid w:val="00D063F1"/>
    <w:rsid w:val="00D106C4"/>
    <w:rsid w:val="00D14F22"/>
    <w:rsid w:val="00D24A18"/>
    <w:rsid w:val="00D4054A"/>
    <w:rsid w:val="00D4741C"/>
    <w:rsid w:val="00D57918"/>
    <w:rsid w:val="00D57E84"/>
    <w:rsid w:val="00D73DC6"/>
    <w:rsid w:val="00D74C1A"/>
    <w:rsid w:val="00D754C1"/>
    <w:rsid w:val="00D77393"/>
    <w:rsid w:val="00D77A35"/>
    <w:rsid w:val="00D81B3E"/>
    <w:rsid w:val="00D90C70"/>
    <w:rsid w:val="00D90E49"/>
    <w:rsid w:val="00D96ADE"/>
    <w:rsid w:val="00DA0CE2"/>
    <w:rsid w:val="00DA2DF6"/>
    <w:rsid w:val="00DC6A10"/>
    <w:rsid w:val="00DD5B7E"/>
    <w:rsid w:val="00DE657E"/>
    <w:rsid w:val="00DF4704"/>
    <w:rsid w:val="00DF4AE4"/>
    <w:rsid w:val="00E024AA"/>
    <w:rsid w:val="00E250F1"/>
    <w:rsid w:val="00E3550D"/>
    <w:rsid w:val="00E52838"/>
    <w:rsid w:val="00E614E0"/>
    <w:rsid w:val="00E66C21"/>
    <w:rsid w:val="00E73F7F"/>
    <w:rsid w:val="00E85409"/>
    <w:rsid w:val="00E90137"/>
    <w:rsid w:val="00E922DC"/>
    <w:rsid w:val="00EA065E"/>
    <w:rsid w:val="00EA429F"/>
    <w:rsid w:val="00EA4F9E"/>
    <w:rsid w:val="00EA63CA"/>
    <w:rsid w:val="00EA6D3B"/>
    <w:rsid w:val="00EB00AD"/>
    <w:rsid w:val="00EB136C"/>
    <w:rsid w:val="00EB480E"/>
    <w:rsid w:val="00EB5EC6"/>
    <w:rsid w:val="00EB5FC3"/>
    <w:rsid w:val="00EB7FC9"/>
    <w:rsid w:val="00ED27E8"/>
    <w:rsid w:val="00ED7137"/>
    <w:rsid w:val="00EF06EA"/>
    <w:rsid w:val="00F21088"/>
    <w:rsid w:val="00F212FD"/>
    <w:rsid w:val="00F327E7"/>
    <w:rsid w:val="00F35746"/>
    <w:rsid w:val="00F4130A"/>
    <w:rsid w:val="00F44716"/>
    <w:rsid w:val="00F447C7"/>
    <w:rsid w:val="00F4691B"/>
    <w:rsid w:val="00F5211B"/>
    <w:rsid w:val="00F554A9"/>
    <w:rsid w:val="00F716FD"/>
    <w:rsid w:val="00F80355"/>
    <w:rsid w:val="00F85660"/>
    <w:rsid w:val="00F87C43"/>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F4905"/>
  <w15:docId w15:val="{D6AF20BA-1290-4BA6-AA1D-FC5A7A30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D24A18"/>
    <w:pPr>
      <w:ind w:left="720"/>
      <w:contextualSpacing/>
    </w:pPr>
  </w:style>
  <w:style w:type="paragraph" w:styleId="FootnoteText">
    <w:name w:val="footnote text"/>
    <w:basedOn w:val="Normal"/>
    <w:link w:val="FootnoteTextChar"/>
    <w:uiPriority w:val="99"/>
    <w:semiHidden/>
    <w:unhideWhenUsed/>
    <w:rsid w:val="00D24A18"/>
    <w:rPr>
      <w:sz w:val="20"/>
      <w:szCs w:val="20"/>
    </w:rPr>
  </w:style>
  <w:style w:type="character" w:customStyle="1" w:styleId="FootnoteTextChar">
    <w:name w:val="Footnote Text Char"/>
    <w:basedOn w:val="DefaultParagraphFont"/>
    <w:link w:val="FootnoteText"/>
    <w:uiPriority w:val="99"/>
    <w:semiHidden/>
    <w:rsid w:val="00D24A18"/>
    <w:rPr>
      <w:lang w:val="en-GB"/>
    </w:rPr>
  </w:style>
  <w:style w:type="character" w:styleId="FootnoteReference">
    <w:name w:val="footnote reference"/>
    <w:basedOn w:val="DefaultParagraphFont"/>
    <w:uiPriority w:val="99"/>
    <w:semiHidden/>
    <w:unhideWhenUsed/>
    <w:rsid w:val="00D24A18"/>
    <w:rPr>
      <w:vertAlign w:val="superscript"/>
    </w:rPr>
  </w:style>
  <w:style w:type="character" w:customStyle="1" w:styleId="50f7">
    <w:name w:val="_50f7"/>
    <w:basedOn w:val="DefaultParagraphFont"/>
    <w:rsid w:val="00D2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667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C4716D3F019F488CE3B89D33B3E908" ma:contentTypeVersion="4" ma:contentTypeDescription="Create a new document." ma:contentTypeScope="" ma:versionID="45a0c8b828b22e603891381e90c22e1a">
  <xsd:schema xmlns:xsd="http://www.w3.org/2001/XMLSchema" xmlns:p="http://schemas.microsoft.com/office/2006/metadata/properties" xmlns:ns2="6b03d5a6-c642-4a08-93b6-965b66bfac2e" xmlns:ns3="64e33b30-101d-41de-b951-961aab25ea29" targetNamespace="http://schemas.microsoft.com/office/2006/metadata/properties" ma:root="true" ma:fieldsID="9ea923941b472cb1f56ee2421d6b039b"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UNEP/OzL.Pro/ExCom/85/35</Document_x0020_Number>
    <DocumentType xmlns="64e33b30-101d-41de-b951-961aab25ea29">Pre-session</DocumentType>
  </documentManagement>
</p:properties>
</file>

<file path=customXml/itemProps1.xml><?xml version="1.0" encoding="utf-8"?>
<ds:datastoreItem xmlns:ds="http://schemas.openxmlformats.org/officeDocument/2006/customXml" ds:itemID="{A4238B99-8B4F-4665-A165-A949ECB43CCA}"/>
</file>

<file path=customXml/itemProps2.xml><?xml version="1.0" encoding="utf-8"?>
<ds:datastoreItem xmlns:ds="http://schemas.openxmlformats.org/officeDocument/2006/customXml" ds:itemID="{4F5F8300-E495-4F48-A1C9-8EBD742F8829}"/>
</file>

<file path=customXml/itemProps3.xml><?xml version="1.0" encoding="utf-8"?>
<ds:datastoreItem xmlns:ds="http://schemas.openxmlformats.org/officeDocument/2006/customXml" ds:itemID="{80541D36-8C4C-4A21-94C9-704E0CA1D2B5}"/>
</file>

<file path=customXml/itemProps4.xml><?xml version="1.0" encoding="utf-8"?>
<ds:datastoreItem xmlns:ds="http://schemas.openxmlformats.org/officeDocument/2006/customXml" ds:itemID="{0948E325-2516-484F-86A5-CDB7ED23E421}"/>
</file>

<file path=docProps/app.xml><?xml version="1.0" encoding="utf-8"?>
<Properties xmlns="http://schemas.openxmlformats.org/officeDocument/2006/extended-properties" xmlns:vt="http://schemas.openxmlformats.org/officeDocument/2006/docPropsVTypes">
  <Template>Normal</Template>
  <TotalTime>4</TotalTime>
  <Pages>7</Pages>
  <Words>2211</Words>
  <Characters>12327</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Project proposal: Liberia</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Liberia</dc:title>
  <dc:creator>Muriel Aguiar</dc:creator>
  <cp:lastModifiedBy>Muriel Aguiar</cp:lastModifiedBy>
  <cp:revision>2</cp:revision>
  <cp:lastPrinted>2001-05-26T16:40:00Z</cp:lastPrinted>
  <dcterms:created xsi:type="dcterms:W3CDTF">2020-04-30T16:38:00Z</dcterms:created>
  <dcterms:modified xsi:type="dcterms:W3CDTF">2020-04-30T16:38:00Z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UNEP/OzL.Pro/ExCom/85/35</vt:lpwstr>
  </property>
  <property fmtid="{D5CDD505-2E9C-101B-9397-08002B2CF9AE}" pid="3" name="Revision date">
    <vt:lpwstr>04/30/2020</vt:lpwstr>
  </property>
  <property fmtid="{D5CDD505-2E9C-101B-9397-08002B2CF9AE}" pid="4" name="ContentTypeId">
    <vt:lpwstr>0x0101005EC4716D3F019F488CE3B89D33B3E908</vt:lpwstr>
  </property>
</Properties>
</file>