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2C1A1F" w:rsidTr="003B0597">
        <w:trPr>
          <w:trHeight w:val="720"/>
        </w:trPr>
        <w:tc>
          <w:tcPr>
            <w:tcW w:w="5490" w:type="dxa"/>
            <w:gridSpan w:val="2"/>
            <w:tcBorders>
              <w:bottom w:val="single" w:sz="18" w:space="0" w:color="auto"/>
            </w:tcBorders>
          </w:tcPr>
          <w:p w:rsidR="002C1A1F" w:rsidRPr="0000434E" w:rsidRDefault="002C1A1F" w:rsidP="003B0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2C1A1F" w:rsidRPr="00493D40" w:rsidRDefault="002C1A1F" w:rsidP="003B0597">
            <w:pPr>
              <w:jc w:val="right"/>
              <w:rPr>
                <w:sz w:val="52"/>
                <w:szCs w:val="52"/>
              </w:rPr>
            </w:pPr>
            <w:r>
              <w:rPr>
                <w:rFonts w:ascii="Univers Bold" w:hAnsi="Univers Bold"/>
                <w:b/>
                <w:sz w:val="72"/>
              </w:rPr>
              <w:t>EP</w:t>
            </w:r>
          </w:p>
        </w:tc>
      </w:tr>
      <w:tr w:rsidR="002C1A1F" w:rsidTr="003B0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2C1A1F" w:rsidRDefault="002C1A1F" w:rsidP="003B0597">
            <w:pPr>
              <w:spacing w:before="120"/>
            </w:pPr>
            <w:r>
              <w:rPr>
                <w:noProof/>
                <w:lang w:val="en-US"/>
              </w:rPr>
              <mc:AlternateContent>
                <mc:Choice Requires="wpg">
                  <w:drawing>
                    <wp:anchor distT="0" distB="0" distL="114300" distR="114300" simplePos="0" relativeHeight="251659264" behindDoc="0" locked="0" layoutInCell="1" allowOverlap="1" wp14:anchorId="1880395B" wp14:editId="0A252623">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185D3CF6"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rsidR="002C1A1F" w:rsidRDefault="002C1A1F" w:rsidP="003B0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2C1A1F" w:rsidRDefault="002C1A1F" w:rsidP="003B0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2C1A1F" w:rsidRDefault="002C1A1F" w:rsidP="003B0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2C1A1F" w:rsidRDefault="002C1A1F" w:rsidP="003B0597">
            <w:pPr>
              <w:spacing w:before="720"/>
              <w:ind w:left="158"/>
            </w:pPr>
          </w:p>
        </w:tc>
        <w:tc>
          <w:tcPr>
            <w:tcW w:w="4590" w:type="dxa"/>
            <w:tcBorders>
              <w:top w:val="nil"/>
              <w:left w:val="nil"/>
              <w:bottom w:val="single" w:sz="36" w:space="0" w:color="auto"/>
              <w:right w:val="nil"/>
            </w:tcBorders>
          </w:tcPr>
          <w:p w:rsidR="002C1A1F" w:rsidRPr="0033525D" w:rsidRDefault="002C1A1F" w:rsidP="003B0597">
            <w:r w:rsidRPr="0033525D">
              <w:t>Distr.</w:t>
            </w:r>
          </w:p>
          <w:p w:rsidR="002C1A1F" w:rsidRPr="0033525D" w:rsidRDefault="002C1A1F" w:rsidP="003B0597">
            <w:r w:rsidRPr="0033525D">
              <w:t>GENERAL</w:t>
            </w:r>
          </w:p>
          <w:p w:rsidR="002C1A1F" w:rsidRPr="0033525D" w:rsidRDefault="002C1A1F" w:rsidP="003B0597"/>
          <w:p w:rsidR="002C1A1F" w:rsidRPr="003F73BA" w:rsidRDefault="002C1A1F" w:rsidP="003B0597"/>
          <w:p w:rsidR="002C1A1F" w:rsidRPr="003F73BA" w:rsidRDefault="002C1A1F" w:rsidP="003B0597">
            <w:r>
              <w:fldChar w:fldCharType="begin"/>
            </w:r>
            <w:r>
              <w:instrText xml:space="preserve"> DOCPROPERTY "Document number"  \* MERGEFORMAT </w:instrText>
            </w:r>
            <w:r>
              <w:fldChar w:fldCharType="separate"/>
            </w:r>
            <w:r>
              <w:t>UNEP/OzL.Pro/ExCom/85/26</w:t>
            </w:r>
            <w:r>
              <w:fldChar w:fldCharType="end"/>
            </w:r>
          </w:p>
          <w:p w:rsidR="002C1A1F" w:rsidRPr="003F73BA" w:rsidRDefault="002C1A1F" w:rsidP="003B0597">
            <w:r>
              <w:fldChar w:fldCharType="begin"/>
            </w:r>
            <w:r>
              <w:instrText xml:space="preserve"> DOCPROPERTY "Revision date" \@ "d MMMM YYYY"  \* MERGEFORMAT </w:instrText>
            </w:r>
            <w:r>
              <w:fldChar w:fldCharType="separate"/>
            </w:r>
            <w:r>
              <w:t>24 April 2020</w:t>
            </w:r>
            <w:r>
              <w:fldChar w:fldCharType="end"/>
            </w:r>
          </w:p>
          <w:p w:rsidR="002C1A1F" w:rsidRPr="00000FED" w:rsidRDefault="002C1A1F" w:rsidP="003B0597">
            <w:pPr>
              <w:rPr>
                <w:caps/>
              </w:rPr>
            </w:pPr>
          </w:p>
          <w:p w:rsidR="002C1A1F" w:rsidRDefault="002C1A1F" w:rsidP="003B0597">
            <w:r w:rsidRPr="0033525D">
              <w:t>ORIGINAL: ENGLISH</w:t>
            </w:r>
          </w:p>
        </w:tc>
      </w:tr>
    </w:tbl>
    <w:p w:rsidR="002C1A1F" w:rsidRPr="00612F2F" w:rsidRDefault="002C1A1F" w:rsidP="002C1A1F">
      <w:pPr>
        <w:jc w:val="left"/>
      </w:pPr>
      <w:r w:rsidRPr="0033525D">
        <w:t>EXECUTIVE COMMITTEE OF</w:t>
      </w:r>
      <w:r w:rsidRPr="0033525D">
        <w:br/>
        <w:t xml:space="preserve">  THE MULTILATERAL FUND FOR THE</w:t>
      </w:r>
      <w:r w:rsidRPr="0033525D">
        <w:br/>
        <w:t xml:space="preserve">  IMPLEMENTATION OF THE MONTREAL PROTOCOL</w:t>
      </w:r>
      <w:r w:rsidRPr="0033525D">
        <w:br/>
      </w:r>
      <w:r>
        <w:rPr>
          <w:lang w:val="en-CA"/>
        </w:rPr>
        <w:t>Eighty-</w:t>
      </w:r>
      <w:r>
        <w:t>fifth</w:t>
      </w:r>
      <w:r>
        <w:rPr>
          <w:lang w:val="en-CA"/>
        </w:rPr>
        <w:t xml:space="preserve"> </w:t>
      </w:r>
      <w:r>
        <w:t>Meeting</w:t>
      </w:r>
    </w:p>
    <w:p w:rsidR="002C1A1F" w:rsidRPr="006C39CE" w:rsidRDefault="002C1A1F" w:rsidP="002C1A1F">
      <w:pPr>
        <w:jc w:val="left"/>
        <w:rPr>
          <w:lang w:val="en-CA"/>
        </w:rPr>
      </w:pPr>
      <w:r>
        <w:rPr>
          <w:lang w:val="en-CA"/>
        </w:rPr>
        <w:t>Montreal</w:t>
      </w:r>
      <w:r w:rsidRPr="00042E3E">
        <w:rPr>
          <w:lang w:val="en-CA"/>
        </w:rPr>
        <w:t xml:space="preserve">, </w:t>
      </w:r>
      <w:r>
        <w:rPr>
          <w:lang w:val="en-CA"/>
        </w:rPr>
        <w:t>25-</w:t>
      </w:r>
      <w:r w:rsidRPr="009C5ABB">
        <w:rPr>
          <w:lang w:val="en-CA"/>
        </w:rPr>
        <w:t>29 May 2020</w:t>
      </w:r>
    </w:p>
    <w:p w:rsidR="002C1A1F" w:rsidRDefault="002C1A1F" w:rsidP="002C1A1F">
      <w:pPr>
        <w:jc w:val="left"/>
        <w:rPr>
          <w:lang w:val="en-US"/>
        </w:rPr>
      </w:pPr>
      <w:r w:rsidRPr="002C1A1F">
        <w:rPr>
          <w:lang w:val="en-US"/>
        </w:rPr>
        <w:t>Postponed to 19-22 July 2020*</w:t>
      </w:r>
    </w:p>
    <w:p w:rsidR="002C1A1F" w:rsidRPr="00765DE4" w:rsidRDefault="002C1A1F" w:rsidP="002C1A1F">
      <w:pPr>
        <w:jc w:val="left"/>
        <w:rPr>
          <w:lang w:val="en-US"/>
        </w:rPr>
      </w:pPr>
    </w:p>
    <w:p w:rsidR="00F205F9" w:rsidRPr="002C1A1F" w:rsidRDefault="00F205F9" w:rsidP="008179F2">
      <w:pPr>
        <w:rPr>
          <w:lang w:val="en-US"/>
        </w:rPr>
      </w:pPr>
    </w:p>
    <w:p w:rsidR="00D54581" w:rsidRPr="00A77369" w:rsidRDefault="00D54581" w:rsidP="008179F2">
      <w:pPr>
        <w:tabs>
          <w:tab w:val="left" w:pos="8280"/>
        </w:tabs>
        <w:rPr>
          <w:lang w:val="en-CA"/>
        </w:rPr>
      </w:pPr>
    </w:p>
    <w:p w:rsidR="00D54581" w:rsidRPr="00A77369" w:rsidRDefault="00D54581" w:rsidP="008179F2">
      <w:pPr>
        <w:jc w:val="center"/>
        <w:rPr>
          <w:b/>
          <w:lang w:val="en-CA"/>
        </w:rPr>
      </w:pPr>
      <w:r w:rsidRPr="00A77369">
        <w:rPr>
          <w:b/>
          <w:lang w:val="en-CA"/>
        </w:rPr>
        <w:t xml:space="preserve">PROJECT PROPOSAL: </w:t>
      </w:r>
      <w:r w:rsidR="008179F2" w:rsidRPr="00A77369">
        <w:rPr>
          <w:b/>
          <w:lang w:val="en-CA"/>
        </w:rPr>
        <w:t>ETHIOPIA</w:t>
      </w:r>
    </w:p>
    <w:p w:rsidR="00D54581" w:rsidRPr="00A77369" w:rsidRDefault="00D54581" w:rsidP="008179F2">
      <w:pPr>
        <w:rPr>
          <w:lang w:val="en-CA"/>
        </w:rPr>
      </w:pPr>
    </w:p>
    <w:p w:rsidR="00D54581" w:rsidRPr="00A77369" w:rsidRDefault="00D54581" w:rsidP="008179F2">
      <w:pPr>
        <w:rPr>
          <w:lang w:val="en-CA"/>
        </w:rPr>
      </w:pPr>
    </w:p>
    <w:p w:rsidR="00D54581" w:rsidRPr="00A77369" w:rsidRDefault="00D54581" w:rsidP="008179F2">
      <w:pPr>
        <w:ind w:firstLine="720"/>
        <w:rPr>
          <w:lang w:val="en-CA"/>
        </w:rPr>
      </w:pPr>
      <w:r w:rsidRPr="00A77369">
        <w:rPr>
          <w:lang w:val="en-CA"/>
        </w:rPr>
        <w:t xml:space="preserve">This document consists of the comments and recommendation of the Secretariat on the following project proposal: </w:t>
      </w:r>
    </w:p>
    <w:p w:rsidR="00D54581" w:rsidRPr="00A77369" w:rsidRDefault="00D54581" w:rsidP="008179F2">
      <w:pPr>
        <w:rPr>
          <w:lang w:val="en-CA"/>
        </w:rPr>
      </w:pPr>
    </w:p>
    <w:p w:rsidR="00D54581" w:rsidRPr="00A77369" w:rsidRDefault="00D54581" w:rsidP="008179F2">
      <w:pPr>
        <w:rPr>
          <w:u w:val="single"/>
          <w:lang w:val="en-CA"/>
        </w:rPr>
      </w:pPr>
      <w:r w:rsidRPr="00A77369">
        <w:rPr>
          <w:u w:val="single"/>
          <w:lang w:val="en-CA"/>
        </w:rPr>
        <w:t>Phase-out</w:t>
      </w:r>
    </w:p>
    <w:p w:rsidR="00D54581" w:rsidRPr="00A77369" w:rsidRDefault="00D54581" w:rsidP="008179F2">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54581" w:rsidRPr="00A77369" w:rsidTr="008179F2">
        <w:tc>
          <w:tcPr>
            <w:tcW w:w="6941" w:type="dxa"/>
          </w:tcPr>
          <w:p w:rsidR="00D54581" w:rsidRPr="00A77369" w:rsidRDefault="00D54581" w:rsidP="00DE1435">
            <w:pPr>
              <w:pStyle w:val="ListParagraph"/>
              <w:numPr>
                <w:ilvl w:val="0"/>
                <w:numId w:val="21"/>
              </w:numPr>
              <w:ind w:hanging="830"/>
              <w:rPr>
                <w:lang w:val="en-CA"/>
              </w:rPr>
            </w:pPr>
            <w:r w:rsidRPr="00A77369">
              <w:rPr>
                <w:lang w:val="en-CA"/>
              </w:rPr>
              <w:t xml:space="preserve">HCFC phase-out management plan (stage I, </w:t>
            </w:r>
            <w:r w:rsidR="00DE1435" w:rsidRPr="00A77369">
              <w:rPr>
                <w:lang w:val="en-CA"/>
              </w:rPr>
              <w:t>third</w:t>
            </w:r>
            <w:r w:rsidRPr="00A77369">
              <w:rPr>
                <w:lang w:val="en-CA"/>
              </w:rPr>
              <w:t xml:space="preserve"> </w:t>
            </w:r>
            <w:r w:rsidR="00CC0336" w:rsidRPr="00A77369">
              <w:rPr>
                <w:lang w:val="en-CA"/>
              </w:rPr>
              <w:t xml:space="preserve">and final </w:t>
            </w:r>
            <w:r w:rsidRPr="00A77369">
              <w:rPr>
                <w:lang w:val="en-CA"/>
              </w:rPr>
              <w:t>tranche)</w:t>
            </w:r>
          </w:p>
        </w:tc>
        <w:tc>
          <w:tcPr>
            <w:tcW w:w="2409" w:type="dxa"/>
          </w:tcPr>
          <w:p w:rsidR="00D54581" w:rsidRPr="00A77369" w:rsidRDefault="00DE1435" w:rsidP="008179F2">
            <w:pPr>
              <w:jc w:val="right"/>
              <w:rPr>
                <w:lang w:val="en-CA"/>
              </w:rPr>
            </w:pPr>
            <w:r w:rsidRPr="00A77369">
              <w:rPr>
                <w:lang w:val="en-CA"/>
              </w:rPr>
              <w:t>UNEP and UNIDO</w:t>
            </w:r>
          </w:p>
        </w:tc>
      </w:tr>
    </w:tbl>
    <w:p w:rsidR="00D54581" w:rsidRPr="00A77369" w:rsidRDefault="00D54581" w:rsidP="008179F2">
      <w:pPr>
        <w:rPr>
          <w:lang w:val="en-CA"/>
        </w:rPr>
      </w:pPr>
    </w:p>
    <w:p w:rsidR="00D54581" w:rsidRPr="00A77369" w:rsidRDefault="00D54581" w:rsidP="008179F2">
      <w:pPr>
        <w:rPr>
          <w:lang w:val="en-CA"/>
        </w:rPr>
      </w:pPr>
    </w:p>
    <w:p w:rsidR="00D54581" w:rsidRPr="00A77369" w:rsidRDefault="00D54581"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8179F2">
      <w:pPr>
        <w:rPr>
          <w:lang w:val="en-CA"/>
        </w:rPr>
      </w:pPr>
    </w:p>
    <w:p w:rsidR="002C1A1F" w:rsidRDefault="002C1A1F" w:rsidP="002C1A1F">
      <w:pPr>
        <w:pStyle w:val="StyleHeader4Para4Left0Firstline0"/>
        <w:numPr>
          <w:ilvl w:val="0"/>
          <w:numId w:val="0"/>
        </w:numPr>
      </w:pPr>
      <w:r w:rsidRPr="002C1A1F">
        <w:t>* Due to coronavirus disease (COVID-19)</w:t>
      </w:r>
    </w:p>
    <w:p w:rsidR="00D54581" w:rsidRPr="00A77369" w:rsidRDefault="00D54581" w:rsidP="008179F2">
      <w:pPr>
        <w:rPr>
          <w:lang w:val="en-CA"/>
        </w:rPr>
      </w:pPr>
      <w:r w:rsidRPr="00A77369">
        <w:rPr>
          <w:lang w:val="en-CA"/>
        </w:rPr>
        <w:br w:type="page"/>
      </w:r>
    </w:p>
    <w:p w:rsidR="00DC4B10" w:rsidRDefault="00DC4B10" w:rsidP="008179F2">
      <w:pPr>
        <w:jc w:val="center"/>
        <w:rPr>
          <w:b/>
          <w:lang w:val="en-CA"/>
        </w:rPr>
      </w:pPr>
    </w:p>
    <w:p w:rsidR="00DC4B10" w:rsidRDefault="00DC4B10" w:rsidP="008179F2">
      <w:pPr>
        <w:jc w:val="center"/>
        <w:rPr>
          <w:b/>
          <w:lang w:val="en-CA"/>
        </w:rPr>
      </w:pPr>
    </w:p>
    <w:p w:rsidR="00D54581" w:rsidRPr="00A77369" w:rsidRDefault="00D54581" w:rsidP="008179F2">
      <w:pPr>
        <w:jc w:val="center"/>
        <w:rPr>
          <w:b/>
          <w:lang w:val="en-CA"/>
        </w:rPr>
      </w:pPr>
      <w:r w:rsidRPr="00A77369">
        <w:rPr>
          <w:b/>
          <w:lang w:val="en-CA"/>
        </w:rPr>
        <w:t>PROJECT EVALUATION SHEET – MULTI-YEAR PROJECTS</w:t>
      </w:r>
    </w:p>
    <w:p w:rsidR="00D54581" w:rsidRPr="00A77369" w:rsidRDefault="00D54581" w:rsidP="008179F2">
      <w:pPr>
        <w:jc w:val="center"/>
        <w:rPr>
          <w:lang w:val="en-CA"/>
        </w:rPr>
      </w:pPr>
    </w:p>
    <w:p w:rsidR="00D54581" w:rsidRPr="00A77369" w:rsidRDefault="008179F2" w:rsidP="008179F2">
      <w:pPr>
        <w:jc w:val="center"/>
        <w:rPr>
          <w:b/>
          <w:lang w:val="en-CA"/>
        </w:rPr>
      </w:pPr>
      <w:r w:rsidRPr="00A77369">
        <w:rPr>
          <w:b/>
          <w:lang w:val="en-CA"/>
        </w:rPr>
        <w:t>Ethiopia</w:t>
      </w:r>
    </w:p>
    <w:p w:rsidR="008179F2" w:rsidRPr="00A77369" w:rsidRDefault="008179F2" w:rsidP="008179F2">
      <w:pPr>
        <w:spacing w:after="80"/>
        <w:jc w:val="center"/>
        <w:rPr>
          <w:lang w:val="en-CA"/>
        </w:rPr>
      </w:pPr>
    </w:p>
    <w:tbl>
      <w:tblPr>
        <w:tblStyle w:val="TableGrid"/>
        <w:tblW w:w="1027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5"/>
        <w:gridCol w:w="2463"/>
        <w:gridCol w:w="2542"/>
        <w:gridCol w:w="2788"/>
      </w:tblGrid>
      <w:tr w:rsidR="008179F2" w:rsidRPr="00A77369" w:rsidTr="008179F2">
        <w:trPr>
          <w:trHeight w:val="240"/>
        </w:trPr>
        <w:tc>
          <w:tcPr>
            <w:tcW w:w="2485" w:type="dxa"/>
            <w:shd w:val="clear" w:color="auto" w:fill="auto"/>
          </w:tcPr>
          <w:p w:rsidR="008179F2" w:rsidRPr="00A77369" w:rsidRDefault="008179F2" w:rsidP="008179F2">
            <w:pPr>
              <w:spacing w:after="80"/>
              <w:jc w:val="left"/>
              <w:rPr>
                <w:b/>
                <w:sz w:val="18"/>
                <w:lang w:val="en-CA"/>
              </w:rPr>
            </w:pPr>
            <w:r w:rsidRPr="00A77369">
              <w:rPr>
                <w:b/>
                <w:sz w:val="18"/>
                <w:lang w:val="en-CA"/>
              </w:rPr>
              <w:t>(I) PROJECT TITLE</w:t>
            </w:r>
          </w:p>
        </w:tc>
        <w:tc>
          <w:tcPr>
            <w:tcW w:w="2463" w:type="dxa"/>
            <w:shd w:val="clear" w:color="auto" w:fill="auto"/>
          </w:tcPr>
          <w:p w:rsidR="008179F2" w:rsidRPr="00A77369" w:rsidRDefault="008179F2" w:rsidP="008179F2">
            <w:pPr>
              <w:spacing w:after="80"/>
              <w:jc w:val="center"/>
              <w:rPr>
                <w:b/>
                <w:sz w:val="18"/>
                <w:lang w:val="en-CA"/>
              </w:rPr>
            </w:pPr>
            <w:r w:rsidRPr="00A77369">
              <w:rPr>
                <w:b/>
                <w:sz w:val="18"/>
                <w:lang w:val="en-CA"/>
              </w:rPr>
              <w:t>AGENCY</w:t>
            </w:r>
          </w:p>
        </w:tc>
        <w:tc>
          <w:tcPr>
            <w:tcW w:w="2542" w:type="dxa"/>
            <w:shd w:val="clear" w:color="auto" w:fill="auto"/>
          </w:tcPr>
          <w:p w:rsidR="008179F2" w:rsidRPr="00A77369" w:rsidRDefault="008179F2" w:rsidP="008179F2">
            <w:pPr>
              <w:spacing w:after="80"/>
              <w:jc w:val="center"/>
              <w:rPr>
                <w:b/>
                <w:sz w:val="18"/>
                <w:lang w:val="en-CA"/>
              </w:rPr>
            </w:pPr>
            <w:r w:rsidRPr="00A77369">
              <w:rPr>
                <w:b/>
                <w:sz w:val="18"/>
                <w:lang w:val="en-CA"/>
              </w:rPr>
              <w:t>MEETING APPROVED</w:t>
            </w:r>
          </w:p>
        </w:tc>
        <w:tc>
          <w:tcPr>
            <w:tcW w:w="2788" w:type="dxa"/>
            <w:shd w:val="clear" w:color="auto" w:fill="auto"/>
          </w:tcPr>
          <w:p w:rsidR="008179F2" w:rsidRPr="00A77369" w:rsidRDefault="008179F2" w:rsidP="008179F2">
            <w:pPr>
              <w:spacing w:after="80"/>
              <w:jc w:val="center"/>
              <w:rPr>
                <w:b/>
                <w:sz w:val="18"/>
                <w:lang w:val="en-CA"/>
              </w:rPr>
            </w:pPr>
            <w:r w:rsidRPr="00A77369">
              <w:rPr>
                <w:b/>
                <w:sz w:val="18"/>
                <w:lang w:val="en-CA"/>
              </w:rPr>
              <w:t>CONTROL MEASURE</w:t>
            </w:r>
          </w:p>
        </w:tc>
      </w:tr>
      <w:tr w:rsidR="008179F2" w:rsidRPr="00A77369" w:rsidTr="008179F2">
        <w:trPr>
          <w:trHeight w:val="240"/>
        </w:trPr>
        <w:tc>
          <w:tcPr>
            <w:tcW w:w="2485" w:type="dxa"/>
            <w:shd w:val="clear" w:color="auto" w:fill="auto"/>
          </w:tcPr>
          <w:p w:rsidR="008179F2" w:rsidRPr="00A77369" w:rsidRDefault="008179F2" w:rsidP="00A70C8D">
            <w:pPr>
              <w:spacing w:after="80"/>
              <w:jc w:val="center"/>
              <w:rPr>
                <w:sz w:val="18"/>
                <w:lang w:val="en-CA"/>
              </w:rPr>
            </w:pPr>
            <w:r w:rsidRPr="00A77369">
              <w:rPr>
                <w:sz w:val="18"/>
                <w:lang w:val="en-CA"/>
              </w:rPr>
              <w:t>HCFC phase-out plan (</w:t>
            </w:r>
            <w:r w:rsidR="00A70C8D" w:rsidRPr="00A77369">
              <w:rPr>
                <w:sz w:val="18"/>
                <w:lang w:val="en-CA"/>
              </w:rPr>
              <w:t>s</w:t>
            </w:r>
            <w:r w:rsidRPr="00A77369">
              <w:rPr>
                <w:sz w:val="18"/>
                <w:lang w:val="en-CA"/>
              </w:rPr>
              <w:t>tage</w:t>
            </w:r>
            <w:r w:rsidR="00A70C8D" w:rsidRPr="00A77369">
              <w:rPr>
                <w:sz w:val="18"/>
                <w:lang w:val="en-CA"/>
              </w:rPr>
              <w:t> </w:t>
            </w:r>
            <w:r w:rsidRPr="00A77369">
              <w:rPr>
                <w:sz w:val="18"/>
                <w:lang w:val="en-CA"/>
              </w:rPr>
              <w:t>I)</w:t>
            </w:r>
          </w:p>
        </w:tc>
        <w:tc>
          <w:tcPr>
            <w:tcW w:w="2463" w:type="dxa"/>
            <w:shd w:val="clear" w:color="auto" w:fill="auto"/>
          </w:tcPr>
          <w:p w:rsidR="008179F2" w:rsidRPr="00A77369" w:rsidRDefault="008179F2" w:rsidP="008179F2">
            <w:pPr>
              <w:spacing w:after="80"/>
              <w:jc w:val="center"/>
              <w:rPr>
                <w:sz w:val="18"/>
                <w:lang w:val="en-CA"/>
              </w:rPr>
            </w:pPr>
            <w:r w:rsidRPr="00A77369">
              <w:rPr>
                <w:sz w:val="18"/>
                <w:lang w:val="en-CA"/>
              </w:rPr>
              <w:t>UNEP (lead), UNIDO</w:t>
            </w:r>
          </w:p>
        </w:tc>
        <w:tc>
          <w:tcPr>
            <w:tcW w:w="2542" w:type="dxa"/>
            <w:shd w:val="clear" w:color="auto" w:fill="auto"/>
          </w:tcPr>
          <w:p w:rsidR="008179F2" w:rsidRPr="00A77369" w:rsidRDefault="008179F2" w:rsidP="008179F2">
            <w:pPr>
              <w:spacing w:after="80"/>
              <w:jc w:val="center"/>
              <w:rPr>
                <w:sz w:val="18"/>
                <w:lang w:val="en-CA"/>
              </w:rPr>
            </w:pPr>
            <w:r w:rsidRPr="00A77369">
              <w:rPr>
                <w:sz w:val="18"/>
                <w:lang w:val="en-CA"/>
              </w:rPr>
              <w:t>68th</w:t>
            </w:r>
          </w:p>
        </w:tc>
        <w:tc>
          <w:tcPr>
            <w:tcW w:w="2788" w:type="dxa"/>
            <w:shd w:val="clear" w:color="auto" w:fill="auto"/>
          </w:tcPr>
          <w:p w:rsidR="008179F2" w:rsidRPr="00A77369" w:rsidRDefault="008179F2" w:rsidP="008179F2">
            <w:pPr>
              <w:spacing w:after="80"/>
              <w:jc w:val="center"/>
              <w:rPr>
                <w:sz w:val="18"/>
                <w:lang w:val="en-CA"/>
              </w:rPr>
            </w:pPr>
            <w:r w:rsidRPr="00A77369">
              <w:rPr>
                <w:sz w:val="18"/>
                <w:lang w:val="en-CA"/>
              </w:rPr>
              <w:t>35% by 2020</w:t>
            </w:r>
          </w:p>
        </w:tc>
      </w:tr>
    </w:tbl>
    <w:p w:rsidR="008179F2" w:rsidRPr="00A77369" w:rsidRDefault="008179F2" w:rsidP="008179F2">
      <w:pPr>
        <w:spacing w:after="60"/>
        <w:jc w:val="center"/>
        <w:rPr>
          <w:lang w:val="en-CA"/>
        </w:rPr>
      </w:pPr>
    </w:p>
    <w:tbl>
      <w:tblPr>
        <w:tblStyle w:val="TableGrid"/>
        <w:tblW w:w="1027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678"/>
      </w:tblGrid>
      <w:tr w:rsidR="008179F2" w:rsidRPr="00A77369" w:rsidTr="008179F2">
        <w:trPr>
          <w:trHeight w:val="240"/>
        </w:trPr>
        <w:tc>
          <w:tcPr>
            <w:tcW w:w="5200" w:type="dxa"/>
            <w:shd w:val="clear" w:color="auto" w:fill="auto"/>
          </w:tcPr>
          <w:p w:rsidR="008179F2" w:rsidRPr="00A77369" w:rsidRDefault="008179F2" w:rsidP="008179F2">
            <w:pPr>
              <w:spacing w:after="60"/>
              <w:jc w:val="left"/>
              <w:rPr>
                <w:b/>
                <w:sz w:val="18"/>
                <w:lang w:val="en-CA"/>
              </w:rPr>
            </w:pPr>
            <w:r w:rsidRPr="00A77369">
              <w:rPr>
                <w:b/>
                <w:sz w:val="18"/>
                <w:lang w:val="en-CA"/>
              </w:rPr>
              <w:t>(II) LATEST ARTICLE 7 DATA (Annex C Group l)</w:t>
            </w:r>
          </w:p>
        </w:tc>
        <w:tc>
          <w:tcPr>
            <w:tcW w:w="2400" w:type="dxa"/>
            <w:shd w:val="clear" w:color="auto" w:fill="auto"/>
          </w:tcPr>
          <w:p w:rsidR="008179F2" w:rsidRPr="00A77369" w:rsidRDefault="00DE1435" w:rsidP="008179F2">
            <w:pPr>
              <w:spacing w:after="60"/>
              <w:jc w:val="center"/>
              <w:rPr>
                <w:sz w:val="18"/>
                <w:lang w:val="en-CA"/>
              </w:rPr>
            </w:pPr>
            <w:r w:rsidRPr="00A77369">
              <w:rPr>
                <w:sz w:val="18"/>
                <w:lang w:val="en-CA"/>
              </w:rPr>
              <w:t>Year: 2018</w:t>
            </w:r>
          </w:p>
        </w:tc>
        <w:tc>
          <w:tcPr>
            <w:tcW w:w="2678" w:type="dxa"/>
            <w:shd w:val="clear" w:color="auto" w:fill="auto"/>
          </w:tcPr>
          <w:p w:rsidR="008179F2" w:rsidRPr="00A77369" w:rsidRDefault="00DE1435" w:rsidP="008179F2">
            <w:pPr>
              <w:spacing w:after="60"/>
              <w:jc w:val="right"/>
              <w:rPr>
                <w:sz w:val="18"/>
                <w:lang w:val="en-CA"/>
              </w:rPr>
            </w:pPr>
            <w:r w:rsidRPr="00A77369">
              <w:rPr>
                <w:sz w:val="18"/>
                <w:lang w:val="en-CA"/>
              </w:rPr>
              <w:t>3.96</w:t>
            </w:r>
            <w:r w:rsidR="008179F2" w:rsidRPr="00A77369">
              <w:rPr>
                <w:sz w:val="18"/>
                <w:lang w:val="en-CA"/>
              </w:rPr>
              <w:t xml:space="preserve"> (ODP tonnes)</w:t>
            </w:r>
          </w:p>
        </w:tc>
      </w:tr>
    </w:tbl>
    <w:p w:rsidR="008179F2" w:rsidRPr="00A77369" w:rsidRDefault="008179F2" w:rsidP="008179F2">
      <w:pPr>
        <w:spacing w:after="60"/>
        <w:jc w:val="center"/>
        <w:rPr>
          <w:lang w:val="en-CA"/>
        </w:rPr>
      </w:pPr>
    </w:p>
    <w:tbl>
      <w:tblPr>
        <w:tblStyle w:val="TableGrid"/>
        <w:tblW w:w="1027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992"/>
      </w:tblGrid>
      <w:tr w:rsidR="008179F2" w:rsidRPr="00A77369" w:rsidTr="008179F2">
        <w:trPr>
          <w:trHeight w:val="240"/>
        </w:trPr>
        <w:tc>
          <w:tcPr>
            <w:tcW w:w="0" w:type="auto"/>
            <w:gridSpan w:val="8"/>
            <w:shd w:val="clear" w:color="auto" w:fill="auto"/>
          </w:tcPr>
          <w:p w:rsidR="008179F2" w:rsidRPr="00A77369" w:rsidRDefault="008179F2" w:rsidP="008179F2">
            <w:pPr>
              <w:spacing w:after="60"/>
              <w:jc w:val="left"/>
              <w:rPr>
                <w:b/>
                <w:sz w:val="18"/>
                <w:lang w:val="en-CA"/>
              </w:rPr>
            </w:pPr>
            <w:r w:rsidRPr="00A77369">
              <w:rPr>
                <w:b/>
                <w:sz w:val="18"/>
                <w:lang w:val="en-CA"/>
              </w:rPr>
              <w:t>(III) LATEST COUNTRY PROGRAMME SECTORAL DATA (ODP tonnes)</w:t>
            </w:r>
          </w:p>
        </w:tc>
        <w:tc>
          <w:tcPr>
            <w:tcW w:w="2668" w:type="dxa"/>
            <w:gridSpan w:val="2"/>
            <w:shd w:val="clear" w:color="auto" w:fill="auto"/>
          </w:tcPr>
          <w:p w:rsidR="008179F2" w:rsidRPr="00A77369" w:rsidRDefault="008179F2" w:rsidP="00DE1435">
            <w:pPr>
              <w:spacing w:after="60"/>
              <w:jc w:val="right"/>
              <w:rPr>
                <w:b/>
                <w:sz w:val="18"/>
                <w:lang w:val="en-CA"/>
              </w:rPr>
            </w:pPr>
            <w:r w:rsidRPr="00A77369">
              <w:rPr>
                <w:b/>
                <w:sz w:val="18"/>
                <w:lang w:val="en-CA"/>
              </w:rPr>
              <w:t>Year: 201</w:t>
            </w:r>
            <w:r w:rsidR="00356C8C">
              <w:rPr>
                <w:b/>
                <w:sz w:val="18"/>
                <w:lang w:val="en-CA"/>
              </w:rPr>
              <w:t>9</w:t>
            </w:r>
          </w:p>
        </w:tc>
      </w:tr>
      <w:tr w:rsidR="008179F2" w:rsidRPr="00A77369" w:rsidTr="008179F2">
        <w:trPr>
          <w:trHeight w:val="240"/>
        </w:trPr>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Chemical</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Aerosol</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Foam</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Fire fighting</w:t>
            </w:r>
          </w:p>
        </w:tc>
        <w:tc>
          <w:tcPr>
            <w:tcW w:w="0" w:type="auto"/>
            <w:gridSpan w:val="2"/>
            <w:shd w:val="clear" w:color="auto" w:fill="auto"/>
          </w:tcPr>
          <w:p w:rsidR="008179F2" w:rsidRPr="00A77369" w:rsidRDefault="008179F2" w:rsidP="008179F2">
            <w:pPr>
              <w:spacing w:after="60"/>
              <w:jc w:val="center"/>
              <w:rPr>
                <w:sz w:val="18"/>
                <w:lang w:val="en-CA"/>
              </w:rPr>
            </w:pPr>
            <w:r w:rsidRPr="00A77369">
              <w:rPr>
                <w:sz w:val="18"/>
                <w:lang w:val="en-CA"/>
              </w:rPr>
              <w:t>Refrigeration</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Solvent</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Process agent</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Lab use</w:t>
            </w:r>
          </w:p>
        </w:tc>
        <w:tc>
          <w:tcPr>
            <w:tcW w:w="1992" w:type="dxa"/>
            <w:shd w:val="clear" w:color="auto" w:fill="auto"/>
          </w:tcPr>
          <w:p w:rsidR="008179F2" w:rsidRPr="00A77369" w:rsidRDefault="008179F2" w:rsidP="008179F2">
            <w:pPr>
              <w:spacing w:after="60"/>
              <w:jc w:val="center"/>
              <w:rPr>
                <w:sz w:val="18"/>
                <w:lang w:val="en-CA"/>
              </w:rPr>
            </w:pPr>
            <w:r w:rsidRPr="00A77369">
              <w:rPr>
                <w:sz w:val="18"/>
                <w:lang w:val="en-CA"/>
              </w:rPr>
              <w:t>Total sector consumption</w:t>
            </w:r>
          </w:p>
        </w:tc>
      </w:tr>
      <w:tr w:rsidR="008179F2" w:rsidRPr="00A77369" w:rsidTr="008179F2">
        <w:trPr>
          <w:trHeight w:val="240"/>
        </w:trPr>
        <w:tc>
          <w:tcPr>
            <w:tcW w:w="0" w:type="auto"/>
            <w:gridSpan w:val="4"/>
            <w:shd w:val="clear" w:color="auto" w:fill="auto"/>
          </w:tcPr>
          <w:p w:rsidR="008179F2" w:rsidRPr="00A77369" w:rsidRDefault="008179F2" w:rsidP="008179F2">
            <w:pPr>
              <w:spacing w:after="60"/>
              <w:jc w:val="center"/>
              <w:rPr>
                <w:sz w:val="18"/>
                <w:lang w:val="en-CA"/>
              </w:rPr>
            </w:pPr>
            <w:r w:rsidRPr="00A77369">
              <w:rPr>
                <w:sz w:val="18"/>
                <w:lang w:val="en-CA"/>
              </w:rPr>
              <w:t xml:space="preserve"> </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Manufacturing</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Servicing</w:t>
            </w:r>
          </w:p>
        </w:tc>
        <w:tc>
          <w:tcPr>
            <w:tcW w:w="4476" w:type="dxa"/>
            <w:gridSpan w:val="4"/>
            <w:shd w:val="clear" w:color="auto" w:fill="auto"/>
          </w:tcPr>
          <w:p w:rsidR="008179F2" w:rsidRPr="00A77369" w:rsidRDefault="008179F2" w:rsidP="008179F2">
            <w:pPr>
              <w:spacing w:after="60"/>
              <w:jc w:val="center"/>
              <w:rPr>
                <w:sz w:val="18"/>
                <w:lang w:val="en-CA"/>
              </w:rPr>
            </w:pPr>
          </w:p>
        </w:tc>
      </w:tr>
      <w:tr w:rsidR="008179F2" w:rsidRPr="00A77369" w:rsidTr="008179F2">
        <w:trPr>
          <w:trHeight w:val="240"/>
        </w:trPr>
        <w:tc>
          <w:tcPr>
            <w:tcW w:w="1200" w:type="dxa"/>
            <w:shd w:val="clear" w:color="auto" w:fill="auto"/>
          </w:tcPr>
          <w:p w:rsidR="008179F2" w:rsidRPr="00A77369" w:rsidRDefault="008179F2" w:rsidP="008179F2">
            <w:pPr>
              <w:spacing w:after="60"/>
              <w:jc w:val="left"/>
              <w:rPr>
                <w:sz w:val="18"/>
                <w:lang w:val="en-CA"/>
              </w:rPr>
            </w:pPr>
            <w:r w:rsidRPr="00A77369">
              <w:rPr>
                <w:sz w:val="18"/>
                <w:lang w:val="en-CA"/>
              </w:rPr>
              <w:t>HCFC-22</w:t>
            </w:r>
          </w:p>
        </w:tc>
        <w:tc>
          <w:tcPr>
            <w:tcW w:w="0" w:type="auto"/>
            <w:shd w:val="clear" w:color="auto" w:fill="auto"/>
          </w:tcPr>
          <w:p w:rsidR="008179F2" w:rsidRPr="00A77369" w:rsidRDefault="008179F2" w:rsidP="008179F2">
            <w:pPr>
              <w:spacing w:after="60"/>
              <w:jc w:val="right"/>
              <w:rPr>
                <w:sz w:val="18"/>
                <w:lang w:val="en-CA"/>
              </w:rPr>
            </w:pPr>
          </w:p>
        </w:tc>
        <w:tc>
          <w:tcPr>
            <w:tcW w:w="0" w:type="auto"/>
            <w:shd w:val="clear" w:color="auto" w:fill="auto"/>
          </w:tcPr>
          <w:p w:rsidR="008179F2" w:rsidRPr="00A77369" w:rsidRDefault="008179F2" w:rsidP="008179F2">
            <w:pPr>
              <w:spacing w:after="60"/>
              <w:jc w:val="right"/>
              <w:rPr>
                <w:sz w:val="18"/>
                <w:lang w:val="en-CA"/>
              </w:rPr>
            </w:pPr>
          </w:p>
        </w:tc>
        <w:tc>
          <w:tcPr>
            <w:tcW w:w="0" w:type="auto"/>
            <w:shd w:val="clear" w:color="auto" w:fill="auto"/>
          </w:tcPr>
          <w:p w:rsidR="008179F2" w:rsidRPr="00A77369" w:rsidRDefault="008179F2" w:rsidP="008179F2">
            <w:pPr>
              <w:spacing w:after="60"/>
              <w:jc w:val="right"/>
              <w:rPr>
                <w:sz w:val="18"/>
                <w:lang w:val="en-CA"/>
              </w:rPr>
            </w:pPr>
          </w:p>
        </w:tc>
        <w:tc>
          <w:tcPr>
            <w:tcW w:w="0" w:type="auto"/>
            <w:shd w:val="clear" w:color="auto" w:fill="auto"/>
          </w:tcPr>
          <w:p w:rsidR="008179F2" w:rsidRPr="00A77369" w:rsidRDefault="008179F2" w:rsidP="008179F2">
            <w:pPr>
              <w:spacing w:after="60"/>
              <w:jc w:val="right"/>
              <w:rPr>
                <w:sz w:val="18"/>
                <w:lang w:val="en-CA"/>
              </w:rPr>
            </w:pPr>
          </w:p>
        </w:tc>
        <w:tc>
          <w:tcPr>
            <w:tcW w:w="0" w:type="auto"/>
            <w:shd w:val="clear" w:color="auto" w:fill="auto"/>
          </w:tcPr>
          <w:p w:rsidR="008179F2" w:rsidRPr="00A77369" w:rsidRDefault="00356C8C" w:rsidP="008179F2">
            <w:pPr>
              <w:spacing w:after="60"/>
              <w:jc w:val="right"/>
              <w:rPr>
                <w:sz w:val="18"/>
                <w:lang w:val="en-CA"/>
              </w:rPr>
            </w:pPr>
            <w:r>
              <w:rPr>
                <w:sz w:val="18"/>
                <w:lang w:val="en-CA"/>
              </w:rPr>
              <w:t>3.53</w:t>
            </w:r>
          </w:p>
        </w:tc>
        <w:tc>
          <w:tcPr>
            <w:tcW w:w="0" w:type="auto"/>
            <w:shd w:val="clear" w:color="auto" w:fill="auto"/>
          </w:tcPr>
          <w:p w:rsidR="008179F2" w:rsidRPr="00A77369" w:rsidRDefault="008179F2" w:rsidP="008179F2">
            <w:pPr>
              <w:spacing w:after="60"/>
              <w:jc w:val="right"/>
              <w:rPr>
                <w:sz w:val="18"/>
                <w:lang w:val="en-CA"/>
              </w:rPr>
            </w:pPr>
          </w:p>
        </w:tc>
        <w:tc>
          <w:tcPr>
            <w:tcW w:w="0" w:type="auto"/>
            <w:shd w:val="clear" w:color="auto" w:fill="auto"/>
          </w:tcPr>
          <w:p w:rsidR="008179F2" w:rsidRPr="00A77369" w:rsidRDefault="008179F2" w:rsidP="008179F2">
            <w:pPr>
              <w:spacing w:after="60"/>
              <w:jc w:val="right"/>
              <w:rPr>
                <w:sz w:val="18"/>
                <w:lang w:val="en-CA"/>
              </w:rPr>
            </w:pPr>
          </w:p>
        </w:tc>
        <w:tc>
          <w:tcPr>
            <w:tcW w:w="0" w:type="auto"/>
            <w:shd w:val="clear" w:color="auto" w:fill="auto"/>
          </w:tcPr>
          <w:p w:rsidR="008179F2" w:rsidRPr="00A77369" w:rsidRDefault="008179F2" w:rsidP="008179F2">
            <w:pPr>
              <w:spacing w:after="60"/>
              <w:jc w:val="right"/>
              <w:rPr>
                <w:sz w:val="18"/>
                <w:lang w:val="en-CA"/>
              </w:rPr>
            </w:pPr>
          </w:p>
        </w:tc>
        <w:tc>
          <w:tcPr>
            <w:tcW w:w="1992" w:type="dxa"/>
            <w:shd w:val="clear" w:color="auto" w:fill="auto"/>
          </w:tcPr>
          <w:p w:rsidR="008179F2" w:rsidRPr="00A77369" w:rsidRDefault="00356C8C" w:rsidP="008179F2">
            <w:pPr>
              <w:spacing w:after="60"/>
              <w:jc w:val="right"/>
              <w:rPr>
                <w:sz w:val="18"/>
                <w:lang w:val="en-CA"/>
              </w:rPr>
            </w:pPr>
            <w:r>
              <w:rPr>
                <w:sz w:val="18"/>
                <w:lang w:val="en-CA"/>
              </w:rPr>
              <w:t>3.53</w:t>
            </w:r>
          </w:p>
        </w:tc>
      </w:tr>
    </w:tbl>
    <w:p w:rsidR="008179F2" w:rsidRPr="00A77369" w:rsidRDefault="008179F2" w:rsidP="008179F2">
      <w:pPr>
        <w:spacing w:after="60"/>
        <w:jc w:val="center"/>
        <w:rPr>
          <w:lang w:val="en-CA"/>
        </w:rPr>
      </w:pPr>
    </w:p>
    <w:tbl>
      <w:tblPr>
        <w:tblStyle w:val="TableGrid"/>
        <w:tblW w:w="1027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93"/>
        <w:gridCol w:w="777"/>
        <w:gridCol w:w="5506"/>
        <w:gridCol w:w="1402"/>
      </w:tblGrid>
      <w:tr w:rsidR="008179F2" w:rsidRPr="00A77369" w:rsidTr="008179F2">
        <w:trPr>
          <w:trHeight w:val="240"/>
        </w:trPr>
        <w:tc>
          <w:tcPr>
            <w:tcW w:w="10278" w:type="dxa"/>
            <w:gridSpan w:val="4"/>
            <w:shd w:val="clear" w:color="auto" w:fill="auto"/>
          </w:tcPr>
          <w:p w:rsidR="008179F2" w:rsidRPr="00A77369" w:rsidRDefault="008179F2" w:rsidP="008179F2">
            <w:pPr>
              <w:spacing w:after="60"/>
              <w:jc w:val="left"/>
              <w:rPr>
                <w:b/>
                <w:sz w:val="18"/>
                <w:lang w:val="en-CA"/>
              </w:rPr>
            </w:pPr>
            <w:r w:rsidRPr="00A77369">
              <w:rPr>
                <w:b/>
                <w:sz w:val="18"/>
                <w:lang w:val="en-CA"/>
              </w:rPr>
              <w:t>(IV) CONSUMPTION DATA (ODP tonnes)</w:t>
            </w:r>
          </w:p>
        </w:tc>
      </w:tr>
      <w:tr w:rsidR="008179F2" w:rsidRPr="00A77369" w:rsidTr="008179F2">
        <w:trPr>
          <w:trHeight w:val="240"/>
        </w:trPr>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2009 - 2010 baseline:</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5.5</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Starting point for sustained aggregate reductions:</w:t>
            </w:r>
          </w:p>
        </w:tc>
        <w:tc>
          <w:tcPr>
            <w:tcW w:w="958" w:type="dxa"/>
            <w:shd w:val="clear" w:color="auto" w:fill="auto"/>
          </w:tcPr>
          <w:p w:rsidR="008179F2" w:rsidRPr="00A77369" w:rsidRDefault="008179F2" w:rsidP="008179F2">
            <w:pPr>
              <w:spacing w:after="60"/>
              <w:jc w:val="right"/>
              <w:rPr>
                <w:sz w:val="18"/>
                <w:lang w:val="en-CA"/>
              </w:rPr>
            </w:pPr>
            <w:r w:rsidRPr="00A77369">
              <w:rPr>
                <w:sz w:val="18"/>
                <w:lang w:val="en-CA"/>
              </w:rPr>
              <w:t>5.5</w:t>
            </w:r>
          </w:p>
        </w:tc>
      </w:tr>
      <w:tr w:rsidR="008179F2" w:rsidRPr="00A77369" w:rsidTr="008179F2">
        <w:trPr>
          <w:trHeight w:val="240"/>
        </w:trPr>
        <w:tc>
          <w:tcPr>
            <w:tcW w:w="10278" w:type="dxa"/>
            <w:gridSpan w:val="4"/>
            <w:shd w:val="clear" w:color="auto" w:fill="auto"/>
          </w:tcPr>
          <w:p w:rsidR="008179F2" w:rsidRPr="00A77369" w:rsidRDefault="008179F2" w:rsidP="008179F2">
            <w:pPr>
              <w:spacing w:after="60"/>
              <w:jc w:val="center"/>
              <w:rPr>
                <w:b/>
                <w:sz w:val="18"/>
                <w:lang w:val="en-CA"/>
              </w:rPr>
            </w:pPr>
            <w:r w:rsidRPr="00A77369">
              <w:rPr>
                <w:b/>
                <w:sz w:val="18"/>
                <w:lang w:val="en-CA"/>
              </w:rPr>
              <w:t>CONSUMPTION ELIGIBLE FOR FUNDING (ODP tonnes)</w:t>
            </w:r>
          </w:p>
        </w:tc>
      </w:tr>
      <w:tr w:rsidR="008179F2" w:rsidRPr="00A77369" w:rsidTr="008179F2">
        <w:trPr>
          <w:trHeight w:val="240"/>
        </w:trPr>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Already approved:</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1.92</w:t>
            </w:r>
          </w:p>
        </w:tc>
        <w:tc>
          <w:tcPr>
            <w:tcW w:w="0" w:type="auto"/>
            <w:shd w:val="clear" w:color="auto" w:fill="auto"/>
          </w:tcPr>
          <w:p w:rsidR="008179F2" w:rsidRPr="00A77369" w:rsidRDefault="008179F2" w:rsidP="008179F2">
            <w:pPr>
              <w:spacing w:after="60"/>
              <w:jc w:val="center"/>
              <w:rPr>
                <w:sz w:val="18"/>
                <w:lang w:val="en-CA"/>
              </w:rPr>
            </w:pPr>
            <w:r w:rsidRPr="00A77369">
              <w:rPr>
                <w:sz w:val="18"/>
                <w:lang w:val="en-CA"/>
              </w:rPr>
              <w:t>Remaining:</w:t>
            </w:r>
          </w:p>
        </w:tc>
        <w:tc>
          <w:tcPr>
            <w:tcW w:w="958" w:type="dxa"/>
            <w:shd w:val="clear" w:color="auto" w:fill="auto"/>
          </w:tcPr>
          <w:p w:rsidR="008179F2" w:rsidRPr="00A77369" w:rsidRDefault="008179F2" w:rsidP="008179F2">
            <w:pPr>
              <w:spacing w:after="60"/>
              <w:jc w:val="right"/>
              <w:rPr>
                <w:sz w:val="18"/>
                <w:lang w:val="en-CA"/>
              </w:rPr>
            </w:pPr>
            <w:r w:rsidRPr="00A77369">
              <w:rPr>
                <w:sz w:val="18"/>
                <w:lang w:val="en-CA"/>
              </w:rPr>
              <w:t>3.58</w:t>
            </w:r>
          </w:p>
        </w:tc>
      </w:tr>
    </w:tbl>
    <w:p w:rsidR="008179F2" w:rsidRPr="00A77369" w:rsidRDefault="008179F2" w:rsidP="008179F2">
      <w:pPr>
        <w:spacing w:after="60"/>
        <w:jc w:val="center"/>
        <w:rPr>
          <w:lang w:val="en-CA"/>
        </w:rPr>
      </w:pPr>
    </w:p>
    <w:tbl>
      <w:tblPr>
        <w:tblStyle w:val="TableGrid"/>
        <w:tblW w:w="102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62"/>
        <w:gridCol w:w="2961"/>
        <w:gridCol w:w="6432"/>
      </w:tblGrid>
      <w:tr w:rsidR="008179F2" w:rsidRPr="00A77369" w:rsidTr="008179F2">
        <w:trPr>
          <w:trHeight w:val="240"/>
        </w:trPr>
        <w:tc>
          <w:tcPr>
            <w:tcW w:w="0" w:type="auto"/>
            <w:gridSpan w:val="2"/>
            <w:shd w:val="clear" w:color="auto" w:fill="auto"/>
          </w:tcPr>
          <w:p w:rsidR="008179F2" w:rsidRPr="00A77369" w:rsidRDefault="008179F2" w:rsidP="008179F2">
            <w:pPr>
              <w:spacing w:after="60"/>
              <w:jc w:val="left"/>
              <w:rPr>
                <w:b/>
                <w:sz w:val="18"/>
                <w:lang w:val="en-CA"/>
              </w:rPr>
            </w:pPr>
            <w:r w:rsidRPr="00A77369">
              <w:rPr>
                <w:b/>
                <w:sz w:val="18"/>
                <w:lang w:val="en-CA"/>
              </w:rPr>
              <w:t>(V) BUSINESS PLAN</w:t>
            </w:r>
          </w:p>
        </w:tc>
        <w:tc>
          <w:tcPr>
            <w:tcW w:w="6432" w:type="dxa"/>
            <w:shd w:val="clear" w:color="auto" w:fill="auto"/>
          </w:tcPr>
          <w:p w:rsidR="008179F2" w:rsidRPr="00A77369" w:rsidRDefault="008179F2" w:rsidP="008179F2">
            <w:pPr>
              <w:spacing w:after="60"/>
              <w:jc w:val="center"/>
              <w:rPr>
                <w:b/>
                <w:sz w:val="18"/>
                <w:lang w:val="en-CA"/>
              </w:rPr>
            </w:pPr>
            <w:r w:rsidRPr="00A77369">
              <w:rPr>
                <w:b/>
                <w:sz w:val="18"/>
                <w:lang w:val="en-CA"/>
              </w:rPr>
              <w:t>2020</w:t>
            </w:r>
          </w:p>
        </w:tc>
      </w:tr>
      <w:tr w:rsidR="008179F2" w:rsidRPr="00A77369" w:rsidTr="008179F2">
        <w:trPr>
          <w:trHeight w:val="240"/>
        </w:trPr>
        <w:tc>
          <w:tcPr>
            <w:tcW w:w="0" w:type="auto"/>
            <w:vMerge w:val="restart"/>
            <w:shd w:val="clear" w:color="auto" w:fill="auto"/>
          </w:tcPr>
          <w:p w:rsidR="008179F2" w:rsidRPr="00A77369" w:rsidRDefault="008179F2" w:rsidP="008179F2">
            <w:pPr>
              <w:spacing w:after="60"/>
              <w:jc w:val="center"/>
              <w:rPr>
                <w:sz w:val="18"/>
                <w:lang w:val="en-CA"/>
              </w:rPr>
            </w:pPr>
            <w:r w:rsidRPr="00A77369">
              <w:rPr>
                <w:sz w:val="18"/>
                <w:lang w:val="en-CA"/>
              </w:rPr>
              <w:t>UNEP</w:t>
            </w:r>
          </w:p>
        </w:tc>
        <w:tc>
          <w:tcPr>
            <w:tcW w:w="0" w:type="auto"/>
            <w:shd w:val="clear" w:color="auto" w:fill="auto"/>
          </w:tcPr>
          <w:p w:rsidR="008179F2" w:rsidRPr="00A77369" w:rsidRDefault="008179F2" w:rsidP="008179F2">
            <w:pPr>
              <w:spacing w:after="60"/>
              <w:jc w:val="left"/>
              <w:rPr>
                <w:sz w:val="18"/>
                <w:lang w:val="en-CA"/>
              </w:rPr>
            </w:pPr>
            <w:r w:rsidRPr="00A77369">
              <w:rPr>
                <w:sz w:val="18"/>
                <w:lang w:val="en-CA"/>
              </w:rPr>
              <w:t>ODS phase-out (ODP tonnes)</w:t>
            </w:r>
          </w:p>
        </w:tc>
        <w:tc>
          <w:tcPr>
            <w:tcW w:w="6432" w:type="dxa"/>
            <w:shd w:val="clear" w:color="auto" w:fill="auto"/>
          </w:tcPr>
          <w:p w:rsidR="008179F2" w:rsidRPr="00A77369" w:rsidRDefault="008179F2" w:rsidP="008179F2">
            <w:pPr>
              <w:spacing w:after="60"/>
              <w:jc w:val="right"/>
              <w:rPr>
                <w:sz w:val="18"/>
                <w:lang w:val="en-CA"/>
              </w:rPr>
            </w:pPr>
            <w:r w:rsidRPr="00A77369">
              <w:rPr>
                <w:sz w:val="18"/>
                <w:lang w:val="en-CA"/>
              </w:rPr>
              <w:t>0.21</w:t>
            </w:r>
          </w:p>
        </w:tc>
      </w:tr>
      <w:tr w:rsidR="008179F2" w:rsidRPr="00A77369" w:rsidTr="008179F2">
        <w:trPr>
          <w:trHeight w:val="240"/>
        </w:trPr>
        <w:tc>
          <w:tcPr>
            <w:tcW w:w="0" w:type="auto"/>
            <w:vMerge/>
            <w:shd w:val="clear" w:color="auto" w:fill="auto"/>
          </w:tcPr>
          <w:p w:rsidR="008179F2" w:rsidRPr="00A77369" w:rsidRDefault="008179F2" w:rsidP="008179F2">
            <w:pPr>
              <w:spacing w:after="60"/>
              <w:jc w:val="center"/>
              <w:rPr>
                <w:sz w:val="18"/>
                <w:lang w:val="en-CA"/>
              </w:rPr>
            </w:pPr>
          </w:p>
        </w:tc>
        <w:tc>
          <w:tcPr>
            <w:tcW w:w="0" w:type="auto"/>
            <w:shd w:val="clear" w:color="auto" w:fill="auto"/>
          </w:tcPr>
          <w:p w:rsidR="008179F2" w:rsidRPr="00A77369" w:rsidRDefault="008179F2" w:rsidP="008179F2">
            <w:pPr>
              <w:spacing w:after="60"/>
              <w:jc w:val="left"/>
              <w:rPr>
                <w:sz w:val="18"/>
                <w:lang w:val="en-CA"/>
              </w:rPr>
            </w:pPr>
            <w:r w:rsidRPr="00A77369">
              <w:rPr>
                <w:sz w:val="18"/>
                <w:lang w:val="en-CA"/>
              </w:rPr>
              <w:t>Funding (</w:t>
            </w:r>
            <w:r w:rsidR="008A55F2">
              <w:rPr>
                <w:sz w:val="18"/>
                <w:lang w:val="en-CA"/>
              </w:rPr>
              <w:t>US $</w:t>
            </w:r>
            <w:r w:rsidRPr="00A77369">
              <w:rPr>
                <w:sz w:val="18"/>
                <w:lang w:val="en-CA"/>
              </w:rPr>
              <w:t>)</w:t>
            </w:r>
          </w:p>
        </w:tc>
        <w:tc>
          <w:tcPr>
            <w:tcW w:w="6432" w:type="dxa"/>
            <w:shd w:val="clear" w:color="auto" w:fill="auto"/>
          </w:tcPr>
          <w:p w:rsidR="008179F2" w:rsidRPr="00A77369" w:rsidRDefault="008179F2" w:rsidP="008179F2">
            <w:pPr>
              <w:spacing w:after="60"/>
              <w:jc w:val="right"/>
              <w:rPr>
                <w:sz w:val="18"/>
                <w:lang w:val="en-CA"/>
              </w:rPr>
            </w:pPr>
            <w:r w:rsidRPr="00A77369">
              <w:rPr>
                <w:sz w:val="18"/>
                <w:lang w:val="en-CA"/>
              </w:rPr>
              <w:t>39,550</w:t>
            </w:r>
          </w:p>
        </w:tc>
      </w:tr>
    </w:tbl>
    <w:p w:rsidR="008179F2" w:rsidRPr="00A77369" w:rsidRDefault="008179F2" w:rsidP="008179F2">
      <w:pPr>
        <w:spacing w:after="60"/>
        <w:jc w:val="center"/>
        <w:rPr>
          <w:lang w:val="en-CA"/>
        </w:rPr>
      </w:pPr>
    </w:p>
    <w:tbl>
      <w:tblPr>
        <w:tblStyle w:val="TableGrid"/>
        <w:tblW w:w="1029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52"/>
        <w:gridCol w:w="809"/>
        <w:gridCol w:w="1259"/>
        <w:gridCol w:w="801"/>
        <w:gridCol w:w="576"/>
        <w:gridCol w:w="576"/>
        <w:gridCol w:w="576"/>
        <w:gridCol w:w="801"/>
        <w:gridCol w:w="576"/>
        <w:gridCol w:w="576"/>
        <w:gridCol w:w="576"/>
        <w:gridCol w:w="711"/>
        <w:gridCol w:w="801"/>
      </w:tblGrid>
      <w:tr w:rsidR="008179F2" w:rsidRPr="00A77369" w:rsidTr="008179F2">
        <w:tc>
          <w:tcPr>
            <w:tcW w:w="3720" w:type="dxa"/>
            <w:gridSpan w:val="3"/>
            <w:shd w:val="clear" w:color="auto" w:fill="auto"/>
          </w:tcPr>
          <w:p w:rsidR="008179F2" w:rsidRPr="00A77369" w:rsidRDefault="008179F2" w:rsidP="008179F2">
            <w:pPr>
              <w:spacing w:after="60"/>
              <w:jc w:val="left"/>
              <w:rPr>
                <w:b/>
                <w:sz w:val="18"/>
                <w:lang w:val="en-CA"/>
              </w:rPr>
            </w:pPr>
            <w:r w:rsidRPr="00A77369">
              <w:rPr>
                <w:b/>
                <w:sz w:val="18"/>
                <w:lang w:val="en-CA"/>
              </w:rPr>
              <w:t>(VI) PROJECT DATA</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2012</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2013</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2014</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2015</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2016</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2017</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2018</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2019</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2020</w:t>
            </w:r>
          </w:p>
        </w:tc>
        <w:tc>
          <w:tcPr>
            <w:tcW w:w="0" w:type="auto"/>
            <w:shd w:val="clear" w:color="auto" w:fill="auto"/>
          </w:tcPr>
          <w:p w:rsidR="008179F2" w:rsidRPr="00A77369" w:rsidRDefault="008179F2" w:rsidP="008179F2">
            <w:pPr>
              <w:spacing w:after="60"/>
              <w:jc w:val="center"/>
              <w:rPr>
                <w:b/>
                <w:sz w:val="18"/>
                <w:lang w:val="en-CA"/>
              </w:rPr>
            </w:pPr>
            <w:r w:rsidRPr="00A77369">
              <w:rPr>
                <w:b/>
                <w:sz w:val="18"/>
                <w:lang w:val="en-CA"/>
              </w:rPr>
              <w:t>Total</w:t>
            </w:r>
          </w:p>
        </w:tc>
      </w:tr>
      <w:tr w:rsidR="008179F2" w:rsidRPr="00A77369" w:rsidTr="008179F2">
        <w:tc>
          <w:tcPr>
            <w:tcW w:w="3720" w:type="dxa"/>
            <w:gridSpan w:val="3"/>
            <w:shd w:val="clear" w:color="auto" w:fill="auto"/>
          </w:tcPr>
          <w:p w:rsidR="008179F2" w:rsidRPr="00A77369" w:rsidRDefault="008179F2" w:rsidP="008179F2">
            <w:pPr>
              <w:spacing w:after="60"/>
              <w:jc w:val="left"/>
              <w:rPr>
                <w:sz w:val="18"/>
                <w:lang w:val="en-CA"/>
              </w:rPr>
            </w:pPr>
            <w:r w:rsidRPr="00A77369">
              <w:rPr>
                <w:sz w:val="18"/>
                <w:lang w:val="en-CA"/>
              </w:rPr>
              <w:t>Montreal Protocol consumption limits</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n/a</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5.5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5.5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3.58</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n/a</w:t>
            </w:r>
          </w:p>
        </w:tc>
      </w:tr>
      <w:tr w:rsidR="008179F2" w:rsidRPr="00A77369" w:rsidTr="008179F2">
        <w:tc>
          <w:tcPr>
            <w:tcW w:w="3720" w:type="dxa"/>
            <w:gridSpan w:val="3"/>
            <w:shd w:val="clear" w:color="auto" w:fill="auto"/>
          </w:tcPr>
          <w:p w:rsidR="008179F2" w:rsidRPr="00A77369" w:rsidRDefault="008179F2" w:rsidP="008179F2">
            <w:pPr>
              <w:spacing w:after="60"/>
              <w:jc w:val="left"/>
              <w:rPr>
                <w:sz w:val="18"/>
                <w:lang w:val="en-CA"/>
              </w:rPr>
            </w:pPr>
            <w:r w:rsidRPr="00A77369">
              <w:rPr>
                <w:sz w:val="18"/>
                <w:lang w:val="en-CA"/>
              </w:rPr>
              <w:t>Maximum allowable consumption (ODP tonnes)</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n/a</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5.5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5.5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4.95</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3.58</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n/a</w:t>
            </w:r>
          </w:p>
        </w:tc>
      </w:tr>
      <w:tr w:rsidR="008179F2" w:rsidRPr="00A77369" w:rsidTr="008179F2">
        <w:tc>
          <w:tcPr>
            <w:tcW w:w="1652" w:type="dxa"/>
            <w:vMerge w:val="restart"/>
            <w:shd w:val="clear" w:color="auto" w:fill="auto"/>
          </w:tcPr>
          <w:p w:rsidR="008179F2" w:rsidRPr="00A77369" w:rsidRDefault="008179F2" w:rsidP="008179F2">
            <w:pPr>
              <w:spacing w:after="60"/>
              <w:jc w:val="left"/>
              <w:rPr>
                <w:sz w:val="18"/>
                <w:lang w:val="en-CA"/>
              </w:rPr>
            </w:pPr>
            <w:r w:rsidRPr="00A77369">
              <w:rPr>
                <w:sz w:val="18"/>
                <w:lang w:val="en-CA"/>
              </w:rPr>
              <w:t>Agreed funding (</w:t>
            </w:r>
            <w:r w:rsidR="008A55F2">
              <w:rPr>
                <w:sz w:val="18"/>
                <w:lang w:val="en-CA"/>
              </w:rPr>
              <w:t>US $</w:t>
            </w:r>
            <w:r w:rsidRPr="00A77369">
              <w:rPr>
                <w:sz w:val="18"/>
                <w:lang w:val="en-CA"/>
              </w:rPr>
              <w:t>)</w:t>
            </w:r>
          </w:p>
        </w:tc>
        <w:tc>
          <w:tcPr>
            <w:tcW w:w="809" w:type="dxa"/>
            <w:vMerge w:val="restart"/>
            <w:shd w:val="clear" w:color="auto" w:fill="auto"/>
          </w:tcPr>
          <w:p w:rsidR="008179F2" w:rsidRPr="00A77369" w:rsidRDefault="008179F2" w:rsidP="008179F2">
            <w:pPr>
              <w:spacing w:after="60"/>
              <w:jc w:val="center"/>
              <w:rPr>
                <w:sz w:val="18"/>
                <w:lang w:val="en-CA"/>
              </w:rPr>
            </w:pPr>
            <w:r w:rsidRPr="00A77369">
              <w:rPr>
                <w:sz w:val="18"/>
                <w:lang w:val="en-CA"/>
              </w:rPr>
              <w:t>UNEP</w:t>
            </w:r>
          </w:p>
        </w:tc>
        <w:tc>
          <w:tcPr>
            <w:tcW w:w="1259" w:type="dxa"/>
            <w:shd w:val="clear" w:color="auto" w:fill="auto"/>
          </w:tcPr>
          <w:p w:rsidR="008179F2" w:rsidRPr="00A77369" w:rsidRDefault="008179F2" w:rsidP="008179F2">
            <w:pPr>
              <w:spacing w:after="60"/>
              <w:jc w:val="left"/>
              <w:rPr>
                <w:sz w:val="18"/>
                <w:lang w:val="en-CA"/>
              </w:rPr>
            </w:pPr>
            <w:r w:rsidRPr="00A77369">
              <w:rPr>
                <w:sz w:val="18"/>
                <w:lang w:val="en-CA"/>
              </w:rPr>
              <w:t>Project costs</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85,000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55,000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35,000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175,000</w:t>
            </w:r>
          </w:p>
        </w:tc>
      </w:tr>
      <w:tr w:rsidR="008179F2" w:rsidRPr="00A77369" w:rsidTr="008179F2">
        <w:tc>
          <w:tcPr>
            <w:tcW w:w="1652" w:type="dxa"/>
            <w:vMerge/>
            <w:shd w:val="clear" w:color="auto" w:fill="auto"/>
          </w:tcPr>
          <w:p w:rsidR="008179F2" w:rsidRPr="00A77369" w:rsidRDefault="008179F2" w:rsidP="008179F2">
            <w:pPr>
              <w:spacing w:after="60"/>
              <w:jc w:val="center"/>
              <w:rPr>
                <w:sz w:val="18"/>
                <w:lang w:val="en-CA"/>
              </w:rPr>
            </w:pPr>
          </w:p>
        </w:tc>
        <w:tc>
          <w:tcPr>
            <w:tcW w:w="809" w:type="dxa"/>
            <w:vMerge/>
            <w:shd w:val="clear" w:color="auto" w:fill="auto"/>
          </w:tcPr>
          <w:p w:rsidR="008179F2" w:rsidRPr="00A77369" w:rsidRDefault="008179F2" w:rsidP="008179F2">
            <w:pPr>
              <w:spacing w:after="60"/>
              <w:jc w:val="center"/>
              <w:rPr>
                <w:sz w:val="18"/>
                <w:lang w:val="en-CA"/>
              </w:rPr>
            </w:pPr>
          </w:p>
        </w:tc>
        <w:tc>
          <w:tcPr>
            <w:tcW w:w="1259" w:type="dxa"/>
            <w:shd w:val="clear" w:color="auto" w:fill="auto"/>
          </w:tcPr>
          <w:p w:rsidR="008179F2" w:rsidRPr="00A77369" w:rsidRDefault="008179F2" w:rsidP="008179F2">
            <w:pPr>
              <w:spacing w:after="60"/>
              <w:jc w:val="left"/>
              <w:rPr>
                <w:sz w:val="18"/>
                <w:lang w:val="en-CA"/>
              </w:rPr>
            </w:pPr>
            <w:r w:rsidRPr="00A77369">
              <w:rPr>
                <w:sz w:val="18"/>
                <w:lang w:val="en-CA"/>
              </w:rPr>
              <w:t>Support costs</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11,050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7,150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4,550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22,750</w:t>
            </w:r>
          </w:p>
        </w:tc>
      </w:tr>
      <w:tr w:rsidR="008179F2" w:rsidRPr="00A77369" w:rsidTr="008179F2">
        <w:tc>
          <w:tcPr>
            <w:tcW w:w="1652" w:type="dxa"/>
            <w:vMerge/>
            <w:shd w:val="clear" w:color="auto" w:fill="auto"/>
          </w:tcPr>
          <w:p w:rsidR="008179F2" w:rsidRPr="00A77369" w:rsidRDefault="008179F2" w:rsidP="008179F2">
            <w:pPr>
              <w:spacing w:after="60"/>
              <w:jc w:val="center"/>
              <w:rPr>
                <w:sz w:val="18"/>
                <w:lang w:val="en-CA"/>
              </w:rPr>
            </w:pPr>
          </w:p>
        </w:tc>
        <w:tc>
          <w:tcPr>
            <w:tcW w:w="809" w:type="dxa"/>
            <w:vMerge w:val="restart"/>
            <w:shd w:val="clear" w:color="auto" w:fill="auto"/>
          </w:tcPr>
          <w:p w:rsidR="008179F2" w:rsidRPr="00A77369" w:rsidRDefault="008179F2" w:rsidP="008179F2">
            <w:pPr>
              <w:spacing w:after="60"/>
              <w:jc w:val="center"/>
              <w:rPr>
                <w:sz w:val="18"/>
                <w:lang w:val="en-CA"/>
              </w:rPr>
            </w:pPr>
            <w:r w:rsidRPr="00A77369">
              <w:rPr>
                <w:sz w:val="18"/>
                <w:lang w:val="en-CA"/>
              </w:rPr>
              <w:t>UNIDO</w:t>
            </w:r>
          </w:p>
        </w:tc>
        <w:tc>
          <w:tcPr>
            <w:tcW w:w="1259" w:type="dxa"/>
            <w:shd w:val="clear" w:color="auto" w:fill="auto"/>
          </w:tcPr>
          <w:p w:rsidR="008179F2" w:rsidRPr="00A77369" w:rsidRDefault="008179F2" w:rsidP="008179F2">
            <w:pPr>
              <w:spacing w:after="60"/>
              <w:jc w:val="left"/>
              <w:rPr>
                <w:sz w:val="18"/>
                <w:lang w:val="en-CA"/>
              </w:rPr>
            </w:pPr>
            <w:r w:rsidRPr="00A77369">
              <w:rPr>
                <w:sz w:val="18"/>
                <w:lang w:val="en-CA"/>
              </w:rPr>
              <w:t>Project costs</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70,000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70,000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140,000</w:t>
            </w:r>
          </w:p>
        </w:tc>
      </w:tr>
      <w:tr w:rsidR="008179F2" w:rsidRPr="00A77369" w:rsidTr="008179F2">
        <w:tc>
          <w:tcPr>
            <w:tcW w:w="1652" w:type="dxa"/>
            <w:vMerge/>
            <w:shd w:val="clear" w:color="auto" w:fill="auto"/>
          </w:tcPr>
          <w:p w:rsidR="008179F2" w:rsidRPr="00A77369" w:rsidRDefault="008179F2" w:rsidP="008179F2">
            <w:pPr>
              <w:spacing w:after="60"/>
              <w:jc w:val="center"/>
              <w:rPr>
                <w:sz w:val="18"/>
                <w:lang w:val="en-CA"/>
              </w:rPr>
            </w:pPr>
          </w:p>
        </w:tc>
        <w:tc>
          <w:tcPr>
            <w:tcW w:w="809" w:type="dxa"/>
            <w:vMerge/>
            <w:shd w:val="clear" w:color="auto" w:fill="auto"/>
          </w:tcPr>
          <w:p w:rsidR="008179F2" w:rsidRPr="00A77369" w:rsidRDefault="008179F2" w:rsidP="008179F2">
            <w:pPr>
              <w:spacing w:after="60"/>
              <w:jc w:val="center"/>
              <w:rPr>
                <w:sz w:val="18"/>
                <w:lang w:val="en-CA"/>
              </w:rPr>
            </w:pPr>
          </w:p>
        </w:tc>
        <w:tc>
          <w:tcPr>
            <w:tcW w:w="1259" w:type="dxa"/>
            <w:shd w:val="clear" w:color="auto" w:fill="auto"/>
          </w:tcPr>
          <w:p w:rsidR="008179F2" w:rsidRPr="00A77369" w:rsidRDefault="008179F2" w:rsidP="008179F2">
            <w:pPr>
              <w:spacing w:after="60"/>
              <w:jc w:val="left"/>
              <w:rPr>
                <w:sz w:val="18"/>
                <w:lang w:val="en-CA"/>
              </w:rPr>
            </w:pPr>
            <w:r w:rsidRPr="00A77369">
              <w:rPr>
                <w:sz w:val="18"/>
                <w:lang w:val="en-CA"/>
              </w:rPr>
              <w:t>Support costs</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6,300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6,300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0</w:t>
            </w:r>
          </w:p>
        </w:tc>
        <w:tc>
          <w:tcPr>
            <w:tcW w:w="0" w:type="auto"/>
            <w:shd w:val="clear" w:color="auto" w:fill="auto"/>
          </w:tcPr>
          <w:p w:rsidR="008179F2" w:rsidRPr="00A77369" w:rsidRDefault="008179F2" w:rsidP="008179F2">
            <w:pPr>
              <w:spacing w:after="60"/>
              <w:jc w:val="right"/>
              <w:rPr>
                <w:sz w:val="18"/>
                <w:lang w:val="en-CA"/>
              </w:rPr>
            </w:pPr>
            <w:r w:rsidRPr="00A77369">
              <w:rPr>
                <w:sz w:val="18"/>
                <w:lang w:val="en-CA"/>
              </w:rPr>
              <w:t>12,600</w:t>
            </w:r>
          </w:p>
        </w:tc>
      </w:tr>
      <w:tr w:rsidR="00A70C8D" w:rsidRPr="00A77369" w:rsidTr="008179F2">
        <w:tc>
          <w:tcPr>
            <w:tcW w:w="2461" w:type="dxa"/>
            <w:gridSpan w:val="2"/>
            <w:vMerge w:val="restart"/>
            <w:shd w:val="clear" w:color="auto" w:fill="auto"/>
          </w:tcPr>
          <w:p w:rsidR="00A70C8D" w:rsidRPr="00A77369" w:rsidRDefault="00A70C8D" w:rsidP="00A70C8D">
            <w:pPr>
              <w:spacing w:after="60"/>
              <w:jc w:val="left"/>
              <w:rPr>
                <w:sz w:val="18"/>
                <w:lang w:val="en-CA"/>
              </w:rPr>
            </w:pPr>
            <w:r w:rsidRPr="00A77369">
              <w:rPr>
                <w:sz w:val="18"/>
                <w:lang w:val="en-CA"/>
              </w:rPr>
              <w:t>Funds approved by ExCom (</w:t>
            </w:r>
            <w:r w:rsidR="008A55F2">
              <w:rPr>
                <w:sz w:val="18"/>
                <w:lang w:val="en-CA"/>
              </w:rPr>
              <w:t>US $</w:t>
            </w:r>
            <w:r w:rsidRPr="00A77369">
              <w:rPr>
                <w:sz w:val="18"/>
                <w:lang w:val="en-CA"/>
              </w:rPr>
              <w:t>)</w:t>
            </w:r>
          </w:p>
        </w:tc>
        <w:tc>
          <w:tcPr>
            <w:tcW w:w="1259" w:type="dxa"/>
            <w:shd w:val="clear" w:color="auto" w:fill="auto"/>
          </w:tcPr>
          <w:p w:rsidR="00A70C8D" w:rsidRPr="00A77369" w:rsidRDefault="00A70C8D" w:rsidP="00A70C8D">
            <w:pPr>
              <w:spacing w:after="60"/>
              <w:jc w:val="left"/>
              <w:rPr>
                <w:sz w:val="18"/>
                <w:lang w:val="en-CA"/>
              </w:rPr>
            </w:pPr>
            <w:r w:rsidRPr="00A77369">
              <w:rPr>
                <w:sz w:val="18"/>
                <w:lang w:val="en-CA"/>
              </w:rPr>
              <w:t>Project costs</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155,000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125,000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fldChar w:fldCharType="begin"/>
            </w:r>
            <w:r w:rsidRPr="00A77369">
              <w:rPr>
                <w:sz w:val="18"/>
                <w:lang w:val="en-CA"/>
              </w:rPr>
              <w:instrText xml:space="preserve"> =SUM(left) </w:instrText>
            </w:r>
            <w:r w:rsidRPr="00A77369">
              <w:rPr>
                <w:sz w:val="18"/>
                <w:lang w:val="en-CA"/>
              </w:rPr>
              <w:fldChar w:fldCharType="separate"/>
            </w:r>
            <w:r w:rsidRPr="00A77369">
              <w:rPr>
                <w:noProof/>
                <w:sz w:val="18"/>
                <w:lang w:val="en-CA"/>
              </w:rPr>
              <w:t>280,000</w:t>
            </w:r>
            <w:r w:rsidRPr="00A77369">
              <w:rPr>
                <w:sz w:val="18"/>
                <w:lang w:val="en-CA"/>
              </w:rPr>
              <w:fldChar w:fldCharType="end"/>
            </w:r>
          </w:p>
        </w:tc>
      </w:tr>
      <w:tr w:rsidR="00A70C8D" w:rsidRPr="00A77369" w:rsidTr="008179F2">
        <w:tc>
          <w:tcPr>
            <w:tcW w:w="2461" w:type="dxa"/>
            <w:gridSpan w:val="2"/>
            <w:vMerge/>
            <w:shd w:val="clear" w:color="auto" w:fill="auto"/>
          </w:tcPr>
          <w:p w:rsidR="00A70C8D" w:rsidRPr="00A77369" w:rsidRDefault="00A70C8D" w:rsidP="00A70C8D">
            <w:pPr>
              <w:spacing w:after="60"/>
              <w:jc w:val="center"/>
              <w:rPr>
                <w:sz w:val="18"/>
                <w:lang w:val="en-CA"/>
              </w:rPr>
            </w:pPr>
          </w:p>
        </w:tc>
        <w:tc>
          <w:tcPr>
            <w:tcW w:w="1259" w:type="dxa"/>
            <w:shd w:val="clear" w:color="auto" w:fill="auto"/>
          </w:tcPr>
          <w:p w:rsidR="00A70C8D" w:rsidRPr="00A77369" w:rsidRDefault="00A70C8D" w:rsidP="00A70C8D">
            <w:pPr>
              <w:spacing w:after="60"/>
              <w:jc w:val="left"/>
              <w:rPr>
                <w:sz w:val="18"/>
                <w:lang w:val="en-CA"/>
              </w:rPr>
            </w:pPr>
            <w:r w:rsidRPr="00A77369">
              <w:rPr>
                <w:sz w:val="18"/>
                <w:lang w:val="en-CA"/>
              </w:rPr>
              <w:t>Support costs</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17,350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13,450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fldChar w:fldCharType="begin"/>
            </w:r>
            <w:r w:rsidRPr="00A77369">
              <w:rPr>
                <w:sz w:val="18"/>
                <w:lang w:val="en-CA"/>
              </w:rPr>
              <w:instrText xml:space="preserve"> =SUM(left) </w:instrText>
            </w:r>
            <w:r w:rsidRPr="00A77369">
              <w:rPr>
                <w:sz w:val="18"/>
                <w:lang w:val="en-CA"/>
              </w:rPr>
              <w:fldChar w:fldCharType="separate"/>
            </w:r>
            <w:r w:rsidRPr="00A77369">
              <w:rPr>
                <w:noProof/>
                <w:sz w:val="18"/>
                <w:lang w:val="en-CA"/>
              </w:rPr>
              <w:t>30,800</w:t>
            </w:r>
            <w:r w:rsidRPr="00A77369">
              <w:rPr>
                <w:sz w:val="18"/>
                <w:lang w:val="en-CA"/>
              </w:rPr>
              <w:fldChar w:fldCharType="end"/>
            </w:r>
          </w:p>
        </w:tc>
      </w:tr>
      <w:tr w:rsidR="00A70C8D" w:rsidRPr="00A77369" w:rsidTr="008179F2">
        <w:tc>
          <w:tcPr>
            <w:tcW w:w="2461" w:type="dxa"/>
            <w:gridSpan w:val="2"/>
            <w:vMerge w:val="restart"/>
            <w:shd w:val="clear" w:color="auto" w:fill="auto"/>
          </w:tcPr>
          <w:p w:rsidR="00A70C8D" w:rsidRPr="00A77369" w:rsidRDefault="00A70C8D" w:rsidP="00A70C8D">
            <w:pPr>
              <w:spacing w:after="60"/>
              <w:jc w:val="left"/>
              <w:rPr>
                <w:sz w:val="18"/>
                <w:lang w:val="en-CA"/>
              </w:rPr>
            </w:pPr>
            <w:r w:rsidRPr="00A77369">
              <w:rPr>
                <w:sz w:val="18"/>
                <w:lang w:val="en-CA"/>
              </w:rPr>
              <w:t>Total funds requested for approval at this meeting (</w:t>
            </w:r>
            <w:r w:rsidR="008A55F2">
              <w:rPr>
                <w:sz w:val="18"/>
                <w:lang w:val="en-CA"/>
              </w:rPr>
              <w:t>US $</w:t>
            </w:r>
            <w:r w:rsidRPr="00A77369">
              <w:rPr>
                <w:sz w:val="18"/>
                <w:lang w:val="en-CA"/>
              </w:rPr>
              <w:t>)</w:t>
            </w:r>
          </w:p>
        </w:tc>
        <w:tc>
          <w:tcPr>
            <w:tcW w:w="1259" w:type="dxa"/>
            <w:shd w:val="clear" w:color="auto" w:fill="auto"/>
          </w:tcPr>
          <w:p w:rsidR="00A70C8D" w:rsidRPr="00A77369" w:rsidRDefault="00A70C8D" w:rsidP="00A70C8D">
            <w:pPr>
              <w:spacing w:after="60"/>
              <w:jc w:val="left"/>
              <w:rPr>
                <w:sz w:val="18"/>
                <w:lang w:val="en-CA"/>
              </w:rPr>
            </w:pPr>
            <w:r w:rsidRPr="00A77369">
              <w:rPr>
                <w:sz w:val="18"/>
                <w:lang w:val="en-CA"/>
              </w:rPr>
              <w:t>Project costs</w:t>
            </w: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35,000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35,000</w:t>
            </w:r>
          </w:p>
        </w:tc>
      </w:tr>
      <w:tr w:rsidR="00A70C8D" w:rsidRPr="00A77369" w:rsidTr="008179F2">
        <w:tc>
          <w:tcPr>
            <w:tcW w:w="2461" w:type="dxa"/>
            <w:gridSpan w:val="2"/>
            <w:vMerge/>
            <w:shd w:val="clear" w:color="auto" w:fill="auto"/>
          </w:tcPr>
          <w:p w:rsidR="00A70C8D" w:rsidRPr="00A77369" w:rsidRDefault="00A70C8D" w:rsidP="00A70C8D">
            <w:pPr>
              <w:spacing w:after="60"/>
              <w:jc w:val="center"/>
              <w:rPr>
                <w:sz w:val="18"/>
                <w:lang w:val="en-CA"/>
              </w:rPr>
            </w:pPr>
          </w:p>
        </w:tc>
        <w:tc>
          <w:tcPr>
            <w:tcW w:w="1259" w:type="dxa"/>
            <w:shd w:val="clear" w:color="auto" w:fill="auto"/>
          </w:tcPr>
          <w:p w:rsidR="00A70C8D" w:rsidRPr="00A77369" w:rsidRDefault="00A70C8D" w:rsidP="00A70C8D">
            <w:pPr>
              <w:spacing w:after="60"/>
              <w:jc w:val="left"/>
              <w:rPr>
                <w:sz w:val="18"/>
                <w:lang w:val="en-CA"/>
              </w:rPr>
            </w:pPr>
            <w:r w:rsidRPr="00A77369">
              <w:rPr>
                <w:sz w:val="18"/>
                <w:lang w:val="en-CA"/>
              </w:rPr>
              <w:t>Support costs</w:t>
            </w: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4,550</w:t>
            </w:r>
          </w:p>
        </w:tc>
        <w:tc>
          <w:tcPr>
            <w:tcW w:w="0" w:type="auto"/>
            <w:shd w:val="clear" w:color="auto" w:fill="auto"/>
          </w:tcPr>
          <w:p w:rsidR="00A70C8D" w:rsidRPr="00A77369" w:rsidRDefault="00A70C8D" w:rsidP="00A70C8D">
            <w:pPr>
              <w:spacing w:after="60"/>
              <w:jc w:val="right"/>
              <w:rPr>
                <w:sz w:val="18"/>
                <w:lang w:val="en-CA"/>
              </w:rPr>
            </w:pPr>
            <w:r w:rsidRPr="00A77369">
              <w:rPr>
                <w:sz w:val="18"/>
                <w:lang w:val="en-CA"/>
              </w:rPr>
              <w:t>4,550</w:t>
            </w:r>
          </w:p>
        </w:tc>
      </w:tr>
    </w:tbl>
    <w:p w:rsidR="008179F2" w:rsidRPr="00A77369" w:rsidRDefault="008179F2" w:rsidP="008179F2">
      <w:pPr>
        <w:spacing w:after="60"/>
        <w:jc w:val="center"/>
        <w:rPr>
          <w:lang w:val="en-CA"/>
        </w:rPr>
      </w:pPr>
    </w:p>
    <w:tbl>
      <w:tblPr>
        <w:tblStyle w:val="TableGrid"/>
        <w:tblW w:w="1027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278"/>
      </w:tblGrid>
      <w:tr w:rsidR="008179F2" w:rsidRPr="00A77369" w:rsidTr="008179F2">
        <w:trPr>
          <w:trHeight w:val="240"/>
        </w:trPr>
        <w:tc>
          <w:tcPr>
            <w:tcW w:w="3000" w:type="dxa"/>
            <w:shd w:val="clear" w:color="auto" w:fill="auto"/>
          </w:tcPr>
          <w:p w:rsidR="008179F2" w:rsidRPr="00A77369" w:rsidRDefault="008179F2" w:rsidP="008179F2">
            <w:pPr>
              <w:spacing w:after="60"/>
              <w:jc w:val="left"/>
              <w:rPr>
                <w:b/>
                <w:sz w:val="18"/>
                <w:lang w:val="en-CA"/>
              </w:rPr>
            </w:pPr>
            <w:r w:rsidRPr="00A77369">
              <w:rPr>
                <w:b/>
                <w:sz w:val="18"/>
                <w:lang w:val="en-CA"/>
              </w:rPr>
              <w:t>Secretariat's recommendation:</w:t>
            </w:r>
          </w:p>
        </w:tc>
        <w:tc>
          <w:tcPr>
            <w:tcW w:w="7278" w:type="dxa"/>
            <w:shd w:val="clear" w:color="auto" w:fill="auto"/>
          </w:tcPr>
          <w:p w:rsidR="008179F2" w:rsidRPr="00A77369" w:rsidRDefault="008179F2" w:rsidP="008179F2">
            <w:pPr>
              <w:spacing w:after="60"/>
              <w:jc w:val="center"/>
              <w:rPr>
                <w:sz w:val="18"/>
                <w:lang w:val="en-CA"/>
              </w:rPr>
            </w:pPr>
            <w:r w:rsidRPr="00A77369">
              <w:rPr>
                <w:sz w:val="18"/>
                <w:lang w:val="en-CA"/>
              </w:rPr>
              <w:t>For blanket approval</w:t>
            </w:r>
          </w:p>
        </w:tc>
      </w:tr>
    </w:tbl>
    <w:p w:rsidR="008179F2" w:rsidRPr="00A77369" w:rsidRDefault="008179F2" w:rsidP="008179F2">
      <w:pPr>
        <w:jc w:val="center"/>
        <w:rPr>
          <w:lang w:val="en-CA"/>
        </w:rPr>
      </w:pPr>
    </w:p>
    <w:p w:rsidR="00D54581" w:rsidRPr="00A77369" w:rsidRDefault="00D54581" w:rsidP="008179F2">
      <w:pPr>
        <w:rPr>
          <w:lang w:val="en-CA"/>
        </w:rPr>
      </w:pPr>
    </w:p>
    <w:p w:rsidR="00D54581" w:rsidRPr="00A77369" w:rsidRDefault="00D54581" w:rsidP="008179F2">
      <w:pPr>
        <w:rPr>
          <w:lang w:val="en-CA"/>
        </w:rPr>
      </w:pPr>
      <w:r w:rsidRPr="00A77369">
        <w:rPr>
          <w:lang w:val="en-CA"/>
        </w:rPr>
        <w:br w:type="page"/>
      </w:r>
    </w:p>
    <w:p w:rsidR="002C1A1F" w:rsidRDefault="002C1A1F" w:rsidP="008179F2">
      <w:pPr>
        <w:jc w:val="center"/>
        <w:rPr>
          <w:b/>
          <w:lang w:val="en-CA"/>
        </w:rPr>
      </w:pPr>
    </w:p>
    <w:p w:rsidR="00D54581" w:rsidRPr="00A77369" w:rsidRDefault="00D54581" w:rsidP="008179F2">
      <w:pPr>
        <w:jc w:val="center"/>
        <w:rPr>
          <w:b/>
          <w:lang w:val="en-CA"/>
        </w:rPr>
      </w:pPr>
      <w:bookmarkStart w:id="0" w:name="_GoBack"/>
      <w:bookmarkEnd w:id="0"/>
      <w:r w:rsidRPr="00A77369">
        <w:rPr>
          <w:b/>
          <w:lang w:val="en-CA"/>
        </w:rPr>
        <w:t>PROJECT DESCRIPTION</w:t>
      </w:r>
    </w:p>
    <w:p w:rsidR="00D54581" w:rsidRPr="00A77369" w:rsidRDefault="00D54581" w:rsidP="008179F2">
      <w:pPr>
        <w:rPr>
          <w:lang w:val="en-CA"/>
        </w:rPr>
      </w:pPr>
    </w:p>
    <w:p w:rsidR="00D54581" w:rsidRPr="00A77369" w:rsidRDefault="00D54581" w:rsidP="008179F2">
      <w:pPr>
        <w:pStyle w:val="Heading1"/>
        <w:rPr>
          <w:lang w:val="en-CA"/>
        </w:rPr>
      </w:pPr>
      <w:r w:rsidRPr="00A77369">
        <w:rPr>
          <w:lang w:val="en-CA"/>
        </w:rPr>
        <w:t>On behalf of the Government of</w:t>
      </w:r>
      <w:r w:rsidR="00DE1435" w:rsidRPr="00A77369">
        <w:rPr>
          <w:lang w:val="en-CA"/>
        </w:rPr>
        <w:t xml:space="preserve"> Ethiopia</w:t>
      </w:r>
      <w:r w:rsidRPr="00A77369">
        <w:rPr>
          <w:lang w:val="en-CA"/>
        </w:rPr>
        <w:t xml:space="preserve">, </w:t>
      </w:r>
      <w:r w:rsidR="00DE1435" w:rsidRPr="00A77369">
        <w:rPr>
          <w:lang w:val="en-CA"/>
        </w:rPr>
        <w:t>UNEP</w:t>
      </w:r>
      <w:r w:rsidRPr="00A77369">
        <w:rPr>
          <w:lang w:val="en-CA"/>
        </w:rPr>
        <w:t xml:space="preserve"> as the lead implementing agency, has submitted a request for funding for the</w:t>
      </w:r>
      <w:r w:rsidR="00DE1435" w:rsidRPr="00A77369">
        <w:rPr>
          <w:lang w:val="en-CA"/>
        </w:rPr>
        <w:t xml:space="preserve"> third and final tranche </w:t>
      </w:r>
      <w:r w:rsidRPr="00A77369">
        <w:rPr>
          <w:lang w:val="en-CA"/>
        </w:rPr>
        <w:t>of stage I</w:t>
      </w:r>
      <w:r w:rsidR="00DE1435" w:rsidRPr="00A77369">
        <w:rPr>
          <w:lang w:val="en-CA"/>
        </w:rPr>
        <w:t xml:space="preserve"> </w:t>
      </w:r>
      <w:r w:rsidRPr="00A77369">
        <w:rPr>
          <w:lang w:val="en-CA"/>
        </w:rPr>
        <w:t xml:space="preserve">of the HCFC phase-out management plan (HPMP), at the amount of </w:t>
      </w:r>
      <w:r w:rsidR="008A55F2">
        <w:rPr>
          <w:lang w:val="en-CA"/>
        </w:rPr>
        <w:t>US $</w:t>
      </w:r>
      <w:r w:rsidR="00DE1435" w:rsidRPr="00A77369">
        <w:rPr>
          <w:lang w:val="en-CA"/>
        </w:rPr>
        <w:t>35,000</w:t>
      </w:r>
      <w:r w:rsidRPr="00A77369">
        <w:rPr>
          <w:lang w:val="en-CA"/>
        </w:rPr>
        <w:t xml:space="preserve">, plus agency support costs of </w:t>
      </w:r>
      <w:r w:rsidR="008A55F2">
        <w:rPr>
          <w:lang w:val="en-CA"/>
        </w:rPr>
        <w:t>US $</w:t>
      </w:r>
      <w:r w:rsidR="00DE1435" w:rsidRPr="00A77369">
        <w:rPr>
          <w:lang w:val="en-CA"/>
        </w:rPr>
        <w:t xml:space="preserve">4,550 for UNEP </w:t>
      </w:r>
      <w:r w:rsidRPr="00A77369">
        <w:rPr>
          <w:lang w:val="en-CA"/>
        </w:rPr>
        <w:t>only.</w:t>
      </w:r>
      <w:r w:rsidRPr="00A77369">
        <w:rPr>
          <w:rStyle w:val="FootnoteReference"/>
          <w:lang w:val="en-CA"/>
        </w:rPr>
        <w:footnoteReference w:id="1"/>
      </w:r>
      <w:r w:rsidRPr="00A77369">
        <w:rPr>
          <w:lang w:val="en-CA"/>
        </w:rPr>
        <w:t xml:space="preserve"> The submission includes a progress report on the implementation of the</w:t>
      </w:r>
      <w:r w:rsidR="00DE1435" w:rsidRPr="00A77369">
        <w:rPr>
          <w:lang w:val="en-CA"/>
        </w:rPr>
        <w:t xml:space="preserve"> second</w:t>
      </w:r>
      <w:r w:rsidRPr="00A77369">
        <w:rPr>
          <w:lang w:val="en-CA"/>
        </w:rPr>
        <w:t xml:space="preserve"> tranche and the tranche implementation plan for 2020</w:t>
      </w:r>
      <w:r w:rsidR="00713D2A">
        <w:rPr>
          <w:lang w:val="en-CA"/>
        </w:rPr>
        <w:t>-2021</w:t>
      </w:r>
      <w:r w:rsidRPr="00A77369">
        <w:rPr>
          <w:lang w:val="en-CA"/>
        </w:rPr>
        <w:t>.</w:t>
      </w:r>
    </w:p>
    <w:p w:rsidR="00D54581" w:rsidRPr="00A77369" w:rsidRDefault="00D54581" w:rsidP="008179F2">
      <w:pPr>
        <w:rPr>
          <w:u w:val="single"/>
          <w:lang w:val="en-CA"/>
        </w:rPr>
      </w:pPr>
      <w:r w:rsidRPr="00A77369">
        <w:rPr>
          <w:u w:val="single"/>
          <w:lang w:val="en-CA"/>
        </w:rPr>
        <w:t>Report on HCFC consumption</w:t>
      </w:r>
    </w:p>
    <w:p w:rsidR="00D54581" w:rsidRPr="00A77369" w:rsidRDefault="00D54581" w:rsidP="008179F2">
      <w:pPr>
        <w:rPr>
          <w:lang w:val="en-CA"/>
        </w:rPr>
      </w:pPr>
    </w:p>
    <w:p w:rsidR="00D54581" w:rsidRPr="00A77369" w:rsidRDefault="00D54581" w:rsidP="008179F2">
      <w:pPr>
        <w:pStyle w:val="Heading1"/>
        <w:rPr>
          <w:lang w:val="en-CA"/>
        </w:rPr>
      </w:pPr>
      <w:r w:rsidRPr="00A77369">
        <w:rPr>
          <w:lang w:val="en-CA"/>
        </w:rPr>
        <w:t xml:space="preserve">The Government of </w:t>
      </w:r>
      <w:r w:rsidR="00DE1435" w:rsidRPr="00A77369">
        <w:rPr>
          <w:lang w:val="en-CA"/>
        </w:rPr>
        <w:t>Ethiopia</w:t>
      </w:r>
      <w:r w:rsidRPr="00A77369">
        <w:rPr>
          <w:lang w:val="en-CA"/>
        </w:rPr>
        <w:t xml:space="preserve"> reported under country programme</w:t>
      </w:r>
      <w:r w:rsidR="00A77369">
        <w:rPr>
          <w:lang w:val="en-CA"/>
        </w:rPr>
        <w:t xml:space="preserve"> (CP)</w:t>
      </w:r>
      <w:r w:rsidRPr="00A77369">
        <w:rPr>
          <w:lang w:val="en-CA"/>
        </w:rPr>
        <w:t xml:space="preserve"> implementation report a consumption of </w:t>
      </w:r>
      <w:r w:rsidR="00A444D9" w:rsidRPr="00A77369">
        <w:rPr>
          <w:lang w:val="en-CA"/>
        </w:rPr>
        <w:t>3.53</w:t>
      </w:r>
      <w:r w:rsidRPr="00A77369">
        <w:rPr>
          <w:lang w:val="en-CA"/>
        </w:rPr>
        <w:t xml:space="preserve"> ODP tonnes of HCFC in 2019, which is </w:t>
      </w:r>
      <w:r w:rsidR="00A444D9" w:rsidRPr="00A77369">
        <w:rPr>
          <w:lang w:val="en-CA"/>
        </w:rPr>
        <w:t>36</w:t>
      </w:r>
      <w:r w:rsidRPr="00A77369">
        <w:rPr>
          <w:lang w:val="en-CA"/>
        </w:rPr>
        <w:t> per cent below the HCFC baseline for compliance. The 2015</w:t>
      </w:r>
      <w:r w:rsidR="00DE1435" w:rsidRPr="00A77369">
        <w:rPr>
          <w:lang w:val="en-CA"/>
        </w:rPr>
        <w:noBreakHyphen/>
      </w:r>
      <w:r w:rsidRPr="00A77369">
        <w:rPr>
          <w:lang w:val="en-CA"/>
        </w:rPr>
        <w:t>2019 HCFC consumption is shown in Table 1.</w:t>
      </w:r>
      <w:r w:rsidR="008A55F2">
        <w:rPr>
          <w:lang w:val="en-CA"/>
        </w:rPr>
        <w:t xml:space="preserve"> </w:t>
      </w:r>
    </w:p>
    <w:p w:rsidR="00D54581" w:rsidRPr="00A77369" w:rsidRDefault="00D54581" w:rsidP="008179F2">
      <w:pPr>
        <w:rPr>
          <w:b/>
          <w:lang w:val="en-CA"/>
        </w:rPr>
      </w:pPr>
      <w:r w:rsidRPr="00A77369">
        <w:rPr>
          <w:b/>
          <w:lang w:val="en-CA"/>
        </w:rPr>
        <w:t>Table 1. HCFC consumption in</w:t>
      </w:r>
      <w:r w:rsidR="00DE1435" w:rsidRPr="00A77369">
        <w:rPr>
          <w:b/>
          <w:lang w:val="en-CA"/>
        </w:rPr>
        <w:t xml:space="preserve"> Ethiopia</w:t>
      </w:r>
      <w:r w:rsidRPr="00A77369">
        <w:rPr>
          <w:b/>
          <w:lang w:val="en-CA"/>
        </w:rPr>
        <w:t xml:space="preserve"> (2015-2</w:t>
      </w:r>
      <w:r w:rsidR="00F719C0" w:rsidRPr="00A77369">
        <w:rPr>
          <w:b/>
          <w:lang w:val="en-CA"/>
        </w:rPr>
        <w:t>019</w:t>
      </w:r>
      <w:r w:rsidRPr="00A77369">
        <w:rPr>
          <w:b/>
          <w:lang w:val="en-CA"/>
        </w:rPr>
        <w:t xml:space="preserve"> Article 7 data)</w:t>
      </w:r>
    </w:p>
    <w:tbl>
      <w:tblPr>
        <w:tblW w:w="5000" w:type="pct"/>
        <w:tblLook w:val="04A0" w:firstRow="1" w:lastRow="0" w:firstColumn="1" w:lastColumn="0" w:noHBand="0" w:noVBand="1"/>
      </w:tblPr>
      <w:tblGrid>
        <w:gridCol w:w="2491"/>
        <w:gridCol w:w="1143"/>
        <w:gridCol w:w="1143"/>
        <w:gridCol w:w="1143"/>
        <w:gridCol w:w="1143"/>
        <w:gridCol w:w="1143"/>
        <w:gridCol w:w="1144"/>
      </w:tblGrid>
      <w:tr w:rsidR="00D54581" w:rsidRPr="008A55F2" w:rsidTr="008A55F2">
        <w:trPr>
          <w:tblHeader/>
        </w:trPr>
        <w:tc>
          <w:tcPr>
            <w:tcW w:w="133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54581" w:rsidRPr="008A55F2" w:rsidRDefault="00D54581" w:rsidP="008179F2">
            <w:pPr>
              <w:widowControl w:val="0"/>
              <w:jc w:val="left"/>
              <w:rPr>
                <w:b/>
                <w:bCs/>
                <w:color w:val="000000"/>
                <w:sz w:val="21"/>
                <w:szCs w:val="21"/>
                <w:lang w:val="en-CA"/>
              </w:rPr>
            </w:pPr>
            <w:r w:rsidRPr="008A55F2">
              <w:rPr>
                <w:b/>
                <w:bCs/>
                <w:color w:val="000000"/>
                <w:sz w:val="21"/>
                <w:szCs w:val="21"/>
                <w:lang w:val="en-CA"/>
              </w:rPr>
              <w:t>HCFC-22</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D54581" w:rsidRPr="008A55F2" w:rsidRDefault="00D54581" w:rsidP="008179F2">
            <w:pPr>
              <w:widowControl w:val="0"/>
              <w:jc w:val="center"/>
              <w:rPr>
                <w:b/>
                <w:bCs/>
                <w:color w:val="000000"/>
                <w:sz w:val="21"/>
                <w:szCs w:val="21"/>
                <w:lang w:val="en-CA"/>
              </w:rPr>
            </w:pPr>
            <w:r w:rsidRPr="008A55F2">
              <w:rPr>
                <w:b/>
                <w:bCs/>
                <w:color w:val="000000"/>
                <w:sz w:val="21"/>
                <w:szCs w:val="21"/>
                <w:lang w:val="en-CA"/>
              </w:rPr>
              <w:t>2015</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D54581" w:rsidRPr="008A55F2" w:rsidRDefault="00D54581" w:rsidP="008179F2">
            <w:pPr>
              <w:widowControl w:val="0"/>
              <w:jc w:val="center"/>
              <w:rPr>
                <w:b/>
                <w:bCs/>
                <w:color w:val="000000"/>
                <w:sz w:val="21"/>
                <w:szCs w:val="21"/>
                <w:lang w:val="en-CA"/>
              </w:rPr>
            </w:pPr>
            <w:r w:rsidRPr="008A55F2">
              <w:rPr>
                <w:b/>
                <w:bCs/>
                <w:color w:val="000000"/>
                <w:sz w:val="21"/>
                <w:szCs w:val="21"/>
                <w:lang w:val="en-CA"/>
              </w:rPr>
              <w:t>2016</w:t>
            </w:r>
          </w:p>
        </w:tc>
        <w:tc>
          <w:tcPr>
            <w:tcW w:w="611" w:type="pct"/>
            <w:tcBorders>
              <w:top w:val="single" w:sz="4" w:space="0" w:color="auto"/>
              <w:left w:val="nil"/>
              <w:bottom w:val="single" w:sz="4" w:space="0" w:color="auto"/>
              <w:right w:val="single" w:sz="4" w:space="0" w:color="auto"/>
            </w:tcBorders>
          </w:tcPr>
          <w:p w:rsidR="00D54581" w:rsidRPr="008A55F2" w:rsidRDefault="00D54581" w:rsidP="008179F2">
            <w:pPr>
              <w:widowControl w:val="0"/>
              <w:jc w:val="center"/>
              <w:rPr>
                <w:b/>
                <w:bCs/>
                <w:color w:val="000000"/>
                <w:sz w:val="21"/>
                <w:szCs w:val="21"/>
                <w:lang w:val="en-CA"/>
              </w:rPr>
            </w:pPr>
            <w:r w:rsidRPr="008A55F2">
              <w:rPr>
                <w:b/>
                <w:bCs/>
                <w:color w:val="000000"/>
                <w:sz w:val="21"/>
                <w:szCs w:val="21"/>
                <w:lang w:val="en-CA"/>
              </w:rPr>
              <w:t>2017</w:t>
            </w:r>
          </w:p>
        </w:tc>
        <w:tc>
          <w:tcPr>
            <w:tcW w:w="611" w:type="pct"/>
            <w:tcBorders>
              <w:top w:val="single" w:sz="4" w:space="0" w:color="auto"/>
              <w:left w:val="single" w:sz="4" w:space="0" w:color="auto"/>
              <w:bottom w:val="single" w:sz="4" w:space="0" w:color="auto"/>
              <w:right w:val="single" w:sz="4" w:space="0" w:color="auto"/>
            </w:tcBorders>
          </w:tcPr>
          <w:p w:rsidR="00D54581" w:rsidRPr="008A55F2" w:rsidRDefault="00D54581" w:rsidP="008179F2">
            <w:pPr>
              <w:widowControl w:val="0"/>
              <w:jc w:val="center"/>
              <w:rPr>
                <w:b/>
                <w:bCs/>
                <w:color w:val="000000"/>
                <w:sz w:val="21"/>
                <w:szCs w:val="21"/>
                <w:lang w:val="en-CA"/>
              </w:rPr>
            </w:pPr>
            <w:r w:rsidRPr="008A55F2">
              <w:rPr>
                <w:b/>
                <w:bCs/>
                <w:color w:val="000000"/>
                <w:sz w:val="21"/>
                <w:szCs w:val="21"/>
                <w:lang w:val="en-CA"/>
              </w:rPr>
              <w:t>2018</w:t>
            </w:r>
          </w:p>
        </w:tc>
        <w:tc>
          <w:tcPr>
            <w:tcW w:w="611" w:type="pct"/>
            <w:tcBorders>
              <w:top w:val="single" w:sz="4" w:space="0" w:color="auto"/>
              <w:left w:val="single" w:sz="4" w:space="0" w:color="auto"/>
              <w:bottom w:val="single" w:sz="4" w:space="0" w:color="auto"/>
              <w:right w:val="single" w:sz="4" w:space="0" w:color="auto"/>
            </w:tcBorders>
          </w:tcPr>
          <w:p w:rsidR="00D54581" w:rsidRPr="008A55F2" w:rsidRDefault="00D54581" w:rsidP="008179F2">
            <w:pPr>
              <w:widowControl w:val="0"/>
              <w:jc w:val="center"/>
              <w:rPr>
                <w:b/>
                <w:bCs/>
                <w:color w:val="000000"/>
                <w:sz w:val="21"/>
                <w:szCs w:val="21"/>
                <w:lang w:val="en-CA"/>
              </w:rPr>
            </w:pPr>
            <w:r w:rsidRPr="008A55F2">
              <w:rPr>
                <w:b/>
                <w:bCs/>
                <w:color w:val="000000"/>
                <w:sz w:val="21"/>
                <w:szCs w:val="21"/>
                <w:lang w:val="en-CA"/>
              </w:rPr>
              <w:t>2019*</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81" w:rsidRPr="008A55F2" w:rsidRDefault="00D54581" w:rsidP="008179F2">
            <w:pPr>
              <w:widowControl w:val="0"/>
              <w:jc w:val="center"/>
              <w:rPr>
                <w:b/>
                <w:bCs/>
                <w:color w:val="000000"/>
                <w:sz w:val="21"/>
                <w:szCs w:val="21"/>
                <w:lang w:val="en-CA"/>
              </w:rPr>
            </w:pPr>
            <w:r w:rsidRPr="008A55F2">
              <w:rPr>
                <w:b/>
                <w:bCs/>
                <w:color w:val="000000"/>
                <w:sz w:val="21"/>
                <w:szCs w:val="21"/>
                <w:lang w:val="en-CA"/>
              </w:rPr>
              <w:t>Baseline</w:t>
            </w:r>
          </w:p>
        </w:tc>
      </w:tr>
      <w:tr w:rsidR="00DE1435" w:rsidRPr="008A55F2" w:rsidTr="008A55F2">
        <w:tc>
          <w:tcPr>
            <w:tcW w:w="133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E1435" w:rsidRPr="008A55F2" w:rsidRDefault="00DE1435" w:rsidP="00DE1435">
            <w:pPr>
              <w:widowControl w:val="0"/>
              <w:jc w:val="left"/>
              <w:rPr>
                <w:bCs/>
                <w:color w:val="000000"/>
                <w:sz w:val="21"/>
                <w:szCs w:val="21"/>
                <w:lang w:val="en-CA"/>
              </w:rPr>
            </w:pPr>
            <w:r w:rsidRPr="008A55F2">
              <w:rPr>
                <w:bCs/>
                <w:color w:val="000000"/>
                <w:sz w:val="21"/>
                <w:szCs w:val="21"/>
                <w:lang w:val="en-CA"/>
              </w:rPr>
              <w:t>Metric tonnes</w:t>
            </w:r>
          </w:p>
        </w:tc>
        <w:tc>
          <w:tcPr>
            <w:tcW w:w="611" w:type="pct"/>
            <w:tcBorders>
              <w:top w:val="nil"/>
              <w:left w:val="nil"/>
              <w:bottom w:val="single" w:sz="4" w:space="0" w:color="auto"/>
              <w:right w:val="single" w:sz="4" w:space="0" w:color="auto"/>
            </w:tcBorders>
            <w:shd w:val="clear" w:color="auto" w:fill="auto"/>
            <w:noWrap/>
            <w:tcMar>
              <w:left w:w="115" w:type="dxa"/>
              <w:right w:w="259" w:type="dxa"/>
            </w:tcMar>
            <w:vAlign w:val="center"/>
          </w:tcPr>
          <w:p w:rsidR="00DE1435" w:rsidRPr="008A55F2" w:rsidRDefault="00DE1435" w:rsidP="00DE1435">
            <w:pPr>
              <w:jc w:val="right"/>
              <w:rPr>
                <w:color w:val="000000"/>
                <w:sz w:val="21"/>
                <w:szCs w:val="21"/>
                <w:lang w:val="en-CA"/>
              </w:rPr>
            </w:pPr>
            <w:r w:rsidRPr="008A55F2">
              <w:rPr>
                <w:color w:val="000000"/>
                <w:sz w:val="21"/>
                <w:szCs w:val="21"/>
                <w:lang w:val="en-CA"/>
              </w:rPr>
              <w:t>85.2</w:t>
            </w:r>
          </w:p>
        </w:tc>
        <w:tc>
          <w:tcPr>
            <w:tcW w:w="611" w:type="pct"/>
            <w:tcBorders>
              <w:top w:val="nil"/>
              <w:left w:val="nil"/>
              <w:bottom w:val="single" w:sz="4" w:space="0" w:color="auto"/>
              <w:right w:val="single" w:sz="4" w:space="0" w:color="auto"/>
            </w:tcBorders>
            <w:shd w:val="clear" w:color="auto" w:fill="auto"/>
            <w:noWrap/>
            <w:tcMar>
              <w:left w:w="115" w:type="dxa"/>
              <w:right w:w="259" w:type="dxa"/>
            </w:tcMar>
            <w:vAlign w:val="bottom"/>
          </w:tcPr>
          <w:p w:rsidR="00DE1435" w:rsidRPr="008A55F2" w:rsidRDefault="00DE1435" w:rsidP="00DE1435">
            <w:pPr>
              <w:jc w:val="right"/>
              <w:rPr>
                <w:color w:val="000000"/>
                <w:sz w:val="21"/>
                <w:szCs w:val="21"/>
                <w:lang w:val="en-CA"/>
              </w:rPr>
            </w:pPr>
            <w:r w:rsidRPr="008A55F2">
              <w:rPr>
                <w:color w:val="000000"/>
                <w:sz w:val="21"/>
                <w:szCs w:val="21"/>
                <w:lang w:val="en-CA"/>
              </w:rPr>
              <w:t>83.40</w:t>
            </w:r>
          </w:p>
        </w:tc>
        <w:tc>
          <w:tcPr>
            <w:tcW w:w="611" w:type="pct"/>
            <w:tcBorders>
              <w:top w:val="single" w:sz="4" w:space="0" w:color="auto"/>
              <w:left w:val="nil"/>
              <w:bottom w:val="single" w:sz="4" w:space="0" w:color="auto"/>
              <w:right w:val="single" w:sz="4" w:space="0" w:color="auto"/>
            </w:tcBorders>
            <w:tcMar>
              <w:left w:w="115" w:type="dxa"/>
              <w:right w:w="259" w:type="dxa"/>
            </w:tcMar>
            <w:vAlign w:val="bottom"/>
          </w:tcPr>
          <w:p w:rsidR="00DE1435" w:rsidRPr="008A55F2" w:rsidRDefault="00DE1435" w:rsidP="00DE1435">
            <w:pPr>
              <w:jc w:val="right"/>
              <w:rPr>
                <w:color w:val="000000"/>
                <w:sz w:val="21"/>
                <w:szCs w:val="21"/>
                <w:lang w:val="en-CA"/>
              </w:rPr>
            </w:pPr>
            <w:r w:rsidRPr="008A55F2">
              <w:rPr>
                <w:color w:val="000000"/>
                <w:sz w:val="21"/>
                <w:szCs w:val="21"/>
                <w:lang w:val="en-CA"/>
              </w:rPr>
              <w:t>76.00</w:t>
            </w:r>
          </w:p>
        </w:tc>
        <w:tc>
          <w:tcPr>
            <w:tcW w:w="611" w:type="pct"/>
            <w:tcBorders>
              <w:top w:val="nil"/>
              <w:left w:val="single" w:sz="4" w:space="0" w:color="auto"/>
              <w:bottom w:val="single" w:sz="4" w:space="0" w:color="auto"/>
              <w:right w:val="single" w:sz="4" w:space="0" w:color="auto"/>
            </w:tcBorders>
            <w:tcMar>
              <w:left w:w="115" w:type="dxa"/>
              <w:right w:w="259" w:type="dxa"/>
            </w:tcMar>
            <w:vAlign w:val="bottom"/>
          </w:tcPr>
          <w:p w:rsidR="00DE1435" w:rsidRPr="008A55F2" w:rsidRDefault="00DE1435" w:rsidP="00DE1435">
            <w:pPr>
              <w:jc w:val="right"/>
              <w:rPr>
                <w:color w:val="000000"/>
                <w:sz w:val="21"/>
                <w:szCs w:val="21"/>
                <w:lang w:val="en-CA"/>
              </w:rPr>
            </w:pPr>
            <w:r w:rsidRPr="008A55F2">
              <w:rPr>
                <w:color w:val="000000"/>
                <w:sz w:val="21"/>
                <w:szCs w:val="21"/>
                <w:lang w:val="en-CA"/>
              </w:rPr>
              <w:t>72.00</w:t>
            </w:r>
          </w:p>
        </w:tc>
        <w:tc>
          <w:tcPr>
            <w:tcW w:w="611" w:type="pct"/>
            <w:tcBorders>
              <w:top w:val="nil"/>
              <w:left w:val="single" w:sz="4" w:space="0" w:color="auto"/>
              <w:bottom w:val="single" w:sz="4" w:space="0" w:color="auto"/>
              <w:right w:val="single" w:sz="4" w:space="0" w:color="auto"/>
            </w:tcBorders>
            <w:tcMar>
              <w:left w:w="115" w:type="dxa"/>
              <w:right w:w="259" w:type="dxa"/>
            </w:tcMar>
          </w:tcPr>
          <w:p w:rsidR="00DE1435" w:rsidRPr="008A55F2" w:rsidRDefault="00A444D9" w:rsidP="00DE1435">
            <w:pPr>
              <w:widowControl w:val="0"/>
              <w:jc w:val="right"/>
              <w:rPr>
                <w:rFonts w:eastAsiaTheme="minorHAnsi"/>
                <w:color w:val="000000"/>
                <w:sz w:val="21"/>
                <w:szCs w:val="21"/>
                <w:lang w:val="en-CA"/>
              </w:rPr>
            </w:pPr>
            <w:r w:rsidRPr="008A55F2">
              <w:rPr>
                <w:rFonts w:eastAsiaTheme="minorHAnsi"/>
                <w:color w:val="000000"/>
                <w:sz w:val="21"/>
                <w:szCs w:val="21"/>
                <w:lang w:val="en-CA"/>
              </w:rPr>
              <w:t>64.10</w:t>
            </w:r>
          </w:p>
        </w:tc>
        <w:tc>
          <w:tcPr>
            <w:tcW w:w="612" w:type="pct"/>
            <w:tcBorders>
              <w:top w:val="nil"/>
              <w:left w:val="single" w:sz="4" w:space="0" w:color="auto"/>
              <w:bottom w:val="single" w:sz="4" w:space="0" w:color="auto"/>
              <w:right w:val="single" w:sz="4" w:space="0" w:color="auto"/>
            </w:tcBorders>
            <w:shd w:val="clear" w:color="auto" w:fill="auto"/>
            <w:noWrap/>
            <w:tcMar>
              <w:left w:w="115" w:type="dxa"/>
              <w:right w:w="259" w:type="dxa"/>
            </w:tcMar>
            <w:vAlign w:val="center"/>
          </w:tcPr>
          <w:p w:rsidR="00DE1435" w:rsidRPr="008A55F2" w:rsidRDefault="00DE1435" w:rsidP="00DE1435">
            <w:pPr>
              <w:widowControl w:val="0"/>
              <w:jc w:val="right"/>
              <w:rPr>
                <w:bCs/>
                <w:color w:val="000000"/>
                <w:sz w:val="21"/>
                <w:szCs w:val="21"/>
                <w:lang w:val="en-CA"/>
              </w:rPr>
            </w:pPr>
            <w:r w:rsidRPr="008A55F2">
              <w:rPr>
                <w:bCs/>
                <w:color w:val="000000"/>
                <w:sz w:val="21"/>
                <w:szCs w:val="21"/>
                <w:lang w:val="en-CA"/>
              </w:rPr>
              <w:t>100.00</w:t>
            </w:r>
          </w:p>
        </w:tc>
      </w:tr>
      <w:tr w:rsidR="00DE1435" w:rsidRPr="008A55F2" w:rsidTr="008A55F2">
        <w:tc>
          <w:tcPr>
            <w:tcW w:w="133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E1435" w:rsidRPr="008A55F2" w:rsidRDefault="00DE1435" w:rsidP="00DE1435">
            <w:pPr>
              <w:widowControl w:val="0"/>
              <w:jc w:val="left"/>
              <w:rPr>
                <w:color w:val="000000"/>
                <w:sz w:val="21"/>
                <w:szCs w:val="21"/>
                <w:lang w:val="en-CA"/>
              </w:rPr>
            </w:pPr>
            <w:r w:rsidRPr="008A55F2">
              <w:rPr>
                <w:bCs/>
                <w:color w:val="000000"/>
                <w:sz w:val="21"/>
                <w:szCs w:val="21"/>
                <w:lang w:val="en-CA"/>
              </w:rPr>
              <w:t>ODP tonnes</w:t>
            </w:r>
          </w:p>
        </w:tc>
        <w:tc>
          <w:tcPr>
            <w:tcW w:w="611" w:type="pct"/>
            <w:tcBorders>
              <w:top w:val="nil"/>
              <w:left w:val="nil"/>
              <w:bottom w:val="single" w:sz="4" w:space="0" w:color="auto"/>
              <w:right w:val="single" w:sz="4" w:space="0" w:color="auto"/>
            </w:tcBorders>
            <w:shd w:val="clear" w:color="auto" w:fill="auto"/>
            <w:noWrap/>
            <w:tcMar>
              <w:left w:w="115" w:type="dxa"/>
              <w:right w:w="259" w:type="dxa"/>
            </w:tcMar>
            <w:vAlign w:val="center"/>
          </w:tcPr>
          <w:p w:rsidR="00DE1435" w:rsidRPr="008A55F2" w:rsidRDefault="00DE1435" w:rsidP="00DE1435">
            <w:pPr>
              <w:jc w:val="right"/>
              <w:rPr>
                <w:color w:val="000000"/>
                <w:sz w:val="21"/>
                <w:szCs w:val="21"/>
                <w:lang w:val="en-CA"/>
              </w:rPr>
            </w:pPr>
            <w:r w:rsidRPr="008A55F2">
              <w:rPr>
                <w:color w:val="000000"/>
                <w:sz w:val="21"/>
                <w:szCs w:val="21"/>
                <w:lang w:val="en-CA"/>
              </w:rPr>
              <w:t>4.69</w:t>
            </w:r>
          </w:p>
        </w:tc>
        <w:tc>
          <w:tcPr>
            <w:tcW w:w="611" w:type="pct"/>
            <w:tcBorders>
              <w:top w:val="nil"/>
              <w:left w:val="nil"/>
              <w:bottom w:val="single" w:sz="4" w:space="0" w:color="auto"/>
              <w:right w:val="single" w:sz="4" w:space="0" w:color="auto"/>
            </w:tcBorders>
            <w:shd w:val="clear" w:color="auto" w:fill="auto"/>
            <w:noWrap/>
            <w:tcMar>
              <w:left w:w="115" w:type="dxa"/>
              <w:right w:w="259" w:type="dxa"/>
            </w:tcMar>
            <w:vAlign w:val="center"/>
          </w:tcPr>
          <w:p w:rsidR="00DE1435" w:rsidRPr="008A55F2" w:rsidRDefault="00DE1435" w:rsidP="00DE1435">
            <w:pPr>
              <w:jc w:val="right"/>
              <w:rPr>
                <w:color w:val="000000"/>
                <w:sz w:val="21"/>
                <w:szCs w:val="21"/>
                <w:lang w:val="en-CA"/>
              </w:rPr>
            </w:pPr>
            <w:r w:rsidRPr="008A55F2">
              <w:rPr>
                <w:color w:val="000000"/>
                <w:sz w:val="21"/>
                <w:szCs w:val="21"/>
                <w:lang w:val="en-CA"/>
              </w:rPr>
              <w:t>4.59</w:t>
            </w:r>
          </w:p>
        </w:tc>
        <w:tc>
          <w:tcPr>
            <w:tcW w:w="611" w:type="pct"/>
            <w:tcBorders>
              <w:top w:val="single" w:sz="4" w:space="0" w:color="auto"/>
              <w:left w:val="nil"/>
              <w:bottom w:val="single" w:sz="4" w:space="0" w:color="auto"/>
              <w:right w:val="single" w:sz="4" w:space="0" w:color="auto"/>
            </w:tcBorders>
            <w:tcMar>
              <w:left w:w="115" w:type="dxa"/>
              <w:right w:w="259" w:type="dxa"/>
            </w:tcMar>
            <w:vAlign w:val="center"/>
          </w:tcPr>
          <w:p w:rsidR="00DE1435" w:rsidRPr="008A55F2" w:rsidRDefault="00DE1435" w:rsidP="00DE1435">
            <w:pPr>
              <w:jc w:val="right"/>
              <w:rPr>
                <w:color w:val="000000"/>
                <w:sz w:val="21"/>
                <w:szCs w:val="21"/>
                <w:lang w:val="en-CA"/>
              </w:rPr>
            </w:pPr>
            <w:r w:rsidRPr="008A55F2">
              <w:rPr>
                <w:color w:val="000000"/>
                <w:sz w:val="21"/>
                <w:szCs w:val="21"/>
                <w:lang w:val="en-CA"/>
              </w:rPr>
              <w:t>4.18</w:t>
            </w:r>
          </w:p>
        </w:tc>
        <w:tc>
          <w:tcPr>
            <w:tcW w:w="611" w:type="pct"/>
            <w:tcBorders>
              <w:top w:val="nil"/>
              <w:left w:val="single" w:sz="4" w:space="0" w:color="auto"/>
              <w:bottom w:val="single" w:sz="4" w:space="0" w:color="auto"/>
              <w:right w:val="single" w:sz="4" w:space="0" w:color="auto"/>
            </w:tcBorders>
            <w:tcMar>
              <w:left w:w="115" w:type="dxa"/>
              <w:right w:w="259" w:type="dxa"/>
            </w:tcMar>
            <w:vAlign w:val="center"/>
          </w:tcPr>
          <w:p w:rsidR="00DE1435" w:rsidRPr="008A55F2" w:rsidRDefault="00DE1435" w:rsidP="00DE1435">
            <w:pPr>
              <w:jc w:val="right"/>
              <w:rPr>
                <w:color w:val="000000"/>
                <w:sz w:val="21"/>
                <w:szCs w:val="21"/>
                <w:lang w:val="en-CA"/>
              </w:rPr>
            </w:pPr>
            <w:r w:rsidRPr="008A55F2">
              <w:rPr>
                <w:color w:val="000000"/>
                <w:sz w:val="21"/>
                <w:szCs w:val="21"/>
                <w:lang w:val="en-CA"/>
              </w:rPr>
              <w:t>3.96</w:t>
            </w:r>
          </w:p>
        </w:tc>
        <w:tc>
          <w:tcPr>
            <w:tcW w:w="611" w:type="pct"/>
            <w:tcBorders>
              <w:top w:val="nil"/>
              <w:left w:val="single" w:sz="4" w:space="0" w:color="auto"/>
              <w:bottom w:val="single" w:sz="4" w:space="0" w:color="auto"/>
              <w:right w:val="single" w:sz="4" w:space="0" w:color="auto"/>
            </w:tcBorders>
            <w:tcMar>
              <w:left w:w="115" w:type="dxa"/>
              <w:right w:w="259" w:type="dxa"/>
            </w:tcMar>
          </w:tcPr>
          <w:p w:rsidR="00DE1435" w:rsidRPr="008A55F2" w:rsidRDefault="00A444D9" w:rsidP="00DE1435">
            <w:pPr>
              <w:jc w:val="right"/>
              <w:rPr>
                <w:rFonts w:eastAsiaTheme="minorHAnsi"/>
                <w:color w:val="000000"/>
                <w:sz w:val="21"/>
                <w:szCs w:val="21"/>
                <w:lang w:val="en-CA"/>
              </w:rPr>
            </w:pPr>
            <w:r w:rsidRPr="008A55F2">
              <w:rPr>
                <w:rFonts w:eastAsiaTheme="minorHAnsi"/>
                <w:color w:val="000000"/>
                <w:sz w:val="21"/>
                <w:szCs w:val="21"/>
                <w:lang w:val="en-CA"/>
              </w:rPr>
              <w:t>3.53</w:t>
            </w:r>
          </w:p>
        </w:tc>
        <w:tc>
          <w:tcPr>
            <w:tcW w:w="612"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rsidR="00DE1435" w:rsidRPr="008A55F2" w:rsidRDefault="00DE1435" w:rsidP="00DE1435">
            <w:pPr>
              <w:jc w:val="right"/>
              <w:rPr>
                <w:rFonts w:eastAsiaTheme="minorHAnsi"/>
                <w:color w:val="000000"/>
                <w:sz w:val="21"/>
                <w:szCs w:val="21"/>
                <w:lang w:val="en-CA"/>
              </w:rPr>
            </w:pPr>
            <w:r w:rsidRPr="008A55F2">
              <w:rPr>
                <w:rFonts w:eastAsiaTheme="minorHAnsi"/>
                <w:color w:val="000000"/>
                <w:sz w:val="21"/>
                <w:szCs w:val="21"/>
                <w:lang w:val="en-CA"/>
              </w:rPr>
              <w:t>5.50</w:t>
            </w:r>
          </w:p>
        </w:tc>
      </w:tr>
    </w:tbl>
    <w:p w:rsidR="00D54581" w:rsidRPr="000D2DC6" w:rsidRDefault="00D54581" w:rsidP="008179F2">
      <w:pPr>
        <w:rPr>
          <w:sz w:val="19"/>
          <w:szCs w:val="19"/>
          <w:lang w:val="en-CA"/>
        </w:rPr>
      </w:pPr>
      <w:r w:rsidRPr="000D2DC6">
        <w:rPr>
          <w:sz w:val="19"/>
          <w:szCs w:val="19"/>
          <w:lang w:val="en-CA"/>
        </w:rPr>
        <w:t>*Country programme data</w:t>
      </w:r>
    </w:p>
    <w:p w:rsidR="00D54581" w:rsidRPr="00A77369" w:rsidRDefault="00D54581" w:rsidP="008179F2">
      <w:pPr>
        <w:rPr>
          <w:lang w:val="en-CA"/>
        </w:rPr>
      </w:pPr>
    </w:p>
    <w:p w:rsidR="00D54581" w:rsidRPr="00A77369" w:rsidRDefault="001F0A2D" w:rsidP="00CC2DFD">
      <w:pPr>
        <w:pStyle w:val="Heading1"/>
        <w:rPr>
          <w:lang w:val="en-CA"/>
        </w:rPr>
      </w:pPr>
      <w:r w:rsidRPr="00A77369">
        <w:rPr>
          <w:lang w:val="en-CA"/>
        </w:rPr>
        <w:t>Ethiopia</w:t>
      </w:r>
      <w:r w:rsidR="00A77369">
        <w:rPr>
          <w:lang w:val="en-CA"/>
        </w:rPr>
        <w:t>’s</w:t>
      </w:r>
      <w:r w:rsidRPr="00A77369">
        <w:rPr>
          <w:lang w:val="en-CA"/>
        </w:rPr>
        <w:t xml:space="preserve"> only consumption is HCFC-22 which is used </w:t>
      </w:r>
      <w:r w:rsidR="00365AE9" w:rsidRPr="00A77369">
        <w:rPr>
          <w:lang w:val="en-CA"/>
        </w:rPr>
        <w:t xml:space="preserve">exclusively </w:t>
      </w:r>
      <w:r w:rsidRPr="00A77369">
        <w:rPr>
          <w:lang w:val="en-CA"/>
        </w:rPr>
        <w:t xml:space="preserve">in the servicing sector. </w:t>
      </w:r>
      <w:r w:rsidR="00CC2DFD" w:rsidRPr="00A77369">
        <w:rPr>
          <w:lang w:val="en-CA"/>
        </w:rPr>
        <w:t>Consumption continues to decline with the implementation of the activities in the refrigeration servicing sector included in the HPMP and of the license and quota system.</w:t>
      </w:r>
    </w:p>
    <w:p w:rsidR="00D54581" w:rsidRPr="00A77369" w:rsidRDefault="00D54581" w:rsidP="008179F2">
      <w:pPr>
        <w:rPr>
          <w:i/>
          <w:lang w:val="en-CA"/>
        </w:rPr>
      </w:pPr>
      <w:r w:rsidRPr="00A77369">
        <w:rPr>
          <w:i/>
          <w:lang w:val="en-CA"/>
        </w:rPr>
        <w:t>CP implementation report</w:t>
      </w:r>
    </w:p>
    <w:p w:rsidR="00D54581" w:rsidRPr="00A77369" w:rsidRDefault="00D54581" w:rsidP="008179F2">
      <w:pPr>
        <w:rPr>
          <w:lang w:val="en-CA"/>
        </w:rPr>
      </w:pPr>
    </w:p>
    <w:p w:rsidR="00D54581" w:rsidRPr="00A77369" w:rsidRDefault="00D54581" w:rsidP="00365AE9">
      <w:pPr>
        <w:pStyle w:val="Heading1"/>
        <w:rPr>
          <w:lang w:val="en-CA"/>
        </w:rPr>
      </w:pPr>
      <w:r w:rsidRPr="00A77369">
        <w:rPr>
          <w:lang w:val="en-CA"/>
        </w:rPr>
        <w:t>The Government of</w:t>
      </w:r>
      <w:r w:rsidR="003C05F7" w:rsidRPr="00A77369">
        <w:rPr>
          <w:lang w:val="en-CA"/>
        </w:rPr>
        <w:t xml:space="preserve"> Ethiopia</w:t>
      </w:r>
      <w:r w:rsidRPr="00A77369">
        <w:rPr>
          <w:lang w:val="en-CA"/>
        </w:rPr>
        <w:t xml:space="preserve"> reported HCFC sector consumption data under the 2018 CP implementation report which is consistent with the data reported under Article 7 of the Montreal Protocol. </w:t>
      </w:r>
    </w:p>
    <w:p w:rsidR="00D54581" w:rsidRPr="00A77369" w:rsidRDefault="00D54581" w:rsidP="008179F2">
      <w:pPr>
        <w:rPr>
          <w:u w:val="single"/>
          <w:lang w:val="en-CA"/>
        </w:rPr>
      </w:pPr>
      <w:r w:rsidRPr="00A77369">
        <w:rPr>
          <w:u w:val="single"/>
          <w:lang w:val="en-CA"/>
        </w:rPr>
        <w:t xml:space="preserve">Progress report on the implementation of the </w:t>
      </w:r>
      <w:r w:rsidR="003C05F7" w:rsidRPr="00A77369">
        <w:rPr>
          <w:u w:val="single"/>
          <w:lang w:val="en-CA"/>
        </w:rPr>
        <w:t xml:space="preserve">second </w:t>
      </w:r>
      <w:r w:rsidRPr="00A77369">
        <w:rPr>
          <w:u w:val="single"/>
          <w:lang w:val="en-CA"/>
        </w:rPr>
        <w:t>tranche of the HPMP</w:t>
      </w:r>
    </w:p>
    <w:p w:rsidR="00D54581" w:rsidRPr="00A77369" w:rsidRDefault="00D54581" w:rsidP="008179F2">
      <w:pPr>
        <w:rPr>
          <w:lang w:val="en-CA"/>
        </w:rPr>
      </w:pPr>
    </w:p>
    <w:p w:rsidR="00D54581" w:rsidRPr="00A77369" w:rsidRDefault="00D54581" w:rsidP="008179F2">
      <w:pPr>
        <w:rPr>
          <w:i/>
          <w:lang w:val="en-CA"/>
        </w:rPr>
      </w:pPr>
      <w:r w:rsidRPr="00A77369">
        <w:rPr>
          <w:i/>
          <w:lang w:val="en-CA"/>
        </w:rPr>
        <w:t>Legal framework</w:t>
      </w:r>
    </w:p>
    <w:p w:rsidR="00D54581" w:rsidRPr="00A77369" w:rsidRDefault="00D54581" w:rsidP="008179F2">
      <w:pPr>
        <w:rPr>
          <w:lang w:val="en-CA"/>
        </w:rPr>
      </w:pPr>
    </w:p>
    <w:p w:rsidR="00365AE9" w:rsidRPr="00A77369" w:rsidRDefault="00365AE9" w:rsidP="00365AE9">
      <w:pPr>
        <w:pStyle w:val="Heading1"/>
        <w:rPr>
          <w:lang w:val="en-CA"/>
        </w:rPr>
      </w:pPr>
      <w:r w:rsidRPr="00A77369">
        <w:rPr>
          <w:lang w:val="en-CA"/>
        </w:rPr>
        <w:t>Ethiopia’s ODS regulations, gazetted in 2011, cover the imports and exports of ODS and ODS</w:t>
      </w:r>
      <w:r w:rsidR="00A77369">
        <w:rPr>
          <w:lang w:val="en-CA"/>
        </w:rPr>
        <w:noBreakHyphen/>
      </w:r>
      <w:r w:rsidRPr="00A77369">
        <w:rPr>
          <w:lang w:val="en-CA"/>
        </w:rPr>
        <w:t>based equipment, and provide for a licensing system for all ODS including HCFCs. The Environmental Protection Agency (EPA) is the focal point for the Montreal Protocol</w:t>
      </w:r>
      <w:r w:rsidR="00510544">
        <w:rPr>
          <w:lang w:val="en-CA"/>
        </w:rPr>
        <w:t>; it</w:t>
      </w:r>
      <w:r w:rsidRPr="00A77369">
        <w:rPr>
          <w:lang w:val="en-CA"/>
        </w:rPr>
        <w:t xml:space="preserve"> coordinates all activities to meet compliance</w:t>
      </w:r>
      <w:r w:rsidR="00510544">
        <w:rPr>
          <w:lang w:val="en-CA"/>
        </w:rPr>
        <w:t xml:space="preserve">; </w:t>
      </w:r>
      <w:r w:rsidRPr="00A77369">
        <w:rPr>
          <w:lang w:val="en-CA"/>
        </w:rPr>
        <w:t>works closely with the Ethiopian Customs and Revenue Authority in the enforcement of the ODS regulations</w:t>
      </w:r>
      <w:r w:rsidR="00ED1E8C">
        <w:rPr>
          <w:lang w:val="en-CA"/>
        </w:rPr>
        <w:t xml:space="preserve">; and </w:t>
      </w:r>
      <w:r w:rsidRPr="00A77369">
        <w:rPr>
          <w:lang w:val="en-CA"/>
        </w:rPr>
        <w:t xml:space="preserve">is responsible for the logistical and enforcement mechanisms for the ODS regulations and raising awareness of the importers and the general public on ozone issues. </w:t>
      </w:r>
      <w:r w:rsidR="00ED1E8C">
        <w:rPr>
          <w:lang w:val="en-CA"/>
        </w:rPr>
        <w:t>S</w:t>
      </w:r>
      <w:r w:rsidR="00ED1E8C" w:rsidRPr="00A77369">
        <w:rPr>
          <w:lang w:val="en-CA"/>
        </w:rPr>
        <w:t xml:space="preserve">ubstances </w:t>
      </w:r>
      <w:r w:rsidR="00ED1E8C">
        <w:rPr>
          <w:lang w:val="en-CA"/>
        </w:rPr>
        <w:t xml:space="preserve">listed under </w:t>
      </w:r>
      <w:r w:rsidR="00925C53" w:rsidRPr="00A77369">
        <w:rPr>
          <w:lang w:val="en-CA"/>
        </w:rPr>
        <w:t>Annex</w:t>
      </w:r>
      <w:r w:rsidR="00ED1E8C">
        <w:rPr>
          <w:lang w:val="en-CA"/>
        </w:rPr>
        <w:t>es</w:t>
      </w:r>
      <w:r w:rsidR="00925C53" w:rsidRPr="00A77369">
        <w:rPr>
          <w:lang w:val="en-CA"/>
        </w:rPr>
        <w:t xml:space="preserve"> A, B, and E </w:t>
      </w:r>
      <w:r w:rsidR="00ED1E8C">
        <w:rPr>
          <w:lang w:val="en-CA"/>
        </w:rPr>
        <w:t xml:space="preserve">of the Protocol </w:t>
      </w:r>
      <w:r w:rsidR="00925C53" w:rsidRPr="00A77369">
        <w:rPr>
          <w:lang w:val="en-CA"/>
        </w:rPr>
        <w:t>are banned except for methyl bromide for quarantine and pre-shipment</w:t>
      </w:r>
      <w:r w:rsidR="009942B7" w:rsidRPr="00A77369">
        <w:rPr>
          <w:lang w:val="en-CA"/>
        </w:rPr>
        <w:t xml:space="preserve">. While the </w:t>
      </w:r>
      <w:r w:rsidR="00A33C97">
        <w:rPr>
          <w:lang w:val="en-CA"/>
        </w:rPr>
        <w:t>national ozone unit (</w:t>
      </w:r>
      <w:r w:rsidR="009942B7" w:rsidRPr="00A77369">
        <w:rPr>
          <w:lang w:val="en-CA"/>
        </w:rPr>
        <w:t>NOU</w:t>
      </w:r>
      <w:r w:rsidR="00A33C97">
        <w:rPr>
          <w:lang w:val="en-CA"/>
        </w:rPr>
        <w:t>)</w:t>
      </w:r>
      <w:r w:rsidR="009942B7" w:rsidRPr="00A77369">
        <w:rPr>
          <w:lang w:val="en-CA"/>
        </w:rPr>
        <w:t xml:space="preserve"> is not aware of stocks </w:t>
      </w:r>
      <w:r w:rsidR="009942B7" w:rsidRPr="00A77369">
        <w:rPr>
          <w:bCs/>
          <w:lang w:val="en-CA"/>
        </w:rPr>
        <w:t>of controlled substances that have been phased out in the country, some equipment based on such substances remains in use</w:t>
      </w:r>
      <w:r w:rsidR="00ED1E8C">
        <w:rPr>
          <w:bCs/>
          <w:lang w:val="en-CA"/>
        </w:rPr>
        <w:t xml:space="preserve"> and </w:t>
      </w:r>
      <w:r w:rsidR="009942B7" w:rsidRPr="00A77369">
        <w:rPr>
          <w:bCs/>
          <w:lang w:val="en-CA"/>
        </w:rPr>
        <w:t xml:space="preserve">the NOU is seeking to ensure the safe disposal of </w:t>
      </w:r>
      <w:r w:rsidR="00ED1E8C">
        <w:rPr>
          <w:bCs/>
          <w:lang w:val="en-CA"/>
        </w:rPr>
        <w:t xml:space="preserve">such </w:t>
      </w:r>
      <w:r w:rsidR="009942B7" w:rsidRPr="00A77369">
        <w:rPr>
          <w:bCs/>
          <w:lang w:val="en-CA"/>
        </w:rPr>
        <w:t>substances.</w:t>
      </w:r>
    </w:p>
    <w:p w:rsidR="00D95C54" w:rsidRPr="00A77369" w:rsidRDefault="00F20041" w:rsidP="00740CB2">
      <w:pPr>
        <w:pStyle w:val="Heading1"/>
        <w:rPr>
          <w:lang w:val="en-CA"/>
        </w:rPr>
      </w:pPr>
      <w:r w:rsidRPr="00A77369">
        <w:rPr>
          <w:lang w:val="en-CA"/>
        </w:rPr>
        <w:t>A</w:t>
      </w:r>
      <w:r w:rsidR="00D95C54" w:rsidRPr="00A77369">
        <w:rPr>
          <w:lang w:val="en-CA"/>
        </w:rPr>
        <w:t xml:space="preserve"> person that imports ODS without authorization from the </w:t>
      </w:r>
      <w:r w:rsidRPr="00A77369">
        <w:rPr>
          <w:lang w:val="en-CA"/>
        </w:rPr>
        <w:t>EPA</w:t>
      </w:r>
      <w:r w:rsidR="00D95C54" w:rsidRPr="00A77369">
        <w:rPr>
          <w:lang w:val="en-CA"/>
        </w:rPr>
        <w:t xml:space="preserve"> is punishable with a fine not less than </w:t>
      </w:r>
      <w:r w:rsidR="00ED1E8C">
        <w:rPr>
          <w:lang w:val="en-CA"/>
        </w:rPr>
        <w:t>$</w:t>
      </w:r>
      <w:r w:rsidR="00D95C54" w:rsidRPr="00A77369">
        <w:rPr>
          <w:lang w:val="en-CA"/>
        </w:rPr>
        <w:t xml:space="preserve">10,000 </w:t>
      </w:r>
      <w:r w:rsidR="00ED1E8C" w:rsidRPr="00A77369">
        <w:rPr>
          <w:lang w:val="en-CA"/>
        </w:rPr>
        <w:t xml:space="preserve">Birr </w:t>
      </w:r>
      <w:r w:rsidR="00D95C54" w:rsidRPr="00A77369">
        <w:rPr>
          <w:lang w:val="en-CA"/>
        </w:rPr>
        <w:t>(</w:t>
      </w:r>
      <w:r w:rsidR="008A55F2">
        <w:rPr>
          <w:lang w:val="en-CA"/>
        </w:rPr>
        <w:t>US $</w:t>
      </w:r>
      <w:r w:rsidR="00D95C54" w:rsidRPr="00A77369">
        <w:rPr>
          <w:lang w:val="en-CA"/>
        </w:rPr>
        <w:t>300) or imprisonment not exceeding two years, or both; and any dealer engaged in ODS or appliances</w:t>
      </w:r>
      <w:r w:rsidR="00A33C97">
        <w:rPr>
          <w:lang w:val="en-CA"/>
        </w:rPr>
        <w:t>’</w:t>
      </w:r>
      <w:r w:rsidR="00D95C54" w:rsidRPr="00A77369">
        <w:rPr>
          <w:lang w:val="en-CA"/>
        </w:rPr>
        <w:t xml:space="preserve"> business is </w:t>
      </w:r>
      <w:r w:rsidRPr="00A77369">
        <w:rPr>
          <w:lang w:val="en-CA"/>
        </w:rPr>
        <w:t>required</w:t>
      </w:r>
      <w:r w:rsidR="00D95C54" w:rsidRPr="00A77369">
        <w:rPr>
          <w:lang w:val="en-CA"/>
        </w:rPr>
        <w:t xml:space="preserve"> to keep records of the quantity, type and the country of origin of ODS and appliances imported, sold, repaired, serviced or manufactured, and should report that information to the EPA. Violation</w:t>
      </w:r>
      <w:r w:rsidRPr="00A77369">
        <w:rPr>
          <w:lang w:val="en-CA"/>
        </w:rPr>
        <w:t>s are</w:t>
      </w:r>
      <w:r w:rsidR="00D95C54" w:rsidRPr="00A77369">
        <w:rPr>
          <w:lang w:val="en-CA"/>
        </w:rPr>
        <w:t xml:space="preserve"> punishable with a fine between </w:t>
      </w:r>
      <w:r w:rsidR="00ED1E8C">
        <w:rPr>
          <w:lang w:val="en-CA"/>
        </w:rPr>
        <w:t>$</w:t>
      </w:r>
      <w:r w:rsidR="00D95C54" w:rsidRPr="00A77369">
        <w:rPr>
          <w:lang w:val="en-CA"/>
        </w:rPr>
        <w:t xml:space="preserve">10,000 and </w:t>
      </w:r>
      <w:r w:rsidR="00ED1E8C">
        <w:rPr>
          <w:lang w:val="en-CA"/>
        </w:rPr>
        <w:t>$</w:t>
      </w:r>
      <w:r w:rsidR="00D95C54" w:rsidRPr="00A77369">
        <w:rPr>
          <w:lang w:val="en-CA"/>
        </w:rPr>
        <w:t xml:space="preserve">20,000 </w:t>
      </w:r>
      <w:r w:rsidR="00ED1E8C" w:rsidRPr="00A77369">
        <w:rPr>
          <w:lang w:val="en-CA"/>
        </w:rPr>
        <w:t xml:space="preserve">Birr </w:t>
      </w:r>
      <w:r w:rsidR="00D95C54" w:rsidRPr="00A77369">
        <w:rPr>
          <w:lang w:val="en-CA"/>
        </w:rPr>
        <w:t>(</w:t>
      </w:r>
      <w:r w:rsidR="00CA2532">
        <w:rPr>
          <w:lang w:val="en-CA"/>
        </w:rPr>
        <w:t>up to</w:t>
      </w:r>
      <w:r w:rsidR="00A33C97">
        <w:rPr>
          <w:lang w:val="en-CA"/>
        </w:rPr>
        <w:t> </w:t>
      </w:r>
      <w:r w:rsidR="008A55F2">
        <w:rPr>
          <w:lang w:val="en-CA"/>
        </w:rPr>
        <w:t>US $</w:t>
      </w:r>
      <w:r w:rsidR="00D95C54" w:rsidRPr="00A77369">
        <w:rPr>
          <w:lang w:val="en-CA"/>
        </w:rPr>
        <w:t xml:space="preserve">600). To </w:t>
      </w:r>
      <w:r w:rsidR="00D95C54" w:rsidRPr="00A77369">
        <w:rPr>
          <w:lang w:val="en-CA"/>
        </w:rPr>
        <w:lastRenderedPageBreak/>
        <w:t>date, there have been no cases of violations and no sanctions or penalties had been imposed.</w:t>
      </w:r>
      <w:r w:rsidRPr="00A77369">
        <w:rPr>
          <w:lang w:val="en-CA"/>
        </w:rPr>
        <w:t xml:space="preserve"> </w:t>
      </w:r>
      <w:r w:rsidR="00D3262D" w:rsidRPr="00A77369">
        <w:rPr>
          <w:lang w:val="en-CA"/>
        </w:rPr>
        <w:t xml:space="preserve">Suspicious shipments </w:t>
      </w:r>
      <w:r w:rsidR="00CB652D" w:rsidRPr="00A77369">
        <w:rPr>
          <w:lang w:val="en-CA"/>
        </w:rPr>
        <w:t>may be</w:t>
      </w:r>
      <w:r w:rsidR="00D3262D" w:rsidRPr="00A77369">
        <w:rPr>
          <w:lang w:val="en-CA"/>
        </w:rPr>
        <w:t xml:space="preserve"> tested at </w:t>
      </w:r>
      <w:r w:rsidR="00CB652D" w:rsidRPr="00A77369">
        <w:rPr>
          <w:lang w:val="en-CA"/>
        </w:rPr>
        <w:t xml:space="preserve">a laboratory with the EPA or </w:t>
      </w:r>
      <w:r w:rsidR="00D3262D" w:rsidRPr="00A77369">
        <w:rPr>
          <w:lang w:val="en-CA"/>
        </w:rPr>
        <w:t xml:space="preserve">the Ethiopian Standards Agency (ESA); illegal shipments can be seized and are returned to the country of origin, with the cost of that shipment borne by the importer. </w:t>
      </w:r>
    </w:p>
    <w:p w:rsidR="00987461" w:rsidRPr="00077100" w:rsidRDefault="00077100" w:rsidP="006B44A5">
      <w:pPr>
        <w:pStyle w:val="Heading1"/>
        <w:rPr>
          <w:lang w:val="en-CA"/>
        </w:rPr>
      </w:pPr>
      <w:r w:rsidRPr="00077100">
        <w:rPr>
          <w:lang w:val="en-CA"/>
        </w:rPr>
        <w:t>A task force led by the Deputy Commissioner for Environment, Forest and Climate Change was organized to address</w:t>
      </w:r>
      <w:r w:rsidR="00987461" w:rsidRPr="00077100">
        <w:rPr>
          <w:lang w:val="en-CA"/>
        </w:rPr>
        <w:t xml:space="preserve"> the recommendations of the verification report submitted to the 77</w:t>
      </w:r>
      <w:r w:rsidR="00987461" w:rsidRPr="00077100">
        <w:rPr>
          <w:vertAlign w:val="superscript"/>
          <w:lang w:val="en-CA"/>
        </w:rPr>
        <w:t>th</w:t>
      </w:r>
      <w:r w:rsidR="00987461" w:rsidRPr="00077100">
        <w:rPr>
          <w:lang w:val="en-CA"/>
        </w:rPr>
        <w:t xml:space="preserve"> meeting,</w:t>
      </w:r>
      <w:r w:rsidR="00987461" w:rsidRPr="00A77369">
        <w:rPr>
          <w:rStyle w:val="FootnoteReference"/>
          <w:lang w:val="en-CA"/>
        </w:rPr>
        <w:footnoteReference w:id="2"/>
      </w:r>
      <w:r w:rsidR="00F4245F" w:rsidRPr="00077100">
        <w:rPr>
          <w:lang w:val="en-CA"/>
        </w:rPr>
        <w:t xml:space="preserve"> including </w:t>
      </w:r>
      <w:r w:rsidR="00032E16" w:rsidRPr="00077100">
        <w:rPr>
          <w:i/>
          <w:lang w:val="en-CA"/>
        </w:rPr>
        <w:t xml:space="preserve">inter alia </w:t>
      </w:r>
      <w:r w:rsidR="00F4245F" w:rsidRPr="00077100">
        <w:rPr>
          <w:lang w:val="en-CA"/>
        </w:rPr>
        <w:t>the need for improved communication between the NOU and HCFC importers; strengthened cooperation between the NOU, customs, and enforcement officials to better target illegal imports;</w:t>
      </w:r>
      <w:r w:rsidR="00032E16" w:rsidRPr="00077100">
        <w:rPr>
          <w:rFonts w:eastAsia="Calibri"/>
        </w:rPr>
        <w:t xml:space="preserve"> development of</w:t>
      </w:r>
      <w:r w:rsidR="00032E16" w:rsidRPr="002E3534">
        <w:t xml:space="preserve"> standard application forms for licenses and quotas; </w:t>
      </w:r>
      <w:r w:rsidR="002E3534" w:rsidRPr="00077100">
        <w:rPr>
          <w:rFonts w:eastAsia="Calibri"/>
        </w:rPr>
        <w:t xml:space="preserve">and </w:t>
      </w:r>
      <w:r w:rsidR="00032E16" w:rsidRPr="002E3534">
        <w:t>development of an</w:t>
      </w:r>
      <w:r w:rsidR="00032E16">
        <w:t xml:space="preserve"> online website for importers to apply for quotas</w:t>
      </w:r>
      <w:r>
        <w:t>. Actions to address those recommendations are planned under the third tranche.</w:t>
      </w:r>
      <w:r w:rsidR="00987461" w:rsidRPr="00077100">
        <w:rPr>
          <w:lang w:val="en-CA"/>
        </w:rPr>
        <w:t xml:space="preserve"> </w:t>
      </w:r>
    </w:p>
    <w:p w:rsidR="00365AE9" w:rsidRPr="00A77369" w:rsidRDefault="00FB3129" w:rsidP="0099429D">
      <w:pPr>
        <w:pStyle w:val="Heading1"/>
        <w:rPr>
          <w:lang w:val="en-CA"/>
        </w:rPr>
      </w:pPr>
      <w:r w:rsidRPr="00A77369">
        <w:rPr>
          <w:lang w:val="en-CA"/>
        </w:rPr>
        <w:t>Two</w:t>
      </w:r>
      <w:r w:rsidR="0099429D" w:rsidRPr="00A77369">
        <w:rPr>
          <w:lang w:val="en-CA"/>
        </w:rPr>
        <w:t xml:space="preserve"> training sessions for </w:t>
      </w:r>
      <w:r w:rsidRPr="00A77369">
        <w:rPr>
          <w:lang w:val="en-CA"/>
        </w:rPr>
        <w:t>60</w:t>
      </w:r>
      <w:r w:rsidR="0099429D" w:rsidRPr="00A77369">
        <w:rPr>
          <w:lang w:val="en-CA"/>
        </w:rPr>
        <w:t xml:space="preserve"> customs officers</w:t>
      </w:r>
      <w:r w:rsidR="002D2685" w:rsidRPr="00A77369">
        <w:rPr>
          <w:lang w:val="en-CA"/>
        </w:rPr>
        <w:t>, of which 23 were women,</w:t>
      </w:r>
      <w:r w:rsidR="0099429D" w:rsidRPr="00A77369">
        <w:rPr>
          <w:lang w:val="en-CA"/>
        </w:rPr>
        <w:t xml:space="preserve"> on identification of ODS, combating illegal trade, and implementation of national ODS legislation were conducted. </w:t>
      </w:r>
    </w:p>
    <w:p w:rsidR="00D54581" w:rsidRPr="00A77369" w:rsidRDefault="00D54581" w:rsidP="00365AE9">
      <w:pPr>
        <w:pStyle w:val="Heading1"/>
        <w:numPr>
          <w:ilvl w:val="0"/>
          <w:numId w:val="0"/>
        </w:numPr>
        <w:rPr>
          <w:i/>
          <w:lang w:val="en-CA"/>
        </w:rPr>
      </w:pPr>
      <w:r w:rsidRPr="00A77369">
        <w:rPr>
          <w:i/>
          <w:lang w:val="en-CA"/>
        </w:rPr>
        <w:t>Refrigeration servicing sector</w:t>
      </w:r>
    </w:p>
    <w:p w:rsidR="00B33D49" w:rsidRPr="00A77369" w:rsidRDefault="00FA3E4D" w:rsidP="00925C53">
      <w:pPr>
        <w:pStyle w:val="Heading1"/>
        <w:rPr>
          <w:lang w:val="en-CA"/>
        </w:rPr>
      </w:pPr>
      <w:r w:rsidRPr="00A77369">
        <w:rPr>
          <w:lang w:val="en-CA"/>
        </w:rPr>
        <w:t>Three</w:t>
      </w:r>
      <w:r w:rsidR="00B33D49" w:rsidRPr="00A77369">
        <w:rPr>
          <w:lang w:val="en-CA"/>
        </w:rPr>
        <w:t xml:space="preserve"> workshops for approximately </w:t>
      </w:r>
      <w:r w:rsidRPr="00A77369">
        <w:rPr>
          <w:lang w:val="en-CA"/>
        </w:rPr>
        <w:t>75</w:t>
      </w:r>
      <w:r w:rsidR="00B33D49" w:rsidRPr="00A77369">
        <w:rPr>
          <w:lang w:val="en-CA"/>
        </w:rPr>
        <w:t xml:space="preserve"> refrigeration technicians</w:t>
      </w:r>
      <w:r w:rsidRPr="00A77369">
        <w:rPr>
          <w:lang w:val="en-CA"/>
        </w:rPr>
        <w:t xml:space="preserve">, </w:t>
      </w:r>
      <w:r w:rsidR="006A5633" w:rsidRPr="00A77369">
        <w:rPr>
          <w:lang w:val="en-CA"/>
        </w:rPr>
        <w:t xml:space="preserve">of </w:t>
      </w:r>
      <w:r w:rsidR="006A5633">
        <w:rPr>
          <w:lang w:val="en-CA"/>
        </w:rPr>
        <w:t xml:space="preserve">whom </w:t>
      </w:r>
      <w:r w:rsidR="006A5633" w:rsidRPr="00A77369">
        <w:rPr>
          <w:lang w:val="en-CA"/>
        </w:rPr>
        <w:t xml:space="preserve">seven technicians and eight trainers </w:t>
      </w:r>
      <w:r w:rsidR="006A5633">
        <w:rPr>
          <w:lang w:val="en-CA"/>
        </w:rPr>
        <w:t>were women,</w:t>
      </w:r>
      <w:r w:rsidR="00E45C08" w:rsidRPr="00A77369">
        <w:rPr>
          <w:lang w:val="en-CA"/>
        </w:rPr>
        <w:t xml:space="preserve"> in good refrigeration practices</w:t>
      </w:r>
      <w:r w:rsidR="006A5633">
        <w:rPr>
          <w:lang w:val="en-CA"/>
        </w:rPr>
        <w:t xml:space="preserve"> </w:t>
      </w:r>
      <w:r w:rsidRPr="00A77369">
        <w:rPr>
          <w:lang w:val="en-CA"/>
        </w:rPr>
        <w:t>including safe handling of flammable refrigerants and emerging technologies like CO</w:t>
      </w:r>
      <w:r w:rsidRPr="00A77369">
        <w:rPr>
          <w:vertAlign w:val="subscript"/>
          <w:lang w:val="en-CA"/>
        </w:rPr>
        <w:t>2</w:t>
      </w:r>
      <w:r w:rsidRPr="00A77369">
        <w:rPr>
          <w:lang w:val="en-CA"/>
        </w:rPr>
        <w:t xml:space="preserve"> and hydrocarbon </w:t>
      </w:r>
      <w:r w:rsidR="00703234">
        <w:rPr>
          <w:lang w:val="en-CA"/>
        </w:rPr>
        <w:t xml:space="preserve">(HC) </w:t>
      </w:r>
      <w:r w:rsidRPr="00A77369">
        <w:rPr>
          <w:lang w:val="en-CA"/>
        </w:rPr>
        <w:t>technology</w:t>
      </w:r>
      <w:r w:rsidR="00D473BD">
        <w:rPr>
          <w:lang w:val="en-CA"/>
        </w:rPr>
        <w:t xml:space="preserve"> were held</w:t>
      </w:r>
      <w:r w:rsidR="00B33D49" w:rsidRPr="00A77369">
        <w:rPr>
          <w:lang w:val="en-CA"/>
        </w:rPr>
        <w:t xml:space="preserve">; </w:t>
      </w:r>
      <w:r w:rsidRPr="00A77369">
        <w:rPr>
          <w:lang w:val="en-CA"/>
        </w:rPr>
        <w:t xml:space="preserve">three </w:t>
      </w:r>
      <w:r w:rsidR="00B33D49" w:rsidRPr="00A77369">
        <w:rPr>
          <w:lang w:val="en-CA"/>
        </w:rPr>
        <w:t>meetings of the refrigeration association</w:t>
      </w:r>
      <w:r w:rsidRPr="00A77369">
        <w:rPr>
          <w:lang w:val="en-CA"/>
        </w:rPr>
        <w:t xml:space="preserve"> for 150 participants that focused on implementation of the HPMP activities </w:t>
      </w:r>
      <w:r w:rsidR="00D473BD">
        <w:rPr>
          <w:lang w:val="en-CA"/>
        </w:rPr>
        <w:t xml:space="preserve">were organized </w:t>
      </w:r>
      <w:r w:rsidRPr="00A77369">
        <w:rPr>
          <w:lang w:val="en-CA"/>
        </w:rPr>
        <w:t xml:space="preserve">and included discussion on </w:t>
      </w:r>
      <w:r w:rsidR="006A5633">
        <w:rPr>
          <w:lang w:val="en-CA"/>
        </w:rPr>
        <w:t>safe operation and maintenance of refrigeration and air-conditioning (RAC) equipment based on flammable refrigerants</w:t>
      </w:r>
      <w:r w:rsidRPr="00A77369">
        <w:rPr>
          <w:lang w:val="en-CA"/>
        </w:rPr>
        <w:t>.</w:t>
      </w:r>
      <w:r w:rsidR="002D2685" w:rsidRPr="00A77369">
        <w:rPr>
          <w:lang w:val="en-CA"/>
        </w:rPr>
        <w:t xml:space="preserve"> </w:t>
      </w:r>
    </w:p>
    <w:p w:rsidR="00D54581" w:rsidRPr="00A77369" w:rsidRDefault="00D54581" w:rsidP="008179F2">
      <w:pPr>
        <w:rPr>
          <w:i/>
          <w:lang w:val="en-CA"/>
        </w:rPr>
      </w:pPr>
      <w:r w:rsidRPr="00A77369">
        <w:rPr>
          <w:i/>
          <w:lang w:val="en-CA"/>
        </w:rPr>
        <w:t>Project implemen</w:t>
      </w:r>
      <w:r w:rsidR="009A1E86">
        <w:rPr>
          <w:i/>
          <w:lang w:val="en-CA"/>
        </w:rPr>
        <w:t>tation and monitoring unit</w:t>
      </w:r>
    </w:p>
    <w:p w:rsidR="00D54581" w:rsidRPr="00A77369" w:rsidRDefault="00D54581" w:rsidP="008179F2">
      <w:pPr>
        <w:rPr>
          <w:lang w:val="en-CA"/>
        </w:rPr>
      </w:pPr>
    </w:p>
    <w:p w:rsidR="00D54581" w:rsidRPr="00A77369" w:rsidRDefault="00262D0B" w:rsidP="008179F2">
      <w:pPr>
        <w:pStyle w:val="Heading1"/>
        <w:rPr>
          <w:lang w:val="en-CA"/>
        </w:rPr>
      </w:pPr>
      <w:r w:rsidRPr="00A77369">
        <w:rPr>
          <w:lang w:val="en-CA"/>
        </w:rPr>
        <w:t xml:space="preserve">The NOU recruited a consultant to assist </w:t>
      </w:r>
      <w:r w:rsidR="006A5633">
        <w:rPr>
          <w:lang w:val="en-CA"/>
        </w:rPr>
        <w:t xml:space="preserve">in </w:t>
      </w:r>
      <w:r w:rsidRPr="00A77369">
        <w:rPr>
          <w:lang w:val="en-CA"/>
        </w:rPr>
        <w:t xml:space="preserve">the implementation of the HPMP activities, </w:t>
      </w:r>
      <w:r w:rsidR="006A5633">
        <w:rPr>
          <w:lang w:val="en-CA"/>
        </w:rPr>
        <w:t xml:space="preserve">and </w:t>
      </w:r>
      <w:r w:rsidRPr="00A77369">
        <w:rPr>
          <w:lang w:val="en-CA"/>
        </w:rPr>
        <w:t xml:space="preserve">to collect data on imported HCFCs and their distribution. </w:t>
      </w:r>
    </w:p>
    <w:p w:rsidR="00D54581" w:rsidRPr="00A77369" w:rsidRDefault="00D54581" w:rsidP="008179F2">
      <w:pPr>
        <w:rPr>
          <w:u w:val="single"/>
          <w:lang w:val="en-CA"/>
        </w:rPr>
      </w:pPr>
      <w:r w:rsidRPr="00A77369">
        <w:rPr>
          <w:u w:val="single"/>
          <w:lang w:val="en-CA"/>
        </w:rPr>
        <w:t>Level of fund disbursement</w:t>
      </w:r>
    </w:p>
    <w:p w:rsidR="00D54581" w:rsidRPr="00A77369" w:rsidRDefault="00D54581" w:rsidP="008179F2">
      <w:pPr>
        <w:rPr>
          <w:lang w:val="en-CA"/>
        </w:rPr>
      </w:pPr>
    </w:p>
    <w:p w:rsidR="00D54581" w:rsidRPr="00A77369" w:rsidRDefault="00D54581" w:rsidP="008179F2">
      <w:pPr>
        <w:pStyle w:val="Heading1"/>
        <w:rPr>
          <w:lang w:val="en-CA"/>
        </w:rPr>
      </w:pPr>
      <w:r w:rsidRPr="00A77369">
        <w:rPr>
          <w:lang w:val="en-CA"/>
        </w:rPr>
        <w:t xml:space="preserve">As of </w:t>
      </w:r>
      <w:r w:rsidR="00014B4D" w:rsidRPr="00A77369">
        <w:rPr>
          <w:lang w:val="en-CA"/>
        </w:rPr>
        <w:t>March</w:t>
      </w:r>
      <w:r w:rsidRPr="00A77369">
        <w:rPr>
          <w:lang w:val="en-CA"/>
        </w:rPr>
        <w:t xml:space="preserve"> 2020, of the </w:t>
      </w:r>
      <w:r w:rsidR="008A55F2">
        <w:rPr>
          <w:lang w:val="en-CA"/>
        </w:rPr>
        <w:t>US $</w:t>
      </w:r>
      <w:r w:rsidR="00BB7BAB">
        <w:rPr>
          <w:lang w:val="en-CA"/>
        </w:rPr>
        <w:t>2</w:t>
      </w:r>
      <w:r w:rsidR="00D473BD">
        <w:rPr>
          <w:lang w:val="en-CA"/>
        </w:rPr>
        <w:t>80</w:t>
      </w:r>
      <w:r w:rsidR="00014B4D" w:rsidRPr="00A77369">
        <w:rPr>
          <w:lang w:val="en-CA"/>
        </w:rPr>
        <w:t>,000</w:t>
      </w:r>
      <w:r w:rsidRPr="00A77369">
        <w:rPr>
          <w:lang w:val="en-CA"/>
        </w:rPr>
        <w:t xml:space="preserve"> approved </w:t>
      </w:r>
      <w:r w:rsidR="00D473BD">
        <w:rPr>
          <w:lang w:val="en-CA"/>
        </w:rPr>
        <w:t>so far</w:t>
      </w:r>
      <w:r w:rsidRPr="00A77369">
        <w:rPr>
          <w:lang w:val="en-CA"/>
        </w:rPr>
        <w:t xml:space="preserve">, </w:t>
      </w:r>
      <w:r w:rsidR="008A55F2">
        <w:rPr>
          <w:lang w:val="en-CA"/>
        </w:rPr>
        <w:t>US $</w:t>
      </w:r>
      <w:r w:rsidR="00D473BD">
        <w:rPr>
          <w:lang w:val="en-CA"/>
        </w:rPr>
        <w:t>180</w:t>
      </w:r>
      <w:r w:rsidR="00DE0151" w:rsidRPr="00A77369">
        <w:rPr>
          <w:lang w:val="en-CA"/>
        </w:rPr>
        <w:t>,000</w:t>
      </w:r>
      <w:r w:rsidRPr="00A77369">
        <w:rPr>
          <w:lang w:val="en-CA"/>
        </w:rPr>
        <w:t xml:space="preserve"> had been disbursed (</w:t>
      </w:r>
      <w:r w:rsidR="006A5633">
        <w:rPr>
          <w:lang w:val="en-CA"/>
        </w:rPr>
        <w:t xml:space="preserve">i.e., </w:t>
      </w:r>
      <w:r w:rsidR="008A55F2">
        <w:rPr>
          <w:lang w:val="en-CA"/>
        </w:rPr>
        <w:t>US $</w:t>
      </w:r>
      <w:r w:rsidR="00D473BD">
        <w:rPr>
          <w:lang w:val="en-CA"/>
        </w:rPr>
        <w:t>110</w:t>
      </w:r>
      <w:r w:rsidR="00DE0151" w:rsidRPr="00A77369">
        <w:rPr>
          <w:lang w:val="en-CA"/>
        </w:rPr>
        <w:t>,000</w:t>
      </w:r>
      <w:r w:rsidRPr="00A77369">
        <w:rPr>
          <w:lang w:val="en-CA"/>
        </w:rPr>
        <w:t xml:space="preserve"> for</w:t>
      </w:r>
      <w:r w:rsidR="00014B4D" w:rsidRPr="00A77369">
        <w:rPr>
          <w:lang w:val="en-CA"/>
        </w:rPr>
        <w:t xml:space="preserve"> UNEP</w:t>
      </w:r>
      <w:r w:rsidRPr="00A77369">
        <w:rPr>
          <w:lang w:val="en-CA"/>
        </w:rPr>
        <w:t xml:space="preserve"> and </w:t>
      </w:r>
      <w:r w:rsidR="008A55F2">
        <w:rPr>
          <w:lang w:val="en-CA"/>
        </w:rPr>
        <w:t>US $</w:t>
      </w:r>
      <w:r w:rsidR="00D473BD">
        <w:rPr>
          <w:lang w:val="en-CA"/>
        </w:rPr>
        <w:t>70,00</w:t>
      </w:r>
      <w:r w:rsidR="00DE0151" w:rsidRPr="00A77369">
        <w:rPr>
          <w:lang w:val="en-CA"/>
        </w:rPr>
        <w:t>0</w:t>
      </w:r>
      <w:r w:rsidRPr="00A77369">
        <w:rPr>
          <w:lang w:val="en-CA"/>
        </w:rPr>
        <w:t xml:space="preserve"> for</w:t>
      </w:r>
      <w:r w:rsidR="00014B4D" w:rsidRPr="00A77369">
        <w:rPr>
          <w:lang w:val="en-CA"/>
        </w:rPr>
        <w:t xml:space="preserve"> UNIDO</w:t>
      </w:r>
      <w:r w:rsidRPr="00A77369">
        <w:rPr>
          <w:lang w:val="en-CA"/>
        </w:rPr>
        <w:t xml:space="preserve">) as shown in Table 2. The balance of </w:t>
      </w:r>
      <w:r w:rsidR="008A55F2">
        <w:rPr>
          <w:lang w:val="en-CA"/>
        </w:rPr>
        <w:t>US $</w:t>
      </w:r>
      <w:r w:rsidR="00DE0151" w:rsidRPr="00A77369">
        <w:rPr>
          <w:lang w:val="en-CA"/>
        </w:rPr>
        <w:t>100,000</w:t>
      </w:r>
      <w:r w:rsidRPr="00A77369">
        <w:rPr>
          <w:lang w:val="en-CA"/>
        </w:rPr>
        <w:t xml:space="preserve"> will be disbursed </w:t>
      </w:r>
      <w:r w:rsidR="00BD7BB1" w:rsidRPr="00A77369">
        <w:rPr>
          <w:lang w:val="en-CA"/>
        </w:rPr>
        <w:t>by December 2021</w:t>
      </w:r>
      <w:r w:rsidRPr="00A77369">
        <w:rPr>
          <w:lang w:val="en-CA"/>
        </w:rPr>
        <w:t>.</w:t>
      </w:r>
    </w:p>
    <w:p w:rsidR="00D54581" w:rsidRPr="00A77369" w:rsidRDefault="00D54581" w:rsidP="008179F2">
      <w:pPr>
        <w:rPr>
          <w:b/>
          <w:lang w:val="en-CA"/>
        </w:rPr>
      </w:pPr>
      <w:r w:rsidRPr="00A77369">
        <w:rPr>
          <w:b/>
          <w:lang w:val="en-CA"/>
        </w:rPr>
        <w:t>Table 2. Financial report of stage I of the HPMP for</w:t>
      </w:r>
      <w:r w:rsidR="00014B4D" w:rsidRPr="00A77369">
        <w:rPr>
          <w:b/>
          <w:lang w:val="en-CA"/>
        </w:rPr>
        <w:t xml:space="preserve"> Ethiopia</w:t>
      </w:r>
      <w:r w:rsidRPr="00A77369">
        <w:rPr>
          <w:b/>
          <w:lang w:val="en-CA"/>
        </w:rPr>
        <w:t xml:space="preserve"> (</w:t>
      </w:r>
      <w:r w:rsidR="008A55F2">
        <w:rPr>
          <w:b/>
          <w:lang w:val="en-CA"/>
        </w:rPr>
        <w:t>US $</w:t>
      </w:r>
      <w:r w:rsidRPr="00A77369">
        <w:rPr>
          <w:b/>
          <w:lang w:val="en-CA"/>
        </w:rPr>
        <w:t>)</w:t>
      </w:r>
    </w:p>
    <w:tbl>
      <w:tblPr>
        <w:tblStyle w:val="TableGrid"/>
        <w:tblW w:w="0" w:type="auto"/>
        <w:tblLook w:val="04A0" w:firstRow="1" w:lastRow="0" w:firstColumn="1" w:lastColumn="0" w:noHBand="0" w:noVBand="1"/>
      </w:tblPr>
      <w:tblGrid>
        <w:gridCol w:w="2153"/>
        <w:gridCol w:w="1078"/>
        <w:gridCol w:w="1237"/>
        <w:gridCol w:w="1119"/>
        <w:gridCol w:w="1256"/>
        <w:gridCol w:w="1251"/>
        <w:gridCol w:w="1256"/>
      </w:tblGrid>
      <w:tr w:rsidR="00D54581" w:rsidRPr="00A77369" w:rsidTr="008A55F2">
        <w:tc>
          <w:tcPr>
            <w:tcW w:w="2153" w:type="dxa"/>
            <w:vMerge w:val="restart"/>
            <w:tcMar>
              <w:left w:w="29" w:type="dxa"/>
              <w:right w:w="0" w:type="dxa"/>
            </w:tcMar>
            <w:vAlign w:val="center"/>
          </w:tcPr>
          <w:p w:rsidR="00D54581" w:rsidRPr="00A77369" w:rsidRDefault="00D54581" w:rsidP="008A55F2">
            <w:pPr>
              <w:keepNext/>
              <w:jc w:val="left"/>
              <w:rPr>
                <w:b/>
                <w:sz w:val="20"/>
                <w:szCs w:val="20"/>
                <w:lang w:val="en-CA"/>
              </w:rPr>
            </w:pPr>
            <w:r w:rsidRPr="00A77369">
              <w:rPr>
                <w:b/>
                <w:sz w:val="20"/>
                <w:szCs w:val="20"/>
                <w:lang w:val="en-CA"/>
              </w:rPr>
              <w:t>Agency</w:t>
            </w:r>
          </w:p>
        </w:tc>
        <w:tc>
          <w:tcPr>
            <w:tcW w:w="2315" w:type="dxa"/>
            <w:gridSpan w:val="2"/>
          </w:tcPr>
          <w:p w:rsidR="00D54581" w:rsidRPr="00A77369" w:rsidRDefault="00D54581" w:rsidP="008179F2">
            <w:pPr>
              <w:keepNext/>
              <w:jc w:val="center"/>
              <w:rPr>
                <w:b/>
                <w:sz w:val="20"/>
                <w:szCs w:val="20"/>
                <w:lang w:val="en-CA"/>
              </w:rPr>
            </w:pPr>
            <w:r w:rsidRPr="00A77369">
              <w:rPr>
                <w:b/>
                <w:sz w:val="20"/>
                <w:szCs w:val="20"/>
                <w:lang w:val="en-CA"/>
              </w:rPr>
              <w:t>First tranche</w:t>
            </w:r>
          </w:p>
        </w:tc>
        <w:tc>
          <w:tcPr>
            <w:tcW w:w="2375" w:type="dxa"/>
            <w:gridSpan w:val="2"/>
          </w:tcPr>
          <w:p w:rsidR="00D54581" w:rsidRPr="00A77369" w:rsidRDefault="00D54581" w:rsidP="008179F2">
            <w:pPr>
              <w:keepNext/>
              <w:jc w:val="center"/>
              <w:rPr>
                <w:b/>
                <w:sz w:val="20"/>
                <w:szCs w:val="20"/>
                <w:lang w:val="en-CA"/>
              </w:rPr>
            </w:pPr>
            <w:r w:rsidRPr="00A77369">
              <w:rPr>
                <w:b/>
                <w:sz w:val="20"/>
                <w:szCs w:val="20"/>
                <w:lang w:val="en-CA"/>
              </w:rPr>
              <w:t>Second tranche</w:t>
            </w:r>
          </w:p>
        </w:tc>
        <w:tc>
          <w:tcPr>
            <w:tcW w:w="2507" w:type="dxa"/>
            <w:gridSpan w:val="2"/>
          </w:tcPr>
          <w:p w:rsidR="00D54581" w:rsidRPr="00A77369" w:rsidRDefault="00D54581" w:rsidP="008A55F2">
            <w:pPr>
              <w:keepNext/>
              <w:jc w:val="center"/>
              <w:rPr>
                <w:b/>
                <w:sz w:val="20"/>
                <w:szCs w:val="20"/>
                <w:lang w:val="en-CA"/>
              </w:rPr>
            </w:pPr>
            <w:r w:rsidRPr="00A77369">
              <w:rPr>
                <w:b/>
                <w:sz w:val="20"/>
                <w:szCs w:val="20"/>
                <w:lang w:val="en-CA"/>
              </w:rPr>
              <w:t xml:space="preserve">Total </w:t>
            </w:r>
          </w:p>
        </w:tc>
      </w:tr>
      <w:tr w:rsidR="00D54581" w:rsidRPr="00A77369" w:rsidTr="008A55F2">
        <w:tc>
          <w:tcPr>
            <w:tcW w:w="2153" w:type="dxa"/>
            <w:vMerge/>
            <w:tcMar>
              <w:left w:w="29" w:type="dxa"/>
              <w:right w:w="0" w:type="dxa"/>
            </w:tcMar>
          </w:tcPr>
          <w:p w:rsidR="00D54581" w:rsidRPr="00A77369" w:rsidRDefault="00D54581" w:rsidP="008179F2">
            <w:pPr>
              <w:keepNext/>
              <w:jc w:val="center"/>
              <w:rPr>
                <w:b/>
                <w:sz w:val="20"/>
                <w:szCs w:val="20"/>
                <w:lang w:val="en-CA"/>
              </w:rPr>
            </w:pPr>
          </w:p>
        </w:tc>
        <w:tc>
          <w:tcPr>
            <w:tcW w:w="1078" w:type="dxa"/>
          </w:tcPr>
          <w:p w:rsidR="00D54581" w:rsidRPr="00A77369" w:rsidRDefault="00D54581" w:rsidP="008179F2">
            <w:pPr>
              <w:keepNext/>
              <w:jc w:val="center"/>
              <w:rPr>
                <w:b/>
                <w:sz w:val="20"/>
                <w:szCs w:val="20"/>
                <w:lang w:val="en-CA"/>
              </w:rPr>
            </w:pPr>
            <w:r w:rsidRPr="00A77369">
              <w:rPr>
                <w:b/>
                <w:sz w:val="20"/>
                <w:szCs w:val="20"/>
                <w:lang w:val="en-CA"/>
              </w:rPr>
              <w:t>Approved</w:t>
            </w:r>
          </w:p>
        </w:tc>
        <w:tc>
          <w:tcPr>
            <w:tcW w:w="1237" w:type="dxa"/>
          </w:tcPr>
          <w:p w:rsidR="00D54581" w:rsidRPr="00A77369" w:rsidRDefault="00D54581" w:rsidP="008179F2">
            <w:pPr>
              <w:keepNext/>
              <w:jc w:val="center"/>
              <w:rPr>
                <w:b/>
                <w:sz w:val="20"/>
                <w:szCs w:val="20"/>
                <w:lang w:val="en-CA"/>
              </w:rPr>
            </w:pPr>
            <w:r w:rsidRPr="00A77369">
              <w:rPr>
                <w:b/>
                <w:sz w:val="20"/>
                <w:szCs w:val="20"/>
                <w:lang w:val="en-CA"/>
              </w:rPr>
              <w:t>Disbursed</w:t>
            </w:r>
          </w:p>
        </w:tc>
        <w:tc>
          <w:tcPr>
            <w:tcW w:w="1119" w:type="dxa"/>
          </w:tcPr>
          <w:p w:rsidR="00D54581" w:rsidRPr="00A77369" w:rsidRDefault="00D54581" w:rsidP="008179F2">
            <w:pPr>
              <w:keepNext/>
              <w:jc w:val="center"/>
              <w:rPr>
                <w:b/>
                <w:sz w:val="20"/>
                <w:szCs w:val="20"/>
                <w:lang w:val="en-CA"/>
              </w:rPr>
            </w:pPr>
            <w:r w:rsidRPr="00A77369">
              <w:rPr>
                <w:b/>
                <w:sz w:val="20"/>
                <w:szCs w:val="20"/>
                <w:lang w:val="en-CA"/>
              </w:rPr>
              <w:t>Approved</w:t>
            </w:r>
          </w:p>
        </w:tc>
        <w:tc>
          <w:tcPr>
            <w:tcW w:w="1256" w:type="dxa"/>
          </w:tcPr>
          <w:p w:rsidR="00D54581" w:rsidRPr="00A77369" w:rsidRDefault="00D54581" w:rsidP="008179F2">
            <w:pPr>
              <w:keepNext/>
              <w:jc w:val="center"/>
              <w:rPr>
                <w:b/>
                <w:sz w:val="20"/>
                <w:szCs w:val="20"/>
                <w:lang w:val="en-CA"/>
              </w:rPr>
            </w:pPr>
            <w:r w:rsidRPr="00A77369">
              <w:rPr>
                <w:b/>
                <w:sz w:val="20"/>
                <w:szCs w:val="20"/>
                <w:lang w:val="en-CA"/>
              </w:rPr>
              <w:t>Disbursed</w:t>
            </w:r>
          </w:p>
        </w:tc>
        <w:tc>
          <w:tcPr>
            <w:tcW w:w="1251" w:type="dxa"/>
          </w:tcPr>
          <w:p w:rsidR="00D54581" w:rsidRPr="00A77369" w:rsidRDefault="00D54581" w:rsidP="008179F2">
            <w:pPr>
              <w:keepNext/>
              <w:jc w:val="center"/>
              <w:rPr>
                <w:b/>
                <w:sz w:val="20"/>
                <w:szCs w:val="20"/>
                <w:lang w:val="en-CA"/>
              </w:rPr>
            </w:pPr>
            <w:r w:rsidRPr="00A77369">
              <w:rPr>
                <w:b/>
                <w:sz w:val="20"/>
                <w:szCs w:val="20"/>
                <w:lang w:val="en-CA"/>
              </w:rPr>
              <w:t>Approved</w:t>
            </w:r>
          </w:p>
        </w:tc>
        <w:tc>
          <w:tcPr>
            <w:tcW w:w="1256" w:type="dxa"/>
          </w:tcPr>
          <w:p w:rsidR="00D54581" w:rsidRPr="00A77369" w:rsidRDefault="00D54581" w:rsidP="008179F2">
            <w:pPr>
              <w:keepNext/>
              <w:jc w:val="center"/>
              <w:rPr>
                <w:b/>
                <w:sz w:val="20"/>
                <w:szCs w:val="20"/>
                <w:lang w:val="en-CA"/>
              </w:rPr>
            </w:pPr>
            <w:r w:rsidRPr="00A77369">
              <w:rPr>
                <w:b/>
                <w:sz w:val="20"/>
                <w:szCs w:val="20"/>
                <w:lang w:val="en-CA"/>
              </w:rPr>
              <w:t>Disbursed</w:t>
            </w:r>
          </w:p>
        </w:tc>
      </w:tr>
      <w:tr w:rsidR="00DE0151" w:rsidRPr="00A77369" w:rsidTr="008A55F2">
        <w:tc>
          <w:tcPr>
            <w:tcW w:w="2153" w:type="dxa"/>
            <w:tcMar>
              <w:left w:w="29" w:type="dxa"/>
              <w:right w:w="0" w:type="dxa"/>
            </w:tcMar>
          </w:tcPr>
          <w:p w:rsidR="00DE0151" w:rsidRPr="00A77369" w:rsidRDefault="00DE0151" w:rsidP="00DE0151">
            <w:pPr>
              <w:keepNext/>
              <w:rPr>
                <w:sz w:val="20"/>
                <w:szCs w:val="20"/>
                <w:lang w:val="en-CA"/>
              </w:rPr>
            </w:pPr>
            <w:r w:rsidRPr="00A77369">
              <w:rPr>
                <w:sz w:val="20"/>
                <w:szCs w:val="20"/>
                <w:lang w:val="en-CA"/>
              </w:rPr>
              <w:t>UNEP</w:t>
            </w:r>
          </w:p>
        </w:tc>
        <w:tc>
          <w:tcPr>
            <w:tcW w:w="1078" w:type="dxa"/>
            <w:tcMar>
              <w:left w:w="115" w:type="dxa"/>
              <w:right w:w="173" w:type="dxa"/>
            </w:tcMar>
          </w:tcPr>
          <w:p w:rsidR="00DE0151" w:rsidRPr="00A77369" w:rsidRDefault="00DE0151" w:rsidP="00DE0151">
            <w:pPr>
              <w:keepNext/>
              <w:jc w:val="right"/>
              <w:rPr>
                <w:sz w:val="20"/>
                <w:szCs w:val="20"/>
                <w:lang w:val="en-CA"/>
              </w:rPr>
            </w:pPr>
            <w:r w:rsidRPr="00A77369">
              <w:rPr>
                <w:sz w:val="20"/>
                <w:szCs w:val="20"/>
                <w:lang w:val="en-CA"/>
              </w:rPr>
              <w:t>85,000</w:t>
            </w:r>
          </w:p>
        </w:tc>
        <w:tc>
          <w:tcPr>
            <w:tcW w:w="1237" w:type="dxa"/>
            <w:tcMar>
              <w:left w:w="115" w:type="dxa"/>
              <w:right w:w="173" w:type="dxa"/>
            </w:tcMar>
          </w:tcPr>
          <w:p w:rsidR="00DE0151" w:rsidRPr="00A77369" w:rsidRDefault="00DE0151" w:rsidP="00DE0151">
            <w:pPr>
              <w:keepNext/>
              <w:jc w:val="right"/>
              <w:rPr>
                <w:sz w:val="20"/>
                <w:szCs w:val="20"/>
                <w:lang w:val="en-CA"/>
              </w:rPr>
            </w:pPr>
            <w:r w:rsidRPr="00A77369">
              <w:rPr>
                <w:sz w:val="20"/>
                <w:szCs w:val="20"/>
                <w:lang w:val="en-CA"/>
              </w:rPr>
              <w:t>85,000</w:t>
            </w:r>
          </w:p>
        </w:tc>
        <w:tc>
          <w:tcPr>
            <w:tcW w:w="1119" w:type="dxa"/>
            <w:tcMar>
              <w:left w:w="115" w:type="dxa"/>
              <w:right w:w="173" w:type="dxa"/>
            </w:tcMar>
          </w:tcPr>
          <w:p w:rsidR="00DE0151" w:rsidRPr="00A77369" w:rsidRDefault="00DE0151" w:rsidP="00DE0151">
            <w:pPr>
              <w:keepNext/>
              <w:jc w:val="right"/>
              <w:rPr>
                <w:sz w:val="20"/>
                <w:szCs w:val="20"/>
                <w:lang w:val="en-CA"/>
              </w:rPr>
            </w:pPr>
            <w:r w:rsidRPr="00A77369">
              <w:rPr>
                <w:sz w:val="20"/>
                <w:szCs w:val="20"/>
                <w:lang w:val="en-CA"/>
              </w:rPr>
              <w:t>55,000</w:t>
            </w:r>
          </w:p>
        </w:tc>
        <w:tc>
          <w:tcPr>
            <w:tcW w:w="1256" w:type="dxa"/>
            <w:tcMar>
              <w:left w:w="115" w:type="dxa"/>
              <w:right w:w="173" w:type="dxa"/>
            </w:tcMar>
          </w:tcPr>
          <w:p w:rsidR="00DE0151" w:rsidRPr="00A77369" w:rsidRDefault="00DE0151" w:rsidP="00DE0151">
            <w:pPr>
              <w:keepNext/>
              <w:jc w:val="right"/>
              <w:rPr>
                <w:sz w:val="20"/>
                <w:szCs w:val="20"/>
                <w:lang w:val="en-CA"/>
              </w:rPr>
            </w:pPr>
            <w:r w:rsidRPr="00A77369">
              <w:rPr>
                <w:sz w:val="20"/>
                <w:szCs w:val="20"/>
                <w:lang w:val="en-CA"/>
              </w:rPr>
              <w:t>25,000</w:t>
            </w:r>
          </w:p>
        </w:tc>
        <w:tc>
          <w:tcPr>
            <w:tcW w:w="1251" w:type="dxa"/>
            <w:tcMar>
              <w:left w:w="115" w:type="dxa"/>
              <w:right w:w="173" w:type="dxa"/>
            </w:tcMar>
          </w:tcPr>
          <w:p w:rsidR="00DE0151" w:rsidRPr="00A77369" w:rsidRDefault="00DE0151" w:rsidP="00DE0151">
            <w:pPr>
              <w:keepNext/>
              <w:jc w:val="right"/>
              <w:rPr>
                <w:sz w:val="20"/>
                <w:szCs w:val="20"/>
                <w:lang w:val="en-CA"/>
              </w:rPr>
            </w:pPr>
            <w:r w:rsidRPr="00A77369">
              <w:rPr>
                <w:sz w:val="20"/>
                <w:szCs w:val="20"/>
                <w:lang w:val="en-CA"/>
              </w:rPr>
              <w:t>140,000</w:t>
            </w:r>
          </w:p>
        </w:tc>
        <w:tc>
          <w:tcPr>
            <w:tcW w:w="1256" w:type="dxa"/>
            <w:tcMar>
              <w:left w:w="115" w:type="dxa"/>
              <w:right w:w="173" w:type="dxa"/>
            </w:tcMar>
          </w:tcPr>
          <w:p w:rsidR="00DE0151" w:rsidRPr="00A77369" w:rsidRDefault="00DE0151" w:rsidP="00DE0151">
            <w:pPr>
              <w:keepNext/>
              <w:jc w:val="right"/>
              <w:rPr>
                <w:sz w:val="20"/>
                <w:szCs w:val="20"/>
                <w:lang w:val="en-CA"/>
              </w:rPr>
            </w:pPr>
            <w:r w:rsidRPr="00A77369">
              <w:rPr>
                <w:sz w:val="20"/>
                <w:szCs w:val="20"/>
                <w:lang w:val="en-CA"/>
              </w:rPr>
              <w:t>110,000</w:t>
            </w:r>
          </w:p>
        </w:tc>
      </w:tr>
      <w:tr w:rsidR="00DE0151" w:rsidRPr="00A77369" w:rsidTr="008A55F2">
        <w:tc>
          <w:tcPr>
            <w:tcW w:w="2153" w:type="dxa"/>
            <w:tcMar>
              <w:left w:w="29" w:type="dxa"/>
              <w:right w:w="0" w:type="dxa"/>
            </w:tcMar>
          </w:tcPr>
          <w:p w:rsidR="00DE0151" w:rsidRPr="00A77369" w:rsidRDefault="00DE0151" w:rsidP="00DE0151">
            <w:pPr>
              <w:rPr>
                <w:sz w:val="20"/>
                <w:szCs w:val="20"/>
                <w:lang w:val="en-CA"/>
              </w:rPr>
            </w:pPr>
            <w:r w:rsidRPr="00A77369">
              <w:rPr>
                <w:sz w:val="20"/>
                <w:szCs w:val="20"/>
                <w:lang w:val="en-CA"/>
              </w:rPr>
              <w:t>UNIDO</w:t>
            </w:r>
          </w:p>
        </w:tc>
        <w:tc>
          <w:tcPr>
            <w:tcW w:w="1078"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70,000</w:t>
            </w:r>
          </w:p>
        </w:tc>
        <w:tc>
          <w:tcPr>
            <w:tcW w:w="1237"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70,000</w:t>
            </w:r>
          </w:p>
        </w:tc>
        <w:tc>
          <w:tcPr>
            <w:tcW w:w="1119"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70,000</w:t>
            </w:r>
          </w:p>
        </w:tc>
        <w:tc>
          <w:tcPr>
            <w:tcW w:w="1256"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0</w:t>
            </w:r>
          </w:p>
        </w:tc>
        <w:tc>
          <w:tcPr>
            <w:tcW w:w="1251"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140,000</w:t>
            </w:r>
          </w:p>
        </w:tc>
        <w:tc>
          <w:tcPr>
            <w:tcW w:w="1256"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70,000</w:t>
            </w:r>
          </w:p>
        </w:tc>
      </w:tr>
      <w:tr w:rsidR="00DE0151" w:rsidRPr="00A77369" w:rsidTr="008A55F2">
        <w:tc>
          <w:tcPr>
            <w:tcW w:w="2153" w:type="dxa"/>
            <w:tcMar>
              <w:left w:w="29" w:type="dxa"/>
              <w:right w:w="0" w:type="dxa"/>
            </w:tcMar>
          </w:tcPr>
          <w:p w:rsidR="00DE0151" w:rsidRPr="00A77369" w:rsidRDefault="00DE0151" w:rsidP="00DE0151">
            <w:pPr>
              <w:rPr>
                <w:b/>
                <w:sz w:val="20"/>
                <w:szCs w:val="20"/>
                <w:lang w:val="en-CA"/>
              </w:rPr>
            </w:pPr>
            <w:r w:rsidRPr="00A77369">
              <w:rPr>
                <w:b/>
                <w:sz w:val="20"/>
                <w:szCs w:val="20"/>
                <w:lang w:val="en-CA"/>
              </w:rPr>
              <w:t>Total</w:t>
            </w:r>
          </w:p>
        </w:tc>
        <w:tc>
          <w:tcPr>
            <w:tcW w:w="1078"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155,000</w:t>
            </w:r>
          </w:p>
        </w:tc>
        <w:tc>
          <w:tcPr>
            <w:tcW w:w="1237"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155,000</w:t>
            </w:r>
          </w:p>
        </w:tc>
        <w:tc>
          <w:tcPr>
            <w:tcW w:w="1119"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125,000</w:t>
            </w:r>
          </w:p>
        </w:tc>
        <w:tc>
          <w:tcPr>
            <w:tcW w:w="1256"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25,000</w:t>
            </w:r>
          </w:p>
        </w:tc>
        <w:tc>
          <w:tcPr>
            <w:tcW w:w="1251"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280,000</w:t>
            </w:r>
          </w:p>
        </w:tc>
        <w:tc>
          <w:tcPr>
            <w:tcW w:w="1256" w:type="dxa"/>
            <w:tcMar>
              <w:left w:w="115" w:type="dxa"/>
              <w:right w:w="173" w:type="dxa"/>
            </w:tcMar>
          </w:tcPr>
          <w:p w:rsidR="00DE0151" w:rsidRPr="00A77369" w:rsidRDefault="00DE0151" w:rsidP="00DE0151">
            <w:pPr>
              <w:jc w:val="right"/>
              <w:rPr>
                <w:sz w:val="20"/>
                <w:szCs w:val="20"/>
                <w:lang w:val="en-CA"/>
              </w:rPr>
            </w:pPr>
            <w:r w:rsidRPr="00A77369">
              <w:rPr>
                <w:sz w:val="20"/>
                <w:szCs w:val="20"/>
                <w:lang w:val="en-CA"/>
              </w:rPr>
              <w:t>180,000</w:t>
            </w:r>
          </w:p>
        </w:tc>
      </w:tr>
      <w:tr w:rsidR="00DE0151" w:rsidRPr="00A77369" w:rsidTr="008A55F2">
        <w:tc>
          <w:tcPr>
            <w:tcW w:w="2153" w:type="dxa"/>
            <w:tcMar>
              <w:left w:w="29" w:type="dxa"/>
              <w:right w:w="0" w:type="dxa"/>
            </w:tcMar>
          </w:tcPr>
          <w:p w:rsidR="00DE0151" w:rsidRPr="00A77369" w:rsidRDefault="00DE0151" w:rsidP="00DE0151">
            <w:pPr>
              <w:rPr>
                <w:b/>
                <w:sz w:val="20"/>
                <w:szCs w:val="20"/>
                <w:lang w:val="en-CA"/>
              </w:rPr>
            </w:pPr>
            <w:r w:rsidRPr="00A77369">
              <w:rPr>
                <w:b/>
                <w:sz w:val="20"/>
                <w:szCs w:val="20"/>
                <w:lang w:val="en-CA"/>
              </w:rPr>
              <w:t>Disbursement rate (%)</w:t>
            </w:r>
          </w:p>
        </w:tc>
        <w:tc>
          <w:tcPr>
            <w:tcW w:w="2315" w:type="dxa"/>
            <w:gridSpan w:val="2"/>
            <w:vAlign w:val="center"/>
          </w:tcPr>
          <w:p w:rsidR="00DE0151" w:rsidRPr="00A77369" w:rsidRDefault="00DE0151" w:rsidP="008A55F2">
            <w:pPr>
              <w:jc w:val="center"/>
              <w:rPr>
                <w:sz w:val="20"/>
                <w:szCs w:val="20"/>
                <w:lang w:val="en-CA"/>
              </w:rPr>
            </w:pPr>
            <w:r w:rsidRPr="00A77369">
              <w:rPr>
                <w:sz w:val="20"/>
                <w:szCs w:val="20"/>
                <w:lang w:val="en-CA"/>
              </w:rPr>
              <w:t>100</w:t>
            </w:r>
          </w:p>
        </w:tc>
        <w:tc>
          <w:tcPr>
            <w:tcW w:w="2375" w:type="dxa"/>
            <w:gridSpan w:val="2"/>
            <w:vAlign w:val="center"/>
          </w:tcPr>
          <w:p w:rsidR="00DE0151" w:rsidRPr="00A77369" w:rsidRDefault="00DE0151" w:rsidP="008A55F2">
            <w:pPr>
              <w:jc w:val="center"/>
              <w:rPr>
                <w:sz w:val="20"/>
                <w:szCs w:val="20"/>
                <w:lang w:val="en-CA"/>
              </w:rPr>
            </w:pPr>
            <w:r w:rsidRPr="00A77369">
              <w:rPr>
                <w:sz w:val="20"/>
                <w:szCs w:val="20"/>
                <w:lang w:val="en-CA"/>
              </w:rPr>
              <w:t>20</w:t>
            </w:r>
          </w:p>
        </w:tc>
        <w:tc>
          <w:tcPr>
            <w:tcW w:w="2507" w:type="dxa"/>
            <w:gridSpan w:val="2"/>
            <w:vAlign w:val="center"/>
          </w:tcPr>
          <w:p w:rsidR="00DE0151" w:rsidRPr="00A77369" w:rsidRDefault="00DE0151" w:rsidP="008A55F2">
            <w:pPr>
              <w:jc w:val="center"/>
              <w:rPr>
                <w:sz w:val="20"/>
                <w:szCs w:val="20"/>
                <w:lang w:val="en-CA"/>
              </w:rPr>
            </w:pPr>
            <w:r w:rsidRPr="00A77369">
              <w:rPr>
                <w:sz w:val="20"/>
                <w:szCs w:val="20"/>
                <w:lang w:val="en-CA"/>
              </w:rPr>
              <w:t>64</w:t>
            </w:r>
          </w:p>
        </w:tc>
      </w:tr>
    </w:tbl>
    <w:p w:rsidR="00D54581" w:rsidRPr="00A77369" w:rsidRDefault="00D54581" w:rsidP="008179F2">
      <w:pPr>
        <w:rPr>
          <w:lang w:val="en-CA"/>
        </w:rPr>
      </w:pPr>
    </w:p>
    <w:p w:rsidR="00D54581" w:rsidRPr="00A77369" w:rsidRDefault="00D54581" w:rsidP="008179F2">
      <w:pPr>
        <w:rPr>
          <w:u w:val="single"/>
          <w:lang w:val="en-CA"/>
        </w:rPr>
      </w:pPr>
      <w:r w:rsidRPr="00A77369">
        <w:rPr>
          <w:u w:val="single"/>
          <w:lang w:val="en-CA"/>
        </w:rPr>
        <w:t>Implementation plan for the</w:t>
      </w:r>
      <w:r w:rsidR="003C05F7" w:rsidRPr="00A77369">
        <w:rPr>
          <w:u w:val="single"/>
          <w:lang w:val="en-CA"/>
        </w:rPr>
        <w:t xml:space="preserve"> third and final</w:t>
      </w:r>
      <w:r w:rsidRPr="00A77369">
        <w:rPr>
          <w:u w:val="single"/>
          <w:lang w:val="en-CA"/>
        </w:rPr>
        <w:t xml:space="preserve"> tranche of the HPMP</w:t>
      </w:r>
    </w:p>
    <w:p w:rsidR="00D54581" w:rsidRPr="00A77369" w:rsidRDefault="00D54581" w:rsidP="008179F2">
      <w:pPr>
        <w:rPr>
          <w:lang w:val="en-CA"/>
        </w:rPr>
      </w:pPr>
    </w:p>
    <w:p w:rsidR="00D54581" w:rsidRPr="00A77369" w:rsidRDefault="00D54581" w:rsidP="008179F2">
      <w:pPr>
        <w:pStyle w:val="Heading1"/>
        <w:rPr>
          <w:lang w:val="en-CA"/>
        </w:rPr>
      </w:pPr>
      <w:r w:rsidRPr="00A77369">
        <w:rPr>
          <w:lang w:val="en-CA"/>
        </w:rPr>
        <w:t xml:space="preserve">The following activities will be implemented between </w:t>
      </w:r>
      <w:r w:rsidR="003646DC" w:rsidRPr="00A77369">
        <w:rPr>
          <w:lang w:val="en-CA"/>
        </w:rPr>
        <w:t>June</w:t>
      </w:r>
      <w:r w:rsidRPr="00A77369">
        <w:rPr>
          <w:lang w:val="en-CA"/>
        </w:rPr>
        <w:t xml:space="preserve"> 2020 and </w:t>
      </w:r>
      <w:r w:rsidR="003646DC" w:rsidRPr="00A77369">
        <w:rPr>
          <w:lang w:val="en-CA"/>
        </w:rPr>
        <w:t>December 2021</w:t>
      </w:r>
      <w:r w:rsidRPr="00A77369">
        <w:rPr>
          <w:lang w:val="en-CA"/>
        </w:rPr>
        <w:t>:</w:t>
      </w:r>
    </w:p>
    <w:p w:rsidR="00D54581" w:rsidRPr="003D5EEC" w:rsidRDefault="00F608E0" w:rsidP="008803C7">
      <w:pPr>
        <w:pStyle w:val="Heading2"/>
        <w:numPr>
          <w:ilvl w:val="1"/>
          <w:numId w:val="1"/>
        </w:numPr>
        <w:rPr>
          <w:lang w:val="en-CA"/>
        </w:rPr>
      </w:pPr>
      <w:r w:rsidRPr="003D5EEC">
        <w:rPr>
          <w:lang w:val="en-CA"/>
        </w:rPr>
        <w:t>Four workshops for approximately 60 customs officers on</w:t>
      </w:r>
      <w:r w:rsidR="003D5EEC" w:rsidRPr="003D5EEC">
        <w:rPr>
          <w:lang w:val="en-CA"/>
        </w:rPr>
        <w:t xml:space="preserve"> identification of HCFCs and HCFC-containing equipment and on ODS regulations</w:t>
      </w:r>
      <w:r w:rsidR="00987461" w:rsidRPr="003D5EEC">
        <w:rPr>
          <w:lang w:val="en-CA"/>
        </w:rPr>
        <w:t xml:space="preserve">, and development of a website for importers to apply </w:t>
      </w:r>
      <w:r w:rsidR="00FA25A6" w:rsidRPr="003D5EEC">
        <w:rPr>
          <w:lang w:val="en-CA"/>
        </w:rPr>
        <w:t xml:space="preserve">online </w:t>
      </w:r>
      <w:r w:rsidR="00987461" w:rsidRPr="003D5EEC">
        <w:rPr>
          <w:lang w:val="en-CA"/>
        </w:rPr>
        <w:t>for a quota that would be accessible to the NOU, the ESA laboratory and customs, in line with the recommendation</w:t>
      </w:r>
      <w:r w:rsidR="004F25BB" w:rsidRPr="003D5EEC">
        <w:rPr>
          <w:lang w:val="en-CA"/>
        </w:rPr>
        <w:t>s</w:t>
      </w:r>
      <w:r w:rsidR="00987461" w:rsidRPr="003D5EEC">
        <w:rPr>
          <w:lang w:val="en-CA"/>
        </w:rPr>
        <w:t xml:space="preserve"> from the verification report</w:t>
      </w:r>
      <w:r w:rsidR="003C4D7C" w:rsidRPr="003D5EEC">
        <w:rPr>
          <w:lang w:val="en-CA"/>
        </w:rPr>
        <w:t xml:space="preserve"> </w:t>
      </w:r>
      <w:r w:rsidR="003C4D7C" w:rsidRPr="003D5EEC">
        <w:rPr>
          <w:lang w:val="en-CA"/>
        </w:rPr>
        <w:lastRenderedPageBreak/>
        <w:t>submitted to the 77</w:t>
      </w:r>
      <w:r w:rsidR="003C4D7C" w:rsidRPr="003D5EEC">
        <w:rPr>
          <w:vertAlign w:val="superscript"/>
          <w:lang w:val="en-CA"/>
        </w:rPr>
        <w:t>th</w:t>
      </w:r>
      <w:r w:rsidR="00A33C97" w:rsidRPr="003D5EEC">
        <w:rPr>
          <w:vertAlign w:val="superscript"/>
          <w:lang w:val="en-CA"/>
        </w:rPr>
        <w:t> </w:t>
      </w:r>
      <w:r w:rsidR="003C4D7C" w:rsidRPr="003D5EEC">
        <w:rPr>
          <w:lang w:val="en-CA"/>
        </w:rPr>
        <w:t>meeting</w:t>
      </w:r>
      <w:r w:rsidRPr="003D5EEC">
        <w:rPr>
          <w:lang w:val="en-CA"/>
        </w:rPr>
        <w:t xml:space="preserve"> (UNEP) (</w:t>
      </w:r>
      <w:r w:rsidR="008A55F2" w:rsidRPr="003D5EEC">
        <w:rPr>
          <w:lang w:val="en-CA"/>
        </w:rPr>
        <w:t>US $</w:t>
      </w:r>
      <w:r w:rsidRPr="003D5EEC">
        <w:rPr>
          <w:lang w:val="en-CA"/>
        </w:rPr>
        <w:t>15,000)</w:t>
      </w:r>
      <w:r w:rsidR="00987461" w:rsidRPr="003D5EEC">
        <w:rPr>
          <w:lang w:val="en-CA"/>
        </w:rPr>
        <w:t>;</w:t>
      </w:r>
    </w:p>
    <w:p w:rsidR="00FE28C6" w:rsidRDefault="00F608E0" w:rsidP="00740CB2">
      <w:pPr>
        <w:pStyle w:val="Heading2"/>
        <w:numPr>
          <w:ilvl w:val="1"/>
          <w:numId w:val="1"/>
        </w:numPr>
        <w:rPr>
          <w:lang w:val="en-CA"/>
        </w:rPr>
      </w:pPr>
      <w:r w:rsidRPr="00A77369">
        <w:rPr>
          <w:lang w:val="en-CA"/>
        </w:rPr>
        <w:t xml:space="preserve">Four workshops for approximately 80 refrigeration technicians in good refrigeration </w:t>
      </w:r>
      <w:r w:rsidR="00FA25A6">
        <w:rPr>
          <w:lang w:val="en-CA"/>
        </w:rPr>
        <w:t xml:space="preserve">service </w:t>
      </w:r>
      <w:r w:rsidRPr="00A77369">
        <w:rPr>
          <w:lang w:val="en-CA"/>
        </w:rPr>
        <w:t>practices, including recovery, recycling and reclaim of refrigeran</w:t>
      </w:r>
      <w:r w:rsidR="00A33C97">
        <w:rPr>
          <w:lang w:val="en-CA"/>
        </w:rPr>
        <w:t xml:space="preserve">ts, and </w:t>
      </w:r>
      <w:r w:rsidR="00FA25A6">
        <w:rPr>
          <w:lang w:val="en-CA"/>
        </w:rPr>
        <w:t>the safe servicing and maintenance of RAC equipment based on GWP-refrigerants</w:t>
      </w:r>
      <w:r w:rsidRPr="00A77369">
        <w:rPr>
          <w:lang w:val="en-CA"/>
        </w:rPr>
        <w:t>; two meetings of the refrigeration association to raise awareness of the HPMP implementation</w:t>
      </w:r>
      <w:r w:rsidR="00287AC0" w:rsidRPr="00A77369">
        <w:rPr>
          <w:lang w:val="en-CA"/>
        </w:rPr>
        <w:t>,</w:t>
      </w:r>
      <w:r w:rsidRPr="00A77369">
        <w:rPr>
          <w:lang w:val="en-CA"/>
        </w:rPr>
        <w:t xml:space="preserve"> and on installation, operation, maintenance, and disposal of </w:t>
      </w:r>
      <w:r w:rsidR="00FA25A6">
        <w:rPr>
          <w:lang w:val="en-CA"/>
        </w:rPr>
        <w:t xml:space="preserve">RAC </w:t>
      </w:r>
      <w:r w:rsidRPr="00A77369">
        <w:rPr>
          <w:lang w:val="en-CA"/>
        </w:rPr>
        <w:t>equipment</w:t>
      </w:r>
      <w:r w:rsidR="003D5EEC">
        <w:rPr>
          <w:lang w:val="en-CA"/>
        </w:rPr>
        <w:t xml:space="preserve"> </w:t>
      </w:r>
      <w:r w:rsidR="00FA25A6">
        <w:rPr>
          <w:lang w:val="en-CA"/>
        </w:rPr>
        <w:t xml:space="preserve">based on </w:t>
      </w:r>
      <w:r w:rsidRPr="00A77369">
        <w:rPr>
          <w:lang w:val="en-CA"/>
        </w:rPr>
        <w:t>flammable refrigerants</w:t>
      </w:r>
      <w:r w:rsidR="00287AC0" w:rsidRPr="00A77369">
        <w:rPr>
          <w:lang w:val="en-CA"/>
        </w:rPr>
        <w:t xml:space="preserve">, as well as information </w:t>
      </w:r>
      <w:r w:rsidR="003D5EEC">
        <w:rPr>
          <w:lang w:val="en-CA"/>
        </w:rPr>
        <w:t xml:space="preserve">on how good servicing practices can maintain the </w:t>
      </w:r>
      <w:r w:rsidR="00287AC0" w:rsidRPr="00A77369">
        <w:rPr>
          <w:lang w:val="en-CA"/>
        </w:rPr>
        <w:t>energy efficiency</w:t>
      </w:r>
      <w:r w:rsidR="003D5EEC">
        <w:rPr>
          <w:lang w:val="en-CA"/>
        </w:rPr>
        <w:t xml:space="preserve"> of equipment</w:t>
      </w:r>
      <w:r w:rsidR="00287AC0" w:rsidRPr="00A77369">
        <w:rPr>
          <w:lang w:val="en-CA"/>
        </w:rPr>
        <w:t xml:space="preserve">. </w:t>
      </w:r>
      <w:r w:rsidR="002D2685" w:rsidRPr="00A77369">
        <w:rPr>
          <w:lang w:val="en-CA"/>
        </w:rPr>
        <w:t xml:space="preserve">Gender equality and women’s empowerment will be included in meetings with the RAC association and other stakeholders </w:t>
      </w:r>
      <w:r w:rsidR="00287AC0" w:rsidRPr="00A77369">
        <w:rPr>
          <w:lang w:val="en-CA"/>
        </w:rPr>
        <w:t>(UNEP) (</w:t>
      </w:r>
      <w:r w:rsidR="008A55F2">
        <w:rPr>
          <w:lang w:val="en-CA"/>
        </w:rPr>
        <w:t>US $</w:t>
      </w:r>
      <w:r w:rsidR="00287AC0" w:rsidRPr="00A77369">
        <w:rPr>
          <w:lang w:val="en-CA"/>
        </w:rPr>
        <w:t>15,000)</w:t>
      </w:r>
      <w:r w:rsidR="006F03A6" w:rsidRPr="00A77369">
        <w:rPr>
          <w:lang w:val="en-CA"/>
        </w:rPr>
        <w:t xml:space="preserve">; </w:t>
      </w:r>
    </w:p>
    <w:p w:rsidR="00D54581" w:rsidRPr="002C1A1F" w:rsidRDefault="003D5EEC" w:rsidP="00AE068C">
      <w:pPr>
        <w:pStyle w:val="Heading2"/>
        <w:rPr>
          <w:lang w:val="en-CA"/>
        </w:rPr>
      </w:pPr>
      <w:r w:rsidRPr="002C1A1F">
        <w:rPr>
          <w:lang w:val="en-CA"/>
        </w:rPr>
        <w:t xml:space="preserve">Procurement and distribution of additional training equipment (e.g., recovery units with cylinders, manifold gauge sets, gas detectors, and </w:t>
      </w:r>
      <w:r w:rsidR="00703234" w:rsidRPr="002C1A1F">
        <w:rPr>
          <w:lang w:val="en-CA"/>
        </w:rPr>
        <w:t>HC</w:t>
      </w:r>
      <w:r w:rsidRPr="002C1A1F">
        <w:rPr>
          <w:lang w:val="en-CA"/>
        </w:rPr>
        <w:t xml:space="preserve"> teaching units) to the vocational training centres</w:t>
      </w:r>
      <w:r w:rsidR="009324FC" w:rsidRPr="002C1A1F">
        <w:rPr>
          <w:lang w:val="en-CA"/>
        </w:rPr>
        <w:t xml:space="preserve">, refrigerant identifiers for customs and the training centres, </w:t>
      </w:r>
      <w:r w:rsidR="00E517DE" w:rsidRPr="002C1A1F">
        <w:rPr>
          <w:lang w:val="en-CA"/>
        </w:rPr>
        <w:t xml:space="preserve">and tools for servicing technicians (e.g., </w:t>
      </w:r>
      <w:r w:rsidR="009324FC" w:rsidRPr="002C1A1F">
        <w:t>adjustable wrench</w:t>
      </w:r>
      <w:r w:rsidR="00E517DE" w:rsidRPr="002C1A1F">
        <w:t xml:space="preserve">, </w:t>
      </w:r>
      <w:r w:rsidR="009324FC" w:rsidRPr="002C1A1F">
        <w:t xml:space="preserve">flaring set, swaging tools, brazing torch, </w:t>
      </w:r>
      <w:r w:rsidR="00E517DE" w:rsidRPr="002C1A1F">
        <w:t>tube bender, valves, fittings)</w:t>
      </w:r>
      <w:r w:rsidRPr="002C1A1F">
        <w:rPr>
          <w:lang w:val="en-CA"/>
        </w:rPr>
        <w:t xml:space="preserve"> (UNIDO) (US $70,000</w:t>
      </w:r>
      <w:r w:rsidR="00E45C08" w:rsidRPr="002C1A1F">
        <w:rPr>
          <w:lang w:val="en-CA"/>
        </w:rPr>
        <w:t xml:space="preserve"> from the second tranche</w:t>
      </w:r>
      <w:r w:rsidRPr="002C1A1F">
        <w:rPr>
          <w:lang w:val="en-CA"/>
        </w:rPr>
        <w:t>);</w:t>
      </w:r>
      <w:r w:rsidR="00FE28C6" w:rsidRPr="002C1A1F">
        <w:rPr>
          <w:lang w:val="en-CA"/>
        </w:rPr>
        <w:t xml:space="preserve"> </w:t>
      </w:r>
      <w:r w:rsidR="006F03A6" w:rsidRPr="002C1A1F">
        <w:rPr>
          <w:lang w:val="en-CA"/>
        </w:rPr>
        <w:t>and</w:t>
      </w:r>
    </w:p>
    <w:p w:rsidR="00D54581" w:rsidRPr="00A77369" w:rsidRDefault="00D54581" w:rsidP="008179F2">
      <w:pPr>
        <w:pStyle w:val="Heading2"/>
        <w:keepNext/>
        <w:widowControl/>
        <w:numPr>
          <w:ilvl w:val="1"/>
          <w:numId w:val="1"/>
        </w:numPr>
        <w:rPr>
          <w:lang w:val="en-CA"/>
        </w:rPr>
      </w:pPr>
      <w:r w:rsidRPr="002C1A1F">
        <w:rPr>
          <w:lang w:val="en-CA"/>
        </w:rPr>
        <w:t xml:space="preserve">Project </w:t>
      </w:r>
      <w:r w:rsidR="00262D0B" w:rsidRPr="002C1A1F">
        <w:rPr>
          <w:lang w:val="en-CA"/>
        </w:rPr>
        <w:t>monitoring and evaluation</w:t>
      </w:r>
      <w:r w:rsidRPr="002C1A1F">
        <w:rPr>
          <w:lang w:val="en-CA"/>
        </w:rPr>
        <w:t xml:space="preserve">: </w:t>
      </w:r>
      <w:r w:rsidR="00262D0B" w:rsidRPr="002C1A1F">
        <w:rPr>
          <w:lang w:val="en-CA"/>
        </w:rPr>
        <w:t xml:space="preserve">a consultant will be recruited to assist </w:t>
      </w:r>
      <w:r w:rsidR="00642A23" w:rsidRPr="002C1A1F">
        <w:rPr>
          <w:lang w:val="en-CA"/>
        </w:rPr>
        <w:t xml:space="preserve">in </w:t>
      </w:r>
      <w:r w:rsidR="00262D0B" w:rsidRPr="002C1A1F">
        <w:rPr>
          <w:lang w:val="en-CA"/>
        </w:rPr>
        <w:t>the implementation of the HPMP activities, including by undertaking</w:t>
      </w:r>
      <w:r w:rsidR="00262D0B" w:rsidRPr="00A77369">
        <w:rPr>
          <w:lang w:val="en-CA"/>
        </w:rPr>
        <w:t xml:space="preserve"> field visits to regional workshops to assess the amount of HCFCs consumed and to customs entry points that have been equipped with refrigerant </w:t>
      </w:r>
      <w:r w:rsidR="00262D0B" w:rsidRPr="00703234">
        <w:rPr>
          <w:lang w:val="en-CA"/>
        </w:rPr>
        <w:t>identifiers to asses</w:t>
      </w:r>
      <w:r w:rsidR="00703234" w:rsidRPr="00703234">
        <w:rPr>
          <w:lang w:val="en-CA"/>
        </w:rPr>
        <w:t>s</w:t>
      </w:r>
      <w:r w:rsidR="00262D0B" w:rsidRPr="00703234">
        <w:rPr>
          <w:lang w:val="en-CA"/>
        </w:rPr>
        <w:t xml:space="preserve"> cross-border</w:t>
      </w:r>
      <w:r w:rsidR="00262D0B" w:rsidRPr="00A77369">
        <w:rPr>
          <w:lang w:val="en-CA"/>
        </w:rPr>
        <w:t xml:space="preserve"> trade in refrigerants</w:t>
      </w:r>
      <w:r w:rsidR="002D2685" w:rsidRPr="00A77369">
        <w:rPr>
          <w:lang w:val="en-CA"/>
        </w:rPr>
        <w:t>. The NOU will continue to track the number of women technicians, trainers and customs officers trained</w:t>
      </w:r>
      <w:r w:rsidR="00031C56" w:rsidRPr="00A77369">
        <w:rPr>
          <w:lang w:val="en-CA"/>
        </w:rPr>
        <w:t xml:space="preserve"> (UNEP</w:t>
      </w:r>
      <w:r w:rsidR="00B33D49" w:rsidRPr="00A77369">
        <w:rPr>
          <w:lang w:val="en-CA"/>
        </w:rPr>
        <w:t>) (</w:t>
      </w:r>
      <w:r w:rsidR="008A55F2">
        <w:rPr>
          <w:lang w:val="en-CA"/>
        </w:rPr>
        <w:t>US $</w:t>
      </w:r>
      <w:r w:rsidR="00031C56" w:rsidRPr="00A77369">
        <w:rPr>
          <w:lang w:val="en-CA"/>
        </w:rPr>
        <w:t>5,000)</w:t>
      </w:r>
      <w:r w:rsidR="00262D0B" w:rsidRPr="00A77369">
        <w:rPr>
          <w:lang w:val="en-CA"/>
        </w:rPr>
        <w:t>.</w:t>
      </w:r>
    </w:p>
    <w:p w:rsidR="002C1A1F" w:rsidRDefault="002C1A1F" w:rsidP="008179F2">
      <w:pPr>
        <w:jc w:val="center"/>
        <w:rPr>
          <w:b/>
          <w:lang w:val="en-CA"/>
        </w:rPr>
      </w:pPr>
    </w:p>
    <w:p w:rsidR="00D54581" w:rsidRPr="00A77369" w:rsidRDefault="00D54581" w:rsidP="008179F2">
      <w:pPr>
        <w:jc w:val="center"/>
        <w:rPr>
          <w:b/>
          <w:lang w:val="en-CA"/>
        </w:rPr>
      </w:pPr>
      <w:r w:rsidRPr="00A77369">
        <w:rPr>
          <w:b/>
          <w:lang w:val="en-CA"/>
        </w:rPr>
        <w:t>SECRETARIAT’S COMMENTS AND RECOMMENDATION</w:t>
      </w:r>
    </w:p>
    <w:p w:rsidR="00D54581" w:rsidRPr="00A77369" w:rsidRDefault="00D54581" w:rsidP="008179F2">
      <w:pPr>
        <w:rPr>
          <w:lang w:val="en-CA"/>
        </w:rPr>
      </w:pPr>
    </w:p>
    <w:p w:rsidR="00D54581" w:rsidRPr="00A77369" w:rsidRDefault="00D54581" w:rsidP="008179F2">
      <w:pPr>
        <w:rPr>
          <w:b/>
          <w:lang w:val="en-CA"/>
        </w:rPr>
      </w:pPr>
      <w:r w:rsidRPr="00A77369">
        <w:rPr>
          <w:b/>
          <w:lang w:val="en-CA"/>
        </w:rPr>
        <w:t>COMMENTS</w:t>
      </w:r>
    </w:p>
    <w:p w:rsidR="00D54581" w:rsidRPr="00A77369" w:rsidRDefault="00D54581" w:rsidP="008179F2">
      <w:pPr>
        <w:rPr>
          <w:lang w:val="en-CA"/>
        </w:rPr>
      </w:pPr>
    </w:p>
    <w:p w:rsidR="00D54581" w:rsidRPr="00A77369" w:rsidRDefault="00D54581" w:rsidP="008179F2">
      <w:pPr>
        <w:rPr>
          <w:u w:val="single"/>
          <w:lang w:val="en-CA"/>
        </w:rPr>
      </w:pPr>
      <w:r w:rsidRPr="00A77369">
        <w:rPr>
          <w:u w:val="single"/>
          <w:lang w:val="en-CA"/>
        </w:rPr>
        <w:t>Progress report on the implementation of the</w:t>
      </w:r>
      <w:r w:rsidR="003C05F7" w:rsidRPr="00A77369">
        <w:rPr>
          <w:u w:val="single"/>
          <w:lang w:val="en-CA"/>
        </w:rPr>
        <w:t xml:space="preserve"> second</w:t>
      </w:r>
      <w:r w:rsidRPr="00A77369">
        <w:rPr>
          <w:u w:val="single"/>
          <w:lang w:val="en-CA"/>
        </w:rPr>
        <w:t xml:space="preserve"> tranche of the HPMP</w:t>
      </w:r>
    </w:p>
    <w:p w:rsidR="00D54581" w:rsidRPr="00A77369" w:rsidRDefault="00D54581" w:rsidP="008179F2">
      <w:pPr>
        <w:rPr>
          <w:lang w:val="en-CA"/>
        </w:rPr>
      </w:pPr>
    </w:p>
    <w:p w:rsidR="00D54581" w:rsidRPr="00A77369" w:rsidRDefault="00D54581" w:rsidP="008179F2">
      <w:pPr>
        <w:rPr>
          <w:i/>
          <w:lang w:val="en-CA"/>
        </w:rPr>
      </w:pPr>
      <w:r w:rsidRPr="00A77369">
        <w:rPr>
          <w:i/>
          <w:lang w:val="en-CA"/>
        </w:rPr>
        <w:t>Legal framework</w:t>
      </w:r>
    </w:p>
    <w:p w:rsidR="00D54581" w:rsidRPr="00A77369" w:rsidRDefault="00D54581" w:rsidP="008179F2">
      <w:pPr>
        <w:rPr>
          <w:lang w:val="en-CA"/>
        </w:rPr>
      </w:pPr>
    </w:p>
    <w:p w:rsidR="00D54581" w:rsidRPr="00A77369" w:rsidRDefault="00D54581" w:rsidP="008179F2">
      <w:pPr>
        <w:pStyle w:val="Heading1"/>
        <w:rPr>
          <w:lang w:val="en-CA"/>
        </w:rPr>
      </w:pPr>
      <w:r w:rsidRPr="00A77369">
        <w:rPr>
          <w:lang w:val="en-CA"/>
        </w:rPr>
        <w:t xml:space="preserve">The Government of </w:t>
      </w:r>
      <w:r w:rsidR="003C05F7" w:rsidRPr="00A77369">
        <w:rPr>
          <w:lang w:val="en-CA"/>
        </w:rPr>
        <w:t>Ethiopia</w:t>
      </w:r>
      <w:r w:rsidRPr="00A77369">
        <w:rPr>
          <w:lang w:val="en-CA"/>
        </w:rPr>
        <w:t xml:space="preserve"> has already issued HCFC import quotas for 2020 at </w:t>
      </w:r>
      <w:r w:rsidR="005C50F4" w:rsidRPr="00A77369">
        <w:rPr>
          <w:lang w:val="en-CA"/>
        </w:rPr>
        <w:t>3.50</w:t>
      </w:r>
      <w:r w:rsidRPr="00A77369">
        <w:rPr>
          <w:lang w:val="en-CA"/>
        </w:rPr>
        <w:t> ODP tonnes, which is lower than the Montreal Protocol control target</w:t>
      </w:r>
      <w:r w:rsidR="00740CB2">
        <w:rPr>
          <w:lang w:val="en-CA"/>
        </w:rPr>
        <w:t xml:space="preserve"> of 3.</w:t>
      </w:r>
      <w:r w:rsidR="00E45C08">
        <w:rPr>
          <w:lang w:val="en-CA"/>
        </w:rPr>
        <w:t>58</w:t>
      </w:r>
      <w:r w:rsidR="00740CB2">
        <w:rPr>
          <w:lang w:val="en-CA"/>
        </w:rPr>
        <w:t xml:space="preserve"> ODP tonnes for that year</w:t>
      </w:r>
      <w:r w:rsidRPr="00A77369">
        <w:rPr>
          <w:lang w:val="en-CA"/>
        </w:rPr>
        <w:t>.</w:t>
      </w:r>
    </w:p>
    <w:p w:rsidR="00D54581" w:rsidRPr="00A77369" w:rsidRDefault="00D54581" w:rsidP="008179F2">
      <w:pPr>
        <w:rPr>
          <w:i/>
          <w:lang w:val="en-CA"/>
        </w:rPr>
      </w:pPr>
      <w:r w:rsidRPr="00A77369">
        <w:rPr>
          <w:i/>
          <w:lang w:val="en-CA"/>
        </w:rPr>
        <w:t>Refrigeration servicing sector</w:t>
      </w:r>
    </w:p>
    <w:p w:rsidR="00D54581" w:rsidRPr="00A77369" w:rsidRDefault="00D54581" w:rsidP="008179F2">
      <w:pPr>
        <w:rPr>
          <w:lang w:val="en-CA"/>
        </w:rPr>
      </w:pPr>
    </w:p>
    <w:p w:rsidR="000C4A4F" w:rsidRDefault="00A87550" w:rsidP="009324FC">
      <w:pPr>
        <w:pStyle w:val="Heading1"/>
        <w:rPr>
          <w:lang w:val="en-CA"/>
        </w:rPr>
      </w:pPr>
      <w:r w:rsidRPr="00A77369">
        <w:rPr>
          <w:lang w:val="en-CA"/>
        </w:rPr>
        <w:t xml:space="preserve">Under the second tranche, UNIDO had planned to procure </w:t>
      </w:r>
      <w:r w:rsidR="009324FC" w:rsidRPr="009324FC">
        <w:rPr>
          <w:lang w:val="en-CA"/>
        </w:rPr>
        <w:t xml:space="preserve">additional training equipment </w:t>
      </w:r>
      <w:r w:rsidR="009324FC">
        <w:rPr>
          <w:lang w:val="en-CA"/>
        </w:rPr>
        <w:t>for</w:t>
      </w:r>
      <w:r w:rsidR="009324FC" w:rsidRPr="009324FC">
        <w:rPr>
          <w:lang w:val="en-CA"/>
        </w:rPr>
        <w:t xml:space="preserve"> the vocational training centres, refrigerant identifiers for customs and the training centres, and tools for servicing technicians</w:t>
      </w:r>
      <w:r w:rsidR="009324FC">
        <w:rPr>
          <w:lang w:val="en-CA"/>
        </w:rPr>
        <w:t xml:space="preserve">. </w:t>
      </w:r>
      <w:r w:rsidR="00B74FC5" w:rsidRPr="00A77369">
        <w:rPr>
          <w:lang w:val="en-CA"/>
        </w:rPr>
        <w:t xml:space="preserve">However, implementation of those procurements </w:t>
      </w:r>
      <w:r w:rsidR="00740CB2">
        <w:rPr>
          <w:lang w:val="en-CA"/>
        </w:rPr>
        <w:t xml:space="preserve">was </w:t>
      </w:r>
      <w:r w:rsidR="00B74FC5" w:rsidRPr="00A77369">
        <w:rPr>
          <w:lang w:val="en-CA"/>
        </w:rPr>
        <w:t>delayed given the political situation in the country</w:t>
      </w:r>
      <w:r w:rsidR="006460AD">
        <w:rPr>
          <w:lang w:val="en-CA"/>
        </w:rPr>
        <w:t xml:space="preserve"> </w:t>
      </w:r>
      <w:r w:rsidR="009324FC">
        <w:rPr>
          <w:lang w:val="en-CA"/>
        </w:rPr>
        <w:t xml:space="preserve">in </w:t>
      </w:r>
      <w:r w:rsidR="006460AD">
        <w:rPr>
          <w:lang w:val="en-CA"/>
        </w:rPr>
        <w:t>2016-2017</w:t>
      </w:r>
      <w:r w:rsidR="00B74FC5" w:rsidRPr="00A77369">
        <w:rPr>
          <w:lang w:val="en-CA"/>
        </w:rPr>
        <w:t>, which included a state of emergency, during which time activities could not be implemented</w:t>
      </w:r>
      <w:r w:rsidR="00740CB2">
        <w:rPr>
          <w:lang w:val="en-CA"/>
        </w:rPr>
        <w:t xml:space="preserve">. In addition, the </w:t>
      </w:r>
      <w:r w:rsidR="00217355">
        <w:rPr>
          <w:lang w:val="en-CA"/>
        </w:rPr>
        <w:t xml:space="preserve">national </w:t>
      </w:r>
      <w:r w:rsidR="00B74FC5" w:rsidRPr="00A77369">
        <w:rPr>
          <w:lang w:val="en-CA"/>
        </w:rPr>
        <w:t>ozone officer</w:t>
      </w:r>
      <w:r w:rsidR="00740CB2">
        <w:rPr>
          <w:lang w:val="en-CA"/>
        </w:rPr>
        <w:t xml:space="preserve"> (NOO) was changed, </w:t>
      </w:r>
      <w:r w:rsidR="009324FC">
        <w:rPr>
          <w:lang w:val="en-CA"/>
        </w:rPr>
        <w:t xml:space="preserve">further </w:t>
      </w:r>
      <w:r w:rsidR="00740CB2">
        <w:rPr>
          <w:lang w:val="en-CA"/>
        </w:rPr>
        <w:t xml:space="preserve">delaying implementation of the activities. </w:t>
      </w:r>
    </w:p>
    <w:p w:rsidR="00EA7470" w:rsidRPr="002C1A1F" w:rsidRDefault="009324FC" w:rsidP="00991F7E">
      <w:pPr>
        <w:pStyle w:val="Heading1"/>
        <w:rPr>
          <w:lang w:val="en-CA"/>
        </w:rPr>
      </w:pPr>
      <w:r w:rsidRPr="002C1A1F">
        <w:rPr>
          <w:lang w:val="en-CA"/>
        </w:rPr>
        <w:t>The political situation has since stabilized and a</w:t>
      </w:r>
      <w:r w:rsidR="00740CB2" w:rsidRPr="002C1A1F">
        <w:rPr>
          <w:lang w:val="en-CA"/>
        </w:rPr>
        <w:t xml:space="preserve"> new NOO has been hired </w:t>
      </w:r>
      <w:r w:rsidR="00356EF0" w:rsidRPr="002C1A1F">
        <w:rPr>
          <w:lang w:val="en-CA"/>
        </w:rPr>
        <w:t>and trained</w:t>
      </w:r>
      <w:r w:rsidR="00B74FC5" w:rsidRPr="002C1A1F">
        <w:rPr>
          <w:lang w:val="en-CA"/>
        </w:rPr>
        <w:t xml:space="preserve">. </w:t>
      </w:r>
      <w:r w:rsidR="00674573" w:rsidRPr="002C1A1F">
        <w:rPr>
          <w:lang w:val="en-CA"/>
        </w:rPr>
        <w:t xml:space="preserve">In collaboration with the NOU, the purchase order </w:t>
      </w:r>
      <w:r w:rsidR="00740CB2" w:rsidRPr="002C1A1F">
        <w:rPr>
          <w:lang w:val="en-CA"/>
        </w:rPr>
        <w:t xml:space="preserve">for the equipment </w:t>
      </w:r>
      <w:r w:rsidR="006460AD" w:rsidRPr="002C1A1F">
        <w:rPr>
          <w:lang w:val="en-CA"/>
        </w:rPr>
        <w:t>is in the process of being</w:t>
      </w:r>
      <w:r w:rsidR="00674573" w:rsidRPr="002C1A1F">
        <w:rPr>
          <w:lang w:val="en-CA"/>
        </w:rPr>
        <w:t xml:space="preserve"> finalized</w:t>
      </w:r>
      <w:r w:rsidR="00CC4323" w:rsidRPr="002C1A1F">
        <w:rPr>
          <w:lang w:val="en-CA"/>
        </w:rPr>
        <w:t>; once finalized, shipment would normally take place within approximately four weeks</w:t>
      </w:r>
      <w:r w:rsidR="00093A69" w:rsidRPr="002C1A1F">
        <w:rPr>
          <w:lang w:val="en-CA"/>
        </w:rPr>
        <w:t xml:space="preserve">; however, delivery was likely to be delayed given the COVID-19 situation. </w:t>
      </w:r>
    </w:p>
    <w:p w:rsidR="00D54581" w:rsidRPr="00A77369" w:rsidRDefault="00D54581" w:rsidP="002C1A1F">
      <w:pPr>
        <w:keepNext/>
        <w:keepLines/>
        <w:rPr>
          <w:u w:val="single"/>
          <w:lang w:val="en-CA"/>
        </w:rPr>
      </w:pPr>
      <w:r w:rsidRPr="00A77369">
        <w:rPr>
          <w:u w:val="single"/>
          <w:lang w:val="en-CA"/>
        </w:rPr>
        <w:lastRenderedPageBreak/>
        <w:t>Level of fund disbursement</w:t>
      </w:r>
    </w:p>
    <w:p w:rsidR="00D54581" w:rsidRPr="00A77369" w:rsidRDefault="00D54581" w:rsidP="002C1A1F">
      <w:pPr>
        <w:keepNext/>
        <w:keepLines/>
        <w:rPr>
          <w:lang w:val="en-CA"/>
        </w:rPr>
      </w:pPr>
    </w:p>
    <w:p w:rsidR="00D54581" w:rsidRPr="00A77369" w:rsidRDefault="00217355" w:rsidP="002C1A1F">
      <w:pPr>
        <w:pStyle w:val="Heading1"/>
        <w:keepNext/>
        <w:keepLines/>
        <w:rPr>
          <w:lang w:val="en-CA"/>
        </w:rPr>
      </w:pPr>
      <w:r>
        <w:rPr>
          <w:lang w:val="en-CA"/>
        </w:rPr>
        <w:t xml:space="preserve">The Secretariat noted </w:t>
      </w:r>
      <w:r w:rsidR="00FE28C6">
        <w:rPr>
          <w:lang w:val="en-CA"/>
        </w:rPr>
        <w:t xml:space="preserve">the low rate of fund disbursement of the second tranche due to </w:t>
      </w:r>
      <w:r w:rsidR="0062548B" w:rsidRPr="00A77369">
        <w:rPr>
          <w:lang w:val="en-CA"/>
        </w:rPr>
        <w:t xml:space="preserve">delays in implementation, and </w:t>
      </w:r>
      <w:r w:rsidR="00FE28C6">
        <w:rPr>
          <w:lang w:val="en-CA"/>
        </w:rPr>
        <w:t xml:space="preserve">that </w:t>
      </w:r>
      <w:r w:rsidR="0062548B" w:rsidRPr="00A77369">
        <w:rPr>
          <w:lang w:val="en-CA"/>
        </w:rPr>
        <w:t xml:space="preserve">with the approval of the third tranche, the </w:t>
      </w:r>
      <w:r w:rsidR="009324FC">
        <w:rPr>
          <w:lang w:val="en-CA"/>
        </w:rPr>
        <w:t xml:space="preserve">remaining </w:t>
      </w:r>
      <w:r w:rsidR="0062548B" w:rsidRPr="00A77369">
        <w:rPr>
          <w:lang w:val="en-CA"/>
        </w:rPr>
        <w:t>balance</w:t>
      </w:r>
      <w:r w:rsidR="00713D2A">
        <w:rPr>
          <w:lang w:val="en-CA"/>
        </w:rPr>
        <w:t xml:space="preserve"> for the project would total </w:t>
      </w:r>
      <w:r w:rsidR="008A55F2">
        <w:rPr>
          <w:lang w:val="en-CA"/>
        </w:rPr>
        <w:t>US $</w:t>
      </w:r>
      <w:r w:rsidR="0062548B" w:rsidRPr="00A77369">
        <w:rPr>
          <w:lang w:val="en-CA"/>
        </w:rPr>
        <w:t>13</w:t>
      </w:r>
      <w:r w:rsidR="00CA2532">
        <w:rPr>
          <w:lang w:val="en-CA"/>
        </w:rPr>
        <w:t>5</w:t>
      </w:r>
      <w:r w:rsidR="0062548B" w:rsidRPr="00A77369">
        <w:rPr>
          <w:lang w:val="en-CA"/>
        </w:rPr>
        <w:t>,000. As the date of completion of stage I is 31 December 2021 as established in paragraph</w:t>
      </w:r>
      <w:r w:rsidR="00713D2A">
        <w:rPr>
          <w:lang w:val="en-CA"/>
        </w:rPr>
        <w:t> </w:t>
      </w:r>
      <w:r w:rsidR="0062548B" w:rsidRPr="00A77369">
        <w:rPr>
          <w:lang w:val="en-CA"/>
        </w:rPr>
        <w:t xml:space="preserve">14 of the Agreement, the Secretariat was concerned </w:t>
      </w:r>
      <w:r w:rsidR="00FE28C6">
        <w:rPr>
          <w:lang w:val="en-CA"/>
        </w:rPr>
        <w:t xml:space="preserve">that </w:t>
      </w:r>
      <w:r w:rsidR="003E0FAE" w:rsidRPr="00A77369">
        <w:rPr>
          <w:lang w:val="en-CA"/>
        </w:rPr>
        <w:t xml:space="preserve">the country </w:t>
      </w:r>
      <w:r w:rsidR="0062548B" w:rsidRPr="00A77369">
        <w:rPr>
          <w:lang w:val="en-CA"/>
        </w:rPr>
        <w:t>would not be in a position to complete stage</w:t>
      </w:r>
      <w:r w:rsidR="00A33C97">
        <w:rPr>
          <w:lang w:val="en-CA"/>
        </w:rPr>
        <w:t> </w:t>
      </w:r>
      <w:r w:rsidR="0062548B" w:rsidRPr="00A77369">
        <w:rPr>
          <w:lang w:val="en-CA"/>
        </w:rPr>
        <w:t xml:space="preserve">I of the HPMP by that </w:t>
      </w:r>
      <w:r w:rsidR="00FE28C6">
        <w:rPr>
          <w:lang w:val="en-CA"/>
        </w:rPr>
        <w:t>date</w:t>
      </w:r>
      <w:r w:rsidR="0062548B" w:rsidRPr="00A77369">
        <w:rPr>
          <w:lang w:val="en-CA"/>
        </w:rPr>
        <w:t xml:space="preserve">, especially given the possible additional challenges the country may face </w:t>
      </w:r>
      <w:r w:rsidR="00FE28C6">
        <w:rPr>
          <w:lang w:val="en-CA"/>
        </w:rPr>
        <w:t>due to</w:t>
      </w:r>
      <w:r w:rsidR="0062548B" w:rsidRPr="00A77369">
        <w:rPr>
          <w:lang w:val="en-CA"/>
        </w:rPr>
        <w:t xml:space="preserve"> the global COVID-19 pandemic. </w:t>
      </w:r>
      <w:r w:rsidR="003E0FAE" w:rsidRPr="00A77369">
        <w:rPr>
          <w:lang w:val="en-CA"/>
        </w:rPr>
        <w:t>Accordingly, it was agreed to extend the completion of stage</w:t>
      </w:r>
      <w:r w:rsidR="00A33C97">
        <w:rPr>
          <w:lang w:val="en-CA"/>
        </w:rPr>
        <w:t> </w:t>
      </w:r>
      <w:r w:rsidR="003E0FAE" w:rsidRPr="00A77369">
        <w:rPr>
          <w:lang w:val="en-CA"/>
        </w:rPr>
        <w:t>I of the HPMP to 31 December 2022 on the understanding that UNEP, UNIDO and the Government would intensify efforts to implement the activities in stage</w:t>
      </w:r>
      <w:r w:rsidR="00A33C97">
        <w:rPr>
          <w:lang w:val="en-CA"/>
        </w:rPr>
        <w:t> </w:t>
      </w:r>
      <w:r w:rsidR="003E0FAE" w:rsidRPr="00A77369">
        <w:rPr>
          <w:lang w:val="en-CA"/>
        </w:rPr>
        <w:t>I; that UNEP would submit a progress report on the implementation of activities, including disbursements achieved</w:t>
      </w:r>
      <w:r w:rsidR="000C4A4F">
        <w:rPr>
          <w:lang w:val="en-CA"/>
        </w:rPr>
        <w:t xml:space="preserve"> </w:t>
      </w:r>
      <w:r w:rsidR="000C4A4F" w:rsidRPr="00A77369">
        <w:rPr>
          <w:lang w:val="en-CA"/>
        </w:rPr>
        <w:t>to the first meeting of 2021</w:t>
      </w:r>
      <w:r w:rsidR="003E0FAE" w:rsidRPr="00A77369">
        <w:rPr>
          <w:lang w:val="en-CA"/>
        </w:rPr>
        <w:t xml:space="preserve">; and that the </w:t>
      </w:r>
      <w:r w:rsidR="000C4A4F">
        <w:rPr>
          <w:lang w:val="en-CA"/>
        </w:rPr>
        <w:t xml:space="preserve">Government </w:t>
      </w:r>
      <w:r w:rsidR="003E0FAE" w:rsidRPr="00A77369">
        <w:rPr>
          <w:lang w:val="en-CA"/>
        </w:rPr>
        <w:t>could submit its stage</w:t>
      </w:r>
      <w:r w:rsidR="00713D2A">
        <w:rPr>
          <w:lang w:val="en-CA"/>
        </w:rPr>
        <w:t> </w:t>
      </w:r>
      <w:r w:rsidR="003E0FAE" w:rsidRPr="00A77369">
        <w:rPr>
          <w:lang w:val="en-CA"/>
        </w:rPr>
        <w:t>II of the HPMP once at least 80</w:t>
      </w:r>
      <w:r w:rsidR="00713D2A">
        <w:rPr>
          <w:lang w:val="en-CA"/>
        </w:rPr>
        <w:t> </w:t>
      </w:r>
      <w:r w:rsidR="003E0FAE" w:rsidRPr="00A77369">
        <w:rPr>
          <w:lang w:val="en-CA"/>
        </w:rPr>
        <w:t xml:space="preserve">per cent of </w:t>
      </w:r>
      <w:r w:rsidR="000C4A4F">
        <w:rPr>
          <w:lang w:val="en-CA"/>
        </w:rPr>
        <w:t xml:space="preserve">the total </w:t>
      </w:r>
      <w:r w:rsidR="003E0FAE" w:rsidRPr="00A77369">
        <w:rPr>
          <w:lang w:val="en-CA"/>
        </w:rPr>
        <w:t>approved funds</w:t>
      </w:r>
      <w:r w:rsidR="00CC4323">
        <w:rPr>
          <w:lang w:val="en-CA"/>
        </w:rPr>
        <w:t xml:space="preserve"> for UNIDO had </w:t>
      </w:r>
      <w:r w:rsidR="000C4A4F">
        <w:rPr>
          <w:lang w:val="en-CA"/>
        </w:rPr>
        <w:t>been disbursed</w:t>
      </w:r>
      <w:r w:rsidR="003E0FAE" w:rsidRPr="00A77369">
        <w:rPr>
          <w:lang w:val="en-CA"/>
        </w:rPr>
        <w:t>.</w:t>
      </w:r>
    </w:p>
    <w:p w:rsidR="00D54581" w:rsidRPr="00A77369" w:rsidRDefault="00D54581" w:rsidP="008179F2">
      <w:pPr>
        <w:keepNext/>
        <w:keepLines/>
        <w:rPr>
          <w:u w:val="single"/>
          <w:lang w:val="en-CA"/>
        </w:rPr>
      </w:pPr>
      <w:r w:rsidRPr="00A77369">
        <w:rPr>
          <w:u w:val="single"/>
          <w:lang w:val="en-CA"/>
        </w:rPr>
        <w:t xml:space="preserve">Sustainability of the HCFC phase-out </w:t>
      </w:r>
    </w:p>
    <w:p w:rsidR="00D54581" w:rsidRPr="00A77369" w:rsidRDefault="00D54581" w:rsidP="008179F2">
      <w:pPr>
        <w:rPr>
          <w:u w:val="single"/>
          <w:lang w:val="en-CA"/>
        </w:rPr>
      </w:pPr>
    </w:p>
    <w:p w:rsidR="00D54581" w:rsidRPr="00A77369" w:rsidRDefault="0064388D" w:rsidP="00991F7E">
      <w:pPr>
        <w:pStyle w:val="Heading1"/>
        <w:rPr>
          <w:lang w:val="en-CA"/>
        </w:rPr>
      </w:pPr>
      <w:r w:rsidRPr="00A77369">
        <w:rPr>
          <w:lang w:val="en-CA"/>
        </w:rPr>
        <w:t xml:space="preserve">The country has a licensing and quota system in place to control </w:t>
      </w:r>
      <w:r w:rsidR="000C4A4F">
        <w:rPr>
          <w:lang w:val="en-CA"/>
        </w:rPr>
        <w:t xml:space="preserve">HCFC </w:t>
      </w:r>
      <w:r w:rsidRPr="00A77369">
        <w:rPr>
          <w:lang w:val="en-CA"/>
        </w:rPr>
        <w:t xml:space="preserve">imports, with violations subject to a fine and possible imprisonment; suspicious shipments are inspected in collaboration with customs and the NOU, and may be tested in a </w:t>
      </w:r>
      <w:r w:rsidR="000C4A4F">
        <w:rPr>
          <w:lang w:val="en-CA"/>
        </w:rPr>
        <w:t>G</w:t>
      </w:r>
      <w:r w:rsidR="000C4A4F" w:rsidRPr="00A77369">
        <w:rPr>
          <w:lang w:val="en-CA"/>
        </w:rPr>
        <w:t xml:space="preserve">overnment </w:t>
      </w:r>
      <w:r w:rsidR="000C4A4F">
        <w:rPr>
          <w:lang w:val="en-CA"/>
        </w:rPr>
        <w:t>owned-</w:t>
      </w:r>
      <w:r w:rsidRPr="00A77369">
        <w:rPr>
          <w:lang w:val="en-CA"/>
        </w:rPr>
        <w:t xml:space="preserve">laboratory. Imports of controlled substances that have been phased out are banned. </w:t>
      </w:r>
      <w:r w:rsidR="00D54076" w:rsidRPr="00A77369">
        <w:rPr>
          <w:lang w:val="en-CA"/>
        </w:rPr>
        <w:t>The</w:t>
      </w:r>
      <w:r w:rsidRPr="00A77369">
        <w:rPr>
          <w:lang w:val="en-CA"/>
        </w:rPr>
        <w:t xml:space="preserve"> technical assistance and training equipment </w:t>
      </w:r>
      <w:r w:rsidR="00D54076" w:rsidRPr="00A77369">
        <w:rPr>
          <w:lang w:val="en-CA"/>
        </w:rPr>
        <w:t xml:space="preserve">that will be </w:t>
      </w:r>
      <w:r w:rsidRPr="00A77369">
        <w:rPr>
          <w:lang w:val="en-CA"/>
        </w:rPr>
        <w:t xml:space="preserve">provided to the </w:t>
      </w:r>
      <w:r w:rsidR="00D54076" w:rsidRPr="00A77369">
        <w:rPr>
          <w:lang w:val="en-CA"/>
        </w:rPr>
        <w:t>vocational</w:t>
      </w:r>
      <w:r w:rsidRPr="00A77369">
        <w:rPr>
          <w:lang w:val="en-CA"/>
        </w:rPr>
        <w:t xml:space="preserve"> training centres for training RAC technicians </w:t>
      </w:r>
      <w:r w:rsidR="00D54076" w:rsidRPr="00A77369">
        <w:rPr>
          <w:lang w:val="en-CA"/>
        </w:rPr>
        <w:t xml:space="preserve">will further strengthen the refrigeration servicing sector and ensure the long-term sustainability of the HCFC phase-out. </w:t>
      </w:r>
      <w:r w:rsidR="00356C8C">
        <w:rPr>
          <w:lang w:val="en-CA"/>
        </w:rPr>
        <w:t>While HCFC</w:t>
      </w:r>
      <w:r w:rsidR="00356C8C">
        <w:rPr>
          <w:lang w:val="en-CA"/>
        </w:rPr>
        <w:noBreakHyphen/>
      </w:r>
      <w:r w:rsidR="00991F7E" w:rsidRPr="00A77369">
        <w:rPr>
          <w:lang w:val="en-CA"/>
        </w:rPr>
        <w:t>based equipment can still be imported into the country, the country would consider addressing such imports under the stage</w:t>
      </w:r>
      <w:r w:rsidR="00713D2A">
        <w:rPr>
          <w:lang w:val="en-CA"/>
        </w:rPr>
        <w:t> </w:t>
      </w:r>
      <w:r w:rsidR="00991F7E" w:rsidRPr="00A77369">
        <w:rPr>
          <w:lang w:val="en-CA"/>
        </w:rPr>
        <w:t>II of the HPMP.</w:t>
      </w:r>
    </w:p>
    <w:p w:rsidR="00D54581" w:rsidRPr="00A77369" w:rsidRDefault="00D54581" w:rsidP="008179F2">
      <w:pPr>
        <w:rPr>
          <w:u w:val="single"/>
          <w:lang w:val="en-CA"/>
        </w:rPr>
      </w:pPr>
      <w:r w:rsidRPr="00A77369">
        <w:rPr>
          <w:u w:val="single"/>
          <w:lang w:val="en-CA"/>
        </w:rPr>
        <w:t xml:space="preserve">Conclusion </w:t>
      </w:r>
    </w:p>
    <w:p w:rsidR="00D54581" w:rsidRPr="00A77369" w:rsidRDefault="00D54581" w:rsidP="008179F2">
      <w:pPr>
        <w:rPr>
          <w:lang w:val="en-CA"/>
        </w:rPr>
      </w:pPr>
    </w:p>
    <w:p w:rsidR="00D54581" w:rsidRPr="00A77369" w:rsidRDefault="008E72CC" w:rsidP="008E72CC">
      <w:pPr>
        <w:pStyle w:val="Heading1"/>
        <w:rPr>
          <w:lang w:val="en-CA"/>
        </w:rPr>
      </w:pPr>
      <w:r w:rsidRPr="00A77369">
        <w:rPr>
          <w:lang w:val="en-CA"/>
        </w:rPr>
        <w:t xml:space="preserve">The HPMP is progressing, the country’s import licensing and quota system is operational and will enable HCFC consumption reductions in line with the Montreal Protocol’s phase-out schedule, and the 2019 consumption level was </w:t>
      </w:r>
      <w:r w:rsidR="00D54076" w:rsidRPr="00A77369">
        <w:rPr>
          <w:lang w:val="en-CA"/>
        </w:rPr>
        <w:t>36</w:t>
      </w:r>
      <w:r w:rsidR="00713D2A">
        <w:rPr>
          <w:lang w:val="en-CA"/>
        </w:rPr>
        <w:t> </w:t>
      </w:r>
      <w:r w:rsidR="00D54076" w:rsidRPr="00A77369">
        <w:rPr>
          <w:lang w:val="en-CA"/>
        </w:rPr>
        <w:t>per cent below the country’s baseline</w:t>
      </w:r>
      <w:r w:rsidRPr="00A77369">
        <w:rPr>
          <w:lang w:val="en-CA"/>
        </w:rPr>
        <w:t xml:space="preserve">. </w:t>
      </w:r>
      <w:r w:rsidR="00D54076" w:rsidRPr="00A77369">
        <w:rPr>
          <w:lang w:val="en-CA"/>
        </w:rPr>
        <w:t>While the country has faced delays in implementation given the political situation in the country</w:t>
      </w:r>
      <w:r w:rsidR="000C4A4F">
        <w:rPr>
          <w:lang w:val="en-CA"/>
        </w:rPr>
        <w:t xml:space="preserve"> that prevailed in </w:t>
      </w:r>
      <w:r w:rsidR="00CC4323">
        <w:rPr>
          <w:lang w:val="en-CA"/>
        </w:rPr>
        <w:t>2016-2017</w:t>
      </w:r>
      <w:r w:rsidR="00D54076" w:rsidRPr="00A77369">
        <w:rPr>
          <w:lang w:val="en-CA"/>
        </w:rPr>
        <w:t>, t</w:t>
      </w:r>
      <w:r w:rsidRPr="00A77369">
        <w:rPr>
          <w:lang w:val="en-CA"/>
        </w:rPr>
        <w:t xml:space="preserve">he level of disbursement </w:t>
      </w:r>
      <w:r w:rsidR="000C4A4F">
        <w:rPr>
          <w:lang w:val="en-CA"/>
        </w:rPr>
        <w:t xml:space="preserve">of the second tranche </w:t>
      </w:r>
      <w:r w:rsidRPr="00A77369">
        <w:rPr>
          <w:lang w:val="en-CA"/>
        </w:rPr>
        <w:t xml:space="preserve">is </w:t>
      </w:r>
      <w:r w:rsidR="00414A15" w:rsidRPr="00A77369">
        <w:rPr>
          <w:lang w:val="en-CA"/>
        </w:rPr>
        <w:t>20</w:t>
      </w:r>
      <w:r w:rsidR="00713D2A">
        <w:rPr>
          <w:lang w:val="en-CA"/>
        </w:rPr>
        <w:t> </w:t>
      </w:r>
      <w:r w:rsidRPr="00A77369">
        <w:rPr>
          <w:lang w:val="en-CA"/>
        </w:rPr>
        <w:t xml:space="preserve">per cent. </w:t>
      </w:r>
      <w:r w:rsidR="000C4A4F">
        <w:rPr>
          <w:lang w:val="en-CA"/>
        </w:rPr>
        <w:t>While the political situation has been stabilized, and a new NOO has been trained, t</w:t>
      </w:r>
      <w:r w:rsidR="001910B3" w:rsidRPr="00A77369">
        <w:rPr>
          <w:lang w:val="en-CA"/>
        </w:rPr>
        <w:t xml:space="preserve">he COVID-19 pandemic is likely to lead to further delays, </w:t>
      </w:r>
      <w:r w:rsidR="009324FC">
        <w:rPr>
          <w:lang w:val="en-CA"/>
        </w:rPr>
        <w:t xml:space="preserve">so </w:t>
      </w:r>
      <w:r w:rsidR="000C4A4F">
        <w:rPr>
          <w:lang w:val="en-CA"/>
        </w:rPr>
        <w:t xml:space="preserve">it was considered meaningful to extend the completion </w:t>
      </w:r>
      <w:r w:rsidR="001910B3" w:rsidRPr="00A77369">
        <w:rPr>
          <w:lang w:val="en-CA"/>
        </w:rPr>
        <w:t>of stage</w:t>
      </w:r>
      <w:r w:rsidR="00713D2A">
        <w:rPr>
          <w:lang w:val="en-CA"/>
        </w:rPr>
        <w:t> </w:t>
      </w:r>
      <w:r w:rsidR="001910B3" w:rsidRPr="00A77369">
        <w:rPr>
          <w:lang w:val="en-CA"/>
        </w:rPr>
        <w:t>I of the HPMP</w:t>
      </w:r>
      <w:r w:rsidR="00A96ACE">
        <w:rPr>
          <w:lang w:val="en-CA"/>
        </w:rPr>
        <w:t xml:space="preserve"> for </w:t>
      </w:r>
      <w:r w:rsidR="00A96ACE" w:rsidRPr="00A77369">
        <w:rPr>
          <w:lang w:val="en-CA"/>
        </w:rPr>
        <w:t>one</w:t>
      </w:r>
      <w:r w:rsidR="00A96ACE">
        <w:rPr>
          <w:lang w:val="en-CA"/>
        </w:rPr>
        <w:noBreakHyphen/>
      </w:r>
      <w:r w:rsidR="00A96ACE" w:rsidRPr="00A77369">
        <w:rPr>
          <w:lang w:val="en-CA"/>
        </w:rPr>
        <w:t>year</w:t>
      </w:r>
      <w:r w:rsidR="001910B3" w:rsidRPr="00A77369">
        <w:rPr>
          <w:lang w:val="en-CA"/>
        </w:rPr>
        <w:t xml:space="preserve">. </w:t>
      </w:r>
      <w:r w:rsidRPr="00A77369">
        <w:rPr>
          <w:lang w:val="en-CA"/>
        </w:rPr>
        <w:t>The activities so far implemented and those planned under the third tranche will further strengthen the servicing sector, ensure the long-term sustainability of the activities, and continue to help enable the country to meet its compliance obligations under the Protocol.</w:t>
      </w:r>
    </w:p>
    <w:p w:rsidR="00D54581" w:rsidRPr="00A77369" w:rsidRDefault="00D54581" w:rsidP="008179F2">
      <w:pPr>
        <w:rPr>
          <w:lang w:val="en-CA"/>
        </w:rPr>
      </w:pPr>
      <w:r w:rsidRPr="00A77369">
        <w:rPr>
          <w:b/>
          <w:lang w:val="en-CA"/>
        </w:rPr>
        <w:t xml:space="preserve">RECOMMENDATION </w:t>
      </w:r>
    </w:p>
    <w:p w:rsidR="00D54581" w:rsidRPr="00A77369" w:rsidRDefault="00D54581" w:rsidP="008179F2">
      <w:pPr>
        <w:rPr>
          <w:lang w:val="en-CA"/>
        </w:rPr>
      </w:pPr>
    </w:p>
    <w:p w:rsidR="00D54581" w:rsidRPr="00A77369" w:rsidRDefault="00D54581" w:rsidP="008179F2">
      <w:pPr>
        <w:pStyle w:val="Heading1"/>
        <w:rPr>
          <w:lang w:val="en-CA"/>
        </w:rPr>
      </w:pPr>
      <w:r w:rsidRPr="00A77369">
        <w:rPr>
          <w:lang w:val="en-CA"/>
        </w:rPr>
        <w:t xml:space="preserve">The Fund Secretariat recommends that the Executive Committee: </w:t>
      </w:r>
    </w:p>
    <w:p w:rsidR="00D54581" w:rsidRPr="00A77369" w:rsidRDefault="00D54581" w:rsidP="008179F2">
      <w:pPr>
        <w:pStyle w:val="Heading2"/>
        <w:numPr>
          <w:ilvl w:val="1"/>
          <w:numId w:val="1"/>
        </w:numPr>
        <w:rPr>
          <w:lang w:val="en-CA"/>
        </w:rPr>
      </w:pPr>
      <w:r w:rsidRPr="00A77369">
        <w:rPr>
          <w:lang w:val="en-CA"/>
        </w:rPr>
        <w:t>Takes note of the progress report on the implementation of the</w:t>
      </w:r>
      <w:r w:rsidR="00014B4D" w:rsidRPr="00A77369">
        <w:rPr>
          <w:lang w:val="en-CA"/>
        </w:rPr>
        <w:t xml:space="preserve"> second</w:t>
      </w:r>
      <w:r w:rsidRPr="00A77369">
        <w:rPr>
          <w:lang w:val="en-CA"/>
        </w:rPr>
        <w:t xml:space="preserve"> tranche of stage I of the HCFC phase-out management plan of (HPMP) for</w:t>
      </w:r>
      <w:r w:rsidR="00014B4D" w:rsidRPr="00A77369">
        <w:rPr>
          <w:lang w:val="en-CA"/>
        </w:rPr>
        <w:t xml:space="preserve"> Ethiopia</w:t>
      </w:r>
      <w:r w:rsidRPr="00A77369">
        <w:rPr>
          <w:lang w:val="en-CA"/>
        </w:rPr>
        <w:t xml:space="preserve">; </w:t>
      </w:r>
    </w:p>
    <w:p w:rsidR="00756881" w:rsidRPr="00A77369" w:rsidRDefault="00CA2532" w:rsidP="00756881">
      <w:pPr>
        <w:pStyle w:val="Heading2"/>
        <w:rPr>
          <w:lang w:val="en-CA"/>
        </w:rPr>
      </w:pPr>
      <w:r>
        <w:rPr>
          <w:lang w:val="en-CA"/>
        </w:rPr>
        <w:t>A</w:t>
      </w:r>
      <w:r w:rsidR="00756881" w:rsidRPr="00A77369">
        <w:rPr>
          <w:lang w:val="en-CA"/>
        </w:rPr>
        <w:t>pprove</w:t>
      </w:r>
      <w:r>
        <w:rPr>
          <w:lang w:val="en-CA"/>
        </w:rPr>
        <w:t>s</w:t>
      </w:r>
      <w:r w:rsidR="00756881" w:rsidRPr="00A77369">
        <w:rPr>
          <w:lang w:val="en-CA"/>
        </w:rPr>
        <w:t>, on an exceptional basis</w:t>
      </w:r>
      <w:r w:rsidR="00A96ACE">
        <w:rPr>
          <w:lang w:val="en-CA"/>
        </w:rPr>
        <w:t xml:space="preserve"> given potential </w:t>
      </w:r>
      <w:r w:rsidR="00CC4323">
        <w:rPr>
          <w:lang w:val="en-CA"/>
        </w:rPr>
        <w:t xml:space="preserve">further </w:t>
      </w:r>
      <w:r w:rsidR="00A96ACE">
        <w:rPr>
          <w:lang w:val="en-CA"/>
        </w:rPr>
        <w:t>delay in implementing phase-out activities due to the COVID-19 pandemic</w:t>
      </w:r>
      <w:r w:rsidR="00756881" w:rsidRPr="00A77369">
        <w:rPr>
          <w:lang w:val="en-CA"/>
        </w:rPr>
        <w:t>, and noting that no further extension of project implementation would be requested, the extension of the date of completion of stage</w:t>
      </w:r>
      <w:r w:rsidR="00713D2A">
        <w:rPr>
          <w:lang w:val="en-CA"/>
        </w:rPr>
        <w:t> </w:t>
      </w:r>
      <w:r w:rsidR="00756881" w:rsidRPr="00A77369">
        <w:rPr>
          <w:lang w:val="en-CA"/>
        </w:rPr>
        <w:t xml:space="preserve">I of the HPMP for Ethiopia to 31 December 2022; </w:t>
      </w:r>
      <w:r w:rsidR="006D6A92">
        <w:rPr>
          <w:lang w:val="en-CA"/>
        </w:rPr>
        <w:t>and</w:t>
      </w:r>
    </w:p>
    <w:p w:rsidR="00D54581" w:rsidRPr="00A77369" w:rsidRDefault="00D54581" w:rsidP="008179F2">
      <w:pPr>
        <w:pStyle w:val="Heading2"/>
        <w:numPr>
          <w:ilvl w:val="1"/>
          <w:numId w:val="1"/>
        </w:numPr>
        <w:rPr>
          <w:lang w:val="en-CA"/>
        </w:rPr>
      </w:pPr>
      <w:r w:rsidRPr="00A77369">
        <w:rPr>
          <w:lang w:val="en-CA"/>
        </w:rPr>
        <w:t>Requests the Government of</w:t>
      </w:r>
      <w:r w:rsidR="00014B4D" w:rsidRPr="00A77369">
        <w:rPr>
          <w:lang w:val="en-CA"/>
        </w:rPr>
        <w:t xml:space="preserve"> Ethiopia, UNEP and UNIDO</w:t>
      </w:r>
      <w:r w:rsidRPr="00A77369">
        <w:rPr>
          <w:lang w:val="en-CA"/>
        </w:rPr>
        <w:t xml:space="preserve"> to submit </w:t>
      </w:r>
      <w:r w:rsidR="00014B4D" w:rsidRPr="00A77369">
        <w:rPr>
          <w:lang w:val="en-CA"/>
        </w:rPr>
        <w:t>a</w:t>
      </w:r>
      <w:r w:rsidRPr="00A77369">
        <w:rPr>
          <w:lang w:val="en-CA"/>
        </w:rPr>
        <w:t xml:space="preserve"> progress report on the implementation of the work programme associated with the final tranche and the project completion report to the</w:t>
      </w:r>
      <w:r w:rsidR="00C54A9B" w:rsidRPr="00A77369">
        <w:rPr>
          <w:lang w:val="en-CA"/>
        </w:rPr>
        <w:t xml:space="preserve"> </w:t>
      </w:r>
      <w:r w:rsidRPr="00A77369">
        <w:rPr>
          <w:lang w:val="en-CA"/>
        </w:rPr>
        <w:t>first meeting of the Executive Committee in 20</w:t>
      </w:r>
      <w:r w:rsidR="00C54A9B" w:rsidRPr="00A77369">
        <w:rPr>
          <w:lang w:val="en-CA"/>
        </w:rPr>
        <w:t>2</w:t>
      </w:r>
      <w:r w:rsidR="00756881" w:rsidRPr="00A77369">
        <w:rPr>
          <w:lang w:val="en-CA"/>
        </w:rPr>
        <w:t>3</w:t>
      </w:r>
      <w:r w:rsidR="006D6A92">
        <w:rPr>
          <w:lang w:val="en-CA"/>
        </w:rPr>
        <w:t>.</w:t>
      </w:r>
    </w:p>
    <w:p w:rsidR="00D54581" w:rsidRDefault="00D54581" w:rsidP="00740CB2">
      <w:pPr>
        <w:pStyle w:val="Heading1"/>
        <w:rPr>
          <w:lang w:val="en-CA"/>
        </w:rPr>
      </w:pPr>
      <w:r w:rsidRPr="00A77369">
        <w:rPr>
          <w:lang w:val="en-CA"/>
        </w:rPr>
        <w:lastRenderedPageBreak/>
        <w:t xml:space="preserve">The Fund Secretariat further recommends blanket approval of the </w:t>
      </w:r>
      <w:r w:rsidR="00014B4D" w:rsidRPr="00A77369">
        <w:rPr>
          <w:lang w:val="en-CA"/>
        </w:rPr>
        <w:t>third and final</w:t>
      </w:r>
      <w:r w:rsidRPr="00A77369">
        <w:rPr>
          <w:lang w:val="en-CA"/>
        </w:rPr>
        <w:t xml:space="preserve"> tranche of stage I of the HPMP for</w:t>
      </w:r>
      <w:r w:rsidR="00014B4D" w:rsidRPr="00A77369">
        <w:rPr>
          <w:lang w:val="en-CA"/>
        </w:rPr>
        <w:t xml:space="preserve"> Ethiopia</w:t>
      </w:r>
      <w:r w:rsidR="00897A78" w:rsidRPr="00A77369">
        <w:rPr>
          <w:lang w:val="en-CA"/>
        </w:rPr>
        <w:t>, and the corresponding 2020</w:t>
      </w:r>
      <w:r w:rsidR="00713D2A">
        <w:rPr>
          <w:lang w:val="en-CA"/>
        </w:rPr>
        <w:t>-2021</w:t>
      </w:r>
      <w:r w:rsidR="00014B4D" w:rsidRPr="00A77369">
        <w:rPr>
          <w:lang w:val="en-CA"/>
        </w:rPr>
        <w:t xml:space="preserve"> </w:t>
      </w:r>
      <w:r w:rsidRPr="00A77369">
        <w:rPr>
          <w:lang w:val="en-CA"/>
        </w:rPr>
        <w:t>tranche implementation plan, at the funding level shown in the table below</w:t>
      </w:r>
      <w:r w:rsidR="00473566" w:rsidRPr="00A77369">
        <w:rPr>
          <w:lang w:val="en-CA"/>
        </w:rPr>
        <w:t xml:space="preserve">, on the understanding </w:t>
      </w:r>
      <w:r w:rsidR="00756881" w:rsidRPr="00A77369">
        <w:rPr>
          <w:lang w:val="en-CA"/>
        </w:rPr>
        <w:t>that UNEP, UNIDO and the Government will intensify efforts to implement the activities in stage</w:t>
      </w:r>
      <w:r w:rsidR="00713D2A">
        <w:rPr>
          <w:lang w:val="en-CA"/>
        </w:rPr>
        <w:t> </w:t>
      </w:r>
      <w:r w:rsidR="00756881" w:rsidRPr="00A77369">
        <w:rPr>
          <w:lang w:val="en-CA"/>
        </w:rPr>
        <w:t xml:space="preserve">I of the HPMP; that UNEP would submit a progress report to the first meeting of 2021 on the implementation of activities, including </w:t>
      </w:r>
      <w:r w:rsidR="00473566" w:rsidRPr="00A77369">
        <w:rPr>
          <w:lang w:val="en-CA"/>
        </w:rPr>
        <w:t>disbursements</w:t>
      </w:r>
      <w:r w:rsidR="00756881" w:rsidRPr="00A77369">
        <w:rPr>
          <w:lang w:val="en-CA"/>
        </w:rPr>
        <w:t xml:space="preserve"> achieved; </w:t>
      </w:r>
      <w:r w:rsidR="00473566" w:rsidRPr="00A77369">
        <w:rPr>
          <w:lang w:val="en-CA"/>
        </w:rPr>
        <w:t xml:space="preserve">and that the </w:t>
      </w:r>
      <w:r w:rsidR="00A96ACE">
        <w:rPr>
          <w:lang w:val="en-CA"/>
        </w:rPr>
        <w:t xml:space="preserve">Government </w:t>
      </w:r>
      <w:r w:rsidR="00473566" w:rsidRPr="00A77369">
        <w:rPr>
          <w:lang w:val="en-CA"/>
        </w:rPr>
        <w:t>could submit its stage</w:t>
      </w:r>
      <w:r w:rsidR="00713D2A">
        <w:rPr>
          <w:lang w:val="en-CA"/>
        </w:rPr>
        <w:t> </w:t>
      </w:r>
      <w:r w:rsidR="00473566" w:rsidRPr="00A77369">
        <w:rPr>
          <w:lang w:val="en-CA"/>
        </w:rPr>
        <w:t>II of the HPMP once 80</w:t>
      </w:r>
      <w:r w:rsidR="00713D2A">
        <w:rPr>
          <w:lang w:val="en-CA"/>
        </w:rPr>
        <w:t> </w:t>
      </w:r>
      <w:r w:rsidR="00473566" w:rsidRPr="00A77369">
        <w:rPr>
          <w:lang w:val="en-CA"/>
        </w:rPr>
        <w:t xml:space="preserve">per cent of </w:t>
      </w:r>
      <w:r w:rsidR="00A96ACE">
        <w:rPr>
          <w:lang w:val="en-CA"/>
        </w:rPr>
        <w:t xml:space="preserve">the total </w:t>
      </w:r>
      <w:r w:rsidR="00473566" w:rsidRPr="00A77369">
        <w:rPr>
          <w:lang w:val="en-CA"/>
        </w:rPr>
        <w:t>funds</w:t>
      </w:r>
      <w:r w:rsidR="00A96ACE">
        <w:rPr>
          <w:lang w:val="en-CA"/>
        </w:rPr>
        <w:t xml:space="preserve"> approved </w:t>
      </w:r>
      <w:r w:rsidR="00CC4323">
        <w:rPr>
          <w:lang w:val="en-CA"/>
        </w:rPr>
        <w:t>for UNIDO had</w:t>
      </w:r>
      <w:r w:rsidR="00A96ACE">
        <w:rPr>
          <w:lang w:val="en-CA"/>
        </w:rPr>
        <w:t xml:space="preserve"> been disbursed</w:t>
      </w:r>
      <w:r w:rsidR="004859CC" w:rsidRPr="00A77369">
        <w:rPr>
          <w:lang w:val="en-C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8A55F2" w:rsidRPr="00A77369" w:rsidTr="00740CB2">
        <w:tc>
          <w:tcPr>
            <w:tcW w:w="540" w:type="dxa"/>
          </w:tcPr>
          <w:p w:rsidR="008A55F2" w:rsidRPr="00A77369" w:rsidRDefault="008A55F2" w:rsidP="00740CB2">
            <w:pPr>
              <w:jc w:val="center"/>
              <w:rPr>
                <w:b/>
                <w:bCs/>
                <w:sz w:val="20"/>
                <w:szCs w:val="20"/>
                <w:lang w:val="en-CA"/>
              </w:rPr>
            </w:pPr>
          </w:p>
        </w:tc>
        <w:tc>
          <w:tcPr>
            <w:tcW w:w="4320" w:type="dxa"/>
          </w:tcPr>
          <w:p w:rsidR="008A55F2" w:rsidRPr="00A77369" w:rsidRDefault="008A55F2" w:rsidP="00740CB2">
            <w:pPr>
              <w:jc w:val="center"/>
              <w:rPr>
                <w:b/>
                <w:bCs/>
                <w:sz w:val="20"/>
                <w:szCs w:val="20"/>
                <w:lang w:val="en-CA"/>
              </w:rPr>
            </w:pPr>
            <w:r w:rsidRPr="00A77369">
              <w:rPr>
                <w:b/>
                <w:bCs/>
                <w:sz w:val="20"/>
                <w:szCs w:val="20"/>
                <w:lang w:val="en-CA"/>
              </w:rPr>
              <w:t>Project title</w:t>
            </w:r>
          </w:p>
        </w:tc>
        <w:tc>
          <w:tcPr>
            <w:tcW w:w="1461" w:type="dxa"/>
            <w:tcMar>
              <w:left w:w="29" w:type="dxa"/>
              <w:right w:w="29" w:type="dxa"/>
            </w:tcMar>
          </w:tcPr>
          <w:p w:rsidR="008A55F2" w:rsidRPr="00A77369" w:rsidRDefault="008A55F2" w:rsidP="00740CB2">
            <w:pPr>
              <w:jc w:val="center"/>
              <w:rPr>
                <w:b/>
                <w:bCs/>
                <w:sz w:val="20"/>
                <w:szCs w:val="20"/>
                <w:lang w:val="en-CA"/>
              </w:rPr>
            </w:pPr>
            <w:r w:rsidRPr="00A77369">
              <w:rPr>
                <w:b/>
                <w:bCs/>
                <w:sz w:val="20"/>
                <w:szCs w:val="20"/>
                <w:lang w:val="en-CA"/>
              </w:rPr>
              <w:t>Project funding (</w:t>
            </w:r>
            <w:r>
              <w:rPr>
                <w:b/>
                <w:bCs/>
                <w:sz w:val="20"/>
                <w:szCs w:val="20"/>
                <w:lang w:val="en-CA"/>
              </w:rPr>
              <w:t>US $</w:t>
            </w:r>
            <w:r w:rsidRPr="00A77369">
              <w:rPr>
                <w:b/>
                <w:bCs/>
                <w:sz w:val="20"/>
                <w:szCs w:val="20"/>
                <w:lang w:val="en-CA"/>
              </w:rPr>
              <w:t>)</w:t>
            </w:r>
          </w:p>
        </w:tc>
        <w:tc>
          <w:tcPr>
            <w:tcW w:w="1461" w:type="dxa"/>
            <w:tcMar>
              <w:left w:w="29" w:type="dxa"/>
              <w:right w:w="29" w:type="dxa"/>
            </w:tcMar>
          </w:tcPr>
          <w:p w:rsidR="008A55F2" w:rsidRPr="00A77369" w:rsidRDefault="008A55F2" w:rsidP="00740CB2">
            <w:pPr>
              <w:jc w:val="center"/>
              <w:rPr>
                <w:b/>
                <w:bCs/>
                <w:sz w:val="20"/>
                <w:szCs w:val="20"/>
                <w:lang w:val="en-CA"/>
              </w:rPr>
            </w:pPr>
            <w:r w:rsidRPr="00A77369">
              <w:rPr>
                <w:b/>
                <w:bCs/>
                <w:sz w:val="20"/>
                <w:szCs w:val="20"/>
                <w:lang w:val="en-CA"/>
              </w:rPr>
              <w:t>Support cost (</w:t>
            </w:r>
            <w:r>
              <w:rPr>
                <w:b/>
                <w:bCs/>
                <w:sz w:val="20"/>
                <w:szCs w:val="20"/>
                <w:lang w:val="en-CA"/>
              </w:rPr>
              <w:t>US $</w:t>
            </w:r>
            <w:r w:rsidRPr="00A77369">
              <w:rPr>
                <w:b/>
                <w:bCs/>
                <w:sz w:val="20"/>
                <w:szCs w:val="20"/>
                <w:lang w:val="en-CA"/>
              </w:rPr>
              <w:t>)</w:t>
            </w:r>
          </w:p>
        </w:tc>
        <w:tc>
          <w:tcPr>
            <w:tcW w:w="1461" w:type="dxa"/>
            <w:tcMar>
              <w:left w:w="29" w:type="dxa"/>
              <w:right w:w="29" w:type="dxa"/>
            </w:tcMar>
          </w:tcPr>
          <w:p w:rsidR="008A55F2" w:rsidRPr="00A77369" w:rsidRDefault="008A55F2" w:rsidP="00740CB2">
            <w:pPr>
              <w:jc w:val="center"/>
              <w:rPr>
                <w:b/>
                <w:bCs/>
                <w:sz w:val="20"/>
                <w:szCs w:val="20"/>
                <w:lang w:val="en-CA"/>
              </w:rPr>
            </w:pPr>
            <w:r w:rsidRPr="00A77369">
              <w:rPr>
                <w:b/>
                <w:bCs/>
                <w:sz w:val="20"/>
                <w:szCs w:val="20"/>
                <w:lang w:val="en-CA"/>
              </w:rPr>
              <w:t>Implementing agency</w:t>
            </w:r>
          </w:p>
        </w:tc>
      </w:tr>
      <w:tr w:rsidR="008A55F2" w:rsidRPr="00A77369" w:rsidTr="008A55F2">
        <w:tc>
          <w:tcPr>
            <w:tcW w:w="540" w:type="dxa"/>
          </w:tcPr>
          <w:p w:rsidR="008A55F2" w:rsidRPr="00A77369" w:rsidRDefault="008A55F2" w:rsidP="00740CB2">
            <w:pPr>
              <w:rPr>
                <w:sz w:val="20"/>
                <w:szCs w:val="20"/>
                <w:lang w:val="en-CA"/>
              </w:rPr>
            </w:pPr>
            <w:r w:rsidRPr="00A77369">
              <w:rPr>
                <w:sz w:val="20"/>
                <w:szCs w:val="20"/>
                <w:lang w:val="en-CA"/>
              </w:rPr>
              <w:t>(a)</w:t>
            </w:r>
          </w:p>
        </w:tc>
        <w:tc>
          <w:tcPr>
            <w:tcW w:w="4320" w:type="dxa"/>
            <w:vAlign w:val="center"/>
          </w:tcPr>
          <w:p w:rsidR="008A55F2" w:rsidRPr="00A77369" w:rsidRDefault="008A55F2" w:rsidP="008A55F2">
            <w:pPr>
              <w:jc w:val="left"/>
              <w:rPr>
                <w:sz w:val="20"/>
                <w:szCs w:val="20"/>
                <w:lang w:val="en-CA"/>
              </w:rPr>
            </w:pPr>
            <w:r w:rsidRPr="00A77369">
              <w:rPr>
                <w:sz w:val="20"/>
                <w:szCs w:val="20"/>
                <w:lang w:val="en-CA"/>
              </w:rPr>
              <w:t>HCFC phase-out management plan (stage I, third tranche)</w:t>
            </w:r>
          </w:p>
        </w:tc>
        <w:tc>
          <w:tcPr>
            <w:tcW w:w="1461" w:type="dxa"/>
            <w:tcMar>
              <w:left w:w="115" w:type="dxa"/>
              <w:right w:w="173" w:type="dxa"/>
            </w:tcMar>
          </w:tcPr>
          <w:p w:rsidR="008A55F2" w:rsidRPr="00A77369" w:rsidRDefault="008A55F2" w:rsidP="00740CB2">
            <w:pPr>
              <w:jc w:val="right"/>
              <w:rPr>
                <w:sz w:val="20"/>
                <w:szCs w:val="20"/>
                <w:lang w:val="en-CA"/>
              </w:rPr>
            </w:pPr>
            <w:r w:rsidRPr="00A77369">
              <w:rPr>
                <w:sz w:val="20"/>
                <w:szCs w:val="20"/>
                <w:lang w:val="en-CA"/>
              </w:rPr>
              <w:t>35,000</w:t>
            </w:r>
          </w:p>
        </w:tc>
        <w:tc>
          <w:tcPr>
            <w:tcW w:w="1461" w:type="dxa"/>
            <w:tcMar>
              <w:left w:w="115" w:type="dxa"/>
              <w:right w:w="173" w:type="dxa"/>
            </w:tcMar>
          </w:tcPr>
          <w:p w:rsidR="008A55F2" w:rsidRPr="00A77369" w:rsidRDefault="008A55F2" w:rsidP="00740CB2">
            <w:pPr>
              <w:jc w:val="right"/>
              <w:rPr>
                <w:lang w:val="en-CA"/>
              </w:rPr>
            </w:pPr>
            <w:r w:rsidRPr="00A77369">
              <w:rPr>
                <w:sz w:val="20"/>
                <w:szCs w:val="20"/>
                <w:lang w:val="en-CA"/>
              </w:rPr>
              <w:t>4,550</w:t>
            </w:r>
          </w:p>
        </w:tc>
        <w:tc>
          <w:tcPr>
            <w:tcW w:w="1461" w:type="dxa"/>
          </w:tcPr>
          <w:p w:rsidR="008A55F2" w:rsidRPr="00A77369" w:rsidRDefault="008A55F2" w:rsidP="00740CB2">
            <w:pPr>
              <w:jc w:val="center"/>
              <w:rPr>
                <w:sz w:val="20"/>
                <w:szCs w:val="20"/>
                <w:lang w:val="en-CA"/>
              </w:rPr>
            </w:pPr>
            <w:r w:rsidRPr="00A77369">
              <w:rPr>
                <w:sz w:val="20"/>
                <w:szCs w:val="20"/>
                <w:lang w:val="en-CA"/>
              </w:rPr>
              <w:t>UNEP</w:t>
            </w:r>
          </w:p>
        </w:tc>
      </w:tr>
    </w:tbl>
    <w:p w:rsidR="00D54581" w:rsidRDefault="00D54581" w:rsidP="008179F2">
      <w:pPr>
        <w:rPr>
          <w:lang w:val="en-CA"/>
        </w:rPr>
      </w:pPr>
    </w:p>
    <w:p w:rsidR="00703234" w:rsidRDefault="00703234" w:rsidP="008179F2">
      <w:pPr>
        <w:rPr>
          <w:lang w:val="en-CA"/>
        </w:rPr>
      </w:pPr>
    </w:p>
    <w:p w:rsidR="00703234" w:rsidRDefault="00703234" w:rsidP="008179F2">
      <w:pPr>
        <w:rPr>
          <w:lang w:val="en-CA"/>
        </w:rPr>
      </w:pPr>
    </w:p>
    <w:p w:rsidR="00703234" w:rsidRPr="00A77369" w:rsidRDefault="00703234" w:rsidP="008179F2">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54581" w:rsidRPr="00A77369" w:rsidTr="008179F2">
        <w:tc>
          <w:tcPr>
            <w:tcW w:w="1871" w:type="dxa"/>
          </w:tcPr>
          <w:p w:rsidR="00D54581" w:rsidRPr="00A77369" w:rsidRDefault="00D54581" w:rsidP="008179F2">
            <w:pPr>
              <w:rPr>
                <w:lang w:val="en-CA"/>
              </w:rPr>
            </w:pPr>
          </w:p>
        </w:tc>
        <w:tc>
          <w:tcPr>
            <w:tcW w:w="1872" w:type="dxa"/>
          </w:tcPr>
          <w:p w:rsidR="00D54581" w:rsidRPr="00A77369" w:rsidRDefault="00D54581" w:rsidP="008179F2">
            <w:pPr>
              <w:rPr>
                <w:lang w:val="en-CA"/>
              </w:rPr>
            </w:pPr>
          </w:p>
        </w:tc>
        <w:tc>
          <w:tcPr>
            <w:tcW w:w="1872" w:type="dxa"/>
            <w:tcBorders>
              <w:bottom w:val="single" w:sz="4" w:space="0" w:color="auto"/>
            </w:tcBorders>
          </w:tcPr>
          <w:p w:rsidR="00D54581" w:rsidRPr="00A77369" w:rsidRDefault="00D54581" w:rsidP="008179F2">
            <w:pPr>
              <w:rPr>
                <w:lang w:val="en-CA"/>
              </w:rPr>
            </w:pPr>
          </w:p>
        </w:tc>
        <w:tc>
          <w:tcPr>
            <w:tcW w:w="1872" w:type="dxa"/>
          </w:tcPr>
          <w:p w:rsidR="00D54581" w:rsidRPr="00A77369" w:rsidRDefault="00D54581" w:rsidP="008179F2">
            <w:pPr>
              <w:rPr>
                <w:lang w:val="en-CA"/>
              </w:rPr>
            </w:pPr>
          </w:p>
        </w:tc>
        <w:tc>
          <w:tcPr>
            <w:tcW w:w="1873" w:type="dxa"/>
          </w:tcPr>
          <w:p w:rsidR="00D54581" w:rsidRPr="00A77369" w:rsidRDefault="00D54581" w:rsidP="008179F2">
            <w:pPr>
              <w:rPr>
                <w:lang w:val="en-CA"/>
              </w:rPr>
            </w:pPr>
          </w:p>
        </w:tc>
      </w:tr>
    </w:tbl>
    <w:p w:rsidR="00D54581" w:rsidRPr="00A77369" w:rsidRDefault="00D54581" w:rsidP="008179F2">
      <w:pPr>
        <w:tabs>
          <w:tab w:val="left" w:pos="8280"/>
        </w:tabs>
        <w:rPr>
          <w:lang w:val="en-CA"/>
        </w:rPr>
      </w:pPr>
    </w:p>
    <w:sectPr w:rsidR="00D54581" w:rsidRPr="00A77369"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0C" w:rsidRDefault="00E6420C" w:rsidP="004A504B">
      <w:r>
        <w:separator/>
      </w:r>
    </w:p>
  </w:endnote>
  <w:endnote w:type="continuationSeparator" w:id="0">
    <w:p w:rsidR="00E6420C" w:rsidRDefault="00E6420C"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B2" w:rsidRPr="0033525D" w:rsidRDefault="00740CB2">
    <w:pPr>
      <w:jc w:val="center"/>
    </w:pPr>
    <w:r>
      <w:fldChar w:fldCharType="begin"/>
    </w:r>
    <w:r>
      <w:instrText xml:space="preserve"> PAGE </w:instrText>
    </w:r>
    <w:r>
      <w:fldChar w:fldCharType="separate"/>
    </w:r>
    <w:r w:rsidR="00A95F7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B2" w:rsidRPr="0033525D" w:rsidRDefault="00740CB2">
    <w:pPr>
      <w:jc w:val="center"/>
    </w:pPr>
    <w:r>
      <w:fldChar w:fldCharType="begin"/>
    </w:r>
    <w:r>
      <w:instrText xml:space="preserve"> PAGE </w:instrText>
    </w:r>
    <w:r>
      <w:fldChar w:fldCharType="separate"/>
    </w:r>
    <w:r w:rsidR="00A95F7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B2" w:rsidRDefault="00740CB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40CB2" w:rsidRDefault="00740CB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0C" w:rsidRDefault="00E6420C" w:rsidP="004A504B">
      <w:r>
        <w:separator/>
      </w:r>
    </w:p>
  </w:footnote>
  <w:footnote w:type="continuationSeparator" w:id="0">
    <w:p w:rsidR="00E6420C" w:rsidRDefault="00E6420C" w:rsidP="004A504B">
      <w:r>
        <w:continuationSeparator/>
      </w:r>
    </w:p>
  </w:footnote>
  <w:footnote w:id="1">
    <w:p w:rsidR="00740CB2" w:rsidRPr="00FE3307" w:rsidRDefault="00740CB2" w:rsidP="008179F2">
      <w:pPr>
        <w:pStyle w:val="FootnoteText"/>
        <w:rPr>
          <w:lang w:val="en-CA"/>
        </w:rPr>
      </w:pPr>
      <w:r w:rsidRPr="00FE3307">
        <w:rPr>
          <w:rStyle w:val="FootnoteReference"/>
        </w:rPr>
        <w:footnoteRef/>
      </w:r>
      <w:r w:rsidRPr="00FE3307">
        <w:t xml:space="preserve"> </w:t>
      </w:r>
      <w:r w:rsidRPr="00FE3307">
        <w:rPr>
          <w:lang w:val="en-CA"/>
        </w:rPr>
        <w:t>As per the letter of</w:t>
      </w:r>
      <w:r>
        <w:rPr>
          <w:lang w:val="en-CA"/>
        </w:rPr>
        <w:t xml:space="preserve"> 13 March 2020</w:t>
      </w:r>
      <w:r w:rsidRPr="00FE3307">
        <w:rPr>
          <w:lang w:val="en-CA"/>
        </w:rPr>
        <w:t xml:space="preserve"> from the </w:t>
      </w:r>
      <w:r w:rsidRPr="005E0C94">
        <w:rPr>
          <w:lang w:val="en-US"/>
        </w:rPr>
        <w:t>Environment, Forest and Climate Change Commission</w:t>
      </w:r>
      <w:r>
        <w:rPr>
          <w:lang w:val="en-US"/>
        </w:rPr>
        <w:t xml:space="preserve"> </w:t>
      </w:r>
      <w:r w:rsidRPr="00F0795B">
        <w:rPr>
          <w:lang w:val="en-US"/>
        </w:rPr>
        <w:t>of Ethiopia</w:t>
      </w:r>
      <w:r w:rsidRPr="00FE3307">
        <w:rPr>
          <w:lang w:val="en-CA"/>
        </w:rPr>
        <w:t xml:space="preserve"> </w:t>
      </w:r>
      <w:r w:rsidRPr="005E0C94">
        <w:rPr>
          <w:lang w:val="en-CA"/>
        </w:rPr>
        <w:t>to the Secretariat</w:t>
      </w:r>
      <w:r w:rsidRPr="00FE3307">
        <w:rPr>
          <w:lang w:val="en-CA"/>
        </w:rPr>
        <w:t>.</w:t>
      </w:r>
    </w:p>
  </w:footnote>
  <w:footnote w:id="2">
    <w:p w:rsidR="00740CB2" w:rsidRPr="00987461" w:rsidRDefault="00740CB2">
      <w:pPr>
        <w:pStyle w:val="FootnoteText"/>
        <w:rPr>
          <w:lang w:val="en-CA"/>
        </w:rPr>
      </w:pPr>
      <w:r>
        <w:rPr>
          <w:rStyle w:val="FootnoteReference"/>
        </w:rPr>
        <w:footnoteRef/>
      </w:r>
      <w:r>
        <w:t xml:space="preserve"> </w:t>
      </w:r>
      <w:r w:rsidRPr="00987461">
        <w:t>UNEP/OzL.Pro/ExCom/77/44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B2" w:rsidRPr="0033525D" w:rsidRDefault="00E6420C">
    <w:fldSimple w:instr=" DOCPROPERTY &quot;Document number&quot;  \* MERGEFORMAT ">
      <w:r w:rsidR="002C1A1F">
        <w:t>UNEP/OzL.Pro/ExCom/85/26</w:t>
      </w:r>
    </w:fldSimple>
  </w:p>
  <w:p w:rsidR="00740CB2" w:rsidRPr="0033525D" w:rsidRDefault="00740CB2"/>
  <w:p w:rsidR="00740CB2" w:rsidRPr="0033525D" w:rsidRDefault="00740C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B2" w:rsidRPr="0033525D" w:rsidRDefault="00E6420C">
    <w:pPr>
      <w:jc w:val="right"/>
    </w:pPr>
    <w:fldSimple w:instr=" DOCPROPERTY &quot;Document number&quot;  \* MERGEFORMAT ">
      <w:r w:rsidR="002C1A1F">
        <w:t>UNEP/OzL.Pro/ExCom/85/26</w:t>
      </w:r>
    </w:fldSimple>
  </w:p>
  <w:p w:rsidR="00740CB2" w:rsidRPr="0033525D" w:rsidRDefault="00740CB2"/>
  <w:p w:rsidR="00740CB2" w:rsidRPr="0033525D" w:rsidRDefault="0074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9C24D9F"/>
    <w:multiLevelType w:val="hybridMultilevel"/>
    <w:tmpl w:val="1E5C218E"/>
    <w:lvl w:ilvl="0" w:tplc="C2664228">
      <w:start w:val="1"/>
      <w:numFmt w:val="lowerRoman"/>
      <w:lvlText w:val="%1."/>
      <w:lvlJc w:val="right"/>
      <w:pPr>
        <w:ind w:left="45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54581"/>
    <w:rsid w:val="00000FED"/>
    <w:rsid w:val="0000434E"/>
    <w:rsid w:val="00004831"/>
    <w:rsid w:val="00014B4D"/>
    <w:rsid w:val="000211A9"/>
    <w:rsid w:val="00031260"/>
    <w:rsid w:val="00031C56"/>
    <w:rsid w:val="00032E16"/>
    <w:rsid w:val="0003681A"/>
    <w:rsid w:val="000372B7"/>
    <w:rsid w:val="00061EC2"/>
    <w:rsid w:val="00077100"/>
    <w:rsid w:val="00080ED0"/>
    <w:rsid w:val="00085B8F"/>
    <w:rsid w:val="00087561"/>
    <w:rsid w:val="00087D17"/>
    <w:rsid w:val="00090481"/>
    <w:rsid w:val="00093A69"/>
    <w:rsid w:val="000A6C26"/>
    <w:rsid w:val="000C4A4F"/>
    <w:rsid w:val="000D2DC6"/>
    <w:rsid w:val="000D52A4"/>
    <w:rsid w:val="000E07BC"/>
    <w:rsid w:val="000E31CD"/>
    <w:rsid w:val="000E4B9F"/>
    <w:rsid w:val="000E7351"/>
    <w:rsid w:val="000F1CD4"/>
    <w:rsid w:val="000F4103"/>
    <w:rsid w:val="000F70A7"/>
    <w:rsid w:val="00113CCA"/>
    <w:rsid w:val="00122F25"/>
    <w:rsid w:val="00126451"/>
    <w:rsid w:val="00135980"/>
    <w:rsid w:val="001564C6"/>
    <w:rsid w:val="00164719"/>
    <w:rsid w:val="00166FC4"/>
    <w:rsid w:val="001677AC"/>
    <w:rsid w:val="001804EA"/>
    <w:rsid w:val="00190A61"/>
    <w:rsid w:val="001910B3"/>
    <w:rsid w:val="001A3342"/>
    <w:rsid w:val="001A3E3D"/>
    <w:rsid w:val="001A7049"/>
    <w:rsid w:val="001B0D2A"/>
    <w:rsid w:val="001B1E40"/>
    <w:rsid w:val="001C764E"/>
    <w:rsid w:val="001E1052"/>
    <w:rsid w:val="001E21B1"/>
    <w:rsid w:val="001E2F93"/>
    <w:rsid w:val="001E61E5"/>
    <w:rsid w:val="001F0A2D"/>
    <w:rsid w:val="001F2159"/>
    <w:rsid w:val="00214863"/>
    <w:rsid w:val="002156B4"/>
    <w:rsid w:val="00217355"/>
    <w:rsid w:val="00245F88"/>
    <w:rsid w:val="00253222"/>
    <w:rsid w:val="00262847"/>
    <w:rsid w:val="00262D0B"/>
    <w:rsid w:val="0028036B"/>
    <w:rsid w:val="00281BB2"/>
    <w:rsid w:val="00287AC0"/>
    <w:rsid w:val="002B72E9"/>
    <w:rsid w:val="002C1A1F"/>
    <w:rsid w:val="002C7998"/>
    <w:rsid w:val="002D2685"/>
    <w:rsid w:val="002E3534"/>
    <w:rsid w:val="002F1E53"/>
    <w:rsid w:val="002F2CAA"/>
    <w:rsid w:val="0030052C"/>
    <w:rsid w:val="003306E1"/>
    <w:rsid w:val="003320E4"/>
    <w:rsid w:val="0033525D"/>
    <w:rsid w:val="00340D36"/>
    <w:rsid w:val="003414F3"/>
    <w:rsid w:val="0035613E"/>
    <w:rsid w:val="00356C8C"/>
    <w:rsid w:val="00356EF0"/>
    <w:rsid w:val="00363EE9"/>
    <w:rsid w:val="003646DC"/>
    <w:rsid w:val="00365AE9"/>
    <w:rsid w:val="00366C2A"/>
    <w:rsid w:val="00376128"/>
    <w:rsid w:val="0037742E"/>
    <w:rsid w:val="00377D56"/>
    <w:rsid w:val="0038245A"/>
    <w:rsid w:val="003840E6"/>
    <w:rsid w:val="00385CFC"/>
    <w:rsid w:val="0039337A"/>
    <w:rsid w:val="003A3189"/>
    <w:rsid w:val="003A3CA7"/>
    <w:rsid w:val="003B33BD"/>
    <w:rsid w:val="003B569D"/>
    <w:rsid w:val="003C05F7"/>
    <w:rsid w:val="003C3C0E"/>
    <w:rsid w:val="003C4D7C"/>
    <w:rsid w:val="003C7047"/>
    <w:rsid w:val="003D42A6"/>
    <w:rsid w:val="003D4FAC"/>
    <w:rsid w:val="003D5EEC"/>
    <w:rsid w:val="003E0FAE"/>
    <w:rsid w:val="003E7906"/>
    <w:rsid w:val="003F3C50"/>
    <w:rsid w:val="00406A6A"/>
    <w:rsid w:val="00406B22"/>
    <w:rsid w:val="00414A15"/>
    <w:rsid w:val="004328A7"/>
    <w:rsid w:val="00434C74"/>
    <w:rsid w:val="00456EB4"/>
    <w:rsid w:val="004718F3"/>
    <w:rsid w:val="00473566"/>
    <w:rsid w:val="00475040"/>
    <w:rsid w:val="004859CC"/>
    <w:rsid w:val="00493D40"/>
    <w:rsid w:val="004967B6"/>
    <w:rsid w:val="004A504B"/>
    <w:rsid w:val="004A6911"/>
    <w:rsid w:val="004B54E0"/>
    <w:rsid w:val="004B7384"/>
    <w:rsid w:val="004C4269"/>
    <w:rsid w:val="004D6236"/>
    <w:rsid w:val="004D7F90"/>
    <w:rsid w:val="004E4DBB"/>
    <w:rsid w:val="004E4E41"/>
    <w:rsid w:val="004E7F9C"/>
    <w:rsid w:val="004F25BB"/>
    <w:rsid w:val="004F3493"/>
    <w:rsid w:val="004F5143"/>
    <w:rsid w:val="00510544"/>
    <w:rsid w:val="00512B09"/>
    <w:rsid w:val="00533796"/>
    <w:rsid w:val="00537343"/>
    <w:rsid w:val="00555D75"/>
    <w:rsid w:val="00560DF0"/>
    <w:rsid w:val="0056759C"/>
    <w:rsid w:val="0059513E"/>
    <w:rsid w:val="005A5E2C"/>
    <w:rsid w:val="005B48FF"/>
    <w:rsid w:val="005C0A6A"/>
    <w:rsid w:val="005C4086"/>
    <w:rsid w:val="005C50F4"/>
    <w:rsid w:val="005D600B"/>
    <w:rsid w:val="005E0C94"/>
    <w:rsid w:val="005F4A47"/>
    <w:rsid w:val="005F6411"/>
    <w:rsid w:val="00604C15"/>
    <w:rsid w:val="006158D5"/>
    <w:rsid w:val="0062548B"/>
    <w:rsid w:val="00625D83"/>
    <w:rsid w:val="00630474"/>
    <w:rsid w:val="00642A23"/>
    <w:rsid w:val="0064388D"/>
    <w:rsid w:val="006460AD"/>
    <w:rsid w:val="0065450E"/>
    <w:rsid w:val="006623E7"/>
    <w:rsid w:val="00662B80"/>
    <w:rsid w:val="00670F6C"/>
    <w:rsid w:val="00674573"/>
    <w:rsid w:val="006852C7"/>
    <w:rsid w:val="006852CE"/>
    <w:rsid w:val="006A2991"/>
    <w:rsid w:val="006A5633"/>
    <w:rsid w:val="006C1727"/>
    <w:rsid w:val="006C32FD"/>
    <w:rsid w:val="006C39CE"/>
    <w:rsid w:val="006D0FCC"/>
    <w:rsid w:val="006D6A92"/>
    <w:rsid w:val="006E1FC3"/>
    <w:rsid w:val="006F03A6"/>
    <w:rsid w:val="00703234"/>
    <w:rsid w:val="0070616B"/>
    <w:rsid w:val="00706FDA"/>
    <w:rsid w:val="00711F9A"/>
    <w:rsid w:val="00713810"/>
    <w:rsid w:val="00713D2A"/>
    <w:rsid w:val="007303A5"/>
    <w:rsid w:val="00730B3E"/>
    <w:rsid w:val="0073420B"/>
    <w:rsid w:val="00740CB2"/>
    <w:rsid w:val="0074760E"/>
    <w:rsid w:val="00754ABA"/>
    <w:rsid w:val="00756881"/>
    <w:rsid w:val="00793DBB"/>
    <w:rsid w:val="007A1546"/>
    <w:rsid w:val="007A228C"/>
    <w:rsid w:val="007A368E"/>
    <w:rsid w:val="007A3D54"/>
    <w:rsid w:val="007A5868"/>
    <w:rsid w:val="007B04CE"/>
    <w:rsid w:val="007B6871"/>
    <w:rsid w:val="007B7A2F"/>
    <w:rsid w:val="007C3D33"/>
    <w:rsid w:val="007D294A"/>
    <w:rsid w:val="007D4532"/>
    <w:rsid w:val="007D47D2"/>
    <w:rsid w:val="007D6EC0"/>
    <w:rsid w:val="007D7E1D"/>
    <w:rsid w:val="007E2EC2"/>
    <w:rsid w:val="008179F2"/>
    <w:rsid w:val="00831979"/>
    <w:rsid w:val="00840D3D"/>
    <w:rsid w:val="00851352"/>
    <w:rsid w:val="00857077"/>
    <w:rsid w:val="008631D0"/>
    <w:rsid w:val="00863230"/>
    <w:rsid w:val="008717D8"/>
    <w:rsid w:val="0087215C"/>
    <w:rsid w:val="0087748D"/>
    <w:rsid w:val="00880E35"/>
    <w:rsid w:val="008875FE"/>
    <w:rsid w:val="00887F8E"/>
    <w:rsid w:val="00896234"/>
    <w:rsid w:val="00897A78"/>
    <w:rsid w:val="00897E43"/>
    <w:rsid w:val="008A55F2"/>
    <w:rsid w:val="008A7453"/>
    <w:rsid w:val="008C5738"/>
    <w:rsid w:val="008C7EAD"/>
    <w:rsid w:val="008D0CFE"/>
    <w:rsid w:val="008D6152"/>
    <w:rsid w:val="008E72CC"/>
    <w:rsid w:val="008F0F81"/>
    <w:rsid w:val="008F27BF"/>
    <w:rsid w:val="009119A2"/>
    <w:rsid w:val="009142EC"/>
    <w:rsid w:val="009154C3"/>
    <w:rsid w:val="00923540"/>
    <w:rsid w:val="00925C53"/>
    <w:rsid w:val="00926767"/>
    <w:rsid w:val="009324FC"/>
    <w:rsid w:val="009361D5"/>
    <w:rsid w:val="009428A4"/>
    <w:rsid w:val="00947563"/>
    <w:rsid w:val="009659F4"/>
    <w:rsid w:val="00970D60"/>
    <w:rsid w:val="009828B9"/>
    <w:rsid w:val="00987461"/>
    <w:rsid w:val="00991F7E"/>
    <w:rsid w:val="0099429D"/>
    <w:rsid w:val="009942B7"/>
    <w:rsid w:val="009960E5"/>
    <w:rsid w:val="009A1E86"/>
    <w:rsid w:val="009A7ADC"/>
    <w:rsid w:val="009B5DEE"/>
    <w:rsid w:val="009C19B7"/>
    <w:rsid w:val="009C5ABB"/>
    <w:rsid w:val="009D7C51"/>
    <w:rsid w:val="009E196C"/>
    <w:rsid w:val="009F36BF"/>
    <w:rsid w:val="00A111B6"/>
    <w:rsid w:val="00A22305"/>
    <w:rsid w:val="00A234D2"/>
    <w:rsid w:val="00A26D27"/>
    <w:rsid w:val="00A33C97"/>
    <w:rsid w:val="00A376EE"/>
    <w:rsid w:val="00A42A99"/>
    <w:rsid w:val="00A444D9"/>
    <w:rsid w:val="00A5151A"/>
    <w:rsid w:val="00A57E0A"/>
    <w:rsid w:val="00A628AC"/>
    <w:rsid w:val="00A66F94"/>
    <w:rsid w:val="00A70C8D"/>
    <w:rsid w:val="00A77369"/>
    <w:rsid w:val="00A823F6"/>
    <w:rsid w:val="00A8719E"/>
    <w:rsid w:val="00A87550"/>
    <w:rsid w:val="00A95F7D"/>
    <w:rsid w:val="00A96ACE"/>
    <w:rsid w:val="00AA0A89"/>
    <w:rsid w:val="00AA6429"/>
    <w:rsid w:val="00AC01AA"/>
    <w:rsid w:val="00AC4F72"/>
    <w:rsid w:val="00AF741A"/>
    <w:rsid w:val="00B01ADB"/>
    <w:rsid w:val="00B04161"/>
    <w:rsid w:val="00B056F9"/>
    <w:rsid w:val="00B11E3D"/>
    <w:rsid w:val="00B17E82"/>
    <w:rsid w:val="00B312E3"/>
    <w:rsid w:val="00B33D49"/>
    <w:rsid w:val="00B4575A"/>
    <w:rsid w:val="00B575BA"/>
    <w:rsid w:val="00B66B1D"/>
    <w:rsid w:val="00B74FC5"/>
    <w:rsid w:val="00B76429"/>
    <w:rsid w:val="00B956D4"/>
    <w:rsid w:val="00B97446"/>
    <w:rsid w:val="00BA2B32"/>
    <w:rsid w:val="00BA7432"/>
    <w:rsid w:val="00BB7BAB"/>
    <w:rsid w:val="00BC1AA0"/>
    <w:rsid w:val="00BC2495"/>
    <w:rsid w:val="00BC7EB9"/>
    <w:rsid w:val="00BD2643"/>
    <w:rsid w:val="00BD56B1"/>
    <w:rsid w:val="00BD6558"/>
    <w:rsid w:val="00BD7BB1"/>
    <w:rsid w:val="00BF2F76"/>
    <w:rsid w:val="00BF3022"/>
    <w:rsid w:val="00BF3214"/>
    <w:rsid w:val="00BF5573"/>
    <w:rsid w:val="00C15867"/>
    <w:rsid w:val="00C2296D"/>
    <w:rsid w:val="00C23155"/>
    <w:rsid w:val="00C40C41"/>
    <w:rsid w:val="00C45885"/>
    <w:rsid w:val="00C50DA1"/>
    <w:rsid w:val="00C50F22"/>
    <w:rsid w:val="00C54A9B"/>
    <w:rsid w:val="00C57971"/>
    <w:rsid w:val="00C65BD7"/>
    <w:rsid w:val="00C76BA4"/>
    <w:rsid w:val="00C83A48"/>
    <w:rsid w:val="00C85865"/>
    <w:rsid w:val="00C85E85"/>
    <w:rsid w:val="00CA2532"/>
    <w:rsid w:val="00CA2EAE"/>
    <w:rsid w:val="00CA4AC1"/>
    <w:rsid w:val="00CB0316"/>
    <w:rsid w:val="00CB0B11"/>
    <w:rsid w:val="00CB5354"/>
    <w:rsid w:val="00CB652D"/>
    <w:rsid w:val="00CC0336"/>
    <w:rsid w:val="00CC2DFD"/>
    <w:rsid w:val="00CC3C9E"/>
    <w:rsid w:val="00CC4323"/>
    <w:rsid w:val="00CC6A14"/>
    <w:rsid w:val="00CC70A3"/>
    <w:rsid w:val="00CD4442"/>
    <w:rsid w:val="00CD53C3"/>
    <w:rsid w:val="00CD574E"/>
    <w:rsid w:val="00CE4C22"/>
    <w:rsid w:val="00CF41EC"/>
    <w:rsid w:val="00CF5D04"/>
    <w:rsid w:val="00D04DE4"/>
    <w:rsid w:val="00D063F1"/>
    <w:rsid w:val="00D14F22"/>
    <w:rsid w:val="00D3262D"/>
    <w:rsid w:val="00D473BD"/>
    <w:rsid w:val="00D4741C"/>
    <w:rsid w:val="00D54076"/>
    <w:rsid w:val="00D54581"/>
    <w:rsid w:val="00D57918"/>
    <w:rsid w:val="00D73DC6"/>
    <w:rsid w:val="00D74C1A"/>
    <w:rsid w:val="00D754C1"/>
    <w:rsid w:val="00D77393"/>
    <w:rsid w:val="00D77A35"/>
    <w:rsid w:val="00D81B3E"/>
    <w:rsid w:val="00D90C70"/>
    <w:rsid w:val="00D90E49"/>
    <w:rsid w:val="00D95C54"/>
    <w:rsid w:val="00D96ADE"/>
    <w:rsid w:val="00DA0CE2"/>
    <w:rsid w:val="00DC4B10"/>
    <w:rsid w:val="00DC6A10"/>
    <w:rsid w:val="00DE0151"/>
    <w:rsid w:val="00DE1435"/>
    <w:rsid w:val="00DE657E"/>
    <w:rsid w:val="00DF4704"/>
    <w:rsid w:val="00E024AA"/>
    <w:rsid w:val="00E250F1"/>
    <w:rsid w:val="00E3550D"/>
    <w:rsid w:val="00E45C08"/>
    <w:rsid w:val="00E517DE"/>
    <w:rsid w:val="00E613FD"/>
    <w:rsid w:val="00E614E0"/>
    <w:rsid w:val="00E6420C"/>
    <w:rsid w:val="00E664A1"/>
    <w:rsid w:val="00E71B5A"/>
    <w:rsid w:val="00E73F7F"/>
    <w:rsid w:val="00E85409"/>
    <w:rsid w:val="00EA429F"/>
    <w:rsid w:val="00EA4F9E"/>
    <w:rsid w:val="00EA63CA"/>
    <w:rsid w:val="00EA6D3B"/>
    <w:rsid w:val="00EA7470"/>
    <w:rsid w:val="00EB00AD"/>
    <w:rsid w:val="00EB136C"/>
    <w:rsid w:val="00EB480E"/>
    <w:rsid w:val="00EB5EC6"/>
    <w:rsid w:val="00EB7FC9"/>
    <w:rsid w:val="00ED1E8C"/>
    <w:rsid w:val="00ED27E8"/>
    <w:rsid w:val="00ED7137"/>
    <w:rsid w:val="00F129F7"/>
    <w:rsid w:val="00F20041"/>
    <w:rsid w:val="00F205F9"/>
    <w:rsid w:val="00F21088"/>
    <w:rsid w:val="00F327E7"/>
    <w:rsid w:val="00F35746"/>
    <w:rsid w:val="00F4245F"/>
    <w:rsid w:val="00F447C7"/>
    <w:rsid w:val="00F501B8"/>
    <w:rsid w:val="00F5211B"/>
    <w:rsid w:val="00F528C9"/>
    <w:rsid w:val="00F554A9"/>
    <w:rsid w:val="00F608E0"/>
    <w:rsid w:val="00F716FD"/>
    <w:rsid w:val="00F719C0"/>
    <w:rsid w:val="00F80355"/>
    <w:rsid w:val="00F87C43"/>
    <w:rsid w:val="00FA25A6"/>
    <w:rsid w:val="00FA3E4D"/>
    <w:rsid w:val="00FB0C81"/>
    <w:rsid w:val="00FB3129"/>
    <w:rsid w:val="00FC2200"/>
    <w:rsid w:val="00FC2540"/>
    <w:rsid w:val="00FC30FD"/>
    <w:rsid w:val="00FE28C6"/>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82883"/>
  <w15:docId w15:val="{0028AE6D-1444-41B9-8DF3-00E3F28A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54581"/>
    <w:pPr>
      <w:ind w:left="720"/>
      <w:contextualSpacing/>
    </w:pPr>
  </w:style>
  <w:style w:type="paragraph" w:styleId="FootnoteText">
    <w:name w:val="footnote text"/>
    <w:basedOn w:val="Normal"/>
    <w:link w:val="FootnoteTextChar"/>
    <w:uiPriority w:val="99"/>
    <w:semiHidden/>
    <w:unhideWhenUsed/>
    <w:rsid w:val="00D54581"/>
    <w:rPr>
      <w:sz w:val="20"/>
      <w:szCs w:val="20"/>
    </w:rPr>
  </w:style>
  <w:style w:type="character" w:customStyle="1" w:styleId="FootnoteTextChar">
    <w:name w:val="Footnote Text Char"/>
    <w:basedOn w:val="DefaultParagraphFont"/>
    <w:link w:val="FootnoteText"/>
    <w:uiPriority w:val="99"/>
    <w:semiHidden/>
    <w:rsid w:val="00D54581"/>
    <w:rPr>
      <w:lang w:val="en-GB"/>
    </w:rPr>
  </w:style>
  <w:style w:type="character" w:styleId="FootnoteReference">
    <w:name w:val="footnote reference"/>
    <w:basedOn w:val="DefaultParagraphFont"/>
    <w:uiPriority w:val="99"/>
    <w:semiHidden/>
    <w:unhideWhenUsed/>
    <w:rsid w:val="00D545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60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5th\Templates\Eec85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UNEP/OzL.Pro/ExCom/85/26</Document_x0020_Number>
    <DocumentType xmlns="64e33b30-101d-41de-b951-961aab25ea29">Pre-session</DocumentType>
  </documentManagement>
</p:properties>
</file>

<file path=customXml/itemProps1.xml><?xml version="1.0" encoding="utf-8"?>
<ds:datastoreItem xmlns:ds="http://schemas.openxmlformats.org/officeDocument/2006/customXml" ds:itemID="{45339A50-E833-4BF2-8664-55C975051DA1}"/>
</file>

<file path=customXml/itemProps2.xml><?xml version="1.0" encoding="utf-8"?>
<ds:datastoreItem xmlns:ds="http://schemas.openxmlformats.org/officeDocument/2006/customXml" ds:itemID="{D732E69A-C587-4B08-B2CF-3C33EC01EBED}"/>
</file>

<file path=customXml/itemProps3.xml><?xml version="1.0" encoding="utf-8"?>
<ds:datastoreItem xmlns:ds="http://schemas.openxmlformats.org/officeDocument/2006/customXml" ds:itemID="{CF22FA45-479B-466E-8929-1306124C13C4}"/>
</file>

<file path=customXml/itemProps4.xml><?xml version="1.0" encoding="utf-8"?>
<ds:datastoreItem xmlns:ds="http://schemas.openxmlformats.org/officeDocument/2006/customXml" ds:itemID="{377580DA-B3B1-4926-B87A-DB87E190571C}"/>
</file>

<file path=docProps/app.xml><?xml version="1.0" encoding="utf-8"?>
<Properties xmlns="http://schemas.openxmlformats.org/officeDocument/2006/extended-properties" xmlns:vt="http://schemas.openxmlformats.org/officeDocument/2006/docPropsVTypes">
  <Template>Eec85G</Template>
  <TotalTime>12</TotalTime>
  <Pages>7</Pages>
  <Words>2424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Project proposal:  Ethiopia</vt:lpstr>
    </vt:vector>
  </TitlesOfParts>
  <Company>UNMFS</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Ethiopia</dc:title>
  <dc:subject>85th ExCom</dc:subject>
  <dc:creator>Dominika Anna Suwik</dc:creator>
  <cp:keywords>85th</cp:keywords>
  <dc:description>FSM</dc:description>
  <cp:lastModifiedBy>Patricia Chau</cp:lastModifiedBy>
  <cp:revision>4</cp:revision>
  <cp:lastPrinted>2001-05-26T16:40:00Z</cp:lastPrinted>
  <dcterms:created xsi:type="dcterms:W3CDTF">2020-04-24T13:51:00Z</dcterms:created>
  <dcterms:modified xsi:type="dcterms:W3CDTF">2020-04-24T15:18:00Z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UNEP/OzL.Pro/ExCom/85/26</vt:lpwstr>
  </property>
  <property fmtid="{D5CDD505-2E9C-101B-9397-08002B2CF9AE}" pid="3" name="Revision date">
    <vt:lpwstr>04/24/2020</vt:lpwstr>
  </property>
  <property fmtid="{D5CDD505-2E9C-101B-9397-08002B2CF9AE}" pid="4" name="ContentTypeId">
    <vt:lpwstr>0x0101005EC4716D3F019F488CE3B89D33B3E908</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