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67DBD" w14:textId="77777777" w:rsidR="00D54581" w:rsidRDefault="00D54581" w:rsidP="00F04DC2">
      <w:pPr>
        <w:tabs>
          <w:tab w:val="left" w:pos="8280"/>
        </w:tabs>
      </w:pPr>
    </w:p>
    <w:tbl>
      <w:tblPr>
        <w:tblW w:w="0" w:type="auto"/>
        <w:tblInd w:w="-432" w:type="dxa"/>
        <w:tblLayout w:type="fixed"/>
        <w:tblLook w:val="0000" w:firstRow="0" w:lastRow="0" w:firstColumn="0" w:lastColumn="0" w:noHBand="0" w:noVBand="0"/>
      </w:tblPr>
      <w:tblGrid>
        <w:gridCol w:w="2070"/>
        <w:gridCol w:w="3420"/>
        <w:gridCol w:w="4590"/>
      </w:tblGrid>
      <w:tr w:rsidR="00D27F9D" w:rsidRPr="005063AD" w14:paraId="1CD99339" w14:textId="77777777" w:rsidTr="00D27F9D">
        <w:trPr>
          <w:trHeight w:val="720"/>
        </w:trPr>
        <w:tc>
          <w:tcPr>
            <w:tcW w:w="5490" w:type="dxa"/>
            <w:gridSpan w:val="2"/>
            <w:tcBorders>
              <w:bottom w:val="single" w:sz="18" w:space="0" w:color="auto"/>
            </w:tcBorders>
          </w:tcPr>
          <w:p w14:paraId="3E9933C7" w14:textId="77777777" w:rsidR="00D27F9D" w:rsidRPr="005063AD" w:rsidRDefault="00D27F9D" w:rsidP="00D27F9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5063AD">
              <w:rPr>
                <w:rFonts w:ascii="Univers" w:hAnsi="Univers"/>
                <w:b/>
                <w:sz w:val="28"/>
                <w:szCs w:val="28"/>
              </w:rPr>
              <w:t>UNITED</w:t>
            </w:r>
            <w:r w:rsidRPr="005063AD">
              <w:rPr>
                <w:rFonts w:ascii="Univers" w:hAnsi="Univers"/>
                <w:b/>
                <w:sz w:val="28"/>
                <w:szCs w:val="28"/>
              </w:rPr>
              <w:br/>
              <w:t>NATIONS</w:t>
            </w:r>
          </w:p>
        </w:tc>
        <w:tc>
          <w:tcPr>
            <w:tcW w:w="4590" w:type="dxa"/>
            <w:tcBorders>
              <w:bottom w:val="single" w:sz="18" w:space="0" w:color="auto"/>
            </w:tcBorders>
          </w:tcPr>
          <w:p w14:paraId="166431DC" w14:textId="77777777" w:rsidR="00D27F9D" w:rsidRPr="005063AD" w:rsidRDefault="00D27F9D" w:rsidP="00D27F9D">
            <w:pPr>
              <w:jc w:val="right"/>
              <w:rPr>
                <w:sz w:val="52"/>
                <w:szCs w:val="52"/>
              </w:rPr>
            </w:pPr>
            <w:r w:rsidRPr="005063AD">
              <w:rPr>
                <w:rFonts w:ascii="Univers Bold" w:hAnsi="Univers Bold"/>
                <w:b/>
                <w:sz w:val="72"/>
              </w:rPr>
              <w:t>EP</w:t>
            </w:r>
          </w:p>
        </w:tc>
      </w:tr>
      <w:tr w:rsidR="00D27F9D" w:rsidRPr="005063AD" w14:paraId="37B4B84E" w14:textId="77777777" w:rsidTr="00D27F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61F1C46D" w14:textId="77777777" w:rsidR="00D27F9D" w:rsidRPr="005063AD" w:rsidRDefault="00D27F9D" w:rsidP="00D27F9D">
            <w:pPr>
              <w:spacing w:before="120"/>
            </w:pPr>
            <w:r w:rsidRPr="005063AD">
              <w:rPr>
                <w:noProof/>
                <w:lang w:val="en-US"/>
              </w:rPr>
              <mc:AlternateContent>
                <mc:Choice Requires="wpg">
                  <w:drawing>
                    <wp:anchor distT="0" distB="0" distL="114300" distR="114300" simplePos="0" relativeHeight="251661312" behindDoc="0" locked="0" layoutInCell="1" allowOverlap="1" wp14:anchorId="0CF45BD7" wp14:editId="15740D51">
                      <wp:simplePos x="0" y="0"/>
                      <wp:positionH relativeFrom="column">
                        <wp:posOffset>2540</wp:posOffset>
                      </wp:positionH>
                      <wp:positionV relativeFrom="paragraph">
                        <wp:posOffset>36195</wp:posOffset>
                      </wp:positionV>
                      <wp:extent cx="844550" cy="1616075"/>
                      <wp:effectExtent l="0" t="0" r="0" b="3175"/>
                      <wp:wrapNone/>
                      <wp:docPr id="2" name="Group 2"/>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3" name="Picture 3"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4" name="Picture 4"/>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w:pict>
                    <v:group w14:anchorId="246DC25E" id="Group 2" o:spid="_x0000_s1026" style="position:absolute;margin-left:.2pt;margin-top:2.85pt;width:66.5pt;height:127.25pt;z-index:251661312"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qBdwlwIAANEHAAAOAAAAZHJzL2Uyb0RvYy54bWzUVdtu2zAMfR+wfxD0&#10;3jpx0sQwmhTDesGArg229QMUWbaFWhdQSpz+/SjZcdtk2IYCw9CHONSF5OHhkXR+sVMN2Qpw0ugF&#10;HZ+OKBGam0LqakEfflyfZJQ4z3TBGqPFgj4JRy+WHz+ctzYXqalNUwggGES7vLULWntv8yRxvBaK&#10;uVNjhcbF0oBiHodQJQWwFqOrJklHo1nSGigsGC6cw9nLbpEuY/yyFNzfl6UTnjQLith8/EL8rsM3&#10;WZ6zvAJma8l7GOwNKBSTGpMOoS6ZZ2QD8iiUkhyMM6U/5UYlpiwlF7EGrGY8OqjmBszGxlqqvK3s&#10;QBNSe8DTm8Pyu+0KiCwWNKVEM4UtillJGqhpbZXjjhuw3+0K+omqG4VqdyWo8I91kF0k9WkgVew8&#10;4TiZTadnZ0g9x6XxbDwbzc861nmNrTly4/XV7x2TfdokoBvAWMlz/PUcoXXE0Z+1hF5+A4L2QdRf&#10;xVAMHjf2BNtpmZdr2Uj/FKWJjQug9HYl+Qq6wTPdkz3duBqSEpwohOOozYe7q1WgKHgHh86dhfJu&#10;DX90RJvPNdOV+OQsChxpDbuT19vj8FXudSPttWya0LBg91ViwgMx/YKoTqiXhm+U0L47eSAaLNho&#10;V0vrKIFcqLVAIcGXYoztxlPvUU0WpPZdwx3wb4gXsbLceRCe18EsEVM/j70dFmIBz5hDdQ5FSNbt&#10;V1NgYLbxJh65AxHOJkFtKLb5LAtmTDeIcZLhrdGJMZvO52nU4iAp5BicvxFGkWBgLYg3JmHbWxeQ&#10;49b9loBdm8Donv2Ar28Ewu0aiMa70eT0UJPT9y1DvNL+mww7DR7KL00nKLl4F84noyz7p/KLFyS+&#10;G1G1/RsXHqaXY7RfvsTLn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KicMcfcAAAABgEAAA8AAABkcnMvZG93bnJldi54bWxMjk1Lw0AURfeC/2F4gjs7+bBVYl5K&#10;KeqqCLZC6W6aeU1CM29CZpqk/97pSpeXezn35MvJtGKg3jWWEeJZBIK4tLrhCuFn9/H0CsJ5xVq1&#10;lgnhSg6Wxf1drjJtR/6mYesrESDsMoVQe99lUrqyJqPczHbEoTvZ3igfYl9J3asxwE0rkyhaSKMa&#10;Dg+16mhdU3neXgzC56jGVRq/D5vzaX097OZf+01MiI8P0+oNhKfJ/43hph/UoQhOR3th7USL8Bx2&#10;CPMXELcyTUM+IiSLKAFZ5PK/fvELAAD//wMAUEsDBAoAAAAAAAAAIQB+Fay/EgYAABIGAAAUAAAA&#10;ZHJzL21lZGlhL2ltYWdlMS5wbmeJUE5HDQoaCgAAAA1JSERSAAAAwAAAAKoBAwAAAMF90ngAAAAB&#10;c1JHQgCuzhzpAAAABGdBTUEAALGPC/xhBQAAACBjSFJNAAB6JgAAgIQAAPoAAACA6AAAdTAAAOpg&#10;AAA6mAAAF3CculE8AAAABlBMVEUAAAD///+l2Z/dAAAACXBIWXMAACHVAAAh1QEEnLSdAAAFaUlE&#10;QVRYw83XPW4cNxQAYI4nEF0EoUoXgojcIKUKJ8xRkhukdCEsZ7NGttwj6CimsAFc6gimoEKluFBh&#10;BmHIvB9yfrSr3gskFubbIfne49+K8spHfOvwcBKSicKcglCcOPnGbRnkSegztPQZ27QLyDJ2hXuR&#10;C4gySOgFH7oFBOVNFgR+NQevb1sj0ZgZOPNGwsgoIrWb4NOwEsJ6jnC7HSFbAUNSURM870dIuYO/&#10;+iQDyf0IMffQv1j1/I4f4ZB4QOtM/wbb4D4qHnSBN4uKI+zjFcWWDI7YfTANNuFXoWv24b2LEfog&#10;aqCY23DWIEsvVE0/PEvdLxWSnKr3Bf4bLhsop+fFC5eWIartoqpJmwaL+VGK1gxB2yXcjbB8Xp4U&#10;g38JWEsCkxedPE3gF508V/jq7HJ2hrKp8KFbQDQMj873ywAVw51znEJRc5/6W4b1QA8g99xk7hhu&#10;NrxkBiHq2hEM+k+eXPC8lmX4neEjtRAReBTuR4SseS15BA7In1fQrYvaSSBIZjA8WPxobpWBukgM&#10;kv/+StCPfdfeM0E0qoaHHw5xINB6GlQdlnsgME/4dwWqjCe4tHc82t63YQWEcFl2PFoZK3yNFTRn&#10;SqWared0j6CT5jB0roEcMkM0HAbuDRRIhCWP4BuUGki0DM5yfBMYhsFyfAS0LjSDKHOwOE0ILkUN&#10;fIQsGbpaJhoulir3CPGiXwBG228Q3vW1fhQ55aRjkBUoV5STNUJ6p+qk6kODgeC85lDIcc65LcD1&#10;ueEcSnbaSRFW55agzfgJKAmiLVBKb1BF5FVHa2VcNhvMovoCsFxO+PkvagAj/z2C9BpkfSOSUc/U&#10;W/t0uN0ahN0DFrBKxhLGYrRI+oaAJVNto2XYt5KXWvRoVwDqZsMg61rAyXBtADAkz1/1DZIRsJ33&#10;4xNXAebgHCwvUJw+CH1uwLMEQQUCWYEnA4G3InfpNJQZpAYSNz0xgpoBVFBcqwZxhAFgOIYs1wjv&#10;T0AH4EaQE/QI7/RLKGcIHoEmpwxtNzmTuD5OwF8KZ/tbcwQfEdLbn49Bf0K4fglPfxuA1ffXtaYM&#10;PW7q1ohixbU9Anha7BBfws7hncA4gDQB5Hp3mxA87D5LUA8I+gQ8RgAVAPIEkFL5GCDAbYQrxAKy&#10;fPIAG4QyAXxL3mFp1+kYClWQztoJYCSyUAUtwjAWCiFTBQ2uMzfWHKKViUAfQ8QKehXrbFBt3eC9&#10;DUAuoCPACoYeAQekGyhH0EX1ifJOk7on0DgZRFQ3vOnXXSsqOOeg5uJDBVOPiahwcUH+3sM9L7fT&#10;QJcUL2HMeBReqM+UEwJT/okXdECW4Qe9p5zYTPEd4vuOwJ3BHo+h20Lx3ccrvmX4XjkKBNuD797G&#10;PxRB6BAiQ483ut80Qep2jiYQdgTf3URncVS5iJ2DCY+tDLjL9nGdCayTeC0aehyBhTMiyERNmUiA&#10;txbX4eEBByBfP4r0mAjcByQu8lAOBLuyxxrSXqPxC4eyJ9iX54A7/R1fLKN6xB1M0PU2zi7z8Haq&#10;kdsFQHOhRg5fmW38cPIOHDnc8fMMHNTLcEpEl2dXMmcxTASogpkBbFW4nQg+l4YJ1pFOo3oAz+6D&#10;cNeQFWAWXpkRJKWYb69CfDdCvqznAh8a42lX0k98zaH/uXp9Kvx6P8L8l5KvZ890C23X58z3ohEG&#10;bGHWl5iaFtqLeo2aAa7aN3VXmgO+oLwaRLt1MjzT5mO3n+vKmQ0X28j6wBdVPQLfR6JNNojWv2hd&#10;dzgp2vIcgY7aLQY5tFBEG23JCqdYbD9RppQkGOdhKuQE+Fso2hPg61tHgL/Qsj4BlHZ1AtS8KDPI&#10;qrX3EvQrwJ+n16B8G/A/W1n3eze3kcAAAAAASUVORK5CYIJQSwMECgAAAAAAAAAhAOCJ3RxtCQAA&#10;bQkAABQAAABkcnMvbWVkaWEvaW1hZ2UyLnBuZ4lQTkcNChoKAAAADUlIRFIAAADGAAAAsAEDAAAA&#10;bi6DwgAAAAFzUkdCAK7OHOkAAAAEZ0FNQQAAsY8L/GEFAAAAIGNIUk0AAHomAACAhAAA+gAAAIDo&#10;AAB1MAAA6mAAADqYAAAXcJy6UTwAAAAGUExURQAAAP///6XZn90AAAAJcEhZcwAAIdUAACHVAQSc&#10;tJ0AAAjESURBVFjDzddPbxvHFQDwNx6b4wPLVZFDCFjlqOgXkJFDGZTVqGiB9FT02FsZ6AOEgg9l&#10;ENa7LI3oIpQ99mBEx15zzM2jMAhVwLB67KkZYo3oYiDDqEhX8Hpf35vZlWVHPvVSBaQZ/rgzb9/8&#10;2TeAb/gr4f9LfPoGcQD6WqkAQFwrThYVJK/LN/SCtMBCvC5z+qiwQMzSV6Winp0heV5Qc/+5IoVB&#10;nNI/qCuJ+PyKuBQrRfJMo0W8uCI2DZcVD8LdlumlPKJ3x43SdaXG0lzKDsV6zLKkN0V4Vks1EfwF&#10;yTm9zajL81rKsQxx8/1ws5Vc11J4FQMAiAkXRS2exHN6ADgEg1CkUZxLcMWXjAtIud1sUsux/REu&#10;6Ae6QEuvBO3ANPIu/S8CRVDKE1yi3dRRpnafmuBcp6cZYI6ukVmWU7eecp1+44GCcZ0kipwuKBgX&#10;7odi8PjppcwO6IJZkBKMSz9rqSDfyUStdJUEqUB/bh7W8rXcTBbzkASWZK6fKBmlNUoOlh4b0fOl&#10;jPJFy+l5vuIBTJ5X0DIHq5k0LIfKGr2mJHig5NBr4XL5KEp23xQHNKMAkpRv1d8TRyxtBWXKgyyK&#10;UpxnAtf+Ti0tFkoCZ/QWiS+S6ZykardppEgsxVbcspTYUjVCo0tzU5JUcAJpOZHTgyC31RrXS0oC&#10;z+sBmPK+CFK2IckxXxQ8r2kAQFcGGjFLXOQ+5poETXY8i/KHJR74Vcz1bVpcOvtFLcs5zotf1nmj&#10;+TO3gqVoy/kcdaniTPwTixNTlo5KdNWMDw29xNNPa+mQGJIjlqmTuPxrLZs9Q+mh1jKa3OAELp/U&#10;0mUpFjQ7BFYbvxWYn4osyPYOrff1Cl3XmrI/oWE4O44yHKQXuPI4LcqkGBtI1/kqip3gGvPiflKg&#10;9NXbWbperSFINiZZlhNT4CpHbdO1vwiSZAXN5YOqT735Jd5xaeFTkmqs4IJkjoLXQoKJN4U3QVqC&#10;2kJN05elUt+ZotBBOrUc8Gjr6haaMkq/I8/xtDLhGqtIdDlJ4BlJm5b/nOSHJCcKgyh4CtWgraj/&#10;Mq36WOSZwgd4RCJINm/TNDiilE7Sz94DSStsXt2XUd46owaw/I0BDbspNVDtiCjvkFBYUoMCMN9y&#10;OEJ8AVUH7i1ZvDikTQS0Y4Eoe0s0F2gh/LUdLiuTzUhakNPHNcttku6QbnvHygckYsHCO3ybLwqy&#10;y3JDzKjhdcl90NqCX7MM1U2opGQ5Z0m5r3/gGe5sR5EstO1BiGKDpLfdIRFKzauURfAahm2WbpCP&#10;WXISySL+zbK52YYKDhXlM7+wIFKWkqVDgrWsSfipJekzSZflscri7f/tkYsfoKf6LCdJFLE48pey&#10;TZL9LuHWVlb8nUWF1uQVWZKogoUjkH6T7m4c5MtdkCySRUvHsv0238+f6csbz+qojWBx22+xfLIL&#10;N1vFdfLwV9BOWB5Sro2wA8DR9t3TKrX/ei+D5C8Ucf+lbJAY2zlzQw1Rqp8LS0uvv7FPkrX23Ptf&#10;sXzIkrEMNkY8WVr3vP09P4EuaO68m1laWb0NT/MA5H552OFxXQfJngF+Ao66BHnxQsMWjeua5uh+&#10;Nn0MOBckGqgEMJbHlRfGvmU5mAYRJU16aE2Rp/++lYeAs2N3FmTMW5gk0STqIeDi2O097YCo7rLc&#10;5HyW7ztF2TnO7V7ogJ8Sw25KTZcr1+FcN0IPVbBbKd1c4dwmyz36j+UgTLd0zuIHlDf3jt3nuUmt&#10;eQHwla7SC+f7LD+z+zxFqh/T5N0C6uWPa+dHJP6O/ZBlMk7tykFFu+DaFY4lsWOWcamPH1kxoX3p&#10;3F1wrr2y43+S7KM66bVgQJK7jzKSQtnJCckeZru04vq8C7qPwv4m7eQDkmUIGu7yLujus5TCPvmA&#10;wuYHMsTEkQgWcE9+Gko3Xna09y9p95+wVOC+NtSQqeUFy1gGGZ5pz9eEfpShx8dwxIKwlfcq7ies&#10;np8Yjb3hSJE8z7byOXLXQUZaV4PhkOWF3cjn9OgVUcY9w5JwbG5jteSdIMpgMy3Hw13N4nla5RRc&#10;iKDXxWLsMn7Wl2NwOa6glYSoWxtUTbks5agH4PbRbyWzkIMWP9EdnLP0wI2wGCEli/6SBa6cE2cs&#10;SebGXIsVas1JmlGqvVrynSrrBqnXoRYjocec9UkU5wYmTzBGTbHNMypMWKR3PbM84AKuS/voJKXm&#10;U75TnJZDredcQfKWuVHt6MyVfKeYlSOqfnwtAntGrIogdmeUfGm4RmJReJiK3Id6x+rRD2zKxSUL&#10;VXyVyF0Ql/ibw1CQshhcfSvOQnbQKd/aDkUsb+cp5k/FKYS6ysui1U255lsjF/LLx7KKUkDRaht+&#10;YK6RigNM2pKK9iiTG4qTQ2IVZbgrfazSShhI+TH3RxFQeTXoKhulgp4Un2OcolSCj/sqi9UgQksK&#10;LuyyUBGvfD+BurbMpIRwJLFcRS9cvwN1pWqFyCZcX69ZlB1tQl33OphmO0ktpbajLtS1MlUmmZnV&#10;UqTZaBuaah2E1a4Wi+CHopYjEqoXolBm/K6qZemESyg5LFQ6CJcltaxo2SkqNlhoYISDnaaONxnV&#10;+I5zTckrpYOyqf2VpxQWkoTPB5IGrDkv0H5IbYGmkeOpavXxZdTUeJyINDyeZrZsziWgYmZ5FtDh&#10;4Mg3UdNXVfwFH2+cRmiipvRruDz+WeP4wBfFgcxMI1kVGo1CC9RdyjQU4LXQAt24PDHKOLRReAY0&#10;x8KqHWJvzmbxTrD5lXop2ctTJm8K+spJDy7PnC5MrZenQ14cYSpRzuPlzVkzw6YOoVOWefXkylv2&#10;5pVTbS0Gm8ogdH96JeqwFSjavsNFV2KL1dakrfmDdOaVqOkbb2TYyF6NmjuwtKyhCaI5B0N80HmT&#10;NYlqoqb2Nc3FMvFNchsp6YeFppNpGSfDa2f0lA/QWX2vV8WGV1Gf+q/KtL4OvycckjfXSBXOyPoa&#10;4QUU316X8PNrJXQRmvzeNembJP4lbxT8n+S/ulMYUt8NIK0AAAAASUVORK5CYIJQSwECLQAUAAYA&#10;CAAAACEAsYJntgoBAAATAgAAEwAAAAAAAAAAAAAAAAAAAAAAW0NvbnRlbnRfVHlwZXNdLnhtbFBL&#10;AQItABQABgAIAAAAIQA4/SH/1gAAAJQBAAALAAAAAAAAAAAAAAAAADsBAABfcmVscy8ucmVsc1BL&#10;AQItABQABgAIAAAAIQDxqBdwlwIAANEHAAAOAAAAAAAAAAAAAAAAADoCAABkcnMvZTJvRG9jLnht&#10;bFBLAQItABQABgAIAAAAIQAubPAAxQAAAKUBAAAZAAAAAAAAAAAAAAAAAP0EAABkcnMvX3JlbHMv&#10;ZTJvRG9jLnhtbC5yZWxzUEsBAi0AFAAGAAgAAAAhAKicMcfcAAAABgEAAA8AAAAAAAAAAAAAAAAA&#10;+QUAAGRycy9kb3ducmV2LnhtbFBLAQItAAoAAAAAAAAAIQB+Fay/EgYAABIGAAAUAAAAAAAAAAAA&#10;AAAAAAIHAABkcnMvbWVkaWEvaW1hZ2UxLnBuZ1BLAQItAAoAAAAAAAAAIQDgid0cbQkAAG0JAAAU&#10;AAAAAAAAAAAAAAAAAEYNAABkcnMvbWVkaWEvaW1hZ2UyLnBuZ1BLBQYAAAAABwAHAL4BAADlF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LkSwQAAANoAAAAPAAAAZHJzL2Rvd25yZXYueG1sRI/RisIw&#10;FETfBf8hXGHfNHUXRapRZEFYF0SqfsCluTa1zU23yWr9eyMIPg4zc4ZZrDpbiyu1vnSsYDxKQBDn&#10;TpdcKDgdN8MZCB+QNdaOScGdPKyW/d4CU+1unNH1EAoRIexTVGBCaFIpfW7Ioh+5hjh6Z9daDFG2&#10;hdQt3iLc1vIzSabSYslxwWBD34by6vBvFVyq7DfJ9jnuthtTzex5kk3+tkp9DLr1HESgLrzDr/aP&#10;VvAFzyvxBsjlAwAA//8DAFBLAQItABQABgAIAAAAIQDb4fbL7gAAAIUBAAATAAAAAAAAAAAAAAAA&#10;AAAAAABbQ29udGVudF9UeXBlc10ueG1sUEsBAi0AFAAGAAgAAAAhAFr0LFu/AAAAFQEAAAsAAAAA&#10;AAAAAAAAAAAAHwEAAF9yZWxzLy5yZWxzUEsBAi0AFAAGAAgAAAAhAIvcuRLBAAAA2gAAAA8AAAAA&#10;AAAAAAAAAAAABwIAAGRycy9kb3ducmV2LnhtbFBLBQYAAAAAAwADALcAAAD1AgAAAAA=&#10;">
                        <v:imagedata r:id="rId10" o:title="UNEP"/>
                        <v:path arrowok="t"/>
                      </v:shape>
                      <v:shape id="Picture 4"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Eq5wQAAANoAAAAPAAAAZHJzL2Rvd25yZXYueG1sRI9Bi8Iw&#10;FITvC/6H8ARva6rI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K/sSrn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14:paraId="130977D2" w14:textId="77777777" w:rsidR="00D27F9D" w:rsidRPr="005063AD" w:rsidRDefault="00D27F9D" w:rsidP="00D27F9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5063AD">
              <w:rPr>
                <w:rFonts w:ascii="Univers" w:hAnsi="Univers"/>
                <w:b/>
                <w:sz w:val="32"/>
              </w:rPr>
              <w:t>United Nations</w:t>
            </w:r>
          </w:p>
          <w:p w14:paraId="6D466E2E" w14:textId="77777777" w:rsidR="00D27F9D" w:rsidRPr="005063AD" w:rsidRDefault="00D27F9D" w:rsidP="00D27F9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5063AD">
              <w:rPr>
                <w:rFonts w:ascii="Univers" w:hAnsi="Univers"/>
                <w:b/>
                <w:sz w:val="32"/>
              </w:rPr>
              <w:t>Environment</w:t>
            </w:r>
          </w:p>
          <w:p w14:paraId="41FDD212" w14:textId="77777777" w:rsidR="00D27F9D" w:rsidRPr="005063AD" w:rsidRDefault="00D27F9D" w:rsidP="00D27F9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5063AD">
              <w:rPr>
                <w:rFonts w:ascii="Univers" w:hAnsi="Univers"/>
                <w:b/>
                <w:sz w:val="32"/>
              </w:rPr>
              <w:t>Programme</w:t>
            </w:r>
          </w:p>
          <w:p w14:paraId="4170E404" w14:textId="77777777" w:rsidR="00D27F9D" w:rsidRPr="005063AD" w:rsidRDefault="00D27F9D" w:rsidP="00D27F9D">
            <w:pPr>
              <w:spacing w:before="720"/>
              <w:ind w:left="158"/>
            </w:pPr>
          </w:p>
        </w:tc>
        <w:tc>
          <w:tcPr>
            <w:tcW w:w="4590" w:type="dxa"/>
            <w:tcBorders>
              <w:top w:val="nil"/>
              <w:left w:val="nil"/>
              <w:bottom w:val="single" w:sz="36" w:space="0" w:color="auto"/>
              <w:right w:val="nil"/>
            </w:tcBorders>
          </w:tcPr>
          <w:p w14:paraId="22E84160" w14:textId="77777777" w:rsidR="00D27F9D" w:rsidRPr="005063AD" w:rsidRDefault="00D27F9D" w:rsidP="00D27F9D">
            <w:r w:rsidRPr="005063AD">
              <w:t>Distr.</w:t>
            </w:r>
          </w:p>
          <w:p w14:paraId="4320C423" w14:textId="77777777" w:rsidR="00D27F9D" w:rsidRPr="005063AD" w:rsidRDefault="00D27F9D" w:rsidP="00D27F9D">
            <w:r w:rsidRPr="005063AD">
              <w:t>GENERAL</w:t>
            </w:r>
          </w:p>
          <w:p w14:paraId="5B113866" w14:textId="77777777" w:rsidR="00D27F9D" w:rsidRPr="005063AD" w:rsidRDefault="00D27F9D" w:rsidP="00D27F9D"/>
          <w:p w14:paraId="3EAD780C" w14:textId="77777777" w:rsidR="00D27F9D" w:rsidRPr="005063AD" w:rsidRDefault="00D27F9D" w:rsidP="00D27F9D"/>
          <w:p w14:paraId="1FE339C8" w14:textId="1D21855E" w:rsidR="00D27F9D" w:rsidRPr="005063AD" w:rsidRDefault="00D27F9D" w:rsidP="00D27F9D">
            <w:fldSimple w:instr=" DOCPROPERTY &quot;Document number&quot;  \* MERGEFORMAT ">
              <w:r>
                <w:t>UNEP/OzL.Pro/ExCom/85/24</w:t>
              </w:r>
            </w:fldSimple>
          </w:p>
          <w:p w14:paraId="6B2C63D4" w14:textId="37F96737" w:rsidR="00D27F9D" w:rsidRPr="005063AD" w:rsidRDefault="00D27F9D" w:rsidP="00D27F9D">
            <w:r w:rsidRPr="005063AD">
              <w:fldChar w:fldCharType="begin"/>
            </w:r>
            <w:r w:rsidRPr="005063AD">
              <w:instrText xml:space="preserve"> DOCPROPERTY "Revision date" \@ "d MMMM YYYY"  \* MERGEFORMAT </w:instrText>
            </w:r>
            <w:r w:rsidRPr="005063AD">
              <w:fldChar w:fldCharType="separate"/>
            </w:r>
            <w:r>
              <w:t>1 May 2020</w:t>
            </w:r>
            <w:r w:rsidRPr="005063AD">
              <w:fldChar w:fldCharType="end"/>
            </w:r>
          </w:p>
          <w:p w14:paraId="20FEA25F" w14:textId="77777777" w:rsidR="00D27F9D" w:rsidRPr="005063AD" w:rsidRDefault="00D27F9D" w:rsidP="00D27F9D">
            <w:pPr>
              <w:rPr>
                <w:caps/>
              </w:rPr>
            </w:pPr>
          </w:p>
          <w:p w14:paraId="63A7CEC8" w14:textId="77777777" w:rsidR="00D27F9D" w:rsidRPr="005063AD" w:rsidRDefault="00D27F9D" w:rsidP="00D27F9D">
            <w:r w:rsidRPr="005063AD">
              <w:t>ORIGINAL: ENGLISH</w:t>
            </w:r>
          </w:p>
        </w:tc>
      </w:tr>
    </w:tbl>
    <w:p w14:paraId="2B0F6686" w14:textId="77777777" w:rsidR="00D27F9D" w:rsidRPr="005063AD" w:rsidRDefault="00D27F9D" w:rsidP="00D27F9D">
      <w:pPr>
        <w:jc w:val="left"/>
      </w:pPr>
      <w:r w:rsidRPr="005063AD">
        <w:t>EXECUTIVE COMMITTEE OF</w:t>
      </w:r>
      <w:r w:rsidRPr="005063AD">
        <w:br/>
        <w:t xml:space="preserve">  THE MULTILATERAL FUND FOR THE</w:t>
      </w:r>
      <w:r w:rsidRPr="005063AD">
        <w:br/>
        <w:t xml:space="preserve">  IMPLEMENTATION OF THE MONTREAL PROTOCOL</w:t>
      </w:r>
      <w:r w:rsidRPr="005063AD">
        <w:br/>
      </w:r>
      <w:r w:rsidRPr="005063AD">
        <w:rPr>
          <w:lang w:val="en-CA"/>
        </w:rPr>
        <w:t>Eighty-</w:t>
      </w:r>
      <w:r w:rsidRPr="005063AD">
        <w:t>fifth</w:t>
      </w:r>
      <w:r w:rsidRPr="005063AD">
        <w:rPr>
          <w:lang w:val="en-CA"/>
        </w:rPr>
        <w:t xml:space="preserve"> </w:t>
      </w:r>
      <w:r w:rsidRPr="005063AD">
        <w:t>Meeting</w:t>
      </w:r>
    </w:p>
    <w:p w14:paraId="08DCE286" w14:textId="77777777" w:rsidR="00D27F9D" w:rsidRPr="005063AD" w:rsidRDefault="00D27F9D" w:rsidP="00D27F9D">
      <w:pPr>
        <w:jc w:val="left"/>
        <w:rPr>
          <w:lang w:val="en-CA"/>
        </w:rPr>
      </w:pPr>
      <w:r w:rsidRPr="005063AD">
        <w:rPr>
          <w:lang w:val="en-CA"/>
        </w:rPr>
        <w:t>Montreal, 25-29 May 2020</w:t>
      </w:r>
    </w:p>
    <w:p w14:paraId="1CEAD8DE" w14:textId="77777777" w:rsidR="00D27F9D" w:rsidRDefault="00D27F9D" w:rsidP="00D27F9D">
      <w:pPr>
        <w:jc w:val="left"/>
        <w:rPr>
          <w:lang w:val="en-US"/>
        </w:rPr>
      </w:pPr>
      <w:r w:rsidRPr="005063AD">
        <w:rPr>
          <w:lang w:val="en-US"/>
        </w:rPr>
        <w:t>Postponed to 19-22 July 2020*</w:t>
      </w:r>
    </w:p>
    <w:p w14:paraId="788E7A3D" w14:textId="77777777" w:rsidR="00D27F9D" w:rsidRPr="00765DE4" w:rsidRDefault="00D27F9D" w:rsidP="00D27F9D">
      <w:pPr>
        <w:jc w:val="left"/>
        <w:rPr>
          <w:lang w:val="en-US"/>
        </w:rPr>
      </w:pPr>
    </w:p>
    <w:p w14:paraId="77928490" w14:textId="77777777" w:rsidR="00D54581" w:rsidRDefault="00D54581" w:rsidP="00F04DC2">
      <w:pPr>
        <w:tabs>
          <w:tab w:val="left" w:pos="8280"/>
        </w:tabs>
      </w:pPr>
    </w:p>
    <w:p w14:paraId="4AF47E66" w14:textId="77777777" w:rsidR="00D54581" w:rsidRDefault="00D54581" w:rsidP="00F04DC2">
      <w:pPr>
        <w:tabs>
          <w:tab w:val="left" w:pos="8280"/>
        </w:tabs>
      </w:pPr>
    </w:p>
    <w:p w14:paraId="20A1F316" w14:textId="77777777" w:rsidR="00D54581" w:rsidRDefault="00D54581" w:rsidP="00F04DC2">
      <w:pPr>
        <w:tabs>
          <w:tab w:val="left" w:pos="8280"/>
        </w:tabs>
      </w:pPr>
    </w:p>
    <w:p w14:paraId="7FF75945" w14:textId="77777777" w:rsidR="00D54581" w:rsidRPr="00FE3307" w:rsidRDefault="00D54581" w:rsidP="00F04DC2">
      <w:pPr>
        <w:rPr>
          <w:lang w:val="en-CA"/>
        </w:rPr>
      </w:pPr>
    </w:p>
    <w:p w14:paraId="4F28BACE" w14:textId="77777777" w:rsidR="00D54581" w:rsidRPr="00FE3307" w:rsidRDefault="00D54581" w:rsidP="00F04DC2">
      <w:pPr>
        <w:jc w:val="center"/>
        <w:rPr>
          <w:b/>
          <w:lang w:val="en-CA"/>
        </w:rPr>
      </w:pPr>
      <w:r w:rsidRPr="00FE3307">
        <w:rPr>
          <w:b/>
          <w:lang w:val="en-CA"/>
        </w:rPr>
        <w:t xml:space="preserve">PROJECT </w:t>
      </w:r>
      <w:r w:rsidR="00587D15">
        <w:rPr>
          <w:b/>
          <w:lang w:val="en-CA"/>
        </w:rPr>
        <w:t>PROPOSAL: EC</w:t>
      </w:r>
      <w:r w:rsidR="00DE03A1">
        <w:rPr>
          <w:b/>
          <w:lang w:val="en-CA"/>
        </w:rPr>
        <w:t>UADOR</w:t>
      </w:r>
    </w:p>
    <w:p w14:paraId="68934BB9" w14:textId="77777777" w:rsidR="00D54581" w:rsidRPr="00FE3307" w:rsidRDefault="00D54581" w:rsidP="00F04DC2">
      <w:pPr>
        <w:rPr>
          <w:lang w:val="en-CA"/>
        </w:rPr>
      </w:pPr>
    </w:p>
    <w:p w14:paraId="75CCDEB5" w14:textId="77777777" w:rsidR="00D54581" w:rsidRPr="00FE3307" w:rsidRDefault="00D54581" w:rsidP="00F04DC2">
      <w:pPr>
        <w:rPr>
          <w:lang w:val="en-CA"/>
        </w:rPr>
      </w:pPr>
    </w:p>
    <w:p w14:paraId="4F88B22D" w14:textId="77777777" w:rsidR="00D54581" w:rsidRPr="00FE3307" w:rsidRDefault="00D54581" w:rsidP="00F04DC2">
      <w:pPr>
        <w:ind w:firstLine="720"/>
        <w:rPr>
          <w:lang w:val="en-CA"/>
        </w:rPr>
      </w:pPr>
      <w:r w:rsidRPr="00FE3307">
        <w:rPr>
          <w:lang w:val="en-CA"/>
        </w:rPr>
        <w:t xml:space="preserve">This document consists of the comments and recommendation of the Secretariat on the following project proposal: </w:t>
      </w:r>
    </w:p>
    <w:p w14:paraId="4A283BE4" w14:textId="77777777" w:rsidR="00D54581" w:rsidRPr="00FE3307" w:rsidRDefault="00D54581" w:rsidP="00F04DC2">
      <w:pPr>
        <w:rPr>
          <w:lang w:val="en-CA"/>
        </w:rPr>
      </w:pPr>
    </w:p>
    <w:p w14:paraId="048E87FA" w14:textId="77777777" w:rsidR="00D54581" w:rsidRPr="00FE3307" w:rsidRDefault="00D54581" w:rsidP="00F04DC2">
      <w:pPr>
        <w:rPr>
          <w:u w:val="single"/>
          <w:lang w:val="en-CA"/>
        </w:rPr>
      </w:pPr>
      <w:r w:rsidRPr="00FE3307">
        <w:rPr>
          <w:u w:val="single"/>
          <w:lang w:val="en-CA"/>
        </w:rPr>
        <w:t>Phase-out</w:t>
      </w:r>
    </w:p>
    <w:p w14:paraId="6B0335BE" w14:textId="77777777" w:rsidR="00D54581" w:rsidRPr="00FE3307" w:rsidRDefault="00D54581" w:rsidP="00F04DC2">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D54581" w:rsidRPr="00FE3307" w14:paraId="004E8761" w14:textId="77777777" w:rsidTr="00F04DC2">
        <w:tc>
          <w:tcPr>
            <w:tcW w:w="6941" w:type="dxa"/>
          </w:tcPr>
          <w:p w14:paraId="7531B581" w14:textId="77777777" w:rsidR="00D54581" w:rsidRPr="00FE3307" w:rsidRDefault="00D54581" w:rsidP="00F04DC2">
            <w:pPr>
              <w:pStyle w:val="ListParagraph"/>
              <w:numPr>
                <w:ilvl w:val="0"/>
                <w:numId w:val="21"/>
              </w:numPr>
              <w:ind w:hanging="830"/>
              <w:rPr>
                <w:lang w:val="en-CA"/>
              </w:rPr>
            </w:pPr>
            <w:r w:rsidRPr="00FE3307">
              <w:rPr>
                <w:lang w:val="en-CA"/>
              </w:rPr>
              <w:t>HCFC pha</w:t>
            </w:r>
            <w:r w:rsidR="00D57110">
              <w:rPr>
                <w:lang w:val="en-CA"/>
              </w:rPr>
              <w:t>se-out management plan (stage I</w:t>
            </w:r>
            <w:r w:rsidRPr="00FE3307">
              <w:rPr>
                <w:lang w:val="en-CA"/>
              </w:rPr>
              <w:t xml:space="preserve">, </w:t>
            </w:r>
            <w:r w:rsidR="00D57110" w:rsidRPr="00D57110">
              <w:rPr>
                <w:lang w:val="en-CA"/>
              </w:rPr>
              <w:t>fifth</w:t>
            </w:r>
            <w:r w:rsidRPr="00D57110">
              <w:rPr>
                <w:lang w:val="en-CA"/>
              </w:rPr>
              <w:t xml:space="preserve"> tranche</w:t>
            </w:r>
            <w:r w:rsidRPr="00FE3307">
              <w:rPr>
                <w:lang w:val="en-CA"/>
              </w:rPr>
              <w:t>)</w:t>
            </w:r>
          </w:p>
        </w:tc>
        <w:tc>
          <w:tcPr>
            <w:tcW w:w="2409" w:type="dxa"/>
          </w:tcPr>
          <w:p w14:paraId="0F0CFCE5" w14:textId="77777777" w:rsidR="00D54581" w:rsidRPr="00FE3307" w:rsidRDefault="00F04DC2" w:rsidP="00F04DC2">
            <w:pPr>
              <w:jc w:val="right"/>
              <w:rPr>
                <w:lang w:val="en-CA"/>
              </w:rPr>
            </w:pPr>
            <w:r>
              <w:rPr>
                <w:lang w:val="en-CA"/>
              </w:rPr>
              <w:t>UNIDO</w:t>
            </w:r>
            <w:r w:rsidR="00D54581" w:rsidRPr="00FE3307">
              <w:rPr>
                <w:lang w:val="en-CA"/>
              </w:rPr>
              <w:t xml:space="preserve"> and </w:t>
            </w:r>
            <w:r>
              <w:rPr>
                <w:lang w:val="en-CA"/>
              </w:rPr>
              <w:t>UNEP</w:t>
            </w:r>
          </w:p>
        </w:tc>
      </w:tr>
    </w:tbl>
    <w:p w14:paraId="5FAC51D4" w14:textId="77777777" w:rsidR="00D54581" w:rsidRPr="00FE3307" w:rsidRDefault="00D54581" w:rsidP="00F04DC2">
      <w:pPr>
        <w:rPr>
          <w:lang w:val="en-CA"/>
        </w:rPr>
      </w:pPr>
    </w:p>
    <w:p w14:paraId="70CC17B1" w14:textId="5C859647" w:rsidR="00D54581" w:rsidRDefault="00D54581" w:rsidP="00F04DC2">
      <w:pPr>
        <w:rPr>
          <w:lang w:val="en-CA"/>
        </w:rPr>
      </w:pPr>
    </w:p>
    <w:p w14:paraId="0BE300BB" w14:textId="361D4B2B" w:rsidR="00D27F9D" w:rsidRDefault="00D27F9D" w:rsidP="00F04DC2">
      <w:pPr>
        <w:rPr>
          <w:lang w:val="en-CA"/>
        </w:rPr>
      </w:pPr>
    </w:p>
    <w:p w14:paraId="1CD98106" w14:textId="30CACF32" w:rsidR="00D27F9D" w:rsidRDefault="00D27F9D" w:rsidP="00F04DC2">
      <w:pPr>
        <w:rPr>
          <w:lang w:val="en-CA"/>
        </w:rPr>
      </w:pPr>
    </w:p>
    <w:p w14:paraId="6F7B7CB0" w14:textId="61B93061" w:rsidR="00D27F9D" w:rsidRDefault="00D27F9D" w:rsidP="00F04DC2">
      <w:pPr>
        <w:rPr>
          <w:lang w:val="en-CA"/>
        </w:rPr>
      </w:pPr>
    </w:p>
    <w:p w14:paraId="1881F10D" w14:textId="58BF0A08" w:rsidR="00D27F9D" w:rsidRDefault="00D27F9D" w:rsidP="00F04DC2">
      <w:pPr>
        <w:rPr>
          <w:lang w:val="en-CA"/>
        </w:rPr>
      </w:pPr>
    </w:p>
    <w:p w14:paraId="33F0C06E" w14:textId="404CBDEC" w:rsidR="00D27F9D" w:rsidRDefault="00D27F9D" w:rsidP="00F04DC2">
      <w:pPr>
        <w:rPr>
          <w:lang w:val="en-CA"/>
        </w:rPr>
      </w:pPr>
    </w:p>
    <w:p w14:paraId="5B1EE884" w14:textId="22096ECE" w:rsidR="00D27F9D" w:rsidRDefault="00D27F9D" w:rsidP="00F04DC2">
      <w:pPr>
        <w:rPr>
          <w:lang w:val="en-CA"/>
        </w:rPr>
      </w:pPr>
    </w:p>
    <w:p w14:paraId="5EEC91C0" w14:textId="5D27EF9D" w:rsidR="00D27F9D" w:rsidRDefault="00D27F9D" w:rsidP="00F04DC2">
      <w:pPr>
        <w:rPr>
          <w:lang w:val="en-CA"/>
        </w:rPr>
      </w:pPr>
    </w:p>
    <w:p w14:paraId="60204C26" w14:textId="6A1DE14F" w:rsidR="00D27F9D" w:rsidRDefault="00D27F9D" w:rsidP="00F04DC2">
      <w:pPr>
        <w:rPr>
          <w:lang w:val="en-CA"/>
        </w:rPr>
      </w:pPr>
    </w:p>
    <w:p w14:paraId="175981C6" w14:textId="6EC712A2" w:rsidR="00D27F9D" w:rsidRDefault="00D27F9D" w:rsidP="00F04DC2">
      <w:pPr>
        <w:rPr>
          <w:lang w:val="en-CA"/>
        </w:rPr>
      </w:pPr>
    </w:p>
    <w:p w14:paraId="6622BF25" w14:textId="0AEC00B0" w:rsidR="00D27F9D" w:rsidRDefault="00D27F9D" w:rsidP="00F04DC2">
      <w:pPr>
        <w:rPr>
          <w:lang w:val="en-CA"/>
        </w:rPr>
      </w:pPr>
    </w:p>
    <w:p w14:paraId="1AE320FA" w14:textId="7E0D5436" w:rsidR="00D27F9D" w:rsidRDefault="00D27F9D" w:rsidP="00F04DC2">
      <w:pPr>
        <w:rPr>
          <w:lang w:val="en-CA"/>
        </w:rPr>
      </w:pPr>
    </w:p>
    <w:p w14:paraId="60648809" w14:textId="0416174F" w:rsidR="00D27F9D" w:rsidRDefault="00D27F9D" w:rsidP="00F04DC2">
      <w:pPr>
        <w:rPr>
          <w:lang w:val="en-CA"/>
        </w:rPr>
      </w:pPr>
    </w:p>
    <w:p w14:paraId="5E88F103" w14:textId="7C32D4E4" w:rsidR="00D27F9D" w:rsidRDefault="00D27F9D" w:rsidP="00F04DC2">
      <w:pPr>
        <w:rPr>
          <w:lang w:val="en-CA"/>
        </w:rPr>
      </w:pPr>
    </w:p>
    <w:p w14:paraId="451E248F" w14:textId="602EEFE6" w:rsidR="00D27F9D" w:rsidRDefault="00D27F9D" w:rsidP="00F04DC2">
      <w:pPr>
        <w:rPr>
          <w:lang w:val="en-CA"/>
        </w:rPr>
      </w:pPr>
    </w:p>
    <w:p w14:paraId="03B6419F" w14:textId="77777777" w:rsidR="00D27F9D" w:rsidRPr="00FE3307" w:rsidRDefault="00D27F9D" w:rsidP="00F04DC2">
      <w:pPr>
        <w:rPr>
          <w:lang w:val="en-CA"/>
        </w:rPr>
      </w:pPr>
    </w:p>
    <w:p w14:paraId="60B5DC2E" w14:textId="7B09683B" w:rsidR="00D54581" w:rsidRPr="00D27F9D" w:rsidRDefault="00D27F9D" w:rsidP="00D27F9D">
      <w:pPr>
        <w:pStyle w:val="StyleHeader4Para4Left0Firstline0"/>
        <w:numPr>
          <w:ilvl w:val="0"/>
          <w:numId w:val="0"/>
        </w:numPr>
      </w:pPr>
      <w:r w:rsidRPr="005063AD">
        <w:t>* Due to coronavirus disease (COVID-19)</w:t>
      </w:r>
    </w:p>
    <w:p w14:paraId="3BCCCCB8" w14:textId="77777777" w:rsidR="00D54581" w:rsidRPr="00FE3307" w:rsidRDefault="00D54581" w:rsidP="00F04DC2">
      <w:pPr>
        <w:rPr>
          <w:lang w:val="en-CA"/>
        </w:rPr>
      </w:pPr>
      <w:r w:rsidRPr="00FE3307">
        <w:rPr>
          <w:lang w:val="en-CA"/>
        </w:rPr>
        <w:br w:type="page"/>
      </w:r>
    </w:p>
    <w:p w14:paraId="3AD679EC" w14:textId="77777777" w:rsidR="00D54581" w:rsidRPr="00F04DC2" w:rsidRDefault="00D54581" w:rsidP="00F04DC2">
      <w:pPr>
        <w:jc w:val="center"/>
        <w:rPr>
          <w:b/>
          <w:lang w:val="en-CA"/>
        </w:rPr>
      </w:pPr>
      <w:r w:rsidRPr="00FE3307">
        <w:rPr>
          <w:b/>
          <w:lang w:val="en-CA"/>
        </w:rPr>
        <w:lastRenderedPageBreak/>
        <w:t>PROJECT EVALUATION SHEET – MULTI-YEAR PROJECTS</w:t>
      </w:r>
    </w:p>
    <w:p w14:paraId="51102CB9" w14:textId="77777777" w:rsidR="00F04DC2" w:rsidRPr="00F04DC2" w:rsidRDefault="00F04DC2" w:rsidP="00F04DC2">
      <w:pPr>
        <w:spacing w:after="80"/>
        <w:jc w:val="center"/>
        <w:rPr>
          <w:lang w:val="en-CA"/>
        </w:rPr>
      </w:pPr>
      <w:r w:rsidRPr="00F04DC2">
        <w:rPr>
          <w:b/>
          <w:lang w:val="en-CA"/>
        </w:rPr>
        <w:t xml:space="preserve">Ecuador                                           </w:t>
      </w: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499"/>
        <w:gridCol w:w="2499"/>
        <w:gridCol w:w="2501"/>
        <w:gridCol w:w="2501"/>
      </w:tblGrid>
      <w:tr w:rsidR="00F04DC2" w:rsidRPr="00F04DC2" w14:paraId="680E1CCC" w14:textId="77777777" w:rsidTr="00F04DC2">
        <w:trPr>
          <w:trHeight w:val="240"/>
        </w:trPr>
        <w:tc>
          <w:tcPr>
            <w:tcW w:w="2337" w:type="dxa"/>
            <w:shd w:val="clear" w:color="auto" w:fill="auto"/>
          </w:tcPr>
          <w:p w14:paraId="749094D0" w14:textId="77777777" w:rsidR="00F04DC2" w:rsidRPr="00F04DC2" w:rsidRDefault="00F04DC2" w:rsidP="00F04DC2">
            <w:pPr>
              <w:spacing w:after="80"/>
              <w:jc w:val="left"/>
              <w:rPr>
                <w:b/>
                <w:sz w:val="18"/>
                <w:lang w:val="en-CA"/>
              </w:rPr>
            </w:pPr>
            <w:r w:rsidRPr="00F04DC2">
              <w:rPr>
                <w:b/>
                <w:sz w:val="18"/>
                <w:lang w:val="en-CA"/>
              </w:rPr>
              <w:t>(I) PROJECT TITLE</w:t>
            </w:r>
          </w:p>
        </w:tc>
        <w:tc>
          <w:tcPr>
            <w:tcW w:w="2337" w:type="dxa"/>
            <w:shd w:val="clear" w:color="auto" w:fill="auto"/>
          </w:tcPr>
          <w:p w14:paraId="69A9E712" w14:textId="77777777" w:rsidR="00F04DC2" w:rsidRPr="00F04DC2" w:rsidRDefault="00F04DC2" w:rsidP="00F04DC2">
            <w:pPr>
              <w:spacing w:after="80"/>
              <w:jc w:val="center"/>
              <w:rPr>
                <w:b/>
                <w:sz w:val="18"/>
                <w:lang w:val="en-CA"/>
              </w:rPr>
            </w:pPr>
            <w:r w:rsidRPr="00F04DC2">
              <w:rPr>
                <w:b/>
                <w:sz w:val="18"/>
                <w:lang w:val="en-CA"/>
              </w:rPr>
              <w:t>AGENCY</w:t>
            </w:r>
          </w:p>
        </w:tc>
        <w:tc>
          <w:tcPr>
            <w:tcW w:w="2338" w:type="dxa"/>
            <w:shd w:val="clear" w:color="auto" w:fill="auto"/>
          </w:tcPr>
          <w:p w14:paraId="361292F4" w14:textId="77777777" w:rsidR="00F04DC2" w:rsidRPr="00F04DC2" w:rsidRDefault="00F04DC2" w:rsidP="00F04DC2">
            <w:pPr>
              <w:spacing w:after="80"/>
              <w:jc w:val="center"/>
              <w:rPr>
                <w:b/>
                <w:sz w:val="18"/>
                <w:lang w:val="en-CA"/>
              </w:rPr>
            </w:pPr>
            <w:r w:rsidRPr="00F04DC2">
              <w:rPr>
                <w:b/>
                <w:sz w:val="18"/>
                <w:lang w:val="en-CA"/>
              </w:rPr>
              <w:t>MEETING APPROVED</w:t>
            </w:r>
          </w:p>
        </w:tc>
        <w:tc>
          <w:tcPr>
            <w:tcW w:w="2338" w:type="dxa"/>
            <w:shd w:val="clear" w:color="auto" w:fill="auto"/>
          </w:tcPr>
          <w:p w14:paraId="019C6653" w14:textId="77777777" w:rsidR="00F04DC2" w:rsidRPr="00F04DC2" w:rsidRDefault="00F04DC2" w:rsidP="00F04DC2">
            <w:pPr>
              <w:spacing w:after="80"/>
              <w:jc w:val="center"/>
              <w:rPr>
                <w:b/>
                <w:sz w:val="18"/>
                <w:lang w:val="en-CA"/>
              </w:rPr>
            </w:pPr>
            <w:r w:rsidRPr="00F04DC2">
              <w:rPr>
                <w:b/>
                <w:sz w:val="18"/>
                <w:lang w:val="en-CA"/>
              </w:rPr>
              <w:t>CONTROL MEASURE</w:t>
            </w:r>
          </w:p>
        </w:tc>
      </w:tr>
      <w:tr w:rsidR="00F04DC2" w:rsidRPr="00F04DC2" w14:paraId="16ACF60C" w14:textId="77777777" w:rsidTr="00F04DC2">
        <w:trPr>
          <w:trHeight w:val="240"/>
        </w:trPr>
        <w:tc>
          <w:tcPr>
            <w:tcW w:w="2337" w:type="dxa"/>
            <w:shd w:val="clear" w:color="auto" w:fill="auto"/>
          </w:tcPr>
          <w:p w14:paraId="0073A31E" w14:textId="77777777" w:rsidR="00F04DC2" w:rsidRPr="00F04DC2" w:rsidRDefault="00F04DC2" w:rsidP="00F04DC2">
            <w:pPr>
              <w:spacing w:after="80"/>
              <w:jc w:val="center"/>
              <w:rPr>
                <w:sz w:val="18"/>
                <w:lang w:val="en-CA"/>
              </w:rPr>
            </w:pPr>
            <w:r>
              <w:rPr>
                <w:sz w:val="18"/>
                <w:lang w:val="en-CA"/>
              </w:rPr>
              <w:t>HCFC phase out plan (Stage I)</w:t>
            </w:r>
          </w:p>
        </w:tc>
        <w:tc>
          <w:tcPr>
            <w:tcW w:w="2337" w:type="dxa"/>
            <w:shd w:val="clear" w:color="auto" w:fill="auto"/>
          </w:tcPr>
          <w:p w14:paraId="6F456F24" w14:textId="77777777" w:rsidR="00F04DC2" w:rsidRPr="00F04DC2" w:rsidRDefault="00F04DC2" w:rsidP="00F04DC2">
            <w:pPr>
              <w:spacing w:after="80"/>
              <w:jc w:val="center"/>
              <w:rPr>
                <w:sz w:val="18"/>
                <w:lang w:val="en-CA"/>
              </w:rPr>
            </w:pPr>
            <w:r>
              <w:rPr>
                <w:sz w:val="18"/>
                <w:lang w:val="en-CA"/>
              </w:rPr>
              <w:t>UNEP, UNIDO (lead)</w:t>
            </w:r>
          </w:p>
        </w:tc>
        <w:tc>
          <w:tcPr>
            <w:tcW w:w="2338" w:type="dxa"/>
            <w:shd w:val="clear" w:color="auto" w:fill="auto"/>
          </w:tcPr>
          <w:p w14:paraId="55C5AF97" w14:textId="77777777" w:rsidR="00F04DC2" w:rsidRPr="00F04DC2" w:rsidRDefault="00F04DC2" w:rsidP="00F04DC2">
            <w:pPr>
              <w:spacing w:after="80"/>
              <w:jc w:val="center"/>
              <w:rPr>
                <w:sz w:val="18"/>
                <w:lang w:val="en-CA"/>
              </w:rPr>
            </w:pPr>
            <w:r>
              <w:rPr>
                <w:sz w:val="18"/>
                <w:lang w:val="en-CA"/>
              </w:rPr>
              <w:t>65</w:t>
            </w:r>
            <w:r w:rsidRPr="00F04DC2">
              <w:rPr>
                <w:sz w:val="18"/>
                <w:vertAlign w:val="superscript"/>
                <w:lang w:val="en-CA"/>
              </w:rPr>
              <w:t>th</w:t>
            </w:r>
          </w:p>
        </w:tc>
        <w:tc>
          <w:tcPr>
            <w:tcW w:w="2338" w:type="dxa"/>
            <w:shd w:val="clear" w:color="auto" w:fill="auto"/>
          </w:tcPr>
          <w:p w14:paraId="1BEE0E72" w14:textId="77777777" w:rsidR="00F04DC2" w:rsidRPr="00F04DC2" w:rsidRDefault="00F04DC2" w:rsidP="00F04DC2">
            <w:pPr>
              <w:spacing w:after="80"/>
              <w:jc w:val="center"/>
              <w:rPr>
                <w:sz w:val="18"/>
                <w:lang w:val="en-CA"/>
              </w:rPr>
            </w:pPr>
            <w:r>
              <w:rPr>
                <w:sz w:val="18"/>
                <w:lang w:val="en-CA"/>
              </w:rPr>
              <w:t>35% by 2020</w:t>
            </w:r>
          </w:p>
        </w:tc>
      </w:tr>
    </w:tbl>
    <w:p w14:paraId="0467DA8B" w14:textId="77777777" w:rsidR="00F04DC2" w:rsidRDefault="00F04DC2" w:rsidP="00F04DC2">
      <w:pPr>
        <w:spacing w:after="60"/>
        <w:jc w:val="center"/>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200"/>
        <w:gridCol w:w="2400"/>
        <w:gridCol w:w="2400"/>
      </w:tblGrid>
      <w:tr w:rsidR="00F04DC2" w:rsidRPr="00F04DC2" w14:paraId="157C802D" w14:textId="77777777" w:rsidTr="00F04DC2">
        <w:trPr>
          <w:trHeight w:val="240"/>
        </w:trPr>
        <w:tc>
          <w:tcPr>
            <w:tcW w:w="5200" w:type="dxa"/>
            <w:shd w:val="clear" w:color="auto" w:fill="auto"/>
          </w:tcPr>
          <w:p w14:paraId="1F37B21B" w14:textId="77777777" w:rsidR="00F04DC2" w:rsidRPr="00F04DC2" w:rsidRDefault="00F04DC2" w:rsidP="00F04DC2">
            <w:pPr>
              <w:spacing w:after="60"/>
              <w:jc w:val="left"/>
              <w:rPr>
                <w:b/>
                <w:sz w:val="18"/>
                <w:lang w:val="en-CA"/>
              </w:rPr>
            </w:pPr>
            <w:r w:rsidRPr="00F04DC2">
              <w:rPr>
                <w:b/>
                <w:sz w:val="18"/>
                <w:lang w:val="en-CA"/>
              </w:rPr>
              <w:t>(II) LATEST ARTICLE 7 DATA (Annex C Group l)</w:t>
            </w:r>
          </w:p>
        </w:tc>
        <w:tc>
          <w:tcPr>
            <w:tcW w:w="2400" w:type="dxa"/>
            <w:shd w:val="clear" w:color="auto" w:fill="auto"/>
          </w:tcPr>
          <w:p w14:paraId="36B884B5" w14:textId="3C737850" w:rsidR="00F04DC2" w:rsidRPr="00F04DC2" w:rsidRDefault="00F04DC2" w:rsidP="007F4A86">
            <w:pPr>
              <w:spacing w:after="60"/>
              <w:jc w:val="center"/>
              <w:rPr>
                <w:sz w:val="18"/>
                <w:lang w:val="en-CA"/>
              </w:rPr>
            </w:pPr>
            <w:r>
              <w:rPr>
                <w:sz w:val="18"/>
                <w:lang w:val="en-CA"/>
              </w:rPr>
              <w:t>Year: 201</w:t>
            </w:r>
            <w:r w:rsidR="007F4A86">
              <w:rPr>
                <w:sz w:val="18"/>
                <w:lang w:val="en-CA"/>
              </w:rPr>
              <w:t>9</w:t>
            </w:r>
          </w:p>
        </w:tc>
        <w:tc>
          <w:tcPr>
            <w:tcW w:w="2400" w:type="dxa"/>
            <w:shd w:val="clear" w:color="auto" w:fill="auto"/>
          </w:tcPr>
          <w:p w14:paraId="5FC7F7DB" w14:textId="1B0FDF6D" w:rsidR="00F04DC2" w:rsidRPr="00F04DC2" w:rsidRDefault="00F04DC2" w:rsidP="00AD21F1">
            <w:pPr>
              <w:spacing w:after="60"/>
              <w:jc w:val="right"/>
              <w:rPr>
                <w:sz w:val="18"/>
                <w:lang w:val="en-CA"/>
              </w:rPr>
            </w:pPr>
            <w:r>
              <w:rPr>
                <w:sz w:val="18"/>
                <w:lang w:val="en-CA"/>
              </w:rPr>
              <w:t>1</w:t>
            </w:r>
            <w:r w:rsidR="007F4A86">
              <w:rPr>
                <w:sz w:val="18"/>
                <w:lang w:val="en-CA"/>
              </w:rPr>
              <w:t>4.03</w:t>
            </w:r>
            <w:r>
              <w:rPr>
                <w:sz w:val="18"/>
                <w:lang w:val="en-CA"/>
              </w:rPr>
              <w:t xml:space="preserve"> (ODP tonnes)</w:t>
            </w:r>
          </w:p>
        </w:tc>
      </w:tr>
    </w:tbl>
    <w:p w14:paraId="644DFC3D" w14:textId="77777777" w:rsidR="00F04DC2" w:rsidRDefault="00F04DC2" w:rsidP="00F04DC2">
      <w:pPr>
        <w:spacing w:after="60"/>
        <w:jc w:val="center"/>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018"/>
        <w:gridCol w:w="866"/>
        <w:gridCol w:w="866"/>
        <w:gridCol w:w="866"/>
        <w:gridCol w:w="1286"/>
        <w:gridCol w:w="909"/>
        <w:gridCol w:w="767"/>
        <w:gridCol w:w="766"/>
        <w:gridCol w:w="504"/>
        <w:gridCol w:w="1152"/>
      </w:tblGrid>
      <w:tr w:rsidR="00F04DC2" w:rsidRPr="00F04DC2" w14:paraId="2FF858E8" w14:textId="77777777" w:rsidTr="00C61A2A">
        <w:trPr>
          <w:trHeight w:val="240"/>
        </w:trPr>
        <w:tc>
          <w:tcPr>
            <w:tcW w:w="8344" w:type="dxa"/>
            <w:gridSpan w:val="8"/>
            <w:shd w:val="clear" w:color="auto" w:fill="auto"/>
          </w:tcPr>
          <w:p w14:paraId="1ED28B5A" w14:textId="77777777" w:rsidR="00F04DC2" w:rsidRPr="00F04DC2" w:rsidRDefault="00F04DC2" w:rsidP="00F04DC2">
            <w:pPr>
              <w:spacing w:after="60"/>
              <w:jc w:val="left"/>
              <w:rPr>
                <w:b/>
                <w:sz w:val="18"/>
                <w:lang w:val="en-CA"/>
              </w:rPr>
            </w:pPr>
            <w:r w:rsidRPr="00F04DC2">
              <w:rPr>
                <w:b/>
                <w:sz w:val="18"/>
                <w:lang w:val="en-CA"/>
              </w:rPr>
              <w:t>(III) LATEST COUNTRY PROGRAMME SECTORAL DATA (ODP tonnes)</w:t>
            </w:r>
          </w:p>
        </w:tc>
        <w:tc>
          <w:tcPr>
            <w:tcW w:w="1656" w:type="dxa"/>
            <w:gridSpan w:val="2"/>
            <w:shd w:val="clear" w:color="auto" w:fill="auto"/>
          </w:tcPr>
          <w:p w14:paraId="0E38B159" w14:textId="77777777" w:rsidR="00F04DC2" w:rsidRPr="00F04DC2" w:rsidRDefault="00F04DC2" w:rsidP="00F04DC2">
            <w:pPr>
              <w:spacing w:after="60"/>
              <w:jc w:val="right"/>
              <w:rPr>
                <w:b/>
                <w:sz w:val="18"/>
                <w:lang w:val="en-CA"/>
              </w:rPr>
            </w:pPr>
            <w:r w:rsidRPr="00F04DC2">
              <w:rPr>
                <w:b/>
                <w:sz w:val="18"/>
                <w:lang w:val="en-CA"/>
              </w:rPr>
              <w:t>Year: 201</w:t>
            </w:r>
            <w:r>
              <w:rPr>
                <w:b/>
                <w:sz w:val="18"/>
                <w:lang w:val="en-CA"/>
              </w:rPr>
              <w:t>9</w:t>
            </w:r>
          </w:p>
        </w:tc>
      </w:tr>
      <w:tr w:rsidR="00C61A2A" w:rsidRPr="00F04DC2" w14:paraId="116B1EEA" w14:textId="77777777" w:rsidTr="00C61A2A">
        <w:trPr>
          <w:trHeight w:val="240"/>
        </w:trPr>
        <w:tc>
          <w:tcPr>
            <w:tcW w:w="2018" w:type="dxa"/>
            <w:shd w:val="clear" w:color="auto" w:fill="auto"/>
          </w:tcPr>
          <w:p w14:paraId="6577913F" w14:textId="77777777" w:rsidR="00F04DC2" w:rsidRPr="00F04DC2" w:rsidRDefault="00F04DC2" w:rsidP="00F04DC2">
            <w:pPr>
              <w:spacing w:after="60"/>
              <w:jc w:val="center"/>
              <w:rPr>
                <w:sz w:val="18"/>
                <w:lang w:val="en-CA"/>
              </w:rPr>
            </w:pPr>
            <w:r>
              <w:rPr>
                <w:sz w:val="18"/>
                <w:lang w:val="en-CA"/>
              </w:rPr>
              <w:t>Chemical</w:t>
            </w:r>
          </w:p>
        </w:tc>
        <w:tc>
          <w:tcPr>
            <w:tcW w:w="866" w:type="dxa"/>
            <w:shd w:val="clear" w:color="auto" w:fill="auto"/>
          </w:tcPr>
          <w:p w14:paraId="370C1D57" w14:textId="77777777" w:rsidR="00F04DC2" w:rsidRPr="00F04DC2" w:rsidRDefault="00F04DC2" w:rsidP="00F04DC2">
            <w:pPr>
              <w:spacing w:after="60"/>
              <w:jc w:val="center"/>
              <w:rPr>
                <w:sz w:val="18"/>
                <w:lang w:val="en-CA"/>
              </w:rPr>
            </w:pPr>
            <w:r>
              <w:rPr>
                <w:sz w:val="18"/>
                <w:lang w:val="en-CA"/>
              </w:rPr>
              <w:t>Aerosol</w:t>
            </w:r>
          </w:p>
        </w:tc>
        <w:tc>
          <w:tcPr>
            <w:tcW w:w="866" w:type="dxa"/>
            <w:shd w:val="clear" w:color="auto" w:fill="auto"/>
          </w:tcPr>
          <w:p w14:paraId="66CE6B52" w14:textId="77777777" w:rsidR="00F04DC2" w:rsidRPr="00F04DC2" w:rsidRDefault="00F04DC2" w:rsidP="00F04DC2">
            <w:pPr>
              <w:spacing w:after="60"/>
              <w:jc w:val="center"/>
              <w:rPr>
                <w:sz w:val="18"/>
                <w:lang w:val="en-CA"/>
              </w:rPr>
            </w:pPr>
            <w:r>
              <w:rPr>
                <w:sz w:val="18"/>
                <w:lang w:val="en-CA"/>
              </w:rPr>
              <w:t>Foam</w:t>
            </w:r>
          </w:p>
        </w:tc>
        <w:tc>
          <w:tcPr>
            <w:tcW w:w="866" w:type="dxa"/>
            <w:shd w:val="clear" w:color="auto" w:fill="auto"/>
          </w:tcPr>
          <w:p w14:paraId="17F80507" w14:textId="77777777" w:rsidR="00F04DC2" w:rsidRPr="00F04DC2" w:rsidRDefault="00F04DC2" w:rsidP="00F04DC2">
            <w:pPr>
              <w:spacing w:after="60"/>
              <w:jc w:val="center"/>
              <w:rPr>
                <w:sz w:val="18"/>
                <w:lang w:val="en-CA"/>
              </w:rPr>
            </w:pPr>
            <w:r>
              <w:rPr>
                <w:sz w:val="18"/>
                <w:lang w:val="en-CA"/>
              </w:rPr>
              <w:t>Fire fighting</w:t>
            </w:r>
          </w:p>
        </w:tc>
        <w:tc>
          <w:tcPr>
            <w:tcW w:w="2195" w:type="dxa"/>
            <w:gridSpan w:val="2"/>
            <w:shd w:val="clear" w:color="auto" w:fill="auto"/>
          </w:tcPr>
          <w:p w14:paraId="20E5A806" w14:textId="77777777" w:rsidR="00F04DC2" w:rsidRPr="00F04DC2" w:rsidRDefault="00F04DC2" w:rsidP="00F04DC2">
            <w:pPr>
              <w:spacing w:after="60"/>
              <w:jc w:val="center"/>
              <w:rPr>
                <w:sz w:val="18"/>
                <w:lang w:val="en-CA"/>
              </w:rPr>
            </w:pPr>
            <w:r>
              <w:rPr>
                <w:sz w:val="18"/>
                <w:lang w:val="en-CA"/>
              </w:rPr>
              <w:t>Refrigeration</w:t>
            </w:r>
          </w:p>
        </w:tc>
        <w:tc>
          <w:tcPr>
            <w:tcW w:w="767" w:type="dxa"/>
            <w:shd w:val="clear" w:color="auto" w:fill="auto"/>
          </w:tcPr>
          <w:p w14:paraId="256BB6CA" w14:textId="77777777" w:rsidR="00F04DC2" w:rsidRPr="00F04DC2" w:rsidRDefault="00F04DC2" w:rsidP="00F04DC2">
            <w:pPr>
              <w:spacing w:after="60"/>
              <w:jc w:val="center"/>
              <w:rPr>
                <w:sz w:val="18"/>
                <w:lang w:val="en-CA"/>
              </w:rPr>
            </w:pPr>
            <w:r>
              <w:rPr>
                <w:sz w:val="18"/>
                <w:lang w:val="en-CA"/>
              </w:rPr>
              <w:t>Solvent</w:t>
            </w:r>
          </w:p>
        </w:tc>
        <w:tc>
          <w:tcPr>
            <w:tcW w:w="766" w:type="dxa"/>
            <w:shd w:val="clear" w:color="auto" w:fill="auto"/>
          </w:tcPr>
          <w:p w14:paraId="3050173C" w14:textId="77777777" w:rsidR="00F04DC2" w:rsidRPr="00F04DC2" w:rsidRDefault="00F04DC2" w:rsidP="00F04DC2">
            <w:pPr>
              <w:spacing w:after="60"/>
              <w:jc w:val="center"/>
              <w:rPr>
                <w:sz w:val="18"/>
                <w:lang w:val="en-CA"/>
              </w:rPr>
            </w:pPr>
            <w:r>
              <w:rPr>
                <w:sz w:val="18"/>
                <w:lang w:val="en-CA"/>
              </w:rPr>
              <w:t>Process agent</w:t>
            </w:r>
          </w:p>
        </w:tc>
        <w:tc>
          <w:tcPr>
            <w:tcW w:w="504" w:type="dxa"/>
            <w:shd w:val="clear" w:color="auto" w:fill="auto"/>
          </w:tcPr>
          <w:p w14:paraId="0B9826F3" w14:textId="77777777" w:rsidR="00F04DC2" w:rsidRPr="00F04DC2" w:rsidRDefault="00F04DC2" w:rsidP="00F04DC2">
            <w:pPr>
              <w:spacing w:after="60"/>
              <w:jc w:val="center"/>
              <w:rPr>
                <w:sz w:val="18"/>
                <w:lang w:val="en-CA"/>
              </w:rPr>
            </w:pPr>
            <w:r>
              <w:rPr>
                <w:sz w:val="18"/>
                <w:lang w:val="en-CA"/>
              </w:rPr>
              <w:t>Lab use</w:t>
            </w:r>
          </w:p>
        </w:tc>
        <w:tc>
          <w:tcPr>
            <w:tcW w:w="1152" w:type="dxa"/>
            <w:shd w:val="clear" w:color="auto" w:fill="auto"/>
          </w:tcPr>
          <w:p w14:paraId="671AFD0F" w14:textId="77777777" w:rsidR="00F04DC2" w:rsidRPr="00F04DC2" w:rsidRDefault="00F04DC2" w:rsidP="00F04DC2">
            <w:pPr>
              <w:spacing w:after="60"/>
              <w:jc w:val="center"/>
              <w:rPr>
                <w:sz w:val="18"/>
                <w:lang w:val="en-CA"/>
              </w:rPr>
            </w:pPr>
            <w:r>
              <w:rPr>
                <w:sz w:val="18"/>
                <w:lang w:val="en-CA"/>
              </w:rPr>
              <w:t>Total sector consumption</w:t>
            </w:r>
          </w:p>
        </w:tc>
      </w:tr>
      <w:tr w:rsidR="00C61A2A" w:rsidRPr="00F04DC2" w14:paraId="73FF41C5" w14:textId="77777777" w:rsidTr="00C61A2A">
        <w:trPr>
          <w:trHeight w:val="240"/>
        </w:trPr>
        <w:tc>
          <w:tcPr>
            <w:tcW w:w="4616" w:type="dxa"/>
            <w:gridSpan w:val="4"/>
            <w:shd w:val="clear" w:color="auto" w:fill="auto"/>
          </w:tcPr>
          <w:p w14:paraId="558DB127" w14:textId="77777777" w:rsidR="00F04DC2" w:rsidRPr="00F04DC2" w:rsidRDefault="00F04DC2" w:rsidP="00F04DC2">
            <w:pPr>
              <w:spacing w:after="60"/>
              <w:jc w:val="center"/>
              <w:rPr>
                <w:sz w:val="18"/>
                <w:lang w:val="en-CA"/>
              </w:rPr>
            </w:pPr>
            <w:r>
              <w:rPr>
                <w:sz w:val="18"/>
                <w:lang w:val="en-CA"/>
              </w:rPr>
              <w:t xml:space="preserve"> </w:t>
            </w:r>
          </w:p>
        </w:tc>
        <w:tc>
          <w:tcPr>
            <w:tcW w:w="1286" w:type="dxa"/>
            <w:shd w:val="clear" w:color="auto" w:fill="auto"/>
          </w:tcPr>
          <w:p w14:paraId="37D1FD36" w14:textId="77777777" w:rsidR="00F04DC2" w:rsidRPr="00F04DC2" w:rsidRDefault="00F04DC2" w:rsidP="00F04DC2">
            <w:pPr>
              <w:spacing w:after="60"/>
              <w:jc w:val="center"/>
              <w:rPr>
                <w:sz w:val="18"/>
                <w:lang w:val="en-CA"/>
              </w:rPr>
            </w:pPr>
            <w:r>
              <w:rPr>
                <w:sz w:val="18"/>
                <w:lang w:val="en-CA"/>
              </w:rPr>
              <w:t>Manufacturing</w:t>
            </w:r>
          </w:p>
        </w:tc>
        <w:tc>
          <w:tcPr>
            <w:tcW w:w="909" w:type="dxa"/>
            <w:shd w:val="clear" w:color="auto" w:fill="auto"/>
          </w:tcPr>
          <w:p w14:paraId="0DEBC481" w14:textId="77777777" w:rsidR="00F04DC2" w:rsidRPr="00F04DC2" w:rsidRDefault="00F04DC2" w:rsidP="00F04DC2">
            <w:pPr>
              <w:spacing w:after="60"/>
              <w:jc w:val="center"/>
              <w:rPr>
                <w:sz w:val="18"/>
                <w:lang w:val="en-CA"/>
              </w:rPr>
            </w:pPr>
            <w:r>
              <w:rPr>
                <w:sz w:val="18"/>
                <w:lang w:val="en-CA"/>
              </w:rPr>
              <w:t>Servicing</w:t>
            </w:r>
          </w:p>
        </w:tc>
        <w:tc>
          <w:tcPr>
            <w:tcW w:w="3189" w:type="dxa"/>
            <w:gridSpan w:val="4"/>
            <w:shd w:val="clear" w:color="auto" w:fill="auto"/>
          </w:tcPr>
          <w:p w14:paraId="28DE5212" w14:textId="77777777" w:rsidR="00F04DC2" w:rsidRPr="00F04DC2" w:rsidRDefault="00F04DC2" w:rsidP="00F04DC2">
            <w:pPr>
              <w:spacing w:after="60"/>
              <w:jc w:val="center"/>
              <w:rPr>
                <w:sz w:val="18"/>
                <w:lang w:val="en-CA"/>
              </w:rPr>
            </w:pPr>
          </w:p>
        </w:tc>
      </w:tr>
      <w:tr w:rsidR="00C61A2A" w:rsidRPr="00F04DC2" w14:paraId="5F48C500" w14:textId="77777777" w:rsidTr="00C61A2A">
        <w:trPr>
          <w:trHeight w:val="240"/>
        </w:trPr>
        <w:tc>
          <w:tcPr>
            <w:tcW w:w="2018" w:type="dxa"/>
            <w:shd w:val="clear" w:color="auto" w:fill="auto"/>
          </w:tcPr>
          <w:p w14:paraId="228B1C7A" w14:textId="77777777" w:rsidR="00B800E0" w:rsidRPr="00F04DC2" w:rsidRDefault="00B800E0" w:rsidP="00B800E0">
            <w:pPr>
              <w:spacing w:after="60"/>
              <w:jc w:val="left"/>
              <w:rPr>
                <w:sz w:val="18"/>
                <w:lang w:val="en-CA"/>
              </w:rPr>
            </w:pPr>
            <w:r>
              <w:rPr>
                <w:sz w:val="18"/>
                <w:lang w:val="en-CA"/>
              </w:rPr>
              <w:t>HCFC-22</w:t>
            </w:r>
          </w:p>
        </w:tc>
        <w:tc>
          <w:tcPr>
            <w:tcW w:w="866" w:type="dxa"/>
            <w:shd w:val="clear" w:color="auto" w:fill="auto"/>
          </w:tcPr>
          <w:p w14:paraId="4DD03C2D" w14:textId="77777777" w:rsidR="00B800E0" w:rsidRPr="00F04DC2" w:rsidRDefault="00B800E0" w:rsidP="00B800E0">
            <w:pPr>
              <w:spacing w:after="60"/>
              <w:jc w:val="right"/>
              <w:rPr>
                <w:sz w:val="18"/>
                <w:lang w:val="en-CA"/>
              </w:rPr>
            </w:pPr>
          </w:p>
        </w:tc>
        <w:tc>
          <w:tcPr>
            <w:tcW w:w="866" w:type="dxa"/>
            <w:shd w:val="clear" w:color="auto" w:fill="auto"/>
          </w:tcPr>
          <w:p w14:paraId="48A16B9B" w14:textId="77777777" w:rsidR="00B800E0" w:rsidRPr="00F04DC2" w:rsidRDefault="00B800E0" w:rsidP="00B800E0">
            <w:pPr>
              <w:spacing w:after="60"/>
              <w:jc w:val="right"/>
              <w:rPr>
                <w:sz w:val="18"/>
                <w:lang w:val="en-CA"/>
              </w:rPr>
            </w:pPr>
          </w:p>
        </w:tc>
        <w:tc>
          <w:tcPr>
            <w:tcW w:w="866" w:type="dxa"/>
            <w:shd w:val="clear" w:color="auto" w:fill="auto"/>
          </w:tcPr>
          <w:p w14:paraId="73A9EA4E" w14:textId="77777777" w:rsidR="00B800E0" w:rsidRPr="00F04DC2" w:rsidRDefault="00B800E0" w:rsidP="00B800E0">
            <w:pPr>
              <w:spacing w:after="60"/>
              <w:jc w:val="right"/>
              <w:rPr>
                <w:sz w:val="18"/>
                <w:lang w:val="en-CA"/>
              </w:rPr>
            </w:pPr>
          </w:p>
        </w:tc>
        <w:tc>
          <w:tcPr>
            <w:tcW w:w="1286" w:type="dxa"/>
            <w:shd w:val="clear" w:color="auto" w:fill="auto"/>
          </w:tcPr>
          <w:p w14:paraId="588E99BC" w14:textId="77777777" w:rsidR="00B800E0" w:rsidRPr="00F04DC2" w:rsidRDefault="00B800E0" w:rsidP="00B800E0">
            <w:pPr>
              <w:spacing w:after="60"/>
              <w:jc w:val="right"/>
              <w:rPr>
                <w:sz w:val="18"/>
                <w:lang w:val="en-CA"/>
              </w:rPr>
            </w:pPr>
          </w:p>
        </w:tc>
        <w:tc>
          <w:tcPr>
            <w:tcW w:w="909" w:type="dxa"/>
            <w:shd w:val="clear" w:color="auto" w:fill="auto"/>
          </w:tcPr>
          <w:p w14:paraId="71ACB49C" w14:textId="463CD2F7" w:rsidR="00B800E0" w:rsidRPr="00F04DC2" w:rsidRDefault="00B800E0" w:rsidP="00B800E0">
            <w:pPr>
              <w:spacing w:after="60"/>
              <w:jc w:val="right"/>
              <w:rPr>
                <w:sz w:val="18"/>
                <w:lang w:val="en-CA"/>
              </w:rPr>
            </w:pPr>
            <w:r>
              <w:rPr>
                <w:sz w:val="18"/>
                <w:lang w:val="en-CA"/>
              </w:rPr>
              <w:t>13</w:t>
            </w:r>
            <w:r w:rsidR="00334AAC">
              <w:rPr>
                <w:sz w:val="18"/>
                <w:lang w:val="en-CA"/>
              </w:rPr>
              <w:t>.</w:t>
            </w:r>
            <w:r>
              <w:rPr>
                <w:sz w:val="18"/>
                <w:lang w:val="en-CA"/>
              </w:rPr>
              <w:t>27</w:t>
            </w:r>
          </w:p>
        </w:tc>
        <w:tc>
          <w:tcPr>
            <w:tcW w:w="767" w:type="dxa"/>
            <w:shd w:val="clear" w:color="auto" w:fill="auto"/>
          </w:tcPr>
          <w:p w14:paraId="0999B36B" w14:textId="77777777" w:rsidR="00B800E0" w:rsidRPr="00F04DC2" w:rsidRDefault="00B800E0" w:rsidP="00B800E0">
            <w:pPr>
              <w:spacing w:after="60"/>
              <w:jc w:val="right"/>
              <w:rPr>
                <w:sz w:val="18"/>
                <w:lang w:val="en-CA"/>
              </w:rPr>
            </w:pPr>
          </w:p>
        </w:tc>
        <w:tc>
          <w:tcPr>
            <w:tcW w:w="766" w:type="dxa"/>
            <w:shd w:val="clear" w:color="auto" w:fill="auto"/>
          </w:tcPr>
          <w:p w14:paraId="6884D554" w14:textId="77777777" w:rsidR="00B800E0" w:rsidRPr="00F04DC2" w:rsidRDefault="00B800E0" w:rsidP="00B800E0">
            <w:pPr>
              <w:spacing w:after="60"/>
              <w:jc w:val="right"/>
              <w:rPr>
                <w:sz w:val="18"/>
                <w:lang w:val="en-CA"/>
              </w:rPr>
            </w:pPr>
          </w:p>
        </w:tc>
        <w:tc>
          <w:tcPr>
            <w:tcW w:w="504" w:type="dxa"/>
            <w:shd w:val="clear" w:color="auto" w:fill="auto"/>
          </w:tcPr>
          <w:p w14:paraId="4AF8DFF7" w14:textId="77777777" w:rsidR="00B800E0" w:rsidRPr="00F04DC2" w:rsidRDefault="00B800E0" w:rsidP="00B800E0">
            <w:pPr>
              <w:spacing w:after="60"/>
              <w:jc w:val="right"/>
              <w:rPr>
                <w:sz w:val="18"/>
                <w:lang w:val="en-CA"/>
              </w:rPr>
            </w:pPr>
          </w:p>
        </w:tc>
        <w:tc>
          <w:tcPr>
            <w:tcW w:w="1152" w:type="dxa"/>
            <w:shd w:val="clear" w:color="auto" w:fill="auto"/>
          </w:tcPr>
          <w:p w14:paraId="48B4E883" w14:textId="7F415A33" w:rsidR="00B800E0" w:rsidRPr="00F04DC2" w:rsidRDefault="00B800E0" w:rsidP="00334AAC">
            <w:pPr>
              <w:spacing w:after="60"/>
              <w:jc w:val="right"/>
              <w:rPr>
                <w:sz w:val="18"/>
                <w:lang w:val="en-CA"/>
              </w:rPr>
            </w:pPr>
            <w:r>
              <w:rPr>
                <w:sz w:val="18"/>
                <w:lang w:val="en-CA"/>
              </w:rPr>
              <w:t>13</w:t>
            </w:r>
            <w:r w:rsidR="00334AAC">
              <w:rPr>
                <w:sz w:val="18"/>
                <w:lang w:val="en-CA"/>
              </w:rPr>
              <w:t>.</w:t>
            </w:r>
            <w:r>
              <w:rPr>
                <w:sz w:val="18"/>
                <w:lang w:val="en-CA"/>
              </w:rPr>
              <w:t>27</w:t>
            </w:r>
          </w:p>
        </w:tc>
      </w:tr>
      <w:tr w:rsidR="00C61A2A" w:rsidRPr="00F04DC2" w14:paraId="73F25EE9" w14:textId="77777777" w:rsidTr="00C61A2A">
        <w:trPr>
          <w:trHeight w:val="240"/>
        </w:trPr>
        <w:tc>
          <w:tcPr>
            <w:tcW w:w="2018" w:type="dxa"/>
            <w:shd w:val="clear" w:color="auto" w:fill="auto"/>
          </w:tcPr>
          <w:p w14:paraId="05BA81EC" w14:textId="77777777" w:rsidR="00B800E0" w:rsidRDefault="00B800E0" w:rsidP="00B800E0">
            <w:pPr>
              <w:spacing w:after="60"/>
              <w:jc w:val="left"/>
              <w:rPr>
                <w:sz w:val="18"/>
                <w:lang w:val="en-CA"/>
              </w:rPr>
            </w:pPr>
            <w:r>
              <w:rPr>
                <w:sz w:val="18"/>
                <w:lang w:val="en-CA"/>
              </w:rPr>
              <w:t>HCFC-123</w:t>
            </w:r>
          </w:p>
        </w:tc>
        <w:tc>
          <w:tcPr>
            <w:tcW w:w="866" w:type="dxa"/>
            <w:shd w:val="clear" w:color="auto" w:fill="auto"/>
          </w:tcPr>
          <w:p w14:paraId="5F16E3F2" w14:textId="77777777" w:rsidR="00B800E0" w:rsidRPr="00F04DC2" w:rsidRDefault="00B800E0" w:rsidP="00B800E0">
            <w:pPr>
              <w:spacing w:after="60"/>
              <w:jc w:val="right"/>
              <w:rPr>
                <w:sz w:val="18"/>
                <w:lang w:val="en-CA"/>
              </w:rPr>
            </w:pPr>
          </w:p>
        </w:tc>
        <w:tc>
          <w:tcPr>
            <w:tcW w:w="866" w:type="dxa"/>
            <w:shd w:val="clear" w:color="auto" w:fill="auto"/>
          </w:tcPr>
          <w:p w14:paraId="0C339103" w14:textId="77777777" w:rsidR="00B800E0" w:rsidRPr="00F04DC2" w:rsidRDefault="00B800E0" w:rsidP="00B800E0">
            <w:pPr>
              <w:spacing w:after="60"/>
              <w:jc w:val="right"/>
              <w:rPr>
                <w:sz w:val="18"/>
                <w:lang w:val="en-CA"/>
              </w:rPr>
            </w:pPr>
          </w:p>
        </w:tc>
        <w:tc>
          <w:tcPr>
            <w:tcW w:w="866" w:type="dxa"/>
            <w:shd w:val="clear" w:color="auto" w:fill="auto"/>
          </w:tcPr>
          <w:p w14:paraId="314EC841" w14:textId="77777777" w:rsidR="00B800E0" w:rsidRPr="00F04DC2" w:rsidRDefault="00B800E0" w:rsidP="00B800E0">
            <w:pPr>
              <w:spacing w:after="60"/>
              <w:jc w:val="right"/>
              <w:rPr>
                <w:sz w:val="18"/>
                <w:lang w:val="en-CA"/>
              </w:rPr>
            </w:pPr>
          </w:p>
        </w:tc>
        <w:tc>
          <w:tcPr>
            <w:tcW w:w="1286" w:type="dxa"/>
            <w:shd w:val="clear" w:color="auto" w:fill="auto"/>
          </w:tcPr>
          <w:p w14:paraId="366526E0" w14:textId="77777777" w:rsidR="00B800E0" w:rsidRPr="00F04DC2" w:rsidRDefault="00B800E0" w:rsidP="00B800E0">
            <w:pPr>
              <w:spacing w:after="60"/>
              <w:jc w:val="right"/>
              <w:rPr>
                <w:sz w:val="18"/>
                <w:lang w:val="en-CA"/>
              </w:rPr>
            </w:pPr>
          </w:p>
        </w:tc>
        <w:tc>
          <w:tcPr>
            <w:tcW w:w="909" w:type="dxa"/>
            <w:shd w:val="clear" w:color="auto" w:fill="auto"/>
          </w:tcPr>
          <w:p w14:paraId="6191413B" w14:textId="5BAEB87F" w:rsidR="00B800E0" w:rsidRDefault="00B800E0" w:rsidP="00334AAC">
            <w:pPr>
              <w:spacing w:after="60"/>
              <w:jc w:val="right"/>
              <w:rPr>
                <w:sz w:val="18"/>
                <w:lang w:val="en-CA"/>
              </w:rPr>
            </w:pPr>
            <w:r>
              <w:rPr>
                <w:sz w:val="18"/>
                <w:lang w:val="en-CA"/>
              </w:rPr>
              <w:t>0</w:t>
            </w:r>
            <w:r w:rsidR="00334AAC">
              <w:rPr>
                <w:sz w:val="18"/>
                <w:lang w:val="en-CA"/>
              </w:rPr>
              <w:t>.</w:t>
            </w:r>
            <w:r>
              <w:rPr>
                <w:sz w:val="18"/>
                <w:lang w:val="en-CA"/>
              </w:rPr>
              <w:t>01</w:t>
            </w:r>
          </w:p>
        </w:tc>
        <w:tc>
          <w:tcPr>
            <w:tcW w:w="767" w:type="dxa"/>
            <w:shd w:val="clear" w:color="auto" w:fill="auto"/>
          </w:tcPr>
          <w:p w14:paraId="1C8056D1" w14:textId="77777777" w:rsidR="00B800E0" w:rsidRPr="00F04DC2" w:rsidRDefault="00B800E0" w:rsidP="00B800E0">
            <w:pPr>
              <w:spacing w:after="60"/>
              <w:jc w:val="right"/>
              <w:rPr>
                <w:sz w:val="18"/>
                <w:lang w:val="en-CA"/>
              </w:rPr>
            </w:pPr>
          </w:p>
        </w:tc>
        <w:tc>
          <w:tcPr>
            <w:tcW w:w="766" w:type="dxa"/>
            <w:shd w:val="clear" w:color="auto" w:fill="auto"/>
          </w:tcPr>
          <w:p w14:paraId="028F565D" w14:textId="77777777" w:rsidR="00B800E0" w:rsidRPr="00F04DC2" w:rsidRDefault="00B800E0" w:rsidP="00B800E0">
            <w:pPr>
              <w:spacing w:after="60"/>
              <w:jc w:val="right"/>
              <w:rPr>
                <w:sz w:val="18"/>
                <w:lang w:val="en-CA"/>
              </w:rPr>
            </w:pPr>
          </w:p>
        </w:tc>
        <w:tc>
          <w:tcPr>
            <w:tcW w:w="504" w:type="dxa"/>
            <w:shd w:val="clear" w:color="auto" w:fill="auto"/>
          </w:tcPr>
          <w:p w14:paraId="4FF0D75F" w14:textId="77777777" w:rsidR="00B800E0" w:rsidRPr="00F04DC2" w:rsidRDefault="00B800E0" w:rsidP="00B800E0">
            <w:pPr>
              <w:spacing w:after="60"/>
              <w:jc w:val="right"/>
              <w:rPr>
                <w:sz w:val="18"/>
                <w:lang w:val="en-CA"/>
              </w:rPr>
            </w:pPr>
          </w:p>
        </w:tc>
        <w:tc>
          <w:tcPr>
            <w:tcW w:w="1152" w:type="dxa"/>
            <w:shd w:val="clear" w:color="auto" w:fill="auto"/>
          </w:tcPr>
          <w:p w14:paraId="65832A15" w14:textId="5B0E44DB" w:rsidR="00B800E0" w:rsidRDefault="00B800E0" w:rsidP="00334AAC">
            <w:pPr>
              <w:spacing w:after="60"/>
              <w:jc w:val="right"/>
              <w:rPr>
                <w:sz w:val="18"/>
                <w:lang w:val="en-CA"/>
              </w:rPr>
            </w:pPr>
            <w:r>
              <w:rPr>
                <w:sz w:val="18"/>
                <w:lang w:val="en-CA"/>
              </w:rPr>
              <w:t>0</w:t>
            </w:r>
            <w:r w:rsidR="00334AAC">
              <w:rPr>
                <w:sz w:val="18"/>
                <w:lang w:val="en-CA"/>
              </w:rPr>
              <w:t>.</w:t>
            </w:r>
            <w:r>
              <w:rPr>
                <w:sz w:val="18"/>
                <w:lang w:val="en-CA"/>
              </w:rPr>
              <w:t>01</w:t>
            </w:r>
          </w:p>
        </w:tc>
      </w:tr>
      <w:tr w:rsidR="00C61A2A" w:rsidRPr="00F04DC2" w14:paraId="2C180736" w14:textId="77777777" w:rsidTr="00C61A2A">
        <w:trPr>
          <w:trHeight w:val="240"/>
        </w:trPr>
        <w:tc>
          <w:tcPr>
            <w:tcW w:w="2018" w:type="dxa"/>
            <w:shd w:val="clear" w:color="auto" w:fill="auto"/>
          </w:tcPr>
          <w:p w14:paraId="34301771" w14:textId="77777777" w:rsidR="00B800E0" w:rsidRDefault="00B800E0" w:rsidP="00B800E0">
            <w:pPr>
              <w:spacing w:after="60"/>
              <w:jc w:val="left"/>
              <w:rPr>
                <w:sz w:val="18"/>
                <w:lang w:val="en-CA"/>
              </w:rPr>
            </w:pPr>
            <w:r>
              <w:rPr>
                <w:sz w:val="18"/>
                <w:lang w:val="en-CA"/>
              </w:rPr>
              <w:t>HCFC-124</w:t>
            </w:r>
          </w:p>
        </w:tc>
        <w:tc>
          <w:tcPr>
            <w:tcW w:w="866" w:type="dxa"/>
            <w:shd w:val="clear" w:color="auto" w:fill="auto"/>
          </w:tcPr>
          <w:p w14:paraId="34001B33" w14:textId="77777777" w:rsidR="00B800E0" w:rsidRPr="00F04DC2" w:rsidRDefault="00B800E0" w:rsidP="00B800E0">
            <w:pPr>
              <w:spacing w:after="60"/>
              <w:jc w:val="right"/>
              <w:rPr>
                <w:sz w:val="18"/>
                <w:lang w:val="en-CA"/>
              </w:rPr>
            </w:pPr>
          </w:p>
        </w:tc>
        <w:tc>
          <w:tcPr>
            <w:tcW w:w="866" w:type="dxa"/>
            <w:shd w:val="clear" w:color="auto" w:fill="auto"/>
          </w:tcPr>
          <w:p w14:paraId="03204281" w14:textId="77777777" w:rsidR="00B800E0" w:rsidRDefault="00B800E0" w:rsidP="00B800E0">
            <w:pPr>
              <w:spacing w:after="60"/>
              <w:jc w:val="right"/>
              <w:rPr>
                <w:sz w:val="18"/>
                <w:lang w:val="en-CA"/>
              </w:rPr>
            </w:pPr>
          </w:p>
        </w:tc>
        <w:tc>
          <w:tcPr>
            <w:tcW w:w="866" w:type="dxa"/>
            <w:shd w:val="clear" w:color="auto" w:fill="auto"/>
          </w:tcPr>
          <w:p w14:paraId="07A41394" w14:textId="77777777" w:rsidR="00B800E0" w:rsidRPr="00F04DC2" w:rsidRDefault="00B800E0" w:rsidP="00B800E0">
            <w:pPr>
              <w:spacing w:after="60"/>
              <w:jc w:val="right"/>
              <w:rPr>
                <w:sz w:val="18"/>
                <w:lang w:val="en-CA"/>
              </w:rPr>
            </w:pPr>
          </w:p>
        </w:tc>
        <w:tc>
          <w:tcPr>
            <w:tcW w:w="1286" w:type="dxa"/>
            <w:shd w:val="clear" w:color="auto" w:fill="auto"/>
          </w:tcPr>
          <w:p w14:paraId="3C8FB789" w14:textId="77777777" w:rsidR="00B800E0" w:rsidRPr="00F04DC2" w:rsidRDefault="00B800E0" w:rsidP="00B800E0">
            <w:pPr>
              <w:spacing w:after="60"/>
              <w:jc w:val="right"/>
              <w:rPr>
                <w:sz w:val="18"/>
                <w:lang w:val="en-CA"/>
              </w:rPr>
            </w:pPr>
          </w:p>
        </w:tc>
        <w:tc>
          <w:tcPr>
            <w:tcW w:w="909" w:type="dxa"/>
            <w:shd w:val="clear" w:color="auto" w:fill="auto"/>
          </w:tcPr>
          <w:p w14:paraId="7080D807" w14:textId="77777777" w:rsidR="00B800E0" w:rsidRPr="00F04DC2" w:rsidRDefault="00B800E0" w:rsidP="00B800E0">
            <w:pPr>
              <w:spacing w:after="60"/>
              <w:jc w:val="right"/>
              <w:rPr>
                <w:sz w:val="18"/>
                <w:lang w:val="en-CA"/>
              </w:rPr>
            </w:pPr>
          </w:p>
        </w:tc>
        <w:tc>
          <w:tcPr>
            <w:tcW w:w="767" w:type="dxa"/>
            <w:shd w:val="clear" w:color="auto" w:fill="auto"/>
          </w:tcPr>
          <w:p w14:paraId="19EC6A39" w14:textId="77777777" w:rsidR="00B800E0" w:rsidRPr="00F04DC2" w:rsidRDefault="00B800E0" w:rsidP="00B800E0">
            <w:pPr>
              <w:spacing w:after="60"/>
              <w:jc w:val="right"/>
              <w:rPr>
                <w:sz w:val="18"/>
                <w:lang w:val="en-CA"/>
              </w:rPr>
            </w:pPr>
          </w:p>
        </w:tc>
        <w:tc>
          <w:tcPr>
            <w:tcW w:w="766" w:type="dxa"/>
            <w:shd w:val="clear" w:color="auto" w:fill="auto"/>
          </w:tcPr>
          <w:p w14:paraId="1DB3D2EB" w14:textId="77777777" w:rsidR="00B800E0" w:rsidRPr="00F04DC2" w:rsidRDefault="00B800E0" w:rsidP="00B800E0">
            <w:pPr>
              <w:spacing w:after="60"/>
              <w:jc w:val="right"/>
              <w:rPr>
                <w:sz w:val="18"/>
                <w:lang w:val="en-CA"/>
              </w:rPr>
            </w:pPr>
          </w:p>
        </w:tc>
        <w:tc>
          <w:tcPr>
            <w:tcW w:w="504" w:type="dxa"/>
            <w:shd w:val="clear" w:color="auto" w:fill="auto"/>
          </w:tcPr>
          <w:p w14:paraId="16AF3C6B" w14:textId="77777777" w:rsidR="00B800E0" w:rsidRPr="00F04DC2" w:rsidRDefault="00B800E0" w:rsidP="00B800E0">
            <w:pPr>
              <w:spacing w:after="60"/>
              <w:jc w:val="right"/>
              <w:rPr>
                <w:sz w:val="18"/>
                <w:lang w:val="en-CA"/>
              </w:rPr>
            </w:pPr>
          </w:p>
        </w:tc>
        <w:tc>
          <w:tcPr>
            <w:tcW w:w="1152" w:type="dxa"/>
            <w:shd w:val="clear" w:color="auto" w:fill="auto"/>
          </w:tcPr>
          <w:p w14:paraId="5BAD8D71" w14:textId="77777777" w:rsidR="00B800E0" w:rsidRDefault="00B800E0" w:rsidP="00B800E0">
            <w:pPr>
              <w:spacing w:after="60"/>
              <w:jc w:val="right"/>
              <w:rPr>
                <w:sz w:val="18"/>
                <w:lang w:val="en-CA"/>
              </w:rPr>
            </w:pPr>
          </w:p>
        </w:tc>
      </w:tr>
      <w:tr w:rsidR="00C61A2A" w:rsidRPr="00F04DC2" w14:paraId="10F6F2B4" w14:textId="77777777" w:rsidTr="00C61A2A">
        <w:trPr>
          <w:trHeight w:val="240"/>
        </w:trPr>
        <w:tc>
          <w:tcPr>
            <w:tcW w:w="2018" w:type="dxa"/>
            <w:shd w:val="clear" w:color="auto" w:fill="auto"/>
          </w:tcPr>
          <w:p w14:paraId="30D97052" w14:textId="77777777" w:rsidR="00B800E0" w:rsidRPr="00F04DC2" w:rsidRDefault="00B800E0" w:rsidP="00B800E0">
            <w:pPr>
              <w:spacing w:after="60"/>
              <w:jc w:val="left"/>
              <w:rPr>
                <w:sz w:val="18"/>
                <w:lang w:val="en-CA"/>
              </w:rPr>
            </w:pPr>
            <w:r>
              <w:rPr>
                <w:sz w:val="18"/>
                <w:lang w:val="en-CA"/>
              </w:rPr>
              <w:t>HCFC-141b</w:t>
            </w:r>
          </w:p>
        </w:tc>
        <w:tc>
          <w:tcPr>
            <w:tcW w:w="866" w:type="dxa"/>
            <w:shd w:val="clear" w:color="auto" w:fill="auto"/>
          </w:tcPr>
          <w:p w14:paraId="20B6BB21" w14:textId="77777777" w:rsidR="00B800E0" w:rsidRPr="00F04DC2" w:rsidRDefault="00B800E0" w:rsidP="00B800E0">
            <w:pPr>
              <w:spacing w:after="60"/>
              <w:jc w:val="right"/>
              <w:rPr>
                <w:sz w:val="18"/>
                <w:lang w:val="en-CA"/>
              </w:rPr>
            </w:pPr>
          </w:p>
        </w:tc>
        <w:tc>
          <w:tcPr>
            <w:tcW w:w="866" w:type="dxa"/>
            <w:shd w:val="clear" w:color="auto" w:fill="auto"/>
          </w:tcPr>
          <w:p w14:paraId="1D35A374" w14:textId="77777777" w:rsidR="00B800E0" w:rsidRPr="00F04DC2" w:rsidRDefault="00B800E0" w:rsidP="00B800E0">
            <w:pPr>
              <w:spacing w:after="60"/>
              <w:jc w:val="right"/>
              <w:rPr>
                <w:sz w:val="18"/>
                <w:lang w:val="en-CA"/>
              </w:rPr>
            </w:pPr>
          </w:p>
        </w:tc>
        <w:tc>
          <w:tcPr>
            <w:tcW w:w="866" w:type="dxa"/>
            <w:shd w:val="clear" w:color="auto" w:fill="auto"/>
          </w:tcPr>
          <w:p w14:paraId="2DCC510A" w14:textId="77777777" w:rsidR="00B800E0" w:rsidRPr="00F04DC2" w:rsidRDefault="00B800E0" w:rsidP="00B800E0">
            <w:pPr>
              <w:spacing w:after="60"/>
              <w:jc w:val="right"/>
              <w:rPr>
                <w:sz w:val="18"/>
                <w:lang w:val="en-CA"/>
              </w:rPr>
            </w:pPr>
          </w:p>
        </w:tc>
        <w:tc>
          <w:tcPr>
            <w:tcW w:w="1286" w:type="dxa"/>
            <w:shd w:val="clear" w:color="auto" w:fill="auto"/>
          </w:tcPr>
          <w:p w14:paraId="124DB371" w14:textId="77777777" w:rsidR="00B800E0" w:rsidRPr="00F04DC2" w:rsidRDefault="00B800E0" w:rsidP="00B800E0">
            <w:pPr>
              <w:spacing w:after="60"/>
              <w:jc w:val="right"/>
              <w:rPr>
                <w:sz w:val="18"/>
                <w:lang w:val="en-CA"/>
              </w:rPr>
            </w:pPr>
          </w:p>
        </w:tc>
        <w:tc>
          <w:tcPr>
            <w:tcW w:w="909" w:type="dxa"/>
            <w:shd w:val="clear" w:color="auto" w:fill="auto"/>
          </w:tcPr>
          <w:p w14:paraId="49E9C27A" w14:textId="4F082E5B" w:rsidR="00B800E0" w:rsidRPr="00F04DC2" w:rsidRDefault="00B800E0" w:rsidP="00334AAC">
            <w:pPr>
              <w:spacing w:after="60"/>
              <w:jc w:val="right"/>
              <w:rPr>
                <w:sz w:val="18"/>
                <w:lang w:val="en-CA"/>
              </w:rPr>
            </w:pPr>
            <w:r>
              <w:rPr>
                <w:sz w:val="18"/>
                <w:lang w:val="en-CA"/>
              </w:rPr>
              <w:t>0</w:t>
            </w:r>
            <w:r w:rsidR="00334AAC">
              <w:rPr>
                <w:sz w:val="18"/>
                <w:lang w:val="en-CA"/>
              </w:rPr>
              <w:t>.</w:t>
            </w:r>
            <w:r>
              <w:rPr>
                <w:sz w:val="18"/>
                <w:lang w:val="en-CA"/>
              </w:rPr>
              <w:t>74</w:t>
            </w:r>
          </w:p>
        </w:tc>
        <w:tc>
          <w:tcPr>
            <w:tcW w:w="767" w:type="dxa"/>
            <w:shd w:val="clear" w:color="auto" w:fill="auto"/>
          </w:tcPr>
          <w:p w14:paraId="27D6A6A7" w14:textId="77777777" w:rsidR="00B800E0" w:rsidRPr="00F04DC2" w:rsidRDefault="00B800E0" w:rsidP="00B800E0">
            <w:pPr>
              <w:spacing w:after="60"/>
              <w:jc w:val="right"/>
              <w:rPr>
                <w:sz w:val="18"/>
                <w:lang w:val="en-CA"/>
              </w:rPr>
            </w:pPr>
          </w:p>
        </w:tc>
        <w:tc>
          <w:tcPr>
            <w:tcW w:w="766" w:type="dxa"/>
            <w:shd w:val="clear" w:color="auto" w:fill="auto"/>
          </w:tcPr>
          <w:p w14:paraId="70C41075" w14:textId="77777777" w:rsidR="00B800E0" w:rsidRPr="00F04DC2" w:rsidRDefault="00B800E0" w:rsidP="00B800E0">
            <w:pPr>
              <w:spacing w:after="60"/>
              <w:jc w:val="right"/>
              <w:rPr>
                <w:sz w:val="18"/>
                <w:lang w:val="en-CA"/>
              </w:rPr>
            </w:pPr>
          </w:p>
        </w:tc>
        <w:tc>
          <w:tcPr>
            <w:tcW w:w="504" w:type="dxa"/>
            <w:shd w:val="clear" w:color="auto" w:fill="auto"/>
          </w:tcPr>
          <w:p w14:paraId="2CB856C2" w14:textId="77777777" w:rsidR="00B800E0" w:rsidRPr="00F04DC2" w:rsidRDefault="00B800E0" w:rsidP="00B800E0">
            <w:pPr>
              <w:spacing w:after="60"/>
              <w:jc w:val="right"/>
              <w:rPr>
                <w:sz w:val="18"/>
                <w:lang w:val="en-CA"/>
              </w:rPr>
            </w:pPr>
          </w:p>
        </w:tc>
        <w:tc>
          <w:tcPr>
            <w:tcW w:w="1152" w:type="dxa"/>
            <w:shd w:val="clear" w:color="auto" w:fill="auto"/>
          </w:tcPr>
          <w:p w14:paraId="36E52CDD" w14:textId="60E5ED4D" w:rsidR="00B800E0" w:rsidRPr="00F04DC2" w:rsidRDefault="00B800E0" w:rsidP="00334AAC">
            <w:pPr>
              <w:spacing w:after="60"/>
              <w:jc w:val="right"/>
              <w:rPr>
                <w:sz w:val="18"/>
                <w:lang w:val="en-CA"/>
              </w:rPr>
            </w:pPr>
            <w:r>
              <w:rPr>
                <w:sz w:val="18"/>
                <w:lang w:val="en-CA"/>
              </w:rPr>
              <w:t>0</w:t>
            </w:r>
            <w:r w:rsidR="00334AAC">
              <w:rPr>
                <w:sz w:val="18"/>
                <w:lang w:val="en-CA"/>
              </w:rPr>
              <w:t>.</w:t>
            </w:r>
            <w:r>
              <w:rPr>
                <w:sz w:val="18"/>
                <w:lang w:val="en-CA"/>
              </w:rPr>
              <w:t>74</w:t>
            </w:r>
          </w:p>
        </w:tc>
      </w:tr>
      <w:tr w:rsidR="00C61A2A" w:rsidRPr="00F04DC2" w14:paraId="719798D1" w14:textId="77777777" w:rsidTr="00C61A2A">
        <w:trPr>
          <w:trHeight w:val="353"/>
        </w:trPr>
        <w:tc>
          <w:tcPr>
            <w:tcW w:w="2018" w:type="dxa"/>
            <w:shd w:val="clear" w:color="auto" w:fill="auto"/>
          </w:tcPr>
          <w:p w14:paraId="6CC9A3C0" w14:textId="1EC164BC" w:rsidR="00B800E0" w:rsidRPr="00F04DC2" w:rsidRDefault="00B800E0" w:rsidP="00C61A2A">
            <w:pPr>
              <w:spacing w:after="60"/>
              <w:jc w:val="left"/>
              <w:rPr>
                <w:sz w:val="18"/>
                <w:lang w:val="en-CA"/>
              </w:rPr>
            </w:pPr>
            <w:r>
              <w:rPr>
                <w:sz w:val="18"/>
                <w:lang w:val="en-CA"/>
              </w:rPr>
              <w:t>HCFC-141b in imported pre</w:t>
            </w:r>
            <w:r w:rsidR="00C61A2A">
              <w:rPr>
                <w:sz w:val="18"/>
                <w:lang w:val="en-CA"/>
              </w:rPr>
              <w:noBreakHyphen/>
            </w:r>
            <w:r>
              <w:rPr>
                <w:sz w:val="18"/>
                <w:lang w:val="en-CA"/>
              </w:rPr>
              <w:t>blended polyols</w:t>
            </w:r>
          </w:p>
        </w:tc>
        <w:tc>
          <w:tcPr>
            <w:tcW w:w="866" w:type="dxa"/>
            <w:shd w:val="clear" w:color="auto" w:fill="auto"/>
          </w:tcPr>
          <w:p w14:paraId="0E9BFE14" w14:textId="77777777" w:rsidR="00B800E0" w:rsidRPr="00F04DC2" w:rsidRDefault="00B800E0" w:rsidP="00B800E0">
            <w:pPr>
              <w:spacing w:after="60"/>
              <w:jc w:val="right"/>
              <w:rPr>
                <w:sz w:val="18"/>
                <w:lang w:val="en-CA"/>
              </w:rPr>
            </w:pPr>
          </w:p>
        </w:tc>
        <w:tc>
          <w:tcPr>
            <w:tcW w:w="866" w:type="dxa"/>
            <w:shd w:val="clear" w:color="auto" w:fill="auto"/>
          </w:tcPr>
          <w:p w14:paraId="116F0C87" w14:textId="63BDD138" w:rsidR="00B800E0" w:rsidRPr="00F04DC2" w:rsidRDefault="00B800E0" w:rsidP="00334AAC">
            <w:pPr>
              <w:spacing w:after="60"/>
              <w:jc w:val="right"/>
              <w:rPr>
                <w:sz w:val="18"/>
                <w:lang w:val="en-CA"/>
              </w:rPr>
            </w:pPr>
            <w:r>
              <w:rPr>
                <w:sz w:val="18"/>
                <w:lang w:val="en-CA"/>
              </w:rPr>
              <w:t>11</w:t>
            </w:r>
            <w:r w:rsidR="00334AAC">
              <w:rPr>
                <w:sz w:val="18"/>
                <w:lang w:val="en-CA"/>
              </w:rPr>
              <w:t>.2</w:t>
            </w:r>
            <w:r>
              <w:rPr>
                <w:sz w:val="18"/>
                <w:lang w:val="en-CA"/>
              </w:rPr>
              <w:t>0</w:t>
            </w:r>
          </w:p>
        </w:tc>
        <w:tc>
          <w:tcPr>
            <w:tcW w:w="866" w:type="dxa"/>
            <w:shd w:val="clear" w:color="auto" w:fill="auto"/>
          </w:tcPr>
          <w:p w14:paraId="117F6BCB" w14:textId="3E449801" w:rsidR="00B800E0" w:rsidRPr="00527AF2" w:rsidRDefault="00B800E0" w:rsidP="00B800E0">
            <w:pPr>
              <w:jc w:val="right"/>
              <w:rPr>
                <w:sz w:val="18"/>
                <w:lang w:val="en-CA"/>
              </w:rPr>
            </w:pPr>
          </w:p>
        </w:tc>
        <w:tc>
          <w:tcPr>
            <w:tcW w:w="1286" w:type="dxa"/>
            <w:shd w:val="clear" w:color="auto" w:fill="auto"/>
          </w:tcPr>
          <w:p w14:paraId="77F9532F" w14:textId="77777777" w:rsidR="00B800E0" w:rsidRPr="00F04DC2" w:rsidRDefault="00B800E0" w:rsidP="00B800E0">
            <w:pPr>
              <w:spacing w:after="60"/>
              <w:jc w:val="right"/>
              <w:rPr>
                <w:sz w:val="18"/>
                <w:lang w:val="en-CA"/>
              </w:rPr>
            </w:pPr>
          </w:p>
        </w:tc>
        <w:tc>
          <w:tcPr>
            <w:tcW w:w="909" w:type="dxa"/>
            <w:shd w:val="clear" w:color="auto" w:fill="auto"/>
          </w:tcPr>
          <w:p w14:paraId="32F93CEB" w14:textId="77777777" w:rsidR="00B800E0" w:rsidRPr="00F04DC2" w:rsidRDefault="00B800E0" w:rsidP="00B800E0">
            <w:pPr>
              <w:spacing w:after="60"/>
              <w:jc w:val="right"/>
              <w:rPr>
                <w:sz w:val="18"/>
                <w:lang w:val="en-CA"/>
              </w:rPr>
            </w:pPr>
          </w:p>
        </w:tc>
        <w:tc>
          <w:tcPr>
            <w:tcW w:w="767" w:type="dxa"/>
            <w:shd w:val="clear" w:color="auto" w:fill="auto"/>
          </w:tcPr>
          <w:p w14:paraId="1EA2CD2E" w14:textId="77777777" w:rsidR="00B800E0" w:rsidRPr="00F04DC2" w:rsidRDefault="00B800E0" w:rsidP="00B800E0">
            <w:pPr>
              <w:spacing w:after="60"/>
              <w:jc w:val="right"/>
              <w:rPr>
                <w:sz w:val="18"/>
                <w:lang w:val="en-CA"/>
              </w:rPr>
            </w:pPr>
          </w:p>
        </w:tc>
        <w:tc>
          <w:tcPr>
            <w:tcW w:w="766" w:type="dxa"/>
            <w:shd w:val="clear" w:color="auto" w:fill="auto"/>
          </w:tcPr>
          <w:p w14:paraId="66A60DF6" w14:textId="77777777" w:rsidR="00B800E0" w:rsidRPr="00F04DC2" w:rsidRDefault="00B800E0" w:rsidP="00B800E0">
            <w:pPr>
              <w:spacing w:after="60"/>
              <w:jc w:val="right"/>
              <w:rPr>
                <w:sz w:val="18"/>
                <w:lang w:val="en-CA"/>
              </w:rPr>
            </w:pPr>
          </w:p>
        </w:tc>
        <w:tc>
          <w:tcPr>
            <w:tcW w:w="504" w:type="dxa"/>
            <w:shd w:val="clear" w:color="auto" w:fill="auto"/>
          </w:tcPr>
          <w:p w14:paraId="0B7295AD" w14:textId="77777777" w:rsidR="00B800E0" w:rsidRPr="00F04DC2" w:rsidRDefault="00B800E0" w:rsidP="00B800E0">
            <w:pPr>
              <w:spacing w:after="60"/>
              <w:jc w:val="right"/>
              <w:rPr>
                <w:sz w:val="18"/>
                <w:lang w:val="en-CA"/>
              </w:rPr>
            </w:pPr>
          </w:p>
        </w:tc>
        <w:tc>
          <w:tcPr>
            <w:tcW w:w="1152" w:type="dxa"/>
            <w:shd w:val="clear" w:color="auto" w:fill="auto"/>
          </w:tcPr>
          <w:p w14:paraId="45E4B243" w14:textId="778C2832" w:rsidR="00B800E0" w:rsidRPr="00F04DC2" w:rsidRDefault="00B800E0" w:rsidP="00334AAC">
            <w:pPr>
              <w:spacing w:after="60"/>
              <w:jc w:val="right"/>
              <w:rPr>
                <w:sz w:val="18"/>
                <w:lang w:val="en-CA"/>
              </w:rPr>
            </w:pPr>
            <w:r>
              <w:rPr>
                <w:sz w:val="18"/>
                <w:lang w:val="en-CA"/>
              </w:rPr>
              <w:t>11</w:t>
            </w:r>
            <w:r w:rsidR="00334AAC">
              <w:rPr>
                <w:sz w:val="18"/>
                <w:lang w:val="en-CA"/>
              </w:rPr>
              <w:t>.</w:t>
            </w:r>
            <w:r>
              <w:rPr>
                <w:sz w:val="18"/>
                <w:lang w:val="en-CA"/>
              </w:rPr>
              <w:t>20</w:t>
            </w:r>
          </w:p>
        </w:tc>
      </w:tr>
      <w:tr w:rsidR="00C61A2A" w:rsidRPr="00F04DC2" w14:paraId="63EF850D" w14:textId="77777777" w:rsidTr="00C61A2A">
        <w:trPr>
          <w:trHeight w:val="240"/>
        </w:trPr>
        <w:tc>
          <w:tcPr>
            <w:tcW w:w="2018" w:type="dxa"/>
            <w:shd w:val="clear" w:color="auto" w:fill="auto"/>
          </w:tcPr>
          <w:p w14:paraId="5FCE7A04" w14:textId="77777777" w:rsidR="00B800E0" w:rsidRPr="00F04DC2" w:rsidRDefault="00B800E0" w:rsidP="00B800E0">
            <w:pPr>
              <w:spacing w:after="60"/>
              <w:jc w:val="left"/>
              <w:rPr>
                <w:sz w:val="18"/>
                <w:lang w:val="en-CA"/>
              </w:rPr>
            </w:pPr>
            <w:r>
              <w:rPr>
                <w:sz w:val="18"/>
                <w:lang w:val="en-CA"/>
              </w:rPr>
              <w:t>HCFC-142b</w:t>
            </w:r>
          </w:p>
        </w:tc>
        <w:tc>
          <w:tcPr>
            <w:tcW w:w="866" w:type="dxa"/>
            <w:shd w:val="clear" w:color="auto" w:fill="auto"/>
          </w:tcPr>
          <w:p w14:paraId="0F2BE178" w14:textId="77777777" w:rsidR="00B800E0" w:rsidRPr="00F04DC2" w:rsidRDefault="00B800E0" w:rsidP="00B800E0">
            <w:pPr>
              <w:spacing w:after="60"/>
              <w:jc w:val="right"/>
              <w:rPr>
                <w:sz w:val="18"/>
                <w:lang w:val="en-CA"/>
              </w:rPr>
            </w:pPr>
          </w:p>
        </w:tc>
        <w:tc>
          <w:tcPr>
            <w:tcW w:w="866" w:type="dxa"/>
            <w:shd w:val="clear" w:color="auto" w:fill="auto"/>
          </w:tcPr>
          <w:p w14:paraId="21756F4B" w14:textId="77777777" w:rsidR="00B800E0" w:rsidRPr="00F04DC2" w:rsidRDefault="00B800E0" w:rsidP="00B800E0">
            <w:pPr>
              <w:spacing w:after="60"/>
              <w:jc w:val="right"/>
              <w:rPr>
                <w:sz w:val="18"/>
                <w:lang w:val="en-CA"/>
              </w:rPr>
            </w:pPr>
          </w:p>
        </w:tc>
        <w:tc>
          <w:tcPr>
            <w:tcW w:w="866" w:type="dxa"/>
            <w:shd w:val="clear" w:color="auto" w:fill="auto"/>
          </w:tcPr>
          <w:p w14:paraId="313B5AA7" w14:textId="77777777" w:rsidR="00B800E0" w:rsidRPr="00F04DC2" w:rsidRDefault="00B800E0" w:rsidP="00B800E0">
            <w:pPr>
              <w:spacing w:after="60"/>
              <w:jc w:val="right"/>
              <w:rPr>
                <w:sz w:val="18"/>
                <w:lang w:val="en-CA"/>
              </w:rPr>
            </w:pPr>
          </w:p>
        </w:tc>
        <w:tc>
          <w:tcPr>
            <w:tcW w:w="1286" w:type="dxa"/>
            <w:shd w:val="clear" w:color="auto" w:fill="auto"/>
          </w:tcPr>
          <w:p w14:paraId="4D117A4E" w14:textId="77777777" w:rsidR="00B800E0" w:rsidRPr="00F04DC2" w:rsidRDefault="00B800E0" w:rsidP="00B800E0">
            <w:pPr>
              <w:spacing w:after="60"/>
              <w:jc w:val="right"/>
              <w:rPr>
                <w:sz w:val="18"/>
                <w:lang w:val="en-CA"/>
              </w:rPr>
            </w:pPr>
          </w:p>
        </w:tc>
        <w:tc>
          <w:tcPr>
            <w:tcW w:w="909" w:type="dxa"/>
            <w:shd w:val="clear" w:color="auto" w:fill="auto"/>
          </w:tcPr>
          <w:p w14:paraId="328DE0AC" w14:textId="77777777" w:rsidR="00B800E0" w:rsidRPr="00F04DC2" w:rsidRDefault="00B800E0" w:rsidP="00B800E0">
            <w:pPr>
              <w:spacing w:after="60"/>
              <w:jc w:val="right"/>
              <w:rPr>
                <w:sz w:val="18"/>
                <w:lang w:val="en-CA"/>
              </w:rPr>
            </w:pPr>
          </w:p>
        </w:tc>
        <w:tc>
          <w:tcPr>
            <w:tcW w:w="767" w:type="dxa"/>
            <w:shd w:val="clear" w:color="auto" w:fill="auto"/>
          </w:tcPr>
          <w:p w14:paraId="07F0F444" w14:textId="77777777" w:rsidR="00B800E0" w:rsidRPr="00F04DC2" w:rsidRDefault="00B800E0" w:rsidP="00B800E0">
            <w:pPr>
              <w:spacing w:after="60"/>
              <w:jc w:val="right"/>
              <w:rPr>
                <w:sz w:val="18"/>
                <w:lang w:val="en-CA"/>
              </w:rPr>
            </w:pPr>
          </w:p>
        </w:tc>
        <w:tc>
          <w:tcPr>
            <w:tcW w:w="766" w:type="dxa"/>
            <w:shd w:val="clear" w:color="auto" w:fill="auto"/>
          </w:tcPr>
          <w:p w14:paraId="41D776A5" w14:textId="77777777" w:rsidR="00B800E0" w:rsidRPr="00F04DC2" w:rsidRDefault="00B800E0" w:rsidP="00B800E0">
            <w:pPr>
              <w:spacing w:after="60"/>
              <w:jc w:val="right"/>
              <w:rPr>
                <w:sz w:val="18"/>
                <w:lang w:val="en-CA"/>
              </w:rPr>
            </w:pPr>
          </w:p>
        </w:tc>
        <w:tc>
          <w:tcPr>
            <w:tcW w:w="504" w:type="dxa"/>
            <w:shd w:val="clear" w:color="auto" w:fill="auto"/>
          </w:tcPr>
          <w:p w14:paraId="01EF7CA6" w14:textId="77777777" w:rsidR="00B800E0" w:rsidRPr="00F04DC2" w:rsidRDefault="00B800E0" w:rsidP="00B800E0">
            <w:pPr>
              <w:spacing w:after="60"/>
              <w:jc w:val="right"/>
              <w:rPr>
                <w:sz w:val="18"/>
                <w:lang w:val="en-CA"/>
              </w:rPr>
            </w:pPr>
          </w:p>
        </w:tc>
        <w:tc>
          <w:tcPr>
            <w:tcW w:w="1152" w:type="dxa"/>
            <w:shd w:val="clear" w:color="auto" w:fill="auto"/>
          </w:tcPr>
          <w:p w14:paraId="5B8DA493" w14:textId="77777777" w:rsidR="00B800E0" w:rsidRPr="00F04DC2" w:rsidRDefault="00B800E0" w:rsidP="00B800E0">
            <w:pPr>
              <w:spacing w:after="60"/>
              <w:jc w:val="right"/>
              <w:rPr>
                <w:sz w:val="18"/>
                <w:lang w:val="en-CA"/>
              </w:rPr>
            </w:pPr>
          </w:p>
        </w:tc>
      </w:tr>
    </w:tbl>
    <w:p w14:paraId="76D038E8" w14:textId="77777777" w:rsidR="00F04DC2" w:rsidRDefault="00F04DC2" w:rsidP="00F04DC2">
      <w:pPr>
        <w:spacing w:after="60"/>
        <w:jc w:val="center"/>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614"/>
        <w:gridCol w:w="917"/>
        <w:gridCol w:w="5552"/>
        <w:gridCol w:w="917"/>
      </w:tblGrid>
      <w:tr w:rsidR="00F04DC2" w:rsidRPr="00F04DC2" w14:paraId="5DE40D1A" w14:textId="77777777" w:rsidTr="00F04DC2">
        <w:trPr>
          <w:trHeight w:val="240"/>
        </w:trPr>
        <w:tc>
          <w:tcPr>
            <w:tcW w:w="0" w:type="auto"/>
            <w:gridSpan w:val="4"/>
            <w:shd w:val="clear" w:color="auto" w:fill="auto"/>
          </w:tcPr>
          <w:p w14:paraId="2D241FC8" w14:textId="77777777" w:rsidR="00F04DC2" w:rsidRPr="00F04DC2" w:rsidRDefault="00F04DC2" w:rsidP="00F04DC2">
            <w:pPr>
              <w:spacing w:after="60"/>
              <w:jc w:val="left"/>
              <w:rPr>
                <w:b/>
                <w:sz w:val="18"/>
                <w:lang w:val="en-CA"/>
              </w:rPr>
            </w:pPr>
            <w:r w:rsidRPr="00F04DC2">
              <w:rPr>
                <w:b/>
                <w:sz w:val="18"/>
                <w:lang w:val="en-CA"/>
              </w:rPr>
              <w:t>(IV) CONSUMPTION DATA (ODP tonnes)</w:t>
            </w:r>
          </w:p>
        </w:tc>
      </w:tr>
      <w:tr w:rsidR="00F04DC2" w:rsidRPr="00F04DC2" w14:paraId="77E1DA0E" w14:textId="77777777" w:rsidTr="00F04DC2">
        <w:trPr>
          <w:trHeight w:val="240"/>
        </w:trPr>
        <w:tc>
          <w:tcPr>
            <w:tcW w:w="0" w:type="auto"/>
            <w:shd w:val="clear" w:color="auto" w:fill="auto"/>
          </w:tcPr>
          <w:p w14:paraId="10D7894C" w14:textId="77777777" w:rsidR="00F04DC2" w:rsidRPr="00F04DC2" w:rsidRDefault="00F04DC2" w:rsidP="00F04DC2">
            <w:pPr>
              <w:spacing w:after="60"/>
              <w:jc w:val="center"/>
              <w:rPr>
                <w:sz w:val="18"/>
                <w:lang w:val="en-CA"/>
              </w:rPr>
            </w:pPr>
            <w:r>
              <w:rPr>
                <w:sz w:val="18"/>
                <w:lang w:val="en-CA"/>
              </w:rPr>
              <w:t>2009 - 2010 baseline:</w:t>
            </w:r>
          </w:p>
        </w:tc>
        <w:tc>
          <w:tcPr>
            <w:tcW w:w="0" w:type="auto"/>
            <w:shd w:val="clear" w:color="auto" w:fill="auto"/>
          </w:tcPr>
          <w:p w14:paraId="37BADCD6" w14:textId="77777777" w:rsidR="00F04DC2" w:rsidRPr="00F04DC2" w:rsidRDefault="00F04DC2" w:rsidP="00531B65">
            <w:pPr>
              <w:spacing w:after="60"/>
              <w:jc w:val="right"/>
              <w:rPr>
                <w:sz w:val="18"/>
                <w:lang w:val="en-CA"/>
              </w:rPr>
            </w:pPr>
            <w:r>
              <w:rPr>
                <w:sz w:val="18"/>
                <w:lang w:val="en-CA"/>
              </w:rPr>
              <w:t>23.</w:t>
            </w:r>
            <w:r w:rsidR="00531B65">
              <w:rPr>
                <w:sz w:val="18"/>
                <w:lang w:val="en-CA"/>
              </w:rPr>
              <w:t>49</w:t>
            </w:r>
          </w:p>
        </w:tc>
        <w:tc>
          <w:tcPr>
            <w:tcW w:w="0" w:type="auto"/>
            <w:shd w:val="clear" w:color="auto" w:fill="auto"/>
          </w:tcPr>
          <w:p w14:paraId="16B6C860" w14:textId="77777777" w:rsidR="00F04DC2" w:rsidRPr="00F04DC2" w:rsidRDefault="00F04DC2" w:rsidP="00F04DC2">
            <w:pPr>
              <w:spacing w:after="60"/>
              <w:jc w:val="center"/>
              <w:rPr>
                <w:sz w:val="18"/>
                <w:lang w:val="en-CA"/>
              </w:rPr>
            </w:pPr>
            <w:r>
              <w:rPr>
                <w:sz w:val="18"/>
                <w:lang w:val="en-CA"/>
              </w:rPr>
              <w:t>Starting point for sustained aggregate reductions:</w:t>
            </w:r>
          </w:p>
        </w:tc>
        <w:tc>
          <w:tcPr>
            <w:tcW w:w="0" w:type="auto"/>
            <w:shd w:val="clear" w:color="auto" w:fill="auto"/>
          </w:tcPr>
          <w:p w14:paraId="7D31BB0D" w14:textId="77777777" w:rsidR="00F04DC2" w:rsidRPr="00F04DC2" w:rsidRDefault="00531B65" w:rsidP="00F04DC2">
            <w:pPr>
              <w:spacing w:after="60"/>
              <w:jc w:val="right"/>
              <w:rPr>
                <w:sz w:val="18"/>
                <w:lang w:val="en-CA"/>
              </w:rPr>
            </w:pPr>
            <w:r>
              <w:rPr>
                <w:sz w:val="18"/>
                <w:lang w:val="en-CA"/>
              </w:rPr>
              <w:t>44.16</w:t>
            </w:r>
          </w:p>
        </w:tc>
      </w:tr>
      <w:tr w:rsidR="00F04DC2" w:rsidRPr="00F04DC2" w14:paraId="2FF23A41" w14:textId="77777777" w:rsidTr="00F04DC2">
        <w:trPr>
          <w:trHeight w:val="240"/>
        </w:trPr>
        <w:tc>
          <w:tcPr>
            <w:tcW w:w="0" w:type="auto"/>
            <w:gridSpan w:val="4"/>
            <w:shd w:val="clear" w:color="auto" w:fill="auto"/>
          </w:tcPr>
          <w:p w14:paraId="2E774080" w14:textId="77777777" w:rsidR="00F04DC2" w:rsidRPr="00F04DC2" w:rsidRDefault="00F04DC2" w:rsidP="00F04DC2">
            <w:pPr>
              <w:spacing w:after="60"/>
              <w:jc w:val="center"/>
              <w:rPr>
                <w:b/>
                <w:sz w:val="18"/>
                <w:lang w:val="en-CA"/>
              </w:rPr>
            </w:pPr>
            <w:r w:rsidRPr="00F04DC2">
              <w:rPr>
                <w:b/>
                <w:sz w:val="18"/>
                <w:lang w:val="en-CA"/>
              </w:rPr>
              <w:t>CONSUMPTION ELIGIBLE FOR FUNDING (ODP tonnes)</w:t>
            </w:r>
          </w:p>
        </w:tc>
      </w:tr>
      <w:tr w:rsidR="00F04DC2" w:rsidRPr="00F04DC2" w14:paraId="33181907" w14:textId="77777777" w:rsidTr="00F04DC2">
        <w:trPr>
          <w:trHeight w:val="240"/>
        </w:trPr>
        <w:tc>
          <w:tcPr>
            <w:tcW w:w="0" w:type="auto"/>
            <w:shd w:val="clear" w:color="auto" w:fill="auto"/>
          </w:tcPr>
          <w:p w14:paraId="7AB19B96" w14:textId="77777777" w:rsidR="00F04DC2" w:rsidRPr="00F04DC2" w:rsidRDefault="00F04DC2" w:rsidP="00F04DC2">
            <w:pPr>
              <w:spacing w:after="60"/>
              <w:jc w:val="center"/>
              <w:rPr>
                <w:sz w:val="18"/>
                <w:lang w:val="en-CA"/>
              </w:rPr>
            </w:pPr>
            <w:r>
              <w:rPr>
                <w:sz w:val="18"/>
                <w:lang w:val="en-CA"/>
              </w:rPr>
              <w:t>Already approved:</w:t>
            </w:r>
          </w:p>
        </w:tc>
        <w:tc>
          <w:tcPr>
            <w:tcW w:w="0" w:type="auto"/>
            <w:shd w:val="clear" w:color="auto" w:fill="auto"/>
          </w:tcPr>
          <w:p w14:paraId="0AAAD0BE" w14:textId="77777777" w:rsidR="00F04DC2" w:rsidRPr="00F04DC2" w:rsidRDefault="00531B65" w:rsidP="00F04DC2">
            <w:pPr>
              <w:spacing w:after="60"/>
              <w:jc w:val="right"/>
              <w:rPr>
                <w:sz w:val="18"/>
                <w:lang w:val="en-CA"/>
              </w:rPr>
            </w:pPr>
            <w:r>
              <w:rPr>
                <w:sz w:val="18"/>
              </w:rPr>
              <w:t>28.03</w:t>
            </w:r>
          </w:p>
        </w:tc>
        <w:tc>
          <w:tcPr>
            <w:tcW w:w="0" w:type="auto"/>
            <w:shd w:val="clear" w:color="auto" w:fill="auto"/>
          </w:tcPr>
          <w:p w14:paraId="5616B741" w14:textId="77777777" w:rsidR="00F04DC2" w:rsidRPr="00F04DC2" w:rsidRDefault="00F04DC2" w:rsidP="00F04DC2">
            <w:pPr>
              <w:spacing w:after="60"/>
              <w:jc w:val="center"/>
              <w:rPr>
                <w:sz w:val="18"/>
                <w:lang w:val="en-CA"/>
              </w:rPr>
            </w:pPr>
            <w:r>
              <w:rPr>
                <w:sz w:val="18"/>
                <w:lang w:val="en-CA"/>
              </w:rPr>
              <w:t>Remaining:</w:t>
            </w:r>
          </w:p>
        </w:tc>
        <w:tc>
          <w:tcPr>
            <w:tcW w:w="0" w:type="auto"/>
            <w:shd w:val="clear" w:color="auto" w:fill="auto"/>
          </w:tcPr>
          <w:p w14:paraId="4081153A" w14:textId="77777777" w:rsidR="00F04DC2" w:rsidRPr="00F04DC2" w:rsidRDefault="00531B65" w:rsidP="00F04DC2">
            <w:pPr>
              <w:spacing w:after="60"/>
              <w:jc w:val="right"/>
              <w:rPr>
                <w:sz w:val="18"/>
                <w:lang w:val="en-CA"/>
              </w:rPr>
            </w:pPr>
            <w:r>
              <w:rPr>
                <w:sz w:val="18"/>
              </w:rPr>
              <w:t>16.13</w:t>
            </w:r>
          </w:p>
        </w:tc>
      </w:tr>
    </w:tbl>
    <w:p w14:paraId="3E84FBE8" w14:textId="77777777" w:rsidR="00F04DC2" w:rsidRDefault="00F04DC2" w:rsidP="00F04DC2">
      <w:pPr>
        <w:spacing w:after="60"/>
        <w:jc w:val="center"/>
        <w:rPr>
          <w:lang w:val="en-CA"/>
        </w:rPr>
      </w:pPr>
    </w:p>
    <w:tbl>
      <w:tblPr>
        <w:tblStyle w:val="TableGrid"/>
        <w:tblW w:w="10031"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743"/>
        <w:gridCol w:w="5172"/>
        <w:gridCol w:w="1558"/>
        <w:gridCol w:w="1558"/>
      </w:tblGrid>
      <w:tr w:rsidR="00531B65" w:rsidRPr="00F04DC2" w14:paraId="27AFDB4A" w14:textId="77777777" w:rsidTr="00531B65">
        <w:trPr>
          <w:trHeight w:val="248"/>
        </w:trPr>
        <w:tc>
          <w:tcPr>
            <w:tcW w:w="0" w:type="auto"/>
            <w:gridSpan w:val="2"/>
            <w:shd w:val="clear" w:color="auto" w:fill="auto"/>
          </w:tcPr>
          <w:p w14:paraId="0EC0CF5F" w14:textId="77777777" w:rsidR="00531B65" w:rsidRPr="00F04DC2" w:rsidRDefault="00531B65" w:rsidP="00F04DC2">
            <w:pPr>
              <w:spacing w:after="60"/>
              <w:jc w:val="left"/>
              <w:rPr>
                <w:b/>
                <w:sz w:val="18"/>
                <w:lang w:val="en-CA"/>
              </w:rPr>
            </w:pPr>
            <w:r w:rsidRPr="00F04DC2">
              <w:rPr>
                <w:b/>
                <w:sz w:val="18"/>
                <w:lang w:val="en-CA"/>
              </w:rPr>
              <w:t>(V) BUSINESS PLAN</w:t>
            </w:r>
          </w:p>
        </w:tc>
        <w:tc>
          <w:tcPr>
            <w:tcW w:w="0" w:type="auto"/>
            <w:shd w:val="clear" w:color="auto" w:fill="auto"/>
          </w:tcPr>
          <w:p w14:paraId="15E02C0F" w14:textId="77777777" w:rsidR="00531B65" w:rsidRPr="00F04DC2" w:rsidRDefault="00531B65" w:rsidP="00F04DC2">
            <w:pPr>
              <w:spacing w:after="60"/>
              <w:jc w:val="center"/>
              <w:rPr>
                <w:b/>
                <w:sz w:val="18"/>
                <w:lang w:val="en-CA"/>
              </w:rPr>
            </w:pPr>
            <w:r>
              <w:rPr>
                <w:b/>
                <w:sz w:val="18"/>
                <w:lang w:val="en-CA"/>
              </w:rPr>
              <w:t>2020</w:t>
            </w:r>
          </w:p>
        </w:tc>
        <w:tc>
          <w:tcPr>
            <w:tcW w:w="0" w:type="auto"/>
            <w:shd w:val="clear" w:color="auto" w:fill="auto"/>
          </w:tcPr>
          <w:p w14:paraId="5406E5EF" w14:textId="77777777" w:rsidR="00531B65" w:rsidRPr="00F04DC2" w:rsidRDefault="00531B65" w:rsidP="00F04DC2">
            <w:pPr>
              <w:spacing w:after="60"/>
              <w:jc w:val="center"/>
              <w:rPr>
                <w:b/>
                <w:sz w:val="18"/>
                <w:lang w:val="en-CA"/>
              </w:rPr>
            </w:pPr>
            <w:r>
              <w:rPr>
                <w:b/>
                <w:sz w:val="18"/>
                <w:lang w:val="en-CA"/>
              </w:rPr>
              <w:t>Total</w:t>
            </w:r>
          </w:p>
        </w:tc>
      </w:tr>
      <w:tr w:rsidR="00531B65" w:rsidRPr="00F04DC2" w14:paraId="4E07DB01" w14:textId="77777777" w:rsidTr="00531B65">
        <w:trPr>
          <w:trHeight w:val="248"/>
        </w:trPr>
        <w:tc>
          <w:tcPr>
            <w:tcW w:w="0" w:type="auto"/>
            <w:vMerge w:val="restart"/>
            <w:shd w:val="clear" w:color="auto" w:fill="auto"/>
          </w:tcPr>
          <w:p w14:paraId="207C7B14" w14:textId="77777777" w:rsidR="00531B65" w:rsidRPr="00F04DC2" w:rsidRDefault="00531B65" w:rsidP="00531B65">
            <w:pPr>
              <w:spacing w:after="60"/>
              <w:jc w:val="center"/>
              <w:rPr>
                <w:sz w:val="18"/>
                <w:lang w:val="en-CA"/>
              </w:rPr>
            </w:pPr>
            <w:r>
              <w:rPr>
                <w:sz w:val="18"/>
                <w:lang w:val="en-CA"/>
              </w:rPr>
              <w:t>UNIDO</w:t>
            </w:r>
          </w:p>
        </w:tc>
        <w:tc>
          <w:tcPr>
            <w:tcW w:w="0" w:type="auto"/>
            <w:shd w:val="clear" w:color="auto" w:fill="auto"/>
          </w:tcPr>
          <w:p w14:paraId="628A75E5" w14:textId="77777777" w:rsidR="00531B65" w:rsidRPr="00F04DC2" w:rsidRDefault="00531B65" w:rsidP="00531B65">
            <w:pPr>
              <w:spacing w:after="60"/>
              <w:jc w:val="left"/>
              <w:rPr>
                <w:sz w:val="18"/>
                <w:lang w:val="en-CA"/>
              </w:rPr>
            </w:pPr>
            <w:r>
              <w:rPr>
                <w:sz w:val="18"/>
                <w:lang w:val="en-CA"/>
              </w:rPr>
              <w:t>ODS phase-out (ODP tonnes)</w:t>
            </w:r>
          </w:p>
        </w:tc>
        <w:tc>
          <w:tcPr>
            <w:tcW w:w="0" w:type="auto"/>
            <w:shd w:val="clear" w:color="auto" w:fill="auto"/>
          </w:tcPr>
          <w:p w14:paraId="74D9C4E7" w14:textId="77777777" w:rsidR="00531B65" w:rsidRPr="00F04DC2" w:rsidRDefault="00531B65" w:rsidP="00531B65">
            <w:pPr>
              <w:spacing w:after="60"/>
              <w:jc w:val="right"/>
              <w:rPr>
                <w:sz w:val="18"/>
                <w:lang w:val="en-CA"/>
              </w:rPr>
            </w:pPr>
            <w:r>
              <w:rPr>
                <w:sz w:val="18"/>
                <w:lang w:val="en-CA"/>
              </w:rPr>
              <w:t>0.65</w:t>
            </w:r>
          </w:p>
        </w:tc>
        <w:tc>
          <w:tcPr>
            <w:tcW w:w="0" w:type="auto"/>
            <w:shd w:val="clear" w:color="auto" w:fill="auto"/>
          </w:tcPr>
          <w:p w14:paraId="6163D5A4" w14:textId="77777777" w:rsidR="00531B65" w:rsidRPr="00C61A2A" w:rsidRDefault="00531B65" w:rsidP="00531B65">
            <w:pPr>
              <w:spacing w:after="60"/>
              <w:jc w:val="right"/>
              <w:rPr>
                <w:sz w:val="18"/>
                <w:lang w:val="en-CA"/>
              </w:rPr>
            </w:pPr>
            <w:r w:rsidRPr="00C61A2A">
              <w:rPr>
                <w:sz w:val="18"/>
                <w:lang w:val="en-CA"/>
              </w:rPr>
              <w:t>0.65</w:t>
            </w:r>
          </w:p>
        </w:tc>
      </w:tr>
      <w:tr w:rsidR="00531B65" w:rsidRPr="00F04DC2" w14:paraId="51028A58" w14:textId="77777777" w:rsidTr="00531B65">
        <w:trPr>
          <w:trHeight w:val="248"/>
        </w:trPr>
        <w:tc>
          <w:tcPr>
            <w:tcW w:w="0" w:type="auto"/>
            <w:vMerge/>
            <w:shd w:val="clear" w:color="auto" w:fill="auto"/>
          </w:tcPr>
          <w:p w14:paraId="1E699AD2" w14:textId="77777777" w:rsidR="00531B65" w:rsidRPr="00F04DC2" w:rsidRDefault="00531B65" w:rsidP="00531B65">
            <w:pPr>
              <w:spacing w:after="60"/>
              <w:jc w:val="center"/>
              <w:rPr>
                <w:sz w:val="18"/>
                <w:lang w:val="en-CA"/>
              </w:rPr>
            </w:pPr>
          </w:p>
        </w:tc>
        <w:tc>
          <w:tcPr>
            <w:tcW w:w="0" w:type="auto"/>
            <w:shd w:val="clear" w:color="auto" w:fill="auto"/>
          </w:tcPr>
          <w:p w14:paraId="54651B84" w14:textId="0EF1FD74" w:rsidR="00531B65" w:rsidRPr="00F04DC2" w:rsidRDefault="00531B65" w:rsidP="00531B65">
            <w:pPr>
              <w:spacing w:after="60"/>
              <w:jc w:val="left"/>
              <w:rPr>
                <w:sz w:val="18"/>
                <w:lang w:val="en-CA"/>
              </w:rPr>
            </w:pPr>
            <w:r>
              <w:rPr>
                <w:sz w:val="18"/>
                <w:lang w:val="en-CA"/>
              </w:rPr>
              <w:t>Funding (</w:t>
            </w:r>
            <w:r w:rsidR="00867E17">
              <w:rPr>
                <w:sz w:val="18"/>
                <w:lang w:val="en-CA"/>
              </w:rPr>
              <w:t>US $</w:t>
            </w:r>
            <w:r>
              <w:rPr>
                <w:sz w:val="18"/>
                <w:lang w:val="en-CA"/>
              </w:rPr>
              <w:t>)</w:t>
            </w:r>
          </w:p>
        </w:tc>
        <w:tc>
          <w:tcPr>
            <w:tcW w:w="0" w:type="auto"/>
            <w:shd w:val="clear" w:color="auto" w:fill="auto"/>
          </w:tcPr>
          <w:p w14:paraId="45DD7DC1" w14:textId="77777777" w:rsidR="00531B65" w:rsidRPr="00F04DC2" w:rsidRDefault="00531B65" w:rsidP="00531B65">
            <w:pPr>
              <w:spacing w:after="60"/>
              <w:jc w:val="right"/>
              <w:rPr>
                <w:sz w:val="18"/>
                <w:lang w:val="en-CA"/>
              </w:rPr>
            </w:pPr>
            <w:r>
              <w:rPr>
                <w:sz w:val="18"/>
                <w:lang w:val="en-CA"/>
              </w:rPr>
              <w:t>59,125</w:t>
            </w:r>
          </w:p>
        </w:tc>
        <w:tc>
          <w:tcPr>
            <w:tcW w:w="0" w:type="auto"/>
            <w:shd w:val="clear" w:color="auto" w:fill="auto"/>
          </w:tcPr>
          <w:p w14:paraId="5D2E370B" w14:textId="77777777" w:rsidR="00531B65" w:rsidRPr="00C61A2A" w:rsidRDefault="00531B65" w:rsidP="00531B65">
            <w:pPr>
              <w:spacing w:after="60"/>
              <w:jc w:val="right"/>
              <w:rPr>
                <w:sz w:val="18"/>
                <w:lang w:val="en-CA"/>
              </w:rPr>
            </w:pPr>
            <w:r w:rsidRPr="00C61A2A">
              <w:rPr>
                <w:sz w:val="18"/>
                <w:lang w:val="en-CA"/>
              </w:rPr>
              <w:t>59,125</w:t>
            </w:r>
          </w:p>
        </w:tc>
      </w:tr>
      <w:tr w:rsidR="00531B65" w:rsidRPr="00F04DC2" w14:paraId="0D00EEC2" w14:textId="77777777" w:rsidTr="00531B65">
        <w:trPr>
          <w:trHeight w:val="248"/>
        </w:trPr>
        <w:tc>
          <w:tcPr>
            <w:tcW w:w="0" w:type="auto"/>
            <w:vMerge w:val="restart"/>
            <w:shd w:val="clear" w:color="auto" w:fill="auto"/>
          </w:tcPr>
          <w:p w14:paraId="69823AA4" w14:textId="77777777" w:rsidR="00531B65" w:rsidRPr="00F04DC2" w:rsidRDefault="00531B65" w:rsidP="00531B65">
            <w:pPr>
              <w:spacing w:after="60"/>
              <w:jc w:val="center"/>
              <w:rPr>
                <w:sz w:val="18"/>
                <w:lang w:val="en-CA"/>
              </w:rPr>
            </w:pPr>
            <w:r>
              <w:rPr>
                <w:sz w:val="18"/>
                <w:lang w:val="en-CA"/>
              </w:rPr>
              <w:t>UNEP</w:t>
            </w:r>
          </w:p>
        </w:tc>
        <w:tc>
          <w:tcPr>
            <w:tcW w:w="0" w:type="auto"/>
            <w:shd w:val="clear" w:color="auto" w:fill="auto"/>
          </w:tcPr>
          <w:p w14:paraId="44109C44" w14:textId="77777777" w:rsidR="00531B65" w:rsidRPr="00F04DC2" w:rsidRDefault="00531B65" w:rsidP="00531B65">
            <w:pPr>
              <w:spacing w:after="60"/>
              <w:jc w:val="left"/>
              <w:rPr>
                <w:sz w:val="18"/>
                <w:lang w:val="en-CA"/>
              </w:rPr>
            </w:pPr>
            <w:r>
              <w:rPr>
                <w:sz w:val="18"/>
                <w:lang w:val="en-CA"/>
              </w:rPr>
              <w:t>ODS phase-out (ODP tonnes)</w:t>
            </w:r>
          </w:p>
        </w:tc>
        <w:tc>
          <w:tcPr>
            <w:tcW w:w="0" w:type="auto"/>
            <w:shd w:val="clear" w:color="auto" w:fill="auto"/>
          </w:tcPr>
          <w:p w14:paraId="4C47ABC1" w14:textId="77777777" w:rsidR="00531B65" w:rsidRPr="00F04DC2" w:rsidRDefault="00531B65" w:rsidP="00531B65">
            <w:pPr>
              <w:spacing w:after="60"/>
              <w:jc w:val="right"/>
              <w:rPr>
                <w:sz w:val="18"/>
                <w:lang w:val="en-CA"/>
              </w:rPr>
            </w:pPr>
            <w:r>
              <w:rPr>
                <w:sz w:val="18"/>
                <w:lang w:val="en-CA"/>
              </w:rPr>
              <w:t>0.12</w:t>
            </w:r>
          </w:p>
        </w:tc>
        <w:tc>
          <w:tcPr>
            <w:tcW w:w="0" w:type="auto"/>
            <w:shd w:val="clear" w:color="auto" w:fill="auto"/>
          </w:tcPr>
          <w:p w14:paraId="7494D6CA" w14:textId="77777777" w:rsidR="00531B65" w:rsidRPr="00C61A2A" w:rsidRDefault="00531B65" w:rsidP="00531B65">
            <w:pPr>
              <w:spacing w:after="60"/>
              <w:jc w:val="right"/>
              <w:rPr>
                <w:sz w:val="18"/>
                <w:lang w:val="en-CA"/>
              </w:rPr>
            </w:pPr>
            <w:r w:rsidRPr="00C61A2A">
              <w:rPr>
                <w:sz w:val="18"/>
                <w:lang w:val="en-CA"/>
              </w:rPr>
              <w:t>0.12</w:t>
            </w:r>
          </w:p>
        </w:tc>
      </w:tr>
      <w:tr w:rsidR="00531B65" w:rsidRPr="00F04DC2" w14:paraId="13769E41" w14:textId="77777777" w:rsidTr="00531B65">
        <w:trPr>
          <w:trHeight w:val="248"/>
        </w:trPr>
        <w:tc>
          <w:tcPr>
            <w:tcW w:w="0" w:type="auto"/>
            <w:vMerge/>
            <w:shd w:val="clear" w:color="auto" w:fill="auto"/>
          </w:tcPr>
          <w:p w14:paraId="77D44730" w14:textId="77777777" w:rsidR="00531B65" w:rsidRPr="00F04DC2" w:rsidRDefault="00531B65" w:rsidP="00531B65">
            <w:pPr>
              <w:spacing w:after="60"/>
              <w:jc w:val="center"/>
              <w:rPr>
                <w:sz w:val="18"/>
                <w:lang w:val="en-CA"/>
              </w:rPr>
            </w:pPr>
          </w:p>
        </w:tc>
        <w:tc>
          <w:tcPr>
            <w:tcW w:w="0" w:type="auto"/>
            <w:shd w:val="clear" w:color="auto" w:fill="auto"/>
          </w:tcPr>
          <w:p w14:paraId="25BBFDEA" w14:textId="16909BB0" w:rsidR="00531B65" w:rsidRPr="00F04DC2" w:rsidRDefault="00531B65" w:rsidP="00531B65">
            <w:pPr>
              <w:spacing w:after="60"/>
              <w:jc w:val="left"/>
              <w:rPr>
                <w:sz w:val="18"/>
                <w:lang w:val="en-CA"/>
              </w:rPr>
            </w:pPr>
            <w:r>
              <w:rPr>
                <w:sz w:val="18"/>
                <w:lang w:val="en-CA"/>
              </w:rPr>
              <w:t>Funding (</w:t>
            </w:r>
            <w:r w:rsidR="00867E17">
              <w:rPr>
                <w:sz w:val="18"/>
                <w:lang w:val="en-CA"/>
              </w:rPr>
              <w:t>US $</w:t>
            </w:r>
            <w:r>
              <w:rPr>
                <w:sz w:val="18"/>
                <w:lang w:val="en-CA"/>
              </w:rPr>
              <w:t>)</w:t>
            </w:r>
          </w:p>
        </w:tc>
        <w:tc>
          <w:tcPr>
            <w:tcW w:w="0" w:type="auto"/>
            <w:shd w:val="clear" w:color="auto" w:fill="auto"/>
          </w:tcPr>
          <w:p w14:paraId="3808CF0D" w14:textId="77777777" w:rsidR="00531B65" w:rsidRPr="00F04DC2" w:rsidRDefault="00531B65" w:rsidP="00531B65">
            <w:pPr>
              <w:spacing w:after="60"/>
              <w:jc w:val="right"/>
              <w:rPr>
                <w:sz w:val="18"/>
                <w:lang w:val="en-CA"/>
              </w:rPr>
            </w:pPr>
            <w:r>
              <w:rPr>
                <w:sz w:val="18"/>
                <w:lang w:val="en-CA"/>
              </w:rPr>
              <w:t>11,300</w:t>
            </w:r>
          </w:p>
        </w:tc>
        <w:tc>
          <w:tcPr>
            <w:tcW w:w="0" w:type="auto"/>
            <w:shd w:val="clear" w:color="auto" w:fill="auto"/>
          </w:tcPr>
          <w:p w14:paraId="44FC05C8" w14:textId="77777777" w:rsidR="00531B65" w:rsidRPr="00C61A2A" w:rsidRDefault="00531B65" w:rsidP="00531B65">
            <w:pPr>
              <w:spacing w:after="60"/>
              <w:jc w:val="right"/>
              <w:rPr>
                <w:sz w:val="18"/>
                <w:lang w:val="en-CA"/>
              </w:rPr>
            </w:pPr>
            <w:r w:rsidRPr="00C61A2A">
              <w:rPr>
                <w:sz w:val="18"/>
                <w:lang w:val="en-CA"/>
              </w:rPr>
              <w:t>11,300</w:t>
            </w:r>
          </w:p>
        </w:tc>
      </w:tr>
    </w:tbl>
    <w:p w14:paraId="48A1D9DC" w14:textId="77777777" w:rsidR="00F04DC2" w:rsidRDefault="00F04DC2" w:rsidP="00F04DC2">
      <w:pPr>
        <w:spacing w:after="60"/>
        <w:jc w:val="center"/>
        <w:rPr>
          <w:lang w:val="en-CA"/>
        </w:rPr>
      </w:pPr>
    </w:p>
    <w:tbl>
      <w:tblPr>
        <w:tblStyle w:val="TableGrid"/>
        <w:tblW w:w="1001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CellMar>
          <w:left w:w="57" w:type="dxa"/>
          <w:right w:w="57" w:type="dxa"/>
        </w:tblCellMar>
        <w:tblLook w:val="04A0" w:firstRow="1" w:lastRow="0" w:firstColumn="1" w:lastColumn="0" w:noHBand="0" w:noVBand="1"/>
      </w:tblPr>
      <w:tblGrid>
        <w:gridCol w:w="704"/>
        <w:gridCol w:w="709"/>
        <w:gridCol w:w="1134"/>
        <w:gridCol w:w="678"/>
        <w:gridCol w:w="679"/>
        <w:gridCol w:w="678"/>
        <w:gridCol w:w="679"/>
        <w:gridCol w:w="679"/>
        <w:gridCol w:w="678"/>
        <w:gridCol w:w="679"/>
        <w:gridCol w:w="679"/>
        <w:gridCol w:w="678"/>
        <w:gridCol w:w="679"/>
        <w:gridCol w:w="679"/>
      </w:tblGrid>
      <w:tr w:rsidR="00531B65" w:rsidRPr="00531B65" w14:paraId="43C2BF52" w14:textId="77777777" w:rsidTr="00BA7EA0">
        <w:trPr>
          <w:trHeight w:val="264"/>
        </w:trPr>
        <w:tc>
          <w:tcPr>
            <w:tcW w:w="2547" w:type="dxa"/>
            <w:gridSpan w:val="3"/>
            <w:shd w:val="clear" w:color="auto" w:fill="auto"/>
          </w:tcPr>
          <w:p w14:paraId="042FBA3F" w14:textId="77777777" w:rsidR="00531B65" w:rsidRPr="00531B65" w:rsidRDefault="00531B65" w:rsidP="00531B65">
            <w:pPr>
              <w:spacing w:after="60"/>
              <w:jc w:val="left"/>
              <w:rPr>
                <w:b/>
                <w:sz w:val="16"/>
                <w:szCs w:val="16"/>
                <w:lang w:val="en-CA" w:eastAsia="en-CA"/>
              </w:rPr>
            </w:pPr>
            <w:r w:rsidRPr="00531B65">
              <w:rPr>
                <w:b/>
                <w:sz w:val="16"/>
                <w:szCs w:val="16"/>
                <w:lang w:val="en-CA" w:eastAsia="en-CA"/>
              </w:rPr>
              <w:t>(VI) PROJECT DATA</w:t>
            </w:r>
          </w:p>
        </w:tc>
        <w:tc>
          <w:tcPr>
            <w:tcW w:w="678" w:type="dxa"/>
            <w:tcMar>
              <w:left w:w="0" w:type="dxa"/>
              <w:right w:w="29" w:type="dxa"/>
            </w:tcMar>
          </w:tcPr>
          <w:p w14:paraId="3608B6E3" w14:textId="77777777" w:rsidR="00531B65" w:rsidRPr="00531B65" w:rsidRDefault="00531B65" w:rsidP="00531B65">
            <w:pPr>
              <w:spacing w:after="60"/>
              <w:jc w:val="center"/>
              <w:rPr>
                <w:b/>
                <w:sz w:val="16"/>
                <w:szCs w:val="16"/>
                <w:lang w:val="en-CA" w:eastAsia="en-CA"/>
              </w:rPr>
            </w:pPr>
            <w:r w:rsidRPr="00531B65">
              <w:rPr>
                <w:b/>
                <w:sz w:val="16"/>
                <w:szCs w:val="16"/>
                <w:lang w:val="en-CA" w:eastAsia="en-CA"/>
              </w:rPr>
              <w:t>2011</w:t>
            </w:r>
          </w:p>
        </w:tc>
        <w:tc>
          <w:tcPr>
            <w:tcW w:w="679" w:type="dxa"/>
            <w:tcMar>
              <w:left w:w="0" w:type="dxa"/>
              <w:right w:w="29" w:type="dxa"/>
            </w:tcMar>
          </w:tcPr>
          <w:p w14:paraId="075CFE8E" w14:textId="77777777" w:rsidR="00531B65" w:rsidRPr="00531B65" w:rsidRDefault="00531B65" w:rsidP="00531B65">
            <w:pPr>
              <w:spacing w:after="60"/>
              <w:jc w:val="center"/>
              <w:rPr>
                <w:b/>
                <w:sz w:val="16"/>
                <w:szCs w:val="16"/>
                <w:lang w:val="en-CA" w:eastAsia="en-CA"/>
              </w:rPr>
            </w:pPr>
            <w:r w:rsidRPr="00531B65">
              <w:rPr>
                <w:b/>
                <w:sz w:val="16"/>
                <w:szCs w:val="16"/>
                <w:lang w:val="en-CA" w:eastAsia="en-CA"/>
              </w:rPr>
              <w:t>2012</w:t>
            </w:r>
          </w:p>
        </w:tc>
        <w:tc>
          <w:tcPr>
            <w:tcW w:w="678" w:type="dxa"/>
            <w:shd w:val="clear" w:color="auto" w:fill="auto"/>
            <w:tcMar>
              <w:left w:w="0" w:type="dxa"/>
              <w:right w:w="29" w:type="dxa"/>
            </w:tcMar>
          </w:tcPr>
          <w:p w14:paraId="159E4A22" w14:textId="77777777" w:rsidR="00531B65" w:rsidRPr="00531B65" w:rsidRDefault="00531B65" w:rsidP="00531B65">
            <w:pPr>
              <w:spacing w:after="60"/>
              <w:jc w:val="center"/>
              <w:rPr>
                <w:b/>
                <w:sz w:val="16"/>
                <w:szCs w:val="16"/>
                <w:lang w:val="en-CA" w:eastAsia="en-CA"/>
              </w:rPr>
            </w:pPr>
            <w:r w:rsidRPr="00531B65">
              <w:rPr>
                <w:b/>
                <w:sz w:val="16"/>
                <w:szCs w:val="16"/>
                <w:lang w:val="en-CA" w:eastAsia="en-CA"/>
              </w:rPr>
              <w:t>2013</w:t>
            </w:r>
          </w:p>
        </w:tc>
        <w:tc>
          <w:tcPr>
            <w:tcW w:w="679" w:type="dxa"/>
            <w:shd w:val="clear" w:color="auto" w:fill="auto"/>
            <w:tcMar>
              <w:left w:w="0" w:type="dxa"/>
              <w:right w:w="29" w:type="dxa"/>
            </w:tcMar>
          </w:tcPr>
          <w:p w14:paraId="748EA4D5" w14:textId="77777777" w:rsidR="00531B65" w:rsidRPr="00531B65" w:rsidRDefault="00531B65" w:rsidP="00531B65">
            <w:pPr>
              <w:spacing w:after="60"/>
              <w:jc w:val="center"/>
              <w:rPr>
                <w:b/>
                <w:sz w:val="16"/>
                <w:szCs w:val="16"/>
                <w:lang w:val="en-CA" w:eastAsia="en-CA"/>
              </w:rPr>
            </w:pPr>
            <w:r w:rsidRPr="00531B65">
              <w:rPr>
                <w:b/>
                <w:sz w:val="16"/>
                <w:szCs w:val="16"/>
                <w:lang w:val="en-CA" w:eastAsia="en-CA"/>
              </w:rPr>
              <w:t>2014</w:t>
            </w:r>
          </w:p>
        </w:tc>
        <w:tc>
          <w:tcPr>
            <w:tcW w:w="679" w:type="dxa"/>
            <w:shd w:val="clear" w:color="auto" w:fill="auto"/>
            <w:tcMar>
              <w:left w:w="0" w:type="dxa"/>
              <w:right w:w="29" w:type="dxa"/>
            </w:tcMar>
          </w:tcPr>
          <w:p w14:paraId="1F567F35" w14:textId="77777777" w:rsidR="00531B65" w:rsidRPr="00531B65" w:rsidRDefault="00531B65" w:rsidP="00531B65">
            <w:pPr>
              <w:spacing w:after="60"/>
              <w:jc w:val="center"/>
              <w:rPr>
                <w:b/>
                <w:sz w:val="16"/>
                <w:szCs w:val="16"/>
                <w:lang w:val="en-CA" w:eastAsia="en-CA"/>
              </w:rPr>
            </w:pPr>
            <w:r w:rsidRPr="00531B65">
              <w:rPr>
                <w:b/>
                <w:sz w:val="16"/>
                <w:szCs w:val="16"/>
                <w:lang w:val="en-CA" w:eastAsia="en-CA"/>
              </w:rPr>
              <w:t>2015</w:t>
            </w:r>
          </w:p>
        </w:tc>
        <w:tc>
          <w:tcPr>
            <w:tcW w:w="678" w:type="dxa"/>
            <w:shd w:val="clear" w:color="auto" w:fill="auto"/>
            <w:tcMar>
              <w:left w:w="0" w:type="dxa"/>
              <w:right w:w="29" w:type="dxa"/>
            </w:tcMar>
          </w:tcPr>
          <w:p w14:paraId="545AE999" w14:textId="77777777" w:rsidR="00531B65" w:rsidRPr="00531B65" w:rsidRDefault="00531B65" w:rsidP="00531B65">
            <w:pPr>
              <w:spacing w:after="60"/>
              <w:jc w:val="center"/>
              <w:rPr>
                <w:b/>
                <w:sz w:val="16"/>
                <w:szCs w:val="16"/>
                <w:lang w:val="en-CA" w:eastAsia="en-CA"/>
              </w:rPr>
            </w:pPr>
            <w:r w:rsidRPr="00531B65">
              <w:rPr>
                <w:b/>
                <w:sz w:val="16"/>
                <w:szCs w:val="16"/>
                <w:lang w:val="en-CA" w:eastAsia="en-CA"/>
              </w:rPr>
              <w:t>2016</w:t>
            </w:r>
          </w:p>
        </w:tc>
        <w:tc>
          <w:tcPr>
            <w:tcW w:w="679" w:type="dxa"/>
            <w:shd w:val="clear" w:color="auto" w:fill="auto"/>
            <w:tcMar>
              <w:left w:w="0" w:type="dxa"/>
              <w:right w:w="29" w:type="dxa"/>
            </w:tcMar>
          </w:tcPr>
          <w:p w14:paraId="3EC06827" w14:textId="77777777" w:rsidR="00531B65" w:rsidRPr="00531B65" w:rsidRDefault="00531B65" w:rsidP="00531B65">
            <w:pPr>
              <w:spacing w:after="60"/>
              <w:jc w:val="center"/>
              <w:rPr>
                <w:b/>
                <w:sz w:val="16"/>
                <w:szCs w:val="16"/>
                <w:lang w:val="en-CA" w:eastAsia="en-CA"/>
              </w:rPr>
            </w:pPr>
            <w:r w:rsidRPr="00531B65">
              <w:rPr>
                <w:b/>
                <w:sz w:val="16"/>
                <w:szCs w:val="16"/>
                <w:lang w:val="en-CA" w:eastAsia="en-CA"/>
              </w:rPr>
              <w:t>2017</w:t>
            </w:r>
          </w:p>
        </w:tc>
        <w:tc>
          <w:tcPr>
            <w:tcW w:w="679" w:type="dxa"/>
            <w:shd w:val="clear" w:color="auto" w:fill="auto"/>
            <w:tcMar>
              <w:left w:w="0" w:type="dxa"/>
              <w:right w:w="29" w:type="dxa"/>
            </w:tcMar>
          </w:tcPr>
          <w:p w14:paraId="76686446" w14:textId="77777777" w:rsidR="00531B65" w:rsidRPr="00531B65" w:rsidRDefault="00531B65" w:rsidP="00531B65">
            <w:pPr>
              <w:spacing w:after="60"/>
              <w:jc w:val="center"/>
              <w:rPr>
                <w:b/>
                <w:sz w:val="16"/>
                <w:szCs w:val="16"/>
                <w:lang w:val="en-CA" w:eastAsia="en-CA"/>
              </w:rPr>
            </w:pPr>
            <w:r w:rsidRPr="00531B65">
              <w:rPr>
                <w:b/>
                <w:sz w:val="16"/>
                <w:szCs w:val="16"/>
                <w:lang w:val="en-CA" w:eastAsia="en-CA"/>
              </w:rPr>
              <w:t>2018</w:t>
            </w:r>
          </w:p>
        </w:tc>
        <w:tc>
          <w:tcPr>
            <w:tcW w:w="678" w:type="dxa"/>
            <w:shd w:val="clear" w:color="auto" w:fill="auto"/>
            <w:tcMar>
              <w:left w:w="0" w:type="dxa"/>
              <w:right w:w="29" w:type="dxa"/>
            </w:tcMar>
          </w:tcPr>
          <w:p w14:paraId="1DDBD5E8" w14:textId="77777777" w:rsidR="00531B65" w:rsidRPr="00531B65" w:rsidRDefault="00531B65" w:rsidP="00531B65">
            <w:pPr>
              <w:spacing w:after="60"/>
              <w:jc w:val="center"/>
              <w:rPr>
                <w:b/>
                <w:sz w:val="16"/>
                <w:szCs w:val="16"/>
                <w:lang w:val="en-CA" w:eastAsia="en-CA"/>
              </w:rPr>
            </w:pPr>
            <w:r w:rsidRPr="00531B65">
              <w:rPr>
                <w:b/>
                <w:sz w:val="16"/>
                <w:szCs w:val="16"/>
                <w:lang w:val="en-CA" w:eastAsia="en-CA"/>
              </w:rPr>
              <w:t>2019</w:t>
            </w:r>
          </w:p>
        </w:tc>
        <w:tc>
          <w:tcPr>
            <w:tcW w:w="679" w:type="dxa"/>
            <w:shd w:val="clear" w:color="auto" w:fill="auto"/>
            <w:tcMar>
              <w:left w:w="0" w:type="dxa"/>
              <w:right w:w="29" w:type="dxa"/>
            </w:tcMar>
          </w:tcPr>
          <w:p w14:paraId="15A9DE28" w14:textId="77777777" w:rsidR="00531B65" w:rsidRPr="00531B65" w:rsidRDefault="00531B65" w:rsidP="00531B65">
            <w:pPr>
              <w:spacing w:after="60"/>
              <w:jc w:val="center"/>
              <w:rPr>
                <w:b/>
                <w:sz w:val="16"/>
                <w:szCs w:val="16"/>
                <w:lang w:val="en-CA" w:eastAsia="en-CA"/>
              </w:rPr>
            </w:pPr>
            <w:r w:rsidRPr="00531B65">
              <w:rPr>
                <w:b/>
                <w:sz w:val="16"/>
                <w:szCs w:val="16"/>
                <w:lang w:val="en-CA" w:eastAsia="en-CA"/>
              </w:rPr>
              <w:t>2020</w:t>
            </w:r>
          </w:p>
        </w:tc>
        <w:tc>
          <w:tcPr>
            <w:tcW w:w="679" w:type="dxa"/>
            <w:shd w:val="clear" w:color="auto" w:fill="auto"/>
            <w:tcMar>
              <w:left w:w="0" w:type="dxa"/>
              <w:right w:w="29" w:type="dxa"/>
            </w:tcMar>
          </w:tcPr>
          <w:p w14:paraId="30BC52D7" w14:textId="77777777" w:rsidR="00531B65" w:rsidRPr="00531B65" w:rsidRDefault="00531B65" w:rsidP="00531B65">
            <w:pPr>
              <w:spacing w:after="60"/>
              <w:jc w:val="center"/>
              <w:rPr>
                <w:b/>
                <w:sz w:val="16"/>
                <w:szCs w:val="16"/>
                <w:lang w:val="en-CA" w:eastAsia="en-CA"/>
              </w:rPr>
            </w:pPr>
            <w:r w:rsidRPr="00531B65">
              <w:rPr>
                <w:b/>
                <w:sz w:val="16"/>
                <w:szCs w:val="16"/>
                <w:lang w:val="en-CA" w:eastAsia="en-CA"/>
              </w:rPr>
              <w:t>Total</w:t>
            </w:r>
          </w:p>
        </w:tc>
      </w:tr>
      <w:tr w:rsidR="00531B65" w:rsidRPr="00531B65" w14:paraId="6F9CF2E8" w14:textId="77777777" w:rsidTr="00BA7EA0">
        <w:trPr>
          <w:trHeight w:val="465"/>
        </w:trPr>
        <w:tc>
          <w:tcPr>
            <w:tcW w:w="2547" w:type="dxa"/>
            <w:gridSpan w:val="3"/>
            <w:shd w:val="clear" w:color="auto" w:fill="auto"/>
          </w:tcPr>
          <w:p w14:paraId="213295FE" w14:textId="77777777" w:rsidR="00531B65" w:rsidRPr="00531B65" w:rsidRDefault="00531B65" w:rsidP="00531B65">
            <w:pPr>
              <w:spacing w:after="60"/>
              <w:jc w:val="left"/>
              <w:rPr>
                <w:sz w:val="16"/>
                <w:szCs w:val="16"/>
                <w:lang w:val="en-CA" w:eastAsia="en-CA"/>
              </w:rPr>
            </w:pPr>
            <w:r w:rsidRPr="00531B65">
              <w:rPr>
                <w:sz w:val="16"/>
                <w:szCs w:val="16"/>
                <w:lang w:val="en-CA" w:eastAsia="en-CA"/>
              </w:rPr>
              <w:t>Montreal Protocol consumption limits</w:t>
            </w:r>
          </w:p>
        </w:tc>
        <w:tc>
          <w:tcPr>
            <w:tcW w:w="678" w:type="dxa"/>
            <w:tcMar>
              <w:left w:w="0" w:type="dxa"/>
              <w:right w:w="29" w:type="dxa"/>
            </w:tcMar>
          </w:tcPr>
          <w:p w14:paraId="2CB0E5A6" w14:textId="77777777" w:rsidR="00531B65" w:rsidRPr="00531B65" w:rsidRDefault="00531B65" w:rsidP="00531B65">
            <w:pPr>
              <w:spacing w:after="60"/>
              <w:jc w:val="right"/>
              <w:rPr>
                <w:sz w:val="16"/>
                <w:szCs w:val="16"/>
                <w:lang w:val="en-CA" w:eastAsia="en-CA"/>
              </w:rPr>
            </w:pPr>
            <w:r w:rsidRPr="00531B65">
              <w:rPr>
                <w:sz w:val="16"/>
                <w:szCs w:val="16"/>
                <w:lang w:val="en-CA" w:eastAsia="en-CA"/>
              </w:rPr>
              <w:t>n/a</w:t>
            </w:r>
          </w:p>
        </w:tc>
        <w:tc>
          <w:tcPr>
            <w:tcW w:w="679" w:type="dxa"/>
            <w:tcMar>
              <w:left w:w="0" w:type="dxa"/>
              <w:right w:w="29" w:type="dxa"/>
            </w:tcMar>
          </w:tcPr>
          <w:p w14:paraId="1966E9DF" w14:textId="77777777" w:rsidR="00531B65" w:rsidRPr="00531B65" w:rsidRDefault="00531B65" w:rsidP="00531B65">
            <w:pPr>
              <w:spacing w:after="60"/>
              <w:jc w:val="right"/>
              <w:rPr>
                <w:sz w:val="16"/>
                <w:szCs w:val="16"/>
                <w:lang w:val="en-CA" w:eastAsia="en-CA"/>
              </w:rPr>
            </w:pPr>
            <w:r w:rsidRPr="00531B65">
              <w:rPr>
                <w:sz w:val="16"/>
                <w:szCs w:val="16"/>
                <w:lang w:val="en-CA" w:eastAsia="en-CA"/>
              </w:rPr>
              <w:t>n/a</w:t>
            </w:r>
          </w:p>
        </w:tc>
        <w:tc>
          <w:tcPr>
            <w:tcW w:w="678" w:type="dxa"/>
            <w:shd w:val="clear" w:color="auto" w:fill="auto"/>
            <w:tcMar>
              <w:left w:w="0" w:type="dxa"/>
              <w:right w:w="29" w:type="dxa"/>
            </w:tcMar>
          </w:tcPr>
          <w:p w14:paraId="1C26DE50" w14:textId="77777777" w:rsidR="00531B65" w:rsidRPr="00531B65" w:rsidRDefault="00531B65" w:rsidP="00531B65">
            <w:pPr>
              <w:spacing w:after="60"/>
              <w:jc w:val="right"/>
              <w:rPr>
                <w:sz w:val="16"/>
                <w:szCs w:val="16"/>
                <w:lang w:val="en-CA" w:eastAsia="en-CA"/>
              </w:rPr>
            </w:pPr>
            <w:r w:rsidRPr="00531B65">
              <w:rPr>
                <w:sz w:val="16"/>
                <w:szCs w:val="16"/>
                <w:lang w:val="en-CA" w:eastAsia="en-CA"/>
              </w:rPr>
              <w:t>23.49</w:t>
            </w:r>
          </w:p>
        </w:tc>
        <w:tc>
          <w:tcPr>
            <w:tcW w:w="679" w:type="dxa"/>
            <w:shd w:val="clear" w:color="auto" w:fill="auto"/>
            <w:tcMar>
              <w:left w:w="0" w:type="dxa"/>
              <w:right w:w="29" w:type="dxa"/>
            </w:tcMar>
          </w:tcPr>
          <w:p w14:paraId="1A2B75C9" w14:textId="77777777" w:rsidR="00531B65" w:rsidRPr="00531B65" w:rsidRDefault="00531B65" w:rsidP="00531B65">
            <w:pPr>
              <w:spacing w:after="60"/>
              <w:jc w:val="right"/>
              <w:rPr>
                <w:sz w:val="16"/>
                <w:szCs w:val="16"/>
                <w:lang w:val="en-CA" w:eastAsia="en-CA"/>
              </w:rPr>
            </w:pPr>
            <w:r w:rsidRPr="00531B65">
              <w:rPr>
                <w:sz w:val="16"/>
                <w:szCs w:val="16"/>
                <w:lang w:val="en-CA" w:eastAsia="en-CA"/>
              </w:rPr>
              <w:t>23.49</w:t>
            </w:r>
          </w:p>
        </w:tc>
        <w:tc>
          <w:tcPr>
            <w:tcW w:w="679" w:type="dxa"/>
            <w:shd w:val="clear" w:color="auto" w:fill="auto"/>
            <w:tcMar>
              <w:left w:w="0" w:type="dxa"/>
              <w:right w:w="29" w:type="dxa"/>
            </w:tcMar>
          </w:tcPr>
          <w:p w14:paraId="105267E1" w14:textId="77777777" w:rsidR="00531B65" w:rsidRPr="00531B65" w:rsidRDefault="00531B65" w:rsidP="00531B65">
            <w:pPr>
              <w:spacing w:after="60"/>
              <w:jc w:val="right"/>
              <w:rPr>
                <w:sz w:val="16"/>
                <w:szCs w:val="16"/>
                <w:lang w:val="en-CA" w:eastAsia="en-CA"/>
              </w:rPr>
            </w:pPr>
            <w:r w:rsidRPr="00531B65">
              <w:rPr>
                <w:sz w:val="16"/>
                <w:szCs w:val="16"/>
                <w:lang w:val="en-CA" w:eastAsia="en-CA"/>
              </w:rPr>
              <w:t>21.14</w:t>
            </w:r>
          </w:p>
        </w:tc>
        <w:tc>
          <w:tcPr>
            <w:tcW w:w="678" w:type="dxa"/>
            <w:shd w:val="clear" w:color="auto" w:fill="auto"/>
            <w:tcMar>
              <w:left w:w="0" w:type="dxa"/>
              <w:right w:w="29" w:type="dxa"/>
            </w:tcMar>
          </w:tcPr>
          <w:p w14:paraId="4467DDA2" w14:textId="77777777" w:rsidR="00531B65" w:rsidRPr="00531B65" w:rsidRDefault="00531B65" w:rsidP="00531B65">
            <w:pPr>
              <w:spacing w:after="60"/>
              <w:jc w:val="right"/>
              <w:rPr>
                <w:sz w:val="16"/>
                <w:szCs w:val="16"/>
                <w:lang w:val="en-CA" w:eastAsia="en-CA"/>
              </w:rPr>
            </w:pPr>
            <w:r w:rsidRPr="00531B65">
              <w:rPr>
                <w:sz w:val="16"/>
                <w:szCs w:val="16"/>
                <w:lang w:val="en-CA" w:eastAsia="en-CA"/>
              </w:rPr>
              <w:t>21.14</w:t>
            </w:r>
          </w:p>
        </w:tc>
        <w:tc>
          <w:tcPr>
            <w:tcW w:w="679" w:type="dxa"/>
            <w:shd w:val="clear" w:color="auto" w:fill="auto"/>
            <w:tcMar>
              <w:left w:w="0" w:type="dxa"/>
              <w:right w:w="29" w:type="dxa"/>
            </w:tcMar>
          </w:tcPr>
          <w:p w14:paraId="5FAE60D9" w14:textId="77777777" w:rsidR="00531B65" w:rsidRPr="00531B65" w:rsidRDefault="00531B65" w:rsidP="00531B65">
            <w:pPr>
              <w:spacing w:after="60"/>
              <w:jc w:val="right"/>
              <w:rPr>
                <w:sz w:val="16"/>
                <w:szCs w:val="16"/>
                <w:lang w:val="en-CA" w:eastAsia="en-CA"/>
              </w:rPr>
            </w:pPr>
            <w:r w:rsidRPr="00531B65">
              <w:rPr>
                <w:sz w:val="16"/>
                <w:szCs w:val="16"/>
                <w:lang w:val="en-CA" w:eastAsia="en-CA"/>
              </w:rPr>
              <w:t>21.14</w:t>
            </w:r>
          </w:p>
        </w:tc>
        <w:tc>
          <w:tcPr>
            <w:tcW w:w="679" w:type="dxa"/>
            <w:shd w:val="clear" w:color="auto" w:fill="auto"/>
            <w:tcMar>
              <w:left w:w="0" w:type="dxa"/>
              <w:right w:w="29" w:type="dxa"/>
            </w:tcMar>
          </w:tcPr>
          <w:p w14:paraId="3FC64C3C" w14:textId="77777777" w:rsidR="00531B65" w:rsidRPr="00531B65" w:rsidRDefault="00531B65" w:rsidP="00531B65">
            <w:pPr>
              <w:spacing w:after="60"/>
              <w:jc w:val="right"/>
              <w:rPr>
                <w:sz w:val="16"/>
                <w:szCs w:val="16"/>
                <w:lang w:val="en-CA" w:eastAsia="en-CA"/>
              </w:rPr>
            </w:pPr>
            <w:r w:rsidRPr="00531B65">
              <w:rPr>
                <w:sz w:val="16"/>
                <w:szCs w:val="16"/>
                <w:lang w:val="en-CA" w:eastAsia="en-CA"/>
              </w:rPr>
              <w:t>21.14</w:t>
            </w:r>
          </w:p>
        </w:tc>
        <w:tc>
          <w:tcPr>
            <w:tcW w:w="678" w:type="dxa"/>
            <w:shd w:val="clear" w:color="auto" w:fill="auto"/>
            <w:tcMar>
              <w:left w:w="0" w:type="dxa"/>
              <w:right w:w="29" w:type="dxa"/>
            </w:tcMar>
          </w:tcPr>
          <w:p w14:paraId="356766C0" w14:textId="77777777" w:rsidR="00531B65" w:rsidRPr="00531B65" w:rsidRDefault="00531B65" w:rsidP="00531B65">
            <w:pPr>
              <w:spacing w:after="60"/>
              <w:jc w:val="right"/>
              <w:rPr>
                <w:sz w:val="16"/>
                <w:szCs w:val="16"/>
                <w:lang w:val="en-CA" w:eastAsia="en-CA"/>
              </w:rPr>
            </w:pPr>
            <w:r w:rsidRPr="00531B65">
              <w:rPr>
                <w:sz w:val="16"/>
                <w:szCs w:val="16"/>
                <w:lang w:val="en-CA" w:eastAsia="en-CA"/>
              </w:rPr>
              <w:t>21.14</w:t>
            </w:r>
          </w:p>
        </w:tc>
        <w:tc>
          <w:tcPr>
            <w:tcW w:w="679" w:type="dxa"/>
            <w:shd w:val="clear" w:color="auto" w:fill="auto"/>
            <w:tcMar>
              <w:left w:w="0" w:type="dxa"/>
              <w:right w:w="29" w:type="dxa"/>
            </w:tcMar>
          </w:tcPr>
          <w:p w14:paraId="5ADD9C21" w14:textId="77777777" w:rsidR="00531B65" w:rsidRPr="00531B65" w:rsidRDefault="00531B65" w:rsidP="00531B65">
            <w:pPr>
              <w:spacing w:after="60"/>
              <w:jc w:val="right"/>
              <w:rPr>
                <w:sz w:val="16"/>
                <w:szCs w:val="16"/>
                <w:lang w:val="en-CA" w:eastAsia="en-CA"/>
              </w:rPr>
            </w:pPr>
            <w:r w:rsidRPr="00531B65">
              <w:rPr>
                <w:sz w:val="16"/>
                <w:szCs w:val="16"/>
                <w:lang w:val="en-CA" w:eastAsia="en-CA"/>
              </w:rPr>
              <w:t>15.27</w:t>
            </w:r>
          </w:p>
        </w:tc>
        <w:tc>
          <w:tcPr>
            <w:tcW w:w="679" w:type="dxa"/>
            <w:shd w:val="clear" w:color="auto" w:fill="auto"/>
            <w:tcMar>
              <w:left w:w="0" w:type="dxa"/>
              <w:right w:w="29" w:type="dxa"/>
            </w:tcMar>
          </w:tcPr>
          <w:p w14:paraId="02BB89AA" w14:textId="77777777" w:rsidR="00531B65" w:rsidRPr="00531B65" w:rsidRDefault="00531B65" w:rsidP="00531B65">
            <w:pPr>
              <w:spacing w:after="60"/>
              <w:jc w:val="center"/>
              <w:rPr>
                <w:sz w:val="16"/>
                <w:szCs w:val="16"/>
                <w:lang w:val="en-CA" w:eastAsia="en-CA"/>
              </w:rPr>
            </w:pPr>
            <w:r w:rsidRPr="00531B65">
              <w:rPr>
                <w:sz w:val="16"/>
                <w:szCs w:val="16"/>
                <w:lang w:val="en-CA" w:eastAsia="en-CA"/>
              </w:rPr>
              <w:t>n/a</w:t>
            </w:r>
          </w:p>
        </w:tc>
      </w:tr>
      <w:tr w:rsidR="00531B65" w:rsidRPr="00531B65" w14:paraId="367F46C1" w14:textId="77777777" w:rsidTr="00BA7EA0">
        <w:trPr>
          <w:trHeight w:val="465"/>
        </w:trPr>
        <w:tc>
          <w:tcPr>
            <w:tcW w:w="2547" w:type="dxa"/>
            <w:gridSpan w:val="3"/>
            <w:shd w:val="clear" w:color="auto" w:fill="auto"/>
          </w:tcPr>
          <w:p w14:paraId="731F984E" w14:textId="77777777" w:rsidR="00531B65" w:rsidRPr="00531B65" w:rsidRDefault="00531B65" w:rsidP="00531B65">
            <w:pPr>
              <w:spacing w:after="60"/>
              <w:jc w:val="left"/>
              <w:rPr>
                <w:sz w:val="16"/>
                <w:szCs w:val="16"/>
                <w:lang w:val="en-CA" w:eastAsia="en-CA"/>
              </w:rPr>
            </w:pPr>
            <w:r w:rsidRPr="00531B65">
              <w:rPr>
                <w:sz w:val="16"/>
                <w:szCs w:val="16"/>
                <w:lang w:val="en-CA" w:eastAsia="en-CA"/>
              </w:rPr>
              <w:t>Maximum allowable consumption (ODP tonnes)</w:t>
            </w:r>
          </w:p>
        </w:tc>
        <w:tc>
          <w:tcPr>
            <w:tcW w:w="678" w:type="dxa"/>
            <w:tcMar>
              <w:left w:w="0" w:type="dxa"/>
              <w:right w:w="29" w:type="dxa"/>
            </w:tcMar>
          </w:tcPr>
          <w:p w14:paraId="1E22DA01" w14:textId="77777777" w:rsidR="00531B65" w:rsidRPr="00531B65" w:rsidRDefault="00531B65" w:rsidP="00531B65">
            <w:pPr>
              <w:spacing w:after="60"/>
              <w:jc w:val="right"/>
              <w:rPr>
                <w:sz w:val="16"/>
                <w:szCs w:val="16"/>
                <w:lang w:val="en-CA" w:eastAsia="en-CA"/>
              </w:rPr>
            </w:pPr>
            <w:r w:rsidRPr="00531B65">
              <w:rPr>
                <w:sz w:val="16"/>
                <w:szCs w:val="16"/>
                <w:lang w:val="en-CA" w:eastAsia="en-CA"/>
              </w:rPr>
              <w:t>n/a</w:t>
            </w:r>
          </w:p>
        </w:tc>
        <w:tc>
          <w:tcPr>
            <w:tcW w:w="679" w:type="dxa"/>
            <w:tcMar>
              <w:left w:w="0" w:type="dxa"/>
              <w:right w:w="29" w:type="dxa"/>
            </w:tcMar>
          </w:tcPr>
          <w:p w14:paraId="3A1220F8" w14:textId="77777777" w:rsidR="00531B65" w:rsidRPr="00531B65" w:rsidRDefault="00531B65" w:rsidP="00531B65">
            <w:pPr>
              <w:spacing w:after="60"/>
              <w:jc w:val="right"/>
              <w:rPr>
                <w:sz w:val="16"/>
                <w:szCs w:val="16"/>
                <w:lang w:val="en-CA" w:eastAsia="en-CA"/>
              </w:rPr>
            </w:pPr>
            <w:r w:rsidRPr="00531B65">
              <w:rPr>
                <w:sz w:val="16"/>
                <w:szCs w:val="16"/>
                <w:lang w:val="en-CA" w:eastAsia="en-CA"/>
              </w:rPr>
              <w:t>n/a</w:t>
            </w:r>
          </w:p>
        </w:tc>
        <w:tc>
          <w:tcPr>
            <w:tcW w:w="678" w:type="dxa"/>
            <w:shd w:val="clear" w:color="auto" w:fill="auto"/>
            <w:tcMar>
              <w:left w:w="0" w:type="dxa"/>
              <w:right w:w="29" w:type="dxa"/>
            </w:tcMar>
          </w:tcPr>
          <w:p w14:paraId="6487A44E" w14:textId="77777777" w:rsidR="00531B65" w:rsidRPr="00531B65" w:rsidRDefault="00531B65" w:rsidP="00531B65">
            <w:pPr>
              <w:spacing w:after="60"/>
              <w:jc w:val="right"/>
              <w:rPr>
                <w:sz w:val="16"/>
                <w:szCs w:val="16"/>
                <w:lang w:val="en-CA" w:eastAsia="en-CA"/>
              </w:rPr>
            </w:pPr>
            <w:r w:rsidRPr="00531B65">
              <w:rPr>
                <w:sz w:val="16"/>
                <w:szCs w:val="16"/>
                <w:lang w:val="en-CA" w:eastAsia="en-CA"/>
              </w:rPr>
              <w:t>23.49</w:t>
            </w:r>
          </w:p>
        </w:tc>
        <w:tc>
          <w:tcPr>
            <w:tcW w:w="679" w:type="dxa"/>
            <w:shd w:val="clear" w:color="auto" w:fill="auto"/>
            <w:tcMar>
              <w:left w:w="0" w:type="dxa"/>
              <w:right w:w="29" w:type="dxa"/>
            </w:tcMar>
          </w:tcPr>
          <w:p w14:paraId="42B738D9" w14:textId="77777777" w:rsidR="00531B65" w:rsidRPr="00531B65" w:rsidRDefault="00531B65" w:rsidP="00531B65">
            <w:pPr>
              <w:spacing w:after="60"/>
              <w:jc w:val="right"/>
              <w:rPr>
                <w:sz w:val="16"/>
                <w:szCs w:val="16"/>
                <w:lang w:val="en-CA" w:eastAsia="en-CA"/>
              </w:rPr>
            </w:pPr>
            <w:r w:rsidRPr="00531B65">
              <w:rPr>
                <w:sz w:val="16"/>
                <w:szCs w:val="16"/>
                <w:lang w:val="en-CA" w:eastAsia="en-CA"/>
              </w:rPr>
              <w:t>23.49</w:t>
            </w:r>
          </w:p>
        </w:tc>
        <w:tc>
          <w:tcPr>
            <w:tcW w:w="679" w:type="dxa"/>
            <w:shd w:val="clear" w:color="auto" w:fill="auto"/>
            <w:tcMar>
              <w:left w:w="0" w:type="dxa"/>
              <w:right w:w="29" w:type="dxa"/>
            </w:tcMar>
          </w:tcPr>
          <w:p w14:paraId="0A0CC7FC" w14:textId="77777777" w:rsidR="00531B65" w:rsidRPr="00531B65" w:rsidRDefault="00531B65" w:rsidP="00531B65">
            <w:pPr>
              <w:spacing w:after="60"/>
              <w:jc w:val="right"/>
              <w:rPr>
                <w:sz w:val="16"/>
                <w:szCs w:val="16"/>
                <w:lang w:val="en-CA" w:eastAsia="en-CA"/>
              </w:rPr>
            </w:pPr>
            <w:r w:rsidRPr="00531B65">
              <w:rPr>
                <w:sz w:val="16"/>
                <w:szCs w:val="16"/>
                <w:lang w:val="en-CA" w:eastAsia="en-CA"/>
              </w:rPr>
              <w:t>21.14</w:t>
            </w:r>
          </w:p>
        </w:tc>
        <w:tc>
          <w:tcPr>
            <w:tcW w:w="678" w:type="dxa"/>
            <w:shd w:val="clear" w:color="auto" w:fill="auto"/>
            <w:tcMar>
              <w:left w:w="0" w:type="dxa"/>
              <w:right w:w="29" w:type="dxa"/>
            </w:tcMar>
          </w:tcPr>
          <w:p w14:paraId="2760B849" w14:textId="77777777" w:rsidR="00531B65" w:rsidRPr="00531B65" w:rsidRDefault="00531B65" w:rsidP="00531B65">
            <w:pPr>
              <w:spacing w:after="60"/>
              <w:jc w:val="right"/>
              <w:rPr>
                <w:sz w:val="16"/>
                <w:szCs w:val="16"/>
                <w:lang w:val="en-CA" w:eastAsia="en-CA"/>
              </w:rPr>
            </w:pPr>
            <w:r w:rsidRPr="00531B65">
              <w:rPr>
                <w:sz w:val="16"/>
                <w:szCs w:val="16"/>
                <w:lang w:val="en-CA" w:eastAsia="en-CA"/>
              </w:rPr>
              <w:t>21.14</w:t>
            </w:r>
          </w:p>
        </w:tc>
        <w:tc>
          <w:tcPr>
            <w:tcW w:w="679" w:type="dxa"/>
            <w:shd w:val="clear" w:color="auto" w:fill="auto"/>
            <w:tcMar>
              <w:left w:w="0" w:type="dxa"/>
              <w:right w:w="29" w:type="dxa"/>
            </w:tcMar>
          </w:tcPr>
          <w:p w14:paraId="448A82AA" w14:textId="77777777" w:rsidR="00531B65" w:rsidRPr="00531B65" w:rsidRDefault="00531B65" w:rsidP="00531B65">
            <w:pPr>
              <w:spacing w:after="60"/>
              <w:jc w:val="right"/>
              <w:rPr>
                <w:sz w:val="16"/>
                <w:szCs w:val="16"/>
                <w:lang w:val="en-CA" w:eastAsia="en-CA"/>
              </w:rPr>
            </w:pPr>
            <w:r w:rsidRPr="00531B65">
              <w:rPr>
                <w:sz w:val="16"/>
                <w:szCs w:val="16"/>
                <w:lang w:val="en-CA" w:eastAsia="en-CA"/>
              </w:rPr>
              <w:t>21.14</w:t>
            </w:r>
          </w:p>
        </w:tc>
        <w:tc>
          <w:tcPr>
            <w:tcW w:w="679" w:type="dxa"/>
            <w:shd w:val="clear" w:color="auto" w:fill="auto"/>
            <w:tcMar>
              <w:left w:w="0" w:type="dxa"/>
              <w:right w:w="29" w:type="dxa"/>
            </w:tcMar>
          </w:tcPr>
          <w:p w14:paraId="10C38BCD" w14:textId="77777777" w:rsidR="00531B65" w:rsidRPr="00531B65" w:rsidRDefault="00531B65" w:rsidP="00531B65">
            <w:pPr>
              <w:spacing w:after="60"/>
              <w:jc w:val="right"/>
              <w:rPr>
                <w:sz w:val="16"/>
                <w:szCs w:val="16"/>
                <w:lang w:val="en-CA" w:eastAsia="en-CA"/>
              </w:rPr>
            </w:pPr>
            <w:r w:rsidRPr="00531B65">
              <w:rPr>
                <w:sz w:val="16"/>
                <w:szCs w:val="16"/>
                <w:lang w:val="en-CA" w:eastAsia="en-CA"/>
              </w:rPr>
              <w:t>21.14</w:t>
            </w:r>
          </w:p>
        </w:tc>
        <w:tc>
          <w:tcPr>
            <w:tcW w:w="678" w:type="dxa"/>
            <w:shd w:val="clear" w:color="auto" w:fill="auto"/>
            <w:tcMar>
              <w:left w:w="0" w:type="dxa"/>
              <w:right w:w="29" w:type="dxa"/>
            </w:tcMar>
          </w:tcPr>
          <w:p w14:paraId="38D6FB5C" w14:textId="77777777" w:rsidR="00531B65" w:rsidRPr="00531B65" w:rsidRDefault="00531B65" w:rsidP="00531B65">
            <w:pPr>
              <w:spacing w:after="60"/>
              <w:jc w:val="right"/>
              <w:rPr>
                <w:sz w:val="16"/>
                <w:szCs w:val="16"/>
                <w:lang w:val="en-CA" w:eastAsia="en-CA"/>
              </w:rPr>
            </w:pPr>
            <w:r w:rsidRPr="00531B65">
              <w:rPr>
                <w:sz w:val="16"/>
                <w:szCs w:val="16"/>
                <w:lang w:val="en-CA" w:eastAsia="en-CA"/>
              </w:rPr>
              <w:t>21.14</w:t>
            </w:r>
          </w:p>
        </w:tc>
        <w:tc>
          <w:tcPr>
            <w:tcW w:w="679" w:type="dxa"/>
            <w:shd w:val="clear" w:color="auto" w:fill="auto"/>
            <w:tcMar>
              <w:left w:w="0" w:type="dxa"/>
              <w:right w:w="29" w:type="dxa"/>
            </w:tcMar>
          </w:tcPr>
          <w:p w14:paraId="2A75C1A1" w14:textId="77777777" w:rsidR="00531B65" w:rsidRPr="00531B65" w:rsidRDefault="00531B65" w:rsidP="00531B65">
            <w:pPr>
              <w:spacing w:after="60"/>
              <w:jc w:val="right"/>
              <w:rPr>
                <w:sz w:val="16"/>
                <w:szCs w:val="16"/>
                <w:lang w:val="en-CA" w:eastAsia="en-CA"/>
              </w:rPr>
            </w:pPr>
            <w:r w:rsidRPr="00531B65">
              <w:rPr>
                <w:sz w:val="16"/>
                <w:szCs w:val="16"/>
                <w:lang w:val="en-CA" w:eastAsia="en-CA"/>
              </w:rPr>
              <w:t>15.27</w:t>
            </w:r>
          </w:p>
        </w:tc>
        <w:tc>
          <w:tcPr>
            <w:tcW w:w="679" w:type="dxa"/>
            <w:shd w:val="clear" w:color="auto" w:fill="auto"/>
            <w:tcMar>
              <w:left w:w="0" w:type="dxa"/>
              <w:right w:w="29" w:type="dxa"/>
            </w:tcMar>
          </w:tcPr>
          <w:p w14:paraId="029202BA" w14:textId="77777777" w:rsidR="00531B65" w:rsidRPr="00531B65" w:rsidRDefault="00531B65" w:rsidP="00531B65">
            <w:pPr>
              <w:spacing w:after="60"/>
              <w:jc w:val="center"/>
              <w:rPr>
                <w:sz w:val="16"/>
                <w:szCs w:val="16"/>
                <w:lang w:val="en-CA" w:eastAsia="en-CA"/>
              </w:rPr>
            </w:pPr>
            <w:r w:rsidRPr="00531B65">
              <w:rPr>
                <w:sz w:val="16"/>
                <w:szCs w:val="16"/>
                <w:lang w:val="en-CA" w:eastAsia="en-CA"/>
              </w:rPr>
              <w:t>n/a</w:t>
            </w:r>
          </w:p>
        </w:tc>
      </w:tr>
      <w:tr w:rsidR="00531B65" w:rsidRPr="00531B65" w14:paraId="41601EB2" w14:textId="77777777" w:rsidTr="00BA7EA0">
        <w:trPr>
          <w:trHeight w:val="277"/>
        </w:trPr>
        <w:tc>
          <w:tcPr>
            <w:tcW w:w="704" w:type="dxa"/>
            <w:vMerge w:val="restart"/>
            <w:shd w:val="clear" w:color="auto" w:fill="auto"/>
          </w:tcPr>
          <w:p w14:paraId="4BCA21E6" w14:textId="77777777" w:rsidR="00531B65" w:rsidRPr="00531B65" w:rsidRDefault="00531B65" w:rsidP="00531B65">
            <w:pPr>
              <w:spacing w:after="60"/>
              <w:jc w:val="left"/>
              <w:rPr>
                <w:sz w:val="16"/>
                <w:szCs w:val="16"/>
                <w:lang w:val="en-CA" w:eastAsia="en-CA"/>
              </w:rPr>
            </w:pPr>
            <w:r w:rsidRPr="00531B65">
              <w:rPr>
                <w:sz w:val="16"/>
                <w:szCs w:val="16"/>
                <w:lang w:val="en-CA" w:eastAsia="en-CA"/>
              </w:rPr>
              <w:t>Agreed funding (US$)</w:t>
            </w:r>
          </w:p>
        </w:tc>
        <w:tc>
          <w:tcPr>
            <w:tcW w:w="709" w:type="dxa"/>
            <w:vMerge w:val="restart"/>
            <w:shd w:val="clear" w:color="auto" w:fill="auto"/>
          </w:tcPr>
          <w:p w14:paraId="24833F7C" w14:textId="77777777" w:rsidR="00531B65" w:rsidRPr="00531B65" w:rsidRDefault="00531B65" w:rsidP="00531B65">
            <w:pPr>
              <w:spacing w:after="60"/>
              <w:jc w:val="center"/>
              <w:rPr>
                <w:sz w:val="16"/>
                <w:szCs w:val="16"/>
                <w:lang w:val="en-CA" w:eastAsia="en-CA"/>
              </w:rPr>
            </w:pPr>
            <w:r w:rsidRPr="00531B65">
              <w:rPr>
                <w:sz w:val="16"/>
                <w:szCs w:val="16"/>
                <w:lang w:val="en-CA" w:eastAsia="en-CA"/>
              </w:rPr>
              <w:t>UNIDO</w:t>
            </w:r>
          </w:p>
        </w:tc>
        <w:tc>
          <w:tcPr>
            <w:tcW w:w="1134" w:type="dxa"/>
            <w:shd w:val="clear" w:color="auto" w:fill="auto"/>
          </w:tcPr>
          <w:p w14:paraId="5A274419" w14:textId="77777777" w:rsidR="00531B65" w:rsidRPr="00531B65" w:rsidRDefault="00531B65" w:rsidP="00531B65">
            <w:pPr>
              <w:spacing w:after="60"/>
              <w:jc w:val="left"/>
              <w:rPr>
                <w:sz w:val="16"/>
                <w:szCs w:val="16"/>
                <w:lang w:val="en-CA" w:eastAsia="en-CA"/>
              </w:rPr>
            </w:pPr>
            <w:r w:rsidRPr="00531B65">
              <w:rPr>
                <w:sz w:val="16"/>
                <w:szCs w:val="16"/>
                <w:lang w:val="en-CA" w:eastAsia="en-CA"/>
              </w:rPr>
              <w:t>Project costs</w:t>
            </w:r>
          </w:p>
        </w:tc>
        <w:tc>
          <w:tcPr>
            <w:tcW w:w="678" w:type="dxa"/>
            <w:tcMar>
              <w:left w:w="0" w:type="dxa"/>
              <w:right w:w="29" w:type="dxa"/>
            </w:tcMar>
          </w:tcPr>
          <w:p w14:paraId="2F6C5AEF" w14:textId="77777777" w:rsidR="00531B65" w:rsidRPr="00531B65" w:rsidRDefault="00531B65" w:rsidP="00531B65">
            <w:pPr>
              <w:spacing w:after="60"/>
              <w:jc w:val="right"/>
              <w:rPr>
                <w:sz w:val="16"/>
                <w:szCs w:val="16"/>
                <w:lang w:val="en-CA" w:eastAsia="en-CA"/>
              </w:rPr>
            </w:pPr>
            <w:r w:rsidRPr="00531B65">
              <w:rPr>
                <w:sz w:val="16"/>
                <w:szCs w:val="16"/>
                <w:lang w:val="en-CA" w:eastAsia="en-CA"/>
              </w:rPr>
              <w:t>1,531,940</w:t>
            </w:r>
          </w:p>
        </w:tc>
        <w:tc>
          <w:tcPr>
            <w:tcW w:w="679" w:type="dxa"/>
            <w:tcMar>
              <w:left w:w="0" w:type="dxa"/>
              <w:right w:w="29" w:type="dxa"/>
            </w:tcMar>
          </w:tcPr>
          <w:p w14:paraId="6AE95338" w14:textId="77777777" w:rsidR="00531B65" w:rsidRPr="00531B65" w:rsidRDefault="00531B65" w:rsidP="00531B65">
            <w:pPr>
              <w:spacing w:after="60"/>
              <w:jc w:val="right"/>
              <w:rPr>
                <w:sz w:val="16"/>
                <w:szCs w:val="16"/>
                <w:lang w:val="en-CA" w:eastAsia="en-CA"/>
              </w:rPr>
            </w:pPr>
            <w:r w:rsidRPr="00531B65">
              <w:rPr>
                <w:sz w:val="16"/>
                <w:szCs w:val="16"/>
                <w:lang w:val="en-CA" w:eastAsia="en-CA"/>
              </w:rPr>
              <w:t>0</w:t>
            </w:r>
          </w:p>
        </w:tc>
        <w:tc>
          <w:tcPr>
            <w:tcW w:w="678" w:type="dxa"/>
            <w:shd w:val="clear" w:color="auto" w:fill="auto"/>
            <w:tcMar>
              <w:left w:w="0" w:type="dxa"/>
              <w:right w:w="29" w:type="dxa"/>
            </w:tcMar>
          </w:tcPr>
          <w:p w14:paraId="142A87BA" w14:textId="77777777" w:rsidR="00531B65" w:rsidRPr="00531B65" w:rsidRDefault="00531B65" w:rsidP="00531B65">
            <w:pPr>
              <w:spacing w:after="60"/>
              <w:jc w:val="right"/>
              <w:rPr>
                <w:sz w:val="16"/>
                <w:szCs w:val="16"/>
                <w:lang w:val="en-CA" w:eastAsia="en-CA"/>
              </w:rPr>
            </w:pPr>
            <w:r w:rsidRPr="00531B65">
              <w:rPr>
                <w:sz w:val="16"/>
                <w:szCs w:val="16"/>
                <w:lang w:val="en-CA" w:eastAsia="en-CA"/>
              </w:rPr>
              <w:t>86,500</w:t>
            </w:r>
          </w:p>
        </w:tc>
        <w:tc>
          <w:tcPr>
            <w:tcW w:w="679" w:type="dxa"/>
            <w:shd w:val="clear" w:color="auto" w:fill="auto"/>
            <w:tcMar>
              <w:left w:w="0" w:type="dxa"/>
              <w:right w:w="29" w:type="dxa"/>
            </w:tcMar>
          </w:tcPr>
          <w:p w14:paraId="3EA5B221" w14:textId="77777777" w:rsidR="00531B65" w:rsidRPr="00531B65" w:rsidRDefault="00531B65" w:rsidP="00531B65">
            <w:pPr>
              <w:spacing w:after="60"/>
              <w:jc w:val="right"/>
              <w:rPr>
                <w:sz w:val="16"/>
                <w:szCs w:val="16"/>
                <w:lang w:val="en-CA" w:eastAsia="en-CA"/>
              </w:rPr>
            </w:pPr>
            <w:r w:rsidRPr="00531B65">
              <w:rPr>
                <w:sz w:val="16"/>
                <w:szCs w:val="16"/>
                <w:lang w:val="en-CA" w:eastAsia="en-CA"/>
              </w:rPr>
              <w:t>0</w:t>
            </w:r>
          </w:p>
        </w:tc>
        <w:tc>
          <w:tcPr>
            <w:tcW w:w="679" w:type="dxa"/>
            <w:shd w:val="clear" w:color="auto" w:fill="auto"/>
            <w:tcMar>
              <w:left w:w="0" w:type="dxa"/>
              <w:right w:w="29" w:type="dxa"/>
            </w:tcMar>
          </w:tcPr>
          <w:p w14:paraId="75AF615E" w14:textId="77777777" w:rsidR="00531B65" w:rsidRPr="00531B65" w:rsidRDefault="00531B65" w:rsidP="00531B65">
            <w:pPr>
              <w:spacing w:after="60"/>
              <w:jc w:val="right"/>
              <w:rPr>
                <w:sz w:val="16"/>
                <w:szCs w:val="16"/>
                <w:lang w:val="en-CA" w:eastAsia="en-CA"/>
              </w:rPr>
            </w:pPr>
            <w:r w:rsidRPr="00531B65">
              <w:rPr>
                <w:sz w:val="16"/>
                <w:szCs w:val="16"/>
                <w:lang w:val="en-CA" w:eastAsia="en-CA"/>
              </w:rPr>
              <w:t>0</w:t>
            </w:r>
          </w:p>
        </w:tc>
        <w:tc>
          <w:tcPr>
            <w:tcW w:w="678" w:type="dxa"/>
            <w:shd w:val="clear" w:color="auto" w:fill="auto"/>
            <w:tcMar>
              <w:left w:w="0" w:type="dxa"/>
              <w:right w:w="29" w:type="dxa"/>
            </w:tcMar>
          </w:tcPr>
          <w:p w14:paraId="64375AFE" w14:textId="77777777" w:rsidR="00531B65" w:rsidRPr="00531B65" w:rsidRDefault="00531B65" w:rsidP="00531B65">
            <w:pPr>
              <w:spacing w:after="60"/>
              <w:jc w:val="right"/>
              <w:rPr>
                <w:sz w:val="16"/>
                <w:szCs w:val="16"/>
                <w:lang w:val="en-CA" w:eastAsia="en-CA"/>
              </w:rPr>
            </w:pPr>
            <w:r w:rsidRPr="00531B65">
              <w:rPr>
                <w:sz w:val="16"/>
                <w:szCs w:val="16"/>
                <w:lang w:val="en-CA" w:eastAsia="en-CA"/>
              </w:rPr>
              <w:t>86,500</w:t>
            </w:r>
          </w:p>
        </w:tc>
        <w:tc>
          <w:tcPr>
            <w:tcW w:w="679" w:type="dxa"/>
            <w:shd w:val="clear" w:color="auto" w:fill="auto"/>
            <w:tcMar>
              <w:left w:w="0" w:type="dxa"/>
              <w:right w:w="29" w:type="dxa"/>
            </w:tcMar>
          </w:tcPr>
          <w:p w14:paraId="3AAAA840" w14:textId="77777777" w:rsidR="00531B65" w:rsidRPr="00531B65" w:rsidRDefault="00531B65" w:rsidP="00531B65">
            <w:pPr>
              <w:spacing w:after="60"/>
              <w:jc w:val="right"/>
              <w:rPr>
                <w:sz w:val="16"/>
                <w:szCs w:val="16"/>
                <w:lang w:val="en-CA" w:eastAsia="en-CA"/>
              </w:rPr>
            </w:pPr>
            <w:r w:rsidRPr="00531B65">
              <w:rPr>
                <w:sz w:val="16"/>
                <w:szCs w:val="16"/>
                <w:lang w:val="en-CA" w:eastAsia="en-CA"/>
              </w:rPr>
              <w:t>0</w:t>
            </w:r>
          </w:p>
        </w:tc>
        <w:tc>
          <w:tcPr>
            <w:tcW w:w="679" w:type="dxa"/>
            <w:shd w:val="clear" w:color="auto" w:fill="auto"/>
            <w:tcMar>
              <w:left w:w="0" w:type="dxa"/>
              <w:right w:w="29" w:type="dxa"/>
            </w:tcMar>
          </w:tcPr>
          <w:p w14:paraId="40058142" w14:textId="77777777" w:rsidR="00531B65" w:rsidRPr="00531B65" w:rsidRDefault="00531B65" w:rsidP="00531B65">
            <w:pPr>
              <w:spacing w:after="60"/>
              <w:jc w:val="right"/>
              <w:rPr>
                <w:sz w:val="16"/>
                <w:szCs w:val="16"/>
                <w:lang w:val="en-CA" w:eastAsia="en-CA"/>
              </w:rPr>
            </w:pPr>
            <w:r w:rsidRPr="00531B65">
              <w:rPr>
                <w:sz w:val="16"/>
                <w:szCs w:val="16"/>
                <w:lang w:val="en-CA" w:eastAsia="en-CA"/>
              </w:rPr>
              <w:t>518,219</w:t>
            </w:r>
          </w:p>
        </w:tc>
        <w:tc>
          <w:tcPr>
            <w:tcW w:w="678" w:type="dxa"/>
            <w:shd w:val="clear" w:color="auto" w:fill="auto"/>
            <w:tcMar>
              <w:left w:w="0" w:type="dxa"/>
              <w:right w:w="29" w:type="dxa"/>
            </w:tcMar>
          </w:tcPr>
          <w:p w14:paraId="2E3C8AEF" w14:textId="77777777" w:rsidR="00531B65" w:rsidRPr="00531B65" w:rsidRDefault="00531B65" w:rsidP="00531B65">
            <w:pPr>
              <w:spacing w:after="60"/>
              <w:jc w:val="right"/>
              <w:rPr>
                <w:sz w:val="16"/>
                <w:szCs w:val="16"/>
                <w:lang w:val="en-CA" w:eastAsia="en-CA"/>
              </w:rPr>
            </w:pPr>
            <w:r w:rsidRPr="00531B65">
              <w:rPr>
                <w:sz w:val="16"/>
                <w:szCs w:val="16"/>
                <w:lang w:val="en-CA" w:eastAsia="en-CA"/>
              </w:rPr>
              <w:t>0</w:t>
            </w:r>
          </w:p>
        </w:tc>
        <w:tc>
          <w:tcPr>
            <w:tcW w:w="679" w:type="dxa"/>
            <w:shd w:val="clear" w:color="auto" w:fill="auto"/>
            <w:tcMar>
              <w:left w:w="0" w:type="dxa"/>
              <w:right w:w="29" w:type="dxa"/>
            </w:tcMar>
          </w:tcPr>
          <w:p w14:paraId="63AAB103" w14:textId="77777777" w:rsidR="00531B65" w:rsidRPr="00531B65" w:rsidRDefault="00531B65" w:rsidP="00531B65">
            <w:pPr>
              <w:spacing w:after="60"/>
              <w:jc w:val="right"/>
              <w:rPr>
                <w:sz w:val="16"/>
                <w:szCs w:val="16"/>
                <w:lang w:val="en-CA" w:eastAsia="en-CA"/>
              </w:rPr>
            </w:pPr>
            <w:r w:rsidRPr="00531B65">
              <w:rPr>
                <w:sz w:val="16"/>
                <w:szCs w:val="16"/>
                <w:lang w:val="en-CA" w:eastAsia="en-CA"/>
              </w:rPr>
              <w:t>55,000</w:t>
            </w:r>
          </w:p>
        </w:tc>
        <w:tc>
          <w:tcPr>
            <w:tcW w:w="679" w:type="dxa"/>
            <w:shd w:val="clear" w:color="auto" w:fill="auto"/>
            <w:tcMar>
              <w:left w:w="0" w:type="dxa"/>
              <w:right w:w="29" w:type="dxa"/>
            </w:tcMar>
          </w:tcPr>
          <w:p w14:paraId="2655B727" w14:textId="77777777" w:rsidR="00531B65" w:rsidRPr="00531B65" w:rsidRDefault="00531B65" w:rsidP="00531B65">
            <w:pPr>
              <w:spacing w:after="60"/>
              <w:jc w:val="right"/>
              <w:rPr>
                <w:sz w:val="16"/>
                <w:szCs w:val="16"/>
                <w:lang w:val="en-CA" w:eastAsia="en-CA"/>
              </w:rPr>
            </w:pPr>
            <w:r w:rsidRPr="00531B65">
              <w:rPr>
                <w:color w:val="000000"/>
                <w:sz w:val="16"/>
                <w:szCs w:val="16"/>
                <w:lang w:val="en-CA" w:eastAsia="en-CA"/>
              </w:rPr>
              <w:t>2,278,159</w:t>
            </w:r>
          </w:p>
        </w:tc>
      </w:tr>
      <w:tr w:rsidR="00531B65" w:rsidRPr="00531B65" w14:paraId="663DF23D" w14:textId="77777777" w:rsidTr="00BA7EA0">
        <w:trPr>
          <w:trHeight w:val="277"/>
        </w:trPr>
        <w:tc>
          <w:tcPr>
            <w:tcW w:w="704" w:type="dxa"/>
            <w:vMerge/>
            <w:shd w:val="clear" w:color="auto" w:fill="auto"/>
          </w:tcPr>
          <w:p w14:paraId="1F86701A" w14:textId="77777777" w:rsidR="00531B65" w:rsidRPr="00531B65" w:rsidRDefault="00531B65" w:rsidP="00531B65">
            <w:pPr>
              <w:spacing w:after="60"/>
              <w:jc w:val="center"/>
              <w:rPr>
                <w:sz w:val="16"/>
                <w:szCs w:val="16"/>
                <w:lang w:val="en-CA" w:eastAsia="en-CA"/>
              </w:rPr>
            </w:pPr>
          </w:p>
        </w:tc>
        <w:tc>
          <w:tcPr>
            <w:tcW w:w="709" w:type="dxa"/>
            <w:vMerge/>
            <w:shd w:val="clear" w:color="auto" w:fill="auto"/>
          </w:tcPr>
          <w:p w14:paraId="03875C55" w14:textId="77777777" w:rsidR="00531B65" w:rsidRPr="00531B65" w:rsidRDefault="00531B65" w:rsidP="00531B65">
            <w:pPr>
              <w:spacing w:after="60"/>
              <w:jc w:val="center"/>
              <w:rPr>
                <w:sz w:val="16"/>
                <w:szCs w:val="16"/>
                <w:lang w:val="en-CA" w:eastAsia="en-CA"/>
              </w:rPr>
            </w:pPr>
          </w:p>
        </w:tc>
        <w:tc>
          <w:tcPr>
            <w:tcW w:w="1134" w:type="dxa"/>
            <w:shd w:val="clear" w:color="auto" w:fill="auto"/>
          </w:tcPr>
          <w:p w14:paraId="7AEDD5E8" w14:textId="77777777" w:rsidR="00531B65" w:rsidRPr="00531B65" w:rsidRDefault="00531B65" w:rsidP="00531B65">
            <w:pPr>
              <w:spacing w:after="60"/>
              <w:jc w:val="left"/>
              <w:rPr>
                <w:sz w:val="16"/>
                <w:szCs w:val="16"/>
                <w:lang w:val="en-CA" w:eastAsia="en-CA"/>
              </w:rPr>
            </w:pPr>
            <w:r w:rsidRPr="00531B65">
              <w:rPr>
                <w:sz w:val="16"/>
                <w:szCs w:val="16"/>
                <w:lang w:val="en-CA" w:eastAsia="en-CA"/>
              </w:rPr>
              <w:t>Support costs</w:t>
            </w:r>
          </w:p>
        </w:tc>
        <w:tc>
          <w:tcPr>
            <w:tcW w:w="678" w:type="dxa"/>
            <w:tcMar>
              <w:left w:w="0" w:type="dxa"/>
              <w:right w:w="29" w:type="dxa"/>
            </w:tcMar>
          </w:tcPr>
          <w:p w14:paraId="11342BDB" w14:textId="77777777" w:rsidR="00531B65" w:rsidRPr="00531B65" w:rsidRDefault="00531B65" w:rsidP="00531B65">
            <w:pPr>
              <w:spacing w:after="60"/>
              <w:jc w:val="right"/>
              <w:rPr>
                <w:sz w:val="16"/>
                <w:szCs w:val="16"/>
                <w:lang w:val="en-CA" w:eastAsia="en-CA"/>
              </w:rPr>
            </w:pPr>
            <w:r w:rsidRPr="00531B65">
              <w:rPr>
                <w:sz w:val="16"/>
                <w:szCs w:val="16"/>
                <w:lang w:val="en-CA" w:eastAsia="en-CA"/>
              </w:rPr>
              <w:t>114,896</w:t>
            </w:r>
          </w:p>
        </w:tc>
        <w:tc>
          <w:tcPr>
            <w:tcW w:w="679" w:type="dxa"/>
            <w:tcMar>
              <w:left w:w="0" w:type="dxa"/>
              <w:right w:w="29" w:type="dxa"/>
            </w:tcMar>
          </w:tcPr>
          <w:p w14:paraId="19832CBB" w14:textId="77777777" w:rsidR="00531B65" w:rsidRPr="00531B65" w:rsidRDefault="00531B65" w:rsidP="00531B65">
            <w:pPr>
              <w:spacing w:after="60"/>
              <w:jc w:val="right"/>
              <w:rPr>
                <w:sz w:val="16"/>
                <w:szCs w:val="16"/>
                <w:lang w:val="en-CA" w:eastAsia="en-CA"/>
              </w:rPr>
            </w:pPr>
            <w:r w:rsidRPr="00531B65">
              <w:rPr>
                <w:sz w:val="16"/>
                <w:szCs w:val="16"/>
                <w:lang w:val="en-CA" w:eastAsia="en-CA"/>
              </w:rPr>
              <w:t>0</w:t>
            </w:r>
          </w:p>
        </w:tc>
        <w:tc>
          <w:tcPr>
            <w:tcW w:w="678" w:type="dxa"/>
            <w:shd w:val="clear" w:color="auto" w:fill="auto"/>
            <w:tcMar>
              <w:left w:w="0" w:type="dxa"/>
              <w:right w:w="29" w:type="dxa"/>
            </w:tcMar>
          </w:tcPr>
          <w:p w14:paraId="5857AFF0" w14:textId="77777777" w:rsidR="00531B65" w:rsidRPr="00531B65" w:rsidRDefault="00531B65" w:rsidP="00531B65">
            <w:pPr>
              <w:spacing w:after="60"/>
              <w:jc w:val="right"/>
              <w:rPr>
                <w:sz w:val="16"/>
                <w:szCs w:val="16"/>
                <w:lang w:val="en-CA" w:eastAsia="en-CA"/>
              </w:rPr>
            </w:pPr>
            <w:r w:rsidRPr="00531B65">
              <w:rPr>
                <w:sz w:val="16"/>
                <w:szCs w:val="16"/>
                <w:lang w:val="en-CA" w:eastAsia="en-CA"/>
              </w:rPr>
              <w:t>6,488</w:t>
            </w:r>
          </w:p>
        </w:tc>
        <w:tc>
          <w:tcPr>
            <w:tcW w:w="679" w:type="dxa"/>
            <w:shd w:val="clear" w:color="auto" w:fill="auto"/>
            <w:tcMar>
              <w:left w:w="0" w:type="dxa"/>
              <w:right w:w="29" w:type="dxa"/>
            </w:tcMar>
          </w:tcPr>
          <w:p w14:paraId="37057842" w14:textId="77777777" w:rsidR="00531B65" w:rsidRPr="00531B65" w:rsidRDefault="00531B65" w:rsidP="00531B65">
            <w:pPr>
              <w:spacing w:after="60"/>
              <w:jc w:val="right"/>
              <w:rPr>
                <w:sz w:val="16"/>
                <w:szCs w:val="16"/>
                <w:lang w:val="en-CA" w:eastAsia="en-CA"/>
              </w:rPr>
            </w:pPr>
            <w:r w:rsidRPr="00531B65">
              <w:rPr>
                <w:sz w:val="16"/>
                <w:szCs w:val="16"/>
                <w:lang w:val="en-CA" w:eastAsia="en-CA"/>
              </w:rPr>
              <w:t>0</w:t>
            </w:r>
          </w:p>
        </w:tc>
        <w:tc>
          <w:tcPr>
            <w:tcW w:w="679" w:type="dxa"/>
            <w:shd w:val="clear" w:color="auto" w:fill="auto"/>
            <w:tcMar>
              <w:left w:w="0" w:type="dxa"/>
              <w:right w:w="29" w:type="dxa"/>
            </w:tcMar>
          </w:tcPr>
          <w:p w14:paraId="67E34F4B" w14:textId="77777777" w:rsidR="00531B65" w:rsidRPr="00531B65" w:rsidRDefault="00531B65" w:rsidP="00531B65">
            <w:pPr>
              <w:spacing w:after="60"/>
              <w:jc w:val="right"/>
              <w:rPr>
                <w:sz w:val="16"/>
                <w:szCs w:val="16"/>
                <w:lang w:val="en-CA" w:eastAsia="en-CA"/>
              </w:rPr>
            </w:pPr>
            <w:r w:rsidRPr="00531B65">
              <w:rPr>
                <w:sz w:val="16"/>
                <w:szCs w:val="16"/>
                <w:lang w:val="en-CA" w:eastAsia="en-CA"/>
              </w:rPr>
              <w:t>0</w:t>
            </w:r>
          </w:p>
        </w:tc>
        <w:tc>
          <w:tcPr>
            <w:tcW w:w="678" w:type="dxa"/>
            <w:shd w:val="clear" w:color="auto" w:fill="auto"/>
            <w:tcMar>
              <w:left w:w="0" w:type="dxa"/>
              <w:right w:w="29" w:type="dxa"/>
            </w:tcMar>
          </w:tcPr>
          <w:p w14:paraId="1665EFDA" w14:textId="77777777" w:rsidR="00531B65" w:rsidRPr="00531B65" w:rsidRDefault="00531B65" w:rsidP="00531B65">
            <w:pPr>
              <w:spacing w:after="60"/>
              <w:jc w:val="right"/>
              <w:rPr>
                <w:sz w:val="16"/>
                <w:szCs w:val="16"/>
                <w:lang w:val="en-CA" w:eastAsia="en-CA"/>
              </w:rPr>
            </w:pPr>
            <w:r w:rsidRPr="00531B65">
              <w:rPr>
                <w:sz w:val="16"/>
                <w:szCs w:val="16"/>
                <w:lang w:val="en-CA" w:eastAsia="en-CA"/>
              </w:rPr>
              <w:t>6,487</w:t>
            </w:r>
          </w:p>
        </w:tc>
        <w:tc>
          <w:tcPr>
            <w:tcW w:w="679" w:type="dxa"/>
            <w:shd w:val="clear" w:color="auto" w:fill="auto"/>
            <w:tcMar>
              <w:left w:w="0" w:type="dxa"/>
              <w:right w:w="29" w:type="dxa"/>
            </w:tcMar>
          </w:tcPr>
          <w:p w14:paraId="5FAF3E7B" w14:textId="77777777" w:rsidR="00531B65" w:rsidRPr="00531B65" w:rsidRDefault="00531B65" w:rsidP="00531B65">
            <w:pPr>
              <w:spacing w:after="60"/>
              <w:jc w:val="right"/>
              <w:rPr>
                <w:sz w:val="16"/>
                <w:szCs w:val="16"/>
                <w:lang w:val="en-CA" w:eastAsia="en-CA"/>
              </w:rPr>
            </w:pPr>
            <w:r w:rsidRPr="00531B65">
              <w:rPr>
                <w:sz w:val="16"/>
                <w:szCs w:val="16"/>
                <w:lang w:val="en-CA" w:eastAsia="en-CA"/>
              </w:rPr>
              <w:t>0</w:t>
            </w:r>
          </w:p>
        </w:tc>
        <w:tc>
          <w:tcPr>
            <w:tcW w:w="679" w:type="dxa"/>
            <w:tcBorders>
              <w:top w:val="nil"/>
              <w:left w:val="nil"/>
              <w:bottom w:val="single" w:sz="4" w:space="0" w:color="auto"/>
              <w:right w:val="single" w:sz="4" w:space="0" w:color="auto"/>
            </w:tcBorders>
            <w:shd w:val="clear" w:color="auto" w:fill="auto"/>
            <w:tcMar>
              <w:left w:w="0" w:type="dxa"/>
              <w:right w:w="29" w:type="dxa"/>
            </w:tcMar>
          </w:tcPr>
          <w:p w14:paraId="60FCEF0A" w14:textId="77777777" w:rsidR="00531B65" w:rsidRPr="00531B65" w:rsidRDefault="00531B65" w:rsidP="00531B65">
            <w:pPr>
              <w:keepNext/>
              <w:keepLines/>
              <w:jc w:val="right"/>
              <w:rPr>
                <w:color w:val="000000"/>
                <w:sz w:val="16"/>
                <w:szCs w:val="16"/>
                <w:lang w:val="en-CA" w:eastAsia="en-CA"/>
              </w:rPr>
            </w:pPr>
            <w:r w:rsidRPr="00531B65">
              <w:rPr>
                <w:color w:val="000000"/>
                <w:sz w:val="16"/>
                <w:szCs w:val="16"/>
                <w:lang w:val="en-CA" w:eastAsia="en-CA"/>
              </w:rPr>
              <w:t>36,707</w:t>
            </w:r>
          </w:p>
        </w:tc>
        <w:tc>
          <w:tcPr>
            <w:tcW w:w="678" w:type="dxa"/>
            <w:shd w:val="clear" w:color="auto" w:fill="auto"/>
            <w:tcMar>
              <w:left w:w="0" w:type="dxa"/>
              <w:right w:w="29" w:type="dxa"/>
            </w:tcMar>
          </w:tcPr>
          <w:p w14:paraId="626B4439" w14:textId="77777777" w:rsidR="00531B65" w:rsidRPr="00531B65" w:rsidRDefault="00531B65" w:rsidP="00531B65">
            <w:pPr>
              <w:spacing w:after="60"/>
              <w:jc w:val="right"/>
              <w:rPr>
                <w:sz w:val="16"/>
                <w:szCs w:val="16"/>
                <w:lang w:val="en-CA" w:eastAsia="en-CA"/>
              </w:rPr>
            </w:pPr>
            <w:r w:rsidRPr="00531B65">
              <w:rPr>
                <w:sz w:val="16"/>
                <w:szCs w:val="16"/>
                <w:lang w:val="en-CA" w:eastAsia="en-CA"/>
              </w:rPr>
              <w:t>0</w:t>
            </w:r>
          </w:p>
        </w:tc>
        <w:tc>
          <w:tcPr>
            <w:tcW w:w="679" w:type="dxa"/>
            <w:shd w:val="clear" w:color="auto" w:fill="auto"/>
            <w:tcMar>
              <w:left w:w="0" w:type="dxa"/>
              <w:right w:w="29" w:type="dxa"/>
            </w:tcMar>
          </w:tcPr>
          <w:p w14:paraId="482526A2" w14:textId="77777777" w:rsidR="00531B65" w:rsidRPr="00531B65" w:rsidRDefault="00531B65" w:rsidP="00531B65">
            <w:pPr>
              <w:spacing w:after="60"/>
              <w:jc w:val="right"/>
              <w:rPr>
                <w:sz w:val="16"/>
                <w:szCs w:val="16"/>
                <w:lang w:val="en-CA" w:eastAsia="en-CA"/>
              </w:rPr>
            </w:pPr>
            <w:r w:rsidRPr="00531B65">
              <w:rPr>
                <w:sz w:val="16"/>
                <w:szCs w:val="16"/>
                <w:lang w:val="en-CA" w:eastAsia="en-CA"/>
              </w:rPr>
              <w:t>4,125</w:t>
            </w:r>
          </w:p>
        </w:tc>
        <w:tc>
          <w:tcPr>
            <w:tcW w:w="679" w:type="dxa"/>
            <w:shd w:val="clear" w:color="auto" w:fill="auto"/>
            <w:tcMar>
              <w:left w:w="0" w:type="dxa"/>
              <w:right w:w="29" w:type="dxa"/>
            </w:tcMar>
          </w:tcPr>
          <w:p w14:paraId="5447EC38" w14:textId="77777777" w:rsidR="00531B65" w:rsidRPr="00531B65" w:rsidRDefault="00531B65" w:rsidP="00531B65">
            <w:pPr>
              <w:spacing w:after="60"/>
              <w:jc w:val="right"/>
              <w:rPr>
                <w:sz w:val="16"/>
                <w:szCs w:val="16"/>
                <w:lang w:val="en-CA" w:eastAsia="en-CA"/>
              </w:rPr>
            </w:pPr>
            <w:r w:rsidRPr="00531B65">
              <w:rPr>
                <w:color w:val="000000"/>
                <w:sz w:val="16"/>
                <w:szCs w:val="16"/>
                <w:lang w:val="en-CA" w:eastAsia="en-CA"/>
              </w:rPr>
              <w:t>168,703</w:t>
            </w:r>
          </w:p>
        </w:tc>
      </w:tr>
      <w:tr w:rsidR="00531B65" w:rsidRPr="00531B65" w14:paraId="1A586EEE" w14:textId="77777777" w:rsidTr="00BA7EA0">
        <w:trPr>
          <w:trHeight w:val="277"/>
        </w:trPr>
        <w:tc>
          <w:tcPr>
            <w:tcW w:w="704" w:type="dxa"/>
            <w:vMerge/>
            <w:shd w:val="clear" w:color="auto" w:fill="auto"/>
          </w:tcPr>
          <w:p w14:paraId="7182FC74" w14:textId="77777777" w:rsidR="00531B65" w:rsidRPr="00531B65" w:rsidRDefault="00531B65" w:rsidP="00531B65">
            <w:pPr>
              <w:spacing w:after="60"/>
              <w:jc w:val="center"/>
              <w:rPr>
                <w:sz w:val="16"/>
                <w:szCs w:val="16"/>
                <w:lang w:val="en-CA" w:eastAsia="en-CA"/>
              </w:rPr>
            </w:pPr>
          </w:p>
        </w:tc>
        <w:tc>
          <w:tcPr>
            <w:tcW w:w="709" w:type="dxa"/>
            <w:vMerge w:val="restart"/>
            <w:shd w:val="clear" w:color="auto" w:fill="auto"/>
          </w:tcPr>
          <w:p w14:paraId="491BD65E" w14:textId="77777777" w:rsidR="00531B65" w:rsidRPr="00531B65" w:rsidRDefault="00531B65" w:rsidP="00531B65">
            <w:pPr>
              <w:spacing w:after="60"/>
              <w:jc w:val="center"/>
              <w:rPr>
                <w:sz w:val="16"/>
                <w:szCs w:val="16"/>
                <w:lang w:val="en-CA" w:eastAsia="en-CA"/>
              </w:rPr>
            </w:pPr>
            <w:r w:rsidRPr="00531B65">
              <w:rPr>
                <w:sz w:val="16"/>
                <w:szCs w:val="16"/>
                <w:lang w:val="en-CA" w:eastAsia="en-CA"/>
              </w:rPr>
              <w:t>UNEP</w:t>
            </w:r>
          </w:p>
        </w:tc>
        <w:tc>
          <w:tcPr>
            <w:tcW w:w="1134" w:type="dxa"/>
            <w:shd w:val="clear" w:color="auto" w:fill="auto"/>
          </w:tcPr>
          <w:p w14:paraId="4BFBA119" w14:textId="77777777" w:rsidR="00531B65" w:rsidRPr="00531B65" w:rsidRDefault="00531B65" w:rsidP="00531B65">
            <w:pPr>
              <w:spacing w:after="60"/>
              <w:jc w:val="left"/>
              <w:rPr>
                <w:sz w:val="16"/>
                <w:szCs w:val="16"/>
                <w:lang w:val="en-CA" w:eastAsia="en-CA"/>
              </w:rPr>
            </w:pPr>
            <w:r w:rsidRPr="00531B65">
              <w:rPr>
                <w:sz w:val="16"/>
                <w:szCs w:val="16"/>
                <w:lang w:val="en-CA" w:eastAsia="en-CA"/>
              </w:rPr>
              <w:t>Project costs</w:t>
            </w:r>
          </w:p>
        </w:tc>
        <w:tc>
          <w:tcPr>
            <w:tcW w:w="678" w:type="dxa"/>
            <w:tcMar>
              <w:left w:w="0" w:type="dxa"/>
              <w:right w:w="29" w:type="dxa"/>
            </w:tcMar>
          </w:tcPr>
          <w:p w14:paraId="0F602AD4" w14:textId="77777777" w:rsidR="00531B65" w:rsidRPr="00531B65" w:rsidRDefault="00531B65" w:rsidP="00531B65">
            <w:pPr>
              <w:spacing w:after="60"/>
              <w:jc w:val="right"/>
              <w:rPr>
                <w:sz w:val="16"/>
                <w:szCs w:val="16"/>
                <w:lang w:val="en-CA" w:eastAsia="en-CA"/>
              </w:rPr>
            </w:pPr>
            <w:r w:rsidRPr="00531B65">
              <w:rPr>
                <w:sz w:val="16"/>
                <w:szCs w:val="16"/>
                <w:lang w:val="en-CA" w:eastAsia="en-CA"/>
              </w:rPr>
              <w:t>30,000</w:t>
            </w:r>
          </w:p>
        </w:tc>
        <w:tc>
          <w:tcPr>
            <w:tcW w:w="679" w:type="dxa"/>
            <w:tcMar>
              <w:left w:w="0" w:type="dxa"/>
              <w:right w:w="29" w:type="dxa"/>
            </w:tcMar>
          </w:tcPr>
          <w:p w14:paraId="7757CC52" w14:textId="77777777" w:rsidR="00531B65" w:rsidRPr="00531B65" w:rsidRDefault="00531B65" w:rsidP="00531B65">
            <w:pPr>
              <w:spacing w:after="60"/>
              <w:jc w:val="right"/>
              <w:rPr>
                <w:sz w:val="16"/>
                <w:szCs w:val="16"/>
                <w:lang w:val="en-CA" w:eastAsia="en-CA"/>
              </w:rPr>
            </w:pPr>
            <w:r w:rsidRPr="00531B65">
              <w:rPr>
                <w:sz w:val="16"/>
                <w:szCs w:val="16"/>
                <w:lang w:val="en-CA" w:eastAsia="en-CA"/>
              </w:rPr>
              <w:t>0</w:t>
            </w:r>
          </w:p>
        </w:tc>
        <w:tc>
          <w:tcPr>
            <w:tcW w:w="678" w:type="dxa"/>
            <w:shd w:val="clear" w:color="auto" w:fill="auto"/>
            <w:tcMar>
              <w:left w:w="0" w:type="dxa"/>
              <w:right w:w="29" w:type="dxa"/>
            </w:tcMar>
          </w:tcPr>
          <w:p w14:paraId="7E4666AA" w14:textId="77777777" w:rsidR="00531B65" w:rsidRPr="00531B65" w:rsidRDefault="00531B65" w:rsidP="00531B65">
            <w:pPr>
              <w:spacing w:after="60"/>
              <w:jc w:val="right"/>
              <w:rPr>
                <w:sz w:val="16"/>
                <w:szCs w:val="16"/>
                <w:lang w:val="en-CA" w:eastAsia="en-CA"/>
              </w:rPr>
            </w:pPr>
            <w:r w:rsidRPr="00531B65">
              <w:rPr>
                <w:sz w:val="16"/>
                <w:szCs w:val="16"/>
                <w:lang w:val="en-CA" w:eastAsia="en-CA"/>
              </w:rPr>
              <w:t>20,000</w:t>
            </w:r>
          </w:p>
        </w:tc>
        <w:tc>
          <w:tcPr>
            <w:tcW w:w="679" w:type="dxa"/>
            <w:shd w:val="clear" w:color="auto" w:fill="auto"/>
            <w:tcMar>
              <w:left w:w="0" w:type="dxa"/>
              <w:right w:w="29" w:type="dxa"/>
            </w:tcMar>
          </w:tcPr>
          <w:p w14:paraId="6DDD71C7" w14:textId="77777777" w:rsidR="00531B65" w:rsidRPr="00531B65" w:rsidRDefault="00531B65" w:rsidP="00531B65">
            <w:pPr>
              <w:spacing w:after="60"/>
              <w:jc w:val="right"/>
              <w:rPr>
                <w:sz w:val="16"/>
                <w:szCs w:val="16"/>
                <w:lang w:val="en-CA" w:eastAsia="en-CA"/>
              </w:rPr>
            </w:pPr>
            <w:r w:rsidRPr="00531B65">
              <w:rPr>
                <w:sz w:val="16"/>
                <w:szCs w:val="16"/>
                <w:lang w:val="en-CA" w:eastAsia="en-CA"/>
              </w:rPr>
              <w:t>0</w:t>
            </w:r>
          </w:p>
        </w:tc>
        <w:tc>
          <w:tcPr>
            <w:tcW w:w="679" w:type="dxa"/>
            <w:shd w:val="clear" w:color="auto" w:fill="auto"/>
            <w:tcMar>
              <w:left w:w="0" w:type="dxa"/>
              <w:right w:w="29" w:type="dxa"/>
            </w:tcMar>
          </w:tcPr>
          <w:p w14:paraId="6362E065" w14:textId="77777777" w:rsidR="00531B65" w:rsidRPr="00531B65" w:rsidRDefault="00531B65" w:rsidP="00531B65">
            <w:pPr>
              <w:spacing w:after="60"/>
              <w:jc w:val="right"/>
              <w:rPr>
                <w:sz w:val="16"/>
                <w:szCs w:val="16"/>
                <w:lang w:val="en-CA" w:eastAsia="en-CA"/>
              </w:rPr>
            </w:pPr>
            <w:r w:rsidRPr="00531B65">
              <w:rPr>
                <w:sz w:val="16"/>
                <w:szCs w:val="16"/>
                <w:lang w:val="en-CA" w:eastAsia="en-CA"/>
              </w:rPr>
              <w:t>0</w:t>
            </w:r>
          </w:p>
        </w:tc>
        <w:tc>
          <w:tcPr>
            <w:tcW w:w="678" w:type="dxa"/>
            <w:shd w:val="clear" w:color="auto" w:fill="auto"/>
            <w:tcMar>
              <w:left w:w="0" w:type="dxa"/>
              <w:right w:w="29" w:type="dxa"/>
            </w:tcMar>
          </w:tcPr>
          <w:p w14:paraId="63475B54" w14:textId="77777777" w:rsidR="00531B65" w:rsidRPr="00531B65" w:rsidRDefault="00531B65" w:rsidP="00531B65">
            <w:pPr>
              <w:spacing w:after="60"/>
              <w:jc w:val="right"/>
              <w:rPr>
                <w:sz w:val="16"/>
                <w:szCs w:val="16"/>
                <w:lang w:val="en-CA" w:eastAsia="en-CA"/>
              </w:rPr>
            </w:pPr>
            <w:r w:rsidRPr="00531B65">
              <w:rPr>
                <w:sz w:val="16"/>
                <w:szCs w:val="16"/>
                <w:lang w:val="en-CA" w:eastAsia="en-CA"/>
              </w:rPr>
              <w:t>30,000</w:t>
            </w:r>
          </w:p>
        </w:tc>
        <w:tc>
          <w:tcPr>
            <w:tcW w:w="679" w:type="dxa"/>
            <w:shd w:val="clear" w:color="auto" w:fill="auto"/>
            <w:tcMar>
              <w:left w:w="0" w:type="dxa"/>
              <w:right w:w="29" w:type="dxa"/>
            </w:tcMar>
          </w:tcPr>
          <w:p w14:paraId="4387A126" w14:textId="77777777" w:rsidR="00531B65" w:rsidRPr="00531B65" w:rsidRDefault="00531B65" w:rsidP="00531B65">
            <w:pPr>
              <w:spacing w:after="60"/>
              <w:jc w:val="right"/>
              <w:rPr>
                <w:sz w:val="16"/>
                <w:szCs w:val="16"/>
                <w:lang w:val="en-CA" w:eastAsia="en-CA"/>
              </w:rPr>
            </w:pPr>
            <w:r w:rsidRPr="00531B65">
              <w:rPr>
                <w:sz w:val="16"/>
                <w:szCs w:val="16"/>
                <w:lang w:val="en-CA" w:eastAsia="en-CA"/>
              </w:rPr>
              <w:t>0</w:t>
            </w:r>
          </w:p>
        </w:tc>
        <w:tc>
          <w:tcPr>
            <w:tcW w:w="679" w:type="dxa"/>
            <w:shd w:val="clear" w:color="auto" w:fill="auto"/>
            <w:tcMar>
              <w:left w:w="0" w:type="dxa"/>
              <w:right w:w="29" w:type="dxa"/>
            </w:tcMar>
          </w:tcPr>
          <w:p w14:paraId="453DFD68" w14:textId="77777777" w:rsidR="00531B65" w:rsidRPr="00531B65" w:rsidRDefault="00531B65" w:rsidP="00531B65">
            <w:pPr>
              <w:spacing w:after="60"/>
              <w:jc w:val="right"/>
              <w:rPr>
                <w:sz w:val="16"/>
                <w:szCs w:val="16"/>
                <w:lang w:val="en-CA" w:eastAsia="en-CA"/>
              </w:rPr>
            </w:pPr>
            <w:r w:rsidRPr="00531B65">
              <w:rPr>
                <w:sz w:val="16"/>
                <w:szCs w:val="16"/>
                <w:lang w:val="en-CA" w:eastAsia="en-CA"/>
              </w:rPr>
              <w:t>25,000</w:t>
            </w:r>
          </w:p>
        </w:tc>
        <w:tc>
          <w:tcPr>
            <w:tcW w:w="678" w:type="dxa"/>
            <w:shd w:val="clear" w:color="auto" w:fill="auto"/>
            <w:tcMar>
              <w:left w:w="0" w:type="dxa"/>
              <w:right w:w="29" w:type="dxa"/>
            </w:tcMar>
          </w:tcPr>
          <w:p w14:paraId="762F4702" w14:textId="77777777" w:rsidR="00531B65" w:rsidRPr="00531B65" w:rsidRDefault="00531B65" w:rsidP="00531B65">
            <w:pPr>
              <w:spacing w:after="60"/>
              <w:jc w:val="right"/>
              <w:rPr>
                <w:sz w:val="16"/>
                <w:szCs w:val="16"/>
                <w:lang w:val="en-CA" w:eastAsia="en-CA"/>
              </w:rPr>
            </w:pPr>
            <w:r w:rsidRPr="00531B65">
              <w:rPr>
                <w:sz w:val="16"/>
                <w:szCs w:val="16"/>
                <w:lang w:val="en-CA" w:eastAsia="en-CA"/>
              </w:rPr>
              <w:t>0</w:t>
            </w:r>
          </w:p>
        </w:tc>
        <w:tc>
          <w:tcPr>
            <w:tcW w:w="679" w:type="dxa"/>
            <w:shd w:val="clear" w:color="auto" w:fill="auto"/>
            <w:tcMar>
              <w:left w:w="0" w:type="dxa"/>
              <w:right w:w="29" w:type="dxa"/>
            </w:tcMar>
          </w:tcPr>
          <w:p w14:paraId="0EC41BD4" w14:textId="77777777" w:rsidR="00531B65" w:rsidRPr="00531B65" w:rsidRDefault="00531B65" w:rsidP="00531B65">
            <w:pPr>
              <w:spacing w:after="60"/>
              <w:jc w:val="right"/>
              <w:rPr>
                <w:sz w:val="16"/>
                <w:szCs w:val="16"/>
                <w:lang w:val="en-CA" w:eastAsia="en-CA"/>
              </w:rPr>
            </w:pPr>
            <w:r w:rsidRPr="00531B65">
              <w:rPr>
                <w:sz w:val="16"/>
                <w:szCs w:val="16"/>
                <w:lang w:val="en-CA" w:eastAsia="en-CA"/>
              </w:rPr>
              <w:t>10,000</w:t>
            </w:r>
          </w:p>
        </w:tc>
        <w:tc>
          <w:tcPr>
            <w:tcW w:w="679" w:type="dxa"/>
            <w:shd w:val="clear" w:color="auto" w:fill="auto"/>
            <w:tcMar>
              <w:left w:w="0" w:type="dxa"/>
              <w:right w:w="29" w:type="dxa"/>
            </w:tcMar>
          </w:tcPr>
          <w:p w14:paraId="146C507C" w14:textId="77777777" w:rsidR="00531B65" w:rsidRPr="00531B65" w:rsidRDefault="00531B65" w:rsidP="00531B65">
            <w:pPr>
              <w:spacing w:after="60"/>
              <w:jc w:val="right"/>
              <w:rPr>
                <w:sz w:val="16"/>
                <w:szCs w:val="16"/>
                <w:lang w:val="en-CA" w:eastAsia="en-CA"/>
              </w:rPr>
            </w:pPr>
            <w:r w:rsidRPr="00531B65">
              <w:rPr>
                <w:color w:val="000000"/>
                <w:sz w:val="16"/>
                <w:szCs w:val="16"/>
                <w:lang w:val="en-CA" w:eastAsia="en-CA"/>
              </w:rPr>
              <w:t>115,000</w:t>
            </w:r>
          </w:p>
        </w:tc>
      </w:tr>
      <w:tr w:rsidR="00531B65" w:rsidRPr="00531B65" w14:paraId="747763A8" w14:textId="77777777" w:rsidTr="00BA7EA0">
        <w:trPr>
          <w:trHeight w:val="277"/>
        </w:trPr>
        <w:tc>
          <w:tcPr>
            <w:tcW w:w="704" w:type="dxa"/>
            <w:vMerge/>
            <w:shd w:val="clear" w:color="auto" w:fill="auto"/>
          </w:tcPr>
          <w:p w14:paraId="4DA457AF" w14:textId="77777777" w:rsidR="00531B65" w:rsidRPr="00531B65" w:rsidRDefault="00531B65" w:rsidP="00531B65">
            <w:pPr>
              <w:spacing w:after="60"/>
              <w:jc w:val="center"/>
              <w:rPr>
                <w:sz w:val="16"/>
                <w:szCs w:val="16"/>
                <w:lang w:val="en-CA" w:eastAsia="en-CA"/>
              </w:rPr>
            </w:pPr>
          </w:p>
        </w:tc>
        <w:tc>
          <w:tcPr>
            <w:tcW w:w="709" w:type="dxa"/>
            <w:vMerge/>
            <w:shd w:val="clear" w:color="auto" w:fill="auto"/>
          </w:tcPr>
          <w:p w14:paraId="34C4A965" w14:textId="77777777" w:rsidR="00531B65" w:rsidRPr="00531B65" w:rsidRDefault="00531B65" w:rsidP="00531B65">
            <w:pPr>
              <w:spacing w:after="60"/>
              <w:jc w:val="center"/>
              <w:rPr>
                <w:sz w:val="16"/>
                <w:szCs w:val="16"/>
                <w:lang w:val="en-CA" w:eastAsia="en-CA"/>
              </w:rPr>
            </w:pPr>
          </w:p>
        </w:tc>
        <w:tc>
          <w:tcPr>
            <w:tcW w:w="1134" w:type="dxa"/>
            <w:shd w:val="clear" w:color="auto" w:fill="auto"/>
          </w:tcPr>
          <w:p w14:paraId="77A352D7" w14:textId="77777777" w:rsidR="00531B65" w:rsidRPr="00531B65" w:rsidRDefault="00531B65" w:rsidP="00531B65">
            <w:pPr>
              <w:spacing w:after="60"/>
              <w:jc w:val="left"/>
              <w:rPr>
                <w:sz w:val="16"/>
                <w:szCs w:val="16"/>
                <w:lang w:val="en-CA" w:eastAsia="en-CA"/>
              </w:rPr>
            </w:pPr>
            <w:r w:rsidRPr="00531B65">
              <w:rPr>
                <w:sz w:val="16"/>
                <w:szCs w:val="16"/>
                <w:lang w:val="en-CA" w:eastAsia="en-CA"/>
              </w:rPr>
              <w:t>Support costs</w:t>
            </w:r>
          </w:p>
        </w:tc>
        <w:tc>
          <w:tcPr>
            <w:tcW w:w="678" w:type="dxa"/>
            <w:tcMar>
              <w:left w:w="0" w:type="dxa"/>
              <w:right w:w="29" w:type="dxa"/>
            </w:tcMar>
          </w:tcPr>
          <w:p w14:paraId="4FAE096D" w14:textId="77777777" w:rsidR="00531B65" w:rsidRPr="00531B65" w:rsidRDefault="00531B65" w:rsidP="00531B65">
            <w:pPr>
              <w:spacing w:after="60"/>
              <w:jc w:val="right"/>
              <w:rPr>
                <w:sz w:val="16"/>
                <w:szCs w:val="16"/>
                <w:lang w:val="en-CA" w:eastAsia="en-CA"/>
              </w:rPr>
            </w:pPr>
            <w:r w:rsidRPr="00531B65">
              <w:rPr>
                <w:sz w:val="16"/>
                <w:szCs w:val="16"/>
                <w:lang w:val="en-CA" w:eastAsia="en-CA"/>
              </w:rPr>
              <w:t>3,900</w:t>
            </w:r>
          </w:p>
        </w:tc>
        <w:tc>
          <w:tcPr>
            <w:tcW w:w="679" w:type="dxa"/>
            <w:tcMar>
              <w:left w:w="0" w:type="dxa"/>
              <w:right w:w="29" w:type="dxa"/>
            </w:tcMar>
          </w:tcPr>
          <w:p w14:paraId="62AC763C" w14:textId="77777777" w:rsidR="00531B65" w:rsidRPr="00531B65" w:rsidRDefault="00531B65" w:rsidP="00531B65">
            <w:pPr>
              <w:spacing w:after="60"/>
              <w:jc w:val="right"/>
              <w:rPr>
                <w:sz w:val="16"/>
                <w:szCs w:val="16"/>
                <w:lang w:val="en-CA" w:eastAsia="en-CA"/>
              </w:rPr>
            </w:pPr>
            <w:r w:rsidRPr="00531B65">
              <w:rPr>
                <w:sz w:val="16"/>
                <w:szCs w:val="16"/>
                <w:lang w:val="en-CA" w:eastAsia="en-CA"/>
              </w:rPr>
              <w:t>0</w:t>
            </w:r>
          </w:p>
        </w:tc>
        <w:tc>
          <w:tcPr>
            <w:tcW w:w="678" w:type="dxa"/>
            <w:shd w:val="clear" w:color="auto" w:fill="auto"/>
            <w:tcMar>
              <w:left w:w="0" w:type="dxa"/>
              <w:right w:w="29" w:type="dxa"/>
            </w:tcMar>
          </w:tcPr>
          <w:p w14:paraId="0D40BB42" w14:textId="77777777" w:rsidR="00531B65" w:rsidRPr="00531B65" w:rsidRDefault="00531B65" w:rsidP="00531B65">
            <w:pPr>
              <w:spacing w:after="60"/>
              <w:jc w:val="right"/>
              <w:rPr>
                <w:sz w:val="16"/>
                <w:szCs w:val="16"/>
                <w:lang w:val="en-CA" w:eastAsia="en-CA"/>
              </w:rPr>
            </w:pPr>
            <w:r w:rsidRPr="00531B65">
              <w:rPr>
                <w:sz w:val="16"/>
                <w:szCs w:val="16"/>
                <w:lang w:val="en-CA" w:eastAsia="en-CA"/>
              </w:rPr>
              <w:t>2,600</w:t>
            </w:r>
          </w:p>
        </w:tc>
        <w:tc>
          <w:tcPr>
            <w:tcW w:w="679" w:type="dxa"/>
            <w:shd w:val="clear" w:color="auto" w:fill="auto"/>
            <w:tcMar>
              <w:left w:w="0" w:type="dxa"/>
              <w:right w:w="29" w:type="dxa"/>
            </w:tcMar>
          </w:tcPr>
          <w:p w14:paraId="075C9631" w14:textId="77777777" w:rsidR="00531B65" w:rsidRPr="00531B65" w:rsidRDefault="00531B65" w:rsidP="00531B65">
            <w:pPr>
              <w:spacing w:after="60"/>
              <w:jc w:val="right"/>
              <w:rPr>
                <w:sz w:val="16"/>
                <w:szCs w:val="16"/>
                <w:lang w:val="en-CA" w:eastAsia="en-CA"/>
              </w:rPr>
            </w:pPr>
            <w:r w:rsidRPr="00531B65">
              <w:rPr>
                <w:sz w:val="16"/>
                <w:szCs w:val="16"/>
                <w:lang w:val="en-CA" w:eastAsia="en-CA"/>
              </w:rPr>
              <w:t>0</w:t>
            </w:r>
          </w:p>
        </w:tc>
        <w:tc>
          <w:tcPr>
            <w:tcW w:w="679" w:type="dxa"/>
            <w:shd w:val="clear" w:color="auto" w:fill="auto"/>
            <w:tcMar>
              <w:left w:w="0" w:type="dxa"/>
              <w:right w:w="29" w:type="dxa"/>
            </w:tcMar>
          </w:tcPr>
          <w:p w14:paraId="05FA86A8" w14:textId="77777777" w:rsidR="00531B65" w:rsidRPr="00531B65" w:rsidRDefault="00531B65" w:rsidP="00531B65">
            <w:pPr>
              <w:spacing w:after="60"/>
              <w:jc w:val="right"/>
              <w:rPr>
                <w:sz w:val="16"/>
                <w:szCs w:val="16"/>
                <w:lang w:val="en-CA" w:eastAsia="en-CA"/>
              </w:rPr>
            </w:pPr>
            <w:r w:rsidRPr="00531B65">
              <w:rPr>
                <w:sz w:val="16"/>
                <w:szCs w:val="16"/>
                <w:lang w:val="en-CA" w:eastAsia="en-CA"/>
              </w:rPr>
              <w:t>0</w:t>
            </w:r>
          </w:p>
        </w:tc>
        <w:tc>
          <w:tcPr>
            <w:tcW w:w="678" w:type="dxa"/>
            <w:shd w:val="clear" w:color="auto" w:fill="auto"/>
            <w:tcMar>
              <w:left w:w="0" w:type="dxa"/>
              <w:right w:w="29" w:type="dxa"/>
            </w:tcMar>
          </w:tcPr>
          <w:p w14:paraId="770C9EFD" w14:textId="77777777" w:rsidR="00531B65" w:rsidRPr="00531B65" w:rsidRDefault="00531B65" w:rsidP="00531B65">
            <w:pPr>
              <w:spacing w:after="60"/>
              <w:jc w:val="right"/>
              <w:rPr>
                <w:sz w:val="16"/>
                <w:szCs w:val="16"/>
                <w:lang w:val="en-CA" w:eastAsia="en-CA"/>
              </w:rPr>
            </w:pPr>
            <w:r w:rsidRPr="00531B65">
              <w:rPr>
                <w:sz w:val="16"/>
                <w:szCs w:val="16"/>
                <w:lang w:val="en-CA" w:eastAsia="en-CA"/>
              </w:rPr>
              <w:t>3,900</w:t>
            </w:r>
          </w:p>
        </w:tc>
        <w:tc>
          <w:tcPr>
            <w:tcW w:w="679" w:type="dxa"/>
            <w:shd w:val="clear" w:color="auto" w:fill="auto"/>
            <w:tcMar>
              <w:left w:w="0" w:type="dxa"/>
              <w:right w:w="29" w:type="dxa"/>
            </w:tcMar>
          </w:tcPr>
          <w:p w14:paraId="3A3C4673" w14:textId="77777777" w:rsidR="00531B65" w:rsidRPr="00531B65" w:rsidRDefault="00531B65" w:rsidP="00531B65">
            <w:pPr>
              <w:spacing w:after="60"/>
              <w:jc w:val="right"/>
              <w:rPr>
                <w:sz w:val="16"/>
                <w:szCs w:val="16"/>
                <w:lang w:val="en-CA" w:eastAsia="en-CA"/>
              </w:rPr>
            </w:pPr>
            <w:r w:rsidRPr="00531B65">
              <w:rPr>
                <w:sz w:val="16"/>
                <w:szCs w:val="16"/>
                <w:lang w:val="en-CA" w:eastAsia="en-CA"/>
              </w:rPr>
              <w:t>0</w:t>
            </w:r>
          </w:p>
        </w:tc>
        <w:tc>
          <w:tcPr>
            <w:tcW w:w="679" w:type="dxa"/>
            <w:shd w:val="clear" w:color="auto" w:fill="auto"/>
            <w:tcMar>
              <w:left w:w="0" w:type="dxa"/>
              <w:right w:w="29" w:type="dxa"/>
            </w:tcMar>
          </w:tcPr>
          <w:p w14:paraId="35676B0A" w14:textId="77777777" w:rsidR="00531B65" w:rsidRPr="00531B65" w:rsidRDefault="00531B65" w:rsidP="00531B65">
            <w:pPr>
              <w:spacing w:after="60"/>
              <w:jc w:val="right"/>
              <w:rPr>
                <w:sz w:val="16"/>
                <w:szCs w:val="16"/>
                <w:lang w:val="en-CA" w:eastAsia="en-CA"/>
              </w:rPr>
            </w:pPr>
            <w:r w:rsidRPr="00531B65">
              <w:rPr>
                <w:sz w:val="16"/>
                <w:szCs w:val="16"/>
                <w:lang w:val="en-CA" w:eastAsia="en-CA"/>
              </w:rPr>
              <w:t>3,250</w:t>
            </w:r>
          </w:p>
        </w:tc>
        <w:tc>
          <w:tcPr>
            <w:tcW w:w="678" w:type="dxa"/>
            <w:shd w:val="clear" w:color="auto" w:fill="auto"/>
            <w:tcMar>
              <w:left w:w="0" w:type="dxa"/>
              <w:right w:w="29" w:type="dxa"/>
            </w:tcMar>
          </w:tcPr>
          <w:p w14:paraId="5B82407D" w14:textId="77777777" w:rsidR="00531B65" w:rsidRPr="00531B65" w:rsidRDefault="00531B65" w:rsidP="00531B65">
            <w:pPr>
              <w:spacing w:after="60"/>
              <w:jc w:val="right"/>
              <w:rPr>
                <w:sz w:val="16"/>
                <w:szCs w:val="16"/>
                <w:lang w:val="en-CA" w:eastAsia="en-CA"/>
              </w:rPr>
            </w:pPr>
            <w:r w:rsidRPr="00531B65">
              <w:rPr>
                <w:sz w:val="16"/>
                <w:szCs w:val="16"/>
                <w:lang w:val="en-CA" w:eastAsia="en-CA"/>
              </w:rPr>
              <w:t>0</w:t>
            </w:r>
          </w:p>
        </w:tc>
        <w:tc>
          <w:tcPr>
            <w:tcW w:w="679" w:type="dxa"/>
            <w:shd w:val="clear" w:color="auto" w:fill="auto"/>
            <w:tcMar>
              <w:left w:w="0" w:type="dxa"/>
              <w:right w:w="29" w:type="dxa"/>
            </w:tcMar>
          </w:tcPr>
          <w:p w14:paraId="2EF0DDCB" w14:textId="77777777" w:rsidR="00531B65" w:rsidRPr="00531B65" w:rsidRDefault="00531B65" w:rsidP="00531B65">
            <w:pPr>
              <w:spacing w:after="60"/>
              <w:jc w:val="right"/>
              <w:rPr>
                <w:sz w:val="16"/>
                <w:szCs w:val="16"/>
                <w:lang w:val="en-CA" w:eastAsia="en-CA"/>
              </w:rPr>
            </w:pPr>
            <w:r w:rsidRPr="00531B65">
              <w:rPr>
                <w:sz w:val="16"/>
                <w:szCs w:val="16"/>
                <w:lang w:val="en-CA" w:eastAsia="en-CA"/>
              </w:rPr>
              <w:t>1,300</w:t>
            </w:r>
          </w:p>
        </w:tc>
        <w:tc>
          <w:tcPr>
            <w:tcW w:w="679" w:type="dxa"/>
            <w:shd w:val="clear" w:color="auto" w:fill="auto"/>
            <w:tcMar>
              <w:left w:w="0" w:type="dxa"/>
              <w:right w:w="29" w:type="dxa"/>
            </w:tcMar>
          </w:tcPr>
          <w:p w14:paraId="69797B2D" w14:textId="77777777" w:rsidR="00531B65" w:rsidRPr="00531B65" w:rsidRDefault="00531B65" w:rsidP="00531B65">
            <w:pPr>
              <w:spacing w:after="60"/>
              <w:jc w:val="right"/>
              <w:rPr>
                <w:sz w:val="16"/>
                <w:szCs w:val="16"/>
                <w:lang w:val="en-CA" w:eastAsia="en-CA"/>
              </w:rPr>
            </w:pPr>
            <w:r w:rsidRPr="00531B65">
              <w:rPr>
                <w:color w:val="000000"/>
                <w:sz w:val="16"/>
                <w:szCs w:val="16"/>
                <w:lang w:val="en-CA" w:eastAsia="en-CA"/>
              </w:rPr>
              <w:t>14,950</w:t>
            </w:r>
          </w:p>
        </w:tc>
      </w:tr>
      <w:tr w:rsidR="00531B65" w:rsidRPr="00531B65" w14:paraId="7011B2F3" w14:textId="77777777" w:rsidTr="00BA7EA0">
        <w:trPr>
          <w:trHeight w:val="277"/>
        </w:trPr>
        <w:tc>
          <w:tcPr>
            <w:tcW w:w="1413" w:type="dxa"/>
            <w:gridSpan w:val="2"/>
            <w:vMerge w:val="restart"/>
            <w:shd w:val="clear" w:color="auto" w:fill="auto"/>
          </w:tcPr>
          <w:p w14:paraId="23371CF8" w14:textId="77777777" w:rsidR="00531B65" w:rsidRPr="00531B65" w:rsidRDefault="00531B65" w:rsidP="00531B65">
            <w:pPr>
              <w:spacing w:after="60"/>
              <w:jc w:val="left"/>
              <w:rPr>
                <w:sz w:val="16"/>
                <w:szCs w:val="16"/>
                <w:lang w:val="en-CA" w:eastAsia="en-CA"/>
              </w:rPr>
            </w:pPr>
            <w:r w:rsidRPr="00531B65">
              <w:rPr>
                <w:sz w:val="16"/>
                <w:szCs w:val="16"/>
                <w:lang w:val="en-CA" w:eastAsia="en-CA"/>
              </w:rPr>
              <w:t xml:space="preserve">Funds approved by </w:t>
            </w:r>
            <w:proofErr w:type="spellStart"/>
            <w:r w:rsidRPr="00531B65">
              <w:rPr>
                <w:sz w:val="16"/>
                <w:szCs w:val="16"/>
                <w:lang w:val="en-CA" w:eastAsia="en-CA"/>
              </w:rPr>
              <w:t>ExCom</w:t>
            </w:r>
            <w:proofErr w:type="spellEnd"/>
            <w:r w:rsidRPr="00531B65">
              <w:rPr>
                <w:sz w:val="16"/>
                <w:szCs w:val="16"/>
                <w:lang w:val="en-CA" w:eastAsia="en-CA"/>
              </w:rPr>
              <w:t xml:space="preserve"> (US$)</w:t>
            </w:r>
          </w:p>
        </w:tc>
        <w:tc>
          <w:tcPr>
            <w:tcW w:w="1134" w:type="dxa"/>
            <w:shd w:val="clear" w:color="auto" w:fill="auto"/>
          </w:tcPr>
          <w:p w14:paraId="145F102B" w14:textId="77777777" w:rsidR="00531B65" w:rsidRPr="00531B65" w:rsidRDefault="00531B65" w:rsidP="00531B65">
            <w:pPr>
              <w:spacing w:after="60"/>
              <w:jc w:val="left"/>
              <w:rPr>
                <w:sz w:val="16"/>
                <w:szCs w:val="16"/>
                <w:lang w:val="en-CA" w:eastAsia="en-CA"/>
              </w:rPr>
            </w:pPr>
            <w:r w:rsidRPr="00531B65">
              <w:rPr>
                <w:sz w:val="16"/>
                <w:szCs w:val="16"/>
                <w:lang w:val="en-CA" w:eastAsia="en-CA"/>
              </w:rPr>
              <w:t>Project costs</w:t>
            </w:r>
          </w:p>
        </w:tc>
        <w:tc>
          <w:tcPr>
            <w:tcW w:w="678" w:type="dxa"/>
            <w:tcMar>
              <w:left w:w="0" w:type="dxa"/>
              <w:right w:w="29" w:type="dxa"/>
            </w:tcMar>
          </w:tcPr>
          <w:p w14:paraId="1DFBEC55" w14:textId="77777777" w:rsidR="00531B65" w:rsidRPr="00531B65" w:rsidRDefault="00531B65" w:rsidP="00531B65">
            <w:pPr>
              <w:spacing w:after="60"/>
              <w:jc w:val="right"/>
              <w:rPr>
                <w:sz w:val="16"/>
                <w:szCs w:val="16"/>
                <w:lang w:val="en-CA" w:eastAsia="en-CA"/>
              </w:rPr>
            </w:pPr>
            <w:r w:rsidRPr="00531B65">
              <w:rPr>
                <w:sz w:val="16"/>
                <w:szCs w:val="16"/>
                <w:lang w:val="en-CA" w:eastAsia="en-CA"/>
              </w:rPr>
              <w:t>1,561,940</w:t>
            </w:r>
          </w:p>
        </w:tc>
        <w:tc>
          <w:tcPr>
            <w:tcW w:w="679" w:type="dxa"/>
            <w:tcMar>
              <w:left w:w="0" w:type="dxa"/>
              <w:right w:w="29" w:type="dxa"/>
            </w:tcMar>
          </w:tcPr>
          <w:p w14:paraId="64A640E2" w14:textId="77777777" w:rsidR="00531B65" w:rsidRPr="00531B65" w:rsidRDefault="00531B65" w:rsidP="00531B65">
            <w:pPr>
              <w:spacing w:after="60"/>
              <w:jc w:val="right"/>
              <w:rPr>
                <w:sz w:val="16"/>
                <w:szCs w:val="16"/>
                <w:lang w:val="en-CA" w:eastAsia="en-CA"/>
              </w:rPr>
            </w:pPr>
            <w:r w:rsidRPr="00531B65">
              <w:rPr>
                <w:sz w:val="16"/>
                <w:szCs w:val="16"/>
                <w:lang w:val="en-CA" w:eastAsia="en-CA"/>
              </w:rPr>
              <w:t>0</w:t>
            </w:r>
          </w:p>
        </w:tc>
        <w:tc>
          <w:tcPr>
            <w:tcW w:w="678" w:type="dxa"/>
            <w:shd w:val="clear" w:color="auto" w:fill="auto"/>
            <w:tcMar>
              <w:left w:w="0" w:type="dxa"/>
              <w:right w:w="29" w:type="dxa"/>
            </w:tcMar>
          </w:tcPr>
          <w:p w14:paraId="59140D4B" w14:textId="77777777" w:rsidR="00531B65" w:rsidRPr="00531B65" w:rsidRDefault="00531B65" w:rsidP="00531B65">
            <w:pPr>
              <w:spacing w:after="60"/>
              <w:jc w:val="right"/>
              <w:rPr>
                <w:sz w:val="16"/>
                <w:szCs w:val="16"/>
                <w:lang w:val="en-CA" w:eastAsia="en-CA"/>
              </w:rPr>
            </w:pPr>
            <w:r w:rsidRPr="00531B65">
              <w:rPr>
                <w:sz w:val="16"/>
                <w:szCs w:val="16"/>
                <w:lang w:val="en-CA" w:eastAsia="en-CA"/>
              </w:rPr>
              <w:t>106,500</w:t>
            </w:r>
          </w:p>
        </w:tc>
        <w:tc>
          <w:tcPr>
            <w:tcW w:w="679" w:type="dxa"/>
            <w:shd w:val="clear" w:color="auto" w:fill="auto"/>
            <w:tcMar>
              <w:left w:w="0" w:type="dxa"/>
              <w:right w:w="29" w:type="dxa"/>
            </w:tcMar>
          </w:tcPr>
          <w:p w14:paraId="714EE55D" w14:textId="77777777" w:rsidR="00531B65" w:rsidRPr="00531B65" w:rsidRDefault="00531B65" w:rsidP="00531B65">
            <w:pPr>
              <w:spacing w:after="60"/>
              <w:jc w:val="right"/>
              <w:rPr>
                <w:sz w:val="16"/>
                <w:szCs w:val="16"/>
                <w:lang w:val="en-CA" w:eastAsia="en-CA"/>
              </w:rPr>
            </w:pPr>
          </w:p>
        </w:tc>
        <w:tc>
          <w:tcPr>
            <w:tcW w:w="679" w:type="dxa"/>
            <w:shd w:val="clear" w:color="auto" w:fill="auto"/>
            <w:tcMar>
              <w:left w:w="0" w:type="dxa"/>
              <w:right w:w="29" w:type="dxa"/>
            </w:tcMar>
          </w:tcPr>
          <w:p w14:paraId="7AC208EF" w14:textId="77777777" w:rsidR="00531B65" w:rsidRPr="00531B65" w:rsidRDefault="00531B65" w:rsidP="00531B65">
            <w:pPr>
              <w:spacing w:after="60"/>
              <w:jc w:val="right"/>
              <w:rPr>
                <w:sz w:val="16"/>
                <w:szCs w:val="16"/>
                <w:lang w:val="en-CA" w:eastAsia="en-CA"/>
              </w:rPr>
            </w:pPr>
          </w:p>
        </w:tc>
        <w:tc>
          <w:tcPr>
            <w:tcW w:w="678" w:type="dxa"/>
            <w:shd w:val="clear" w:color="auto" w:fill="auto"/>
            <w:tcMar>
              <w:left w:w="0" w:type="dxa"/>
              <w:right w:w="29" w:type="dxa"/>
            </w:tcMar>
          </w:tcPr>
          <w:p w14:paraId="00DDA540" w14:textId="77777777" w:rsidR="00531B65" w:rsidRPr="00531B65" w:rsidRDefault="00531B65" w:rsidP="00531B65">
            <w:pPr>
              <w:spacing w:after="60"/>
              <w:jc w:val="right"/>
              <w:rPr>
                <w:sz w:val="16"/>
                <w:szCs w:val="16"/>
                <w:lang w:val="en-CA" w:eastAsia="en-CA"/>
              </w:rPr>
            </w:pPr>
            <w:r w:rsidRPr="00531B65">
              <w:rPr>
                <w:sz w:val="16"/>
                <w:szCs w:val="16"/>
                <w:lang w:val="en-CA" w:eastAsia="en-CA"/>
              </w:rPr>
              <w:t>116,500</w:t>
            </w:r>
          </w:p>
        </w:tc>
        <w:tc>
          <w:tcPr>
            <w:tcW w:w="679" w:type="dxa"/>
            <w:shd w:val="clear" w:color="auto" w:fill="auto"/>
            <w:tcMar>
              <w:left w:w="0" w:type="dxa"/>
              <w:right w:w="29" w:type="dxa"/>
            </w:tcMar>
          </w:tcPr>
          <w:p w14:paraId="5219356E" w14:textId="77777777" w:rsidR="00531B65" w:rsidRPr="00531B65" w:rsidRDefault="00531B65" w:rsidP="00531B65">
            <w:pPr>
              <w:spacing w:after="60"/>
              <w:jc w:val="right"/>
              <w:rPr>
                <w:sz w:val="16"/>
                <w:szCs w:val="16"/>
                <w:lang w:val="en-CA" w:eastAsia="en-CA"/>
              </w:rPr>
            </w:pPr>
          </w:p>
        </w:tc>
        <w:tc>
          <w:tcPr>
            <w:tcW w:w="679" w:type="dxa"/>
            <w:shd w:val="clear" w:color="auto" w:fill="auto"/>
            <w:tcMar>
              <w:left w:w="0" w:type="dxa"/>
              <w:right w:w="29" w:type="dxa"/>
            </w:tcMar>
          </w:tcPr>
          <w:p w14:paraId="2C23AB1C" w14:textId="4A8CFE3B" w:rsidR="00531B65" w:rsidRPr="00531B65" w:rsidRDefault="00531B65">
            <w:pPr>
              <w:spacing w:after="60"/>
              <w:jc w:val="right"/>
              <w:rPr>
                <w:sz w:val="16"/>
                <w:szCs w:val="16"/>
                <w:lang w:val="en-CA" w:eastAsia="en-CA"/>
              </w:rPr>
            </w:pPr>
            <w:r w:rsidRPr="00531B65">
              <w:rPr>
                <w:sz w:val="16"/>
                <w:szCs w:val="16"/>
                <w:lang w:val="en-CA" w:eastAsia="en-CA"/>
              </w:rPr>
              <w:t>*</w:t>
            </w:r>
            <w:r w:rsidR="006D4565">
              <w:rPr>
                <w:sz w:val="16"/>
                <w:szCs w:val="16"/>
                <w:lang w:val="en-CA" w:eastAsia="en-CA"/>
              </w:rPr>
              <w:t>543,219</w:t>
            </w:r>
          </w:p>
        </w:tc>
        <w:tc>
          <w:tcPr>
            <w:tcW w:w="678" w:type="dxa"/>
            <w:shd w:val="clear" w:color="auto" w:fill="auto"/>
            <w:tcMar>
              <w:left w:w="0" w:type="dxa"/>
              <w:right w:w="29" w:type="dxa"/>
            </w:tcMar>
          </w:tcPr>
          <w:p w14:paraId="6F68108F" w14:textId="77777777" w:rsidR="00531B65" w:rsidRPr="00531B65" w:rsidRDefault="00531B65" w:rsidP="00531B65">
            <w:pPr>
              <w:spacing w:after="60"/>
              <w:jc w:val="right"/>
              <w:rPr>
                <w:sz w:val="16"/>
                <w:szCs w:val="16"/>
                <w:lang w:val="en-CA" w:eastAsia="en-CA"/>
              </w:rPr>
            </w:pPr>
          </w:p>
        </w:tc>
        <w:tc>
          <w:tcPr>
            <w:tcW w:w="679" w:type="dxa"/>
            <w:shd w:val="clear" w:color="auto" w:fill="auto"/>
            <w:tcMar>
              <w:left w:w="0" w:type="dxa"/>
              <w:right w:w="29" w:type="dxa"/>
            </w:tcMar>
          </w:tcPr>
          <w:p w14:paraId="0650316B" w14:textId="77777777" w:rsidR="00531B65" w:rsidRPr="00531B65" w:rsidRDefault="00531B65" w:rsidP="00531B65">
            <w:pPr>
              <w:spacing w:after="60"/>
              <w:jc w:val="right"/>
              <w:rPr>
                <w:sz w:val="16"/>
                <w:szCs w:val="16"/>
                <w:lang w:val="en-CA" w:eastAsia="en-CA"/>
              </w:rPr>
            </w:pPr>
          </w:p>
        </w:tc>
        <w:tc>
          <w:tcPr>
            <w:tcW w:w="679" w:type="dxa"/>
            <w:shd w:val="clear" w:color="auto" w:fill="auto"/>
            <w:tcMar>
              <w:left w:w="0" w:type="dxa"/>
              <w:right w:w="29" w:type="dxa"/>
            </w:tcMar>
          </w:tcPr>
          <w:p w14:paraId="4D8485E6" w14:textId="6ADDA15F" w:rsidR="00531B65" w:rsidRPr="00531B65" w:rsidRDefault="00531B65">
            <w:pPr>
              <w:spacing w:after="60"/>
              <w:jc w:val="right"/>
              <w:rPr>
                <w:sz w:val="16"/>
                <w:szCs w:val="16"/>
                <w:lang w:val="en-CA" w:eastAsia="en-CA"/>
              </w:rPr>
            </w:pPr>
            <w:r w:rsidRPr="00531B65">
              <w:rPr>
                <w:color w:val="000000"/>
                <w:sz w:val="16"/>
                <w:szCs w:val="16"/>
                <w:lang w:val="en-CA" w:eastAsia="en-CA"/>
              </w:rPr>
              <w:t>2,</w:t>
            </w:r>
            <w:r w:rsidR="006D4565">
              <w:rPr>
                <w:color w:val="000000"/>
                <w:sz w:val="16"/>
                <w:szCs w:val="16"/>
                <w:lang w:val="en-CA" w:eastAsia="en-CA"/>
              </w:rPr>
              <w:t>328,159</w:t>
            </w:r>
          </w:p>
        </w:tc>
      </w:tr>
      <w:tr w:rsidR="00531B65" w:rsidRPr="00531B65" w14:paraId="2883A34C" w14:textId="77777777" w:rsidTr="00BA7EA0">
        <w:trPr>
          <w:trHeight w:val="277"/>
        </w:trPr>
        <w:tc>
          <w:tcPr>
            <w:tcW w:w="1413" w:type="dxa"/>
            <w:gridSpan w:val="2"/>
            <w:vMerge/>
            <w:shd w:val="clear" w:color="auto" w:fill="auto"/>
          </w:tcPr>
          <w:p w14:paraId="720B11C8" w14:textId="77777777" w:rsidR="00531B65" w:rsidRPr="00531B65" w:rsidRDefault="00531B65" w:rsidP="00531B65">
            <w:pPr>
              <w:spacing w:after="60"/>
              <w:jc w:val="center"/>
              <w:rPr>
                <w:sz w:val="16"/>
                <w:szCs w:val="16"/>
                <w:lang w:val="en-CA" w:eastAsia="en-CA"/>
              </w:rPr>
            </w:pPr>
          </w:p>
        </w:tc>
        <w:tc>
          <w:tcPr>
            <w:tcW w:w="1134" w:type="dxa"/>
            <w:shd w:val="clear" w:color="auto" w:fill="auto"/>
          </w:tcPr>
          <w:p w14:paraId="2DB60916" w14:textId="77777777" w:rsidR="00531B65" w:rsidRPr="00531B65" w:rsidRDefault="00531B65" w:rsidP="00531B65">
            <w:pPr>
              <w:spacing w:after="60"/>
              <w:jc w:val="left"/>
              <w:rPr>
                <w:sz w:val="16"/>
                <w:szCs w:val="16"/>
                <w:lang w:val="en-CA" w:eastAsia="en-CA"/>
              </w:rPr>
            </w:pPr>
            <w:r w:rsidRPr="00531B65">
              <w:rPr>
                <w:sz w:val="16"/>
                <w:szCs w:val="16"/>
                <w:lang w:val="en-CA" w:eastAsia="en-CA"/>
              </w:rPr>
              <w:t>Support costs</w:t>
            </w:r>
          </w:p>
        </w:tc>
        <w:tc>
          <w:tcPr>
            <w:tcW w:w="678" w:type="dxa"/>
            <w:tcMar>
              <w:left w:w="0" w:type="dxa"/>
              <w:right w:w="29" w:type="dxa"/>
            </w:tcMar>
          </w:tcPr>
          <w:p w14:paraId="3B876C55" w14:textId="77777777" w:rsidR="00531B65" w:rsidRPr="00531B65" w:rsidRDefault="00531B65" w:rsidP="00531B65">
            <w:pPr>
              <w:spacing w:after="60"/>
              <w:jc w:val="right"/>
              <w:rPr>
                <w:sz w:val="16"/>
                <w:szCs w:val="16"/>
                <w:lang w:val="en-CA" w:eastAsia="en-CA"/>
              </w:rPr>
            </w:pPr>
            <w:r w:rsidRPr="00531B65">
              <w:rPr>
                <w:sz w:val="16"/>
                <w:szCs w:val="16"/>
                <w:lang w:val="en-CA" w:eastAsia="en-CA"/>
              </w:rPr>
              <w:t>118,796</w:t>
            </w:r>
          </w:p>
        </w:tc>
        <w:tc>
          <w:tcPr>
            <w:tcW w:w="679" w:type="dxa"/>
            <w:tcMar>
              <w:left w:w="0" w:type="dxa"/>
              <w:right w:w="29" w:type="dxa"/>
            </w:tcMar>
          </w:tcPr>
          <w:p w14:paraId="5553BC77" w14:textId="77777777" w:rsidR="00531B65" w:rsidRPr="00531B65" w:rsidRDefault="00531B65" w:rsidP="00531B65">
            <w:pPr>
              <w:spacing w:after="60"/>
              <w:jc w:val="right"/>
              <w:rPr>
                <w:sz w:val="16"/>
                <w:szCs w:val="16"/>
                <w:lang w:val="en-CA" w:eastAsia="en-CA"/>
              </w:rPr>
            </w:pPr>
            <w:r w:rsidRPr="00531B65">
              <w:rPr>
                <w:sz w:val="16"/>
                <w:szCs w:val="16"/>
                <w:lang w:val="en-CA" w:eastAsia="en-CA"/>
              </w:rPr>
              <w:t>0</w:t>
            </w:r>
          </w:p>
        </w:tc>
        <w:tc>
          <w:tcPr>
            <w:tcW w:w="678" w:type="dxa"/>
            <w:shd w:val="clear" w:color="auto" w:fill="auto"/>
            <w:tcMar>
              <w:left w:w="0" w:type="dxa"/>
              <w:right w:w="29" w:type="dxa"/>
            </w:tcMar>
          </w:tcPr>
          <w:p w14:paraId="0871F4EE" w14:textId="77777777" w:rsidR="00531B65" w:rsidRPr="00531B65" w:rsidRDefault="00531B65" w:rsidP="00531B65">
            <w:pPr>
              <w:spacing w:after="60"/>
              <w:jc w:val="right"/>
              <w:rPr>
                <w:sz w:val="16"/>
                <w:szCs w:val="16"/>
                <w:lang w:val="en-CA" w:eastAsia="en-CA"/>
              </w:rPr>
            </w:pPr>
            <w:r w:rsidRPr="00531B65">
              <w:rPr>
                <w:sz w:val="16"/>
                <w:szCs w:val="16"/>
                <w:lang w:val="en-CA" w:eastAsia="en-CA"/>
              </w:rPr>
              <w:t>9,088</w:t>
            </w:r>
          </w:p>
        </w:tc>
        <w:tc>
          <w:tcPr>
            <w:tcW w:w="679" w:type="dxa"/>
            <w:shd w:val="clear" w:color="auto" w:fill="auto"/>
            <w:tcMar>
              <w:left w:w="0" w:type="dxa"/>
              <w:right w:w="29" w:type="dxa"/>
            </w:tcMar>
          </w:tcPr>
          <w:p w14:paraId="16CDFDD2" w14:textId="77777777" w:rsidR="00531B65" w:rsidRPr="00531B65" w:rsidRDefault="00531B65" w:rsidP="00531B65">
            <w:pPr>
              <w:spacing w:after="60"/>
              <w:jc w:val="right"/>
              <w:rPr>
                <w:sz w:val="16"/>
                <w:szCs w:val="16"/>
                <w:lang w:val="en-CA" w:eastAsia="en-CA"/>
              </w:rPr>
            </w:pPr>
          </w:p>
        </w:tc>
        <w:tc>
          <w:tcPr>
            <w:tcW w:w="679" w:type="dxa"/>
            <w:shd w:val="clear" w:color="auto" w:fill="auto"/>
            <w:tcMar>
              <w:left w:w="0" w:type="dxa"/>
              <w:right w:w="29" w:type="dxa"/>
            </w:tcMar>
          </w:tcPr>
          <w:p w14:paraId="778F0CF8" w14:textId="77777777" w:rsidR="00531B65" w:rsidRPr="00531B65" w:rsidRDefault="00531B65" w:rsidP="00531B65">
            <w:pPr>
              <w:spacing w:after="60"/>
              <w:jc w:val="right"/>
              <w:rPr>
                <w:sz w:val="16"/>
                <w:szCs w:val="16"/>
                <w:lang w:val="en-CA" w:eastAsia="en-CA"/>
              </w:rPr>
            </w:pPr>
          </w:p>
        </w:tc>
        <w:tc>
          <w:tcPr>
            <w:tcW w:w="678" w:type="dxa"/>
            <w:shd w:val="clear" w:color="auto" w:fill="auto"/>
            <w:tcMar>
              <w:left w:w="0" w:type="dxa"/>
              <w:right w:w="29" w:type="dxa"/>
            </w:tcMar>
          </w:tcPr>
          <w:p w14:paraId="45F18253" w14:textId="77777777" w:rsidR="00531B65" w:rsidRPr="00531B65" w:rsidRDefault="00531B65" w:rsidP="00531B65">
            <w:pPr>
              <w:spacing w:after="60"/>
              <w:jc w:val="right"/>
              <w:rPr>
                <w:sz w:val="16"/>
                <w:szCs w:val="16"/>
                <w:lang w:val="en-CA" w:eastAsia="en-CA"/>
              </w:rPr>
            </w:pPr>
            <w:r w:rsidRPr="00531B65">
              <w:rPr>
                <w:sz w:val="16"/>
                <w:szCs w:val="16"/>
                <w:lang w:val="en-CA" w:eastAsia="en-CA"/>
              </w:rPr>
              <w:t>10,387</w:t>
            </w:r>
          </w:p>
        </w:tc>
        <w:tc>
          <w:tcPr>
            <w:tcW w:w="679" w:type="dxa"/>
            <w:shd w:val="clear" w:color="auto" w:fill="auto"/>
            <w:tcMar>
              <w:left w:w="0" w:type="dxa"/>
              <w:right w:w="29" w:type="dxa"/>
            </w:tcMar>
          </w:tcPr>
          <w:p w14:paraId="5D218A49" w14:textId="77777777" w:rsidR="00531B65" w:rsidRPr="00531B65" w:rsidRDefault="00531B65" w:rsidP="00531B65">
            <w:pPr>
              <w:spacing w:after="60"/>
              <w:jc w:val="right"/>
              <w:rPr>
                <w:sz w:val="16"/>
                <w:szCs w:val="16"/>
                <w:lang w:val="en-CA" w:eastAsia="en-CA"/>
              </w:rPr>
            </w:pPr>
          </w:p>
        </w:tc>
        <w:tc>
          <w:tcPr>
            <w:tcW w:w="679" w:type="dxa"/>
            <w:shd w:val="clear" w:color="auto" w:fill="auto"/>
            <w:tcMar>
              <w:left w:w="0" w:type="dxa"/>
              <w:right w:w="29" w:type="dxa"/>
            </w:tcMar>
          </w:tcPr>
          <w:p w14:paraId="6AC2EE14" w14:textId="147BC5AE" w:rsidR="00531B65" w:rsidRPr="00531B65" w:rsidRDefault="006D4565">
            <w:pPr>
              <w:spacing w:after="60"/>
              <w:jc w:val="right"/>
              <w:rPr>
                <w:sz w:val="16"/>
                <w:szCs w:val="16"/>
                <w:lang w:val="en-CA" w:eastAsia="en-CA"/>
              </w:rPr>
            </w:pPr>
            <w:r>
              <w:rPr>
                <w:sz w:val="16"/>
                <w:szCs w:val="16"/>
                <w:lang w:val="en-CA" w:eastAsia="en-CA"/>
              </w:rPr>
              <w:t>39,957</w:t>
            </w:r>
          </w:p>
        </w:tc>
        <w:tc>
          <w:tcPr>
            <w:tcW w:w="678" w:type="dxa"/>
            <w:shd w:val="clear" w:color="auto" w:fill="auto"/>
            <w:tcMar>
              <w:left w:w="0" w:type="dxa"/>
              <w:right w:w="29" w:type="dxa"/>
            </w:tcMar>
          </w:tcPr>
          <w:p w14:paraId="5334741E" w14:textId="77777777" w:rsidR="00531B65" w:rsidRPr="00531B65" w:rsidRDefault="00531B65" w:rsidP="00531B65">
            <w:pPr>
              <w:spacing w:after="60"/>
              <w:jc w:val="right"/>
              <w:rPr>
                <w:sz w:val="16"/>
                <w:szCs w:val="16"/>
                <w:lang w:val="en-CA" w:eastAsia="en-CA"/>
              </w:rPr>
            </w:pPr>
          </w:p>
        </w:tc>
        <w:tc>
          <w:tcPr>
            <w:tcW w:w="679" w:type="dxa"/>
            <w:shd w:val="clear" w:color="auto" w:fill="auto"/>
            <w:tcMar>
              <w:left w:w="0" w:type="dxa"/>
              <w:right w:w="29" w:type="dxa"/>
            </w:tcMar>
          </w:tcPr>
          <w:p w14:paraId="1E579099" w14:textId="77777777" w:rsidR="00531B65" w:rsidRPr="00531B65" w:rsidRDefault="00531B65" w:rsidP="00531B65">
            <w:pPr>
              <w:spacing w:after="60"/>
              <w:jc w:val="right"/>
              <w:rPr>
                <w:sz w:val="16"/>
                <w:szCs w:val="16"/>
                <w:highlight w:val="yellow"/>
                <w:lang w:val="en-CA" w:eastAsia="en-CA"/>
              </w:rPr>
            </w:pPr>
          </w:p>
        </w:tc>
        <w:tc>
          <w:tcPr>
            <w:tcW w:w="679" w:type="dxa"/>
            <w:shd w:val="clear" w:color="auto" w:fill="auto"/>
            <w:tcMar>
              <w:left w:w="0" w:type="dxa"/>
              <w:right w:w="29" w:type="dxa"/>
            </w:tcMar>
          </w:tcPr>
          <w:p w14:paraId="2052EE10" w14:textId="3D18D216" w:rsidR="00531B65" w:rsidRPr="00531B65" w:rsidRDefault="00531B65">
            <w:pPr>
              <w:spacing w:after="60"/>
              <w:jc w:val="right"/>
              <w:rPr>
                <w:sz w:val="16"/>
                <w:szCs w:val="16"/>
                <w:lang w:val="en-CA" w:eastAsia="en-CA"/>
              </w:rPr>
            </w:pPr>
            <w:r w:rsidRPr="00531B65">
              <w:rPr>
                <w:color w:val="000000"/>
                <w:sz w:val="16"/>
                <w:szCs w:val="16"/>
                <w:lang w:val="en-CA" w:eastAsia="en-CA"/>
              </w:rPr>
              <w:t>1</w:t>
            </w:r>
            <w:r w:rsidR="006D4565">
              <w:rPr>
                <w:color w:val="000000"/>
                <w:sz w:val="16"/>
                <w:szCs w:val="16"/>
                <w:lang w:val="en-CA" w:eastAsia="en-CA"/>
              </w:rPr>
              <w:t>78,228</w:t>
            </w:r>
          </w:p>
        </w:tc>
      </w:tr>
      <w:tr w:rsidR="00531B65" w:rsidRPr="00531B65" w14:paraId="690B0326" w14:textId="77777777" w:rsidTr="00BA7EA0">
        <w:trPr>
          <w:trHeight w:val="393"/>
        </w:trPr>
        <w:tc>
          <w:tcPr>
            <w:tcW w:w="1413" w:type="dxa"/>
            <w:gridSpan w:val="2"/>
            <w:vMerge w:val="restart"/>
            <w:shd w:val="clear" w:color="auto" w:fill="auto"/>
          </w:tcPr>
          <w:p w14:paraId="5D1C5906" w14:textId="77777777" w:rsidR="00531B65" w:rsidRPr="00531B65" w:rsidRDefault="00531B65" w:rsidP="00531B65">
            <w:pPr>
              <w:spacing w:after="60"/>
              <w:jc w:val="left"/>
              <w:rPr>
                <w:sz w:val="16"/>
                <w:szCs w:val="16"/>
                <w:lang w:val="en-CA" w:eastAsia="en-CA"/>
              </w:rPr>
            </w:pPr>
            <w:r w:rsidRPr="00531B65">
              <w:rPr>
                <w:sz w:val="16"/>
                <w:szCs w:val="16"/>
                <w:lang w:val="en-CA" w:eastAsia="en-CA"/>
              </w:rPr>
              <w:t>Total funds requested for approval at this meeting (US$)</w:t>
            </w:r>
          </w:p>
        </w:tc>
        <w:tc>
          <w:tcPr>
            <w:tcW w:w="1134" w:type="dxa"/>
            <w:shd w:val="clear" w:color="auto" w:fill="auto"/>
          </w:tcPr>
          <w:p w14:paraId="239020C9" w14:textId="77777777" w:rsidR="00531B65" w:rsidRPr="00531B65" w:rsidRDefault="00531B65" w:rsidP="00531B65">
            <w:pPr>
              <w:spacing w:after="60"/>
              <w:jc w:val="left"/>
              <w:rPr>
                <w:sz w:val="16"/>
                <w:szCs w:val="16"/>
                <w:lang w:val="en-CA" w:eastAsia="en-CA"/>
              </w:rPr>
            </w:pPr>
            <w:r w:rsidRPr="00531B65">
              <w:rPr>
                <w:sz w:val="16"/>
                <w:szCs w:val="16"/>
                <w:lang w:val="en-CA" w:eastAsia="en-CA"/>
              </w:rPr>
              <w:t>Project costs</w:t>
            </w:r>
          </w:p>
        </w:tc>
        <w:tc>
          <w:tcPr>
            <w:tcW w:w="678" w:type="dxa"/>
            <w:tcMar>
              <w:left w:w="0" w:type="dxa"/>
              <w:right w:w="29" w:type="dxa"/>
            </w:tcMar>
          </w:tcPr>
          <w:p w14:paraId="6B467E2F" w14:textId="77777777" w:rsidR="00531B65" w:rsidRPr="00531B65" w:rsidRDefault="00531B65" w:rsidP="00531B65">
            <w:pPr>
              <w:spacing w:after="60"/>
              <w:jc w:val="right"/>
              <w:rPr>
                <w:sz w:val="16"/>
                <w:szCs w:val="16"/>
                <w:lang w:val="en-CA" w:eastAsia="en-CA"/>
              </w:rPr>
            </w:pPr>
          </w:p>
        </w:tc>
        <w:tc>
          <w:tcPr>
            <w:tcW w:w="679" w:type="dxa"/>
            <w:tcMar>
              <w:left w:w="0" w:type="dxa"/>
              <w:right w:w="29" w:type="dxa"/>
            </w:tcMar>
          </w:tcPr>
          <w:p w14:paraId="0A63AFA3" w14:textId="77777777" w:rsidR="00531B65" w:rsidRPr="00531B65" w:rsidRDefault="00531B65" w:rsidP="00531B65">
            <w:pPr>
              <w:spacing w:after="60"/>
              <w:jc w:val="right"/>
              <w:rPr>
                <w:sz w:val="16"/>
                <w:szCs w:val="16"/>
                <w:lang w:val="en-CA" w:eastAsia="en-CA"/>
              </w:rPr>
            </w:pPr>
          </w:p>
        </w:tc>
        <w:tc>
          <w:tcPr>
            <w:tcW w:w="678" w:type="dxa"/>
            <w:shd w:val="clear" w:color="auto" w:fill="auto"/>
            <w:tcMar>
              <w:left w:w="0" w:type="dxa"/>
              <w:right w:w="29" w:type="dxa"/>
            </w:tcMar>
          </w:tcPr>
          <w:p w14:paraId="2D55BCAF" w14:textId="77777777" w:rsidR="00531B65" w:rsidRPr="00531B65" w:rsidRDefault="00531B65" w:rsidP="00531B65">
            <w:pPr>
              <w:spacing w:after="60"/>
              <w:jc w:val="right"/>
              <w:rPr>
                <w:sz w:val="16"/>
                <w:szCs w:val="16"/>
                <w:lang w:val="en-CA" w:eastAsia="en-CA"/>
              </w:rPr>
            </w:pPr>
          </w:p>
        </w:tc>
        <w:tc>
          <w:tcPr>
            <w:tcW w:w="679" w:type="dxa"/>
            <w:shd w:val="clear" w:color="auto" w:fill="auto"/>
            <w:tcMar>
              <w:left w:w="0" w:type="dxa"/>
              <w:right w:w="29" w:type="dxa"/>
            </w:tcMar>
          </w:tcPr>
          <w:p w14:paraId="4D344F74" w14:textId="77777777" w:rsidR="00531B65" w:rsidRPr="00531B65" w:rsidRDefault="00531B65" w:rsidP="00531B65">
            <w:pPr>
              <w:spacing w:after="60"/>
              <w:jc w:val="right"/>
              <w:rPr>
                <w:sz w:val="16"/>
                <w:szCs w:val="16"/>
                <w:lang w:val="en-CA" w:eastAsia="en-CA"/>
              </w:rPr>
            </w:pPr>
          </w:p>
        </w:tc>
        <w:tc>
          <w:tcPr>
            <w:tcW w:w="679" w:type="dxa"/>
            <w:shd w:val="clear" w:color="auto" w:fill="auto"/>
            <w:tcMar>
              <w:left w:w="0" w:type="dxa"/>
              <w:right w:w="29" w:type="dxa"/>
            </w:tcMar>
          </w:tcPr>
          <w:p w14:paraId="6AD8F2B9" w14:textId="77777777" w:rsidR="00531B65" w:rsidRPr="00531B65" w:rsidRDefault="00531B65" w:rsidP="00531B65">
            <w:pPr>
              <w:spacing w:after="60"/>
              <w:jc w:val="right"/>
              <w:rPr>
                <w:sz w:val="16"/>
                <w:szCs w:val="16"/>
                <w:lang w:val="en-CA" w:eastAsia="en-CA"/>
              </w:rPr>
            </w:pPr>
          </w:p>
        </w:tc>
        <w:tc>
          <w:tcPr>
            <w:tcW w:w="678" w:type="dxa"/>
            <w:shd w:val="clear" w:color="auto" w:fill="auto"/>
            <w:tcMar>
              <w:left w:w="0" w:type="dxa"/>
              <w:right w:w="29" w:type="dxa"/>
            </w:tcMar>
          </w:tcPr>
          <w:p w14:paraId="1FE49E64" w14:textId="77777777" w:rsidR="00531B65" w:rsidRPr="00531B65" w:rsidRDefault="00531B65" w:rsidP="00531B65">
            <w:pPr>
              <w:spacing w:after="60"/>
              <w:jc w:val="right"/>
              <w:rPr>
                <w:sz w:val="16"/>
                <w:szCs w:val="16"/>
                <w:lang w:val="en-CA" w:eastAsia="en-CA"/>
              </w:rPr>
            </w:pPr>
          </w:p>
        </w:tc>
        <w:tc>
          <w:tcPr>
            <w:tcW w:w="679" w:type="dxa"/>
            <w:shd w:val="clear" w:color="auto" w:fill="auto"/>
            <w:tcMar>
              <w:left w:w="0" w:type="dxa"/>
              <w:right w:w="29" w:type="dxa"/>
            </w:tcMar>
          </w:tcPr>
          <w:p w14:paraId="209D2D7C" w14:textId="77777777" w:rsidR="00531B65" w:rsidRPr="00531B65" w:rsidRDefault="00531B65" w:rsidP="00531B65">
            <w:pPr>
              <w:spacing w:after="60"/>
              <w:jc w:val="right"/>
              <w:rPr>
                <w:sz w:val="16"/>
                <w:szCs w:val="16"/>
                <w:lang w:val="en-CA" w:eastAsia="en-CA"/>
              </w:rPr>
            </w:pPr>
          </w:p>
        </w:tc>
        <w:tc>
          <w:tcPr>
            <w:tcW w:w="679" w:type="dxa"/>
            <w:shd w:val="clear" w:color="auto" w:fill="auto"/>
            <w:tcMar>
              <w:left w:w="0" w:type="dxa"/>
              <w:right w:w="29" w:type="dxa"/>
            </w:tcMar>
          </w:tcPr>
          <w:p w14:paraId="48E6A8A4" w14:textId="77777777" w:rsidR="00531B65" w:rsidRPr="00531B65" w:rsidRDefault="00531B65" w:rsidP="00531B65">
            <w:pPr>
              <w:spacing w:after="60"/>
              <w:jc w:val="right"/>
              <w:rPr>
                <w:sz w:val="16"/>
                <w:szCs w:val="16"/>
                <w:lang w:val="en-CA" w:eastAsia="en-CA"/>
              </w:rPr>
            </w:pPr>
          </w:p>
        </w:tc>
        <w:tc>
          <w:tcPr>
            <w:tcW w:w="678" w:type="dxa"/>
            <w:shd w:val="clear" w:color="auto" w:fill="auto"/>
            <w:tcMar>
              <w:left w:w="0" w:type="dxa"/>
              <w:right w:w="29" w:type="dxa"/>
            </w:tcMar>
          </w:tcPr>
          <w:p w14:paraId="53E07711" w14:textId="77777777" w:rsidR="00531B65" w:rsidRPr="00531B65" w:rsidRDefault="00531B65" w:rsidP="00531B65">
            <w:pPr>
              <w:spacing w:after="60"/>
              <w:jc w:val="right"/>
              <w:rPr>
                <w:sz w:val="16"/>
                <w:szCs w:val="16"/>
                <w:lang w:val="en-CA" w:eastAsia="en-CA"/>
              </w:rPr>
            </w:pPr>
          </w:p>
        </w:tc>
        <w:tc>
          <w:tcPr>
            <w:tcW w:w="679" w:type="dxa"/>
            <w:shd w:val="clear" w:color="auto" w:fill="auto"/>
            <w:tcMar>
              <w:left w:w="0" w:type="dxa"/>
              <w:right w:w="29" w:type="dxa"/>
            </w:tcMar>
          </w:tcPr>
          <w:p w14:paraId="654498B2" w14:textId="77777777" w:rsidR="00531B65" w:rsidRPr="00531B65" w:rsidRDefault="00531B65" w:rsidP="00531B65">
            <w:pPr>
              <w:spacing w:after="60"/>
              <w:jc w:val="right"/>
              <w:rPr>
                <w:sz w:val="16"/>
                <w:szCs w:val="16"/>
                <w:lang w:val="en-CA" w:eastAsia="en-CA"/>
              </w:rPr>
            </w:pPr>
            <w:r>
              <w:rPr>
                <w:sz w:val="16"/>
                <w:szCs w:val="16"/>
                <w:lang w:val="en-CA" w:eastAsia="en-CA"/>
              </w:rPr>
              <w:t>65,000</w:t>
            </w:r>
          </w:p>
        </w:tc>
        <w:tc>
          <w:tcPr>
            <w:tcW w:w="679" w:type="dxa"/>
            <w:shd w:val="clear" w:color="auto" w:fill="auto"/>
            <w:tcMar>
              <w:left w:w="0" w:type="dxa"/>
              <w:right w:w="29" w:type="dxa"/>
            </w:tcMar>
          </w:tcPr>
          <w:p w14:paraId="13A2D67C" w14:textId="75188FAF" w:rsidR="00531B65" w:rsidRPr="00531B65" w:rsidRDefault="006D4565" w:rsidP="00531B65">
            <w:pPr>
              <w:spacing w:after="60"/>
              <w:jc w:val="right"/>
              <w:rPr>
                <w:sz w:val="16"/>
                <w:szCs w:val="16"/>
                <w:lang w:val="en-CA" w:eastAsia="en-CA"/>
              </w:rPr>
            </w:pPr>
            <w:r>
              <w:rPr>
                <w:sz w:val="16"/>
                <w:szCs w:val="16"/>
                <w:lang w:val="en-CA" w:eastAsia="en-CA"/>
              </w:rPr>
              <w:t>65,000</w:t>
            </w:r>
          </w:p>
        </w:tc>
      </w:tr>
      <w:tr w:rsidR="00531B65" w:rsidRPr="00531B65" w14:paraId="3571BFE4" w14:textId="77777777" w:rsidTr="00BA7EA0">
        <w:trPr>
          <w:trHeight w:val="393"/>
        </w:trPr>
        <w:tc>
          <w:tcPr>
            <w:tcW w:w="1413" w:type="dxa"/>
            <w:gridSpan w:val="2"/>
            <w:vMerge/>
            <w:shd w:val="clear" w:color="auto" w:fill="auto"/>
          </w:tcPr>
          <w:p w14:paraId="6684BA2B" w14:textId="77777777" w:rsidR="00531B65" w:rsidRPr="00531B65" w:rsidRDefault="00531B65" w:rsidP="00531B65">
            <w:pPr>
              <w:spacing w:after="60"/>
              <w:jc w:val="center"/>
              <w:rPr>
                <w:sz w:val="16"/>
                <w:szCs w:val="16"/>
                <w:lang w:val="en-CA" w:eastAsia="en-CA"/>
              </w:rPr>
            </w:pPr>
          </w:p>
        </w:tc>
        <w:tc>
          <w:tcPr>
            <w:tcW w:w="1134" w:type="dxa"/>
            <w:shd w:val="clear" w:color="auto" w:fill="auto"/>
          </w:tcPr>
          <w:p w14:paraId="0CE6FD02" w14:textId="77777777" w:rsidR="00531B65" w:rsidRPr="00531B65" w:rsidRDefault="00531B65" w:rsidP="00531B65">
            <w:pPr>
              <w:spacing w:after="60"/>
              <w:jc w:val="left"/>
              <w:rPr>
                <w:sz w:val="16"/>
                <w:szCs w:val="16"/>
                <w:lang w:val="en-CA" w:eastAsia="en-CA"/>
              </w:rPr>
            </w:pPr>
            <w:r w:rsidRPr="00531B65">
              <w:rPr>
                <w:sz w:val="16"/>
                <w:szCs w:val="16"/>
                <w:lang w:val="en-CA" w:eastAsia="en-CA"/>
              </w:rPr>
              <w:t>Support costs</w:t>
            </w:r>
          </w:p>
        </w:tc>
        <w:tc>
          <w:tcPr>
            <w:tcW w:w="678" w:type="dxa"/>
            <w:tcMar>
              <w:left w:w="0" w:type="dxa"/>
              <w:right w:w="29" w:type="dxa"/>
            </w:tcMar>
          </w:tcPr>
          <w:p w14:paraId="1484F319" w14:textId="77777777" w:rsidR="00531B65" w:rsidRPr="00531B65" w:rsidRDefault="00531B65" w:rsidP="00531B65">
            <w:pPr>
              <w:spacing w:after="60"/>
              <w:jc w:val="right"/>
              <w:rPr>
                <w:sz w:val="16"/>
                <w:szCs w:val="16"/>
                <w:lang w:val="en-CA" w:eastAsia="en-CA"/>
              </w:rPr>
            </w:pPr>
          </w:p>
        </w:tc>
        <w:tc>
          <w:tcPr>
            <w:tcW w:w="679" w:type="dxa"/>
            <w:tcMar>
              <w:left w:w="0" w:type="dxa"/>
              <w:right w:w="29" w:type="dxa"/>
            </w:tcMar>
          </w:tcPr>
          <w:p w14:paraId="4B6EB07E" w14:textId="77777777" w:rsidR="00531B65" w:rsidRPr="00531B65" w:rsidRDefault="00531B65" w:rsidP="00531B65">
            <w:pPr>
              <w:spacing w:after="60"/>
              <w:jc w:val="right"/>
              <w:rPr>
                <w:sz w:val="16"/>
                <w:szCs w:val="16"/>
                <w:lang w:val="en-CA" w:eastAsia="en-CA"/>
              </w:rPr>
            </w:pPr>
          </w:p>
        </w:tc>
        <w:tc>
          <w:tcPr>
            <w:tcW w:w="678" w:type="dxa"/>
            <w:shd w:val="clear" w:color="auto" w:fill="auto"/>
            <w:tcMar>
              <w:left w:w="0" w:type="dxa"/>
              <w:right w:w="29" w:type="dxa"/>
            </w:tcMar>
          </w:tcPr>
          <w:p w14:paraId="7075A444" w14:textId="77777777" w:rsidR="00531B65" w:rsidRPr="00531B65" w:rsidRDefault="00531B65" w:rsidP="00531B65">
            <w:pPr>
              <w:spacing w:after="60"/>
              <w:jc w:val="right"/>
              <w:rPr>
                <w:sz w:val="16"/>
                <w:szCs w:val="16"/>
                <w:lang w:val="en-CA" w:eastAsia="en-CA"/>
              </w:rPr>
            </w:pPr>
          </w:p>
        </w:tc>
        <w:tc>
          <w:tcPr>
            <w:tcW w:w="679" w:type="dxa"/>
            <w:shd w:val="clear" w:color="auto" w:fill="auto"/>
            <w:tcMar>
              <w:left w:w="0" w:type="dxa"/>
              <w:right w:w="29" w:type="dxa"/>
            </w:tcMar>
          </w:tcPr>
          <w:p w14:paraId="6C2BC461" w14:textId="77777777" w:rsidR="00531B65" w:rsidRPr="00531B65" w:rsidRDefault="00531B65" w:rsidP="00531B65">
            <w:pPr>
              <w:spacing w:after="60"/>
              <w:jc w:val="right"/>
              <w:rPr>
                <w:sz w:val="16"/>
                <w:szCs w:val="16"/>
                <w:lang w:val="en-CA" w:eastAsia="en-CA"/>
              </w:rPr>
            </w:pPr>
          </w:p>
        </w:tc>
        <w:tc>
          <w:tcPr>
            <w:tcW w:w="679" w:type="dxa"/>
            <w:shd w:val="clear" w:color="auto" w:fill="auto"/>
            <w:tcMar>
              <w:left w:w="0" w:type="dxa"/>
              <w:right w:w="29" w:type="dxa"/>
            </w:tcMar>
          </w:tcPr>
          <w:p w14:paraId="6619AADB" w14:textId="77777777" w:rsidR="00531B65" w:rsidRPr="00531B65" w:rsidRDefault="00531B65" w:rsidP="00531B65">
            <w:pPr>
              <w:spacing w:after="60"/>
              <w:jc w:val="right"/>
              <w:rPr>
                <w:sz w:val="16"/>
                <w:szCs w:val="16"/>
                <w:lang w:val="en-CA" w:eastAsia="en-CA"/>
              </w:rPr>
            </w:pPr>
          </w:p>
        </w:tc>
        <w:tc>
          <w:tcPr>
            <w:tcW w:w="678" w:type="dxa"/>
            <w:shd w:val="clear" w:color="auto" w:fill="auto"/>
            <w:tcMar>
              <w:left w:w="0" w:type="dxa"/>
              <w:right w:w="29" w:type="dxa"/>
            </w:tcMar>
          </w:tcPr>
          <w:p w14:paraId="01BC89E0" w14:textId="77777777" w:rsidR="00531B65" w:rsidRPr="00531B65" w:rsidRDefault="00531B65" w:rsidP="00531B65">
            <w:pPr>
              <w:spacing w:after="60"/>
              <w:jc w:val="right"/>
              <w:rPr>
                <w:sz w:val="16"/>
                <w:szCs w:val="16"/>
                <w:lang w:val="en-CA" w:eastAsia="en-CA"/>
              </w:rPr>
            </w:pPr>
          </w:p>
        </w:tc>
        <w:tc>
          <w:tcPr>
            <w:tcW w:w="679" w:type="dxa"/>
            <w:shd w:val="clear" w:color="auto" w:fill="auto"/>
            <w:tcMar>
              <w:left w:w="0" w:type="dxa"/>
              <w:right w:w="29" w:type="dxa"/>
            </w:tcMar>
          </w:tcPr>
          <w:p w14:paraId="39020295" w14:textId="77777777" w:rsidR="00531B65" w:rsidRPr="00531B65" w:rsidRDefault="00531B65" w:rsidP="00531B65">
            <w:pPr>
              <w:spacing w:after="60"/>
              <w:jc w:val="right"/>
              <w:rPr>
                <w:sz w:val="16"/>
                <w:szCs w:val="16"/>
                <w:lang w:val="en-CA" w:eastAsia="en-CA"/>
              </w:rPr>
            </w:pPr>
          </w:p>
        </w:tc>
        <w:tc>
          <w:tcPr>
            <w:tcW w:w="679" w:type="dxa"/>
            <w:shd w:val="clear" w:color="auto" w:fill="auto"/>
            <w:tcMar>
              <w:left w:w="0" w:type="dxa"/>
              <w:right w:w="29" w:type="dxa"/>
            </w:tcMar>
          </w:tcPr>
          <w:p w14:paraId="1D29EE6B" w14:textId="77777777" w:rsidR="00531B65" w:rsidRPr="00531B65" w:rsidRDefault="00531B65" w:rsidP="00531B65">
            <w:pPr>
              <w:spacing w:after="60"/>
              <w:jc w:val="right"/>
              <w:rPr>
                <w:sz w:val="16"/>
                <w:szCs w:val="16"/>
                <w:lang w:val="en-CA" w:eastAsia="en-CA"/>
              </w:rPr>
            </w:pPr>
          </w:p>
        </w:tc>
        <w:tc>
          <w:tcPr>
            <w:tcW w:w="678" w:type="dxa"/>
            <w:shd w:val="clear" w:color="auto" w:fill="auto"/>
            <w:tcMar>
              <w:left w:w="0" w:type="dxa"/>
              <w:right w:w="29" w:type="dxa"/>
            </w:tcMar>
          </w:tcPr>
          <w:p w14:paraId="6CAC32A5" w14:textId="77777777" w:rsidR="00531B65" w:rsidRPr="00531B65" w:rsidRDefault="00531B65" w:rsidP="00531B65">
            <w:pPr>
              <w:spacing w:after="60"/>
              <w:jc w:val="right"/>
              <w:rPr>
                <w:sz w:val="16"/>
                <w:szCs w:val="16"/>
                <w:lang w:val="en-CA" w:eastAsia="en-CA"/>
              </w:rPr>
            </w:pPr>
          </w:p>
        </w:tc>
        <w:tc>
          <w:tcPr>
            <w:tcW w:w="679" w:type="dxa"/>
            <w:shd w:val="clear" w:color="auto" w:fill="auto"/>
            <w:tcMar>
              <w:left w:w="0" w:type="dxa"/>
              <w:right w:w="29" w:type="dxa"/>
            </w:tcMar>
          </w:tcPr>
          <w:p w14:paraId="251FD17D" w14:textId="77777777" w:rsidR="00531B65" w:rsidRPr="00531B65" w:rsidRDefault="00531B65" w:rsidP="00531B65">
            <w:pPr>
              <w:spacing w:after="60"/>
              <w:jc w:val="right"/>
              <w:rPr>
                <w:sz w:val="16"/>
                <w:szCs w:val="16"/>
                <w:lang w:val="en-CA" w:eastAsia="en-CA"/>
              </w:rPr>
            </w:pPr>
            <w:r>
              <w:rPr>
                <w:sz w:val="16"/>
                <w:szCs w:val="16"/>
                <w:lang w:val="en-CA" w:eastAsia="en-CA"/>
              </w:rPr>
              <w:t>5,425</w:t>
            </w:r>
          </w:p>
        </w:tc>
        <w:tc>
          <w:tcPr>
            <w:tcW w:w="679" w:type="dxa"/>
            <w:shd w:val="clear" w:color="auto" w:fill="auto"/>
            <w:tcMar>
              <w:left w:w="0" w:type="dxa"/>
              <w:right w:w="29" w:type="dxa"/>
            </w:tcMar>
          </w:tcPr>
          <w:p w14:paraId="50B47177" w14:textId="374D419D" w:rsidR="00531B65" w:rsidRPr="00531B65" w:rsidRDefault="006D4565" w:rsidP="00531B65">
            <w:pPr>
              <w:spacing w:after="60"/>
              <w:jc w:val="right"/>
              <w:rPr>
                <w:sz w:val="16"/>
                <w:szCs w:val="16"/>
                <w:lang w:val="en-CA" w:eastAsia="en-CA"/>
              </w:rPr>
            </w:pPr>
            <w:r>
              <w:rPr>
                <w:sz w:val="16"/>
                <w:szCs w:val="16"/>
                <w:lang w:val="en-CA" w:eastAsia="en-CA"/>
              </w:rPr>
              <w:t>5,425</w:t>
            </w:r>
          </w:p>
        </w:tc>
      </w:tr>
    </w:tbl>
    <w:p w14:paraId="67DB699D" w14:textId="28946FDD" w:rsidR="00531B65" w:rsidRPr="00531B65" w:rsidRDefault="00531B65" w:rsidP="00531B65">
      <w:pPr>
        <w:spacing w:after="60"/>
        <w:jc w:val="left"/>
        <w:rPr>
          <w:sz w:val="16"/>
          <w:szCs w:val="16"/>
          <w:lang w:val="en-CA" w:eastAsia="en-CA"/>
        </w:rPr>
      </w:pPr>
      <w:r w:rsidRPr="00531B65">
        <w:rPr>
          <w:sz w:val="16"/>
          <w:szCs w:val="16"/>
          <w:lang w:val="en-CA" w:eastAsia="en-CA"/>
        </w:rPr>
        <w:t>*</w:t>
      </w:r>
      <w:r w:rsidR="006D4565">
        <w:rPr>
          <w:sz w:val="16"/>
          <w:szCs w:val="16"/>
          <w:lang w:val="en-CA" w:eastAsia="en-CA"/>
        </w:rPr>
        <w:t xml:space="preserve">Including the </w:t>
      </w:r>
      <w:r w:rsidR="00035C43" w:rsidRPr="00CB4B93">
        <w:rPr>
          <w:sz w:val="16"/>
          <w:szCs w:val="16"/>
          <w:lang w:val="en-CA" w:eastAsia="en-CA"/>
        </w:rPr>
        <w:t>polyurethane (PU) foam sector plan</w:t>
      </w:r>
      <w:r w:rsidRPr="00531B65">
        <w:rPr>
          <w:sz w:val="16"/>
          <w:szCs w:val="16"/>
          <w:lang w:val="en-CA" w:eastAsia="en-CA"/>
        </w:rPr>
        <w:t xml:space="preserve"> approved at the 81</w:t>
      </w:r>
      <w:r w:rsidRPr="00531B65">
        <w:rPr>
          <w:sz w:val="16"/>
          <w:szCs w:val="16"/>
          <w:vertAlign w:val="superscript"/>
          <w:lang w:val="en-CA" w:eastAsia="en-CA"/>
        </w:rPr>
        <w:t>st</w:t>
      </w:r>
      <w:r w:rsidRPr="00531B65">
        <w:rPr>
          <w:sz w:val="16"/>
          <w:szCs w:val="16"/>
          <w:lang w:val="en-CA" w:eastAsia="en-CA"/>
        </w:rPr>
        <w:t xml:space="preserve"> meeting and subsumed under the Agreement.</w:t>
      </w: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000"/>
        <w:gridCol w:w="7000"/>
      </w:tblGrid>
      <w:tr w:rsidR="00F04DC2" w:rsidRPr="00F04DC2" w14:paraId="1224FF37" w14:textId="77777777" w:rsidTr="00F04DC2">
        <w:trPr>
          <w:trHeight w:val="240"/>
        </w:trPr>
        <w:tc>
          <w:tcPr>
            <w:tcW w:w="3000" w:type="dxa"/>
            <w:shd w:val="clear" w:color="auto" w:fill="auto"/>
          </w:tcPr>
          <w:p w14:paraId="676F996E" w14:textId="77777777" w:rsidR="00F04DC2" w:rsidRPr="00F04DC2" w:rsidRDefault="00F04DC2" w:rsidP="00F04DC2">
            <w:pPr>
              <w:spacing w:after="60"/>
              <w:jc w:val="left"/>
              <w:rPr>
                <w:b/>
                <w:sz w:val="18"/>
                <w:lang w:val="en-CA"/>
              </w:rPr>
            </w:pPr>
            <w:r w:rsidRPr="00F04DC2">
              <w:rPr>
                <w:b/>
                <w:sz w:val="18"/>
                <w:lang w:val="en-CA"/>
              </w:rPr>
              <w:t>Secretariat's recommendation:</w:t>
            </w:r>
          </w:p>
        </w:tc>
        <w:tc>
          <w:tcPr>
            <w:tcW w:w="7000" w:type="dxa"/>
            <w:shd w:val="clear" w:color="auto" w:fill="auto"/>
          </w:tcPr>
          <w:p w14:paraId="3F5DF24B" w14:textId="77777777" w:rsidR="00F04DC2" w:rsidRPr="00F04DC2" w:rsidRDefault="00531B65" w:rsidP="00F04DC2">
            <w:pPr>
              <w:spacing w:after="60"/>
              <w:jc w:val="center"/>
              <w:rPr>
                <w:sz w:val="18"/>
                <w:lang w:val="en-CA"/>
              </w:rPr>
            </w:pPr>
            <w:r>
              <w:rPr>
                <w:sz w:val="18"/>
                <w:lang w:val="en-CA"/>
              </w:rPr>
              <w:t>Blanket approval</w:t>
            </w:r>
          </w:p>
        </w:tc>
      </w:tr>
    </w:tbl>
    <w:p w14:paraId="36987856" w14:textId="77777777" w:rsidR="00C61A2A" w:rsidRDefault="00C61A2A" w:rsidP="00F04DC2">
      <w:pPr>
        <w:jc w:val="center"/>
        <w:rPr>
          <w:b/>
          <w:lang w:val="en-CA"/>
        </w:rPr>
      </w:pPr>
    </w:p>
    <w:p w14:paraId="00DC1744" w14:textId="77777777" w:rsidR="00C61A2A" w:rsidRDefault="00C61A2A" w:rsidP="00F04DC2">
      <w:pPr>
        <w:jc w:val="center"/>
        <w:rPr>
          <w:b/>
          <w:lang w:val="en-CA"/>
        </w:rPr>
      </w:pPr>
    </w:p>
    <w:p w14:paraId="63A9BBEC" w14:textId="77777777" w:rsidR="00C61A2A" w:rsidRDefault="00C61A2A" w:rsidP="00F04DC2">
      <w:pPr>
        <w:jc w:val="center"/>
        <w:rPr>
          <w:b/>
          <w:lang w:val="en-CA"/>
        </w:rPr>
      </w:pPr>
    </w:p>
    <w:p w14:paraId="5F394DE1" w14:textId="10F35FAA" w:rsidR="00D54581" w:rsidRPr="00FE3307" w:rsidRDefault="00D54581" w:rsidP="00F04DC2">
      <w:pPr>
        <w:jc w:val="center"/>
        <w:rPr>
          <w:b/>
          <w:lang w:val="en-CA"/>
        </w:rPr>
      </w:pPr>
      <w:r w:rsidRPr="00FE3307">
        <w:rPr>
          <w:b/>
          <w:lang w:val="en-CA"/>
        </w:rPr>
        <w:lastRenderedPageBreak/>
        <w:t>PROJECT DESCRIPTION</w:t>
      </w:r>
    </w:p>
    <w:p w14:paraId="346D9BF6" w14:textId="77777777" w:rsidR="00D54581" w:rsidRPr="00FE3307" w:rsidRDefault="00D54581" w:rsidP="00F04DC2">
      <w:pPr>
        <w:rPr>
          <w:lang w:val="en-CA"/>
        </w:rPr>
      </w:pPr>
    </w:p>
    <w:p w14:paraId="6C05036E" w14:textId="376586D6" w:rsidR="00D54581" w:rsidRPr="00B221BB" w:rsidRDefault="00D54581" w:rsidP="00B221BB">
      <w:pPr>
        <w:pStyle w:val="Heading1"/>
        <w:shd w:val="clear" w:color="auto" w:fill="FFFFFF" w:themeFill="background1"/>
        <w:rPr>
          <w:lang w:val="en-CA"/>
        </w:rPr>
      </w:pPr>
      <w:r w:rsidRPr="00FE3307">
        <w:rPr>
          <w:lang w:val="en-CA"/>
        </w:rPr>
        <w:t xml:space="preserve">On behalf of the </w:t>
      </w:r>
      <w:r w:rsidRPr="00B221BB">
        <w:rPr>
          <w:lang w:val="en-CA"/>
        </w:rPr>
        <w:t xml:space="preserve">Government of </w:t>
      </w:r>
      <w:r w:rsidR="003641FD" w:rsidRPr="00B221BB">
        <w:rPr>
          <w:lang w:val="en-CA"/>
        </w:rPr>
        <w:t>Ecuador</w:t>
      </w:r>
      <w:r w:rsidRPr="00B221BB">
        <w:rPr>
          <w:lang w:val="en-CA"/>
        </w:rPr>
        <w:t xml:space="preserve">, </w:t>
      </w:r>
      <w:r w:rsidR="003641FD" w:rsidRPr="00B221BB">
        <w:rPr>
          <w:lang w:val="en-CA"/>
        </w:rPr>
        <w:t>UNIDO as the lead</w:t>
      </w:r>
      <w:r w:rsidRPr="00B221BB">
        <w:rPr>
          <w:lang w:val="en-CA"/>
        </w:rPr>
        <w:t xml:space="preserve"> implementing agenc</w:t>
      </w:r>
      <w:r w:rsidR="00F51319">
        <w:rPr>
          <w:lang w:val="en-CA"/>
        </w:rPr>
        <w:t>y</w:t>
      </w:r>
      <w:r w:rsidRPr="00B221BB">
        <w:rPr>
          <w:lang w:val="en-CA"/>
        </w:rPr>
        <w:t xml:space="preserve"> has submitted a request for funding for the </w:t>
      </w:r>
      <w:r w:rsidR="003641FD" w:rsidRPr="00B221BB">
        <w:rPr>
          <w:lang w:val="en-CA"/>
        </w:rPr>
        <w:t>fifth</w:t>
      </w:r>
      <w:r w:rsidRPr="00B221BB">
        <w:rPr>
          <w:lang w:val="en-CA"/>
        </w:rPr>
        <w:t xml:space="preserve"> </w:t>
      </w:r>
      <w:r w:rsidR="003641FD" w:rsidRPr="00B221BB">
        <w:rPr>
          <w:lang w:val="en-CA"/>
        </w:rPr>
        <w:t>and final</w:t>
      </w:r>
      <w:r w:rsidR="00B221BB" w:rsidRPr="00B221BB">
        <w:rPr>
          <w:lang w:val="en-CA"/>
        </w:rPr>
        <w:t xml:space="preserve"> tranche of stage I </w:t>
      </w:r>
      <w:r w:rsidRPr="00B221BB">
        <w:rPr>
          <w:lang w:val="en-CA"/>
        </w:rPr>
        <w:t xml:space="preserve">of the HCFC phase-out management plan (HPMP), at a total cost of </w:t>
      </w:r>
      <w:r w:rsidR="00867E17">
        <w:rPr>
          <w:lang w:val="en-CA"/>
        </w:rPr>
        <w:t>US $</w:t>
      </w:r>
      <w:r w:rsidR="00B221BB" w:rsidRPr="00B221BB">
        <w:rPr>
          <w:lang w:val="en-CA"/>
        </w:rPr>
        <w:t>70,425</w:t>
      </w:r>
      <w:r w:rsidRPr="00B221BB">
        <w:rPr>
          <w:lang w:val="en-CA"/>
        </w:rPr>
        <w:t xml:space="preserve">, consisting of </w:t>
      </w:r>
      <w:r w:rsidR="00867E17">
        <w:rPr>
          <w:lang w:val="en-CA"/>
        </w:rPr>
        <w:t>US $</w:t>
      </w:r>
      <w:r w:rsidR="00B221BB" w:rsidRPr="00B221BB">
        <w:rPr>
          <w:lang w:val="en-CA"/>
        </w:rPr>
        <w:t>55,000</w:t>
      </w:r>
      <w:r w:rsidR="00321ECC">
        <w:rPr>
          <w:lang w:val="en-CA"/>
        </w:rPr>
        <w:t>,</w:t>
      </w:r>
      <w:r w:rsidRPr="00B221BB">
        <w:rPr>
          <w:lang w:val="en-CA"/>
        </w:rPr>
        <w:t xml:space="preserve"> plus agency support costs of </w:t>
      </w:r>
      <w:r w:rsidR="00867E17">
        <w:rPr>
          <w:lang w:val="en-CA"/>
        </w:rPr>
        <w:t>US $</w:t>
      </w:r>
      <w:r w:rsidR="00B221BB" w:rsidRPr="00B221BB">
        <w:rPr>
          <w:lang w:val="en-CA"/>
        </w:rPr>
        <w:t>4,125</w:t>
      </w:r>
      <w:r w:rsidRPr="00B221BB">
        <w:rPr>
          <w:lang w:val="en-CA"/>
        </w:rPr>
        <w:t xml:space="preserve"> for </w:t>
      </w:r>
      <w:r w:rsidR="00B221BB" w:rsidRPr="00B221BB">
        <w:rPr>
          <w:lang w:val="en-CA"/>
        </w:rPr>
        <w:t>UNIDO</w:t>
      </w:r>
      <w:r w:rsidRPr="00B221BB">
        <w:rPr>
          <w:lang w:val="en-CA"/>
        </w:rPr>
        <w:t xml:space="preserve">, and </w:t>
      </w:r>
      <w:r w:rsidR="00867E17">
        <w:rPr>
          <w:lang w:val="en-CA"/>
        </w:rPr>
        <w:t>US $</w:t>
      </w:r>
      <w:r w:rsidR="00B221BB" w:rsidRPr="00B221BB">
        <w:rPr>
          <w:lang w:val="en-CA"/>
        </w:rPr>
        <w:t>10,000</w:t>
      </w:r>
      <w:r w:rsidR="00321ECC">
        <w:rPr>
          <w:lang w:val="en-CA"/>
        </w:rPr>
        <w:t>,</w:t>
      </w:r>
      <w:r w:rsidRPr="00B221BB">
        <w:rPr>
          <w:lang w:val="en-CA"/>
        </w:rPr>
        <w:t xml:space="preserve"> plus agency support costs of </w:t>
      </w:r>
      <w:r w:rsidR="00867E17">
        <w:rPr>
          <w:lang w:val="en-CA"/>
        </w:rPr>
        <w:t>US $</w:t>
      </w:r>
      <w:r w:rsidR="00B221BB" w:rsidRPr="00B221BB">
        <w:rPr>
          <w:lang w:val="en-CA"/>
        </w:rPr>
        <w:t>1,300</w:t>
      </w:r>
      <w:r w:rsidRPr="00B221BB">
        <w:rPr>
          <w:lang w:val="en-CA"/>
        </w:rPr>
        <w:t xml:space="preserve"> for </w:t>
      </w:r>
      <w:r w:rsidR="00B221BB" w:rsidRPr="00B221BB">
        <w:rPr>
          <w:lang w:val="en-CA"/>
        </w:rPr>
        <w:t>UNEP</w:t>
      </w:r>
      <w:r w:rsidRPr="00B221BB">
        <w:rPr>
          <w:lang w:val="en-CA"/>
        </w:rPr>
        <w:t>.</w:t>
      </w:r>
      <w:r w:rsidRPr="00B221BB">
        <w:rPr>
          <w:rStyle w:val="FootnoteReference"/>
          <w:lang w:val="en-CA"/>
        </w:rPr>
        <w:footnoteReference w:id="1"/>
      </w:r>
      <w:r w:rsidRPr="00B221BB">
        <w:rPr>
          <w:lang w:val="en-CA"/>
        </w:rPr>
        <w:t xml:space="preserve"> The submission includes a progress report on the implementation of the </w:t>
      </w:r>
      <w:r w:rsidR="00B221BB" w:rsidRPr="00B221BB">
        <w:rPr>
          <w:lang w:val="en-CA"/>
        </w:rPr>
        <w:t>fourth</w:t>
      </w:r>
      <w:r w:rsidRPr="00B221BB">
        <w:rPr>
          <w:lang w:val="en-CA"/>
        </w:rPr>
        <w:t xml:space="preserve"> tranche and the tranche implementation plan for 2020 to 20</w:t>
      </w:r>
      <w:r w:rsidR="005104A8">
        <w:rPr>
          <w:lang w:val="en-CA"/>
        </w:rPr>
        <w:t>21</w:t>
      </w:r>
      <w:r w:rsidRPr="00B221BB">
        <w:rPr>
          <w:lang w:val="en-CA"/>
        </w:rPr>
        <w:t>.</w:t>
      </w:r>
    </w:p>
    <w:p w14:paraId="176195B7" w14:textId="77777777" w:rsidR="00D54581" w:rsidRPr="00FE3307" w:rsidRDefault="00D54581" w:rsidP="00F04DC2">
      <w:pPr>
        <w:rPr>
          <w:u w:val="single"/>
          <w:lang w:val="en-CA"/>
        </w:rPr>
      </w:pPr>
      <w:r w:rsidRPr="00FE3307">
        <w:rPr>
          <w:u w:val="single"/>
          <w:lang w:val="en-CA"/>
        </w:rPr>
        <w:t>Report on HCFC consumption</w:t>
      </w:r>
    </w:p>
    <w:p w14:paraId="15B93F9C" w14:textId="77777777" w:rsidR="00D54581" w:rsidRPr="00FE3307" w:rsidRDefault="00D54581" w:rsidP="00F04DC2">
      <w:pPr>
        <w:rPr>
          <w:lang w:val="en-CA"/>
        </w:rPr>
      </w:pPr>
    </w:p>
    <w:p w14:paraId="7ECA0B00" w14:textId="25E41FB7" w:rsidR="00D54581" w:rsidRPr="00FE3307" w:rsidRDefault="00D54581" w:rsidP="00F04DC2">
      <w:pPr>
        <w:pStyle w:val="Heading1"/>
        <w:rPr>
          <w:lang w:val="en-CA"/>
        </w:rPr>
      </w:pPr>
      <w:r w:rsidRPr="00FE3307">
        <w:rPr>
          <w:lang w:val="en-CA"/>
        </w:rPr>
        <w:t xml:space="preserve">The Government </w:t>
      </w:r>
      <w:r w:rsidRPr="00B221BB">
        <w:rPr>
          <w:lang w:val="en-CA"/>
        </w:rPr>
        <w:t xml:space="preserve">of </w:t>
      </w:r>
      <w:r w:rsidR="00B221BB" w:rsidRPr="00B221BB">
        <w:rPr>
          <w:lang w:val="en-CA"/>
        </w:rPr>
        <w:t>Ecuador</w:t>
      </w:r>
      <w:r w:rsidRPr="00B221BB">
        <w:rPr>
          <w:lang w:val="en-CA"/>
        </w:rPr>
        <w:t xml:space="preserve"> reported</w:t>
      </w:r>
      <w:r w:rsidRPr="00FE3307">
        <w:rPr>
          <w:lang w:val="en-CA"/>
        </w:rPr>
        <w:t xml:space="preserve"> a consumption </w:t>
      </w:r>
      <w:r w:rsidRPr="00C05FF7">
        <w:rPr>
          <w:lang w:val="en-CA"/>
        </w:rPr>
        <w:t>of</w:t>
      </w:r>
      <w:r w:rsidR="009037D6" w:rsidRPr="00C05FF7">
        <w:rPr>
          <w:lang w:val="en-CA"/>
        </w:rPr>
        <w:t xml:space="preserve"> 14.03</w:t>
      </w:r>
      <w:r w:rsidRPr="00C05FF7">
        <w:rPr>
          <w:lang w:val="en-CA"/>
        </w:rPr>
        <w:t> ODP tonnes</w:t>
      </w:r>
      <w:r w:rsidRPr="00FE3307">
        <w:rPr>
          <w:lang w:val="en-CA"/>
        </w:rPr>
        <w:t xml:space="preserve"> of HCFC in </w:t>
      </w:r>
      <w:r>
        <w:rPr>
          <w:lang w:val="en-CA"/>
        </w:rPr>
        <w:t>2019</w:t>
      </w:r>
      <w:r w:rsidRPr="00FE3307">
        <w:rPr>
          <w:lang w:val="en-CA"/>
        </w:rPr>
        <w:t>, which is</w:t>
      </w:r>
      <w:r w:rsidR="009037D6">
        <w:rPr>
          <w:lang w:val="en-CA"/>
        </w:rPr>
        <w:t xml:space="preserve"> 40.3</w:t>
      </w:r>
      <w:r w:rsidRPr="00FE3307">
        <w:rPr>
          <w:lang w:val="en-CA"/>
        </w:rPr>
        <w:t xml:space="preserve"> per cent below the HCFC baseline for compliance. </w:t>
      </w:r>
      <w:r>
        <w:rPr>
          <w:lang w:val="en-CA"/>
        </w:rPr>
        <w:t>The 2015-2019</w:t>
      </w:r>
      <w:r w:rsidRPr="00FE3307">
        <w:rPr>
          <w:lang w:val="en-CA"/>
        </w:rPr>
        <w:t xml:space="preserve"> HCFC consumption is shown in Table 1.</w:t>
      </w:r>
      <w:r w:rsidR="00867E17">
        <w:rPr>
          <w:lang w:val="en-CA"/>
        </w:rPr>
        <w:t xml:space="preserve"> </w:t>
      </w:r>
    </w:p>
    <w:p w14:paraId="2814FC35" w14:textId="77777777" w:rsidR="00D54581" w:rsidRPr="00FE3307" w:rsidRDefault="00D54581" w:rsidP="00F04DC2">
      <w:pPr>
        <w:rPr>
          <w:b/>
          <w:lang w:val="en-CA"/>
        </w:rPr>
      </w:pPr>
      <w:r w:rsidRPr="00FE3307">
        <w:rPr>
          <w:b/>
          <w:lang w:val="en-CA"/>
        </w:rPr>
        <w:t xml:space="preserve">Table 1. HCFC consumption </w:t>
      </w:r>
      <w:r w:rsidRPr="00B221BB">
        <w:rPr>
          <w:b/>
          <w:lang w:val="en-CA"/>
        </w:rPr>
        <w:t xml:space="preserve">in </w:t>
      </w:r>
      <w:r w:rsidR="00B221BB" w:rsidRPr="00B221BB">
        <w:rPr>
          <w:b/>
          <w:lang w:val="en-CA"/>
        </w:rPr>
        <w:t>Ecuador</w:t>
      </w:r>
      <w:r>
        <w:rPr>
          <w:b/>
          <w:lang w:val="en-CA"/>
        </w:rPr>
        <w:t xml:space="preserve"> (2015-2019</w:t>
      </w:r>
      <w:r w:rsidRPr="00FE3307">
        <w:rPr>
          <w:b/>
          <w:lang w:val="en-CA"/>
        </w:rPr>
        <w:t xml:space="preserve"> Article 7 data)</w:t>
      </w:r>
    </w:p>
    <w:tbl>
      <w:tblPr>
        <w:tblW w:w="5000" w:type="pct"/>
        <w:tblLayout w:type="fixed"/>
        <w:tblLook w:val="04A0" w:firstRow="1" w:lastRow="0" w:firstColumn="1" w:lastColumn="0" w:noHBand="0" w:noVBand="1"/>
      </w:tblPr>
      <w:tblGrid>
        <w:gridCol w:w="3146"/>
        <w:gridCol w:w="1034"/>
        <w:gridCol w:w="1034"/>
        <w:gridCol w:w="1034"/>
        <w:gridCol w:w="1034"/>
        <w:gridCol w:w="1034"/>
        <w:gridCol w:w="1034"/>
      </w:tblGrid>
      <w:tr w:rsidR="00D54581" w:rsidRPr="00FE3307" w14:paraId="62D3C081" w14:textId="77777777" w:rsidTr="00CE471E">
        <w:trPr>
          <w:tblHeader/>
        </w:trPr>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81C44CF" w14:textId="77777777" w:rsidR="00D54581" w:rsidRPr="00FE3307" w:rsidRDefault="00D54581" w:rsidP="00F04DC2">
            <w:pPr>
              <w:widowControl w:val="0"/>
              <w:jc w:val="left"/>
              <w:rPr>
                <w:b/>
                <w:bCs/>
                <w:color w:val="000000"/>
                <w:sz w:val="20"/>
                <w:szCs w:val="20"/>
                <w:lang w:val="en-CA"/>
              </w:rPr>
            </w:pPr>
            <w:r w:rsidRPr="00FE3307">
              <w:rPr>
                <w:b/>
                <w:bCs/>
                <w:color w:val="000000"/>
                <w:sz w:val="20"/>
                <w:szCs w:val="20"/>
                <w:lang w:val="en-CA"/>
              </w:rPr>
              <w:t>HCFC</w:t>
            </w:r>
          </w:p>
        </w:tc>
        <w:tc>
          <w:tcPr>
            <w:tcW w:w="553" w:type="pct"/>
            <w:tcBorders>
              <w:top w:val="single" w:sz="4" w:space="0" w:color="auto"/>
              <w:left w:val="nil"/>
              <w:bottom w:val="single" w:sz="4" w:space="0" w:color="auto"/>
              <w:right w:val="single" w:sz="4" w:space="0" w:color="auto"/>
            </w:tcBorders>
            <w:shd w:val="clear" w:color="auto" w:fill="auto"/>
            <w:noWrap/>
            <w:vAlign w:val="center"/>
            <w:hideMark/>
          </w:tcPr>
          <w:p w14:paraId="7F88A4F1" w14:textId="77777777" w:rsidR="00D54581" w:rsidRPr="00FE3307" w:rsidRDefault="00D54581" w:rsidP="00F04DC2">
            <w:pPr>
              <w:widowControl w:val="0"/>
              <w:jc w:val="center"/>
              <w:rPr>
                <w:b/>
                <w:bCs/>
                <w:color w:val="000000"/>
                <w:sz w:val="20"/>
                <w:szCs w:val="20"/>
                <w:lang w:val="en-CA"/>
              </w:rPr>
            </w:pPr>
            <w:r w:rsidRPr="00FE3307">
              <w:rPr>
                <w:b/>
                <w:bCs/>
                <w:color w:val="000000"/>
                <w:sz w:val="20"/>
                <w:szCs w:val="20"/>
                <w:lang w:val="en-CA"/>
              </w:rPr>
              <w:t>201</w:t>
            </w:r>
            <w:r>
              <w:rPr>
                <w:b/>
                <w:bCs/>
                <w:color w:val="000000"/>
                <w:sz w:val="20"/>
                <w:szCs w:val="20"/>
                <w:lang w:val="en-CA"/>
              </w:rPr>
              <w:t>5</w:t>
            </w:r>
          </w:p>
        </w:tc>
        <w:tc>
          <w:tcPr>
            <w:tcW w:w="553" w:type="pct"/>
            <w:tcBorders>
              <w:top w:val="single" w:sz="4" w:space="0" w:color="auto"/>
              <w:left w:val="nil"/>
              <w:bottom w:val="single" w:sz="4" w:space="0" w:color="auto"/>
              <w:right w:val="single" w:sz="4" w:space="0" w:color="auto"/>
            </w:tcBorders>
            <w:shd w:val="clear" w:color="auto" w:fill="auto"/>
            <w:noWrap/>
            <w:vAlign w:val="center"/>
            <w:hideMark/>
          </w:tcPr>
          <w:p w14:paraId="382CB966" w14:textId="77777777" w:rsidR="00D54581" w:rsidRPr="00FE3307" w:rsidRDefault="00D54581" w:rsidP="00F04DC2">
            <w:pPr>
              <w:widowControl w:val="0"/>
              <w:jc w:val="center"/>
              <w:rPr>
                <w:b/>
                <w:bCs/>
                <w:color w:val="000000"/>
                <w:sz w:val="20"/>
                <w:szCs w:val="20"/>
                <w:lang w:val="en-CA"/>
              </w:rPr>
            </w:pPr>
            <w:r w:rsidRPr="00FE3307">
              <w:rPr>
                <w:b/>
                <w:bCs/>
                <w:color w:val="000000"/>
                <w:sz w:val="20"/>
                <w:szCs w:val="20"/>
                <w:lang w:val="en-CA"/>
              </w:rPr>
              <w:t>201</w:t>
            </w:r>
            <w:r>
              <w:rPr>
                <w:b/>
                <w:bCs/>
                <w:color w:val="000000"/>
                <w:sz w:val="20"/>
                <w:szCs w:val="20"/>
                <w:lang w:val="en-CA"/>
              </w:rPr>
              <w:t>6</w:t>
            </w:r>
          </w:p>
        </w:tc>
        <w:tc>
          <w:tcPr>
            <w:tcW w:w="553" w:type="pct"/>
            <w:tcBorders>
              <w:top w:val="single" w:sz="4" w:space="0" w:color="auto"/>
              <w:left w:val="nil"/>
              <w:bottom w:val="single" w:sz="4" w:space="0" w:color="auto"/>
              <w:right w:val="single" w:sz="4" w:space="0" w:color="auto"/>
            </w:tcBorders>
            <w:shd w:val="clear" w:color="auto" w:fill="auto"/>
            <w:noWrap/>
            <w:vAlign w:val="center"/>
            <w:hideMark/>
          </w:tcPr>
          <w:p w14:paraId="26D13DAC" w14:textId="77777777" w:rsidR="00D54581" w:rsidRPr="00FE3307" w:rsidRDefault="00D54581" w:rsidP="00F04DC2">
            <w:pPr>
              <w:widowControl w:val="0"/>
              <w:jc w:val="center"/>
              <w:rPr>
                <w:b/>
                <w:bCs/>
                <w:color w:val="000000"/>
                <w:sz w:val="20"/>
                <w:szCs w:val="20"/>
                <w:lang w:val="en-CA"/>
              </w:rPr>
            </w:pPr>
            <w:r w:rsidRPr="00FE3307">
              <w:rPr>
                <w:b/>
                <w:bCs/>
                <w:color w:val="000000"/>
                <w:sz w:val="20"/>
                <w:szCs w:val="20"/>
                <w:lang w:val="en-CA"/>
              </w:rPr>
              <w:t>201</w:t>
            </w:r>
            <w:r>
              <w:rPr>
                <w:b/>
                <w:bCs/>
                <w:color w:val="000000"/>
                <w:sz w:val="20"/>
                <w:szCs w:val="20"/>
                <w:lang w:val="en-CA"/>
              </w:rPr>
              <w:t>7</w:t>
            </w:r>
          </w:p>
        </w:tc>
        <w:tc>
          <w:tcPr>
            <w:tcW w:w="553" w:type="pct"/>
            <w:tcBorders>
              <w:top w:val="single" w:sz="4" w:space="0" w:color="auto"/>
              <w:left w:val="nil"/>
              <w:bottom w:val="single" w:sz="4" w:space="0" w:color="auto"/>
              <w:right w:val="single" w:sz="4" w:space="0" w:color="auto"/>
            </w:tcBorders>
          </w:tcPr>
          <w:p w14:paraId="4437AB21" w14:textId="77777777" w:rsidR="00D54581" w:rsidRPr="00FE3307" w:rsidRDefault="00D54581" w:rsidP="00F04DC2">
            <w:pPr>
              <w:widowControl w:val="0"/>
              <w:jc w:val="center"/>
              <w:rPr>
                <w:b/>
                <w:bCs/>
                <w:color w:val="000000"/>
                <w:sz w:val="20"/>
                <w:szCs w:val="20"/>
                <w:lang w:val="en-CA"/>
              </w:rPr>
            </w:pPr>
            <w:r w:rsidRPr="00FE3307">
              <w:rPr>
                <w:b/>
                <w:bCs/>
                <w:color w:val="000000"/>
                <w:sz w:val="20"/>
                <w:szCs w:val="20"/>
                <w:lang w:val="en-CA"/>
              </w:rPr>
              <w:t>201</w:t>
            </w:r>
            <w:r>
              <w:rPr>
                <w:b/>
                <w:bCs/>
                <w:color w:val="000000"/>
                <w:sz w:val="20"/>
                <w:szCs w:val="20"/>
                <w:lang w:val="en-CA"/>
              </w:rPr>
              <w:t>8</w:t>
            </w:r>
          </w:p>
        </w:tc>
        <w:tc>
          <w:tcPr>
            <w:tcW w:w="553" w:type="pct"/>
            <w:tcBorders>
              <w:top w:val="single" w:sz="4" w:space="0" w:color="auto"/>
              <w:left w:val="single" w:sz="4" w:space="0" w:color="auto"/>
              <w:bottom w:val="single" w:sz="4" w:space="0" w:color="auto"/>
              <w:right w:val="single" w:sz="4" w:space="0" w:color="auto"/>
            </w:tcBorders>
          </w:tcPr>
          <w:p w14:paraId="26ACDAF2" w14:textId="275200FC" w:rsidR="00D54581" w:rsidRPr="00FE3307" w:rsidRDefault="00D54581" w:rsidP="00667B05">
            <w:pPr>
              <w:widowControl w:val="0"/>
              <w:jc w:val="center"/>
              <w:rPr>
                <w:b/>
                <w:bCs/>
                <w:color w:val="000000"/>
                <w:sz w:val="20"/>
                <w:szCs w:val="20"/>
                <w:lang w:val="en-CA"/>
              </w:rPr>
            </w:pPr>
            <w:r w:rsidRPr="00DC2ED8">
              <w:rPr>
                <w:b/>
                <w:bCs/>
                <w:color w:val="000000"/>
                <w:sz w:val="20"/>
                <w:szCs w:val="20"/>
                <w:lang w:val="en-CA"/>
              </w:rPr>
              <w:t>2019</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8341B" w14:textId="77777777" w:rsidR="00D54581" w:rsidRPr="00FE3307" w:rsidRDefault="00D54581" w:rsidP="00F04DC2">
            <w:pPr>
              <w:widowControl w:val="0"/>
              <w:jc w:val="center"/>
              <w:rPr>
                <w:b/>
                <w:bCs/>
                <w:color w:val="000000"/>
                <w:sz w:val="20"/>
                <w:szCs w:val="20"/>
                <w:lang w:val="en-CA"/>
              </w:rPr>
            </w:pPr>
            <w:r w:rsidRPr="00FE3307">
              <w:rPr>
                <w:b/>
                <w:bCs/>
                <w:color w:val="000000"/>
                <w:sz w:val="20"/>
                <w:szCs w:val="20"/>
                <w:lang w:val="en-CA"/>
              </w:rPr>
              <w:t>Baseline</w:t>
            </w:r>
          </w:p>
        </w:tc>
      </w:tr>
      <w:tr w:rsidR="00D27F9D" w:rsidRPr="00FE3307" w14:paraId="0B65108C" w14:textId="77777777" w:rsidTr="00D27F9D">
        <w:trPr>
          <w:trHeight w:val="227"/>
        </w:trPr>
        <w:tc>
          <w:tcPr>
            <w:tcW w:w="5000" w:type="pct"/>
            <w:gridSpan w:val="7"/>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E0470B7" w14:textId="1C596B2B" w:rsidR="00D27F9D" w:rsidRPr="00FE3307" w:rsidRDefault="00D27F9D" w:rsidP="00D27F9D">
            <w:pPr>
              <w:widowControl w:val="0"/>
              <w:jc w:val="left"/>
              <w:rPr>
                <w:b/>
                <w:bCs/>
                <w:color w:val="000000"/>
                <w:sz w:val="20"/>
                <w:szCs w:val="20"/>
                <w:lang w:val="en-CA"/>
              </w:rPr>
            </w:pPr>
            <w:r w:rsidRPr="00FE3307">
              <w:rPr>
                <w:b/>
                <w:bCs/>
                <w:color w:val="000000"/>
                <w:sz w:val="20"/>
                <w:szCs w:val="20"/>
                <w:lang w:val="en-CA"/>
              </w:rPr>
              <w:t>Metric tonnes</w:t>
            </w:r>
            <w:r>
              <w:rPr>
                <w:b/>
                <w:bCs/>
                <w:color w:val="000000"/>
                <w:sz w:val="20"/>
                <w:szCs w:val="20"/>
                <w:lang w:val="en-CA"/>
              </w:rPr>
              <w:t xml:space="preserve"> (</w:t>
            </w:r>
            <w:proofErr w:type="spellStart"/>
            <w:r>
              <w:rPr>
                <w:b/>
                <w:bCs/>
                <w:color w:val="000000"/>
                <w:sz w:val="20"/>
                <w:szCs w:val="20"/>
                <w:lang w:val="en-CA"/>
              </w:rPr>
              <w:t>mt</w:t>
            </w:r>
            <w:proofErr w:type="spellEnd"/>
            <w:r>
              <w:rPr>
                <w:b/>
                <w:bCs/>
                <w:color w:val="000000"/>
                <w:sz w:val="20"/>
                <w:szCs w:val="20"/>
                <w:lang w:val="en-CA"/>
              </w:rPr>
              <w:t>)</w:t>
            </w:r>
          </w:p>
        </w:tc>
      </w:tr>
      <w:tr w:rsidR="009D17B0" w:rsidRPr="00FE3307" w14:paraId="79938F86" w14:textId="77777777" w:rsidTr="00CE471E">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F388C46" w14:textId="77777777" w:rsidR="009D17B0" w:rsidRPr="00FE3307" w:rsidRDefault="009D17B0" w:rsidP="009D17B0">
            <w:pPr>
              <w:widowControl w:val="0"/>
              <w:jc w:val="left"/>
              <w:rPr>
                <w:color w:val="000000"/>
                <w:sz w:val="20"/>
                <w:szCs w:val="20"/>
                <w:lang w:val="en-CA"/>
              </w:rPr>
            </w:pPr>
            <w:r w:rsidRPr="00FE3307">
              <w:rPr>
                <w:color w:val="000000"/>
                <w:sz w:val="20"/>
                <w:szCs w:val="20"/>
                <w:lang w:val="en-CA"/>
              </w:rPr>
              <w:t>HCFC-22</w:t>
            </w:r>
          </w:p>
        </w:tc>
        <w:tc>
          <w:tcPr>
            <w:tcW w:w="553" w:type="pct"/>
            <w:tcBorders>
              <w:top w:val="nil"/>
              <w:left w:val="nil"/>
              <w:bottom w:val="single" w:sz="4" w:space="0" w:color="auto"/>
              <w:right w:val="single" w:sz="4" w:space="0" w:color="auto"/>
            </w:tcBorders>
            <w:shd w:val="clear" w:color="auto" w:fill="auto"/>
            <w:noWrap/>
          </w:tcPr>
          <w:p w14:paraId="776A22DB" w14:textId="77777777" w:rsidR="009D17B0" w:rsidRPr="00C11159" w:rsidRDefault="009D17B0" w:rsidP="009D17B0">
            <w:pPr>
              <w:jc w:val="right"/>
              <w:rPr>
                <w:sz w:val="20"/>
                <w:szCs w:val="20"/>
              </w:rPr>
            </w:pPr>
            <w:r w:rsidRPr="00C11159">
              <w:rPr>
                <w:sz w:val="20"/>
                <w:szCs w:val="20"/>
              </w:rPr>
              <w:t>347.10</w:t>
            </w:r>
          </w:p>
        </w:tc>
        <w:tc>
          <w:tcPr>
            <w:tcW w:w="553" w:type="pct"/>
            <w:tcBorders>
              <w:top w:val="single" w:sz="4" w:space="0" w:color="auto"/>
              <w:left w:val="nil"/>
              <w:bottom w:val="single" w:sz="4" w:space="0" w:color="auto"/>
              <w:right w:val="single" w:sz="4" w:space="0" w:color="auto"/>
            </w:tcBorders>
            <w:noWrap/>
          </w:tcPr>
          <w:p w14:paraId="3DC82C10" w14:textId="77777777" w:rsidR="009D17B0" w:rsidRPr="00C11159" w:rsidRDefault="009D17B0" w:rsidP="009D17B0">
            <w:pPr>
              <w:widowControl w:val="0"/>
              <w:jc w:val="right"/>
              <w:rPr>
                <w:color w:val="000000"/>
                <w:sz w:val="20"/>
                <w:szCs w:val="20"/>
              </w:rPr>
            </w:pPr>
            <w:r w:rsidRPr="00C11159">
              <w:rPr>
                <w:color w:val="000000"/>
                <w:sz w:val="20"/>
                <w:szCs w:val="20"/>
              </w:rPr>
              <w:t>310.21</w:t>
            </w:r>
          </w:p>
        </w:tc>
        <w:tc>
          <w:tcPr>
            <w:tcW w:w="553" w:type="pct"/>
            <w:tcBorders>
              <w:top w:val="nil"/>
              <w:left w:val="single" w:sz="4" w:space="0" w:color="auto"/>
              <w:bottom w:val="single" w:sz="4" w:space="0" w:color="auto"/>
              <w:right w:val="single" w:sz="4" w:space="0" w:color="auto"/>
            </w:tcBorders>
            <w:noWrap/>
          </w:tcPr>
          <w:p w14:paraId="434F2912" w14:textId="77777777" w:rsidR="009D17B0" w:rsidRPr="00C11159" w:rsidRDefault="009D17B0" w:rsidP="009D17B0">
            <w:pPr>
              <w:widowControl w:val="0"/>
              <w:jc w:val="right"/>
              <w:rPr>
                <w:color w:val="000000"/>
                <w:sz w:val="20"/>
                <w:szCs w:val="20"/>
              </w:rPr>
            </w:pPr>
            <w:r w:rsidRPr="00C11159">
              <w:rPr>
                <w:color w:val="000000"/>
                <w:sz w:val="20"/>
                <w:szCs w:val="20"/>
              </w:rPr>
              <w:t>288.95</w:t>
            </w:r>
          </w:p>
        </w:tc>
        <w:tc>
          <w:tcPr>
            <w:tcW w:w="553" w:type="pct"/>
            <w:tcBorders>
              <w:top w:val="single" w:sz="4" w:space="0" w:color="auto"/>
              <w:left w:val="nil"/>
              <w:bottom w:val="single" w:sz="4" w:space="0" w:color="auto"/>
              <w:right w:val="single" w:sz="4" w:space="0" w:color="auto"/>
            </w:tcBorders>
          </w:tcPr>
          <w:p w14:paraId="4EE76769" w14:textId="77777777" w:rsidR="009D17B0" w:rsidRPr="00FE3307" w:rsidRDefault="009A7763" w:rsidP="009D17B0">
            <w:pPr>
              <w:widowControl w:val="0"/>
              <w:jc w:val="right"/>
              <w:rPr>
                <w:color w:val="000000"/>
                <w:sz w:val="20"/>
                <w:szCs w:val="20"/>
                <w:lang w:val="en-CA"/>
              </w:rPr>
            </w:pPr>
            <w:r>
              <w:rPr>
                <w:color w:val="000000"/>
                <w:sz w:val="20"/>
                <w:szCs w:val="20"/>
                <w:lang w:val="en-CA"/>
              </w:rPr>
              <w:t>243.00</w:t>
            </w:r>
          </w:p>
        </w:tc>
        <w:tc>
          <w:tcPr>
            <w:tcW w:w="553" w:type="pct"/>
            <w:tcBorders>
              <w:top w:val="nil"/>
              <w:left w:val="single" w:sz="4" w:space="0" w:color="auto"/>
              <w:bottom w:val="single" w:sz="4" w:space="0" w:color="auto"/>
              <w:right w:val="single" w:sz="4" w:space="0" w:color="auto"/>
            </w:tcBorders>
          </w:tcPr>
          <w:p w14:paraId="1E77191D" w14:textId="77777777" w:rsidR="009D17B0" w:rsidRPr="00FE3307" w:rsidRDefault="00D83B1A" w:rsidP="009D17B0">
            <w:pPr>
              <w:widowControl w:val="0"/>
              <w:jc w:val="right"/>
              <w:rPr>
                <w:color w:val="000000"/>
                <w:sz w:val="20"/>
                <w:szCs w:val="20"/>
                <w:lang w:val="en-CA"/>
              </w:rPr>
            </w:pPr>
            <w:r>
              <w:rPr>
                <w:color w:val="000000"/>
                <w:sz w:val="20"/>
                <w:szCs w:val="20"/>
                <w:lang w:val="en-CA"/>
              </w:rPr>
              <w:t>241.21</w:t>
            </w:r>
          </w:p>
        </w:tc>
        <w:tc>
          <w:tcPr>
            <w:tcW w:w="553" w:type="pct"/>
            <w:tcBorders>
              <w:top w:val="nil"/>
              <w:left w:val="single" w:sz="4" w:space="0" w:color="auto"/>
              <w:bottom w:val="single" w:sz="4" w:space="0" w:color="auto"/>
              <w:right w:val="single" w:sz="4" w:space="0" w:color="auto"/>
            </w:tcBorders>
            <w:shd w:val="clear" w:color="auto" w:fill="auto"/>
            <w:noWrap/>
          </w:tcPr>
          <w:p w14:paraId="5A0B2B93" w14:textId="77777777" w:rsidR="009D17B0" w:rsidRPr="00C11159" w:rsidRDefault="009D17B0" w:rsidP="009D17B0">
            <w:pPr>
              <w:jc w:val="right"/>
              <w:rPr>
                <w:sz w:val="20"/>
                <w:szCs w:val="20"/>
              </w:rPr>
            </w:pPr>
            <w:r w:rsidRPr="00C11159">
              <w:rPr>
                <w:sz w:val="20"/>
                <w:szCs w:val="20"/>
              </w:rPr>
              <w:t>382.27</w:t>
            </w:r>
          </w:p>
        </w:tc>
      </w:tr>
      <w:tr w:rsidR="009D17B0" w:rsidRPr="00FE3307" w14:paraId="5D030938" w14:textId="77777777" w:rsidTr="00CE471E">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CF601D0" w14:textId="77777777" w:rsidR="009D17B0" w:rsidRPr="00FE3307" w:rsidRDefault="009D17B0" w:rsidP="009D17B0">
            <w:pPr>
              <w:widowControl w:val="0"/>
              <w:jc w:val="left"/>
              <w:rPr>
                <w:color w:val="000000"/>
                <w:sz w:val="20"/>
                <w:szCs w:val="20"/>
                <w:lang w:val="en-CA"/>
              </w:rPr>
            </w:pPr>
            <w:r w:rsidRPr="00FE3307">
              <w:rPr>
                <w:color w:val="000000"/>
                <w:sz w:val="20"/>
                <w:szCs w:val="20"/>
                <w:lang w:val="en-CA"/>
              </w:rPr>
              <w:t>HCFC-123</w:t>
            </w:r>
          </w:p>
        </w:tc>
        <w:tc>
          <w:tcPr>
            <w:tcW w:w="553" w:type="pct"/>
            <w:tcBorders>
              <w:top w:val="nil"/>
              <w:left w:val="nil"/>
              <w:bottom w:val="single" w:sz="4" w:space="0" w:color="auto"/>
              <w:right w:val="single" w:sz="4" w:space="0" w:color="auto"/>
            </w:tcBorders>
            <w:shd w:val="clear" w:color="auto" w:fill="auto"/>
            <w:noWrap/>
          </w:tcPr>
          <w:p w14:paraId="74B06565" w14:textId="77777777" w:rsidR="009D17B0" w:rsidRPr="00C11159" w:rsidRDefault="009D17B0" w:rsidP="009D17B0">
            <w:pPr>
              <w:jc w:val="right"/>
              <w:rPr>
                <w:sz w:val="20"/>
                <w:szCs w:val="20"/>
              </w:rPr>
            </w:pPr>
            <w:r w:rsidRPr="00C11159">
              <w:rPr>
                <w:sz w:val="20"/>
                <w:szCs w:val="20"/>
              </w:rPr>
              <w:t>1.27</w:t>
            </w:r>
          </w:p>
        </w:tc>
        <w:tc>
          <w:tcPr>
            <w:tcW w:w="553" w:type="pct"/>
            <w:tcBorders>
              <w:top w:val="single" w:sz="4" w:space="0" w:color="auto"/>
              <w:left w:val="nil"/>
              <w:bottom w:val="single" w:sz="4" w:space="0" w:color="auto"/>
              <w:right w:val="single" w:sz="4" w:space="0" w:color="auto"/>
            </w:tcBorders>
            <w:noWrap/>
          </w:tcPr>
          <w:p w14:paraId="2E2ED5EB" w14:textId="77777777" w:rsidR="009D17B0" w:rsidRPr="00C11159" w:rsidRDefault="009D17B0" w:rsidP="009D17B0">
            <w:pPr>
              <w:widowControl w:val="0"/>
              <w:jc w:val="right"/>
              <w:rPr>
                <w:color w:val="000000"/>
                <w:sz w:val="20"/>
                <w:szCs w:val="20"/>
              </w:rPr>
            </w:pPr>
            <w:r w:rsidRPr="00C11159">
              <w:rPr>
                <w:color w:val="000000"/>
                <w:sz w:val="20"/>
                <w:szCs w:val="20"/>
              </w:rPr>
              <w:t>4.43</w:t>
            </w:r>
          </w:p>
        </w:tc>
        <w:tc>
          <w:tcPr>
            <w:tcW w:w="553" w:type="pct"/>
            <w:tcBorders>
              <w:top w:val="nil"/>
              <w:left w:val="single" w:sz="4" w:space="0" w:color="auto"/>
              <w:bottom w:val="single" w:sz="4" w:space="0" w:color="auto"/>
              <w:right w:val="single" w:sz="4" w:space="0" w:color="auto"/>
            </w:tcBorders>
            <w:noWrap/>
          </w:tcPr>
          <w:p w14:paraId="55D16685" w14:textId="77777777" w:rsidR="009D17B0" w:rsidRPr="00C11159" w:rsidRDefault="009D17B0" w:rsidP="009D17B0">
            <w:pPr>
              <w:widowControl w:val="0"/>
              <w:jc w:val="right"/>
              <w:rPr>
                <w:color w:val="000000"/>
                <w:sz w:val="20"/>
                <w:szCs w:val="20"/>
              </w:rPr>
            </w:pPr>
            <w:r w:rsidRPr="00C11159">
              <w:rPr>
                <w:color w:val="000000"/>
                <w:sz w:val="20"/>
                <w:szCs w:val="20"/>
              </w:rPr>
              <w:t>1.74</w:t>
            </w:r>
          </w:p>
        </w:tc>
        <w:tc>
          <w:tcPr>
            <w:tcW w:w="553" w:type="pct"/>
            <w:tcBorders>
              <w:top w:val="single" w:sz="4" w:space="0" w:color="auto"/>
              <w:left w:val="nil"/>
              <w:bottom w:val="single" w:sz="4" w:space="0" w:color="auto"/>
              <w:right w:val="single" w:sz="4" w:space="0" w:color="auto"/>
            </w:tcBorders>
          </w:tcPr>
          <w:p w14:paraId="5D56E776" w14:textId="77777777" w:rsidR="009D17B0" w:rsidRPr="00FE3307" w:rsidRDefault="009A7763" w:rsidP="009D17B0">
            <w:pPr>
              <w:widowControl w:val="0"/>
              <w:jc w:val="right"/>
              <w:rPr>
                <w:color w:val="000000"/>
                <w:sz w:val="20"/>
                <w:szCs w:val="20"/>
                <w:lang w:val="en-CA"/>
              </w:rPr>
            </w:pPr>
            <w:r>
              <w:rPr>
                <w:color w:val="000000"/>
                <w:sz w:val="20"/>
                <w:szCs w:val="20"/>
                <w:lang w:val="en-CA"/>
              </w:rPr>
              <w:t>0.00</w:t>
            </w:r>
          </w:p>
        </w:tc>
        <w:tc>
          <w:tcPr>
            <w:tcW w:w="553" w:type="pct"/>
            <w:tcBorders>
              <w:top w:val="nil"/>
              <w:left w:val="single" w:sz="4" w:space="0" w:color="auto"/>
              <w:bottom w:val="single" w:sz="4" w:space="0" w:color="auto"/>
              <w:right w:val="single" w:sz="4" w:space="0" w:color="auto"/>
            </w:tcBorders>
          </w:tcPr>
          <w:p w14:paraId="69FA9054" w14:textId="77777777" w:rsidR="009D17B0" w:rsidRPr="00FE3307" w:rsidRDefault="00D83B1A" w:rsidP="009D17B0">
            <w:pPr>
              <w:widowControl w:val="0"/>
              <w:jc w:val="right"/>
              <w:rPr>
                <w:color w:val="000000"/>
                <w:sz w:val="20"/>
                <w:szCs w:val="20"/>
                <w:lang w:val="en-CA"/>
              </w:rPr>
            </w:pPr>
            <w:r>
              <w:rPr>
                <w:color w:val="000000"/>
                <w:sz w:val="20"/>
                <w:szCs w:val="20"/>
                <w:lang w:val="en-CA"/>
              </w:rPr>
              <w:t>0.47</w:t>
            </w:r>
          </w:p>
        </w:tc>
        <w:tc>
          <w:tcPr>
            <w:tcW w:w="553" w:type="pct"/>
            <w:tcBorders>
              <w:top w:val="nil"/>
              <w:left w:val="single" w:sz="4" w:space="0" w:color="auto"/>
              <w:bottom w:val="single" w:sz="4" w:space="0" w:color="auto"/>
              <w:right w:val="single" w:sz="4" w:space="0" w:color="auto"/>
            </w:tcBorders>
            <w:shd w:val="clear" w:color="auto" w:fill="auto"/>
            <w:noWrap/>
          </w:tcPr>
          <w:p w14:paraId="4C7FC706" w14:textId="77777777" w:rsidR="009D17B0" w:rsidRPr="00C11159" w:rsidRDefault="009D17B0" w:rsidP="009D17B0">
            <w:pPr>
              <w:jc w:val="right"/>
              <w:rPr>
                <w:sz w:val="20"/>
                <w:szCs w:val="20"/>
              </w:rPr>
            </w:pPr>
            <w:r w:rsidRPr="00C11159">
              <w:rPr>
                <w:sz w:val="20"/>
                <w:szCs w:val="20"/>
              </w:rPr>
              <w:t>9.18</w:t>
            </w:r>
          </w:p>
        </w:tc>
      </w:tr>
      <w:tr w:rsidR="009D17B0" w:rsidRPr="00FE3307" w14:paraId="25485F6C" w14:textId="77777777" w:rsidTr="00CE471E">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8859397" w14:textId="77777777" w:rsidR="009D17B0" w:rsidRPr="00FE3307" w:rsidRDefault="009D17B0" w:rsidP="009D17B0">
            <w:pPr>
              <w:widowControl w:val="0"/>
              <w:jc w:val="left"/>
              <w:rPr>
                <w:color w:val="000000"/>
                <w:sz w:val="20"/>
                <w:szCs w:val="20"/>
                <w:lang w:val="en-CA"/>
              </w:rPr>
            </w:pPr>
            <w:r w:rsidRPr="00FE3307">
              <w:rPr>
                <w:color w:val="000000"/>
                <w:sz w:val="20"/>
                <w:szCs w:val="20"/>
                <w:lang w:val="en-CA"/>
              </w:rPr>
              <w:t>HCFC-124</w:t>
            </w:r>
          </w:p>
        </w:tc>
        <w:tc>
          <w:tcPr>
            <w:tcW w:w="553" w:type="pct"/>
            <w:tcBorders>
              <w:top w:val="nil"/>
              <w:left w:val="nil"/>
              <w:bottom w:val="single" w:sz="4" w:space="0" w:color="auto"/>
              <w:right w:val="single" w:sz="4" w:space="0" w:color="auto"/>
            </w:tcBorders>
            <w:shd w:val="clear" w:color="auto" w:fill="auto"/>
            <w:noWrap/>
          </w:tcPr>
          <w:p w14:paraId="177BF76D" w14:textId="77777777" w:rsidR="009D17B0" w:rsidRPr="00C11159" w:rsidRDefault="009D17B0" w:rsidP="009D17B0">
            <w:pPr>
              <w:jc w:val="right"/>
              <w:rPr>
                <w:sz w:val="20"/>
                <w:szCs w:val="20"/>
              </w:rPr>
            </w:pPr>
            <w:r w:rsidRPr="00C11159">
              <w:rPr>
                <w:sz w:val="20"/>
                <w:szCs w:val="20"/>
              </w:rPr>
              <w:t>0.44</w:t>
            </w:r>
          </w:p>
        </w:tc>
        <w:tc>
          <w:tcPr>
            <w:tcW w:w="553" w:type="pct"/>
            <w:tcBorders>
              <w:top w:val="single" w:sz="4" w:space="0" w:color="auto"/>
              <w:left w:val="nil"/>
              <w:bottom w:val="single" w:sz="4" w:space="0" w:color="auto"/>
              <w:right w:val="single" w:sz="4" w:space="0" w:color="auto"/>
            </w:tcBorders>
            <w:noWrap/>
          </w:tcPr>
          <w:p w14:paraId="09CFD5D6" w14:textId="77777777" w:rsidR="009D17B0" w:rsidRPr="00C11159" w:rsidRDefault="009D17B0" w:rsidP="009D17B0">
            <w:pPr>
              <w:widowControl w:val="0"/>
              <w:jc w:val="right"/>
              <w:rPr>
                <w:color w:val="000000"/>
                <w:sz w:val="20"/>
                <w:szCs w:val="20"/>
              </w:rPr>
            </w:pPr>
            <w:r w:rsidRPr="00C11159">
              <w:rPr>
                <w:color w:val="000000"/>
                <w:sz w:val="20"/>
                <w:szCs w:val="20"/>
              </w:rPr>
              <w:t>0.30</w:t>
            </w:r>
          </w:p>
        </w:tc>
        <w:tc>
          <w:tcPr>
            <w:tcW w:w="553" w:type="pct"/>
            <w:tcBorders>
              <w:top w:val="nil"/>
              <w:left w:val="single" w:sz="4" w:space="0" w:color="auto"/>
              <w:bottom w:val="single" w:sz="4" w:space="0" w:color="auto"/>
              <w:right w:val="single" w:sz="4" w:space="0" w:color="auto"/>
            </w:tcBorders>
            <w:noWrap/>
          </w:tcPr>
          <w:p w14:paraId="054B1FEE" w14:textId="77777777" w:rsidR="009D17B0" w:rsidRPr="00C11159" w:rsidRDefault="009D17B0" w:rsidP="009D17B0">
            <w:pPr>
              <w:widowControl w:val="0"/>
              <w:jc w:val="right"/>
              <w:rPr>
                <w:color w:val="000000"/>
                <w:sz w:val="20"/>
                <w:szCs w:val="20"/>
              </w:rPr>
            </w:pPr>
            <w:r w:rsidRPr="00C11159">
              <w:rPr>
                <w:color w:val="000000"/>
                <w:sz w:val="20"/>
                <w:szCs w:val="20"/>
              </w:rPr>
              <w:t>0.54</w:t>
            </w:r>
          </w:p>
        </w:tc>
        <w:tc>
          <w:tcPr>
            <w:tcW w:w="553" w:type="pct"/>
            <w:tcBorders>
              <w:top w:val="single" w:sz="4" w:space="0" w:color="auto"/>
              <w:left w:val="nil"/>
              <w:bottom w:val="single" w:sz="4" w:space="0" w:color="auto"/>
              <w:right w:val="single" w:sz="4" w:space="0" w:color="auto"/>
            </w:tcBorders>
          </w:tcPr>
          <w:p w14:paraId="2E148EE1" w14:textId="77777777" w:rsidR="009D17B0" w:rsidRPr="00FE3307" w:rsidRDefault="009A7763" w:rsidP="009D17B0">
            <w:pPr>
              <w:widowControl w:val="0"/>
              <w:jc w:val="right"/>
              <w:rPr>
                <w:color w:val="000000"/>
                <w:sz w:val="20"/>
                <w:szCs w:val="20"/>
                <w:lang w:val="en-CA"/>
              </w:rPr>
            </w:pPr>
            <w:r>
              <w:rPr>
                <w:color w:val="000000"/>
                <w:sz w:val="20"/>
                <w:szCs w:val="20"/>
                <w:lang w:val="en-CA"/>
              </w:rPr>
              <w:t>0.26</w:t>
            </w:r>
          </w:p>
        </w:tc>
        <w:tc>
          <w:tcPr>
            <w:tcW w:w="553" w:type="pct"/>
            <w:tcBorders>
              <w:top w:val="nil"/>
              <w:left w:val="single" w:sz="4" w:space="0" w:color="auto"/>
              <w:bottom w:val="single" w:sz="4" w:space="0" w:color="auto"/>
              <w:right w:val="single" w:sz="4" w:space="0" w:color="auto"/>
            </w:tcBorders>
          </w:tcPr>
          <w:p w14:paraId="65BA2806" w14:textId="77777777" w:rsidR="009D17B0" w:rsidRPr="00FE3307" w:rsidRDefault="00D83B1A" w:rsidP="009D17B0">
            <w:pPr>
              <w:widowControl w:val="0"/>
              <w:jc w:val="right"/>
              <w:rPr>
                <w:color w:val="000000"/>
                <w:sz w:val="20"/>
                <w:szCs w:val="20"/>
                <w:lang w:val="en-CA"/>
              </w:rPr>
            </w:pPr>
            <w:r>
              <w:rPr>
                <w:color w:val="000000"/>
                <w:sz w:val="20"/>
                <w:szCs w:val="20"/>
                <w:lang w:val="en-CA"/>
              </w:rPr>
              <w:t>0.00</w:t>
            </w:r>
          </w:p>
        </w:tc>
        <w:tc>
          <w:tcPr>
            <w:tcW w:w="553" w:type="pct"/>
            <w:tcBorders>
              <w:top w:val="nil"/>
              <w:left w:val="single" w:sz="4" w:space="0" w:color="auto"/>
              <w:bottom w:val="single" w:sz="4" w:space="0" w:color="auto"/>
              <w:right w:val="single" w:sz="4" w:space="0" w:color="auto"/>
            </w:tcBorders>
            <w:shd w:val="clear" w:color="auto" w:fill="auto"/>
            <w:noWrap/>
          </w:tcPr>
          <w:p w14:paraId="319E69AA" w14:textId="77777777" w:rsidR="009D17B0" w:rsidRPr="00C11159" w:rsidRDefault="009D17B0" w:rsidP="009D17B0">
            <w:pPr>
              <w:jc w:val="right"/>
              <w:rPr>
                <w:sz w:val="20"/>
                <w:szCs w:val="20"/>
              </w:rPr>
            </w:pPr>
            <w:r w:rsidRPr="00C11159">
              <w:rPr>
                <w:sz w:val="20"/>
                <w:szCs w:val="20"/>
              </w:rPr>
              <w:t>9.99</w:t>
            </w:r>
          </w:p>
        </w:tc>
      </w:tr>
      <w:tr w:rsidR="009D17B0" w:rsidRPr="00FE3307" w14:paraId="03EF68C9" w14:textId="77777777" w:rsidTr="00CE471E">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48182B5" w14:textId="77777777" w:rsidR="009D17B0" w:rsidRPr="00FE3307" w:rsidRDefault="009D17B0" w:rsidP="009D17B0">
            <w:pPr>
              <w:widowControl w:val="0"/>
              <w:jc w:val="left"/>
              <w:rPr>
                <w:color w:val="000000"/>
                <w:sz w:val="20"/>
                <w:szCs w:val="20"/>
                <w:lang w:val="en-CA"/>
              </w:rPr>
            </w:pPr>
            <w:r w:rsidRPr="00FE3307">
              <w:rPr>
                <w:color w:val="000000"/>
                <w:sz w:val="20"/>
                <w:szCs w:val="20"/>
                <w:lang w:val="en-CA"/>
              </w:rPr>
              <w:t>HCFC-141b</w:t>
            </w:r>
          </w:p>
        </w:tc>
        <w:tc>
          <w:tcPr>
            <w:tcW w:w="553" w:type="pct"/>
            <w:tcBorders>
              <w:top w:val="nil"/>
              <w:left w:val="nil"/>
              <w:bottom w:val="single" w:sz="4" w:space="0" w:color="auto"/>
              <w:right w:val="single" w:sz="4" w:space="0" w:color="auto"/>
            </w:tcBorders>
            <w:shd w:val="clear" w:color="auto" w:fill="auto"/>
            <w:noWrap/>
          </w:tcPr>
          <w:p w14:paraId="578036BD" w14:textId="77777777" w:rsidR="009D17B0" w:rsidRPr="00C11159" w:rsidRDefault="009D17B0" w:rsidP="009D17B0">
            <w:pPr>
              <w:jc w:val="right"/>
              <w:rPr>
                <w:sz w:val="20"/>
                <w:szCs w:val="20"/>
              </w:rPr>
            </w:pPr>
            <w:r w:rsidRPr="00C11159">
              <w:rPr>
                <w:sz w:val="20"/>
                <w:szCs w:val="20"/>
              </w:rPr>
              <w:t>8.70</w:t>
            </w:r>
          </w:p>
        </w:tc>
        <w:tc>
          <w:tcPr>
            <w:tcW w:w="553" w:type="pct"/>
            <w:tcBorders>
              <w:top w:val="single" w:sz="4" w:space="0" w:color="auto"/>
              <w:left w:val="nil"/>
              <w:bottom w:val="single" w:sz="4" w:space="0" w:color="auto"/>
              <w:right w:val="single" w:sz="4" w:space="0" w:color="auto"/>
            </w:tcBorders>
            <w:noWrap/>
          </w:tcPr>
          <w:p w14:paraId="6CC0DA75" w14:textId="77777777" w:rsidR="009D17B0" w:rsidRPr="00C11159" w:rsidRDefault="009D17B0" w:rsidP="009D17B0">
            <w:pPr>
              <w:widowControl w:val="0"/>
              <w:jc w:val="right"/>
              <w:rPr>
                <w:color w:val="000000"/>
                <w:sz w:val="20"/>
                <w:szCs w:val="20"/>
              </w:rPr>
            </w:pPr>
            <w:r w:rsidRPr="00C11159">
              <w:rPr>
                <w:color w:val="000000"/>
                <w:sz w:val="20"/>
                <w:szCs w:val="20"/>
              </w:rPr>
              <w:t>9.91</w:t>
            </w:r>
          </w:p>
        </w:tc>
        <w:tc>
          <w:tcPr>
            <w:tcW w:w="553" w:type="pct"/>
            <w:tcBorders>
              <w:top w:val="nil"/>
              <w:left w:val="single" w:sz="4" w:space="0" w:color="auto"/>
              <w:bottom w:val="single" w:sz="4" w:space="0" w:color="auto"/>
              <w:right w:val="single" w:sz="4" w:space="0" w:color="auto"/>
            </w:tcBorders>
            <w:noWrap/>
          </w:tcPr>
          <w:p w14:paraId="3D89A6A0" w14:textId="77777777" w:rsidR="009D17B0" w:rsidRPr="00361B6B" w:rsidRDefault="009D17B0" w:rsidP="009D17B0">
            <w:pPr>
              <w:widowControl w:val="0"/>
              <w:jc w:val="right"/>
              <w:rPr>
                <w:color w:val="000000"/>
                <w:sz w:val="20"/>
                <w:szCs w:val="20"/>
              </w:rPr>
            </w:pPr>
            <w:r w:rsidRPr="00361B6B">
              <w:rPr>
                <w:color w:val="000000"/>
                <w:sz w:val="20"/>
                <w:szCs w:val="20"/>
              </w:rPr>
              <w:t>19.73</w:t>
            </w:r>
          </w:p>
        </w:tc>
        <w:tc>
          <w:tcPr>
            <w:tcW w:w="553" w:type="pct"/>
            <w:tcBorders>
              <w:top w:val="single" w:sz="4" w:space="0" w:color="auto"/>
              <w:left w:val="nil"/>
              <w:bottom w:val="single" w:sz="4" w:space="0" w:color="auto"/>
              <w:right w:val="single" w:sz="4" w:space="0" w:color="auto"/>
            </w:tcBorders>
          </w:tcPr>
          <w:p w14:paraId="64CA2628" w14:textId="77777777" w:rsidR="009D17B0" w:rsidRPr="00FE3307" w:rsidRDefault="009A7763" w:rsidP="009D17B0">
            <w:pPr>
              <w:widowControl w:val="0"/>
              <w:jc w:val="right"/>
              <w:rPr>
                <w:color w:val="000000"/>
                <w:sz w:val="20"/>
                <w:szCs w:val="20"/>
                <w:lang w:val="en-CA"/>
              </w:rPr>
            </w:pPr>
            <w:r>
              <w:rPr>
                <w:color w:val="000000"/>
                <w:sz w:val="20"/>
                <w:szCs w:val="20"/>
                <w:lang w:val="en-CA"/>
              </w:rPr>
              <w:t>19.06</w:t>
            </w:r>
          </w:p>
        </w:tc>
        <w:tc>
          <w:tcPr>
            <w:tcW w:w="553" w:type="pct"/>
            <w:tcBorders>
              <w:top w:val="nil"/>
              <w:left w:val="single" w:sz="4" w:space="0" w:color="auto"/>
              <w:bottom w:val="single" w:sz="4" w:space="0" w:color="auto"/>
              <w:right w:val="single" w:sz="4" w:space="0" w:color="auto"/>
            </w:tcBorders>
          </w:tcPr>
          <w:p w14:paraId="3A26CB29" w14:textId="77777777" w:rsidR="009D17B0" w:rsidRPr="00FE3307" w:rsidRDefault="00D83B1A" w:rsidP="009D17B0">
            <w:pPr>
              <w:widowControl w:val="0"/>
              <w:jc w:val="right"/>
              <w:rPr>
                <w:color w:val="000000"/>
                <w:sz w:val="20"/>
                <w:szCs w:val="20"/>
                <w:lang w:val="en-CA"/>
              </w:rPr>
            </w:pPr>
            <w:r>
              <w:rPr>
                <w:color w:val="000000"/>
                <w:sz w:val="20"/>
                <w:szCs w:val="20"/>
                <w:lang w:val="en-CA"/>
              </w:rPr>
              <w:t>6.70</w:t>
            </w:r>
          </w:p>
        </w:tc>
        <w:tc>
          <w:tcPr>
            <w:tcW w:w="553" w:type="pct"/>
            <w:tcBorders>
              <w:top w:val="nil"/>
              <w:left w:val="single" w:sz="4" w:space="0" w:color="auto"/>
              <w:bottom w:val="single" w:sz="4" w:space="0" w:color="auto"/>
              <w:right w:val="single" w:sz="4" w:space="0" w:color="auto"/>
            </w:tcBorders>
            <w:shd w:val="clear" w:color="auto" w:fill="auto"/>
            <w:noWrap/>
          </w:tcPr>
          <w:p w14:paraId="7D4CBCAE" w14:textId="77777777" w:rsidR="009D17B0" w:rsidRPr="00361B6B" w:rsidRDefault="009D17B0" w:rsidP="009D17B0">
            <w:pPr>
              <w:jc w:val="right"/>
              <w:rPr>
                <w:sz w:val="20"/>
                <w:szCs w:val="20"/>
              </w:rPr>
            </w:pPr>
            <w:r w:rsidRPr="00361B6B">
              <w:rPr>
                <w:sz w:val="20"/>
                <w:szCs w:val="20"/>
              </w:rPr>
              <w:t>7.84</w:t>
            </w:r>
          </w:p>
        </w:tc>
      </w:tr>
      <w:tr w:rsidR="009D17B0" w:rsidRPr="00FE3307" w14:paraId="3593D4B5" w14:textId="77777777" w:rsidTr="00CE471E">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2938704" w14:textId="77777777" w:rsidR="009D17B0" w:rsidRPr="00FE3307" w:rsidRDefault="009D17B0" w:rsidP="009D17B0">
            <w:pPr>
              <w:widowControl w:val="0"/>
              <w:jc w:val="left"/>
              <w:rPr>
                <w:color w:val="000000"/>
                <w:sz w:val="20"/>
                <w:szCs w:val="20"/>
                <w:lang w:val="en-CA"/>
              </w:rPr>
            </w:pPr>
            <w:r w:rsidRPr="00FE3307">
              <w:rPr>
                <w:color w:val="000000"/>
                <w:sz w:val="20"/>
                <w:szCs w:val="20"/>
                <w:lang w:val="en-CA"/>
              </w:rPr>
              <w:t>HCFC-142b</w:t>
            </w:r>
          </w:p>
        </w:tc>
        <w:tc>
          <w:tcPr>
            <w:tcW w:w="553" w:type="pct"/>
            <w:tcBorders>
              <w:top w:val="nil"/>
              <w:left w:val="nil"/>
              <w:bottom w:val="single" w:sz="4" w:space="0" w:color="auto"/>
              <w:right w:val="single" w:sz="4" w:space="0" w:color="auto"/>
            </w:tcBorders>
            <w:shd w:val="clear" w:color="auto" w:fill="auto"/>
            <w:noWrap/>
          </w:tcPr>
          <w:p w14:paraId="40AF6D6F" w14:textId="77777777" w:rsidR="009D17B0" w:rsidRPr="00C11159" w:rsidRDefault="009D17B0" w:rsidP="009D17B0">
            <w:pPr>
              <w:jc w:val="right"/>
              <w:rPr>
                <w:sz w:val="20"/>
                <w:szCs w:val="20"/>
              </w:rPr>
            </w:pPr>
            <w:r w:rsidRPr="00C11159">
              <w:rPr>
                <w:sz w:val="20"/>
                <w:szCs w:val="20"/>
              </w:rPr>
              <w:t>0.27</w:t>
            </w:r>
          </w:p>
        </w:tc>
        <w:tc>
          <w:tcPr>
            <w:tcW w:w="553" w:type="pct"/>
            <w:tcBorders>
              <w:top w:val="single" w:sz="4" w:space="0" w:color="auto"/>
              <w:left w:val="nil"/>
              <w:bottom w:val="single" w:sz="4" w:space="0" w:color="auto"/>
              <w:right w:val="single" w:sz="4" w:space="0" w:color="auto"/>
            </w:tcBorders>
            <w:noWrap/>
          </w:tcPr>
          <w:p w14:paraId="25061205" w14:textId="77777777" w:rsidR="009D17B0" w:rsidRPr="00C11159" w:rsidRDefault="009D17B0" w:rsidP="009D17B0">
            <w:pPr>
              <w:widowControl w:val="0"/>
              <w:jc w:val="right"/>
              <w:rPr>
                <w:color w:val="000000"/>
                <w:sz w:val="20"/>
                <w:szCs w:val="20"/>
              </w:rPr>
            </w:pPr>
            <w:r w:rsidRPr="00C11159">
              <w:rPr>
                <w:color w:val="000000"/>
                <w:sz w:val="20"/>
                <w:szCs w:val="20"/>
              </w:rPr>
              <w:t>0.18</w:t>
            </w:r>
          </w:p>
        </w:tc>
        <w:tc>
          <w:tcPr>
            <w:tcW w:w="553" w:type="pct"/>
            <w:tcBorders>
              <w:top w:val="nil"/>
              <w:left w:val="single" w:sz="4" w:space="0" w:color="auto"/>
              <w:bottom w:val="single" w:sz="4" w:space="0" w:color="auto"/>
              <w:right w:val="single" w:sz="4" w:space="0" w:color="auto"/>
            </w:tcBorders>
            <w:noWrap/>
          </w:tcPr>
          <w:p w14:paraId="74EE035C" w14:textId="77777777" w:rsidR="009D17B0" w:rsidRPr="00C11159" w:rsidRDefault="009D17B0" w:rsidP="009D17B0">
            <w:pPr>
              <w:widowControl w:val="0"/>
              <w:jc w:val="right"/>
              <w:rPr>
                <w:color w:val="000000"/>
                <w:sz w:val="20"/>
                <w:szCs w:val="20"/>
              </w:rPr>
            </w:pPr>
            <w:r w:rsidRPr="00C11159">
              <w:rPr>
                <w:color w:val="000000"/>
                <w:sz w:val="20"/>
                <w:szCs w:val="20"/>
              </w:rPr>
              <w:t>0.33</w:t>
            </w:r>
          </w:p>
        </w:tc>
        <w:tc>
          <w:tcPr>
            <w:tcW w:w="553" w:type="pct"/>
            <w:tcBorders>
              <w:top w:val="single" w:sz="4" w:space="0" w:color="auto"/>
              <w:left w:val="nil"/>
              <w:bottom w:val="single" w:sz="4" w:space="0" w:color="auto"/>
              <w:right w:val="single" w:sz="4" w:space="0" w:color="auto"/>
            </w:tcBorders>
          </w:tcPr>
          <w:p w14:paraId="6A03CD71" w14:textId="77777777" w:rsidR="009D17B0" w:rsidRPr="00FE3307" w:rsidRDefault="009A7763" w:rsidP="009D17B0">
            <w:pPr>
              <w:widowControl w:val="0"/>
              <w:jc w:val="right"/>
              <w:rPr>
                <w:color w:val="000000"/>
                <w:sz w:val="20"/>
                <w:szCs w:val="20"/>
                <w:lang w:val="en-CA"/>
              </w:rPr>
            </w:pPr>
            <w:r>
              <w:rPr>
                <w:color w:val="000000"/>
                <w:sz w:val="20"/>
                <w:szCs w:val="20"/>
                <w:lang w:val="en-CA"/>
              </w:rPr>
              <w:t>0.15</w:t>
            </w:r>
          </w:p>
        </w:tc>
        <w:tc>
          <w:tcPr>
            <w:tcW w:w="553" w:type="pct"/>
            <w:tcBorders>
              <w:top w:val="nil"/>
              <w:left w:val="single" w:sz="4" w:space="0" w:color="auto"/>
              <w:bottom w:val="single" w:sz="4" w:space="0" w:color="auto"/>
              <w:right w:val="single" w:sz="4" w:space="0" w:color="auto"/>
            </w:tcBorders>
          </w:tcPr>
          <w:p w14:paraId="2EED4CFB" w14:textId="77777777" w:rsidR="009D17B0" w:rsidRPr="00FE3307" w:rsidRDefault="00D83B1A" w:rsidP="009D17B0">
            <w:pPr>
              <w:widowControl w:val="0"/>
              <w:jc w:val="right"/>
              <w:rPr>
                <w:color w:val="000000"/>
                <w:sz w:val="20"/>
                <w:szCs w:val="20"/>
                <w:lang w:val="en-CA"/>
              </w:rPr>
            </w:pPr>
            <w:r>
              <w:rPr>
                <w:color w:val="000000"/>
                <w:sz w:val="20"/>
                <w:szCs w:val="20"/>
                <w:lang w:val="en-CA"/>
              </w:rPr>
              <w:t>0.00</w:t>
            </w:r>
          </w:p>
        </w:tc>
        <w:tc>
          <w:tcPr>
            <w:tcW w:w="553" w:type="pct"/>
            <w:tcBorders>
              <w:top w:val="nil"/>
              <w:left w:val="single" w:sz="4" w:space="0" w:color="auto"/>
              <w:bottom w:val="single" w:sz="4" w:space="0" w:color="auto"/>
              <w:right w:val="single" w:sz="4" w:space="0" w:color="auto"/>
            </w:tcBorders>
            <w:shd w:val="clear" w:color="auto" w:fill="auto"/>
            <w:noWrap/>
          </w:tcPr>
          <w:p w14:paraId="60AF065C" w14:textId="77777777" w:rsidR="009D17B0" w:rsidRPr="00C11159" w:rsidRDefault="009D17B0" w:rsidP="009D17B0">
            <w:pPr>
              <w:jc w:val="right"/>
              <w:rPr>
                <w:sz w:val="20"/>
                <w:szCs w:val="20"/>
              </w:rPr>
            </w:pPr>
            <w:r w:rsidRPr="00C11159">
              <w:rPr>
                <w:sz w:val="20"/>
                <w:szCs w:val="20"/>
              </w:rPr>
              <w:t>18.45</w:t>
            </w:r>
          </w:p>
        </w:tc>
      </w:tr>
      <w:tr w:rsidR="009D17B0" w:rsidRPr="00FE3307" w14:paraId="0970789F" w14:textId="77777777" w:rsidTr="00CE471E">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03540311" w14:textId="77777777" w:rsidR="009D17B0" w:rsidRPr="00FE3307" w:rsidRDefault="009D17B0" w:rsidP="009D17B0">
            <w:pPr>
              <w:jc w:val="left"/>
              <w:rPr>
                <w:rFonts w:eastAsiaTheme="minorHAnsi"/>
                <w:b/>
                <w:color w:val="000000"/>
                <w:sz w:val="20"/>
                <w:szCs w:val="20"/>
                <w:lang w:val="en-CA"/>
              </w:rPr>
            </w:pPr>
            <w:r>
              <w:rPr>
                <w:b/>
                <w:color w:val="000000"/>
                <w:sz w:val="20"/>
                <w:szCs w:val="20"/>
                <w:lang w:val="en-CA"/>
              </w:rPr>
              <w:t>Sub-total</w:t>
            </w:r>
            <w:r w:rsidRPr="00FE3307">
              <w:rPr>
                <w:b/>
                <w:color w:val="000000"/>
                <w:sz w:val="20"/>
                <w:szCs w:val="20"/>
                <w:lang w:val="en-CA"/>
              </w:rPr>
              <w:t xml:space="preserve"> (</w:t>
            </w:r>
            <w:proofErr w:type="spellStart"/>
            <w:r w:rsidRPr="00FE3307">
              <w:rPr>
                <w:b/>
                <w:color w:val="000000"/>
                <w:sz w:val="20"/>
                <w:szCs w:val="20"/>
                <w:lang w:val="en-CA"/>
              </w:rPr>
              <w:t>mt</w:t>
            </w:r>
            <w:proofErr w:type="spellEnd"/>
            <w:r w:rsidRPr="00FE3307">
              <w:rPr>
                <w:b/>
                <w:color w:val="000000"/>
                <w:sz w:val="20"/>
                <w:szCs w:val="20"/>
                <w:lang w:val="en-CA"/>
              </w:rPr>
              <w:t>)</w:t>
            </w:r>
          </w:p>
        </w:tc>
        <w:tc>
          <w:tcPr>
            <w:tcW w:w="553" w:type="pct"/>
            <w:tcBorders>
              <w:top w:val="nil"/>
              <w:left w:val="nil"/>
              <w:bottom w:val="single" w:sz="4" w:space="0" w:color="auto"/>
              <w:right w:val="single" w:sz="4" w:space="0" w:color="auto"/>
            </w:tcBorders>
            <w:shd w:val="clear" w:color="auto" w:fill="auto"/>
            <w:noWrap/>
          </w:tcPr>
          <w:p w14:paraId="49065873" w14:textId="77777777" w:rsidR="009D17B0" w:rsidRPr="00C11159" w:rsidRDefault="009D17B0" w:rsidP="009D17B0">
            <w:pPr>
              <w:jc w:val="right"/>
              <w:rPr>
                <w:b/>
                <w:sz w:val="20"/>
                <w:szCs w:val="20"/>
              </w:rPr>
            </w:pPr>
            <w:r w:rsidRPr="00C11159">
              <w:rPr>
                <w:b/>
                <w:sz w:val="20"/>
                <w:szCs w:val="20"/>
              </w:rPr>
              <w:t>357.78</w:t>
            </w:r>
          </w:p>
        </w:tc>
        <w:tc>
          <w:tcPr>
            <w:tcW w:w="553" w:type="pct"/>
            <w:tcBorders>
              <w:top w:val="single" w:sz="4" w:space="0" w:color="auto"/>
              <w:left w:val="nil"/>
              <w:bottom w:val="single" w:sz="4" w:space="0" w:color="auto"/>
              <w:right w:val="single" w:sz="4" w:space="0" w:color="auto"/>
            </w:tcBorders>
            <w:noWrap/>
          </w:tcPr>
          <w:p w14:paraId="137C133E" w14:textId="77777777" w:rsidR="009D17B0" w:rsidRPr="00C11159" w:rsidRDefault="009D17B0" w:rsidP="009D17B0">
            <w:pPr>
              <w:widowControl w:val="0"/>
              <w:jc w:val="right"/>
              <w:rPr>
                <w:b/>
                <w:color w:val="000000"/>
                <w:sz w:val="20"/>
                <w:szCs w:val="20"/>
              </w:rPr>
            </w:pPr>
            <w:r w:rsidRPr="00C11159">
              <w:rPr>
                <w:b/>
                <w:color w:val="000000"/>
                <w:sz w:val="20"/>
                <w:szCs w:val="20"/>
              </w:rPr>
              <w:t>325.03</w:t>
            </w:r>
          </w:p>
        </w:tc>
        <w:tc>
          <w:tcPr>
            <w:tcW w:w="553" w:type="pct"/>
            <w:tcBorders>
              <w:top w:val="nil"/>
              <w:left w:val="single" w:sz="4" w:space="0" w:color="auto"/>
              <w:bottom w:val="single" w:sz="4" w:space="0" w:color="auto"/>
              <w:right w:val="single" w:sz="4" w:space="0" w:color="auto"/>
            </w:tcBorders>
            <w:noWrap/>
          </w:tcPr>
          <w:p w14:paraId="19FAE560" w14:textId="77777777" w:rsidR="009D17B0" w:rsidRPr="00C11159" w:rsidRDefault="009D17B0" w:rsidP="009D17B0">
            <w:pPr>
              <w:widowControl w:val="0"/>
              <w:jc w:val="right"/>
              <w:rPr>
                <w:b/>
                <w:color w:val="000000"/>
                <w:sz w:val="20"/>
                <w:szCs w:val="20"/>
              </w:rPr>
            </w:pPr>
            <w:r w:rsidRPr="00C11159">
              <w:rPr>
                <w:b/>
                <w:color w:val="000000"/>
                <w:sz w:val="20"/>
                <w:szCs w:val="20"/>
              </w:rPr>
              <w:t>311.29</w:t>
            </w:r>
          </w:p>
        </w:tc>
        <w:tc>
          <w:tcPr>
            <w:tcW w:w="553" w:type="pct"/>
            <w:tcBorders>
              <w:top w:val="single" w:sz="4" w:space="0" w:color="auto"/>
              <w:left w:val="nil"/>
              <w:bottom w:val="single" w:sz="4" w:space="0" w:color="auto"/>
              <w:right w:val="single" w:sz="4" w:space="0" w:color="auto"/>
            </w:tcBorders>
          </w:tcPr>
          <w:p w14:paraId="493E6206" w14:textId="77777777" w:rsidR="009D17B0" w:rsidRPr="00FE3307" w:rsidRDefault="009A7763" w:rsidP="009D17B0">
            <w:pPr>
              <w:widowControl w:val="0"/>
              <w:jc w:val="right"/>
              <w:rPr>
                <w:b/>
                <w:color w:val="000000"/>
                <w:sz w:val="20"/>
                <w:szCs w:val="20"/>
                <w:lang w:val="en-CA"/>
              </w:rPr>
            </w:pPr>
            <w:r>
              <w:rPr>
                <w:b/>
                <w:color w:val="000000"/>
                <w:sz w:val="20"/>
                <w:szCs w:val="20"/>
                <w:lang w:val="en-CA"/>
              </w:rPr>
              <w:t>262.47</w:t>
            </w:r>
          </w:p>
        </w:tc>
        <w:tc>
          <w:tcPr>
            <w:tcW w:w="553" w:type="pct"/>
            <w:tcBorders>
              <w:top w:val="nil"/>
              <w:left w:val="single" w:sz="4" w:space="0" w:color="auto"/>
              <w:bottom w:val="single" w:sz="4" w:space="0" w:color="auto"/>
              <w:right w:val="single" w:sz="4" w:space="0" w:color="auto"/>
            </w:tcBorders>
          </w:tcPr>
          <w:p w14:paraId="79436B53" w14:textId="77777777" w:rsidR="009D17B0" w:rsidRPr="00FE3307" w:rsidRDefault="00D83B1A" w:rsidP="00D83B1A">
            <w:pPr>
              <w:widowControl w:val="0"/>
              <w:jc w:val="right"/>
              <w:rPr>
                <w:b/>
                <w:color w:val="000000"/>
                <w:sz w:val="20"/>
                <w:szCs w:val="20"/>
                <w:lang w:val="en-CA"/>
              </w:rPr>
            </w:pPr>
            <w:r>
              <w:rPr>
                <w:b/>
                <w:color w:val="000000"/>
                <w:sz w:val="20"/>
                <w:szCs w:val="20"/>
                <w:lang w:val="en-CA"/>
              </w:rPr>
              <w:t>248.38</w:t>
            </w:r>
          </w:p>
        </w:tc>
        <w:tc>
          <w:tcPr>
            <w:tcW w:w="553" w:type="pct"/>
            <w:tcBorders>
              <w:top w:val="nil"/>
              <w:left w:val="single" w:sz="4" w:space="0" w:color="auto"/>
              <w:bottom w:val="single" w:sz="4" w:space="0" w:color="auto"/>
              <w:right w:val="single" w:sz="4" w:space="0" w:color="auto"/>
            </w:tcBorders>
            <w:shd w:val="clear" w:color="auto" w:fill="auto"/>
            <w:noWrap/>
          </w:tcPr>
          <w:p w14:paraId="2A79459E" w14:textId="77777777" w:rsidR="009D17B0" w:rsidRPr="00C11159" w:rsidRDefault="009D17B0" w:rsidP="009D17B0">
            <w:pPr>
              <w:jc w:val="right"/>
              <w:rPr>
                <w:b/>
                <w:sz w:val="20"/>
                <w:szCs w:val="20"/>
              </w:rPr>
            </w:pPr>
            <w:r w:rsidRPr="00C11159">
              <w:rPr>
                <w:b/>
                <w:sz w:val="20"/>
                <w:szCs w:val="20"/>
              </w:rPr>
              <w:t>427.73</w:t>
            </w:r>
          </w:p>
        </w:tc>
      </w:tr>
      <w:tr w:rsidR="009D17B0" w:rsidRPr="00FE3307" w14:paraId="05602C1C" w14:textId="77777777" w:rsidTr="00CE471E">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3AD02468" w14:textId="77777777" w:rsidR="009D17B0" w:rsidRPr="00FE3307" w:rsidRDefault="009D17B0" w:rsidP="009D17B0">
            <w:pPr>
              <w:jc w:val="left"/>
              <w:rPr>
                <w:b/>
                <w:bCs/>
                <w:color w:val="000000"/>
                <w:sz w:val="20"/>
                <w:szCs w:val="20"/>
                <w:highlight w:val="magenta"/>
                <w:lang w:val="en-CA"/>
              </w:rPr>
            </w:pPr>
            <w:r w:rsidRPr="00FE3307">
              <w:rPr>
                <w:color w:val="000000"/>
                <w:sz w:val="20"/>
                <w:szCs w:val="20"/>
                <w:lang w:val="en-CA"/>
              </w:rPr>
              <w:t>HCFC-141b in imported pre-blended polyols</w:t>
            </w:r>
            <w:r>
              <w:rPr>
                <w:color w:val="000000"/>
                <w:sz w:val="20"/>
                <w:szCs w:val="20"/>
                <w:lang w:val="en-CA"/>
              </w:rPr>
              <w:t>*</w:t>
            </w:r>
          </w:p>
        </w:tc>
        <w:tc>
          <w:tcPr>
            <w:tcW w:w="553" w:type="pct"/>
            <w:tcBorders>
              <w:top w:val="nil"/>
              <w:left w:val="nil"/>
              <w:bottom w:val="single" w:sz="4" w:space="0" w:color="auto"/>
              <w:right w:val="single" w:sz="4" w:space="0" w:color="auto"/>
            </w:tcBorders>
            <w:shd w:val="clear" w:color="auto" w:fill="auto"/>
            <w:noWrap/>
          </w:tcPr>
          <w:p w14:paraId="5E118FE8" w14:textId="77777777" w:rsidR="009D17B0" w:rsidRPr="00C11159" w:rsidRDefault="009D17B0" w:rsidP="009D17B0">
            <w:pPr>
              <w:jc w:val="right"/>
              <w:rPr>
                <w:sz w:val="20"/>
                <w:szCs w:val="20"/>
              </w:rPr>
            </w:pPr>
            <w:r w:rsidRPr="00C11159">
              <w:rPr>
                <w:sz w:val="20"/>
                <w:szCs w:val="20"/>
              </w:rPr>
              <w:t>142.56</w:t>
            </w:r>
          </w:p>
        </w:tc>
        <w:tc>
          <w:tcPr>
            <w:tcW w:w="553" w:type="pct"/>
            <w:tcBorders>
              <w:top w:val="single" w:sz="4" w:space="0" w:color="auto"/>
              <w:left w:val="nil"/>
              <w:bottom w:val="single" w:sz="4" w:space="0" w:color="auto"/>
              <w:right w:val="single" w:sz="4" w:space="0" w:color="auto"/>
            </w:tcBorders>
            <w:noWrap/>
          </w:tcPr>
          <w:p w14:paraId="62CAA739" w14:textId="77777777" w:rsidR="009D17B0" w:rsidRPr="00C11159" w:rsidRDefault="009D17B0" w:rsidP="009D17B0">
            <w:pPr>
              <w:jc w:val="right"/>
              <w:rPr>
                <w:color w:val="000000"/>
                <w:sz w:val="20"/>
                <w:szCs w:val="20"/>
              </w:rPr>
            </w:pPr>
            <w:r w:rsidRPr="00C11159">
              <w:rPr>
                <w:color w:val="000000"/>
                <w:sz w:val="20"/>
                <w:szCs w:val="20"/>
              </w:rPr>
              <w:t>181.07</w:t>
            </w:r>
          </w:p>
        </w:tc>
        <w:tc>
          <w:tcPr>
            <w:tcW w:w="553" w:type="pct"/>
            <w:tcBorders>
              <w:top w:val="nil"/>
              <w:left w:val="single" w:sz="4" w:space="0" w:color="auto"/>
              <w:bottom w:val="single" w:sz="4" w:space="0" w:color="auto"/>
              <w:right w:val="single" w:sz="4" w:space="0" w:color="auto"/>
            </w:tcBorders>
            <w:noWrap/>
          </w:tcPr>
          <w:p w14:paraId="137E1DC9" w14:textId="77777777" w:rsidR="009D17B0" w:rsidRPr="00C11159" w:rsidRDefault="009D17B0" w:rsidP="009D17B0">
            <w:pPr>
              <w:jc w:val="right"/>
              <w:rPr>
                <w:sz w:val="20"/>
                <w:szCs w:val="20"/>
              </w:rPr>
            </w:pPr>
            <w:r w:rsidRPr="00C11159">
              <w:rPr>
                <w:sz w:val="20"/>
                <w:szCs w:val="20"/>
              </w:rPr>
              <w:t>118.09</w:t>
            </w:r>
          </w:p>
        </w:tc>
        <w:tc>
          <w:tcPr>
            <w:tcW w:w="553" w:type="pct"/>
            <w:tcBorders>
              <w:top w:val="single" w:sz="4" w:space="0" w:color="auto"/>
              <w:left w:val="nil"/>
              <w:bottom w:val="single" w:sz="4" w:space="0" w:color="auto"/>
              <w:right w:val="single" w:sz="4" w:space="0" w:color="auto"/>
            </w:tcBorders>
          </w:tcPr>
          <w:p w14:paraId="684966F5" w14:textId="77777777" w:rsidR="009D17B0" w:rsidRPr="00FE3307" w:rsidRDefault="009A7763" w:rsidP="009D17B0">
            <w:pPr>
              <w:jc w:val="right"/>
              <w:rPr>
                <w:color w:val="000000"/>
                <w:sz w:val="20"/>
                <w:szCs w:val="20"/>
                <w:lang w:val="en-CA"/>
              </w:rPr>
            </w:pPr>
            <w:r>
              <w:rPr>
                <w:color w:val="000000"/>
                <w:sz w:val="20"/>
                <w:szCs w:val="20"/>
                <w:lang w:val="en-CA"/>
              </w:rPr>
              <w:t>131.29</w:t>
            </w:r>
          </w:p>
        </w:tc>
        <w:tc>
          <w:tcPr>
            <w:tcW w:w="553" w:type="pct"/>
            <w:tcBorders>
              <w:top w:val="nil"/>
              <w:left w:val="single" w:sz="4" w:space="0" w:color="auto"/>
              <w:bottom w:val="single" w:sz="4" w:space="0" w:color="auto"/>
              <w:right w:val="single" w:sz="4" w:space="0" w:color="auto"/>
            </w:tcBorders>
          </w:tcPr>
          <w:p w14:paraId="62FFB505" w14:textId="77777777" w:rsidR="009D17B0" w:rsidRPr="00FE3307" w:rsidRDefault="00D83B1A" w:rsidP="009D17B0">
            <w:pPr>
              <w:jc w:val="right"/>
              <w:rPr>
                <w:sz w:val="20"/>
                <w:szCs w:val="20"/>
                <w:lang w:val="en-CA"/>
              </w:rPr>
            </w:pPr>
            <w:r>
              <w:rPr>
                <w:sz w:val="20"/>
                <w:szCs w:val="20"/>
                <w:lang w:val="en-CA"/>
              </w:rPr>
              <w:t>101.79</w:t>
            </w:r>
          </w:p>
        </w:tc>
        <w:tc>
          <w:tcPr>
            <w:tcW w:w="553" w:type="pct"/>
            <w:tcBorders>
              <w:top w:val="nil"/>
              <w:left w:val="single" w:sz="4" w:space="0" w:color="auto"/>
              <w:bottom w:val="single" w:sz="4" w:space="0" w:color="auto"/>
              <w:right w:val="single" w:sz="4" w:space="0" w:color="auto"/>
            </w:tcBorders>
            <w:shd w:val="clear" w:color="auto" w:fill="auto"/>
            <w:noWrap/>
          </w:tcPr>
          <w:p w14:paraId="06D06FDD" w14:textId="77777777" w:rsidR="009D17B0" w:rsidRPr="00C11159" w:rsidRDefault="009D17B0" w:rsidP="009D17B0">
            <w:pPr>
              <w:jc w:val="right"/>
              <w:rPr>
                <w:sz w:val="20"/>
                <w:szCs w:val="20"/>
              </w:rPr>
            </w:pPr>
            <w:r w:rsidRPr="00C11159">
              <w:rPr>
                <w:sz w:val="20"/>
                <w:szCs w:val="20"/>
              </w:rPr>
              <w:t>187.91**</w:t>
            </w:r>
          </w:p>
        </w:tc>
      </w:tr>
      <w:tr w:rsidR="009D17B0" w:rsidRPr="00FE3307" w14:paraId="10AFE5C5" w14:textId="77777777" w:rsidTr="00CE471E">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tcPr>
          <w:p w14:paraId="5588D1D6" w14:textId="77777777" w:rsidR="009D17B0" w:rsidRPr="009D17B0" w:rsidRDefault="009D17B0" w:rsidP="009D17B0">
            <w:pPr>
              <w:jc w:val="left"/>
              <w:rPr>
                <w:b/>
                <w:color w:val="000000"/>
                <w:sz w:val="20"/>
                <w:szCs w:val="20"/>
                <w:lang w:val="en-CA"/>
              </w:rPr>
            </w:pPr>
            <w:r w:rsidRPr="009D17B0">
              <w:rPr>
                <w:b/>
                <w:color w:val="000000"/>
                <w:sz w:val="20"/>
                <w:szCs w:val="20"/>
                <w:lang w:val="en-CA"/>
              </w:rPr>
              <w:t>Total (</w:t>
            </w:r>
            <w:proofErr w:type="spellStart"/>
            <w:r w:rsidRPr="009D17B0">
              <w:rPr>
                <w:b/>
                <w:color w:val="000000"/>
                <w:sz w:val="20"/>
                <w:szCs w:val="20"/>
                <w:lang w:val="en-CA"/>
              </w:rPr>
              <w:t>mt</w:t>
            </w:r>
            <w:proofErr w:type="spellEnd"/>
            <w:r w:rsidRPr="009D17B0">
              <w:rPr>
                <w:b/>
                <w:color w:val="000000"/>
                <w:sz w:val="20"/>
                <w:szCs w:val="20"/>
                <w:lang w:val="en-CA"/>
              </w:rPr>
              <w:t>)</w:t>
            </w:r>
          </w:p>
        </w:tc>
        <w:tc>
          <w:tcPr>
            <w:tcW w:w="553" w:type="pct"/>
            <w:tcBorders>
              <w:top w:val="nil"/>
              <w:left w:val="nil"/>
              <w:bottom w:val="single" w:sz="4" w:space="0" w:color="auto"/>
              <w:right w:val="single" w:sz="4" w:space="0" w:color="auto"/>
            </w:tcBorders>
            <w:shd w:val="clear" w:color="auto" w:fill="auto"/>
            <w:noWrap/>
          </w:tcPr>
          <w:p w14:paraId="7CE6EA43" w14:textId="77777777" w:rsidR="009D17B0" w:rsidRPr="00C11159" w:rsidRDefault="009D17B0" w:rsidP="009D17B0">
            <w:pPr>
              <w:jc w:val="right"/>
              <w:rPr>
                <w:b/>
                <w:color w:val="000000"/>
                <w:sz w:val="20"/>
                <w:szCs w:val="20"/>
              </w:rPr>
            </w:pPr>
            <w:r w:rsidRPr="00C11159">
              <w:rPr>
                <w:b/>
                <w:color w:val="000000"/>
                <w:sz w:val="20"/>
                <w:szCs w:val="20"/>
              </w:rPr>
              <w:t>500.34</w:t>
            </w:r>
          </w:p>
        </w:tc>
        <w:tc>
          <w:tcPr>
            <w:tcW w:w="553" w:type="pct"/>
            <w:tcBorders>
              <w:top w:val="single" w:sz="4" w:space="0" w:color="auto"/>
              <w:left w:val="nil"/>
              <w:bottom w:val="single" w:sz="4" w:space="0" w:color="auto"/>
              <w:right w:val="single" w:sz="4" w:space="0" w:color="auto"/>
            </w:tcBorders>
            <w:noWrap/>
          </w:tcPr>
          <w:p w14:paraId="41B5FF48" w14:textId="77777777" w:rsidR="009D17B0" w:rsidRPr="00C11159" w:rsidRDefault="009D17B0" w:rsidP="009D17B0">
            <w:pPr>
              <w:jc w:val="right"/>
              <w:rPr>
                <w:b/>
                <w:color w:val="000000"/>
                <w:sz w:val="20"/>
                <w:szCs w:val="20"/>
              </w:rPr>
            </w:pPr>
            <w:r w:rsidRPr="00C11159">
              <w:rPr>
                <w:b/>
                <w:color w:val="000000"/>
                <w:sz w:val="20"/>
                <w:szCs w:val="20"/>
              </w:rPr>
              <w:t>506.10</w:t>
            </w:r>
          </w:p>
        </w:tc>
        <w:tc>
          <w:tcPr>
            <w:tcW w:w="553" w:type="pct"/>
            <w:tcBorders>
              <w:top w:val="nil"/>
              <w:left w:val="single" w:sz="4" w:space="0" w:color="auto"/>
              <w:bottom w:val="single" w:sz="4" w:space="0" w:color="auto"/>
              <w:right w:val="single" w:sz="4" w:space="0" w:color="auto"/>
            </w:tcBorders>
            <w:noWrap/>
          </w:tcPr>
          <w:p w14:paraId="7E0F3934" w14:textId="77777777" w:rsidR="009D17B0" w:rsidRPr="00C11159" w:rsidRDefault="009D17B0" w:rsidP="009D17B0">
            <w:pPr>
              <w:jc w:val="right"/>
              <w:rPr>
                <w:b/>
                <w:sz w:val="20"/>
                <w:szCs w:val="20"/>
              </w:rPr>
            </w:pPr>
            <w:r w:rsidRPr="00C11159">
              <w:rPr>
                <w:b/>
                <w:sz w:val="20"/>
                <w:szCs w:val="20"/>
              </w:rPr>
              <w:t>429.38</w:t>
            </w:r>
          </w:p>
        </w:tc>
        <w:tc>
          <w:tcPr>
            <w:tcW w:w="553" w:type="pct"/>
            <w:tcBorders>
              <w:top w:val="single" w:sz="4" w:space="0" w:color="auto"/>
              <w:left w:val="nil"/>
              <w:bottom w:val="single" w:sz="4" w:space="0" w:color="auto"/>
              <w:right w:val="single" w:sz="4" w:space="0" w:color="auto"/>
            </w:tcBorders>
          </w:tcPr>
          <w:p w14:paraId="29128E1B" w14:textId="77777777" w:rsidR="009D17B0" w:rsidRPr="009A7763" w:rsidRDefault="009A7763" w:rsidP="009D17B0">
            <w:pPr>
              <w:jc w:val="right"/>
              <w:rPr>
                <w:b/>
                <w:color w:val="000000"/>
                <w:sz w:val="20"/>
                <w:szCs w:val="20"/>
                <w:lang w:val="en-CA"/>
              </w:rPr>
            </w:pPr>
            <w:r w:rsidRPr="009A7763">
              <w:rPr>
                <w:b/>
                <w:color w:val="000000"/>
                <w:sz w:val="20"/>
                <w:szCs w:val="20"/>
                <w:lang w:val="en-CA"/>
              </w:rPr>
              <w:t>393.76</w:t>
            </w:r>
          </w:p>
        </w:tc>
        <w:tc>
          <w:tcPr>
            <w:tcW w:w="553" w:type="pct"/>
            <w:tcBorders>
              <w:top w:val="nil"/>
              <w:left w:val="single" w:sz="4" w:space="0" w:color="auto"/>
              <w:bottom w:val="single" w:sz="4" w:space="0" w:color="auto"/>
              <w:right w:val="single" w:sz="4" w:space="0" w:color="auto"/>
            </w:tcBorders>
          </w:tcPr>
          <w:p w14:paraId="47E2725B" w14:textId="77777777" w:rsidR="009D17B0" w:rsidRPr="00295BC4" w:rsidRDefault="00D83B1A" w:rsidP="009D17B0">
            <w:pPr>
              <w:jc w:val="right"/>
              <w:rPr>
                <w:b/>
                <w:sz w:val="20"/>
                <w:szCs w:val="20"/>
                <w:lang w:val="en-CA"/>
              </w:rPr>
            </w:pPr>
            <w:r>
              <w:rPr>
                <w:b/>
                <w:sz w:val="20"/>
                <w:szCs w:val="20"/>
                <w:lang w:val="en-CA"/>
              </w:rPr>
              <w:t>350.17</w:t>
            </w:r>
          </w:p>
        </w:tc>
        <w:tc>
          <w:tcPr>
            <w:tcW w:w="553" w:type="pct"/>
            <w:tcBorders>
              <w:top w:val="nil"/>
              <w:left w:val="single" w:sz="4" w:space="0" w:color="auto"/>
              <w:bottom w:val="single" w:sz="4" w:space="0" w:color="auto"/>
              <w:right w:val="single" w:sz="4" w:space="0" w:color="auto"/>
            </w:tcBorders>
            <w:shd w:val="clear" w:color="auto" w:fill="auto"/>
            <w:noWrap/>
          </w:tcPr>
          <w:p w14:paraId="5549F103" w14:textId="77777777" w:rsidR="009D17B0" w:rsidRPr="00295BC4" w:rsidRDefault="009D17B0" w:rsidP="009D17B0">
            <w:pPr>
              <w:jc w:val="right"/>
              <w:rPr>
                <w:b/>
                <w:sz w:val="20"/>
                <w:szCs w:val="20"/>
              </w:rPr>
            </w:pPr>
            <w:r w:rsidRPr="00295BC4">
              <w:rPr>
                <w:b/>
                <w:sz w:val="20"/>
                <w:szCs w:val="20"/>
              </w:rPr>
              <w:t>615.64</w:t>
            </w:r>
          </w:p>
        </w:tc>
      </w:tr>
      <w:tr w:rsidR="00D27F9D" w:rsidRPr="00FE3307" w14:paraId="6B977729" w14:textId="77777777" w:rsidTr="00D27F9D">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54A39C7" w14:textId="394C416E" w:rsidR="00D27F9D" w:rsidRPr="00C11159" w:rsidRDefault="00D27F9D" w:rsidP="00D27F9D">
            <w:pPr>
              <w:widowControl w:val="0"/>
              <w:jc w:val="left"/>
              <w:rPr>
                <w:color w:val="000000"/>
                <w:sz w:val="20"/>
                <w:szCs w:val="20"/>
              </w:rPr>
            </w:pPr>
            <w:r w:rsidRPr="00FE3307">
              <w:rPr>
                <w:b/>
                <w:bCs/>
                <w:color w:val="000000"/>
                <w:sz w:val="20"/>
                <w:szCs w:val="20"/>
                <w:lang w:val="en-CA"/>
              </w:rPr>
              <w:t>ODP tonnes</w:t>
            </w:r>
          </w:p>
        </w:tc>
      </w:tr>
      <w:tr w:rsidR="009D17B0" w:rsidRPr="00FE3307" w14:paraId="2FB8533E" w14:textId="77777777" w:rsidTr="00CE471E">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CC34101" w14:textId="77777777" w:rsidR="009D17B0" w:rsidRPr="00FE3307" w:rsidRDefault="009D17B0" w:rsidP="009D17B0">
            <w:pPr>
              <w:widowControl w:val="0"/>
              <w:jc w:val="left"/>
              <w:rPr>
                <w:color w:val="000000"/>
                <w:sz w:val="20"/>
                <w:szCs w:val="20"/>
                <w:lang w:val="en-CA"/>
              </w:rPr>
            </w:pPr>
            <w:r w:rsidRPr="00FE3307">
              <w:rPr>
                <w:color w:val="000000"/>
                <w:sz w:val="20"/>
                <w:szCs w:val="20"/>
                <w:lang w:val="en-CA"/>
              </w:rPr>
              <w:t>HCFC-22</w:t>
            </w:r>
          </w:p>
        </w:tc>
        <w:tc>
          <w:tcPr>
            <w:tcW w:w="553" w:type="pct"/>
            <w:tcBorders>
              <w:top w:val="single" w:sz="4" w:space="0" w:color="auto"/>
              <w:left w:val="single" w:sz="4" w:space="0" w:color="auto"/>
              <w:bottom w:val="single" w:sz="4" w:space="0" w:color="auto"/>
              <w:right w:val="single" w:sz="4" w:space="0" w:color="auto"/>
            </w:tcBorders>
            <w:shd w:val="clear" w:color="auto" w:fill="auto"/>
            <w:noWrap/>
          </w:tcPr>
          <w:p w14:paraId="59A1866C" w14:textId="77777777" w:rsidR="009D17B0" w:rsidRPr="00C11159" w:rsidRDefault="009D17B0" w:rsidP="009D17B0">
            <w:pPr>
              <w:jc w:val="right"/>
              <w:rPr>
                <w:sz w:val="20"/>
                <w:szCs w:val="20"/>
              </w:rPr>
            </w:pPr>
            <w:r w:rsidRPr="00C11159">
              <w:rPr>
                <w:sz w:val="20"/>
                <w:szCs w:val="20"/>
              </w:rPr>
              <w:t>19.09</w:t>
            </w:r>
          </w:p>
        </w:tc>
        <w:tc>
          <w:tcPr>
            <w:tcW w:w="553" w:type="pct"/>
            <w:tcBorders>
              <w:top w:val="single" w:sz="4" w:space="0" w:color="auto"/>
              <w:left w:val="single" w:sz="4" w:space="0" w:color="auto"/>
              <w:bottom w:val="single" w:sz="4" w:space="0" w:color="auto"/>
              <w:right w:val="single" w:sz="4" w:space="0" w:color="auto"/>
            </w:tcBorders>
            <w:noWrap/>
          </w:tcPr>
          <w:p w14:paraId="24AECCE1" w14:textId="77777777" w:rsidR="009D17B0" w:rsidRPr="00C11159" w:rsidRDefault="009D17B0" w:rsidP="009D17B0">
            <w:pPr>
              <w:widowControl w:val="0"/>
              <w:jc w:val="right"/>
              <w:rPr>
                <w:color w:val="000000"/>
                <w:sz w:val="20"/>
                <w:szCs w:val="20"/>
              </w:rPr>
            </w:pPr>
            <w:r w:rsidRPr="00C11159">
              <w:rPr>
                <w:color w:val="000000"/>
                <w:sz w:val="20"/>
                <w:szCs w:val="20"/>
              </w:rPr>
              <w:t>17.06</w:t>
            </w:r>
          </w:p>
        </w:tc>
        <w:tc>
          <w:tcPr>
            <w:tcW w:w="553" w:type="pct"/>
            <w:tcBorders>
              <w:top w:val="single" w:sz="4" w:space="0" w:color="auto"/>
              <w:left w:val="single" w:sz="4" w:space="0" w:color="auto"/>
              <w:bottom w:val="single" w:sz="4" w:space="0" w:color="auto"/>
              <w:right w:val="single" w:sz="4" w:space="0" w:color="auto"/>
            </w:tcBorders>
            <w:noWrap/>
          </w:tcPr>
          <w:p w14:paraId="60F69FF0" w14:textId="77777777" w:rsidR="009D17B0" w:rsidRPr="00C11159" w:rsidRDefault="009D17B0" w:rsidP="009D17B0">
            <w:pPr>
              <w:widowControl w:val="0"/>
              <w:jc w:val="right"/>
              <w:rPr>
                <w:color w:val="000000"/>
                <w:sz w:val="20"/>
                <w:szCs w:val="20"/>
              </w:rPr>
            </w:pPr>
            <w:r w:rsidRPr="00C11159">
              <w:rPr>
                <w:color w:val="000000"/>
                <w:sz w:val="20"/>
                <w:szCs w:val="20"/>
              </w:rPr>
              <w:t>15.89</w:t>
            </w:r>
          </w:p>
        </w:tc>
        <w:tc>
          <w:tcPr>
            <w:tcW w:w="553" w:type="pct"/>
            <w:tcBorders>
              <w:top w:val="single" w:sz="4" w:space="0" w:color="auto"/>
              <w:left w:val="single" w:sz="4" w:space="0" w:color="auto"/>
              <w:bottom w:val="single" w:sz="4" w:space="0" w:color="auto"/>
              <w:right w:val="single" w:sz="4" w:space="0" w:color="auto"/>
            </w:tcBorders>
          </w:tcPr>
          <w:p w14:paraId="7062AFF9" w14:textId="41FD7D8D" w:rsidR="009D17B0" w:rsidRPr="00FE3307" w:rsidRDefault="009A7763">
            <w:pPr>
              <w:widowControl w:val="0"/>
              <w:jc w:val="right"/>
              <w:rPr>
                <w:color w:val="000000"/>
                <w:sz w:val="20"/>
                <w:szCs w:val="20"/>
                <w:lang w:val="en-CA"/>
              </w:rPr>
            </w:pPr>
            <w:r>
              <w:rPr>
                <w:color w:val="000000"/>
                <w:sz w:val="20"/>
                <w:szCs w:val="20"/>
                <w:lang w:val="en-CA"/>
              </w:rPr>
              <w:t>13.</w:t>
            </w:r>
            <w:r w:rsidR="005C2FD8">
              <w:rPr>
                <w:color w:val="000000"/>
                <w:sz w:val="20"/>
                <w:szCs w:val="20"/>
                <w:lang w:val="en-CA"/>
              </w:rPr>
              <w:t>37</w:t>
            </w:r>
          </w:p>
        </w:tc>
        <w:tc>
          <w:tcPr>
            <w:tcW w:w="553" w:type="pct"/>
            <w:tcBorders>
              <w:top w:val="single" w:sz="4" w:space="0" w:color="auto"/>
              <w:left w:val="single" w:sz="4" w:space="0" w:color="auto"/>
              <w:bottom w:val="single" w:sz="4" w:space="0" w:color="auto"/>
              <w:right w:val="single" w:sz="4" w:space="0" w:color="auto"/>
            </w:tcBorders>
          </w:tcPr>
          <w:p w14:paraId="1505D1FB" w14:textId="1B8F3C94" w:rsidR="009D17B0" w:rsidRPr="009037D6" w:rsidRDefault="009037D6">
            <w:pPr>
              <w:widowControl w:val="0"/>
              <w:jc w:val="right"/>
              <w:rPr>
                <w:color w:val="000000"/>
                <w:sz w:val="20"/>
                <w:szCs w:val="20"/>
                <w:lang w:val="en-CA"/>
              </w:rPr>
            </w:pPr>
            <w:r w:rsidRPr="009037D6">
              <w:rPr>
                <w:color w:val="000000"/>
                <w:sz w:val="20"/>
                <w:szCs w:val="20"/>
                <w:lang w:val="en-CA"/>
              </w:rPr>
              <w:t>13.2</w:t>
            </w:r>
            <w:r w:rsidR="00AD21F1">
              <w:rPr>
                <w:color w:val="000000"/>
                <w:sz w:val="20"/>
                <w:szCs w:val="20"/>
                <w:lang w:val="en-CA"/>
              </w:rPr>
              <w:t>7</w:t>
            </w:r>
          </w:p>
        </w:tc>
        <w:tc>
          <w:tcPr>
            <w:tcW w:w="553" w:type="pct"/>
            <w:tcBorders>
              <w:top w:val="single" w:sz="4" w:space="0" w:color="auto"/>
              <w:left w:val="single" w:sz="4" w:space="0" w:color="auto"/>
              <w:bottom w:val="single" w:sz="4" w:space="0" w:color="auto"/>
              <w:right w:val="single" w:sz="4" w:space="0" w:color="auto"/>
            </w:tcBorders>
            <w:shd w:val="clear" w:color="auto" w:fill="auto"/>
            <w:noWrap/>
          </w:tcPr>
          <w:p w14:paraId="1B553AAA" w14:textId="77777777" w:rsidR="009D17B0" w:rsidRPr="00C11159" w:rsidRDefault="009D17B0" w:rsidP="009D17B0">
            <w:pPr>
              <w:jc w:val="right"/>
              <w:rPr>
                <w:sz w:val="20"/>
                <w:szCs w:val="20"/>
              </w:rPr>
            </w:pPr>
            <w:r w:rsidRPr="00C11159">
              <w:rPr>
                <w:sz w:val="20"/>
                <w:szCs w:val="20"/>
              </w:rPr>
              <w:t>21.02</w:t>
            </w:r>
          </w:p>
        </w:tc>
      </w:tr>
      <w:tr w:rsidR="009D17B0" w:rsidRPr="00FE3307" w14:paraId="0F04D52F" w14:textId="77777777" w:rsidTr="00CE471E">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D5E2FF0" w14:textId="77777777" w:rsidR="009D17B0" w:rsidRPr="00FE3307" w:rsidRDefault="009D17B0" w:rsidP="009D17B0">
            <w:pPr>
              <w:widowControl w:val="0"/>
              <w:jc w:val="left"/>
              <w:rPr>
                <w:color w:val="000000"/>
                <w:sz w:val="20"/>
                <w:szCs w:val="20"/>
                <w:lang w:val="en-CA"/>
              </w:rPr>
            </w:pPr>
            <w:r w:rsidRPr="00FE3307">
              <w:rPr>
                <w:color w:val="000000"/>
                <w:sz w:val="20"/>
                <w:szCs w:val="20"/>
                <w:lang w:val="en-CA"/>
              </w:rPr>
              <w:t>HCFC-123</w:t>
            </w:r>
          </w:p>
        </w:tc>
        <w:tc>
          <w:tcPr>
            <w:tcW w:w="553" w:type="pct"/>
            <w:tcBorders>
              <w:top w:val="single" w:sz="4" w:space="0" w:color="auto"/>
              <w:left w:val="single" w:sz="4" w:space="0" w:color="auto"/>
              <w:bottom w:val="single" w:sz="4" w:space="0" w:color="auto"/>
              <w:right w:val="single" w:sz="4" w:space="0" w:color="auto"/>
            </w:tcBorders>
            <w:shd w:val="clear" w:color="auto" w:fill="auto"/>
            <w:noWrap/>
          </w:tcPr>
          <w:p w14:paraId="3161EFCB" w14:textId="77777777" w:rsidR="009D17B0" w:rsidRPr="00C11159" w:rsidRDefault="009D17B0" w:rsidP="009D17B0">
            <w:pPr>
              <w:jc w:val="right"/>
              <w:rPr>
                <w:sz w:val="20"/>
                <w:szCs w:val="20"/>
              </w:rPr>
            </w:pPr>
            <w:r w:rsidRPr="00C11159">
              <w:rPr>
                <w:sz w:val="20"/>
                <w:szCs w:val="20"/>
              </w:rPr>
              <w:t>0.03</w:t>
            </w:r>
          </w:p>
        </w:tc>
        <w:tc>
          <w:tcPr>
            <w:tcW w:w="553" w:type="pct"/>
            <w:tcBorders>
              <w:top w:val="single" w:sz="4" w:space="0" w:color="auto"/>
              <w:left w:val="single" w:sz="4" w:space="0" w:color="auto"/>
              <w:bottom w:val="single" w:sz="4" w:space="0" w:color="auto"/>
              <w:right w:val="single" w:sz="4" w:space="0" w:color="auto"/>
            </w:tcBorders>
            <w:noWrap/>
          </w:tcPr>
          <w:p w14:paraId="1538FDEA" w14:textId="77777777" w:rsidR="009D17B0" w:rsidRPr="00C11159" w:rsidRDefault="009D17B0" w:rsidP="009D17B0">
            <w:pPr>
              <w:widowControl w:val="0"/>
              <w:jc w:val="right"/>
              <w:rPr>
                <w:color w:val="000000"/>
                <w:sz w:val="20"/>
                <w:szCs w:val="20"/>
              </w:rPr>
            </w:pPr>
            <w:r w:rsidRPr="00C11159">
              <w:rPr>
                <w:color w:val="000000"/>
                <w:sz w:val="20"/>
                <w:szCs w:val="20"/>
              </w:rPr>
              <w:t>0.09</w:t>
            </w:r>
          </w:p>
        </w:tc>
        <w:tc>
          <w:tcPr>
            <w:tcW w:w="553" w:type="pct"/>
            <w:tcBorders>
              <w:top w:val="single" w:sz="4" w:space="0" w:color="auto"/>
              <w:left w:val="single" w:sz="4" w:space="0" w:color="auto"/>
              <w:bottom w:val="single" w:sz="4" w:space="0" w:color="auto"/>
              <w:right w:val="single" w:sz="4" w:space="0" w:color="auto"/>
            </w:tcBorders>
            <w:noWrap/>
          </w:tcPr>
          <w:p w14:paraId="4671B234" w14:textId="77777777" w:rsidR="009D17B0" w:rsidRPr="00C11159" w:rsidRDefault="009D17B0" w:rsidP="009D17B0">
            <w:pPr>
              <w:widowControl w:val="0"/>
              <w:jc w:val="right"/>
              <w:rPr>
                <w:color w:val="000000"/>
                <w:sz w:val="20"/>
                <w:szCs w:val="20"/>
              </w:rPr>
            </w:pPr>
            <w:r w:rsidRPr="00C11159">
              <w:rPr>
                <w:color w:val="000000"/>
                <w:sz w:val="20"/>
                <w:szCs w:val="20"/>
              </w:rPr>
              <w:t>0.03</w:t>
            </w:r>
          </w:p>
        </w:tc>
        <w:tc>
          <w:tcPr>
            <w:tcW w:w="553" w:type="pct"/>
            <w:tcBorders>
              <w:top w:val="single" w:sz="4" w:space="0" w:color="auto"/>
              <w:left w:val="single" w:sz="4" w:space="0" w:color="auto"/>
              <w:bottom w:val="single" w:sz="4" w:space="0" w:color="auto"/>
              <w:right w:val="single" w:sz="4" w:space="0" w:color="auto"/>
            </w:tcBorders>
          </w:tcPr>
          <w:p w14:paraId="12CE5793" w14:textId="77777777" w:rsidR="009D17B0" w:rsidRPr="00FE3307" w:rsidRDefault="009A7763" w:rsidP="009D17B0">
            <w:pPr>
              <w:widowControl w:val="0"/>
              <w:jc w:val="right"/>
              <w:rPr>
                <w:color w:val="000000"/>
                <w:sz w:val="20"/>
                <w:szCs w:val="20"/>
                <w:lang w:val="en-CA"/>
              </w:rPr>
            </w:pPr>
            <w:r>
              <w:rPr>
                <w:color w:val="000000"/>
                <w:sz w:val="20"/>
                <w:szCs w:val="20"/>
                <w:lang w:val="en-CA"/>
              </w:rPr>
              <w:t>0.00</w:t>
            </w:r>
          </w:p>
        </w:tc>
        <w:tc>
          <w:tcPr>
            <w:tcW w:w="553" w:type="pct"/>
            <w:tcBorders>
              <w:top w:val="single" w:sz="4" w:space="0" w:color="auto"/>
              <w:left w:val="single" w:sz="4" w:space="0" w:color="auto"/>
              <w:bottom w:val="single" w:sz="4" w:space="0" w:color="auto"/>
              <w:right w:val="single" w:sz="4" w:space="0" w:color="auto"/>
            </w:tcBorders>
          </w:tcPr>
          <w:p w14:paraId="11025E59" w14:textId="1EA09454" w:rsidR="009D17B0" w:rsidRPr="009037D6" w:rsidRDefault="009037D6" w:rsidP="005C73EE">
            <w:pPr>
              <w:widowControl w:val="0"/>
              <w:jc w:val="right"/>
              <w:rPr>
                <w:color w:val="000000"/>
                <w:sz w:val="20"/>
                <w:szCs w:val="20"/>
                <w:lang w:val="en-CA"/>
              </w:rPr>
            </w:pPr>
            <w:r w:rsidRPr="009037D6">
              <w:rPr>
                <w:color w:val="000000"/>
                <w:sz w:val="20"/>
                <w:szCs w:val="20"/>
                <w:lang w:val="en-CA"/>
              </w:rPr>
              <w:t>0.</w:t>
            </w:r>
            <w:r w:rsidR="005C73EE">
              <w:rPr>
                <w:color w:val="000000"/>
                <w:sz w:val="20"/>
                <w:szCs w:val="20"/>
                <w:lang w:val="en-CA"/>
              </w:rPr>
              <w:t>01</w:t>
            </w:r>
          </w:p>
        </w:tc>
        <w:tc>
          <w:tcPr>
            <w:tcW w:w="553" w:type="pct"/>
            <w:tcBorders>
              <w:top w:val="single" w:sz="4" w:space="0" w:color="auto"/>
              <w:left w:val="single" w:sz="4" w:space="0" w:color="auto"/>
              <w:bottom w:val="single" w:sz="4" w:space="0" w:color="auto"/>
              <w:right w:val="single" w:sz="4" w:space="0" w:color="auto"/>
            </w:tcBorders>
            <w:shd w:val="clear" w:color="auto" w:fill="auto"/>
            <w:noWrap/>
          </w:tcPr>
          <w:p w14:paraId="22EA3BCC" w14:textId="77777777" w:rsidR="009D17B0" w:rsidRPr="00C11159" w:rsidRDefault="009D17B0" w:rsidP="009D17B0">
            <w:pPr>
              <w:jc w:val="right"/>
              <w:rPr>
                <w:sz w:val="20"/>
                <w:szCs w:val="20"/>
              </w:rPr>
            </w:pPr>
            <w:r w:rsidRPr="00C11159">
              <w:rPr>
                <w:sz w:val="20"/>
                <w:szCs w:val="20"/>
              </w:rPr>
              <w:t>0.18</w:t>
            </w:r>
          </w:p>
        </w:tc>
      </w:tr>
      <w:tr w:rsidR="009D17B0" w:rsidRPr="00FE3307" w14:paraId="1EA5CAB5" w14:textId="77777777" w:rsidTr="00CE471E">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77317E8" w14:textId="77777777" w:rsidR="009D17B0" w:rsidRPr="00FE3307" w:rsidRDefault="009D17B0" w:rsidP="009D17B0">
            <w:pPr>
              <w:widowControl w:val="0"/>
              <w:jc w:val="left"/>
              <w:rPr>
                <w:color w:val="000000"/>
                <w:sz w:val="20"/>
                <w:szCs w:val="20"/>
                <w:lang w:val="en-CA"/>
              </w:rPr>
            </w:pPr>
            <w:r w:rsidRPr="00FE3307">
              <w:rPr>
                <w:color w:val="000000"/>
                <w:sz w:val="20"/>
                <w:szCs w:val="20"/>
                <w:lang w:val="en-CA"/>
              </w:rPr>
              <w:t>HCFC-124</w:t>
            </w:r>
          </w:p>
        </w:tc>
        <w:tc>
          <w:tcPr>
            <w:tcW w:w="553" w:type="pct"/>
            <w:tcBorders>
              <w:top w:val="single" w:sz="4" w:space="0" w:color="auto"/>
              <w:left w:val="single" w:sz="4" w:space="0" w:color="auto"/>
              <w:bottom w:val="single" w:sz="4" w:space="0" w:color="auto"/>
              <w:right w:val="single" w:sz="4" w:space="0" w:color="auto"/>
            </w:tcBorders>
            <w:shd w:val="clear" w:color="auto" w:fill="auto"/>
            <w:noWrap/>
          </w:tcPr>
          <w:p w14:paraId="25690316" w14:textId="77777777" w:rsidR="009D17B0" w:rsidRPr="00C11159" w:rsidRDefault="009D17B0" w:rsidP="009D17B0">
            <w:pPr>
              <w:jc w:val="right"/>
              <w:rPr>
                <w:sz w:val="20"/>
                <w:szCs w:val="20"/>
              </w:rPr>
            </w:pPr>
            <w:r w:rsidRPr="00C11159">
              <w:rPr>
                <w:sz w:val="20"/>
                <w:szCs w:val="20"/>
              </w:rPr>
              <w:t>0.01</w:t>
            </w:r>
          </w:p>
        </w:tc>
        <w:tc>
          <w:tcPr>
            <w:tcW w:w="553" w:type="pct"/>
            <w:tcBorders>
              <w:top w:val="single" w:sz="4" w:space="0" w:color="auto"/>
              <w:left w:val="single" w:sz="4" w:space="0" w:color="auto"/>
              <w:bottom w:val="single" w:sz="4" w:space="0" w:color="auto"/>
              <w:right w:val="single" w:sz="4" w:space="0" w:color="auto"/>
            </w:tcBorders>
            <w:noWrap/>
          </w:tcPr>
          <w:p w14:paraId="48A83ABC" w14:textId="77777777" w:rsidR="009D17B0" w:rsidRPr="00C11159" w:rsidRDefault="009D17B0" w:rsidP="009D17B0">
            <w:pPr>
              <w:widowControl w:val="0"/>
              <w:jc w:val="right"/>
              <w:rPr>
                <w:color w:val="000000"/>
                <w:sz w:val="20"/>
                <w:szCs w:val="20"/>
              </w:rPr>
            </w:pPr>
            <w:r w:rsidRPr="00C11159">
              <w:rPr>
                <w:color w:val="000000"/>
                <w:sz w:val="20"/>
                <w:szCs w:val="20"/>
              </w:rPr>
              <w:t>0.01</w:t>
            </w:r>
          </w:p>
        </w:tc>
        <w:tc>
          <w:tcPr>
            <w:tcW w:w="553" w:type="pct"/>
            <w:tcBorders>
              <w:top w:val="single" w:sz="4" w:space="0" w:color="auto"/>
              <w:left w:val="single" w:sz="4" w:space="0" w:color="auto"/>
              <w:bottom w:val="single" w:sz="4" w:space="0" w:color="auto"/>
              <w:right w:val="single" w:sz="4" w:space="0" w:color="auto"/>
            </w:tcBorders>
            <w:noWrap/>
          </w:tcPr>
          <w:p w14:paraId="78E20CAB" w14:textId="77777777" w:rsidR="009D17B0" w:rsidRPr="00C11159" w:rsidRDefault="009D17B0" w:rsidP="009D17B0">
            <w:pPr>
              <w:widowControl w:val="0"/>
              <w:jc w:val="right"/>
              <w:rPr>
                <w:color w:val="000000"/>
                <w:sz w:val="20"/>
                <w:szCs w:val="20"/>
              </w:rPr>
            </w:pPr>
            <w:r w:rsidRPr="00C11159">
              <w:rPr>
                <w:color w:val="000000"/>
                <w:sz w:val="20"/>
                <w:szCs w:val="20"/>
              </w:rPr>
              <w:t>0.01</w:t>
            </w:r>
          </w:p>
        </w:tc>
        <w:tc>
          <w:tcPr>
            <w:tcW w:w="553" w:type="pct"/>
            <w:tcBorders>
              <w:top w:val="single" w:sz="4" w:space="0" w:color="auto"/>
              <w:left w:val="single" w:sz="4" w:space="0" w:color="auto"/>
              <w:bottom w:val="single" w:sz="4" w:space="0" w:color="auto"/>
              <w:right w:val="single" w:sz="4" w:space="0" w:color="auto"/>
            </w:tcBorders>
          </w:tcPr>
          <w:p w14:paraId="130CFC2D" w14:textId="77777777" w:rsidR="009D17B0" w:rsidRPr="00FE3307" w:rsidRDefault="009A7763" w:rsidP="009D17B0">
            <w:pPr>
              <w:widowControl w:val="0"/>
              <w:jc w:val="right"/>
              <w:rPr>
                <w:color w:val="000000"/>
                <w:sz w:val="20"/>
                <w:szCs w:val="20"/>
                <w:lang w:val="en-CA"/>
              </w:rPr>
            </w:pPr>
            <w:r>
              <w:rPr>
                <w:color w:val="000000"/>
                <w:sz w:val="20"/>
                <w:szCs w:val="20"/>
                <w:lang w:val="en-CA"/>
              </w:rPr>
              <w:t>0.01</w:t>
            </w:r>
          </w:p>
        </w:tc>
        <w:tc>
          <w:tcPr>
            <w:tcW w:w="553" w:type="pct"/>
            <w:tcBorders>
              <w:top w:val="single" w:sz="4" w:space="0" w:color="auto"/>
              <w:left w:val="single" w:sz="4" w:space="0" w:color="auto"/>
              <w:bottom w:val="single" w:sz="4" w:space="0" w:color="auto"/>
              <w:right w:val="single" w:sz="4" w:space="0" w:color="auto"/>
            </w:tcBorders>
          </w:tcPr>
          <w:p w14:paraId="74330E28" w14:textId="77777777" w:rsidR="009D17B0" w:rsidRPr="009037D6" w:rsidRDefault="009037D6" w:rsidP="009D17B0">
            <w:pPr>
              <w:widowControl w:val="0"/>
              <w:jc w:val="right"/>
              <w:rPr>
                <w:color w:val="000000"/>
                <w:sz w:val="20"/>
                <w:szCs w:val="20"/>
                <w:lang w:val="en-CA"/>
              </w:rPr>
            </w:pPr>
            <w:r w:rsidRPr="009037D6">
              <w:rPr>
                <w:color w:val="000000"/>
                <w:sz w:val="20"/>
                <w:szCs w:val="20"/>
                <w:lang w:val="en-CA"/>
              </w:rPr>
              <w:t>0.00</w:t>
            </w:r>
          </w:p>
        </w:tc>
        <w:tc>
          <w:tcPr>
            <w:tcW w:w="553" w:type="pct"/>
            <w:tcBorders>
              <w:top w:val="single" w:sz="4" w:space="0" w:color="auto"/>
              <w:left w:val="single" w:sz="4" w:space="0" w:color="auto"/>
              <w:bottom w:val="single" w:sz="4" w:space="0" w:color="auto"/>
              <w:right w:val="single" w:sz="4" w:space="0" w:color="auto"/>
            </w:tcBorders>
            <w:shd w:val="clear" w:color="auto" w:fill="auto"/>
            <w:noWrap/>
          </w:tcPr>
          <w:p w14:paraId="65B2FD21" w14:textId="77777777" w:rsidR="009D17B0" w:rsidRPr="00C11159" w:rsidRDefault="009D17B0" w:rsidP="009D17B0">
            <w:pPr>
              <w:jc w:val="right"/>
              <w:rPr>
                <w:sz w:val="20"/>
                <w:szCs w:val="20"/>
              </w:rPr>
            </w:pPr>
            <w:r w:rsidRPr="00C11159">
              <w:rPr>
                <w:sz w:val="20"/>
                <w:szCs w:val="20"/>
              </w:rPr>
              <w:t>0.22</w:t>
            </w:r>
          </w:p>
        </w:tc>
      </w:tr>
      <w:tr w:rsidR="009D17B0" w:rsidRPr="00FE3307" w14:paraId="587E7AB8" w14:textId="77777777" w:rsidTr="00CE471E">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95E54EC" w14:textId="77777777" w:rsidR="009D17B0" w:rsidRPr="00FE3307" w:rsidRDefault="009D17B0" w:rsidP="009D17B0">
            <w:pPr>
              <w:widowControl w:val="0"/>
              <w:jc w:val="left"/>
              <w:rPr>
                <w:color w:val="000000"/>
                <w:sz w:val="20"/>
                <w:szCs w:val="20"/>
                <w:lang w:val="en-CA"/>
              </w:rPr>
            </w:pPr>
            <w:r w:rsidRPr="00FE3307">
              <w:rPr>
                <w:color w:val="000000"/>
                <w:sz w:val="20"/>
                <w:szCs w:val="20"/>
                <w:lang w:val="en-CA"/>
              </w:rPr>
              <w:t>HCFC-141b</w:t>
            </w:r>
          </w:p>
        </w:tc>
        <w:tc>
          <w:tcPr>
            <w:tcW w:w="553" w:type="pct"/>
            <w:tcBorders>
              <w:top w:val="single" w:sz="4" w:space="0" w:color="auto"/>
              <w:left w:val="single" w:sz="4" w:space="0" w:color="auto"/>
              <w:bottom w:val="single" w:sz="4" w:space="0" w:color="auto"/>
              <w:right w:val="single" w:sz="4" w:space="0" w:color="auto"/>
            </w:tcBorders>
            <w:shd w:val="clear" w:color="auto" w:fill="auto"/>
            <w:noWrap/>
          </w:tcPr>
          <w:p w14:paraId="12ECD367" w14:textId="77777777" w:rsidR="009D17B0" w:rsidRPr="00C11159" w:rsidRDefault="009D17B0" w:rsidP="009D17B0">
            <w:pPr>
              <w:jc w:val="right"/>
              <w:rPr>
                <w:sz w:val="20"/>
                <w:szCs w:val="20"/>
              </w:rPr>
            </w:pPr>
            <w:r w:rsidRPr="00C11159">
              <w:rPr>
                <w:sz w:val="20"/>
                <w:szCs w:val="20"/>
              </w:rPr>
              <w:t>0.96</w:t>
            </w:r>
          </w:p>
        </w:tc>
        <w:tc>
          <w:tcPr>
            <w:tcW w:w="553" w:type="pct"/>
            <w:tcBorders>
              <w:top w:val="single" w:sz="4" w:space="0" w:color="auto"/>
              <w:left w:val="single" w:sz="4" w:space="0" w:color="auto"/>
              <w:bottom w:val="single" w:sz="4" w:space="0" w:color="auto"/>
              <w:right w:val="single" w:sz="4" w:space="0" w:color="auto"/>
            </w:tcBorders>
            <w:noWrap/>
          </w:tcPr>
          <w:p w14:paraId="2276DEF3" w14:textId="77777777" w:rsidR="009D17B0" w:rsidRPr="00C11159" w:rsidRDefault="009D17B0" w:rsidP="009D17B0">
            <w:pPr>
              <w:widowControl w:val="0"/>
              <w:jc w:val="right"/>
              <w:rPr>
                <w:color w:val="000000"/>
                <w:sz w:val="20"/>
                <w:szCs w:val="20"/>
              </w:rPr>
            </w:pPr>
            <w:r w:rsidRPr="00C11159">
              <w:rPr>
                <w:color w:val="000000"/>
                <w:sz w:val="20"/>
                <w:szCs w:val="20"/>
              </w:rPr>
              <w:t>1.09</w:t>
            </w:r>
          </w:p>
        </w:tc>
        <w:tc>
          <w:tcPr>
            <w:tcW w:w="553" w:type="pct"/>
            <w:tcBorders>
              <w:top w:val="single" w:sz="4" w:space="0" w:color="auto"/>
              <w:left w:val="single" w:sz="4" w:space="0" w:color="auto"/>
              <w:bottom w:val="single" w:sz="4" w:space="0" w:color="auto"/>
              <w:right w:val="single" w:sz="4" w:space="0" w:color="auto"/>
            </w:tcBorders>
            <w:noWrap/>
          </w:tcPr>
          <w:p w14:paraId="4553E386" w14:textId="77777777" w:rsidR="009D17B0" w:rsidRPr="00C11159" w:rsidRDefault="009D17B0" w:rsidP="009D17B0">
            <w:pPr>
              <w:widowControl w:val="0"/>
              <w:jc w:val="right"/>
              <w:rPr>
                <w:color w:val="000000"/>
                <w:sz w:val="20"/>
                <w:szCs w:val="20"/>
              </w:rPr>
            </w:pPr>
            <w:r w:rsidRPr="00C11159">
              <w:rPr>
                <w:color w:val="000000"/>
                <w:sz w:val="20"/>
                <w:szCs w:val="20"/>
              </w:rPr>
              <w:t>2.17</w:t>
            </w:r>
          </w:p>
        </w:tc>
        <w:tc>
          <w:tcPr>
            <w:tcW w:w="553" w:type="pct"/>
            <w:tcBorders>
              <w:top w:val="single" w:sz="4" w:space="0" w:color="auto"/>
              <w:left w:val="single" w:sz="4" w:space="0" w:color="auto"/>
              <w:bottom w:val="single" w:sz="4" w:space="0" w:color="auto"/>
              <w:right w:val="single" w:sz="4" w:space="0" w:color="auto"/>
            </w:tcBorders>
          </w:tcPr>
          <w:p w14:paraId="3E4C5DF4" w14:textId="77777777" w:rsidR="009D17B0" w:rsidRPr="00FE3307" w:rsidRDefault="009A7763" w:rsidP="009D17B0">
            <w:pPr>
              <w:widowControl w:val="0"/>
              <w:jc w:val="right"/>
              <w:rPr>
                <w:color w:val="000000"/>
                <w:sz w:val="20"/>
                <w:szCs w:val="20"/>
                <w:lang w:val="en-CA"/>
              </w:rPr>
            </w:pPr>
            <w:r>
              <w:rPr>
                <w:color w:val="000000"/>
                <w:sz w:val="20"/>
                <w:szCs w:val="20"/>
                <w:lang w:val="en-CA"/>
              </w:rPr>
              <w:t>2.10</w:t>
            </w:r>
          </w:p>
        </w:tc>
        <w:tc>
          <w:tcPr>
            <w:tcW w:w="553" w:type="pct"/>
            <w:tcBorders>
              <w:top w:val="single" w:sz="4" w:space="0" w:color="auto"/>
              <w:left w:val="single" w:sz="4" w:space="0" w:color="auto"/>
              <w:bottom w:val="single" w:sz="4" w:space="0" w:color="auto"/>
              <w:right w:val="single" w:sz="4" w:space="0" w:color="auto"/>
            </w:tcBorders>
          </w:tcPr>
          <w:p w14:paraId="12BD1E0E" w14:textId="6C7C3740" w:rsidR="009D17B0" w:rsidRPr="009037D6" w:rsidRDefault="005C73EE" w:rsidP="009037D6">
            <w:pPr>
              <w:widowControl w:val="0"/>
              <w:jc w:val="right"/>
              <w:rPr>
                <w:color w:val="000000"/>
                <w:sz w:val="20"/>
                <w:szCs w:val="20"/>
                <w:lang w:val="en-CA"/>
              </w:rPr>
            </w:pPr>
            <w:r>
              <w:rPr>
                <w:color w:val="000000"/>
                <w:sz w:val="20"/>
                <w:szCs w:val="20"/>
                <w:lang w:val="en-CA"/>
              </w:rPr>
              <w:t>0.74</w:t>
            </w:r>
          </w:p>
        </w:tc>
        <w:tc>
          <w:tcPr>
            <w:tcW w:w="553" w:type="pct"/>
            <w:tcBorders>
              <w:top w:val="single" w:sz="4" w:space="0" w:color="auto"/>
              <w:left w:val="single" w:sz="4" w:space="0" w:color="auto"/>
              <w:bottom w:val="single" w:sz="4" w:space="0" w:color="auto"/>
              <w:right w:val="single" w:sz="4" w:space="0" w:color="auto"/>
            </w:tcBorders>
            <w:shd w:val="clear" w:color="auto" w:fill="auto"/>
            <w:noWrap/>
          </w:tcPr>
          <w:p w14:paraId="7C36AC57" w14:textId="77777777" w:rsidR="009D17B0" w:rsidRPr="00C11159" w:rsidRDefault="009D17B0" w:rsidP="009D17B0">
            <w:pPr>
              <w:jc w:val="right"/>
              <w:rPr>
                <w:sz w:val="20"/>
                <w:szCs w:val="20"/>
              </w:rPr>
            </w:pPr>
            <w:r w:rsidRPr="00C11159">
              <w:rPr>
                <w:sz w:val="20"/>
                <w:szCs w:val="20"/>
              </w:rPr>
              <w:t>0.86</w:t>
            </w:r>
          </w:p>
        </w:tc>
      </w:tr>
      <w:tr w:rsidR="009D17B0" w:rsidRPr="00FE3307" w14:paraId="101BD059" w14:textId="77777777" w:rsidTr="00CE471E">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736BB17" w14:textId="77777777" w:rsidR="009D17B0" w:rsidRPr="00FE3307" w:rsidRDefault="009D17B0" w:rsidP="009D17B0">
            <w:pPr>
              <w:widowControl w:val="0"/>
              <w:jc w:val="left"/>
              <w:rPr>
                <w:color w:val="000000"/>
                <w:sz w:val="20"/>
                <w:szCs w:val="20"/>
                <w:lang w:val="en-CA"/>
              </w:rPr>
            </w:pPr>
            <w:r w:rsidRPr="00FE3307">
              <w:rPr>
                <w:color w:val="000000"/>
                <w:sz w:val="20"/>
                <w:szCs w:val="20"/>
                <w:lang w:val="en-CA"/>
              </w:rPr>
              <w:t>HCFC-142b</w:t>
            </w:r>
          </w:p>
        </w:tc>
        <w:tc>
          <w:tcPr>
            <w:tcW w:w="553" w:type="pct"/>
            <w:tcBorders>
              <w:top w:val="single" w:sz="4" w:space="0" w:color="auto"/>
              <w:left w:val="single" w:sz="4" w:space="0" w:color="auto"/>
              <w:bottom w:val="single" w:sz="4" w:space="0" w:color="auto"/>
              <w:right w:val="single" w:sz="4" w:space="0" w:color="auto"/>
            </w:tcBorders>
            <w:shd w:val="clear" w:color="auto" w:fill="auto"/>
            <w:noWrap/>
          </w:tcPr>
          <w:p w14:paraId="59B41774" w14:textId="77777777" w:rsidR="009D17B0" w:rsidRPr="00C11159" w:rsidRDefault="009D17B0" w:rsidP="009D17B0">
            <w:pPr>
              <w:jc w:val="right"/>
              <w:rPr>
                <w:sz w:val="20"/>
                <w:szCs w:val="20"/>
              </w:rPr>
            </w:pPr>
            <w:r w:rsidRPr="00C11159">
              <w:rPr>
                <w:sz w:val="20"/>
                <w:szCs w:val="20"/>
              </w:rPr>
              <w:t>0.02</w:t>
            </w:r>
          </w:p>
        </w:tc>
        <w:tc>
          <w:tcPr>
            <w:tcW w:w="553" w:type="pct"/>
            <w:tcBorders>
              <w:top w:val="single" w:sz="4" w:space="0" w:color="auto"/>
              <w:left w:val="single" w:sz="4" w:space="0" w:color="auto"/>
              <w:bottom w:val="single" w:sz="4" w:space="0" w:color="auto"/>
              <w:right w:val="single" w:sz="4" w:space="0" w:color="auto"/>
            </w:tcBorders>
            <w:noWrap/>
          </w:tcPr>
          <w:p w14:paraId="6CF49C86" w14:textId="77777777" w:rsidR="009D17B0" w:rsidRPr="00C11159" w:rsidRDefault="009D17B0" w:rsidP="009D17B0">
            <w:pPr>
              <w:widowControl w:val="0"/>
              <w:jc w:val="right"/>
              <w:rPr>
                <w:color w:val="000000"/>
                <w:sz w:val="20"/>
                <w:szCs w:val="20"/>
              </w:rPr>
            </w:pPr>
            <w:r w:rsidRPr="00C11159">
              <w:rPr>
                <w:color w:val="000000"/>
                <w:sz w:val="20"/>
                <w:szCs w:val="20"/>
              </w:rPr>
              <w:t>0.01</w:t>
            </w:r>
          </w:p>
        </w:tc>
        <w:tc>
          <w:tcPr>
            <w:tcW w:w="553" w:type="pct"/>
            <w:tcBorders>
              <w:top w:val="single" w:sz="4" w:space="0" w:color="auto"/>
              <w:left w:val="single" w:sz="4" w:space="0" w:color="auto"/>
              <w:bottom w:val="single" w:sz="4" w:space="0" w:color="auto"/>
              <w:right w:val="single" w:sz="4" w:space="0" w:color="auto"/>
            </w:tcBorders>
            <w:noWrap/>
          </w:tcPr>
          <w:p w14:paraId="7F25A348" w14:textId="77777777" w:rsidR="009D17B0" w:rsidRPr="00C11159" w:rsidRDefault="009D17B0" w:rsidP="009D17B0">
            <w:pPr>
              <w:widowControl w:val="0"/>
              <w:jc w:val="right"/>
              <w:rPr>
                <w:color w:val="000000"/>
                <w:sz w:val="20"/>
                <w:szCs w:val="20"/>
              </w:rPr>
            </w:pPr>
            <w:r w:rsidRPr="00C11159">
              <w:rPr>
                <w:color w:val="000000"/>
                <w:sz w:val="20"/>
                <w:szCs w:val="20"/>
              </w:rPr>
              <w:t>0.02</w:t>
            </w:r>
          </w:p>
        </w:tc>
        <w:tc>
          <w:tcPr>
            <w:tcW w:w="553" w:type="pct"/>
            <w:tcBorders>
              <w:top w:val="single" w:sz="4" w:space="0" w:color="auto"/>
              <w:left w:val="single" w:sz="4" w:space="0" w:color="auto"/>
              <w:bottom w:val="single" w:sz="4" w:space="0" w:color="auto"/>
              <w:right w:val="single" w:sz="4" w:space="0" w:color="auto"/>
            </w:tcBorders>
          </w:tcPr>
          <w:p w14:paraId="61F602DB" w14:textId="77777777" w:rsidR="009D17B0" w:rsidRPr="00FE3307" w:rsidRDefault="009A7763" w:rsidP="009D17B0">
            <w:pPr>
              <w:widowControl w:val="0"/>
              <w:jc w:val="right"/>
              <w:rPr>
                <w:color w:val="000000"/>
                <w:sz w:val="20"/>
                <w:szCs w:val="20"/>
                <w:lang w:val="en-CA"/>
              </w:rPr>
            </w:pPr>
            <w:r>
              <w:rPr>
                <w:color w:val="000000"/>
                <w:sz w:val="20"/>
                <w:szCs w:val="20"/>
                <w:lang w:val="en-CA"/>
              </w:rPr>
              <w:t>0.01</w:t>
            </w:r>
          </w:p>
        </w:tc>
        <w:tc>
          <w:tcPr>
            <w:tcW w:w="553" w:type="pct"/>
            <w:tcBorders>
              <w:top w:val="single" w:sz="4" w:space="0" w:color="auto"/>
              <w:left w:val="single" w:sz="4" w:space="0" w:color="auto"/>
              <w:bottom w:val="single" w:sz="4" w:space="0" w:color="auto"/>
              <w:right w:val="single" w:sz="4" w:space="0" w:color="auto"/>
            </w:tcBorders>
          </w:tcPr>
          <w:p w14:paraId="35D87595" w14:textId="77777777" w:rsidR="009D17B0" w:rsidRPr="009037D6" w:rsidRDefault="009037D6" w:rsidP="009D17B0">
            <w:pPr>
              <w:widowControl w:val="0"/>
              <w:jc w:val="right"/>
              <w:rPr>
                <w:color w:val="000000"/>
                <w:sz w:val="20"/>
                <w:szCs w:val="20"/>
                <w:lang w:val="en-CA"/>
              </w:rPr>
            </w:pPr>
            <w:r w:rsidRPr="009037D6">
              <w:rPr>
                <w:color w:val="000000"/>
                <w:sz w:val="20"/>
                <w:szCs w:val="20"/>
                <w:lang w:val="en-CA"/>
              </w:rPr>
              <w:t>0.00</w:t>
            </w:r>
          </w:p>
        </w:tc>
        <w:tc>
          <w:tcPr>
            <w:tcW w:w="553" w:type="pct"/>
            <w:tcBorders>
              <w:top w:val="single" w:sz="4" w:space="0" w:color="auto"/>
              <w:left w:val="single" w:sz="4" w:space="0" w:color="auto"/>
              <w:bottom w:val="single" w:sz="4" w:space="0" w:color="auto"/>
              <w:right w:val="single" w:sz="4" w:space="0" w:color="auto"/>
            </w:tcBorders>
            <w:shd w:val="clear" w:color="auto" w:fill="auto"/>
            <w:noWrap/>
          </w:tcPr>
          <w:p w14:paraId="4C23AFCB" w14:textId="77777777" w:rsidR="009D17B0" w:rsidRPr="00C11159" w:rsidRDefault="009D17B0" w:rsidP="009D17B0">
            <w:pPr>
              <w:jc w:val="right"/>
              <w:rPr>
                <w:sz w:val="20"/>
                <w:szCs w:val="20"/>
              </w:rPr>
            </w:pPr>
            <w:r w:rsidRPr="00C11159">
              <w:rPr>
                <w:sz w:val="20"/>
                <w:szCs w:val="20"/>
              </w:rPr>
              <w:t>1.20</w:t>
            </w:r>
          </w:p>
        </w:tc>
      </w:tr>
      <w:tr w:rsidR="009D17B0" w:rsidRPr="00FE3307" w14:paraId="0C87CD01" w14:textId="77777777" w:rsidTr="00CE471E">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16149265" w14:textId="77777777" w:rsidR="009D17B0" w:rsidRPr="00FE3307" w:rsidRDefault="009D17B0" w:rsidP="009D17B0">
            <w:pPr>
              <w:jc w:val="left"/>
              <w:rPr>
                <w:rFonts w:eastAsiaTheme="minorHAnsi"/>
                <w:b/>
                <w:sz w:val="20"/>
                <w:szCs w:val="20"/>
                <w:lang w:val="en-CA"/>
              </w:rPr>
            </w:pPr>
            <w:r>
              <w:rPr>
                <w:b/>
                <w:sz w:val="20"/>
                <w:szCs w:val="20"/>
                <w:lang w:val="en-CA"/>
              </w:rPr>
              <w:t>Sub-total</w:t>
            </w:r>
            <w:r w:rsidRPr="00FE3307">
              <w:rPr>
                <w:b/>
                <w:sz w:val="20"/>
                <w:szCs w:val="20"/>
                <w:lang w:val="en-CA"/>
              </w:rPr>
              <w:t xml:space="preserve"> (ODP tonnes)</w:t>
            </w:r>
          </w:p>
        </w:tc>
        <w:tc>
          <w:tcPr>
            <w:tcW w:w="553" w:type="pct"/>
            <w:tcBorders>
              <w:top w:val="single" w:sz="4" w:space="0" w:color="auto"/>
              <w:left w:val="single" w:sz="4" w:space="0" w:color="auto"/>
              <w:bottom w:val="single" w:sz="4" w:space="0" w:color="auto"/>
              <w:right w:val="single" w:sz="4" w:space="0" w:color="auto"/>
            </w:tcBorders>
            <w:shd w:val="clear" w:color="auto" w:fill="auto"/>
            <w:noWrap/>
          </w:tcPr>
          <w:p w14:paraId="2E40D8AD" w14:textId="77777777" w:rsidR="009D17B0" w:rsidRPr="00C11159" w:rsidRDefault="009D17B0" w:rsidP="009D17B0">
            <w:pPr>
              <w:jc w:val="right"/>
              <w:rPr>
                <w:b/>
                <w:sz w:val="20"/>
                <w:szCs w:val="20"/>
              </w:rPr>
            </w:pPr>
            <w:r w:rsidRPr="00C11159">
              <w:rPr>
                <w:b/>
                <w:sz w:val="20"/>
                <w:szCs w:val="20"/>
              </w:rPr>
              <w:t>20.10</w:t>
            </w:r>
          </w:p>
        </w:tc>
        <w:tc>
          <w:tcPr>
            <w:tcW w:w="553" w:type="pct"/>
            <w:tcBorders>
              <w:top w:val="single" w:sz="4" w:space="0" w:color="auto"/>
              <w:left w:val="single" w:sz="4" w:space="0" w:color="auto"/>
              <w:bottom w:val="single" w:sz="4" w:space="0" w:color="auto"/>
              <w:right w:val="single" w:sz="4" w:space="0" w:color="auto"/>
            </w:tcBorders>
            <w:noWrap/>
          </w:tcPr>
          <w:p w14:paraId="08C5303B" w14:textId="77777777" w:rsidR="009D17B0" w:rsidRPr="00C11159" w:rsidRDefault="009D17B0" w:rsidP="009D17B0">
            <w:pPr>
              <w:jc w:val="right"/>
              <w:rPr>
                <w:b/>
                <w:color w:val="000000"/>
                <w:sz w:val="20"/>
                <w:szCs w:val="20"/>
              </w:rPr>
            </w:pPr>
            <w:r w:rsidRPr="00C11159">
              <w:rPr>
                <w:b/>
                <w:color w:val="000000"/>
                <w:sz w:val="20"/>
                <w:szCs w:val="20"/>
              </w:rPr>
              <w:t>18.26</w:t>
            </w:r>
          </w:p>
        </w:tc>
        <w:tc>
          <w:tcPr>
            <w:tcW w:w="553" w:type="pct"/>
            <w:tcBorders>
              <w:top w:val="single" w:sz="4" w:space="0" w:color="auto"/>
              <w:left w:val="single" w:sz="4" w:space="0" w:color="auto"/>
              <w:bottom w:val="single" w:sz="4" w:space="0" w:color="auto"/>
              <w:right w:val="single" w:sz="4" w:space="0" w:color="auto"/>
            </w:tcBorders>
            <w:noWrap/>
          </w:tcPr>
          <w:p w14:paraId="0FD7F093" w14:textId="77777777" w:rsidR="009D17B0" w:rsidRPr="00C11159" w:rsidRDefault="009D17B0" w:rsidP="009D17B0">
            <w:pPr>
              <w:jc w:val="right"/>
              <w:rPr>
                <w:b/>
                <w:color w:val="000000"/>
                <w:sz w:val="20"/>
                <w:szCs w:val="20"/>
              </w:rPr>
            </w:pPr>
            <w:r w:rsidRPr="00C11159">
              <w:rPr>
                <w:b/>
                <w:color w:val="000000"/>
                <w:sz w:val="20"/>
                <w:szCs w:val="20"/>
              </w:rPr>
              <w:t>18.13</w:t>
            </w:r>
          </w:p>
        </w:tc>
        <w:tc>
          <w:tcPr>
            <w:tcW w:w="553" w:type="pct"/>
            <w:tcBorders>
              <w:top w:val="single" w:sz="4" w:space="0" w:color="auto"/>
              <w:left w:val="single" w:sz="4" w:space="0" w:color="auto"/>
              <w:bottom w:val="single" w:sz="4" w:space="0" w:color="auto"/>
              <w:right w:val="single" w:sz="4" w:space="0" w:color="auto"/>
            </w:tcBorders>
          </w:tcPr>
          <w:p w14:paraId="6A34E029" w14:textId="4E862D8B" w:rsidR="009D17B0" w:rsidRPr="00FE3307" w:rsidRDefault="009A7763">
            <w:pPr>
              <w:jc w:val="right"/>
              <w:rPr>
                <w:b/>
                <w:color w:val="000000"/>
                <w:sz w:val="20"/>
                <w:szCs w:val="20"/>
                <w:lang w:val="en-CA"/>
              </w:rPr>
            </w:pPr>
            <w:r>
              <w:rPr>
                <w:b/>
                <w:color w:val="000000"/>
                <w:sz w:val="20"/>
                <w:szCs w:val="20"/>
                <w:lang w:val="en-CA"/>
              </w:rPr>
              <w:t>15.</w:t>
            </w:r>
            <w:r w:rsidR="005C2FD8">
              <w:rPr>
                <w:b/>
                <w:color w:val="000000"/>
                <w:sz w:val="20"/>
                <w:szCs w:val="20"/>
                <w:lang w:val="en-CA"/>
              </w:rPr>
              <w:t>49</w:t>
            </w:r>
          </w:p>
        </w:tc>
        <w:tc>
          <w:tcPr>
            <w:tcW w:w="553" w:type="pct"/>
            <w:tcBorders>
              <w:top w:val="single" w:sz="4" w:space="0" w:color="auto"/>
              <w:left w:val="single" w:sz="4" w:space="0" w:color="auto"/>
              <w:bottom w:val="single" w:sz="4" w:space="0" w:color="auto"/>
              <w:right w:val="single" w:sz="4" w:space="0" w:color="auto"/>
            </w:tcBorders>
          </w:tcPr>
          <w:p w14:paraId="09887DE8" w14:textId="6D11B0CB" w:rsidR="009D17B0" w:rsidRPr="009037D6" w:rsidRDefault="00295BC4" w:rsidP="009D17B0">
            <w:pPr>
              <w:jc w:val="right"/>
              <w:rPr>
                <w:b/>
                <w:color w:val="000000"/>
                <w:sz w:val="20"/>
                <w:szCs w:val="20"/>
                <w:lang w:val="en-CA"/>
              </w:rPr>
            </w:pPr>
            <w:r w:rsidRPr="00C05FF7">
              <w:rPr>
                <w:b/>
                <w:color w:val="000000"/>
                <w:sz w:val="20"/>
                <w:szCs w:val="20"/>
                <w:lang w:val="en-CA"/>
              </w:rPr>
              <w:t>14.0</w:t>
            </w:r>
            <w:r w:rsidR="00AD21F1" w:rsidRPr="00C05FF7">
              <w:rPr>
                <w:b/>
                <w:color w:val="000000"/>
                <w:sz w:val="20"/>
                <w:szCs w:val="20"/>
                <w:lang w:val="en-CA"/>
              </w:rPr>
              <w:t>2</w:t>
            </w:r>
          </w:p>
        </w:tc>
        <w:tc>
          <w:tcPr>
            <w:tcW w:w="553" w:type="pct"/>
            <w:tcBorders>
              <w:top w:val="single" w:sz="4" w:space="0" w:color="auto"/>
              <w:left w:val="single" w:sz="4" w:space="0" w:color="auto"/>
              <w:bottom w:val="single" w:sz="4" w:space="0" w:color="auto"/>
              <w:right w:val="single" w:sz="4" w:space="0" w:color="auto"/>
            </w:tcBorders>
            <w:shd w:val="clear" w:color="auto" w:fill="auto"/>
            <w:noWrap/>
          </w:tcPr>
          <w:p w14:paraId="5452EE2B" w14:textId="77777777" w:rsidR="009D17B0" w:rsidRPr="00C11159" w:rsidRDefault="009D17B0" w:rsidP="009D17B0">
            <w:pPr>
              <w:jc w:val="right"/>
              <w:rPr>
                <w:b/>
                <w:sz w:val="20"/>
                <w:szCs w:val="20"/>
              </w:rPr>
            </w:pPr>
            <w:r w:rsidRPr="00C11159">
              <w:rPr>
                <w:b/>
                <w:sz w:val="20"/>
                <w:szCs w:val="20"/>
              </w:rPr>
              <w:t>23.49</w:t>
            </w:r>
          </w:p>
        </w:tc>
      </w:tr>
      <w:tr w:rsidR="009D17B0" w:rsidRPr="00FE3307" w14:paraId="0E8F3C81" w14:textId="77777777" w:rsidTr="00CE471E">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50D0499F" w14:textId="77777777" w:rsidR="009D17B0" w:rsidRPr="00FE3307" w:rsidRDefault="009D17B0" w:rsidP="009D17B0">
            <w:pPr>
              <w:jc w:val="left"/>
              <w:rPr>
                <w:color w:val="000000"/>
                <w:sz w:val="20"/>
                <w:szCs w:val="20"/>
                <w:highlight w:val="magenta"/>
                <w:lang w:val="en-CA"/>
              </w:rPr>
            </w:pPr>
            <w:r w:rsidRPr="00FE3307">
              <w:rPr>
                <w:color w:val="000000"/>
                <w:sz w:val="20"/>
                <w:szCs w:val="20"/>
                <w:lang w:val="en-CA"/>
              </w:rPr>
              <w:t>HCFC-141b in imported pre-blended polyols</w:t>
            </w:r>
            <w:r>
              <w:rPr>
                <w:color w:val="000000"/>
                <w:sz w:val="20"/>
                <w:szCs w:val="20"/>
                <w:lang w:val="en-CA"/>
              </w:rPr>
              <w:t>*</w:t>
            </w:r>
          </w:p>
        </w:tc>
        <w:tc>
          <w:tcPr>
            <w:tcW w:w="553" w:type="pct"/>
            <w:tcBorders>
              <w:top w:val="single" w:sz="4" w:space="0" w:color="auto"/>
              <w:left w:val="single" w:sz="4" w:space="0" w:color="auto"/>
              <w:bottom w:val="single" w:sz="4" w:space="0" w:color="auto"/>
              <w:right w:val="single" w:sz="4" w:space="0" w:color="auto"/>
            </w:tcBorders>
            <w:shd w:val="clear" w:color="auto" w:fill="auto"/>
            <w:noWrap/>
          </w:tcPr>
          <w:p w14:paraId="61A543AF" w14:textId="77777777" w:rsidR="009D17B0" w:rsidRPr="00C11159" w:rsidRDefault="009D17B0" w:rsidP="009D17B0">
            <w:pPr>
              <w:jc w:val="right"/>
              <w:rPr>
                <w:sz w:val="20"/>
                <w:szCs w:val="20"/>
              </w:rPr>
            </w:pPr>
            <w:r w:rsidRPr="00C11159">
              <w:rPr>
                <w:sz w:val="20"/>
                <w:szCs w:val="20"/>
              </w:rPr>
              <w:t>15.68</w:t>
            </w:r>
          </w:p>
        </w:tc>
        <w:tc>
          <w:tcPr>
            <w:tcW w:w="553" w:type="pct"/>
            <w:tcBorders>
              <w:top w:val="single" w:sz="4" w:space="0" w:color="auto"/>
              <w:left w:val="single" w:sz="4" w:space="0" w:color="auto"/>
              <w:bottom w:val="single" w:sz="4" w:space="0" w:color="auto"/>
              <w:right w:val="single" w:sz="4" w:space="0" w:color="auto"/>
            </w:tcBorders>
            <w:noWrap/>
          </w:tcPr>
          <w:p w14:paraId="1C227222" w14:textId="77777777" w:rsidR="009D17B0" w:rsidRPr="00C11159" w:rsidRDefault="009D17B0" w:rsidP="009D17B0">
            <w:pPr>
              <w:jc w:val="right"/>
              <w:rPr>
                <w:color w:val="000000"/>
                <w:sz w:val="20"/>
                <w:szCs w:val="20"/>
              </w:rPr>
            </w:pPr>
            <w:r w:rsidRPr="00C11159">
              <w:rPr>
                <w:color w:val="000000"/>
                <w:sz w:val="20"/>
                <w:szCs w:val="20"/>
              </w:rPr>
              <w:t>19.92</w:t>
            </w:r>
          </w:p>
        </w:tc>
        <w:tc>
          <w:tcPr>
            <w:tcW w:w="553" w:type="pct"/>
            <w:tcBorders>
              <w:top w:val="single" w:sz="4" w:space="0" w:color="auto"/>
              <w:left w:val="single" w:sz="4" w:space="0" w:color="auto"/>
              <w:bottom w:val="single" w:sz="4" w:space="0" w:color="auto"/>
              <w:right w:val="single" w:sz="4" w:space="0" w:color="auto"/>
            </w:tcBorders>
            <w:noWrap/>
          </w:tcPr>
          <w:p w14:paraId="708148DB" w14:textId="77777777" w:rsidR="009D17B0" w:rsidRPr="00C11159" w:rsidRDefault="009D17B0" w:rsidP="009D17B0">
            <w:pPr>
              <w:jc w:val="right"/>
              <w:rPr>
                <w:rFonts w:eastAsiaTheme="minorHAnsi"/>
                <w:color w:val="000000"/>
                <w:sz w:val="20"/>
                <w:szCs w:val="20"/>
              </w:rPr>
            </w:pPr>
            <w:r w:rsidRPr="00C11159">
              <w:rPr>
                <w:rFonts w:eastAsiaTheme="minorHAnsi"/>
                <w:color w:val="000000"/>
                <w:sz w:val="20"/>
                <w:szCs w:val="20"/>
              </w:rPr>
              <w:t>12.99</w:t>
            </w:r>
          </w:p>
        </w:tc>
        <w:tc>
          <w:tcPr>
            <w:tcW w:w="553" w:type="pct"/>
            <w:tcBorders>
              <w:top w:val="single" w:sz="4" w:space="0" w:color="auto"/>
              <w:left w:val="single" w:sz="4" w:space="0" w:color="auto"/>
              <w:bottom w:val="single" w:sz="4" w:space="0" w:color="auto"/>
              <w:right w:val="single" w:sz="4" w:space="0" w:color="auto"/>
            </w:tcBorders>
          </w:tcPr>
          <w:p w14:paraId="2AD4F6D7" w14:textId="77777777" w:rsidR="009D17B0" w:rsidRPr="00FE3307" w:rsidRDefault="009A7763" w:rsidP="009D17B0">
            <w:pPr>
              <w:jc w:val="right"/>
              <w:rPr>
                <w:color w:val="000000"/>
                <w:sz w:val="20"/>
                <w:szCs w:val="20"/>
                <w:lang w:val="en-CA"/>
              </w:rPr>
            </w:pPr>
            <w:r>
              <w:rPr>
                <w:color w:val="000000"/>
                <w:sz w:val="20"/>
                <w:szCs w:val="20"/>
                <w:lang w:val="en-CA"/>
              </w:rPr>
              <w:t>14.44</w:t>
            </w:r>
          </w:p>
        </w:tc>
        <w:tc>
          <w:tcPr>
            <w:tcW w:w="553" w:type="pct"/>
            <w:tcBorders>
              <w:top w:val="single" w:sz="4" w:space="0" w:color="auto"/>
              <w:left w:val="single" w:sz="4" w:space="0" w:color="auto"/>
              <w:bottom w:val="single" w:sz="4" w:space="0" w:color="auto"/>
              <w:right w:val="single" w:sz="4" w:space="0" w:color="auto"/>
            </w:tcBorders>
          </w:tcPr>
          <w:p w14:paraId="470E648E" w14:textId="77777777" w:rsidR="009D17B0" w:rsidRPr="009037D6" w:rsidRDefault="009037D6" w:rsidP="009D17B0">
            <w:pPr>
              <w:jc w:val="right"/>
              <w:rPr>
                <w:rFonts w:eastAsiaTheme="minorHAnsi"/>
                <w:color w:val="000000"/>
                <w:sz w:val="20"/>
                <w:szCs w:val="20"/>
                <w:lang w:val="en-CA"/>
              </w:rPr>
            </w:pPr>
            <w:r w:rsidRPr="009037D6">
              <w:rPr>
                <w:rFonts w:eastAsiaTheme="minorHAnsi"/>
                <w:color w:val="000000"/>
                <w:sz w:val="20"/>
                <w:szCs w:val="20"/>
                <w:lang w:val="en-CA"/>
              </w:rPr>
              <w:t>11.20</w:t>
            </w:r>
          </w:p>
        </w:tc>
        <w:tc>
          <w:tcPr>
            <w:tcW w:w="553" w:type="pct"/>
            <w:tcBorders>
              <w:top w:val="single" w:sz="4" w:space="0" w:color="auto"/>
              <w:left w:val="single" w:sz="4" w:space="0" w:color="auto"/>
              <w:bottom w:val="single" w:sz="4" w:space="0" w:color="auto"/>
              <w:right w:val="single" w:sz="4" w:space="0" w:color="auto"/>
            </w:tcBorders>
            <w:shd w:val="clear" w:color="auto" w:fill="auto"/>
            <w:noWrap/>
          </w:tcPr>
          <w:p w14:paraId="0E347C3F" w14:textId="77777777" w:rsidR="009D17B0" w:rsidRPr="00C11159" w:rsidRDefault="009D17B0" w:rsidP="009D17B0">
            <w:pPr>
              <w:jc w:val="right"/>
              <w:rPr>
                <w:rFonts w:eastAsiaTheme="minorHAnsi"/>
                <w:color w:val="000000"/>
                <w:sz w:val="20"/>
                <w:szCs w:val="20"/>
              </w:rPr>
            </w:pPr>
            <w:r w:rsidRPr="00C11159">
              <w:rPr>
                <w:rFonts w:eastAsiaTheme="minorHAnsi"/>
                <w:color w:val="000000"/>
                <w:sz w:val="20"/>
                <w:szCs w:val="20"/>
              </w:rPr>
              <w:t>20.67**</w:t>
            </w:r>
          </w:p>
        </w:tc>
      </w:tr>
      <w:tr w:rsidR="009D17B0" w:rsidRPr="00FE3307" w14:paraId="65051229" w14:textId="77777777" w:rsidTr="00CE471E">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tcPr>
          <w:p w14:paraId="2810DC82" w14:textId="77777777" w:rsidR="009D17B0" w:rsidRPr="00FE3307" w:rsidRDefault="009D17B0" w:rsidP="009D17B0">
            <w:pPr>
              <w:jc w:val="left"/>
              <w:rPr>
                <w:rFonts w:eastAsiaTheme="minorHAnsi"/>
                <w:b/>
                <w:sz w:val="20"/>
                <w:szCs w:val="20"/>
                <w:lang w:val="en-CA"/>
              </w:rPr>
            </w:pPr>
            <w:r>
              <w:rPr>
                <w:b/>
                <w:sz w:val="20"/>
                <w:szCs w:val="20"/>
                <w:lang w:val="en-CA"/>
              </w:rPr>
              <w:t>Total</w:t>
            </w:r>
            <w:r w:rsidRPr="00FE3307">
              <w:rPr>
                <w:b/>
                <w:sz w:val="20"/>
                <w:szCs w:val="20"/>
                <w:lang w:val="en-CA"/>
              </w:rPr>
              <w:t xml:space="preserve"> (ODP tonnes)</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E8312F" w14:textId="77777777" w:rsidR="009D17B0" w:rsidRPr="00C11159" w:rsidRDefault="009D17B0" w:rsidP="009D17B0">
            <w:pPr>
              <w:widowControl w:val="0"/>
              <w:jc w:val="right"/>
              <w:rPr>
                <w:b/>
                <w:color w:val="000000"/>
                <w:sz w:val="20"/>
                <w:szCs w:val="20"/>
              </w:rPr>
            </w:pPr>
            <w:r w:rsidRPr="00C11159">
              <w:rPr>
                <w:b/>
                <w:color w:val="000000"/>
                <w:sz w:val="20"/>
                <w:szCs w:val="20"/>
              </w:rPr>
              <w:t>35.78</w:t>
            </w:r>
          </w:p>
        </w:tc>
        <w:tc>
          <w:tcPr>
            <w:tcW w:w="553" w:type="pct"/>
            <w:tcBorders>
              <w:top w:val="single" w:sz="4" w:space="0" w:color="auto"/>
              <w:left w:val="single" w:sz="4" w:space="0" w:color="auto"/>
              <w:bottom w:val="single" w:sz="4" w:space="0" w:color="auto"/>
              <w:right w:val="single" w:sz="4" w:space="0" w:color="auto"/>
            </w:tcBorders>
            <w:noWrap/>
          </w:tcPr>
          <w:p w14:paraId="4BB39644" w14:textId="77777777" w:rsidR="009D17B0" w:rsidRPr="00C11159" w:rsidRDefault="009D17B0" w:rsidP="009D17B0">
            <w:pPr>
              <w:widowControl w:val="0"/>
              <w:jc w:val="right"/>
              <w:rPr>
                <w:b/>
                <w:color w:val="000000"/>
                <w:sz w:val="20"/>
                <w:szCs w:val="20"/>
              </w:rPr>
            </w:pPr>
            <w:r w:rsidRPr="00C11159">
              <w:rPr>
                <w:b/>
                <w:color w:val="000000"/>
                <w:sz w:val="20"/>
                <w:szCs w:val="20"/>
              </w:rPr>
              <w:t>38.18</w:t>
            </w:r>
          </w:p>
        </w:tc>
        <w:tc>
          <w:tcPr>
            <w:tcW w:w="553" w:type="pct"/>
            <w:tcBorders>
              <w:top w:val="single" w:sz="4" w:space="0" w:color="auto"/>
              <w:left w:val="single" w:sz="4" w:space="0" w:color="auto"/>
              <w:bottom w:val="single" w:sz="4" w:space="0" w:color="auto"/>
              <w:right w:val="single" w:sz="4" w:space="0" w:color="auto"/>
            </w:tcBorders>
            <w:noWrap/>
          </w:tcPr>
          <w:p w14:paraId="43987F67" w14:textId="77777777" w:rsidR="009D17B0" w:rsidRPr="00C11159" w:rsidRDefault="009D17B0" w:rsidP="009D17B0">
            <w:pPr>
              <w:widowControl w:val="0"/>
              <w:jc w:val="right"/>
              <w:rPr>
                <w:b/>
                <w:color w:val="000000"/>
                <w:sz w:val="20"/>
                <w:szCs w:val="20"/>
              </w:rPr>
            </w:pPr>
            <w:r w:rsidRPr="00C11159">
              <w:rPr>
                <w:b/>
                <w:color w:val="000000"/>
                <w:sz w:val="20"/>
                <w:szCs w:val="20"/>
              </w:rPr>
              <w:t>31.11</w:t>
            </w:r>
          </w:p>
        </w:tc>
        <w:tc>
          <w:tcPr>
            <w:tcW w:w="553" w:type="pct"/>
            <w:tcBorders>
              <w:top w:val="single" w:sz="4" w:space="0" w:color="auto"/>
              <w:left w:val="single" w:sz="4" w:space="0" w:color="auto"/>
              <w:bottom w:val="single" w:sz="4" w:space="0" w:color="auto"/>
              <w:right w:val="single" w:sz="4" w:space="0" w:color="auto"/>
            </w:tcBorders>
          </w:tcPr>
          <w:p w14:paraId="4C5C5DF2" w14:textId="14CAD025" w:rsidR="009D17B0" w:rsidRPr="009A7763" w:rsidRDefault="009A7763">
            <w:pPr>
              <w:jc w:val="right"/>
              <w:rPr>
                <w:b/>
                <w:color w:val="000000"/>
                <w:sz w:val="20"/>
                <w:szCs w:val="20"/>
                <w:lang w:val="en-CA"/>
              </w:rPr>
            </w:pPr>
            <w:r w:rsidRPr="009A7763">
              <w:rPr>
                <w:b/>
                <w:color w:val="000000"/>
                <w:sz w:val="20"/>
                <w:szCs w:val="20"/>
                <w:lang w:val="en-CA"/>
              </w:rPr>
              <w:t>29.9</w:t>
            </w:r>
            <w:r w:rsidR="005C2FD8">
              <w:rPr>
                <w:b/>
                <w:color w:val="000000"/>
                <w:sz w:val="20"/>
                <w:szCs w:val="20"/>
                <w:lang w:val="en-CA"/>
              </w:rPr>
              <w:t>3</w:t>
            </w:r>
          </w:p>
        </w:tc>
        <w:tc>
          <w:tcPr>
            <w:tcW w:w="553" w:type="pct"/>
            <w:tcBorders>
              <w:top w:val="single" w:sz="4" w:space="0" w:color="auto"/>
              <w:left w:val="single" w:sz="4" w:space="0" w:color="auto"/>
              <w:bottom w:val="single" w:sz="4" w:space="0" w:color="auto"/>
              <w:right w:val="single" w:sz="4" w:space="0" w:color="auto"/>
            </w:tcBorders>
          </w:tcPr>
          <w:p w14:paraId="0E8CEA5A" w14:textId="77777777" w:rsidR="009D17B0" w:rsidRPr="005C73EE" w:rsidRDefault="009037D6" w:rsidP="009D17B0">
            <w:pPr>
              <w:jc w:val="right"/>
              <w:rPr>
                <w:rFonts w:eastAsiaTheme="minorHAnsi"/>
                <w:b/>
                <w:color w:val="000000"/>
                <w:sz w:val="20"/>
                <w:szCs w:val="20"/>
                <w:lang w:val="en-CA"/>
              </w:rPr>
            </w:pPr>
            <w:r w:rsidRPr="005C73EE">
              <w:rPr>
                <w:rFonts w:eastAsiaTheme="minorHAnsi"/>
                <w:b/>
                <w:color w:val="000000"/>
                <w:sz w:val="20"/>
                <w:szCs w:val="20"/>
                <w:lang w:val="en-CA"/>
              </w:rPr>
              <w:t>25.21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074594" w14:textId="77777777" w:rsidR="009D17B0" w:rsidRPr="00C11159" w:rsidRDefault="009D17B0" w:rsidP="009D17B0">
            <w:pPr>
              <w:widowControl w:val="0"/>
              <w:jc w:val="right"/>
              <w:rPr>
                <w:b/>
                <w:color w:val="000000"/>
                <w:sz w:val="20"/>
                <w:szCs w:val="20"/>
              </w:rPr>
            </w:pPr>
            <w:r w:rsidRPr="00C11159">
              <w:rPr>
                <w:b/>
                <w:color w:val="000000"/>
                <w:sz w:val="20"/>
                <w:szCs w:val="20"/>
              </w:rPr>
              <w:t>44.16</w:t>
            </w:r>
          </w:p>
        </w:tc>
      </w:tr>
    </w:tbl>
    <w:p w14:paraId="0E968F1B" w14:textId="2EC9B657" w:rsidR="009D17B0" w:rsidRPr="00321ECC" w:rsidRDefault="009D17B0" w:rsidP="00F04DC2">
      <w:pPr>
        <w:rPr>
          <w:sz w:val="19"/>
          <w:szCs w:val="19"/>
          <w:lang w:val="en-CA"/>
        </w:rPr>
      </w:pPr>
      <w:r w:rsidRPr="00321ECC">
        <w:rPr>
          <w:sz w:val="19"/>
          <w:szCs w:val="19"/>
          <w:lang w:val="en-CA"/>
        </w:rPr>
        <w:t>*Country programme data</w:t>
      </w:r>
      <w:r w:rsidR="00DC2ED8" w:rsidRPr="00321ECC">
        <w:rPr>
          <w:sz w:val="19"/>
          <w:szCs w:val="19"/>
          <w:lang w:val="en-CA"/>
        </w:rPr>
        <w:t xml:space="preserve"> submitted on 17 March 2020</w:t>
      </w:r>
    </w:p>
    <w:p w14:paraId="40FCBAFA" w14:textId="77777777" w:rsidR="009D17B0" w:rsidRPr="00321ECC" w:rsidRDefault="009D17B0" w:rsidP="00F04DC2">
      <w:pPr>
        <w:rPr>
          <w:sz w:val="19"/>
          <w:szCs w:val="19"/>
          <w:lang w:val="en-CA"/>
        </w:rPr>
      </w:pPr>
      <w:r w:rsidRPr="00321ECC">
        <w:rPr>
          <w:sz w:val="19"/>
          <w:szCs w:val="19"/>
          <w:lang w:val="en-CA"/>
        </w:rPr>
        <w:t>**Starting point established in the Agreement with the Executive Committee.</w:t>
      </w:r>
    </w:p>
    <w:p w14:paraId="3A9DDD31" w14:textId="77777777" w:rsidR="009D17B0" w:rsidRPr="00321ECC" w:rsidRDefault="009D17B0" w:rsidP="00F04DC2">
      <w:pPr>
        <w:rPr>
          <w:sz w:val="19"/>
          <w:szCs w:val="19"/>
          <w:lang w:val="en-CA"/>
        </w:rPr>
      </w:pPr>
    </w:p>
    <w:p w14:paraId="553B6882" w14:textId="069377F1" w:rsidR="00B62034" w:rsidRPr="00642836" w:rsidRDefault="00D6084B" w:rsidP="00B62034">
      <w:pPr>
        <w:pStyle w:val="Heading1"/>
        <w:rPr>
          <w:lang w:val="en-CA"/>
        </w:rPr>
      </w:pPr>
      <w:r>
        <w:rPr>
          <w:lang w:val="en-CA"/>
        </w:rPr>
        <w:t>S</w:t>
      </w:r>
      <w:r w:rsidRPr="00642836">
        <w:rPr>
          <w:lang w:val="en-CA"/>
        </w:rPr>
        <w:t>ince 2015</w:t>
      </w:r>
      <w:r>
        <w:rPr>
          <w:lang w:val="en-CA"/>
        </w:rPr>
        <w:t>,</w:t>
      </w:r>
      <w:r w:rsidRPr="00642836">
        <w:rPr>
          <w:lang w:val="en-CA"/>
        </w:rPr>
        <w:t xml:space="preserve"> </w:t>
      </w:r>
      <w:r w:rsidR="00642836" w:rsidRPr="00642836">
        <w:rPr>
          <w:lang w:val="en-CA"/>
        </w:rPr>
        <w:t>HCFC-22 consumption</w:t>
      </w:r>
      <w:r w:rsidR="00B62034" w:rsidRPr="00642836">
        <w:rPr>
          <w:lang w:val="en-CA"/>
        </w:rPr>
        <w:t xml:space="preserve"> </w:t>
      </w:r>
      <w:r w:rsidR="00642836" w:rsidRPr="00642836">
        <w:rPr>
          <w:lang w:val="en-CA"/>
        </w:rPr>
        <w:t xml:space="preserve">has been gradually decreasing </w:t>
      </w:r>
      <w:r w:rsidR="00B62034" w:rsidRPr="00642836">
        <w:rPr>
          <w:lang w:val="en-CA"/>
        </w:rPr>
        <w:t>due to activities implemented under the HPMP</w:t>
      </w:r>
      <w:r w:rsidR="00321ECC">
        <w:rPr>
          <w:lang w:val="en-CA"/>
        </w:rPr>
        <w:t>,</w:t>
      </w:r>
      <w:r w:rsidR="00B62034" w:rsidRPr="00642836">
        <w:t xml:space="preserve"> </w:t>
      </w:r>
      <w:r w:rsidR="00B41740" w:rsidRPr="00642836">
        <w:t xml:space="preserve">including </w:t>
      </w:r>
      <w:r w:rsidR="00321ECC">
        <w:t xml:space="preserve">the enforcement of the HCFC import/export licensing and quota system, </w:t>
      </w:r>
      <w:r w:rsidR="00B62034" w:rsidRPr="00642836">
        <w:rPr>
          <w:lang w:val="en-CA"/>
        </w:rPr>
        <w:t>training of technicians and promotion of alternatives</w:t>
      </w:r>
      <w:r w:rsidR="00321ECC">
        <w:rPr>
          <w:lang w:val="en-CA"/>
        </w:rPr>
        <w:t xml:space="preserve"> technologies in the refrigeration and air-conditioning (RAC) sector; introduction</w:t>
      </w:r>
      <w:r w:rsidR="00B62034" w:rsidRPr="00642836">
        <w:rPr>
          <w:lang w:val="en-CA"/>
        </w:rPr>
        <w:t xml:space="preserve"> </w:t>
      </w:r>
      <w:r w:rsidR="00321ECC">
        <w:rPr>
          <w:lang w:val="en-CA"/>
        </w:rPr>
        <w:t xml:space="preserve">of non-HCFC based RAC equipment </w:t>
      </w:r>
      <w:r w:rsidR="00B62034" w:rsidRPr="00642836">
        <w:rPr>
          <w:lang w:val="en-CA"/>
        </w:rPr>
        <w:t>in the market</w:t>
      </w:r>
      <w:r w:rsidR="00321ECC">
        <w:rPr>
          <w:lang w:val="en-CA"/>
        </w:rPr>
        <w:t>;</w:t>
      </w:r>
      <w:r w:rsidR="00B62034" w:rsidRPr="00642836">
        <w:rPr>
          <w:lang w:val="en-CA"/>
        </w:rPr>
        <w:t xml:space="preserve"> an</w:t>
      </w:r>
      <w:r>
        <w:rPr>
          <w:lang w:val="en-CA"/>
        </w:rPr>
        <w:t>d</w:t>
      </w:r>
      <w:r w:rsidR="00B62034" w:rsidRPr="00642836">
        <w:rPr>
          <w:lang w:val="en-CA"/>
        </w:rPr>
        <w:t xml:space="preserve"> </w:t>
      </w:r>
      <w:r w:rsidR="00F51319">
        <w:rPr>
          <w:lang w:val="en-CA"/>
        </w:rPr>
        <w:t xml:space="preserve">an </w:t>
      </w:r>
      <w:r w:rsidR="00B62034" w:rsidRPr="00642836">
        <w:rPr>
          <w:lang w:val="en-CA"/>
        </w:rPr>
        <w:t xml:space="preserve">economic slowdown. </w:t>
      </w:r>
      <w:r>
        <w:rPr>
          <w:lang w:val="en-CA"/>
        </w:rPr>
        <w:t>During 2017 and 2018</w:t>
      </w:r>
      <w:r w:rsidR="00334AAC">
        <w:rPr>
          <w:lang w:val="en-CA"/>
        </w:rPr>
        <w:t>,</w:t>
      </w:r>
      <w:r>
        <w:rPr>
          <w:lang w:val="en-CA"/>
        </w:rPr>
        <w:t xml:space="preserve"> </w:t>
      </w:r>
      <w:r w:rsidR="00B62034" w:rsidRPr="00642836">
        <w:rPr>
          <w:lang w:val="en-CA"/>
        </w:rPr>
        <w:t xml:space="preserve">HCFC-141b consumption </w:t>
      </w:r>
      <w:r w:rsidR="00334AAC" w:rsidRPr="00642836">
        <w:rPr>
          <w:lang w:val="en-CA"/>
        </w:rPr>
        <w:t>for flushing refrigeration circuits during servicing</w:t>
      </w:r>
      <w:r w:rsidR="00334AAC">
        <w:rPr>
          <w:lang w:val="en-CA"/>
        </w:rPr>
        <w:t xml:space="preserve"> </w:t>
      </w:r>
      <w:r>
        <w:rPr>
          <w:lang w:val="en-CA"/>
        </w:rPr>
        <w:t>increased</w:t>
      </w:r>
      <w:r w:rsidR="00321ECC">
        <w:rPr>
          <w:lang w:val="en-CA"/>
        </w:rPr>
        <w:t>; h</w:t>
      </w:r>
      <w:r w:rsidR="00B41740" w:rsidRPr="00642836">
        <w:rPr>
          <w:lang w:val="en-CA"/>
        </w:rPr>
        <w:t xml:space="preserve">owever, this practice </w:t>
      </w:r>
      <w:r w:rsidR="00334AAC">
        <w:rPr>
          <w:lang w:val="en-CA"/>
        </w:rPr>
        <w:t>was</w:t>
      </w:r>
      <w:r w:rsidR="00B41740" w:rsidRPr="00642836">
        <w:rPr>
          <w:lang w:val="en-CA"/>
        </w:rPr>
        <w:t xml:space="preserve"> discontinued </w:t>
      </w:r>
      <w:r w:rsidR="007D199A" w:rsidRPr="00642836">
        <w:rPr>
          <w:lang w:val="en-CA"/>
        </w:rPr>
        <w:t xml:space="preserve">as of </w:t>
      </w:r>
      <w:r w:rsidR="00B41740" w:rsidRPr="00642836">
        <w:rPr>
          <w:lang w:val="en-CA"/>
        </w:rPr>
        <w:t>1</w:t>
      </w:r>
      <w:r w:rsidR="00334AAC">
        <w:rPr>
          <w:lang w:val="en-CA"/>
        </w:rPr>
        <w:t> </w:t>
      </w:r>
      <w:r w:rsidR="00B41740" w:rsidRPr="00642836">
        <w:rPr>
          <w:lang w:val="en-CA"/>
        </w:rPr>
        <w:t>January 2020</w:t>
      </w:r>
      <w:r w:rsidR="007D199A" w:rsidRPr="00642836">
        <w:rPr>
          <w:lang w:val="en-CA"/>
        </w:rPr>
        <w:t>,</w:t>
      </w:r>
      <w:r w:rsidR="00B41740" w:rsidRPr="00642836">
        <w:rPr>
          <w:lang w:val="en-CA"/>
        </w:rPr>
        <w:t xml:space="preserve"> follo</w:t>
      </w:r>
      <w:r w:rsidR="007D199A" w:rsidRPr="00642836">
        <w:rPr>
          <w:lang w:val="en-CA"/>
        </w:rPr>
        <w:t>wing the ban on imports of pure HCFC</w:t>
      </w:r>
      <w:r w:rsidR="007D199A" w:rsidRPr="00642836">
        <w:rPr>
          <w:lang w:val="en-CA"/>
        </w:rPr>
        <w:noBreakHyphen/>
      </w:r>
      <w:r w:rsidR="00B41740" w:rsidRPr="00642836">
        <w:rPr>
          <w:lang w:val="en-CA"/>
        </w:rPr>
        <w:t>141b</w:t>
      </w:r>
      <w:r w:rsidR="00321ECC">
        <w:rPr>
          <w:lang w:val="en-CA"/>
        </w:rPr>
        <w:t xml:space="preserve">, and the </w:t>
      </w:r>
      <w:r w:rsidR="00075BB1">
        <w:rPr>
          <w:lang w:val="en-CA"/>
        </w:rPr>
        <w:t>use of nitrogen has been promoted as an alternative.</w:t>
      </w:r>
    </w:p>
    <w:p w14:paraId="6325168C" w14:textId="77777777" w:rsidR="00D54581" w:rsidRPr="00642836" w:rsidRDefault="00D54581" w:rsidP="00A6083D">
      <w:pPr>
        <w:widowControl w:val="0"/>
        <w:rPr>
          <w:i/>
          <w:lang w:val="en-CA"/>
        </w:rPr>
      </w:pPr>
      <w:r w:rsidRPr="00642836">
        <w:rPr>
          <w:i/>
          <w:lang w:val="en-CA"/>
        </w:rPr>
        <w:t>Country programme (CP) implementation report</w:t>
      </w:r>
    </w:p>
    <w:p w14:paraId="20DED21A" w14:textId="77777777" w:rsidR="00D54581" w:rsidRPr="00642836" w:rsidRDefault="00D54581" w:rsidP="00A6083D">
      <w:pPr>
        <w:widowControl w:val="0"/>
        <w:rPr>
          <w:lang w:val="en-CA"/>
        </w:rPr>
      </w:pPr>
    </w:p>
    <w:p w14:paraId="1F2EEFBC" w14:textId="3E54A984" w:rsidR="00D54581" w:rsidRDefault="00D54581" w:rsidP="00A6083D">
      <w:pPr>
        <w:pStyle w:val="Heading1"/>
        <w:widowControl w:val="0"/>
        <w:rPr>
          <w:lang w:val="en-CA"/>
        </w:rPr>
      </w:pPr>
      <w:r w:rsidRPr="00642836">
        <w:rPr>
          <w:lang w:val="en-CA"/>
        </w:rPr>
        <w:t xml:space="preserve">The Government of </w:t>
      </w:r>
      <w:r w:rsidR="009A7763" w:rsidRPr="00642836">
        <w:rPr>
          <w:lang w:val="en-CA"/>
        </w:rPr>
        <w:t>Ecuador</w:t>
      </w:r>
      <w:r w:rsidRPr="00FE3307">
        <w:rPr>
          <w:lang w:val="en-CA"/>
        </w:rPr>
        <w:t xml:space="preserve"> reported HCFC sector consumption data under the </w:t>
      </w:r>
      <w:r w:rsidRPr="00B54A92">
        <w:rPr>
          <w:lang w:val="en-CA"/>
        </w:rPr>
        <w:t>2019 CP</w:t>
      </w:r>
      <w:r w:rsidRPr="00FE3307">
        <w:rPr>
          <w:lang w:val="en-CA"/>
        </w:rPr>
        <w:t xml:space="preserve"> implementation report</w:t>
      </w:r>
      <w:r w:rsidR="00F51319">
        <w:rPr>
          <w:lang w:val="en-CA"/>
        </w:rPr>
        <w:t xml:space="preserve"> that</w:t>
      </w:r>
      <w:r w:rsidRPr="00FE3307">
        <w:rPr>
          <w:lang w:val="en-CA"/>
        </w:rPr>
        <w:t xml:space="preserve"> is consistent with the data reported under Article 7 of the Montreal Protocol.</w:t>
      </w:r>
      <w:r w:rsidR="00867E17">
        <w:rPr>
          <w:lang w:val="en-CA"/>
        </w:rPr>
        <w:t xml:space="preserve"> </w:t>
      </w:r>
    </w:p>
    <w:p w14:paraId="66AFD34A" w14:textId="77777777" w:rsidR="00D54581" w:rsidRPr="00FE3307" w:rsidRDefault="00D54581" w:rsidP="00A6083D">
      <w:pPr>
        <w:widowControl w:val="0"/>
        <w:rPr>
          <w:u w:val="single"/>
          <w:lang w:val="en-CA"/>
        </w:rPr>
      </w:pPr>
      <w:r w:rsidRPr="00FE3307">
        <w:rPr>
          <w:u w:val="single"/>
          <w:lang w:val="en-CA"/>
        </w:rPr>
        <w:t>Progress repo</w:t>
      </w:r>
      <w:r w:rsidR="00B54A92">
        <w:rPr>
          <w:u w:val="single"/>
          <w:lang w:val="en-CA"/>
        </w:rPr>
        <w:t>rt on the implementation of the fourth</w:t>
      </w:r>
      <w:r w:rsidRPr="00FE3307">
        <w:rPr>
          <w:u w:val="single"/>
          <w:lang w:val="en-CA"/>
        </w:rPr>
        <w:t xml:space="preserve"> tranche of the HPMP</w:t>
      </w:r>
    </w:p>
    <w:p w14:paraId="0249AF7A" w14:textId="77777777" w:rsidR="00D54581" w:rsidRPr="00FE3307" w:rsidRDefault="00D54581" w:rsidP="00A6083D">
      <w:pPr>
        <w:widowControl w:val="0"/>
        <w:rPr>
          <w:lang w:val="en-CA"/>
        </w:rPr>
      </w:pPr>
    </w:p>
    <w:p w14:paraId="5FDD9CE2" w14:textId="77777777" w:rsidR="00D54581" w:rsidRPr="00FE3307" w:rsidRDefault="00D54581" w:rsidP="00A6083D">
      <w:pPr>
        <w:widowControl w:val="0"/>
        <w:rPr>
          <w:i/>
          <w:lang w:val="en-CA"/>
        </w:rPr>
      </w:pPr>
      <w:r w:rsidRPr="00FE3307">
        <w:rPr>
          <w:i/>
          <w:lang w:val="en-CA"/>
        </w:rPr>
        <w:t>Legal framework</w:t>
      </w:r>
    </w:p>
    <w:p w14:paraId="53D86178" w14:textId="77777777" w:rsidR="00D54581" w:rsidRPr="00FE3307" w:rsidRDefault="00D54581" w:rsidP="00F04DC2">
      <w:pPr>
        <w:rPr>
          <w:lang w:val="en-CA"/>
        </w:rPr>
      </w:pPr>
    </w:p>
    <w:p w14:paraId="15D8B180" w14:textId="37CAD0BB" w:rsidR="00B94B8F" w:rsidRPr="00227C23" w:rsidRDefault="00820103" w:rsidP="00B94B8F">
      <w:pPr>
        <w:pStyle w:val="Heading1"/>
        <w:rPr>
          <w:lang w:val="en-CA"/>
        </w:rPr>
      </w:pPr>
      <w:r w:rsidRPr="00227C23">
        <w:rPr>
          <w:lang w:val="en-CA"/>
        </w:rPr>
        <w:t xml:space="preserve">The Government of </w:t>
      </w:r>
      <w:r w:rsidR="00B94B8F" w:rsidRPr="00227C23">
        <w:rPr>
          <w:lang w:val="en-CA"/>
        </w:rPr>
        <w:t xml:space="preserve">Ecuador has an operational HCFC import licensing and quota system, which </w:t>
      </w:r>
      <w:r w:rsidR="00227C23" w:rsidRPr="00227C23">
        <w:rPr>
          <w:lang w:val="en-CA"/>
        </w:rPr>
        <w:t xml:space="preserve">also includes licenses (no quotas) for HFC imports </w:t>
      </w:r>
      <w:r w:rsidR="00B94B8F" w:rsidRPr="00227C23">
        <w:rPr>
          <w:lang w:val="en-CA"/>
        </w:rPr>
        <w:t xml:space="preserve">since August 2017. The Ministry of Production, Foreign Trade, Investment, and Fisheries (MPCEIP) and the National Customs Service (SENAE) </w:t>
      </w:r>
      <w:r w:rsidR="00227C23" w:rsidRPr="00227C23">
        <w:rPr>
          <w:lang w:val="en-CA"/>
        </w:rPr>
        <w:t>continue to</w:t>
      </w:r>
      <w:r w:rsidR="00B94B8F" w:rsidRPr="00227C23">
        <w:rPr>
          <w:lang w:val="en-CA"/>
        </w:rPr>
        <w:t xml:space="preserve"> exchange </w:t>
      </w:r>
      <w:r w:rsidR="00227C23" w:rsidRPr="00227C23">
        <w:rPr>
          <w:lang w:val="en-CA"/>
        </w:rPr>
        <w:t xml:space="preserve">information </w:t>
      </w:r>
      <w:r w:rsidR="00227C23">
        <w:rPr>
          <w:lang w:val="en-CA"/>
        </w:rPr>
        <w:t xml:space="preserve">on </w:t>
      </w:r>
      <w:r w:rsidR="00B94B8F" w:rsidRPr="00227C23">
        <w:rPr>
          <w:lang w:val="en-CA"/>
        </w:rPr>
        <w:t>HCFC imports</w:t>
      </w:r>
      <w:r w:rsidR="00227C23">
        <w:rPr>
          <w:lang w:val="en-CA"/>
        </w:rPr>
        <w:t>,</w:t>
      </w:r>
      <w:r w:rsidR="00B94B8F" w:rsidRPr="00227C23">
        <w:rPr>
          <w:lang w:val="en-CA"/>
        </w:rPr>
        <w:t xml:space="preserve"> </w:t>
      </w:r>
      <w:r w:rsidR="00001E7B" w:rsidRPr="00227C23">
        <w:rPr>
          <w:lang w:val="en-CA"/>
        </w:rPr>
        <w:t>and importers are obliged to submit quarterly invoices and customs declarations in digital form</w:t>
      </w:r>
      <w:r w:rsidR="00B94B8F" w:rsidRPr="00227C23">
        <w:rPr>
          <w:lang w:val="en-CA"/>
        </w:rPr>
        <w:t xml:space="preserve">. </w:t>
      </w:r>
      <w:r w:rsidR="00227C23">
        <w:rPr>
          <w:lang w:val="en-CA"/>
        </w:rPr>
        <w:t>Furthermore</w:t>
      </w:r>
      <w:r w:rsidR="00B94B8F" w:rsidRPr="00227C23">
        <w:rPr>
          <w:lang w:val="en-CA"/>
        </w:rPr>
        <w:t xml:space="preserve">, the Government </w:t>
      </w:r>
      <w:r w:rsidR="001379B6">
        <w:rPr>
          <w:lang w:val="en-CA"/>
        </w:rPr>
        <w:t>participates in the informal prior informed consent (</w:t>
      </w:r>
      <w:proofErr w:type="spellStart"/>
      <w:r w:rsidR="00B94B8F" w:rsidRPr="00227C23">
        <w:rPr>
          <w:lang w:val="en-CA"/>
        </w:rPr>
        <w:t>iPIC</w:t>
      </w:r>
      <w:proofErr w:type="spellEnd"/>
      <w:r w:rsidR="001379B6">
        <w:rPr>
          <w:lang w:val="en-CA"/>
        </w:rPr>
        <w:t>)</w:t>
      </w:r>
      <w:r w:rsidR="00B94B8F" w:rsidRPr="00227C23">
        <w:rPr>
          <w:lang w:val="en-CA"/>
        </w:rPr>
        <w:t xml:space="preserve"> electronic portal developed by UNEP. Th</w:t>
      </w:r>
      <w:r w:rsidR="005E257A">
        <w:rPr>
          <w:lang w:val="en-CA"/>
        </w:rPr>
        <w:t xml:space="preserve">e use of </w:t>
      </w:r>
      <w:r w:rsidR="00B94B8F" w:rsidRPr="00227C23">
        <w:rPr>
          <w:lang w:val="en-CA"/>
        </w:rPr>
        <w:t>this system</w:t>
      </w:r>
      <w:r w:rsidR="005E257A">
        <w:rPr>
          <w:lang w:val="en-CA"/>
        </w:rPr>
        <w:t xml:space="preserve"> helped avoid the import of </w:t>
      </w:r>
      <w:r w:rsidR="00B94B8F" w:rsidRPr="00227C23">
        <w:rPr>
          <w:lang w:val="en-CA"/>
        </w:rPr>
        <w:t>an unauthorized shipment of 125</w:t>
      </w:r>
      <w:r w:rsidR="00227C23">
        <w:rPr>
          <w:lang w:val="en-CA"/>
        </w:rPr>
        <w:t> </w:t>
      </w:r>
      <w:proofErr w:type="spellStart"/>
      <w:r w:rsidR="005E257A">
        <w:rPr>
          <w:lang w:val="en-CA"/>
        </w:rPr>
        <w:t>mt</w:t>
      </w:r>
      <w:proofErr w:type="spellEnd"/>
      <w:r w:rsidR="00B94B8F" w:rsidRPr="00227C23">
        <w:rPr>
          <w:lang w:val="en-CA"/>
        </w:rPr>
        <w:t xml:space="preserve"> of HCFC-22. </w:t>
      </w:r>
    </w:p>
    <w:p w14:paraId="1E97C161" w14:textId="53643040" w:rsidR="00A9586C" w:rsidRDefault="00B94B8F" w:rsidP="002A1832">
      <w:pPr>
        <w:pStyle w:val="Heading1"/>
        <w:rPr>
          <w:lang w:val="en-CA"/>
        </w:rPr>
      </w:pPr>
      <w:r w:rsidRPr="00227C23">
        <w:rPr>
          <w:lang w:val="en-CA"/>
        </w:rPr>
        <w:t xml:space="preserve">Through </w:t>
      </w:r>
      <w:r w:rsidR="00227C23">
        <w:rPr>
          <w:lang w:val="en-CA"/>
        </w:rPr>
        <w:t>mutual</w:t>
      </w:r>
      <w:r w:rsidRPr="00227C23">
        <w:rPr>
          <w:lang w:val="en-CA"/>
        </w:rPr>
        <w:t xml:space="preserve"> agreement, MPCEIP provides regular training to SENAE officers on ODS regulations, Montreal Protocol regulations, and</w:t>
      </w:r>
      <w:r w:rsidR="006C4065">
        <w:rPr>
          <w:lang w:val="en-CA"/>
        </w:rPr>
        <w:t xml:space="preserve"> the</w:t>
      </w:r>
      <w:r w:rsidRPr="00227C23">
        <w:rPr>
          <w:lang w:val="en-CA"/>
        </w:rPr>
        <w:t xml:space="preserve"> prevention of illegal trade</w:t>
      </w:r>
      <w:r w:rsidR="00227C23" w:rsidRPr="00227C23">
        <w:rPr>
          <w:lang w:val="en-CA"/>
        </w:rPr>
        <w:t xml:space="preserve"> </w:t>
      </w:r>
      <w:r w:rsidR="00227C23">
        <w:rPr>
          <w:lang w:val="en-CA"/>
        </w:rPr>
        <w:t xml:space="preserve">in </w:t>
      </w:r>
      <w:r w:rsidR="00227C23" w:rsidRPr="00227C23">
        <w:rPr>
          <w:lang w:val="en-CA"/>
        </w:rPr>
        <w:t>ODS</w:t>
      </w:r>
      <w:r w:rsidRPr="00227C23">
        <w:rPr>
          <w:lang w:val="en-CA"/>
        </w:rPr>
        <w:t xml:space="preserve">. </w:t>
      </w:r>
      <w:r w:rsidR="00A9586C">
        <w:rPr>
          <w:lang w:val="en-CA"/>
        </w:rPr>
        <w:t>T</w:t>
      </w:r>
      <w:r w:rsidR="00A9586C" w:rsidRPr="00876A16">
        <w:rPr>
          <w:lang w:val="en-CA"/>
        </w:rPr>
        <w:t>o ensure the sustainability of the</w:t>
      </w:r>
      <w:r w:rsidR="00A9586C">
        <w:rPr>
          <w:lang w:val="en-CA"/>
        </w:rPr>
        <w:t xml:space="preserve"> ODS</w:t>
      </w:r>
      <w:r w:rsidR="00A9586C" w:rsidRPr="00876A16">
        <w:rPr>
          <w:lang w:val="en-CA"/>
        </w:rPr>
        <w:t xml:space="preserve"> phase</w:t>
      </w:r>
      <w:r w:rsidR="00A9586C">
        <w:rPr>
          <w:lang w:val="en-CA"/>
        </w:rPr>
        <w:t>-</w:t>
      </w:r>
      <w:r w:rsidR="00A9586C" w:rsidRPr="00876A16">
        <w:rPr>
          <w:lang w:val="en-CA"/>
        </w:rPr>
        <w:t>out</w:t>
      </w:r>
      <w:r w:rsidR="00A9586C">
        <w:rPr>
          <w:lang w:val="en-CA"/>
        </w:rPr>
        <w:t xml:space="preserve">, the Government </w:t>
      </w:r>
      <w:r w:rsidR="00A9586C" w:rsidRPr="00876A16">
        <w:rPr>
          <w:lang w:val="en-CA"/>
        </w:rPr>
        <w:t xml:space="preserve">has enforced the bans on substances already phased out (e.g., CFC) through the regulations developed with </w:t>
      </w:r>
      <w:r w:rsidR="002A1832">
        <w:rPr>
          <w:lang w:val="en-CA"/>
        </w:rPr>
        <w:t xml:space="preserve">the </w:t>
      </w:r>
      <w:r w:rsidR="002A1832" w:rsidRPr="002A1832">
        <w:rPr>
          <w:lang w:val="en-CA"/>
        </w:rPr>
        <w:t>Foreign Trade Committee</w:t>
      </w:r>
      <w:r w:rsidR="00C04AB4">
        <w:rPr>
          <w:lang w:val="en-CA"/>
        </w:rPr>
        <w:t xml:space="preserve"> </w:t>
      </w:r>
      <w:r w:rsidR="00A9586C" w:rsidRPr="00876A16">
        <w:rPr>
          <w:lang w:val="en-CA"/>
        </w:rPr>
        <w:t xml:space="preserve">and </w:t>
      </w:r>
      <w:r w:rsidR="00A9586C">
        <w:rPr>
          <w:lang w:val="en-CA"/>
        </w:rPr>
        <w:t>SENAE</w:t>
      </w:r>
      <w:r w:rsidR="002A1832">
        <w:rPr>
          <w:lang w:val="en-CA"/>
        </w:rPr>
        <w:t xml:space="preserve">, and has issued </w:t>
      </w:r>
      <w:r w:rsidR="00A9586C" w:rsidRPr="00876A16">
        <w:rPr>
          <w:lang w:val="en-CA"/>
        </w:rPr>
        <w:t>instructions at the ministerial level to improve control procedures and standardize the documents to approve import licenses.</w:t>
      </w:r>
      <w:r w:rsidR="0006593C">
        <w:rPr>
          <w:lang w:val="en-CA"/>
        </w:rPr>
        <w:t xml:space="preserve"> </w:t>
      </w:r>
      <w:r w:rsidR="002A1832">
        <w:rPr>
          <w:lang w:val="en-CA"/>
        </w:rPr>
        <w:t>I</w:t>
      </w:r>
      <w:r w:rsidR="00A9586C" w:rsidRPr="00876A16">
        <w:rPr>
          <w:lang w:val="en-CA"/>
        </w:rPr>
        <w:t>n order to control the import of counterfeit refrigerant, the Ecuadorian Standardization Service is considering develop</w:t>
      </w:r>
      <w:r w:rsidR="00A9586C">
        <w:rPr>
          <w:lang w:val="en-CA"/>
        </w:rPr>
        <w:t>ing</w:t>
      </w:r>
      <w:r w:rsidR="00A9586C" w:rsidRPr="00876A16">
        <w:rPr>
          <w:lang w:val="en-CA"/>
        </w:rPr>
        <w:t xml:space="preserve"> a regulatory instrument that would allow market surveillance and seizure of counterfeit refrigerant.</w:t>
      </w:r>
      <w:r w:rsidR="002A1832">
        <w:rPr>
          <w:lang w:val="en-CA"/>
        </w:rPr>
        <w:t xml:space="preserve"> </w:t>
      </w:r>
      <w:r w:rsidR="002A1832" w:rsidRPr="00876A16">
        <w:rPr>
          <w:lang w:val="en-CA"/>
        </w:rPr>
        <w:t xml:space="preserve">The Government is not aware of any use of </w:t>
      </w:r>
      <w:r w:rsidR="002A1832">
        <w:rPr>
          <w:lang w:val="en-CA"/>
        </w:rPr>
        <w:t xml:space="preserve">phased-out </w:t>
      </w:r>
      <w:r w:rsidR="002A1832" w:rsidRPr="00876A16">
        <w:rPr>
          <w:lang w:val="en-CA"/>
        </w:rPr>
        <w:t>controlled substances in the local market</w:t>
      </w:r>
      <w:r w:rsidR="002A1832">
        <w:rPr>
          <w:lang w:val="en-CA"/>
        </w:rPr>
        <w:t>.</w:t>
      </w:r>
    </w:p>
    <w:p w14:paraId="66B83DA7" w14:textId="5373E6F0" w:rsidR="00B94B8F" w:rsidRPr="00CB4B93" w:rsidRDefault="006C4065" w:rsidP="00B94B8F">
      <w:pPr>
        <w:pStyle w:val="Heading1"/>
        <w:rPr>
          <w:lang w:val="en-CA"/>
        </w:rPr>
      </w:pPr>
      <w:r w:rsidRPr="00CB4B93">
        <w:rPr>
          <w:lang w:val="en-CA"/>
        </w:rPr>
        <w:t>A total of 350</w:t>
      </w:r>
      <w:r w:rsidR="00334AAC" w:rsidRPr="00CB4B93">
        <w:rPr>
          <w:lang w:val="en-CA"/>
        </w:rPr>
        <w:t> </w:t>
      </w:r>
      <w:r w:rsidRPr="00CB4B93">
        <w:rPr>
          <w:lang w:val="en-CA"/>
        </w:rPr>
        <w:t>customs officers were trained</w:t>
      </w:r>
      <w:r w:rsidRPr="00CB4B93" w:rsidDel="006C4065">
        <w:rPr>
          <w:lang w:val="en-CA"/>
        </w:rPr>
        <w:t xml:space="preserve"> </w:t>
      </w:r>
      <w:r w:rsidRPr="00CB4B93">
        <w:rPr>
          <w:lang w:val="en-CA"/>
        </w:rPr>
        <w:t>b</w:t>
      </w:r>
      <w:r w:rsidR="00B94B8F" w:rsidRPr="00CB4B93">
        <w:rPr>
          <w:lang w:val="en-CA"/>
        </w:rPr>
        <w:t xml:space="preserve">etween 2013 and 2019, </w:t>
      </w:r>
      <w:r w:rsidR="00633618" w:rsidRPr="00CB4B93">
        <w:rPr>
          <w:lang w:val="en-CA"/>
        </w:rPr>
        <w:t>and</w:t>
      </w:r>
      <w:r w:rsidR="00B94B8F" w:rsidRPr="00CB4B93">
        <w:rPr>
          <w:lang w:val="en-CA"/>
        </w:rPr>
        <w:t xml:space="preserve"> </w:t>
      </w:r>
      <w:r w:rsidR="00B94B8F" w:rsidRPr="00CB4B93">
        <w:t>additional training</w:t>
      </w:r>
      <w:r w:rsidR="00B94B8F" w:rsidRPr="00CB4B93">
        <w:rPr>
          <w:lang w:val="en-CA"/>
        </w:rPr>
        <w:t xml:space="preserve"> </w:t>
      </w:r>
      <w:r w:rsidR="00793E2C" w:rsidRPr="00CB4B93">
        <w:rPr>
          <w:lang w:val="en-CA"/>
        </w:rPr>
        <w:t xml:space="preserve">for </w:t>
      </w:r>
      <w:r w:rsidR="00A1590D" w:rsidRPr="00CB4B93">
        <w:rPr>
          <w:lang w:val="en-CA"/>
        </w:rPr>
        <w:t>50</w:t>
      </w:r>
      <w:r w:rsidR="00793E2C" w:rsidRPr="00CB4B93">
        <w:rPr>
          <w:lang w:val="en-CA"/>
        </w:rPr>
        <w:t xml:space="preserve"> officers </w:t>
      </w:r>
      <w:r w:rsidR="00B94B8F" w:rsidRPr="00CB4B93">
        <w:rPr>
          <w:lang w:val="en-CA"/>
        </w:rPr>
        <w:t xml:space="preserve">is planned for 2020. The sustainability of customs training </w:t>
      </w:r>
      <w:r w:rsidR="00633618" w:rsidRPr="00CB4B93">
        <w:rPr>
          <w:lang w:val="en-CA"/>
        </w:rPr>
        <w:t xml:space="preserve">is </w:t>
      </w:r>
      <w:r w:rsidR="00B94B8F" w:rsidRPr="00CB4B93">
        <w:rPr>
          <w:lang w:val="en-CA"/>
        </w:rPr>
        <w:t>ensured through a web page on the MPCEIP platform, which includes interactive tools to deliver training courses (online and in</w:t>
      </w:r>
      <w:r w:rsidRPr="00CB4B93">
        <w:rPr>
          <w:lang w:val="en-CA"/>
        </w:rPr>
        <w:t xml:space="preserve"> </w:t>
      </w:r>
      <w:r w:rsidR="00B94B8F" w:rsidRPr="00CB4B93">
        <w:rPr>
          <w:lang w:val="en-CA"/>
        </w:rPr>
        <w:t>person)</w:t>
      </w:r>
      <w:r w:rsidR="00820103" w:rsidRPr="00CB4B93">
        <w:rPr>
          <w:lang w:val="en-CA"/>
        </w:rPr>
        <w:t>, as well as</w:t>
      </w:r>
      <w:r w:rsidR="00B94B8F" w:rsidRPr="00CB4B93">
        <w:rPr>
          <w:lang w:val="en-CA"/>
        </w:rPr>
        <w:t xml:space="preserve"> discussion forums and consultation sections.</w:t>
      </w:r>
    </w:p>
    <w:p w14:paraId="75AF2DD2" w14:textId="578D05CB" w:rsidR="00987DF4" w:rsidRPr="00CB4B93" w:rsidRDefault="00B94B8F" w:rsidP="006F4327">
      <w:pPr>
        <w:pStyle w:val="Heading1"/>
        <w:rPr>
          <w:lang w:val="en-CA"/>
        </w:rPr>
      </w:pPr>
      <w:r w:rsidRPr="00CB4B93">
        <w:rPr>
          <w:lang w:val="en-CA"/>
        </w:rPr>
        <w:t xml:space="preserve">In addition, </w:t>
      </w:r>
      <w:r w:rsidR="00820103" w:rsidRPr="00CB4B93">
        <w:rPr>
          <w:lang w:val="en-CA"/>
        </w:rPr>
        <w:t xml:space="preserve">the Government of </w:t>
      </w:r>
      <w:r w:rsidR="00334AAC" w:rsidRPr="00CB4B93">
        <w:rPr>
          <w:lang w:val="en-CA"/>
        </w:rPr>
        <w:t xml:space="preserve">Ecuador </w:t>
      </w:r>
      <w:r w:rsidRPr="00CB4B93">
        <w:rPr>
          <w:lang w:val="en-CA"/>
        </w:rPr>
        <w:t xml:space="preserve">established </w:t>
      </w:r>
      <w:r w:rsidR="006F4327" w:rsidRPr="00CB4B93">
        <w:rPr>
          <w:lang w:val="en-CA"/>
        </w:rPr>
        <w:t>a ban on the manufacturing and import of HCFC</w:t>
      </w:r>
      <w:r w:rsidR="003736E8" w:rsidRPr="00CB4B93">
        <w:rPr>
          <w:lang w:val="en-CA"/>
        </w:rPr>
        <w:noBreakHyphen/>
      </w:r>
      <w:r w:rsidR="006F4327" w:rsidRPr="00CB4B93">
        <w:rPr>
          <w:lang w:val="en-CA"/>
        </w:rPr>
        <w:t>based air</w:t>
      </w:r>
      <w:r w:rsidR="00820103" w:rsidRPr="00CB4B93">
        <w:rPr>
          <w:lang w:val="en-CA"/>
        </w:rPr>
        <w:noBreakHyphen/>
      </w:r>
      <w:r w:rsidR="006F4327" w:rsidRPr="00CB4B93">
        <w:rPr>
          <w:lang w:val="en-CA"/>
        </w:rPr>
        <w:t xml:space="preserve">conditioners as of </w:t>
      </w:r>
      <w:r w:rsidR="005700BF" w:rsidRPr="00CB4B93">
        <w:rPr>
          <w:lang w:val="en-CA"/>
        </w:rPr>
        <w:t>1</w:t>
      </w:r>
      <w:r w:rsidR="00A1590D" w:rsidRPr="00CB4B93">
        <w:rPr>
          <w:lang w:val="en-CA"/>
        </w:rPr>
        <w:t> </w:t>
      </w:r>
      <w:r w:rsidR="005700BF" w:rsidRPr="00CB4B93">
        <w:rPr>
          <w:lang w:val="en-CA"/>
        </w:rPr>
        <w:t>January</w:t>
      </w:r>
      <w:r w:rsidR="00A1590D" w:rsidRPr="00CB4B93">
        <w:rPr>
          <w:lang w:val="en-CA"/>
        </w:rPr>
        <w:t> 2</w:t>
      </w:r>
      <w:r w:rsidR="005700BF" w:rsidRPr="00CB4B93">
        <w:rPr>
          <w:lang w:val="en-CA"/>
        </w:rPr>
        <w:t>019</w:t>
      </w:r>
      <w:r w:rsidR="006F4327" w:rsidRPr="00CB4B93">
        <w:rPr>
          <w:lang w:val="en-CA"/>
        </w:rPr>
        <w:t xml:space="preserve">, </w:t>
      </w:r>
      <w:r w:rsidR="00987DF4" w:rsidRPr="00CB4B93">
        <w:rPr>
          <w:lang w:val="en-CA"/>
        </w:rPr>
        <w:t>a</w:t>
      </w:r>
      <w:r w:rsidR="006F4327" w:rsidRPr="00CB4B93">
        <w:rPr>
          <w:lang w:val="en-CA"/>
        </w:rPr>
        <w:t xml:space="preserve"> ban on the manufacturing and import of domestic refrigeration equipment using HCFCs in thermal insulation and HCFCs and HFCs as refrigerants as of </w:t>
      </w:r>
      <w:r w:rsidR="005E257A" w:rsidRPr="00CB4B93">
        <w:rPr>
          <w:lang w:val="en-CA"/>
        </w:rPr>
        <w:t>1 </w:t>
      </w:r>
      <w:r w:rsidR="006F4327" w:rsidRPr="00CB4B93">
        <w:rPr>
          <w:lang w:val="en-CA"/>
        </w:rPr>
        <w:t>Marc</w:t>
      </w:r>
      <w:r w:rsidR="005E257A" w:rsidRPr="00CB4B93">
        <w:rPr>
          <w:lang w:val="en-CA"/>
        </w:rPr>
        <w:t>h </w:t>
      </w:r>
      <w:r w:rsidR="006F4327" w:rsidRPr="00CB4B93">
        <w:rPr>
          <w:lang w:val="en-CA"/>
        </w:rPr>
        <w:t>2019</w:t>
      </w:r>
      <w:r w:rsidR="00987DF4" w:rsidRPr="00CB4B93">
        <w:rPr>
          <w:lang w:val="en-CA"/>
        </w:rPr>
        <w:t>, and a ban on the import o</w:t>
      </w:r>
      <w:r w:rsidR="006F4327" w:rsidRPr="00CB4B93">
        <w:rPr>
          <w:lang w:val="en-CA"/>
        </w:rPr>
        <w:t>f HCFC-141b as a pure substance</w:t>
      </w:r>
      <w:r w:rsidR="006C4065" w:rsidRPr="00CB4B93">
        <w:rPr>
          <w:lang w:val="en-CA"/>
        </w:rPr>
        <w:t xml:space="preserve"> as of</w:t>
      </w:r>
      <w:r w:rsidR="006F4327" w:rsidRPr="00CB4B93">
        <w:rPr>
          <w:lang w:val="en-CA"/>
        </w:rPr>
        <w:t xml:space="preserve"> 1</w:t>
      </w:r>
      <w:r w:rsidR="005700BF" w:rsidRPr="00CB4B93">
        <w:rPr>
          <w:lang w:val="en-CA"/>
        </w:rPr>
        <w:t> </w:t>
      </w:r>
      <w:r w:rsidR="00A1590D" w:rsidRPr="00CB4B93">
        <w:rPr>
          <w:lang w:val="en-CA"/>
        </w:rPr>
        <w:t>January </w:t>
      </w:r>
      <w:r w:rsidR="006F4327" w:rsidRPr="00CB4B93">
        <w:rPr>
          <w:lang w:val="en-CA"/>
        </w:rPr>
        <w:t>2020</w:t>
      </w:r>
      <w:r w:rsidR="00987DF4" w:rsidRPr="00CB4B93">
        <w:rPr>
          <w:lang w:val="en-CA"/>
        </w:rPr>
        <w:t xml:space="preserve">. </w:t>
      </w:r>
    </w:p>
    <w:p w14:paraId="7EB1C400" w14:textId="6746AC9C" w:rsidR="00B83B78" w:rsidRPr="00CB4B93" w:rsidRDefault="00820103" w:rsidP="00334AAC">
      <w:pPr>
        <w:pStyle w:val="Heading1"/>
        <w:rPr>
          <w:lang w:val="en-CA"/>
        </w:rPr>
      </w:pPr>
      <w:r w:rsidRPr="00CB4B93">
        <w:rPr>
          <w:lang w:val="en-CA"/>
        </w:rPr>
        <w:t xml:space="preserve">The Government </w:t>
      </w:r>
      <w:r w:rsidR="00987DF4" w:rsidRPr="00CB4B93">
        <w:rPr>
          <w:lang w:val="en-CA"/>
        </w:rPr>
        <w:t>also</w:t>
      </w:r>
      <w:r w:rsidR="006F4327" w:rsidRPr="00CB4B93">
        <w:rPr>
          <w:lang w:val="en-CA"/>
        </w:rPr>
        <w:t xml:space="preserve"> committed to not issuing any import quota</w:t>
      </w:r>
      <w:r w:rsidR="006C4065" w:rsidRPr="00CB4B93">
        <w:rPr>
          <w:lang w:val="en-CA"/>
        </w:rPr>
        <w:t>s</w:t>
      </w:r>
      <w:r w:rsidR="006F4327" w:rsidRPr="00CB4B93">
        <w:rPr>
          <w:lang w:val="en-CA"/>
        </w:rPr>
        <w:t xml:space="preserve"> for HCFC</w:t>
      </w:r>
      <w:r w:rsidR="003736E8" w:rsidRPr="00CB4B93">
        <w:rPr>
          <w:lang w:val="en-CA"/>
        </w:rPr>
        <w:noBreakHyphen/>
      </w:r>
      <w:r w:rsidR="006F4327" w:rsidRPr="00CB4B93">
        <w:rPr>
          <w:lang w:val="en-CA"/>
        </w:rPr>
        <w:t>141b contained in pre</w:t>
      </w:r>
      <w:r w:rsidRPr="00CB4B93">
        <w:rPr>
          <w:lang w:val="en-CA"/>
        </w:rPr>
        <w:noBreakHyphen/>
      </w:r>
      <w:r w:rsidR="006F4327" w:rsidRPr="00CB4B93">
        <w:rPr>
          <w:lang w:val="en-CA"/>
        </w:rPr>
        <w:t>blended polyols</w:t>
      </w:r>
      <w:r w:rsidR="0018133D" w:rsidRPr="00CB4B93">
        <w:rPr>
          <w:lang w:val="en-CA"/>
        </w:rPr>
        <w:t xml:space="preserve"> as of 1 January 2020</w:t>
      </w:r>
      <w:r w:rsidR="006F4327" w:rsidRPr="00CB4B93">
        <w:rPr>
          <w:lang w:val="en-CA"/>
        </w:rPr>
        <w:t xml:space="preserve">, except for a maximum of 0.86 ODP tonnes (7.78 </w:t>
      </w:r>
      <w:proofErr w:type="spellStart"/>
      <w:r w:rsidRPr="00CB4B93">
        <w:rPr>
          <w:lang w:val="en-CA"/>
        </w:rPr>
        <w:t>mt</w:t>
      </w:r>
      <w:proofErr w:type="spellEnd"/>
      <w:r w:rsidR="006F4327" w:rsidRPr="00CB4B93">
        <w:rPr>
          <w:lang w:val="en-CA"/>
        </w:rPr>
        <w:t>) for the spray foam sector</w:t>
      </w:r>
      <w:r w:rsidR="0018133D" w:rsidRPr="00CB4B93">
        <w:rPr>
          <w:lang w:val="en-CA"/>
        </w:rPr>
        <w:t xml:space="preserve"> for 2020 and 2021</w:t>
      </w:r>
      <w:r w:rsidR="00052F80" w:rsidRPr="00CB4B93">
        <w:rPr>
          <w:lang w:val="en-CA"/>
        </w:rPr>
        <w:t>.</w:t>
      </w:r>
      <w:r w:rsidR="00F85A6B" w:rsidRPr="00CB4B93">
        <w:rPr>
          <w:lang w:val="en-CA"/>
        </w:rPr>
        <w:t xml:space="preserve"> </w:t>
      </w:r>
      <w:r w:rsidR="00D96D5B" w:rsidRPr="00CB4B93">
        <w:rPr>
          <w:lang w:val="en-CA"/>
        </w:rPr>
        <w:t>However, p</w:t>
      </w:r>
      <w:r w:rsidR="00F85A6B" w:rsidRPr="00CB4B93">
        <w:rPr>
          <w:lang w:val="en-CA"/>
        </w:rPr>
        <w:t>ostponing</w:t>
      </w:r>
      <w:r w:rsidR="00987DF4" w:rsidRPr="00CB4B93">
        <w:rPr>
          <w:lang w:val="en-CA"/>
        </w:rPr>
        <w:t xml:space="preserve"> the ban </w:t>
      </w:r>
      <w:r w:rsidR="00F85A6B" w:rsidRPr="00CB4B93">
        <w:rPr>
          <w:lang w:val="en-CA"/>
        </w:rPr>
        <w:t>on</w:t>
      </w:r>
      <w:r w:rsidR="00987DF4" w:rsidRPr="00CB4B93">
        <w:rPr>
          <w:lang w:val="en-CA"/>
        </w:rPr>
        <w:t xml:space="preserve"> imports of </w:t>
      </w:r>
      <w:r w:rsidR="00B83B78" w:rsidRPr="00CB4B93">
        <w:rPr>
          <w:lang w:val="en-CA"/>
        </w:rPr>
        <w:t>pre</w:t>
      </w:r>
      <w:r w:rsidR="00193D81" w:rsidRPr="00CB4B93">
        <w:rPr>
          <w:lang w:val="en-CA"/>
        </w:rPr>
        <w:noBreakHyphen/>
      </w:r>
      <w:r w:rsidR="00B83B78" w:rsidRPr="00CB4B93">
        <w:rPr>
          <w:lang w:val="en-CA"/>
        </w:rPr>
        <w:t>blended polyols with HCFC</w:t>
      </w:r>
      <w:r w:rsidR="00193D81" w:rsidRPr="00CB4B93">
        <w:rPr>
          <w:lang w:val="en-CA"/>
        </w:rPr>
        <w:noBreakHyphen/>
      </w:r>
      <w:r w:rsidR="00B83B78" w:rsidRPr="00CB4B93">
        <w:rPr>
          <w:lang w:val="en-CA"/>
        </w:rPr>
        <w:t xml:space="preserve">141b </w:t>
      </w:r>
      <w:r w:rsidR="00F85A6B" w:rsidRPr="00CB4B93">
        <w:rPr>
          <w:lang w:val="en-CA"/>
        </w:rPr>
        <w:t>to</w:t>
      </w:r>
      <w:r w:rsidR="00987DF4" w:rsidRPr="00CB4B93">
        <w:rPr>
          <w:lang w:val="en-CA"/>
        </w:rPr>
        <w:t xml:space="preserve"> 1</w:t>
      </w:r>
      <w:r w:rsidRPr="00CB4B93">
        <w:rPr>
          <w:lang w:val="en-CA"/>
        </w:rPr>
        <w:t> </w:t>
      </w:r>
      <w:r w:rsidR="00987DF4" w:rsidRPr="00CB4B93">
        <w:rPr>
          <w:lang w:val="en-CA"/>
        </w:rPr>
        <w:t>J</w:t>
      </w:r>
      <w:r w:rsidR="00B83B78" w:rsidRPr="00CB4B93">
        <w:rPr>
          <w:lang w:val="en-CA"/>
        </w:rPr>
        <w:t>anuary</w:t>
      </w:r>
      <w:r w:rsidRPr="00CB4B93">
        <w:rPr>
          <w:lang w:val="en-CA"/>
        </w:rPr>
        <w:t> </w:t>
      </w:r>
      <w:r w:rsidR="00B83B78" w:rsidRPr="00CB4B93">
        <w:rPr>
          <w:lang w:val="en-CA"/>
        </w:rPr>
        <w:t>2021</w:t>
      </w:r>
      <w:r w:rsidR="00A071C7" w:rsidRPr="00CB4B93">
        <w:rPr>
          <w:lang w:val="en-CA"/>
        </w:rPr>
        <w:t xml:space="preserve"> (except for spray foam, which is </w:t>
      </w:r>
      <w:r w:rsidR="00334AAC" w:rsidRPr="00CB4B93">
        <w:rPr>
          <w:lang w:val="en-CA"/>
        </w:rPr>
        <w:t xml:space="preserve">set to </w:t>
      </w:r>
      <w:r w:rsidR="00A071C7" w:rsidRPr="00CB4B93">
        <w:rPr>
          <w:lang w:val="en-CA"/>
        </w:rPr>
        <w:t>1 January 2022)</w:t>
      </w:r>
      <w:r w:rsidR="00987DF4" w:rsidRPr="00CB4B93">
        <w:rPr>
          <w:lang w:val="en-CA"/>
        </w:rPr>
        <w:t xml:space="preserve">, </w:t>
      </w:r>
      <w:r w:rsidR="00052F80" w:rsidRPr="00CB4B93">
        <w:rPr>
          <w:lang w:val="en-CA"/>
        </w:rPr>
        <w:t xml:space="preserve">once the </w:t>
      </w:r>
      <w:r w:rsidR="00987DF4" w:rsidRPr="00CB4B93">
        <w:rPr>
          <w:lang w:val="en-CA"/>
        </w:rPr>
        <w:t xml:space="preserve">PU foam </w:t>
      </w:r>
      <w:r w:rsidR="00052F80" w:rsidRPr="00CB4B93">
        <w:rPr>
          <w:lang w:val="en-CA"/>
        </w:rPr>
        <w:t xml:space="preserve">project </w:t>
      </w:r>
      <w:r w:rsidR="00F85A6B" w:rsidRPr="00CB4B93">
        <w:rPr>
          <w:lang w:val="en-CA"/>
        </w:rPr>
        <w:t>has been</w:t>
      </w:r>
      <w:r w:rsidR="00052F80" w:rsidRPr="00CB4B93">
        <w:rPr>
          <w:lang w:val="en-CA"/>
        </w:rPr>
        <w:t xml:space="preserve"> </w:t>
      </w:r>
      <w:r w:rsidRPr="00CB4B93">
        <w:rPr>
          <w:lang w:val="en-CA"/>
        </w:rPr>
        <w:t>completed</w:t>
      </w:r>
      <w:r w:rsidR="00DB0EE4" w:rsidRPr="00CB4B93">
        <w:rPr>
          <w:lang w:val="en-CA"/>
        </w:rPr>
        <w:t>,</w:t>
      </w:r>
      <w:r w:rsidRPr="00CB4B93">
        <w:rPr>
          <w:lang w:val="en-CA"/>
        </w:rPr>
        <w:t xml:space="preserve"> is </w:t>
      </w:r>
      <w:r w:rsidR="00C54DB4" w:rsidRPr="00CB4B93">
        <w:rPr>
          <w:lang w:val="en-CA"/>
        </w:rPr>
        <w:t xml:space="preserve">currently </w:t>
      </w:r>
      <w:r w:rsidRPr="00CB4B93">
        <w:rPr>
          <w:lang w:val="en-CA"/>
        </w:rPr>
        <w:t>under consideration</w:t>
      </w:r>
      <w:r w:rsidR="00B83B78" w:rsidRPr="00CB4B93">
        <w:rPr>
          <w:lang w:val="en-CA"/>
        </w:rPr>
        <w:t>.</w:t>
      </w:r>
    </w:p>
    <w:p w14:paraId="699E9525" w14:textId="00B8FFF5" w:rsidR="00D54581" w:rsidRPr="00CB4B93" w:rsidRDefault="00D54581" w:rsidP="00F04DC2">
      <w:pPr>
        <w:rPr>
          <w:i/>
          <w:lang w:val="en-CA"/>
        </w:rPr>
      </w:pPr>
      <w:r w:rsidRPr="00CB4B93">
        <w:rPr>
          <w:i/>
          <w:lang w:val="en-CA"/>
        </w:rPr>
        <w:t>Manufacturing sector</w:t>
      </w:r>
      <w:r w:rsidR="0009570C" w:rsidRPr="00CB4B93">
        <w:rPr>
          <w:i/>
          <w:lang w:val="en-CA"/>
        </w:rPr>
        <w:t xml:space="preserve"> </w:t>
      </w:r>
    </w:p>
    <w:p w14:paraId="03CCA36E" w14:textId="77777777" w:rsidR="00D54581" w:rsidRPr="00CB4B93" w:rsidRDefault="00D54581" w:rsidP="00F04DC2">
      <w:pPr>
        <w:rPr>
          <w:lang w:val="en-CA"/>
        </w:rPr>
      </w:pPr>
    </w:p>
    <w:p w14:paraId="082FAC24" w14:textId="2100685D" w:rsidR="0001128F" w:rsidRPr="00CB4B93" w:rsidRDefault="00626E47" w:rsidP="002C6903">
      <w:pPr>
        <w:pStyle w:val="Heading1"/>
        <w:rPr>
          <w:lang w:val="en-CA"/>
        </w:rPr>
      </w:pPr>
      <w:r w:rsidRPr="00CB4B93">
        <w:rPr>
          <w:lang w:val="en-CA"/>
        </w:rPr>
        <w:t>The largest domestic refrigeration enterprise (</w:t>
      </w:r>
      <w:proofErr w:type="spellStart"/>
      <w:r w:rsidRPr="00CB4B93">
        <w:rPr>
          <w:lang w:val="en-CA"/>
        </w:rPr>
        <w:t>In</w:t>
      </w:r>
      <w:r w:rsidR="00B83B78" w:rsidRPr="00CB4B93">
        <w:rPr>
          <w:lang w:val="en-CA"/>
        </w:rPr>
        <w:t>duglob</w:t>
      </w:r>
      <w:proofErr w:type="spellEnd"/>
      <w:r w:rsidRPr="00CB4B93">
        <w:rPr>
          <w:lang w:val="en-CA"/>
        </w:rPr>
        <w:t>)</w:t>
      </w:r>
      <w:r w:rsidR="00B83B78" w:rsidRPr="00CB4B93">
        <w:rPr>
          <w:lang w:val="en-CA"/>
        </w:rPr>
        <w:t xml:space="preserve"> converted </w:t>
      </w:r>
      <w:r w:rsidR="005700BF" w:rsidRPr="00CB4B93">
        <w:rPr>
          <w:lang w:val="en-CA"/>
        </w:rPr>
        <w:t xml:space="preserve">from the use of </w:t>
      </w:r>
      <w:r w:rsidR="00B83B78" w:rsidRPr="00CB4B93">
        <w:rPr>
          <w:lang w:val="en-CA"/>
        </w:rPr>
        <w:t>136</w:t>
      </w:r>
      <w:r w:rsidR="00193D81" w:rsidRPr="00CB4B93">
        <w:rPr>
          <w:lang w:val="en-CA"/>
        </w:rPr>
        <w:t> </w:t>
      </w:r>
      <w:proofErr w:type="spellStart"/>
      <w:r w:rsidR="00B83B78" w:rsidRPr="00CB4B93">
        <w:rPr>
          <w:lang w:val="en-CA"/>
        </w:rPr>
        <w:t>mt</w:t>
      </w:r>
      <w:proofErr w:type="spellEnd"/>
      <w:r w:rsidR="00B83B78" w:rsidRPr="00CB4B93">
        <w:rPr>
          <w:lang w:val="en-CA"/>
        </w:rPr>
        <w:t xml:space="preserve"> (14.96</w:t>
      </w:r>
      <w:r w:rsidR="0006593C" w:rsidRPr="00CB4B93">
        <w:rPr>
          <w:lang w:val="en-CA"/>
        </w:rPr>
        <w:t> </w:t>
      </w:r>
      <w:r w:rsidR="00B83B78" w:rsidRPr="00CB4B93">
        <w:rPr>
          <w:lang w:val="en-CA"/>
        </w:rPr>
        <w:t>ODP tonnes) of HCFC-141b contained in imported pre-blended polyols</w:t>
      </w:r>
      <w:r w:rsidR="005700BF" w:rsidRPr="00CB4B93">
        <w:rPr>
          <w:lang w:val="en-CA"/>
        </w:rPr>
        <w:t xml:space="preserve"> as insulation foam to </w:t>
      </w:r>
      <w:proofErr w:type="spellStart"/>
      <w:r w:rsidR="005700BF" w:rsidRPr="00CB4B93">
        <w:rPr>
          <w:lang w:val="en-CA"/>
        </w:rPr>
        <w:t>cyclopentane</w:t>
      </w:r>
      <w:proofErr w:type="spellEnd"/>
      <w:r w:rsidR="00B83B78" w:rsidRPr="00CB4B93">
        <w:rPr>
          <w:lang w:val="en-CA"/>
        </w:rPr>
        <w:t xml:space="preserve">. </w:t>
      </w:r>
      <w:r w:rsidR="005700BF" w:rsidRPr="00CB4B93">
        <w:rPr>
          <w:lang w:val="en-CA"/>
        </w:rPr>
        <w:t xml:space="preserve">It </w:t>
      </w:r>
      <w:r w:rsidRPr="00CB4B93">
        <w:rPr>
          <w:lang w:val="en-CA"/>
        </w:rPr>
        <w:t>a</w:t>
      </w:r>
      <w:r w:rsidR="002C6903" w:rsidRPr="00CB4B93">
        <w:rPr>
          <w:lang w:val="en-CA"/>
        </w:rPr>
        <w:t xml:space="preserve">lso </w:t>
      </w:r>
      <w:r w:rsidR="0001128F" w:rsidRPr="00CB4B93">
        <w:rPr>
          <w:lang w:val="en-CA"/>
        </w:rPr>
        <w:t>converted</w:t>
      </w:r>
      <w:r w:rsidR="009037BD" w:rsidRPr="00CB4B93">
        <w:rPr>
          <w:lang w:val="en-CA"/>
        </w:rPr>
        <w:t xml:space="preserve"> </w:t>
      </w:r>
      <w:r w:rsidR="00DB0EE4" w:rsidRPr="00CB4B93">
        <w:rPr>
          <w:lang w:val="en-CA"/>
        </w:rPr>
        <w:t xml:space="preserve">from </w:t>
      </w:r>
      <w:r w:rsidR="0001128F" w:rsidRPr="00CB4B93">
        <w:rPr>
          <w:lang w:val="en-CA"/>
        </w:rPr>
        <w:t xml:space="preserve">the use of </w:t>
      </w:r>
      <w:r w:rsidR="002C6903" w:rsidRPr="00CB4B93">
        <w:rPr>
          <w:lang w:val="en-CA"/>
        </w:rPr>
        <w:t>HFC-134a</w:t>
      </w:r>
      <w:r w:rsidR="0001128F" w:rsidRPr="00CB4B93">
        <w:rPr>
          <w:lang w:val="en-CA"/>
        </w:rPr>
        <w:t xml:space="preserve"> for </w:t>
      </w:r>
      <w:r w:rsidR="002C6903" w:rsidRPr="00CB4B93">
        <w:rPr>
          <w:lang w:val="en-CA"/>
        </w:rPr>
        <w:t xml:space="preserve">the refrigeration system </w:t>
      </w:r>
      <w:r w:rsidR="0001128F" w:rsidRPr="00CB4B93">
        <w:rPr>
          <w:lang w:val="en-CA"/>
        </w:rPr>
        <w:t>to R</w:t>
      </w:r>
      <w:r w:rsidR="00052F80" w:rsidRPr="00CB4B93">
        <w:rPr>
          <w:lang w:val="en-US"/>
        </w:rPr>
        <w:t>-</w:t>
      </w:r>
      <w:r w:rsidR="0001128F" w:rsidRPr="00CB4B93">
        <w:rPr>
          <w:lang w:val="en-CA"/>
        </w:rPr>
        <w:t>600a</w:t>
      </w:r>
      <w:r w:rsidR="00DB0EE4" w:rsidRPr="00CB4B93">
        <w:rPr>
          <w:lang w:val="en-CA"/>
        </w:rPr>
        <w:t xml:space="preserve"> with its own funding</w:t>
      </w:r>
      <w:r w:rsidR="002C6903" w:rsidRPr="00CB4B93">
        <w:rPr>
          <w:lang w:val="en-CA"/>
        </w:rPr>
        <w:t>.</w:t>
      </w:r>
    </w:p>
    <w:p w14:paraId="09D198D2" w14:textId="0AF59796" w:rsidR="00A14551" w:rsidRPr="00CB4B93" w:rsidRDefault="00A14551" w:rsidP="00A14551">
      <w:pPr>
        <w:pStyle w:val="Heading1"/>
        <w:rPr>
          <w:lang w:val="en-CA"/>
        </w:rPr>
      </w:pPr>
      <w:r w:rsidRPr="00CB4B93">
        <w:rPr>
          <w:lang w:val="en-CA"/>
        </w:rPr>
        <w:t xml:space="preserve">The PU foam sector plan to phase out 44.10 </w:t>
      </w:r>
      <w:proofErr w:type="spellStart"/>
      <w:r w:rsidRPr="00CB4B93">
        <w:rPr>
          <w:lang w:val="en-CA"/>
        </w:rPr>
        <w:t>mt</w:t>
      </w:r>
      <w:proofErr w:type="spellEnd"/>
      <w:r w:rsidRPr="00CB4B93">
        <w:rPr>
          <w:lang w:val="en-CA"/>
        </w:rPr>
        <w:t xml:space="preserve"> (4.85</w:t>
      </w:r>
      <w:r w:rsidR="001379B6" w:rsidRPr="00CB4B93">
        <w:rPr>
          <w:lang w:val="en-CA"/>
        </w:rPr>
        <w:t> </w:t>
      </w:r>
      <w:r w:rsidRPr="00CB4B93">
        <w:rPr>
          <w:lang w:val="en-CA"/>
        </w:rPr>
        <w:t>ODP</w:t>
      </w:r>
      <w:r w:rsidR="001379B6" w:rsidRPr="00CB4B93">
        <w:rPr>
          <w:lang w:val="en-CA"/>
        </w:rPr>
        <w:t> </w:t>
      </w:r>
      <w:r w:rsidRPr="00CB4B93">
        <w:rPr>
          <w:lang w:val="en-CA"/>
        </w:rPr>
        <w:t>tonnes) of HCFC</w:t>
      </w:r>
      <w:r w:rsidRPr="00CB4B93">
        <w:rPr>
          <w:lang w:val="en-CA"/>
        </w:rPr>
        <w:noBreakHyphen/>
        <w:t>141b contained in imported pre</w:t>
      </w:r>
      <w:r w:rsidRPr="00CB4B93">
        <w:rPr>
          <w:lang w:val="en-CA"/>
        </w:rPr>
        <w:noBreakHyphen/>
        <w:t>blended polyols</w:t>
      </w:r>
      <w:r w:rsidR="005700BF" w:rsidRPr="00CB4B93">
        <w:rPr>
          <w:lang w:val="en-CA"/>
        </w:rPr>
        <w:t>,</w:t>
      </w:r>
      <w:r w:rsidRPr="00CB4B93">
        <w:rPr>
          <w:lang w:val="en-CA"/>
        </w:rPr>
        <w:t xml:space="preserve"> </w:t>
      </w:r>
      <w:r w:rsidR="00A1197C" w:rsidRPr="00CB4B93">
        <w:rPr>
          <w:lang w:val="en-CA"/>
        </w:rPr>
        <w:t>approved as part of stage I of the HPMP at the 81</w:t>
      </w:r>
      <w:r w:rsidR="00A1197C" w:rsidRPr="00CB4B93">
        <w:rPr>
          <w:vertAlign w:val="superscript"/>
          <w:lang w:val="en-CA"/>
        </w:rPr>
        <w:t>st</w:t>
      </w:r>
      <w:r w:rsidR="00A1197C" w:rsidRPr="00CB4B93">
        <w:rPr>
          <w:lang w:val="en-CA"/>
        </w:rPr>
        <w:t xml:space="preserve"> meeting, </w:t>
      </w:r>
      <w:r w:rsidRPr="00CB4B93">
        <w:rPr>
          <w:lang w:val="en-CA"/>
        </w:rPr>
        <w:t xml:space="preserve">is currently being implemented. </w:t>
      </w:r>
      <w:r w:rsidR="00A1197C" w:rsidRPr="00CB4B93">
        <w:rPr>
          <w:lang w:val="en-CA"/>
        </w:rPr>
        <w:t xml:space="preserve">Foam </w:t>
      </w:r>
      <w:r w:rsidRPr="00CB4B93">
        <w:rPr>
          <w:lang w:val="en-CA"/>
        </w:rPr>
        <w:t xml:space="preserve">enterprises </w:t>
      </w:r>
      <w:r w:rsidR="001379B6" w:rsidRPr="00CB4B93">
        <w:rPr>
          <w:lang w:val="en-CA"/>
        </w:rPr>
        <w:t>completed their first stage of</w:t>
      </w:r>
      <w:r w:rsidRPr="00CB4B93">
        <w:rPr>
          <w:lang w:val="en-CA"/>
        </w:rPr>
        <w:t xml:space="preserve"> testing HFO, CO</w:t>
      </w:r>
      <w:r w:rsidRPr="00CB4B93">
        <w:rPr>
          <w:vertAlign w:val="subscript"/>
          <w:lang w:val="en-CA"/>
        </w:rPr>
        <w:t>2</w:t>
      </w:r>
      <w:r w:rsidRPr="00CB4B93">
        <w:rPr>
          <w:lang w:val="en-CA"/>
        </w:rPr>
        <w:t>, pre</w:t>
      </w:r>
      <w:r w:rsidRPr="00CB4B93">
        <w:rPr>
          <w:lang w:val="en-CA"/>
        </w:rPr>
        <w:noBreakHyphen/>
        <w:t xml:space="preserve">blended </w:t>
      </w:r>
      <w:r w:rsidR="00C12F8B" w:rsidRPr="00CB4B93">
        <w:rPr>
          <w:lang w:val="en-CA"/>
        </w:rPr>
        <w:t>hydrocarbon (</w:t>
      </w:r>
      <w:r w:rsidRPr="00CB4B93">
        <w:rPr>
          <w:lang w:val="en-CA"/>
        </w:rPr>
        <w:t>HC</w:t>
      </w:r>
      <w:r w:rsidR="00C12F8B" w:rsidRPr="00CB4B93">
        <w:rPr>
          <w:lang w:val="en-CA"/>
        </w:rPr>
        <w:t>)</w:t>
      </w:r>
      <w:r w:rsidRPr="00CB4B93">
        <w:rPr>
          <w:lang w:val="en-CA"/>
        </w:rPr>
        <w:t>, and water</w:t>
      </w:r>
      <w:r w:rsidRPr="00CB4B93">
        <w:rPr>
          <w:lang w:val="en-CA"/>
        </w:rPr>
        <w:noBreakHyphen/>
        <w:t xml:space="preserve">based technologies with </w:t>
      </w:r>
      <w:r w:rsidR="001379B6" w:rsidRPr="00CB4B93">
        <w:rPr>
          <w:lang w:val="en-CA"/>
        </w:rPr>
        <w:t>positive</w:t>
      </w:r>
      <w:r w:rsidRPr="00CB4B93">
        <w:rPr>
          <w:lang w:val="en-CA"/>
        </w:rPr>
        <w:t xml:space="preserve"> results</w:t>
      </w:r>
      <w:r w:rsidR="0006593C" w:rsidRPr="00CB4B93">
        <w:rPr>
          <w:lang w:val="en-CA"/>
        </w:rPr>
        <w:t>;</w:t>
      </w:r>
      <w:r w:rsidRPr="00CB4B93">
        <w:rPr>
          <w:lang w:val="en-CA"/>
        </w:rPr>
        <w:t xml:space="preserve"> </w:t>
      </w:r>
      <w:r w:rsidR="00A1197C" w:rsidRPr="00CB4B93">
        <w:rPr>
          <w:lang w:val="en-CA"/>
        </w:rPr>
        <w:t xml:space="preserve">the </w:t>
      </w:r>
      <w:r w:rsidRPr="00CB4B93">
        <w:rPr>
          <w:lang w:val="en-CA"/>
        </w:rPr>
        <w:t xml:space="preserve">second stage </w:t>
      </w:r>
      <w:r w:rsidR="00B83BB4" w:rsidRPr="00CB4B93">
        <w:rPr>
          <w:lang w:val="en-CA"/>
        </w:rPr>
        <w:t xml:space="preserve">of testing </w:t>
      </w:r>
      <w:r w:rsidRPr="00CB4B93">
        <w:rPr>
          <w:lang w:val="en-CA"/>
        </w:rPr>
        <w:t xml:space="preserve">will be completed during 2020. It is expected that by the end of 2020, </w:t>
      </w:r>
      <w:r w:rsidR="00A1197C" w:rsidRPr="00CB4B93">
        <w:rPr>
          <w:lang w:val="en-CA"/>
        </w:rPr>
        <w:t xml:space="preserve">foam </w:t>
      </w:r>
      <w:r w:rsidRPr="00CB4B93">
        <w:rPr>
          <w:lang w:val="en-CA"/>
        </w:rPr>
        <w:t xml:space="preserve">producers of continuous and discontinuous panels </w:t>
      </w:r>
      <w:r w:rsidR="00A1197C" w:rsidRPr="00CB4B93">
        <w:rPr>
          <w:lang w:val="en-CA"/>
        </w:rPr>
        <w:t xml:space="preserve">and </w:t>
      </w:r>
      <w:r w:rsidRPr="00CB4B93">
        <w:rPr>
          <w:lang w:val="en-CA"/>
        </w:rPr>
        <w:t>other commercial applications, except spray, will decide on a</w:t>
      </w:r>
      <w:r w:rsidR="001379B6" w:rsidRPr="00CB4B93">
        <w:rPr>
          <w:lang w:val="en-CA"/>
        </w:rPr>
        <w:t xml:space="preserve"> low</w:t>
      </w:r>
      <w:r w:rsidR="001379B6" w:rsidRPr="00CB4B93">
        <w:rPr>
          <w:lang w:val="en-CA"/>
        </w:rPr>
        <w:noBreakHyphen/>
        <w:t>global warming potential (GWP)</w:t>
      </w:r>
      <w:r w:rsidR="00D27F9D">
        <w:rPr>
          <w:lang w:val="en-CA"/>
        </w:rPr>
        <w:t xml:space="preserve"> </w:t>
      </w:r>
      <w:r w:rsidRPr="00CB4B93">
        <w:rPr>
          <w:lang w:val="en-CA"/>
        </w:rPr>
        <w:t>alternative</w:t>
      </w:r>
      <w:r w:rsidR="00A1197C" w:rsidRPr="00CB4B93">
        <w:rPr>
          <w:lang w:val="en-CA"/>
        </w:rPr>
        <w:t xml:space="preserve"> to HCFC-141b</w:t>
      </w:r>
      <w:r w:rsidRPr="00CB4B93">
        <w:rPr>
          <w:lang w:val="en-CA"/>
        </w:rPr>
        <w:t xml:space="preserve">. </w:t>
      </w:r>
    </w:p>
    <w:p w14:paraId="747B55A9" w14:textId="76F16614" w:rsidR="00633618" w:rsidRPr="00CB4B93" w:rsidRDefault="008E6C53" w:rsidP="00633618">
      <w:pPr>
        <w:pStyle w:val="Heading1"/>
        <w:rPr>
          <w:lang w:val="en-CA"/>
        </w:rPr>
      </w:pPr>
      <w:r w:rsidRPr="00CB4B93">
        <w:rPr>
          <w:lang w:val="en-CA"/>
        </w:rPr>
        <w:t>O</w:t>
      </w:r>
      <w:r w:rsidR="00633618" w:rsidRPr="00CB4B93">
        <w:rPr>
          <w:lang w:val="en-CA"/>
        </w:rPr>
        <w:t xml:space="preserve">ne </w:t>
      </w:r>
      <w:r w:rsidRPr="00CB4B93">
        <w:rPr>
          <w:lang w:val="en-CA"/>
        </w:rPr>
        <w:t xml:space="preserve">domestic refrigeration </w:t>
      </w:r>
      <w:r w:rsidR="00A14551" w:rsidRPr="00CB4B93">
        <w:rPr>
          <w:lang w:val="en-CA"/>
        </w:rPr>
        <w:t>enterprise</w:t>
      </w:r>
      <w:r w:rsidRPr="00CB4B93">
        <w:rPr>
          <w:lang w:val="en-CA"/>
        </w:rPr>
        <w:t xml:space="preserve"> (</w:t>
      </w:r>
      <w:proofErr w:type="spellStart"/>
      <w:r w:rsidRPr="00CB4B93">
        <w:rPr>
          <w:lang w:val="en-CA"/>
        </w:rPr>
        <w:t>Ecasa</w:t>
      </w:r>
      <w:proofErr w:type="spellEnd"/>
      <w:r w:rsidRPr="00CB4B93">
        <w:rPr>
          <w:lang w:val="en-CA"/>
        </w:rPr>
        <w:t>)</w:t>
      </w:r>
      <w:r w:rsidR="00633618" w:rsidRPr="00CB4B93">
        <w:rPr>
          <w:lang w:val="en-CA"/>
        </w:rPr>
        <w:t xml:space="preserve"> completed the </w:t>
      </w:r>
      <w:r w:rsidR="00A1197C" w:rsidRPr="00CB4B93">
        <w:rPr>
          <w:lang w:val="en-CA"/>
        </w:rPr>
        <w:t xml:space="preserve">conversion of the foam insulation of </w:t>
      </w:r>
      <w:r w:rsidR="00633618" w:rsidRPr="00CB4B93">
        <w:rPr>
          <w:lang w:val="en-CA"/>
        </w:rPr>
        <w:t>panel</w:t>
      </w:r>
      <w:r w:rsidR="00A1197C" w:rsidRPr="00CB4B93">
        <w:rPr>
          <w:lang w:val="en-CA"/>
        </w:rPr>
        <w:t>s</w:t>
      </w:r>
      <w:r w:rsidR="00633618" w:rsidRPr="00CB4B93">
        <w:rPr>
          <w:lang w:val="en-CA"/>
        </w:rPr>
        <w:t xml:space="preserve"> to pre-blended HC. However, due to budget restrictions, it has been unable to convert with its own funding the refrigeration part of the process from HFC</w:t>
      </w:r>
      <w:r w:rsidR="00633618" w:rsidRPr="00CB4B93">
        <w:rPr>
          <w:lang w:val="en-CA"/>
        </w:rPr>
        <w:noBreakHyphen/>
        <w:t>134a and R</w:t>
      </w:r>
      <w:r w:rsidR="00633618" w:rsidRPr="00CB4B93">
        <w:rPr>
          <w:lang w:val="en-CA"/>
        </w:rPr>
        <w:noBreakHyphen/>
        <w:t xml:space="preserve">404A to </w:t>
      </w:r>
      <w:proofErr w:type="spellStart"/>
      <w:r w:rsidR="00633618" w:rsidRPr="00CB4B93">
        <w:rPr>
          <w:lang w:val="en-CA"/>
        </w:rPr>
        <w:t>isobutane</w:t>
      </w:r>
      <w:proofErr w:type="spellEnd"/>
      <w:r w:rsidR="00633618" w:rsidRPr="00CB4B93">
        <w:rPr>
          <w:lang w:val="en-CA"/>
        </w:rPr>
        <w:t xml:space="preserve"> (R-600a) and propane (R-290)</w:t>
      </w:r>
      <w:r w:rsidR="00A1197C" w:rsidRPr="00CB4B93">
        <w:rPr>
          <w:lang w:val="en-CA"/>
        </w:rPr>
        <w:t>, respectively</w:t>
      </w:r>
      <w:r w:rsidR="00633618" w:rsidRPr="00CB4B93">
        <w:rPr>
          <w:lang w:val="en-CA"/>
        </w:rPr>
        <w:t xml:space="preserve">. Thus, </w:t>
      </w:r>
      <w:proofErr w:type="spellStart"/>
      <w:r w:rsidR="00633618" w:rsidRPr="00CB4B93">
        <w:rPr>
          <w:lang w:val="en-CA"/>
        </w:rPr>
        <w:t>Ecasa</w:t>
      </w:r>
      <w:proofErr w:type="spellEnd"/>
      <w:r w:rsidR="00633618" w:rsidRPr="00CB4B93">
        <w:rPr>
          <w:lang w:val="en-CA"/>
        </w:rPr>
        <w:t xml:space="preserve"> has been importing rather than producing equipment with </w:t>
      </w:r>
      <w:proofErr w:type="spellStart"/>
      <w:r w:rsidR="00633618" w:rsidRPr="00CB4B93">
        <w:rPr>
          <w:lang w:val="en-CA"/>
        </w:rPr>
        <w:t>isobut</w:t>
      </w:r>
      <w:r w:rsidR="00193D81" w:rsidRPr="00CB4B93">
        <w:rPr>
          <w:lang w:val="en-CA"/>
        </w:rPr>
        <w:t>a</w:t>
      </w:r>
      <w:r w:rsidR="00633618" w:rsidRPr="00CB4B93">
        <w:rPr>
          <w:lang w:val="en-CA"/>
        </w:rPr>
        <w:t>ne</w:t>
      </w:r>
      <w:proofErr w:type="spellEnd"/>
      <w:r w:rsidR="00633618" w:rsidRPr="00CB4B93">
        <w:rPr>
          <w:lang w:val="en-CA"/>
        </w:rPr>
        <w:t xml:space="preserve"> and propane at a lower cost, reducing </w:t>
      </w:r>
      <w:r w:rsidR="00F85A6B" w:rsidRPr="00CB4B93">
        <w:rPr>
          <w:lang w:val="en-CA"/>
        </w:rPr>
        <w:t>its</w:t>
      </w:r>
      <w:r w:rsidR="00633618" w:rsidRPr="00CB4B93">
        <w:rPr>
          <w:lang w:val="en-CA"/>
        </w:rPr>
        <w:t xml:space="preserve"> production until new investments are </w:t>
      </w:r>
      <w:r w:rsidR="00A1197C" w:rsidRPr="00CB4B93">
        <w:rPr>
          <w:lang w:val="en-CA"/>
        </w:rPr>
        <w:t>secured by the enterprise</w:t>
      </w:r>
      <w:r w:rsidR="00633618" w:rsidRPr="00CB4B93">
        <w:rPr>
          <w:lang w:val="en-CA"/>
        </w:rPr>
        <w:t xml:space="preserve">. </w:t>
      </w:r>
    </w:p>
    <w:p w14:paraId="176D741B" w14:textId="0E4339D3" w:rsidR="003B70BF" w:rsidRPr="00CB4B93" w:rsidRDefault="00A1197C" w:rsidP="008D2C2B">
      <w:pPr>
        <w:pStyle w:val="Heading1"/>
        <w:rPr>
          <w:lang w:val="en-CA"/>
        </w:rPr>
      </w:pPr>
      <w:r w:rsidRPr="00CB4B93">
        <w:rPr>
          <w:lang w:val="en-CA"/>
        </w:rPr>
        <w:t xml:space="preserve">UNIDO has identified seven new </w:t>
      </w:r>
      <w:r w:rsidR="00C577E3" w:rsidRPr="00CB4B93">
        <w:rPr>
          <w:lang w:val="en-CA"/>
        </w:rPr>
        <w:t xml:space="preserve">foam enterprises that are stakeholders </w:t>
      </w:r>
      <w:r w:rsidRPr="00CB4B93">
        <w:rPr>
          <w:lang w:val="en-CA"/>
        </w:rPr>
        <w:t>of the PU foam sector plan</w:t>
      </w:r>
      <w:r w:rsidR="00C577E3" w:rsidRPr="00CB4B93">
        <w:rPr>
          <w:lang w:val="en-CA"/>
        </w:rPr>
        <w:t xml:space="preserve">; these enterprises </w:t>
      </w:r>
      <w:r w:rsidRPr="00CB4B93">
        <w:rPr>
          <w:lang w:val="en-CA"/>
        </w:rPr>
        <w:t>receive</w:t>
      </w:r>
      <w:r w:rsidR="00C577E3" w:rsidRPr="00CB4B93">
        <w:rPr>
          <w:lang w:val="en-CA"/>
        </w:rPr>
        <w:t>d</w:t>
      </w:r>
      <w:r w:rsidRPr="00CB4B93">
        <w:rPr>
          <w:lang w:val="en-CA"/>
        </w:rPr>
        <w:t xml:space="preserve"> information about technical and risk aspects of low</w:t>
      </w:r>
      <w:r w:rsidRPr="00CB4B93">
        <w:rPr>
          <w:lang w:val="en-CA"/>
        </w:rPr>
        <w:noBreakHyphen/>
        <w:t>GWP blowing agents</w:t>
      </w:r>
      <w:r w:rsidR="00810F19" w:rsidRPr="00CB4B93">
        <w:rPr>
          <w:lang w:val="en-CA"/>
        </w:rPr>
        <w:t>,</w:t>
      </w:r>
      <w:r w:rsidRPr="00CB4B93">
        <w:rPr>
          <w:lang w:val="en-CA"/>
        </w:rPr>
        <w:t xml:space="preserve"> </w:t>
      </w:r>
      <w:r w:rsidR="00810F19" w:rsidRPr="00CB4B93">
        <w:rPr>
          <w:lang w:val="en-CA"/>
        </w:rPr>
        <w:t>b</w:t>
      </w:r>
      <w:r w:rsidR="00C577E3" w:rsidRPr="00CB4B93">
        <w:rPr>
          <w:lang w:val="en-CA"/>
        </w:rPr>
        <w:t xml:space="preserve">ut </w:t>
      </w:r>
      <w:r w:rsidRPr="00CB4B93">
        <w:rPr>
          <w:lang w:val="en-CA"/>
        </w:rPr>
        <w:t xml:space="preserve">will convert with their own resources. </w:t>
      </w:r>
      <w:r w:rsidR="00DB0EE4" w:rsidRPr="00CB4B93">
        <w:rPr>
          <w:lang w:val="en-CA"/>
        </w:rPr>
        <w:t>In order to</w:t>
      </w:r>
      <w:r w:rsidR="003B70BF" w:rsidRPr="00CB4B93">
        <w:rPr>
          <w:lang w:val="en-CA"/>
        </w:rPr>
        <w:t xml:space="preserve"> allow</w:t>
      </w:r>
      <w:r w:rsidR="008E6C53" w:rsidRPr="00CB4B93">
        <w:rPr>
          <w:lang w:val="en-CA"/>
        </w:rPr>
        <w:t xml:space="preserve"> </w:t>
      </w:r>
      <w:r w:rsidR="00C577E3" w:rsidRPr="00CB4B93">
        <w:rPr>
          <w:lang w:val="en-CA"/>
        </w:rPr>
        <w:t xml:space="preserve">these and </w:t>
      </w:r>
      <w:r w:rsidR="008E6C53" w:rsidRPr="00CB4B93">
        <w:rPr>
          <w:lang w:val="en-CA"/>
        </w:rPr>
        <w:t>other</w:t>
      </w:r>
      <w:r w:rsidR="003B70BF" w:rsidRPr="00CB4B93">
        <w:rPr>
          <w:lang w:val="en-CA"/>
        </w:rPr>
        <w:t xml:space="preserve"> enterprises </w:t>
      </w:r>
      <w:r w:rsidR="00DB0EE4" w:rsidRPr="00CB4B93">
        <w:rPr>
          <w:lang w:val="en-CA"/>
        </w:rPr>
        <w:t xml:space="preserve">to </w:t>
      </w:r>
      <w:r w:rsidR="006C1A37" w:rsidRPr="00CB4B93">
        <w:rPr>
          <w:lang w:val="en-CA"/>
        </w:rPr>
        <w:t>complete tests with low</w:t>
      </w:r>
      <w:r w:rsidR="006C4065" w:rsidRPr="00CB4B93">
        <w:rPr>
          <w:lang w:val="en-CA"/>
        </w:rPr>
        <w:t>-</w:t>
      </w:r>
      <w:r w:rsidR="003B70BF" w:rsidRPr="00CB4B93">
        <w:rPr>
          <w:lang w:val="en-CA"/>
        </w:rPr>
        <w:t xml:space="preserve">GWP alternative blowing agents and the associated conversion of their manufacturing processes, the Government of Ecuador </w:t>
      </w:r>
      <w:r w:rsidR="00DB0EE4" w:rsidRPr="00CB4B93">
        <w:rPr>
          <w:lang w:val="en-CA"/>
        </w:rPr>
        <w:t>is</w:t>
      </w:r>
      <w:r w:rsidR="003B70BF" w:rsidRPr="00CB4B93">
        <w:rPr>
          <w:lang w:val="en-CA"/>
        </w:rPr>
        <w:t xml:space="preserve"> conside</w:t>
      </w:r>
      <w:r w:rsidR="00DB0EE4" w:rsidRPr="00CB4B93">
        <w:rPr>
          <w:lang w:val="en-CA"/>
        </w:rPr>
        <w:t>ring</w:t>
      </w:r>
      <w:r w:rsidR="003B70BF" w:rsidRPr="00CB4B93">
        <w:rPr>
          <w:lang w:val="en-CA"/>
        </w:rPr>
        <w:t xml:space="preserve"> the </w:t>
      </w:r>
      <w:r w:rsidR="00DB0EE4" w:rsidRPr="00CB4B93">
        <w:rPr>
          <w:lang w:val="en-CA"/>
        </w:rPr>
        <w:t>possibility of postponing</w:t>
      </w:r>
      <w:r w:rsidR="003B70BF" w:rsidRPr="00CB4B93">
        <w:rPr>
          <w:lang w:val="en-CA"/>
        </w:rPr>
        <w:t xml:space="preserve"> the ban on imports of HCFC-141b contained in imported pre</w:t>
      </w:r>
      <w:r w:rsidR="00955E05" w:rsidRPr="00CB4B93">
        <w:rPr>
          <w:lang w:val="en-CA"/>
        </w:rPr>
        <w:noBreakHyphen/>
      </w:r>
      <w:r w:rsidR="003B70BF" w:rsidRPr="00CB4B93">
        <w:rPr>
          <w:lang w:val="en-CA"/>
        </w:rPr>
        <w:t>blended polyols from 1</w:t>
      </w:r>
      <w:r w:rsidR="00DB0EE4" w:rsidRPr="00CB4B93">
        <w:rPr>
          <w:lang w:val="en-CA"/>
        </w:rPr>
        <w:t> </w:t>
      </w:r>
      <w:r w:rsidR="003B70BF" w:rsidRPr="00CB4B93">
        <w:rPr>
          <w:lang w:val="en-CA"/>
        </w:rPr>
        <w:t>January 2020 to 1 January 2021</w:t>
      </w:r>
      <w:r w:rsidRPr="00CB4B93">
        <w:rPr>
          <w:lang w:val="en-CA"/>
        </w:rPr>
        <w:t>,</w:t>
      </w:r>
      <w:r w:rsidR="003B70BF" w:rsidRPr="00CB4B93">
        <w:rPr>
          <w:lang w:val="en-CA"/>
        </w:rPr>
        <w:t xml:space="preserve"> except for spray foam users, wh</w:t>
      </w:r>
      <w:r w:rsidR="00DB0EE4" w:rsidRPr="00CB4B93">
        <w:rPr>
          <w:lang w:val="en-CA"/>
        </w:rPr>
        <w:t>o</w:t>
      </w:r>
      <w:r w:rsidR="003B70BF" w:rsidRPr="00CB4B93">
        <w:rPr>
          <w:lang w:val="en-CA"/>
        </w:rPr>
        <w:t xml:space="preserve"> have a later deadline</w:t>
      </w:r>
      <w:r w:rsidR="00C7198B" w:rsidRPr="00CB4B93">
        <w:rPr>
          <w:lang w:val="en-CA"/>
        </w:rPr>
        <w:t>,</w:t>
      </w:r>
      <w:r w:rsidR="00900D10" w:rsidRPr="00CB4B93">
        <w:rPr>
          <w:lang w:val="en-CA"/>
        </w:rPr>
        <w:t xml:space="preserve"> 1 January 2022.</w:t>
      </w:r>
    </w:p>
    <w:p w14:paraId="71EC3635" w14:textId="77777777" w:rsidR="00D54581" w:rsidRPr="00CB4B93" w:rsidRDefault="00D54581" w:rsidP="00F04DC2">
      <w:pPr>
        <w:rPr>
          <w:i/>
          <w:lang w:val="en-CA"/>
        </w:rPr>
      </w:pPr>
      <w:r w:rsidRPr="00CB4B93">
        <w:rPr>
          <w:i/>
          <w:lang w:val="en-CA"/>
        </w:rPr>
        <w:t>Refrigeration servicing sector</w:t>
      </w:r>
    </w:p>
    <w:p w14:paraId="0DE89501" w14:textId="77777777" w:rsidR="00D54581" w:rsidRPr="00CB4B93" w:rsidRDefault="00D54581" w:rsidP="00F04DC2">
      <w:pPr>
        <w:rPr>
          <w:lang w:val="en-CA"/>
        </w:rPr>
      </w:pPr>
    </w:p>
    <w:p w14:paraId="0431C62E" w14:textId="44302D6F" w:rsidR="00A1669E" w:rsidRPr="00CB4B93" w:rsidRDefault="00DC2821" w:rsidP="00A1669E">
      <w:pPr>
        <w:pStyle w:val="Heading1"/>
        <w:rPr>
          <w:lang w:val="en-CA"/>
        </w:rPr>
      </w:pPr>
      <w:r w:rsidRPr="00CB4B93">
        <w:rPr>
          <w:lang w:val="en-CA"/>
        </w:rPr>
        <w:t>The following activities continue</w:t>
      </w:r>
      <w:r w:rsidR="00A1669E" w:rsidRPr="00CB4B93">
        <w:rPr>
          <w:lang w:val="en-CA"/>
        </w:rPr>
        <w:t xml:space="preserve"> to be implemented</w:t>
      </w:r>
      <w:r w:rsidRPr="00CB4B93">
        <w:rPr>
          <w:lang w:val="en-CA"/>
        </w:rPr>
        <w:t>:</w:t>
      </w:r>
      <w:r w:rsidR="00A1669E" w:rsidRPr="00CB4B93">
        <w:rPr>
          <w:i/>
          <w:u w:val="single"/>
          <w:lang w:val="en-CA"/>
        </w:rPr>
        <w:t xml:space="preserve"> </w:t>
      </w:r>
    </w:p>
    <w:p w14:paraId="5C7CDAF3" w14:textId="46A81A28" w:rsidR="00A83AEA" w:rsidRPr="00CB4B93" w:rsidRDefault="008569E8" w:rsidP="00A83AEA">
      <w:pPr>
        <w:pStyle w:val="Heading1"/>
        <w:numPr>
          <w:ilvl w:val="0"/>
          <w:numId w:val="0"/>
        </w:numPr>
        <w:rPr>
          <w:i/>
          <w:u w:val="single"/>
          <w:lang w:val="en-CA"/>
        </w:rPr>
      </w:pPr>
      <w:r w:rsidRPr="00CB4B93">
        <w:rPr>
          <w:i/>
          <w:u w:val="single"/>
          <w:lang w:val="en-CA"/>
        </w:rPr>
        <w:t>Technician training and certification</w:t>
      </w:r>
      <w:r w:rsidR="00CD1A5F" w:rsidRPr="00CB4B93">
        <w:rPr>
          <w:i/>
          <w:u w:val="single"/>
          <w:lang w:val="en-CA"/>
        </w:rPr>
        <w:t xml:space="preserve"> </w:t>
      </w:r>
    </w:p>
    <w:p w14:paraId="3AD5DEAA" w14:textId="519BA1F2" w:rsidR="00A83AEA" w:rsidRPr="00CB4B93" w:rsidRDefault="00CD1A5F" w:rsidP="008569E8">
      <w:pPr>
        <w:pStyle w:val="Heading2"/>
        <w:rPr>
          <w:lang w:val="en-CA"/>
        </w:rPr>
      </w:pPr>
      <w:r w:rsidRPr="00CB4B93">
        <w:rPr>
          <w:lang w:val="en-CA"/>
        </w:rPr>
        <w:t xml:space="preserve">Eighteen training </w:t>
      </w:r>
      <w:r w:rsidR="008E2893" w:rsidRPr="00CB4B93">
        <w:rPr>
          <w:lang w:val="en-CA"/>
        </w:rPr>
        <w:t>centre</w:t>
      </w:r>
      <w:r w:rsidRPr="00CB4B93">
        <w:rPr>
          <w:lang w:val="en-CA"/>
        </w:rPr>
        <w:t>s</w:t>
      </w:r>
      <w:r w:rsidR="008569E8" w:rsidRPr="00CB4B93">
        <w:rPr>
          <w:lang w:val="en-CA"/>
        </w:rPr>
        <w:t xml:space="preserve"> from the</w:t>
      </w:r>
      <w:r w:rsidRPr="00CB4B93">
        <w:rPr>
          <w:lang w:val="en-CA"/>
        </w:rPr>
        <w:t xml:space="preserve"> </w:t>
      </w:r>
      <w:r w:rsidR="008569E8" w:rsidRPr="00CB4B93">
        <w:rPr>
          <w:lang w:val="en-CA"/>
        </w:rPr>
        <w:t>Ecuadorian Profes</w:t>
      </w:r>
      <w:r w:rsidR="00955E05" w:rsidRPr="00CB4B93">
        <w:rPr>
          <w:lang w:val="en-CA"/>
        </w:rPr>
        <w:t>sional Training Service (SECAP)</w:t>
      </w:r>
      <w:r w:rsidR="008569E8" w:rsidRPr="00CB4B93">
        <w:rPr>
          <w:lang w:val="en-CA"/>
        </w:rPr>
        <w:t xml:space="preserve"> </w:t>
      </w:r>
      <w:r w:rsidRPr="00CB4B93">
        <w:rPr>
          <w:lang w:val="en-CA"/>
        </w:rPr>
        <w:t>and one</w:t>
      </w:r>
      <w:r w:rsidR="008569E8" w:rsidRPr="00CB4B93">
        <w:rPr>
          <w:lang w:val="en-CA"/>
        </w:rPr>
        <w:t xml:space="preserve"> additional </w:t>
      </w:r>
      <w:r w:rsidRPr="00CB4B93">
        <w:rPr>
          <w:lang w:val="en-CA"/>
        </w:rPr>
        <w:t xml:space="preserve">technical institute were </w:t>
      </w:r>
      <w:r w:rsidR="00810F19" w:rsidRPr="00CB4B93">
        <w:rPr>
          <w:lang w:val="en-CA"/>
        </w:rPr>
        <w:t>provided</w:t>
      </w:r>
      <w:r w:rsidRPr="00CB4B93">
        <w:rPr>
          <w:lang w:val="en-CA"/>
        </w:rPr>
        <w:t xml:space="preserve"> </w:t>
      </w:r>
      <w:r w:rsidR="00810F19" w:rsidRPr="00CB4B93">
        <w:rPr>
          <w:lang w:val="en-CA"/>
        </w:rPr>
        <w:t xml:space="preserve">with </w:t>
      </w:r>
      <w:r w:rsidRPr="00CB4B93">
        <w:rPr>
          <w:lang w:val="en-CA"/>
        </w:rPr>
        <w:t>equipment</w:t>
      </w:r>
      <w:r w:rsidR="00C577E3" w:rsidRPr="00CB4B93">
        <w:rPr>
          <w:lang w:val="en-CA"/>
        </w:rPr>
        <w:t xml:space="preserve"> and tool kits</w:t>
      </w:r>
      <w:r w:rsidRPr="00CB4B93">
        <w:rPr>
          <w:lang w:val="en-CA"/>
        </w:rPr>
        <w:t xml:space="preserve">, including refrigerant recovery equipment, recovery cylinders, pressure gauge, vacuum pump, leak detector, clamp meter, and hand tools. SECAP instructors </w:t>
      </w:r>
      <w:r w:rsidR="000A2807" w:rsidRPr="00CB4B93">
        <w:rPr>
          <w:lang w:val="en-CA"/>
        </w:rPr>
        <w:t xml:space="preserve">and 957 technicians </w:t>
      </w:r>
      <w:r w:rsidRPr="00CB4B93">
        <w:rPr>
          <w:lang w:val="en-CA"/>
        </w:rPr>
        <w:t>received training i</w:t>
      </w:r>
      <w:r w:rsidR="00A83AEA" w:rsidRPr="00CB4B93">
        <w:rPr>
          <w:lang w:val="en-CA"/>
        </w:rPr>
        <w:t xml:space="preserve">n safe handling of </w:t>
      </w:r>
      <w:r w:rsidR="000A2807" w:rsidRPr="00CB4B93">
        <w:rPr>
          <w:lang w:val="en-CA"/>
        </w:rPr>
        <w:t>flammable</w:t>
      </w:r>
      <w:r w:rsidR="00A83AEA" w:rsidRPr="00CB4B93">
        <w:rPr>
          <w:lang w:val="en-CA"/>
        </w:rPr>
        <w:t xml:space="preserve"> refrigerant</w:t>
      </w:r>
      <w:r w:rsidR="000A2807" w:rsidRPr="00CB4B93">
        <w:rPr>
          <w:lang w:val="en-CA"/>
        </w:rPr>
        <w:t>s</w:t>
      </w:r>
      <w:r w:rsidR="00A83AEA" w:rsidRPr="00CB4B93">
        <w:rPr>
          <w:lang w:val="en-CA"/>
        </w:rPr>
        <w:t xml:space="preserve"> and good practices during the inst</w:t>
      </w:r>
      <w:r w:rsidR="00810F19" w:rsidRPr="00CB4B93">
        <w:rPr>
          <w:lang w:val="en-CA"/>
        </w:rPr>
        <w:t>allation and maintenance of RAC</w:t>
      </w:r>
      <w:r w:rsidR="00A83AEA" w:rsidRPr="00CB4B93">
        <w:rPr>
          <w:lang w:val="en-CA"/>
        </w:rPr>
        <w:t xml:space="preserve"> systems</w:t>
      </w:r>
      <w:r w:rsidR="008569E8" w:rsidRPr="00CB4B93">
        <w:rPr>
          <w:lang w:val="en-CA"/>
        </w:rPr>
        <w:t>;</w:t>
      </w:r>
    </w:p>
    <w:p w14:paraId="11B7BBBE" w14:textId="4132A668" w:rsidR="008569E8" w:rsidRPr="00CB4B93" w:rsidRDefault="00A83AEA" w:rsidP="008569E8">
      <w:pPr>
        <w:pStyle w:val="Heading2"/>
        <w:rPr>
          <w:lang w:val="en-CA"/>
        </w:rPr>
      </w:pPr>
      <w:r w:rsidRPr="00CB4B93">
        <w:rPr>
          <w:lang w:val="en-CA"/>
        </w:rPr>
        <w:t xml:space="preserve">The </w:t>
      </w:r>
      <w:r w:rsidR="008569E8" w:rsidRPr="00CB4B93">
        <w:rPr>
          <w:lang w:val="en-CA"/>
        </w:rPr>
        <w:t xml:space="preserve">RAC technician </w:t>
      </w:r>
      <w:r w:rsidRPr="00CB4B93">
        <w:rPr>
          <w:lang w:val="en-CA"/>
        </w:rPr>
        <w:t xml:space="preserve">certification scheme </w:t>
      </w:r>
      <w:r w:rsidR="008166B1" w:rsidRPr="00CB4B93">
        <w:rPr>
          <w:lang w:val="en-CA"/>
        </w:rPr>
        <w:t xml:space="preserve">was developed and </w:t>
      </w:r>
      <w:r w:rsidRPr="00CB4B93">
        <w:rPr>
          <w:lang w:val="en-CA"/>
        </w:rPr>
        <w:t xml:space="preserve">will </w:t>
      </w:r>
      <w:r w:rsidR="008569E8" w:rsidRPr="00CB4B93">
        <w:rPr>
          <w:lang w:val="en-CA"/>
        </w:rPr>
        <w:t>be operated</w:t>
      </w:r>
      <w:r w:rsidRPr="00CB4B93">
        <w:rPr>
          <w:lang w:val="en-CA"/>
        </w:rPr>
        <w:t xml:space="preserve"> </w:t>
      </w:r>
      <w:r w:rsidR="008166B1" w:rsidRPr="00CB4B93">
        <w:rPr>
          <w:lang w:val="en-CA"/>
        </w:rPr>
        <w:t xml:space="preserve">from the second half of 2020 by </w:t>
      </w:r>
      <w:r w:rsidR="008569E8" w:rsidRPr="00CB4B93">
        <w:rPr>
          <w:lang w:val="en-CA"/>
        </w:rPr>
        <w:t>SECAP</w:t>
      </w:r>
      <w:r w:rsidRPr="00CB4B93">
        <w:rPr>
          <w:lang w:val="en-CA"/>
        </w:rPr>
        <w:t xml:space="preserve"> in collaboration with the Technical Secretariat of the National System of Professional Qualifications (SETEC), MPCEI</w:t>
      </w:r>
      <w:r w:rsidR="008166B1" w:rsidRPr="00CB4B93">
        <w:rPr>
          <w:lang w:val="en-CA"/>
        </w:rPr>
        <w:t>P and UNIDO</w:t>
      </w:r>
      <w:r w:rsidR="008569E8" w:rsidRPr="00CB4B93">
        <w:rPr>
          <w:lang w:val="en-CA"/>
        </w:rPr>
        <w:t>;</w:t>
      </w:r>
      <w:r w:rsidR="00867E17" w:rsidRPr="00CB4B93">
        <w:rPr>
          <w:lang w:val="en-CA"/>
        </w:rPr>
        <w:t xml:space="preserve"> </w:t>
      </w:r>
    </w:p>
    <w:p w14:paraId="50CF20AC" w14:textId="13D4A747" w:rsidR="00DC2821" w:rsidRPr="00CB4B93" w:rsidRDefault="00A1669E" w:rsidP="00A1669E">
      <w:pPr>
        <w:pStyle w:val="Heading1"/>
        <w:numPr>
          <w:ilvl w:val="0"/>
          <w:numId w:val="0"/>
        </w:numPr>
        <w:rPr>
          <w:lang w:val="en-CA"/>
        </w:rPr>
      </w:pPr>
      <w:r w:rsidRPr="00CB4B93">
        <w:rPr>
          <w:i/>
          <w:u w:val="single"/>
          <w:lang w:val="en-CA"/>
        </w:rPr>
        <w:t>Pilot project to demonstrate the safe use of R-290 in a cold room used for flower storage</w:t>
      </w:r>
    </w:p>
    <w:p w14:paraId="0EA72A64" w14:textId="50F1BF69" w:rsidR="0036733D" w:rsidRPr="00CB4B93" w:rsidRDefault="000A2807" w:rsidP="00F51319">
      <w:pPr>
        <w:pStyle w:val="Heading2"/>
        <w:rPr>
          <w:lang w:val="en-CA"/>
        </w:rPr>
      </w:pPr>
      <w:r w:rsidRPr="00CB4B93">
        <w:rPr>
          <w:lang w:val="en-CA"/>
        </w:rPr>
        <w:t>A flower producer (</w:t>
      </w:r>
      <w:proofErr w:type="spellStart"/>
      <w:r w:rsidR="005074BD" w:rsidRPr="00CB4B93">
        <w:rPr>
          <w:lang w:val="en-CA"/>
        </w:rPr>
        <w:t>Hilsea</w:t>
      </w:r>
      <w:proofErr w:type="spellEnd"/>
      <w:r w:rsidRPr="00CB4B93">
        <w:rPr>
          <w:lang w:val="en-CA"/>
        </w:rPr>
        <w:t>)</w:t>
      </w:r>
      <w:r w:rsidR="005074BD" w:rsidRPr="00CB4B93">
        <w:rPr>
          <w:lang w:val="en-CA"/>
        </w:rPr>
        <w:t xml:space="preserve"> </w:t>
      </w:r>
      <w:r w:rsidR="00A1669E" w:rsidRPr="00CB4B93">
        <w:rPr>
          <w:lang w:val="en-CA"/>
        </w:rPr>
        <w:t>replaced</w:t>
      </w:r>
      <w:r w:rsidR="00E31D0E" w:rsidRPr="00CB4B93">
        <w:rPr>
          <w:lang w:val="en-CA"/>
        </w:rPr>
        <w:t xml:space="preserve"> a</w:t>
      </w:r>
      <w:r w:rsidR="00A1669E" w:rsidRPr="00CB4B93">
        <w:rPr>
          <w:lang w:val="en-CA"/>
        </w:rPr>
        <w:t>n</w:t>
      </w:r>
      <w:r w:rsidR="005074BD" w:rsidRPr="00CB4B93">
        <w:rPr>
          <w:lang w:val="en-CA"/>
        </w:rPr>
        <w:t xml:space="preserve"> HCFC</w:t>
      </w:r>
      <w:r w:rsidR="00522476" w:rsidRPr="00CB4B93">
        <w:rPr>
          <w:lang w:val="en-CA"/>
        </w:rPr>
        <w:noBreakHyphen/>
      </w:r>
      <w:r w:rsidR="005074BD" w:rsidRPr="00CB4B93">
        <w:rPr>
          <w:lang w:val="en-CA"/>
        </w:rPr>
        <w:t>22</w:t>
      </w:r>
      <w:r w:rsidR="00522476" w:rsidRPr="00CB4B93">
        <w:rPr>
          <w:lang w:val="en-CA"/>
        </w:rPr>
        <w:noBreakHyphen/>
      </w:r>
      <w:r w:rsidR="005074BD" w:rsidRPr="00CB4B93">
        <w:rPr>
          <w:lang w:val="en-CA"/>
        </w:rPr>
        <w:t xml:space="preserve">based </w:t>
      </w:r>
      <w:r w:rsidR="00E31D0E" w:rsidRPr="00CB4B93">
        <w:rPr>
          <w:lang w:val="en-CA"/>
        </w:rPr>
        <w:t xml:space="preserve">system </w:t>
      </w:r>
      <w:r w:rsidR="005074BD" w:rsidRPr="00CB4B93">
        <w:rPr>
          <w:lang w:val="en-CA"/>
        </w:rPr>
        <w:t>(</w:t>
      </w:r>
      <w:r w:rsidR="00E31D0E" w:rsidRPr="00CB4B93">
        <w:rPr>
          <w:lang w:val="en-CA"/>
        </w:rPr>
        <w:t xml:space="preserve">25 kg </w:t>
      </w:r>
      <w:r w:rsidR="00A1669E" w:rsidRPr="00CB4B93">
        <w:rPr>
          <w:lang w:val="en-CA"/>
        </w:rPr>
        <w:t xml:space="preserve">charge) </w:t>
      </w:r>
      <w:r w:rsidR="00D8509C" w:rsidRPr="00CB4B93">
        <w:rPr>
          <w:lang w:val="en-CA"/>
        </w:rPr>
        <w:t xml:space="preserve">located in a cold room </w:t>
      </w:r>
      <w:r w:rsidR="00A1669E" w:rsidRPr="00CB4B93">
        <w:rPr>
          <w:lang w:val="en-CA"/>
        </w:rPr>
        <w:t>with</w:t>
      </w:r>
      <w:r w:rsidR="005074BD" w:rsidRPr="00CB4B93">
        <w:rPr>
          <w:lang w:val="en-CA"/>
        </w:rPr>
        <w:t xml:space="preserve"> a</w:t>
      </w:r>
      <w:r w:rsidR="0036733D" w:rsidRPr="00CB4B93">
        <w:rPr>
          <w:lang w:val="en-CA"/>
        </w:rPr>
        <w:t>n</w:t>
      </w:r>
      <w:r w:rsidR="00E31D0E" w:rsidRPr="00CB4B93">
        <w:rPr>
          <w:lang w:val="en-CA"/>
        </w:rPr>
        <w:t xml:space="preserve"> </w:t>
      </w:r>
      <w:r w:rsidR="005074BD" w:rsidRPr="00CB4B93">
        <w:rPr>
          <w:lang w:val="en-CA"/>
        </w:rPr>
        <w:t>R</w:t>
      </w:r>
      <w:r w:rsidR="00A1669E" w:rsidRPr="00CB4B93">
        <w:rPr>
          <w:lang w:val="en-CA"/>
        </w:rPr>
        <w:noBreakHyphen/>
      </w:r>
      <w:r w:rsidR="005074BD" w:rsidRPr="00CB4B93">
        <w:rPr>
          <w:lang w:val="en-CA"/>
        </w:rPr>
        <w:t>290</w:t>
      </w:r>
      <w:r w:rsidR="00A1669E" w:rsidRPr="00CB4B93">
        <w:rPr>
          <w:lang w:val="en-CA"/>
        </w:rPr>
        <w:noBreakHyphen/>
      </w:r>
      <w:r w:rsidR="005074BD" w:rsidRPr="00CB4B93">
        <w:rPr>
          <w:lang w:val="en-CA"/>
        </w:rPr>
        <w:t>based system</w:t>
      </w:r>
      <w:r w:rsidR="00A1669E" w:rsidRPr="00CB4B93">
        <w:rPr>
          <w:lang w:val="en-CA"/>
        </w:rPr>
        <w:t>,</w:t>
      </w:r>
      <w:r w:rsidR="00E31D0E" w:rsidRPr="00CB4B93">
        <w:rPr>
          <w:lang w:val="en-CA"/>
        </w:rPr>
        <w:t xml:space="preserve"> using t</w:t>
      </w:r>
      <w:r w:rsidR="00335A75" w:rsidRPr="00CB4B93">
        <w:rPr>
          <w:lang w:val="en-CA"/>
        </w:rPr>
        <w:t>he safety standard for refrigeration (EN</w:t>
      </w:r>
      <w:r w:rsidR="00810F19" w:rsidRPr="00CB4B93">
        <w:rPr>
          <w:lang w:val="en-CA"/>
        </w:rPr>
        <w:noBreakHyphen/>
      </w:r>
      <w:r w:rsidR="00335A75" w:rsidRPr="00CB4B93">
        <w:rPr>
          <w:lang w:val="en-CA"/>
        </w:rPr>
        <w:t>378) and the standard for explosive atmospheres, explosion prevention and protection (EN</w:t>
      </w:r>
      <w:r w:rsidR="00810F19" w:rsidRPr="00CB4B93">
        <w:rPr>
          <w:lang w:val="en-CA"/>
        </w:rPr>
        <w:noBreakHyphen/>
      </w:r>
      <w:r w:rsidR="00335A75" w:rsidRPr="00CB4B93">
        <w:rPr>
          <w:lang w:val="en-CA"/>
        </w:rPr>
        <w:t>1127</w:t>
      </w:r>
      <w:r w:rsidR="00810F19" w:rsidRPr="00CB4B93">
        <w:rPr>
          <w:lang w:val="en-CA"/>
        </w:rPr>
        <w:noBreakHyphen/>
      </w:r>
      <w:r w:rsidR="00335A75" w:rsidRPr="00CB4B93">
        <w:rPr>
          <w:lang w:val="en-CA"/>
        </w:rPr>
        <w:t>1)</w:t>
      </w:r>
      <w:r w:rsidRPr="00CB4B93">
        <w:rPr>
          <w:lang w:val="en-CA"/>
        </w:rPr>
        <w:t xml:space="preserve"> </w:t>
      </w:r>
      <w:r w:rsidR="003F5FFC" w:rsidRPr="00CB4B93">
        <w:rPr>
          <w:lang w:val="en-CA"/>
        </w:rPr>
        <w:t>for flammability risk assessment</w:t>
      </w:r>
      <w:r w:rsidR="00335A75" w:rsidRPr="00CB4B93">
        <w:rPr>
          <w:lang w:val="en-CA"/>
        </w:rPr>
        <w:t>.</w:t>
      </w:r>
      <w:r w:rsidR="00335A75" w:rsidRPr="00CB4B93">
        <w:t xml:space="preserve"> </w:t>
      </w:r>
      <w:r w:rsidR="00A1669E" w:rsidRPr="00CB4B93">
        <w:rPr>
          <w:lang w:val="en-CA"/>
        </w:rPr>
        <w:t>The project demonstrated safe handling and proper risk management for the use of flammable refrigerants in the conserva</w:t>
      </w:r>
      <w:r w:rsidR="00395791" w:rsidRPr="00CB4B93">
        <w:rPr>
          <w:lang w:val="en-CA"/>
        </w:rPr>
        <w:t>tion of perishable products</w:t>
      </w:r>
      <w:r w:rsidR="00D8509C" w:rsidRPr="00CB4B93">
        <w:rPr>
          <w:lang w:val="en-CA"/>
        </w:rPr>
        <w:t>;</w:t>
      </w:r>
      <w:r w:rsidR="00395791" w:rsidRPr="00CB4B93">
        <w:rPr>
          <w:lang w:val="en-CA"/>
        </w:rPr>
        <w:t xml:space="preserve"> </w:t>
      </w:r>
      <w:r w:rsidR="00D8509C" w:rsidRPr="00CB4B93">
        <w:rPr>
          <w:lang w:val="en-CA"/>
        </w:rPr>
        <w:t>t</w:t>
      </w:r>
      <w:r w:rsidR="003950CC" w:rsidRPr="00CB4B93">
        <w:rPr>
          <w:lang w:val="en-CA"/>
        </w:rPr>
        <w:t>raining</w:t>
      </w:r>
      <w:r w:rsidR="0036733D" w:rsidRPr="00CB4B93">
        <w:rPr>
          <w:lang w:val="en-CA"/>
        </w:rPr>
        <w:t xml:space="preserve"> </w:t>
      </w:r>
      <w:r w:rsidR="003950CC" w:rsidRPr="00CB4B93">
        <w:rPr>
          <w:lang w:val="en-CA"/>
        </w:rPr>
        <w:t xml:space="preserve">was </w:t>
      </w:r>
      <w:r w:rsidR="00D8509C" w:rsidRPr="00CB4B93">
        <w:rPr>
          <w:lang w:val="en-CA"/>
        </w:rPr>
        <w:t xml:space="preserve">also </w:t>
      </w:r>
      <w:r w:rsidR="003950CC" w:rsidRPr="00CB4B93">
        <w:rPr>
          <w:lang w:val="en-CA"/>
        </w:rPr>
        <w:t xml:space="preserve">provided to </w:t>
      </w:r>
      <w:r w:rsidR="0036733D" w:rsidRPr="00CB4B93">
        <w:rPr>
          <w:lang w:val="en-CA"/>
        </w:rPr>
        <w:t xml:space="preserve">the beneficiary </w:t>
      </w:r>
      <w:r w:rsidR="003950CC" w:rsidRPr="00CB4B93">
        <w:rPr>
          <w:lang w:val="en-CA"/>
        </w:rPr>
        <w:t>enterprise</w:t>
      </w:r>
      <w:r w:rsidR="0036733D" w:rsidRPr="00CB4B93">
        <w:rPr>
          <w:lang w:val="en-CA"/>
        </w:rPr>
        <w:t xml:space="preserve"> and the </w:t>
      </w:r>
      <w:r w:rsidR="003950CC" w:rsidRPr="00CB4B93">
        <w:rPr>
          <w:lang w:val="en-CA"/>
        </w:rPr>
        <w:t xml:space="preserve">enterprise </w:t>
      </w:r>
      <w:r w:rsidR="0036733D" w:rsidRPr="00CB4B93">
        <w:rPr>
          <w:lang w:val="en-CA"/>
        </w:rPr>
        <w:t>responsible for the installation of the H</w:t>
      </w:r>
      <w:r w:rsidR="00DD2A9F" w:rsidRPr="00CB4B93">
        <w:rPr>
          <w:lang w:val="en-CA"/>
        </w:rPr>
        <w:t>C refrigeration equipment</w:t>
      </w:r>
      <w:r w:rsidR="003950CC" w:rsidRPr="00CB4B93">
        <w:rPr>
          <w:lang w:val="en-CA"/>
        </w:rPr>
        <w:t>;</w:t>
      </w:r>
      <w:r w:rsidR="00DD2A9F" w:rsidRPr="00CB4B93">
        <w:rPr>
          <w:lang w:val="en-CA"/>
        </w:rPr>
        <w:t xml:space="preserve"> </w:t>
      </w:r>
    </w:p>
    <w:p w14:paraId="1A7694DD" w14:textId="564DDBAE" w:rsidR="006C557E" w:rsidRPr="00CB4B93" w:rsidRDefault="00335A75" w:rsidP="00FB6411">
      <w:pPr>
        <w:pStyle w:val="Heading2"/>
        <w:rPr>
          <w:lang w:val="en-CA"/>
        </w:rPr>
      </w:pPr>
      <w:r w:rsidRPr="00CB4B93">
        <w:rPr>
          <w:lang w:val="en-CA"/>
        </w:rPr>
        <w:t>The installation of the</w:t>
      </w:r>
      <w:r w:rsidR="005074BD" w:rsidRPr="00CB4B93">
        <w:rPr>
          <w:lang w:val="en-CA"/>
        </w:rPr>
        <w:t xml:space="preserve"> R-290 </w:t>
      </w:r>
      <w:r w:rsidRPr="00CB4B93">
        <w:rPr>
          <w:lang w:val="en-CA"/>
        </w:rPr>
        <w:t xml:space="preserve">refrigeration system </w:t>
      </w:r>
      <w:r w:rsidR="005074BD" w:rsidRPr="00CB4B93">
        <w:rPr>
          <w:lang w:val="en-CA"/>
        </w:rPr>
        <w:t>was completed in D</w:t>
      </w:r>
      <w:r w:rsidRPr="00CB4B93">
        <w:rPr>
          <w:lang w:val="en-CA"/>
        </w:rPr>
        <w:t>ecember</w:t>
      </w:r>
      <w:r w:rsidR="00A1669E" w:rsidRPr="00CB4B93">
        <w:rPr>
          <w:lang w:val="en-CA"/>
        </w:rPr>
        <w:t> </w:t>
      </w:r>
      <w:r w:rsidR="003950CC" w:rsidRPr="00CB4B93">
        <w:rPr>
          <w:lang w:val="en-CA"/>
        </w:rPr>
        <w:t>2019 and the results of the project will be disseminated in the second half of 2020. These results include an increase</w:t>
      </w:r>
      <w:r w:rsidR="004C653F" w:rsidRPr="00CB4B93">
        <w:rPr>
          <w:lang w:val="en-CA"/>
        </w:rPr>
        <w:t xml:space="preserve"> </w:t>
      </w:r>
      <w:r w:rsidR="00955E05" w:rsidRPr="00CB4B93">
        <w:rPr>
          <w:lang w:val="en-CA"/>
        </w:rPr>
        <w:t>by</w:t>
      </w:r>
      <w:r w:rsidR="004C653F" w:rsidRPr="00CB4B93">
        <w:rPr>
          <w:lang w:val="en-CA"/>
        </w:rPr>
        <w:t xml:space="preserve"> around 20 per cent of the coefficient </w:t>
      </w:r>
      <w:r w:rsidR="00D8509C" w:rsidRPr="00CB4B93">
        <w:rPr>
          <w:lang w:val="en-CA"/>
        </w:rPr>
        <w:t xml:space="preserve">of performance </w:t>
      </w:r>
      <w:r w:rsidR="004C653F" w:rsidRPr="00CB4B93">
        <w:rPr>
          <w:lang w:val="en-CA"/>
        </w:rPr>
        <w:t xml:space="preserve">and a </w:t>
      </w:r>
      <w:r w:rsidR="00B756CC" w:rsidRPr="00CB4B93">
        <w:rPr>
          <w:lang w:val="en-CA"/>
        </w:rPr>
        <w:t>reduc</w:t>
      </w:r>
      <w:r w:rsidR="004C653F" w:rsidRPr="00CB4B93">
        <w:rPr>
          <w:lang w:val="en-CA"/>
        </w:rPr>
        <w:t>tion in</w:t>
      </w:r>
      <w:r w:rsidR="00B756CC" w:rsidRPr="00CB4B93">
        <w:rPr>
          <w:lang w:val="en-CA"/>
        </w:rPr>
        <w:t xml:space="preserve"> </w:t>
      </w:r>
      <w:r w:rsidR="006C557E" w:rsidRPr="00CB4B93">
        <w:rPr>
          <w:lang w:val="en-CA"/>
        </w:rPr>
        <w:t xml:space="preserve">energy consumption </w:t>
      </w:r>
      <w:r w:rsidR="004C653F" w:rsidRPr="00CB4B93">
        <w:rPr>
          <w:lang w:val="en-CA"/>
        </w:rPr>
        <w:t>of</w:t>
      </w:r>
      <w:r w:rsidR="00B756CC" w:rsidRPr="00CB4B93">
        <w:rPr>
          <w:lang w:val="en-CA"/>
        </w:rPr>
        <w:t xml:space="preserve"> </w:t>
      </w:r>
      <w:r w:rsidR="006C557E" w:rsidRPr="00CB4B93">
        <w:rPr>
          <w:lang w:val="en-CA"/>
        </w:rPr>
        <w:t>36</w:t>
      </w:r>
      <w:r w:rsidR="00B756CC" w:rsidRPr="00CB4B93">
        <w:rPr>
          <w:lang w:val="en-CA"/>
        </w:rPr>
        <w:t xml:space="preserve"> per cent </w:t>
      </w:r>
      <w:r w:rsidR="004C653F" w:rsidRPr="00CB4B93">
        <w:rPr>
          <w:lang w:val="en-CA"/>
        </w:rPr>
        <w:t>for the R-290 system compared to</w:t>
      </w:r>
      <w:r w:rsidR="00395791" w:rsidRPr="00CB4B93">
        <w:rPr>
          <w:lang w:val="en-CA"/>
        </w:rPr>
        <w:t xml:space="preserve"> </w:t>
      </w:r>
      <w:r w:rsidR="00B756CC" w:rsidRPr="00CB4B93">
        <w:rPr>
          <w:lang w:val="en-CA"/>
        </w:rPr>
        <w:t>the HCFC</w:t>
      </w:r>
      <w:r w:rsidR="00955E05" w:rsidRPr="00CB4B93">
        <w:rPr>
          <w:lang w:val="en-CA"/>
        </w:rPr>
        <w:noBreakHyphen/>
      </w:r>
      <w:r w:rsidR="00B756CC" w:rsidRPr="00CB4B93">
        <w:rPr>
          <w:lang w:val="en-CA"/>
        </w:rPr>
        <w:t>22</w:t>
      </w:r>
      <w:r w:rsidR="00955E05" w:rsidRPr="00CB4B93">
        <w:rPr>
          <w:lang w:val="en-CA"/>
        </w:rPr>
        <w:noBreakHyphen/>
      </w:r>
      <w:r w:rsidR="00B756CC" w:rsidRPr="00CB4B93">
        <w:rPr>
          <w:lang w:val="en-CA"/>
        </w:rPr>
        <w:t>based system</w:t>
      </w:r>
      <w:r w:rsidR="00A6689D" w:rsidRPr="00CB4B93">
        <w:rPr>
          <w:lang w:val="en-CA"/>
        </w:rPr>
        <w:t>;</w:t>
      </w:r>
      <w:r w:rsidR="006C557E" w:rsidRPr="00CB4B93">
        <w:rPr>
          <w:lang w:val="en-CA"/>
        </w:rPr>
        <w:t xml:space="preserve"> </w:t>
      </w:r>
      <w:r w:rsidR="00F2006B" w:rsidRPr="00CB4B93">
        <w:rPr>
          <w:lang w:val="en-CA"/>
        </w:rPr>
        <w:t>estimated operational s</w:t>
      </w:r>
      <w:r w:rsidR="00B756CC" w:rsidRPr="00CB4B93">
        <w:rPr>
          <w:lang w:val="en-CA"/>
        </w:rPr>
        <w:t>av</w:t>
      </w:r>
      <w:r w:rsidR="006C557E" w:rsidRPr="00CB4B93">
        <w:rPr>
          <w:lang w:val="en-CA"/>
        </w:rPr>
        <w:t xml:space="preserve">ings </w:t>
      </w:r>
      <w:r w:rsidR="00FB6411" w:rsidRPr="00CB4B93">
        <w:rPr>
          <w:lang w:val="en-CA"/>
        </w:rPr>
        <w:t xml:space="preserve">of </w:t>
      </w:r>
      <w:r w:rsidR="00867E17" w:rsidRPr="00CB4B93">
        <w:rPr>
          <w:lang w:val="en-CA"/>
        </w:rPr>
        <w:t>US $</w:t>
      </w:r>
      <w:r w:rsidR="00FB6411" w:rsidRPr="00CB4B93">
        <w:rPr>
          <w:lang w:val="en-CA"/>
        </w:rPr>
        <w:t>95,</w:t>
      </w:r>
      <w:r w:rsidR="00BF181C" w:rsidRPr="00CB4B93">
        <w:rPr>
          <w:lang w:val="en-CA"/>
        </w:rPr>
        <w:t>500</w:t>
      </w:r>
      <w:r w:rsidR="00FB6411" w:rsidRPr="00CB4B93">
        <w:rPr>
          <w:lang w:val="en-CA"/>
        </w:rPr>
        <w:t xml:space="preserve"> </w:t>
      </w:r>
      <w:r w:rsidR="00B756CC" w:rsidRPr="00CB4B93">
        <w:rPr>
          <w:lang w:val="en-CA"/>
        </w:rPr>
        <w:t>d</w:t>
      </w:r>
      <w:r w:rsidR="006C557E" w:rsidRPr="00CB4B93">
        <w:rPr>
          <w:lang w:val="en-CA"/>
        </w:rPr>
        <w:t>uring the lifetime of the equipment (</w:t>
      </w:r>
      <w:r w:rsidR="00B756CC" w:rsidRPr="00CB4B93">
        <w:rPr>
          <w:lang w:val="en-CA"/>
        </w:rPr>
        <w:t>i.e., 15 years);</w:t>
      </w:r>
      <w:r w:rsidR="00F2006B" w:rsidRPr="00CB4B93">
        <w:rPr>
          <w:lang w:val="en-CA"/>
        </w:rPr>
        <w:t xml:space="preserve"> and an estimated </w:t>
      </w:r>
      <w:r w:rsidR="00395791" w:rsidRPr="00CB4B93">
        <w:rPr>
          <w:lang w:val="en-CA"/>
        </w:rPr>
        <w:t xml:space="preserve">emission </w:t>
      </w:r>
      <w:r w:rsidR="00F2006B" w:rsidRPr="00CB4B93">
        <w:rPr>
          <w:lang w:val="en-CA"/>
        </w:rPr>
        <w:t xml:space="preserve">reduction of 1,501 tonnes (41 per cent) </w:t>
      </w:r>
      <w:r w:rsidR="00395791" w:rsidRPr="00CB4B93">
        <w:rPr>
          <w:lang w:val="en-CA"/>
        </w:rPr>
        <w:t>of</w:t>
      </w:r>
      <w:r w:rsidR="00F2006B" w:rsidRPr="00CB4B93">
        <w:rPr>
          <w:lang w:val="en-CA"/>
        </w:rPr>
        <w:t xml:space="preserve"> CO</w:t>
      </w:r>
      <w:r w:rsidR="00F2006B" w:rsidRPr="00CB4B93">
        <w:rPr>
          <w:vertAlign w:val="subscript"/>
          <w:lang w:val="en-CA"/>
        </w:rPr>
        <w:t>2</w:t>
      </w:r>
      <w:r w:rsidR="00F2006B" w:rsidRPr="00CB4B93">
        <w:rPr>
          <w:lang w:val="en-CA"/>
        </w:rPr>
        <w:noBreakHyphen/>
        <w:t>equivalent</w:t>
      </w:r>
      <w:r w:rsidR="00395791" w:rsidRPr="00CB4B93">
        <w:rPr>
          <w:lang w:val="en-CA"/>
        </w:rPr>
        <w:t xml:space="preserve"> </w:t>
      </w:r>
      <w:r w:rsidR="00F2006B" w:rsidRPr="00CB4B93">
        <w:rPr>
          <w:lang w:val="en-CA"/>
        </w:rPr>
        <w:t>o</w:t>
      </w:r>
      <w:r w:rsidR="00A6689D" w:rsidRPr="00CB4B93">
        <w:rPr>
          <w:lang w:val="en-CA"/>
        </w:rPr>
        <w:t>ver</w:t>
      </w:r>
      <w:r w:rsidR="00FF6AC3" w:rsidRPr="00CB4B93">
        <w:rPr>
          <w:lang w:val="en-CA"/>
        </w:rPr>
        <w:t xml:space="preserve"> the </w:t>
      </w:r>
      <w:r w:rsidR="00A6689D" w:rsidRPr="00CB4B93">
        <w:rPr>
          <w:lang w:val="en-CA"/>
        </w:rPr>
        <w:t xml:space="preserve">same </w:t>
      </w:r>
      <w:r w:rsidR="00FB6411" w:rsidRPr="00CB4B93">
        <w:rPr>
          <w:lang w:val="en-CA"/>
        </w:rPr>
        <w:t>period</w:t>
      </w:r>
      <w:r w:rsidR="00F2006B" w:rsidRPr="00CB4B93">
        <w:rPr>
          <w:lang w:val="en-CA"/>
        </w:rPr>
        <w:t>;</w:t>
      </w:r>
      <w:r w:rsidR="00450396" w:rsidRPr="00CB4B93">
        <w:rPr>
          <w:lang w:val="en-CA"/>
        </w:rPr>
        <w:t xml:space="preserve"> </w:t>
      </w:r>
    </w:p>
    <w:p w14:paraId="1A3C1ADF" w14:textId="56ECDE15" w:rsidR="00BD4B0F" w:rsidRPr="00CB4B93" w:rsidRDefault="00BE3961" w:rsidP="00BA7EA0">
      <w:pPr>
        <w:pStyle w:val="Heading1"/>
        <w:numPr>
          <w:ilvl w:val="0"/>
          <w:numId w:val="0"/>
        </w:numPr>
        <w:rPr>
          <w:i/>
          <w:u w:val="single"/>
          <w:lang w:val="en-CA"/>
        </w:rPr>
      </w:pPr>
      <w:r w:rsidRPr="00CB4B93">
        <w:rPr>
          <w:i/>
          <w:u w:val="single"/>
          <w:lang w:val="en-CA"/>
        </w:rPr>
        <w:t xml:space="preserve">Development of technical standards </w:t>
      </w:r>
      <w:r w:rsidR="0086389F" w:rsidRPr="00CB4B93">
        <w:rPr>
          <w:i/>
          <w:u w:val="single"/>
          <w:lang w:val="en-CA"/>
        </w:rPr>
        <w:t>for</w:t>
      </w:r>
      <w:r w:rsidR="00BD4B0F" w:rsidRPr="00CB4B93">
        <w:rPr>
          <w:i/>
          <w:u w:val="single"/>
          <w:lang w:val="en-CA"/>
        </w:rPr>
        <w:t xml:space="preserve"> </w:t>
      </w:r>
      <w:r w:rsidR="0086389F" w:rsidRPr="00CB4B93">
        <w:rPr>
          <w:i/>
          <w:u w:val="single"/>
          <w:lang w:val="en-CA"/>
        </w:rPr>
        <w:t>handling</w:t>
      </w:r>
      <w:r w:rsidR="00BD4B0F" w:rsidRPr="00CB4B93">
        <w:rPr>
          <w:i/>
          <w:u w:val="single"/>
          <w:lang w:val="en-CA"/>
        </w:rPr>
        <w:t xml:space="preserve"> refrigerants</w:t>
      </w:r>
    </w:p>
    <w:p w14:paraId="33A3FC96" w14:textId="50C29036" w:rsidR="00BD4B0F" w:rsidRPr="00CB4B93" w:rsidRDefault="00FB6411" w:rsidP="00BA7EA0">
      <w:pPr>
        <w:pStyle w:val="Heading2"/>
        <w:widowControl/>
        <w:rPr>
          <w:lang w:val="en-CA"/>
        </w:rPr>
      </w:pPr>
      <w:r w:rsidRPr="00CB4B93">
        <w:rPr>
          <w:lang w:val="en-CA"/>
        </w:rPr>
        <w:t>T</w:t>
      </w:r>
      <w:r w:rsidR="00BD4B0F" w:rsidRPr="00CB4B93">
        <w:rPr>
          <w:lang w:val="en-CA"/>
        </w:rPr>
        <w:t>echnical Stan</w:t>
      </w:r>
      <w:r w:rsidR="006C1A37" w:rsidRPr="00CB4B93">
        <w:rPr>
          <w:lang w:val="en-CA"/>
        </w:rPr>
        <w:t>dards and Technical Regulations</w:t>
      </w:r>
      <w:r w:rsidR="00BD4B0F" w:rsidRPr="00CB4B93">
        <w:rPr>
          <w:lang w:val="en-CA"/>
        </w:rPr>
        <w:t xml:space="preserve"> to include safety matters in the handling, transport, recovery, recycling and storage of flammable refrigerants</w:t>
      </w:r>
      <w:r w:rsidRPr="00CB4B93">
        <w:rPr>
          <w:lang w:val="en-CA"/>
        </w:rPr>
        <w:t xml:space="preserve"> </w:t>
      </w:r>
      <w:r w:rsidR="007B2105" w:rsidRPr="00CB4B93">
        <w:rPr>
          <w:lang w:val="en-CA"/>
        </w:rPr>
        <w:t>were</w:t>
      </w:r>
      <w:r w:rsidR="002D652C" w:rsidRPr="00CB4B93">
        <w:rPr>
          <w:lang w:val="en-CA"/>
        </w:rPr>
        <w:t xml:space="preserve"> </w:t>
      </w:r>
      <w:r w:rsidRPr="00CB4B93">
        <w:rPr>
          <w:lang w:val="en-CA"/>
        </w:rPr>
        <w:t>developed with</w:t>
      </w:r>
      <w:r w:rsidR="00BD4B0F" w:rsidRPr="00CB4B93">
        <w:rPr>
          <w:lang w:val="en-CA"/>
        </w:rPr>
        <w:t xml:space="preserve"> the support of SECAP</w:t>
      </w:r>
      <w:r w:rsidR="004C653F" w:rsidRPr="00CB4B93">
        <w:rPr>
          <w:lang w:val="en-CA"/>
        </w:rPr>
        <w:t xml:space="preserve">, </w:t>
      </w:r>
      <w:r w:rsidR="00BD4B0F" w:rsidRPr="00CB4B93">
        <w:rPr>
          <w:lang w:val="en-CA"/>
        </w:rPr>
        <w:t>SETEC</w:t>
      </w:r>
      <w:r w:rsidR="006C1A37" w:rsidRPr="00CB4B93">
        <w:rPr>
          <w:lang w:val="en-CA"/>
        </w:rPr>
        <w:t xml:space="preserve"> and MPCEIP</w:t>
      </w:r>
      <w:r w:rsidR="00BD4B0F" w:rsidRPr="00CB4B93">
        <w:rPr>
          <w:lang w:val="en-CA"/>
        </w:rPr>
        <w:t xml:space="preserve">. </w:t>
      </w:r>
      <w:r w:rsidR="006C1A37" w:rsidRPr="00CB4B93">
        <w:rPr>
          <w:lang w:val="en-CA"/>
        </w:rPr>
        <w:t>A</w:t>
      </w:r>
      <w:r w:rsidR="00BD4B0F" w:rsidRPr="00CB4B93">
        <w:rPr>
          <w:lang w:val="en-CA"/>
        </w:rPr>
        <w:t xml:space="preserve"> revision of international standards </w:t>
      </w:r>
      <w:r w:rsidR="006C1A37" w:rsidRPr="00CB4B93">
        <w:rPr>
          <w:lang w:val="en-CA"/>
        </w:rPr>
        <w:t xml:space="preserve">will also be undertaken </w:t>
      </w:r>
      <w:r w:rsidR="00BD4B0F" w:rsidRPr="00CB4B93">
        <w:rPr>
          <w:lang w:val="en-CA"/>
        </w:rPr>
        <w:t>to enable the safe use of zero</w:t>
      </w:r>
      <w:r w:rsidR="006C1A37" w:rsidRPr="00CB4B93">
        <w:rPr>
          <w:lang w:val="en-CA"/>
        </w:rPr>
        <w:noBreakHyphen/>
      </w:r>
      <w:r w:rsidR="00BD4B0F" w:rsidRPr="00CB4B93">
        <w:rPr>
          <w:lang w:val="en-CA"/>
        </w:rPr>
        <w:t>ODP and low</w:t>
      </w:r>
      <w:r w:rsidR="006C1A37" w:rsidRPr="00CB4B93">
        <w:rPr>
          <w:lang w:val="en-CA"/>
        </w:rPr>
        <w:noBreakHyphen/>
      </w:r>
      <w:r w:rsidR="00F2006B" w:rsidRPr="00CB4B93">
        <w:rPr>
          <w:lang w:val="en-CA"/>
        </w:rPr>
        <w:t>GWP alternatives;</w:t>
      </w:r>
      <w:r w:rsidR="006A46DF" w:rsidRPr="00CB4B93">
        <w:rPr>
          <w:lang w:val="en-CA"/>
        </w:rPr>
        <w:t xml:space="preserve"> and</w:t>
      </w:r>
    </w:p>
    <w:p w14:paraId="5F23A23C" w14:textId="556E48D6" w:rsidR="00BD4B0F" w:rsidRPr="00CB4B93" w:rsidRDefault="003A41C8" w:rsidP="009575E7">
      <w:pPr>
        <w:pStyle w:val="Heading1"/>
        <w:numPr>
          <w:ilvl w:val="0"/>
          <w:numId w:val="0"/>
        </w:numPr>
        <w:rPr>
          <w:i/>
          <w:u w:val="single"/>
          <w:lang w:val="en-CA"/>
        </w:rPr>
      </w:pPr>
      <w:r w:rsidRPr="00CB4B93">
        <w:rPr>
          <w:i/>
          <w:u w:val="single"/>
          <w:lang w:val="en-CA"/>
        </w:rPr>
        <w:t xml:space="preserve">Other activities </w:t>
      </w:r>
    </w:p>
    <w:p w14:paraId="6BA210F1" w14:textId="535AF794" w:rsidR="00BD4B0F" w:rsidRPr="00CB4B93" w:rsidRDefault="007B2105" w:rsidP="00F51319">
      <w:pPr>
        <w:pStyle w:val="Heading2"/>
        <w:rPr>
          <w:lang w:val="en-CA"/>
        </w:rPr>
      </w:pPr>
      <w:r w:rsidRPr="00CB4B93">
        <w:rPr>
          <w:lang w:val="en-CA"/>
        </w:rPr>
        <w:t>T</w:t>
      </w:r>
      <w:r w:rsidR="003A41C8" w:rsidRPr="00CB4B93">
        <w:rPr>
          <w:lang w:val="en-CA"/>
        </w:rPr>
        <w:t xml:space="preserve">raining </w:t>
      </w:r>
      <w:r w:rsidRPr="00CB4B93">
        <w:rPr>
          <w:lang w:val="en-CA"/>
        </w:rPr>
        <w:t xml:space="preserve">of </w:t>
      </w:r>
      <w:r w:rsidR="003A41C8" w:rsidRPr="00CB4B93">
        <w:rPr>
          <w:lang w:val="en-CA"/>
        </w:rPr>
        <w:t>20 technicians and distributi</w:t>
      </w:r>
      <w:r w:rsidR="007E7825" w:rsidRPr="00CB4B93">
        <w:rPr>
          <w:lang w:val="en-CA"/>
        </w:rPr>
        <w:t>on of</w:t>
      </w:r>
      <w:r w:rsidR="003A41C8" w:rsidRPr="00CB4B93">
        <w:rPr>
          <w:lang w:val="en-CA"/>
        </w:rPr>
        <w:t xml:space="preserve"> 12 tool kits to assist the Government </w:t>
      </w:r>
      <w:r w:rsidR="006A46DF" w:rsidRPr="00CB4B93">
        <w:rPr>
          <w:lang w:val="en-CA"/>
        </w:rPr>
        <w:t>in</w:t>
      </w:r>
      <w:r w:rsidR="003A41C8" w:rsidRPr="00CB4B93">
        <w:rPr>
          <w:lang w:val="en-CA"/>
        </w:rPr>
        <w:t xml:space="preserve"> dec</w:t>
      </w:r>
      <w:r w:rsidR="006A46DF" w:rsidRPr="00CB4B93">
        <w:rPr>
          <w:lang w:val="en-CA"/>
        </w:rPr>
        <w:t>laring</w:t>
      </w:r>
      <w:r w:rsidR="003A41C8" w:rsidRPr="00CB4B93">
        <w:rPr>
          <w:lang w:val="en-CA"/>
        </w:rPr>
        <w:t xml:space="preserve"> the Galapagos Islands free of ODS by 2020; and </w:t>
      </w:r>
      <w:r w:rsidR="00BF181C" w:rsidRPr="00CB4B93">
        <w:rPr>
          <w:lang w:val="en-CA"/>
        </w:rPr>
        <w:t xml:space="preserve">implementation of </w:t>
      </w:r>
      <w:r w:rsidR="003A41C8" w:rsidRPr="00CB4B93">
        <w:rPr>
          <w:lang w:val="en-CA"/>
        </w:rPr>
        <w:t xml:space="preserve">the </w:t>
      </w:r>
      <w:r w:rsidR="00134D48" w:rsidRPr="00CB4B93">
        <w:rPr>
          <w:lang w:val="en-CA"/>
        </w:rPr>
        <w:t>“Zero Leaks” pilot project</w:t>
      </w:r>
      <w:r w:rsidR="003A41C8" w:rsidRPr="00CB4B93">
        <w:rPr>
          <w:lang w:val="en-CA"/>
        </w:rPr>
        <w:t xml:space="preserve">, </w:t>
      </w:r>
      <w:r w:rsidR="00134D48" w:rsidRPr="00CB4B93">
        <w:rPr>
          <w:lang w:val="en-CA"/>
        </w:rPr>
        <w:t xml:space="preserve">to </w:t>
      </w:r>
      <w:r w:rsidR="00FB6411" w:rsidRPr="00CB4B93">
        <w:rPr>
          <w:lang w:val="en-CA"/>
        </w:rPr>
        <w:t xml:space="preserve">provide technical assistance to </w:t>
      </w:r>
      <w:r w:rsidR="00BE3961" w:rsidRPr="00CB4B93">
        <w:rPr>
          <w:lang w:val="en-CA"/>
        </w:rPr>
        <w:t>two</w:t>
      </w:r>
      <w:r w:rsidR="00134D48" w:rsidRPr="00CB4B93">
        <w:rPr>
          <w:lang w:val="en-CA"/>
        </w:rPr>
        <w:t xml:space="preserve"> large consumers of refrigerants</w:t>
      </w:r>
      <w:r w:rsidR="00BE3961" w:rsidRPr="00CB4B93">
        <w:rPr>
          <w:lang w:val="en-CA"/>
        </w:rPr>
        <w:t xml:space="preserve"> (e.g., supermarket or flower producer)</w:t>
      </w:r>
      <w:r w:rsidR="00FB6411" w:rsidRPr="00CB4B93">
        <w:rPr>
          <w:lang w:val="en-CA"/>
        </w:rPr>
        <w:t xml:space="preserve"> to </w:t>
      </w:r>
      <w:r w:rsidR="003A41C8" w:rsidRPr="00CB4B93">
        <w:rPr>
          <w:lang w:val="en-CA"/>
        </w:rPr>
        <w:t xml:space="preserve">reduce refrigerant </w:t>
      </w:r>
      <w:r w:rsidR="00BF181C" w:rsidRPr="00CB4B93">
        <w:rPr>
          <w:lang w:val="en-CA"/>
        </w:rPr>
        <w:t>leaks,</w:t>
      </w:r>
      <w:r w:rsidR="00463385" w:rsidRPr="00CB4B93">
        <w:rPr>
          <w:lang w:val="en-CA"/>
        </w:rPr>
        <w:t xml:space="preserve"> and</w:t>
      </w:r>
      <w:r w:rsidR="003A41C8" w:rsidRPr="00CB4B93">
        <w:rPr>
          <w:lang w:val="en-CA"/>
        </w:rPr>
        <w:t xml:space="preserve"> </w:t>
      </w:r>
      <w:r w:rsidR="00BE3961" w:rsidRPr="00CB4B93">
        <w:rPr>
          <w:lang w:val="en-CA"/>
        </w:rPr>
        <w:t>monitor</w:t>
      </w:r>
      <w:r w:rsidRPr="00CB4B93">
        <w:rPr>
          <w:lang w:val="en-CA"/>
        </w:rPr>
        <w:t xml:space="preserve"> </w:t>
      </w:r>
      <w:r w:rsidR="00BE3961" w:rsidRPr="00CB4B93">
        <w:rPr>
          <w:lang w:val="en-CA"/>
        </w:rPr>
        <w:t xml:space="preserve">system performance and energy </w:t>
      </w:r>
      <w:r w:rsidR="00134D48" w:rsidRPr="00CB4B93">
        <w:rPr>
          <w:lang w:val="en-CA"/>
        </w:rPr>
        <w:t>consumption</w:t>
      </w:r>
      <w:r w:rsidR="00BE3961" w:rsidRPr="00CB4B93">
        <w:rPr>
          <w:lang w:val="en-CA"/>
        </w:rPr>
        <w:t xml:space="preserve"> associated with leakage </w:t>
      </w:r>
      <w:r w:rsidR="008E2893" w:rsidRPr="00CB4B93">
        <w:rPr>
          <w:lang w:val="en-CA"/>
        </w:rPr>
        <w:t xml:space="preserve">control </w:t>
      </w:r>
      <w:r w:rsidR="00BE3961" w:rsidRPr="00CB4B93">
        <w:rPr>
          <w:lang w:val="en-CA"/>
        </w:rPr>
        <w:t xml:space="preserve">and </w:t>
      </w:r>
      <w:r w:rsidR="00134D48" w:rsidRPr="00CB4B93">
        <w:rPr>
          <w:lang w:val="en-CA"/>
        </w:rPr>
        <w:t>good maintenance service.</w:t>
      </w:r>
      <w:r w:rsidR="00DC754C" w:rsidRPr="00CB4B93">
        <w:rPr>
          <w:lang w:val="en-CA"/>
        </w:rPr>
        <w:t xml:space="preserve"> </w:t>
      </w:r>
    </w:p>
    <w:p w14:paraId="3C72E057" w14:textId="0E860279" w:rsidR="00D54581" w:rsidRPr="00CB4B93" w:rsidRDefault="00D54581" w:rsidP="00F04DC2">
      <w:pPr>
        <w:rPr>
          <w:i/>
          <w:lang w:val="en-CA"/>
        </w:rPr>
      </w:pPr>
      <w:r w:rsidRPr="00CB4B93">
        <w:rPr>
          <w:i/>
          <w:lang w:val="en-CA"/>
        </w:rPr>
        <w:t>Project implementation and monitoring</w:t>
      </w:r>
      <w:r w:rsidR="00867E17" w:rsidRPr="00CB4B93">
        <w:rPr>
          <w:i/>
          <w:lang w:val="en-CA"/>
        </w:rPr>
        <w:t xml:space="preserve"> </w:t>
      </w:r>
    </w:p>
    <w:p w14:paraId="1E152E8B" w14:textId="77777777" w:rsidR="00D54581" w:rsidRPr="00CB4B93" w:rsidRDefault="00D54581" w:rsidP="00F04DC2">
      <w:pPr>
        <w:rPr>
          <w:lang w:val="en-CA"/>
        </w:rPr>
      </w:pPr>
    </w:p>
    <w:p w14:paraId="4917442D" w14:textId="6BE71087" w:rsidR="003A41C8" w:rsidRPr="00CB4B93" w:rsidRDefault="00FE3120" w:rsidP="00651AEF">
      <w:pPr>
        <w:pStyle w:val="Heading1"/>
        <w:rPr>
          <w:lang w:val="en-CA"/>
        </w:rPr>
      </w:pPr>
      <w:r w:rsidRPr="00CB4B93">
        <w:rPr>
          <w:lang w:val="en-CA"/>
        </w:rPr>
        <w:t xml:space="preserve"> </w:t>
      </w:r>
      <w:r w:rsidR="003A41C8" w:rsidRPr="00CB4B93">
        <w:rPr>
          <w:lang w:val="en-CA"/>
        </w:rPr>
        <w:t xml:space="preserve">The implementation of the HPMP continues to be coordinated by the </w:t>
      </w:r>
      <w:r w:rsidR="006A46DF" w:rsidRPr="00CB4B93">
        <w:rPr>
          <w:lang w:val="en-CA"/>
        </w:rPr>
        <w:t>National Ozone Unit (</w:t>
      </w:r>
      <w:r w:rsidR="003A41C8" w:rsidRPr="00CB4B93">
        <w:rPr>
          <w:lang w:val="en-CA"/>
        </w:rPr>
        <w:t>NOU</w:t>
      </w:r>
      <w:r w:rsidR="006A46DF" w:rsidRPr="00CB4B93">
        <w:rPr>
          <w:lang w:val="en-CA"/>
        </w:rPr>
        <w:t>)</w:t>
      </w:r>
      <w:r w:rsidR="002D6B25" w:rsidRPr="00CB4B93">
        <w:rPr>
          <w:lang w:val="en-CA"/>
        </w:rPr>
        <w:t>.</w:t>
      </w:r>
      <w:r w:rsidR="003A41C8" w:rsidRPr="00CB4B93">
        <w:rPr>
          <w:lang w:val="en-CA"/>
        </w:rPr>
        <w:t xml:space="preserve"> </w:t>
      </w:r>
      <w:r w:rsidR="002D6B25" w:rsidRPr="00CB4B93">
        <w:rPr>
          <w:lang w:val="en-CA"/>
        </w:rPr>
        <w:t xml:space="preserve">During the eight years of implementation of stage I a total of </w:t>
      </w:r>
      <w:r w:rsidR="00867E17" w:rsidRPr="00CB4B93">
        <w:rPr>
          <w:lang w:val="en-CA"/>
        </w:rPr>
        <w:t>US $</w:t>
      </w:r>
      <w:r w:rsidR="002D6B25" w:rsidRPr="00CB4B93">
        <w:rPr>
          <w:lang w:val="en-CA"/>
        </w:rPr>
        <w:t>140,270</w:t>
      </w:r>
      <w:r w:rsidR="00651AEF" w:rsidRPr="00CB4B93">
        <w:rPr>
          <w:lang w:val="en-CA"/>
        </w:rPr>
        <w:t xml:space="preserve"> </w:t>
      </w:r>
      <w:r w:rsidR="008E2893" w:rsidRPr="00CB4B93">
        <w:rPr>
          <w:lang w:val="en-CA"/>
        </w:rPr>
        <w:t xml:space="preserve">has </w:t>
      </w:r>
      <w:r w:rsidR="00651AEF" w:rsidRPr="00CB4B93">
        <w:rPr>
          <w:lang w:val="en-CA"/>
        </w:rPr>
        <w:t>been spent on</w:t>
      </w:r>
      <w:r w:rsidR="0028464A" w:rsidRPr="00CB4B93">
        <w:rPr>
          <w:lang w:val="en-CA"/>
        </w:rPr>
        <w:t xml:space="preserve"> personnel</w:t>
      </w:r>
      <w:r w:rsidR="00651AEF" w:rsidRPr="00CB4B93">
        <w:rPr>
          <w:lang w:val="en-CA"/>
        </w:rPr>
        <w:t xml:space="preserve"> training</w:t>
      </w:r>
      <w:r w:rsidR="008E2893" w:rsidRPr="00CB4B93">
        <w:rPr>
          <w:lang w:val="en-CA"/>
        </w:rPr>
        <w:t xml:space="preserve"> (US $3,000)</w:t>
      </w:r>
      <w:r w:rsidR="00651AEF" w:rsidRPr="00CB4B93">
        <w:rPr>
          <w:lang w:val="en-CA"/>
        </w:rPr>
        <w:t>,</w:t>
      </w:r>
      <w:r w:rsidR="002D6B25" w:rsidRPr="00CB4B93">
        <w:rPr>
          <w:lang w:val="en-CA"/>
        </w:rPr>
        <w:t xml:space="preserve"> travel (US</w:t>
      </w:r>
      <w:r w:rsidR="00685599" w:rsidRPr="00CB4B93">
        <w:rPr>
          <w:lang w:val="en-CA"/>
        </w:rPr>
        <w:t> </w:t>
      </w:r>
      <w:r w:rsidR="002D6B25" w:rsidRPr="00CB4B93">
        <w:rPr>
          <w:lang w:val="en-CA"/>
        </w:rPr>
        <w:t>$37,192),</w:t>
      </w:r>
      <w:r w:rsidR="00651AEF" w:rsidRPr="00CB4B93">
        <w:rPr>
          <w:lang w:val="en-CA"/>
        </w:rPr>
        <w:t xml:space="preserve"> workshops and meeting</w:t>
      </w:r>
      <w:r w:rsidR="0028464A" w:rsidRPr="00CB4B93">
        <w:rPr>
          <w:lang w:val="en-CA"/>
        </w:rPr>
        <w:t>s</w:t>
      </w:r>
      <w:r w:rsidR="00651AEF" w:rsidRPr="00CB4B93">
        <w:rPr>
          <w:lang w:val="en-CA"/>
        </w:rPr>
        <w:t xml:space="preserve"> with stakeholders</w:t>
      </w:r>
      <w:r w:rsidR="008E2893" w:rsidRPr="00CB4B93">
        <w:rPr>
          <w:lang w:val="en-CA"/>
        </w:rPr>
        <w:t xml:space="preserve"> (US $</w:t>
      </w:r>
      <w:r w:rsidR="002D6B25" w:rsidRPr="00CB4B93">
        <w:rPr>
          <w:lang w:val="en-CA"/>
        </w:rPr>
        <w:t>52,963</w:t>
      </w:r>
      <w:r w:rsidR="008E2893" w:rsidRPr="00CB4B93">
        <w:rPr>
          <w:lang w:val="en-CA"/>
        </w:rPr>
        <w:t>)</w:t>
      </w:r>
      <w:r w:rsidR="00651AEF" w:rsidRPr="00CB4B93">
        <w:rPr>
          <w:lang w:val="en-CA"/>
        </w:rPr>
        <w:t xml:space="preserve">, and monitoring activities, </w:t>
      </w:r>
      <w:r w:rsidR="002D6B25" w:rsidRPr="00CB4B93">
        <w:rPr>
          <w:lang w:val="en-CA"/>
        </w:rPr>
        <w:t>which comprise</w:t>
      </w:r>
      <w:r w:rsidR="00651AEF" w:rsidRPr="00CB4B93">
        <w:rPr>
          <w:lang w:val="en-CA"/>
        </w:rPr>
        <w:t xml:space="preserve"> the coordination of all the activities in the plan</w:t>
      </w:r>
      <w:r w:rsidR="002D6B25" w:rsidRPr="00CB4B93">
        <w:rPr>
          <w:lang w:val="en-CA"/>
        </w:rPr>
        <w:t xml:space="preserve"> (including the PU foam sector plan approved at the 81</w:t>
      </w:r>
      <w:r w:rsidR="002D6B25" w:rsidRPr="00CB4B93">
        <w:rPr>
          <w:vertAlign w:val="superscript"/>
          <w:lang w:val="en-CA"/>
        </w:rPr>
        <w:t>st</w:t>
      </w:r>
      <w:r w:rsidR="002D6B25" w:rsidRPr="00CB4B93">
        <w:rPr>
          <w:lang w:val="en-CA"/>
        </w:rPr>
        <w:t xml:space="preserve"> meeting)</w:t>
      </w:r>
      <w:r w:rsidR="00651AEF" w:rsidRPr="00CB4B93">
        <w:rPr>
          <w:lang w:val="en-CA"/>
        </w:rPr>
        <w:t>, contracting for goods and services required during implementation, analysis of the market trends, implementation of corrective measure</w:t>
      </w:r>
      <w:r w:rsidR="00570E43" w:rsidRPr="00CB4B93">
        <w:rPr>
          <w:lang w:val="en-CA"/>
        </w:rPr>
        <w:t>s</w:t>
      </w:r>
      <w:r w:rsidR="00651AEF" w:rsidRPr="00CB4B93">
        <w:rPr>
          <w:lang w:val="en-CA"/>
        </w:rPr>
        <w:t>, and preparation of progress reports for tranche requests</w:t>
      </w:r>
      <w:r w:rsidR="008E2893" w:rsidRPr="00CB4B93">
        <w:rPr>
          <w:lang w:val="en-CA"/>
        </w:rPr>
        <w:t xml:space="preserve"> (US $</w:t>
      </w:r>
      <w:r w:rsidR="002D6B25" w:rsidRPr="00CB4B93">
        <w:rPr>
          <w:lang w:val="en-CA"/>
        </w:rPr>
        <w:t>47,115</w:t>
      </w:r>
      <w:r w:rsidR="008E2893" w:rsidRPr="00CB4B93">
        <w:rPr>
          <w:lang w:val="en-CA"/>
        </w:rPr>
        <w:t>)</w:t>
      </w:r>
      <w:r w:rsidR="00651AEF" w:rsidRPr="00CB4B93">
        <w:rPr>
          <w:lang w:val="en-CA"/>
        </w:rPr>
        <w:t>.</w:t>
      </w:r>
    </w:p>
    <w:p w14:paraId="04A243E4" w14:textId="71EA6AFC" w:rsidR="00D54581" w:rsidRPr="00CB4B93" w:rsidRDefault="00D54581" w:rsidP="00867E17">
      <w:pPr>
        <w:pStyle w:val="Heading1"/>
        <w:numPr>
          <w:ilvl w:val="0"/>
          <w:numId w:val="0"/>
        </w:numPr>
        <w:rPr>
          <w:u w:val="single"/>
          <w:lang w:val="en-CA"/>
        </w:rPr>
      </w:pPr>
      <w:r w:rsidRPr="00CB4B93">
        <w:rPr>
          <w:u w:val="single"/>
          <w:lang w:val="en-CA"/>
        </w:rPr>
        <w:t>Level of fund disbursement</w:t>
      </w:r>
    </w:p>
    <w:p w14:paraId="5BC884D1" w14:textId="157E049D" w:rsidR="00D54581" w:rsidRPr="00CB4B93" w:rsidRDefault="00D54581" w:rsidP="003736E8">
      <w:pPr>
        <w:pStyle w:val="Heading1"/>
        <w:rPr>
          <w:lang w:val="en-CA"/>
        </w:rPr>
      </w:pPr>
      <w:r w:rsidRPr="00CB4B93">
        <w:rPr>
          <w:lang w:val="en-CA"/>
        </w:rPr>
        <w:t xml:space="preserve">As of </w:t>
      </w:r>
      <w:r w:rsidR="00037C36" w:rsidRPr="00CB4B93">
        <w:rPr>
          <w:lang w:val="en-CA"/>
        </w:rPr>
        <w:t xml:space="preserve">March </w:t>
      </w:r>
      <w:r w:rsidRPr="00CB4B93">
        <w:rPr>
          <w:lang w:val="en-CA"/>
        </w:rPr>
        <w:t xml:space="preserve">2020, of the </w:t>
      </w:r>
      <w:r w:rsidR="00867E17" w:rsidRPr="00CB4B93">
        <w:rPr>
          <w:lang w:val="en-CA"/>
        </w:rPr>
        <w:t>US $</w:t>
      </w:r>
      <w:r w:rsidR="00092FCD" w:rsidRPr="00CB4B93">
        <w:rPr>
          <w:color w:val="000000"/>
          <w:szCs w:val="16"/>
          <w:lang w:val="en-CA" w:eastAsia="en-CA"/>
        </w:rPr>
        <w:t>1</w:t>
      </w:r>
      <w:r w:rsidR="00B45CAD" w:rsidRPr="00CB4B93">
        <w:rPr>
          <w:color w:val="000000"/>
          <w:szCs w:val="16"/>
          <w:lang w:val="en-CA" w:eastAsia="en-CA"/>
        </w:rPr>
        <w:t>,</w:t>
      </w:r>
      <w:r w:rsidR="00092FCD" w:rsidRPr="00CB4B93">
        <w:rPr>
          <w:color w:val="000000"/>
          <w:szCs w:val="16"/>
          <w:lang w:val="en-CA" w:eastAsia="en-CA"/>
        </w:rPr>
        <w:t>896</w:t>
      </w:r>
      <w:r w:rsidR="00B45CAD" w:rsidRPr="00CB4B93">
        <w:rPr>
          <w:color w:val="000000"/>
          <w:szCs w:val="16"/>
          <w:lang w:val="en-CA" w:eastAsia="en-CA"/>
        </w:rPr>
        <w:t>,</w:t>
      </w:r>
      <w:r w:rsidR="00092FCD" w:rsidRPr="00CB4B93">
        <w:rPr>
          <w:color w:val="000000"/>
          <w:szCs w:val="16"/>
          <w:lang w:val="en-CA" w:eastAsia="en-CA"/>
        </w:rPr>
        <w:t>440</w:t>
      </w:r>
      <w:r w:rsidR="00B45CAD" w:rsidRPr="00CB4B93">
        <w:rPr>
          <w:color w:val="000000"/>
          <w:szCs w:val="16"/>
          <w:lang w:val="en-CA" w:eastAsia="en-CA"/>
        </w:rPr>
        <w:t xml:space="preserve"> </w:t>
      </w:r>
      <w:r w:rsidRPr="00CB4B93">
        <w:rPr>
          <w:lang w:val="en-CA"/>
        </w:rPr>
        <w:t xml:space="preserve">approved so far, </w:t>
      </w:r>
      <w:r w:rsidR="00867E17" w:rsidRPr="00CB4B93">
        <w:rPr>
          <w:lang w:val="en-CA"/>
        </w:rPr>
        <w:t>US $</w:t>
      </w:r>
      <w:r w:rsidR="00037C36" w:rsidRPr="00CB4B93">
        <w:rPr>
          <w:color w:val="000000"/>
          <w:szCs w:val="20"/>
          <w:lang w:val="en-CA" w:eastAsia="en-CA"/>
        </w:rPr>
        <w:t>1,864,591</w:t>
      </w:r>
      <w:r w:rsidR="00037C36" w:rsidRPr="00CB4B93">
        <w:rPr>
          <w:b/>
          <w:color w:val="000000"/>
          <w:szCs w:val="20"/>
          <w:lang w:val="en-CA" w:eastAsia="en-CA"/>
        </w:rPr>
        <w:t xml:space="preserve"> </w:t>
      </w:r>
      <w:r w:rsidRPr="00CB4B93">
        <w:rPr>
          <w:lang w:val="en-CA"/>
        </w:rPr>
        <w:t>had been disbursed (</w:t>
      </w:r>
      <w:r w:rsidR="00867E17" w:rsidRPr="00CB4B93">
        <w:rPr>
          <w:lang w:val="en-CA"/>
        </w:rPr>
        <w:t>US $</w:t>
      </w:r>
      <w:r w:rsidR="003736E8" w:rsidRPr="00CB4B93">
        <w:rPr>
          <w:lang w:val="en-CA"/>
        </w:rPr>
        <w:t xml:space="preserve">1,765,197 </w:t>
      </w:r>
      <w:r w:rsidRPr="00CB4B93">
        <w:rPr>
          <w:lang w:val="en-CA"/>
        </w:rPr>
        <w:t xml:space="preserve">for </w:t>
      </w:r>
      <w:r w:rsidR="00B45CAD" w:rsidRPr="00CB4B93">
        <w:rPr>
          <w:lang w:val="en-CA"/>
        </w:rPr>
        <w:t>UNIDO</w:t>
      </w:r>
      <w:r w:rsidRPr="00CB4B93">
        <w:rPr>
          <w:lang w:val="en-CA"/>
        </w:rPr>
        <w:t xml:space="preserve"> and </w:t>
      </w:r>
      <w:r w:rsidR="00867E17" w:rsidRPr="00CB4B93">
        <w:rPr>
          <w:lang w:val="en-CA"/>
        </w:rPr>
        <w:t>US $</w:t>
      </w:r>
      <w:r w:rsidR="003736E8" w:rsidRPr="00CB4B93">
        <w:rPr>
          <w:lang w:val="en-CA"/>
        </w:rPr>
        <w:t>99,394</w:t>
      </w:r>
      <w:r w:rsidRPr="00CB4B93">
        <w:rPr>
          <w:lang w:val="en-CA"/>
        </w:rPr>
        <w:t xml:space="preserve"> for </w:t>
      </w:r>
      <w:r w:rsidR="00B45CAD" w:rsidRPr="00CB4B93">
        <w:rPr>
          <w:lang w:val="en-CA"/>
        </w:rPr>
        <w:t>UNEP</w:t>
      </w:r>
      <w:r w:rsidRPr="00CB4B93">
        <w:rPr>
          <w:lang w:val="en-CA"/>
        </w:rPr>
        <w:t>)</w:t>
      </w:r>
      <w:r w:rsidR="00570E43" w:rsidRPr="00CB4B93">
        <w:rPr>
          <w:lang w:val="en-CA"/>
        </w:rPr>
        <w:t>,</w:t>
      </w:r>
      <w:r w:rsidRPr="00CB4B93">
        <w:rPr>
          <w:lang w:val="en-CA"/>
        </w:rPr>
        <w:t xml:space="preserve"> as shown in Table 2. The balance of </w:t>
      </w:r>
      <w:r w:rsidR="00867E17" w:rsidRPr="00CB4B93">
        <w:rPr>
          <w:lang w:val="en-CA"/>
        </w:rPr>
        <w:t>US $</w:t>
      </w:r>
      <w:r w:rsidR="003736E8" w:rsidRPr="00CB4B93">
        <w:rPr>
          <w:lang w:val="en-CA"/>
        </w:rPr>
        <w:t>31,849</w:t>
      </w:r>
      <w:r w:rsidRPr="00CB4B93">
        <w:rPr>
          <w:lang w:val="en-CA"/>
        </w:rPr>
        <w:t xml:space="preserve"> will be disbursed in</w:t>
      </w:r>
      <w:r w:rsidR="00DC754C" w:rsidRPr="00CB4B93">
        <w:rPr>
          <w:lang w:val="en-CA"/>
        </w:rPr>
        <w:t xml:space="preserve"> 2020</w:t>
      </w:r>
      <w:r w:rsidRPr="00CB4B93">
        <w:rPr>
          <w:lang w:val="en-CA"/>
        </w:rPr>
        <w:t>.</w:t>
      </w:r>
    </w:p>
    <w:p w14:paraId="369C32A6" w14:textId="3F0F4F23" w:rsidR="00D54581" w:rsidRPr="00CB4B93" w:rsidRDefault="00D54581" w:rsidP="00F04DC2">
      <w:pPr>
        <w:rPr>
          <w:b/>
          <w:lang w:val="en-CA"/>
        </w:rPr>
      </w:pPr>
      <w:r w:rsidRPr="00CB4B93">
        <w:rPr>
          <w:b/>
          <w:lang w:val="en-CA"/>
        </w:rPr>
        <w:t>Table</w:t>
      </w:r>
      <w:r w:rsidR="00B45CAD" w:rsidRPr="00CB4B93">
        <w:rPr>
          <w:b/>
          <w:lang w:val="en-CA"/>
        </w:rPr>
        <w:t> 2. Financial report of stage I</w:t>
      </w:r>
      <w:r w:rsidRPr="00CB4B93">
        <w:rPr>
          <w:b/>
          <w:lang w:val="en-CA"/>
        </w:rPr>
        <w:t xml:space="preserve"> of the HPMP for </w:t>
      </w:r>
      <w:r w:rsidR="00B45CAD" w:rsidRPr="00CB4B93">
        <w:rPr>
          <w:b/>
          <w:lang w:val="en-CA"/>
        </w:rPr>
        <w:t>Ecuador</w:t>
      </w:r>
      <w:r w:rsidRPr="00CB4B93">
        <w:rPr>
          <w:b/>
          <w:lang w:val="en-CA"/>
        </w:rPr>
        <w:t xml:space="preserve"> (</w:t>
      </w:r>
      <w:r w:rsidR="00867E17" w:rsidRPr="00CB4B93">
        <w:rPr>
          <w:b/>
          <w:lang w:val="en-CA"/>
        </w:rPr>
        <w:t>US $</w:t>
      </w:r>
      <w:r w:rsidRPr="00CB4B93">
        <w:rPr>
          <w:b/>
          <w:lang w:val="en-CA"/>
        </w:rPr>
        <w:t>)</w:t>
      </w:r>
    </w:p>
    <w:tbl>
      <w:tblPr>
        <w:tblW w:w="938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260"/>
        <w:gridCol w:w="1635"/>
        <w:gridCol w:w="1635"/>
        <w:gridCol w:w="1636"/>
        <w:gridCol w:w="2160"/>
      </w:tblGrid>
      <w:tr w:rsidR="00D54581" w:rsidRPr="00CB4B93" w14:paraId="3425692E" w14:textId="77777777" w:rsidTr="00CE471E">
        <w:trPr>
          <w:tblHeader/>
        </w:trPr>
        <w:tc>
          <w:tcPr>
            <w:tcW w:w="2317" w:type="dxa"/>
            <w:gridSpan w:val="2"/>
            <w:shd w:val="clear" w:color="auto" w:fill="auto"/>
            <w:noWrap/>
            <w:vAlign w:val="center"/>
            <w:hideMark/>
          </w:tcPr>
          <w:p w14:paraId="214FD349" w14:textId="77777777" w:rsidR="00D54581" w:rsidRPr="00CB4B93" w:rsidRDefault="00D54581" w:rsidP="00CE471E">
            <w:pPr>
              <w:jc w:val="left"/>
              <w:rPr>
                <w:b/>
                <w:bCs/>
                <w:color w:val="000000"/>
                <w:sz w:val="21"/>
                <w:szCs w:val="21"/>
                <w:lang w:val="en-CA" w:eastAsia="en-CA"/>
              </w:rPr>
            </w:pPr>
            <w:r w:rsidRPr="00CB4B93">
              <w:rPr>
                <w:b/>
                <w:bCs/>
                <w:color w:val="000000"/>
                <w:sz w:val="21"/>
                <w:szCs w:val="21"/>
                <w:lang w:val="en-CA" w:eastAsia="en-CA"/>
              </w:rPr>
              <w:t>Tranche</w:t>
            </w:r>
          </w:p>
        </w:tc>
        <w:tc>
          <w:tcPr>
            <w:tcW w:w="1635" w:type="dxa"/>
            <w:shd w:val="clear" w:color="auto" w:fill="auto"/>
            <w:noWrap/>
            <w:vAlign w:val="center"/>
            <w:hideMark/>
          </w:tcPr>
          <w:p w14:paraId="0E696E37" w14:textId="77777777" w:rsidR="00D54581" w:rsidRPr="00CB4B93" w:rsidRDefault="00B45CAD" w:rsidP="006F3B3E">
            <w:pPr>
              <w:jc w:val="center"/>
              <w:rPr>
                <w:b/>
                <w:color w:val="000000"/>
                <w:sz w:val="21"/>
                <w:szCs w:val="21"/>
                <w:lang w:val="en-CA" w:eastAsia="en-CA"/>
              </w:rPr>
            </w:pPr>
            <w:r w:rsidRPr="00CB4B93">
              <w:rPr>
                <w:b/>
                <w:color w:val="000000"/>
                <w:sz w:val="21"/>
                <w:szCs w:val="21"/>
                <w:lang w:val="en-CA" w:eastAsia="en-CA"/>
              </w:rPr>
              <w:t>UNIDO</w:t>
            </w:r>
          </w:p>
        </w:tc>
        <w:tc>
          <w:tcPr>
            <w:tcW w:w="1635" w:type="dxa"/>
            <w:vAlign w:val="center"/>
          </w:tcPr>
          <w:p w14:paraId="7DB5ED86" w14:textId="77777777" w:rsidR="00D54581" w:rsidRPr="00CB4B93" w:rsidRDefault="00B45CAD" w:rsidP="006F3B3E">
            <w:pPr>
              <w:jc w:val="center"/>
              <w:rPr>
                <w:b/>
                <w:color w:val="000000"/>
                <w:sz w:val="21"/>
                <w:szCs w:val="21"/>
                <w:lang w:val="en-CA" w:eastAsia="en-CA"/>
              </w:rPr>
            </w:pPr>
            <w:r w:rsidRPr="00CB4B93">
              <w:rPr>
                <w:b/>
                <w:color w:val="000000"/>
                <w:sz w:val="21"/>
                <w:szCs w:val="21"/>
                <w:lang w:val="en-CA" w:eastAsia="en-CA"/>
              </w:rPr>
              <w:t>UNEP</w:t>
            </w:r>
          </w:p>
        </w:tc>
        <w:tc>
          <w:tcPr>
            <w:tcW w:w="1636" w:type="dxa"/>
            <w:shd w:val="clear" w:color="auto" w:fill="auto"/>
            <w:noWrap/>
            <w:vAlign w:val="center"/>
            <w:hideMark/>
          </w:tcPr>
          <w:p w14:paraId="47661AB3" w14:textId="77777777" w:rsidR="00D54581" w:rsidRPr="00CB4B93" w:rsidRDefault="00D54581" w:rsidP="006F3B3E">
            <w:pPr>
              <w:jc w:val="center"/>
              <w:rPr>
                <w:b/>
                <w:color w:val="000000"/>
                <w:sz w:val="21"/>
                <w:szCs w:val="21"/>
                <w:lang w:val="en-CA" w:eastAsia="en-CA"/>
              </w:rPr>
            </w:pPr>
            <w:r w:rsidRPr="00CB4B93">
              <w:rPr>
                <w:b/>
                <w:color w:val="000000"/>
                <w:sz w:val="21"/>
                <w:szCs w:val="21"/>
                <w:lang w:val="en-CA" w:eastAsia="en-CA"/>
              </w:rPr>
              <w:t>Total</w:t>
            </w:r>
          </w:p>
        </w:tc>
        <w:tc>
          <w:tcPr>
            <w:tcW w:w="2160" w:type="dxa"/>
            <w:shd w:val="clear" w:color="auto" w:fill="auto"/>
            <w:noWrap/>
            <w:tcMar>
              <w:left w:w="0" w:type="dxa"/>
              <w:right w:w="0" w:type="dxa"/>
            </w:tcMar>
            <w:vAlign w:val="center"/>
            <w:hideMark/>
          </w:tcPr>
          <w:p w14:paraId="331B29F5" w14:textId="77777777" w:rsidR="00D54581" w:rsidRPr="00CB4B93" w:rsidRDefault="00D54581" w:rsidP="006F3B3E">
            <w:pPr>
              <w:jc w:val="center"/>
              <w:rPr>
                <w:b/>
                <w:color w:val="000000"/>
                <w:sz w:val="21"/>
                <w:szCs w:val="21"/>
                <w:lang w:val="en-CA" w:eastAsia="en-CA"/>
              </w:rPr>
            </w:pPr>
            <w:r w:rsidRPr="00CB4B93">
              <w:rPr>
                <w:b/>
                <w:color w:val="000000"/>
                <w:sz w:val="21"/>
                <w:szCs w:val="21"/>
                <w:lang w:val="en-CA" w:eastAsia="en-CA"/>
              </w:rPr>
              <w:t>Disbursement rate (%)</w:t>
            </w:r>
          </w:p>
        </w:tc>
      </w:tr>
      <w:tr w:rsidR="00B45CAD" w:rsidRPr="00CB4B93" w14:paraId="2707581F" w14:textId="77777777" w:rsidTr="00CE471E">
        <w:tc>
          <w:tcPr>
            <w:tcW w:w="1057" w:type="dxa"/>
            <w:vMerge w:val="restart"/>
            <w:shd w:val="clear" w:color="auto" w:fill="auto"/>
            <w:noWrap/>
            <w:vAlign w:val="center"/>
            <w:hideMark/>
          </w:tcPr>
          <w:p w14:paraId="1A40E700" w14:textId="4DE2D5FF" w:rsidR="00B45CAD" w:rsidRPr="00CB4B93" w:rsidRDefault="00B45CAD" w:rsidP="00B45CAD">
            <w:pPr>
              <w:jc w:val="left"/>
              <w:rPr>
                <w:bCs/>
                <w:color w:val="000000"/>
                <w:sz w:val="21"/>
                <w:szCs w:val="21"/>
                <w:lang w:val="en-CA" w:eastAsia="en-CA"/>
              </w:rPr>
            </w:pPr>
            <w:r w:rsidRPr="00CB4B93">
              <w:rPr>
                <w:bCs/>
                <w:color w:val="000000"/>
                <w:sz w:val="21"/>
                <w:szCs w:val="21"/>
                <w:lang w:val="en-CA" w:eastAsia="en-CA"/>
              </w:rPr>
              <w:t>First</w:t>
            </w:r>
          </w:p>
        </w:tc>
        <w:tc>
          <w:tcPr>
            <w:tcW w:w="1260" w:type="dxa"/>
            <w:shd w:val="clear" w:color="auto" w:fill="auto"/>
            <w:noWrap/>
            <w:vAlign w:val="center"/>
            <w:hideMark/>
          </w:tcPr>
          <w:p w14:paraId="46EAA3F2" w14:textId="77777777" w:rsidR="00B45CAD" w:rsidRPr="00CB4B93" w:rsidRDefault="00B45CAD" w:rsidP="00B45CAD">
            <w:pPr>
              <w:rPr>
                <w:bCs/>
                <w:color w:val="000000"/>
                <w:sz w:val="21"/>
                <w:szCs w:val="21"/>
                <w:lang w:val="en-CA" w:eastAsia="en-CA"/>
              </w:rPr>
            </w:pPr>
            <w:r w:rsidRPr="00CB4B93">
              <w:rPr>
                <w:bCs/>
                <w:color w:val="000000"/>
                <w:sz w:val="21"/>
                <w:szCs w:val="21"/>
                <w:lang w:val="en-CA" w:eastAsia="en-CA"/>
              </w:rPr>
              <w:t xml:space="preserve">Approved </w:t>
            </w:r>
          </w:p>
        </w:tc>
        <w:tc>
          <w:tcPr>
            <w:tcW w:w="1635" w:type="dxa"/>
            <w:shd w:val="clear" w:color="auto" w:fill="auto"/>
            <w:noWrap/>
            <w:tcMar>
              <w:left w:w="115" w:type="dxa"/>
              <w:right w:w="288" w:type="dxa"/>
            </w:tcMar>
            <w:vAlign w:val="center"/>
          </w:tcPr>
          <w:p w14:paraId="32A0568D" w14:textId="77777777" w:rsidR="00B45CAD" w:rsidRPr="00CB4B93" w:rsidRDefault="00B45CAD" w:rsidP="00B45CAD">
            <w:pPr>
              <w:jc w:val="right"/>
              <w:rPr>
                <w:color w:val="000000"/>
                <w:sz w:val="21"/>
                <w:szCs w:val="21"/>
              </w:rPr>
            </w:pPr>
            <w:r w:rsidRPr="00CB4B93">
              <w:rPr>
                <w:sz w:val="21"/>
                <w:szCs w:val="21"/>
              </w:rPr>
              <w:t>1,531,940</w:t>
            </w:r>
          </w:p>
        </w:tc>
        <w:tc>
          <w:tcPr>
            <w:tcW w:w="1635" w:type="dxa"/>
            <w:tcMar>
              <w:left w:w="115" w:type="dxa"/>
              <w:right w:w="288" w:type="dxa"/>
            </w:tcMar>
            <w:vAlign w:val="center"/>
          </w:tcPr>
          <w:p w14:paraId="4C253EAE" w14:textId="77777777" w:rsidR="00B45CAD" w:rsidRPr="00CB4B93" w:rsidRDefault="00B45CAD" w:rsidP="00B45CAD">
            <w:pPr>
              <w:jc w:val="right"/>
              <w:rPr>
                <w:color w:val="000000"/>
                <w:sz w:val="21"/>
                <w:szCs w:val="21"/>
              </w:rPr>
            </w:pPr>
            <w:r w:rsidRPr="00CB4B93">
              <w:rPr>
                <w:sz w:val="21"/>
                <w:szCs w:val="21"/>
              </w:rPr>
              <w:t>30,000</w:t>
            </w:r>
          </w:p>
        </w:tc>
        <w:tc>
          <w:tcPr>
            <w:tcW w:w="1636" w:type="dxa"/>
            <w:shd w:val="clear" w:color="auto" w:fill="auto"/>
            <w:noWrap/>
            <w:tcMar>
              <w:left w:w="115" w:type="dxa"/>
              <w:right w:w="288" w:type="dxa"/>
            </w:tcMar>
            <w:vAlign w:val="center"/>
          </w:tcPr>
          <w:p w14:paraId="4BE282C9" w14:textId="77777777" w:rsidR="00B45CAD" w:rsidRPr="00CB4B93" w:rsidRDefault="00B45CAD" w:rsidP="00B45CAD">
            <w:pPr>
              <w:jc w:val="right"/>
              <w:rPr>
                <w:color w:val="000000"/>
                <w:sz w:val="21"/>
                <w:szCs w:val="21"/>
              </w:rPr>
            </w:pPr>
            <w:r w:rsidRPr="00CB4B93">
              <w:rPr>
                <w:b/>
                <w:sz w:val="21"/>
                <w:szCs w:val="21"/>
              </w:rPr>
              <w:t>1,561,940</w:t>
            </w:r>
          </w:p>
        </w:tc>
        <w:tc>
          <w:tcPr>
            <w:tcW w:w="2160" w:type="dxa"/>
            <w:vMerge w:val="restart"/>
            <w:shd w:val="clear" w:color="auto" w:fill="auto"/>
            <w:noWrap/>
            <w:vAlign w:val="center"/>
          </w:tcPr>
          <w:p w14:paraId="4BC0303C" w14:textId="77777777" w:rsidR="00B45CAD" w:rsidRPr="00CB4B93" w:rsidRDefault="00B45CAD" w:rsidP="00B45CAD">
            <w:pPr>
              <w:jc w:val="center"/>
              <w:rPr>
                <w:color w:val="000000"/>
                <w:sz w:val="21"/>
                <w:szCs w:val="21"/>
              </w:rPr>
            </w:pPr>
            <w:r w:rsidRPr="00CB4B93">
              <w:rPr>
                <w:sz w:val="21"/>
                <w:szCs w:val="21"/>
              </w:rPr>
              <w:t>100.0</w:t>
            </w:r>
          </w:p>
        </w:tc>
      </w:tr>
      <w:tr w:rsidR="00B45CAD" w:rsidRPr="00CB4B93" w14:paraId="3A9CF5DC" w14:textId="77777777" w:rsidTr="00CE471E">
        <w:tc>
          <w:tcPr>
            <w:tcW w:w="1057" w:type="dxa"/>
            <w:vMerge/>
            <w:vAlign w:val="center"/>
            <w:hideMark/>
          </w:tcPr>
          <w:p w14:paraId="5FCC6D6F" w14:textId="77777777" w:rsidR="00B45CAD" w:rsidRPr="00CB4B93" w:rsidRDefault="00B45CAD" w:rsidP="00B45CAD">
            <w:pPr>
              <w:jc w:val="left"/>
              <w:rPr>
                <w:bCs/>
                <w:color w:val="000000"/>
                <w:sz w:val="21"/>
                <w:szCs w:val="21"/>
                <w:lang w:val="en-CA" w:eastAsia="en-CA"/>
              </w:rPr>
            </w:pPr>
          </w:p>
        </w:tc>
        <w:tc>
          <w:tcPr>
            <w:tcW w:w="1260" w:type="dxa"/>
            <w:shd w:val="clear" w:color="auto" w:fill="auto"/>
            <w:noWrap/>
            <w:vAlign w:val="center"/>
            <w:hideMark/>
          </w:tcPr>
          <w:p w14:paraId="408F22CD" w14:textId="77777777" w:rsidR="00B45CAD" w:rsidRPr="00CB4B93" w:rsidRDefault="00B45CAD" w:rsidP="00B45CAD">
            <w:pPr>
              <w:rPr>
                <w:bCs/>
                <w:color w:val="000000"/>
                <w:sz w:val="21"/>
                <w:szCs w:val="21"/>
                <w:lang w:val="en-CA" w:eastAsia="en-CA"/>
              </w:rPr>
            </w:pPr>
            <w:r w:rsidRPr="00CB4B93">
              <w:rPr>
                <w:bCs/>
                <w:color w:val="000000"/>
                <w:sz w:val="21"/>
                <w:szCs w:val="21"/>
                <w:lang w:val="en-CA" w:eastAsia="en-CA"/>
              </w:rPr>
              <w:t xml:space="preserve">Disbursed </w:t>
            </w:r>
          </w:p>
        </w:tc>
        <w:tc>
          <w:tcPr>
            <w:tcW w:w="1635" w:type="dxa"/>
            <w:shd w:val="clear" w:color="auto" w:fill="auto"/>
            <w:noWrap/>
            <w:tcMar>
              <w:left w:w="115" w:type="dxa"/>
              <w:right w:w="288" w:type="dxa"/>
            </w:tcMar>
          </w:tcPr>
          <w:p w14:paraId="4E36E664" w14:textId="77777777" w:rsidR="00B45CAD" w:rsidRPr="00CB4B93" w:rsidRDefault="00B45CAD" w:rsidP="00B45CAD">
            <w:pPr>
              <w:jc w:val="right"/>
              <w:rPr>
                <w:sz w:val="21"/>
                <w:szCs w:val="21"/>
              </w:rPr>
            </w:pPr>
            <w:r w:rsidRPr="00CB4B93">
              <w:rPr>
                <w:sz w:val="21"/>
                <w:szCs w:val="21"/>
              </w:rPr>
              <w:t>1,531,940</w:t>
            </w:r>
          </w:p>
        </w:tc>
        <w:tc>
          <w:tcPr>
            <w:tcW w:w="1635" w:type="dxa"/>
            <w:tcMar>
              <w:left w:w="115" w:type="dxa"/>
              <w:right w:w="288" w:type="dxa"/>
            </w:tcMar>
            <w:vAlign w:val="center"/>
          </w:tcPr>
          <w:p w14:paraId="2B3174F4" w14:textId="77777777" w:rsidR="00B45CAD" w:rsidRPr="00CB4B93" w:rsidRDefault="00B45CAD" w:rsidP="00B45CAD">
            <w:pPr>
              <w:jc w:val="right"/>
              <w:rPr>
                <w:color w:val="000000"/>
                <w:sz w:val="21"/>
                <w:szCs w:val="21"/>
              </w:rPr>
            </w:pPr>
            <w:r w:rsidRPr="00CB4B93">
              <w:rPr>
                <w:sz w:val="21"/>
                <w:szCs w:val="21"/>
              </w:rPr>
              <w:t>30,000</w:t>
            </w:r>
          </w:p>
        </w:tc>
        <w:tc>
          <w:tcPr>
            <w:tcW w:w="1636" w:type="dxa"/>
            <w:shd w:val="clear" w:color="auto" w:fill="auto"/>
            <w:noWrap/>
            <w:tcMar>
              <w:left w:w="115" w:type="dxa"/>
              <w:right w:w="288" w:type="dxa"/>
            </w:tcMar>
            <w:vAlign w:val="center"/>
          </w:tcPr>
          <w:p w14:paraId="23607A53" w14:textId="77777777" w:rsidR="00B45CAD" w:rsidRPr="00CB4B93" w:rsidRDefault="00B45CAD" w:rsidP="00B45CAD">
            <w:pPr>
              <w:jc w:val="right"/>
              <w:rPr>
                <w:color w:val="000000"/>
                <w:sz w:val="21"/>
                <w:szCs w:val="21"/>
              </w:rPr>
            </w:pPr>
            <w:r w:rsidRPr="00CB4B93">
              <w:rPr>
                <w:b/>
                <w:sz w:val="21"/>
                <w:szCs w:val="21"/>
              </w:rPr>
              <w:t>1,561,940</w:t>
            </w:r>
          </w:p>
        </w:tc>
        <w:tc>
          <w:tcPr>
            <w:tcW w:w="2160" w:type="dxa"/>
            <w:vMerge/>
            <w:vAlign w:val="center"/>
          </w:tcPr>
          <w:p w14:paraId="47419925" w14:textId="77777777" w:rsidR="00B45CAD" w:rsidRPr="00CB4B93" w:rsidRDefault="00B45CAD" w:rsidP="00B45CAD">
            <w:pPr>
              <w:jc w:val="center"/>
              <w:rPr>
                <w:color w:val="000000"/>
                <w:sz w:val="21"/>
                <w:szCs w:val="21"/>
                <w:lang w:val="en-CA" w:eastAsia="en-CA"/>
              </w:rPr>
            </w:pPr>
          </w:p>
        </w:tc>
      </w:tr>
      <w:tr w:rsidR="00B45CAD" w:rsidRPr="00CB4B93" w14:paraId="7CBC630C" w14:textId="77777777" w:rsidTr="00CE471E">
        <w:tc>
          <w:tcPr>
            <w:tcW w:w="1057" w:type="dxa"/>
            <w:vMerge w:val="restart"/>
            <w:shd w:val="clear" w:color="auto" w:fill="auto"/>
            <w:noWrap/>
            <w:vAlign w:val="center"/>
            <w:hideMark/>
          </w:tcPr>
          <w:p w14:paraId="3290D576" w14:textId="12386617" w:rsidR="00B45CAD" w:rsidRPr="00CB4B93" w:rsidRDefault="00B45CAD" w:rsidP="00B45CAD">
            <w:pPr>
              <w:jc w:val="left"/>
              <w:rPr>
                <w:bCs/>
                <w:color w:val="000000"/>
                <w:sz w:val="21"/>
                <w:szCs w:val="21"/>
                <w:lang w:val="en-CA" w:eastAsia="en-CA"/>
              </w:rPr>
            </w:pPr>
            <w:r w:rsidRPr="00CB4B93">
              <w:rPr>
                <w:bCs/>
                <w:color w:val="000000"/>
                <w:sz w:val="21"/>
                <w:szCs w:val="21"/>
                <w:lang w:val="en-CA" w:eastAsia="en-CA"/>
              </w:rPr>
              <w:t>Second</w:t>
            </w:r>
          </w:p>
        </w:tc>
        <w:tc>
          <w:tcPr>
            <w:tcW w:w="1260" w:type="dxa"/>
            <w:shd w:val="clear" w:color="auto" w:fill="auto"/>
            <w:noWrap/>
            <w:vAlign w:val="center"/>
            <w:hideMark/>
          </w:tcPr>
          <w:p w14:paraId="7959CFDA" w14:textId="77777777" w:rsidR="00B45CAD" w:rsidRPr="00CB4B93" w:rsidRDefault="00B45CAD" w:rsidP="00B45CAD">
            <w:pPr>
              <w:rPr>
                <w:bCs/>
                <w:color w:val="000000"/>
                <w:sz w:val="21"/>
                <w:szCs w:val="21"/>
                <w:lang w:val="en-CA" w:eastAsia="en-CA"/>
              </w:rPr>
            </w:pPr>
            <w:r w:rsidRPr="00CB4B93">
              <w:rPr>
                <w:bCs/>
                <w:color w:val="000000"/>
                <w:sz w:val="21"/>
                <w:szCs w:val="21"/>
                <w:lang w:val="en-CA" w:eastAsia="en-CA"/>
              </w:rPr>
              <w:t xml:space="preserve">Approved </w:t>
            </w:r>
          </w:p>
        </w:tc>
        <w:tc>
          <w:tcPr>
            <w:tcW w:w="1635" w:type="dxa"/>
            <w:shd w:val="clear" w:color="auto" w:fill="auto"/>
            <w:noWrap/>
            <w:tcMar>
              <w:left w:w="115" w:type="dxa"/>
              <w:right w:w="288" w:type="dxa"/>
            </w:tcMar>
            <w:vAlign w:val="center"/>
          </w:tcPr>
          <w:p w14:paraId="0587E30C" w14:textId="77777777" w:rsidR="00B45CAD" w:rsidRPr="00CB4B93" w:rsidRDefault="00B45CAD" w:rsidP="00B45CAD">
            <w:pPr>
              <w:jc w:val="right"/>
              <w:rPr>
                <w:color w:val="000000"/>
                <w:sz w:val="21"/>
                <w:szCs w:val="21"/>
              </w:rPr>
            </w:pPr>
            <w:r w:rsidRPr="00CB4B93">
              <w:rPr>
                <w:sz w:val="21"/>
                <w:szCs w:val="21"/>
              </w:rPr>
              <w:t>86,500</w:t>
            </w:r>
          </w:p>
        </w:tc>
        <w:tc>
          <w:tcPr>
            <w:tcW w:w="1635" w:type="dxa"/>
            <w:tcMar>
              <w:left w:w="115" w:type="dxa"/>
              <w:right w:w="288" w:type="dxa"/>
            </w:tcMar>
            <w:vAlign w:val="center"/>
          </w:tcPr>
          <w:p w14:paraId="491DF8C8" w14:textId="77777777" w:rsidR="00B45CAD" w:rsidRPr="00CB4B93" w:rsidRDefault="00B45CAD" w:rsidP="00B45CAD">
            <w:pPr>
              <w:jc w:val="right"/>
              <w:rPr>
                <w:color w:val="000000"/>
                <w:sz w:val="21"/>
                <w:szCs w:val="21"/>
              </w:rPr>
            </w:pPr>
            <w:r w:rsidRPr="00CB4B93">
              <w:rPr>
                <w:sz w:val="21"/>
                <w:szCs w:val="21"/>
              </w:rPr>
              <w:t>20,000</w:t>
            </w:r>
          </w:p>
        </w:tc>
        <w:tc>
          <w:tcPr>
            <w:tcW w:w="1636" w:type="dxa"/>
            <w:shd w:val="clear" w:color="auto" w:fill="auto"/>
            <w:noWrap/>
            <w:tcMar>
              <w:left w:w="115" w:type="dxa"/>
              <w:right w:w="288" w:type="dxa"/>
            </w:tcMar>
            <w:vAlign w:val="center"/>
          </w:tcPr>
          <w:p w14:paraId="1DDDFE0E" w14:textId="77777777" w:rsidR="00B45CAD" w:rsidRPr="00CB4B93" w:rsidRDefault="00B45CAD" w:rsidP="00B45CAD">
            <w:pPr>
              <w:jc w:val="right"/>
              <w:rPr>
                <w:color w:val="000000"/>
                <w:sz w:val="21"/>
                <w:szCs w:val="21"/>
              </w:rPr>
            </w:pPr>
            <w:r w:rsidRPr="00CB4B93">
              <w:rPr>
                <w:b/>
                <w:sz w:val="21"/>
                <w:szCs w:val="21"/>
              </w:rPr>
              <w:t>106,500</w:t>
            </w:r>
          </w:p>
        </w:tc>
        <w:tc>
          <w:tcPr>
            <w:tcW w:w="2160" w:type="dxa"/>
            <w:vMerge w:val="restart"/>
            <w:shd w:val="clear" w:color="auto" w:fill="auto"/>
            <w:noWrap/>
            <w:vAlign w:val="center"/>
          </w:tcPr>
          <w:p w14:paraId="68681A0D" w14:textId="77777777" w:rsidR="00B45CAD" w:rsidRPr="00CB4B93" w:rsidRDefault="00B45CAD" w:rsidP="00B45CAD">
            <w:pPr>
              <w:jc w:val="center"/>
              <w:rPr>
                <w:color w:val="000000"/>
                <w:sz w:val="21"/>
                <w:szCs w:val="21"/>
              </w:rPr>
            </w:pPr>
            <w:r w:rsidRPr="00CB4B93">
              <w:rPr>
                <w:sz w:val="21"/>
                <w:szCs w:val="21"/>
              </w:rPr>
              <w:t>100.0</w:t>
            </w:r>
          </w:p>
        </w:tc>
      </w:tr>
      <w:tr w:rsidR="00B45CAD" w:rsidRPr="00CB4B93" w14:paraId="062E6192" w14:textId="77777777" w:rsidTr="00CE471E">
        <w:tc>
          <w:tcPr>
            <w:tcW w:w="1057" w:type="dxa"/>
            <w:vMerge/>
            <w:vAlign w:val="center"/>
            <w:hideMark/>
          </w:tcPr>
          <w:p w14:paraId="6230CD00" w14:textId="77777777" w:rsidR="00B45CAD" w:rsidRPr="00CB4B93" w:rsidRDefault="00B45CAD" w:rsidP="00B45CAD">
            <w:pPr>
              <w:jc w:val="left"/>
              <w:rPr>
                <w:bCs/>
                <w:color w:val="000000"/>
                <w:sz w:val="21"/>
                <w:szCs w:val="21"/>
                <w:lang w:val="en-CA" w:eastAsia="en-CA"/>
              </w:rPr>
            </w:pPr>
          </w:p>
        </w:tc>
        <w:tc>
          <w:tcPr>
            <w:tcW w:w="1260" w:type="dxa"/>
            <w:shd w:val="clear" w:color="auto" w:fill="auto"/>
            <w:noWrap/>
            <w:vAlign w:val="center"/>
            <w:hideMark/>
          </w:tcPr>
          <w:p w14:paraId="05356CC5" w14:textId="77777777" w:rsidR="00B45CAD" w:rsidRPr="00CB4B93" w:rsidRDefault="00B45CAD" w:rsidP="00B45CAD">
            <w:pPr>
              <w:rPr>
                <w:bCs/>
                <w:color w:val="000000"/>
                <w:sz w:val="21"/>
                <w:szCs w:val="21"/>
                <w:lang w:val="en-CA" w:eastAsia="en-CA"/>
              </w:rPr>
            </w:pPr>
            <w:r w:rsidRPr="00CB4B93">
              <w:rPr>
                <w:bCs/>
                <w:color w:val="000000"/>
                <w:sz w:val="21"/>
                <w:szCs w:val="21"/>
                <w:lang w:val="en-CA" w:eastAsia="en-CA"/>
              </w:rPr>
              <w:t xml:space="preserve">Disbursed </w:t>
            </w:r>
          </w:p>
        </w:tc>
        <w:tc>
          <w:tcPr>
            <w:tcW w:w="1635" w:type="dxa"/>
            <w:shd w:val="clear" w:color="auto" w:fill="auto"/>
            <w:noWrap/>
            <w:tcMar>
              <w:left w:w="115" w:type="dxa"/>
              <w:right w:w="288" w:type="dxa"/>
            </w:tcMar>
            <w:vAlign w:val="center"/>
          </w:tcPr>
          <w:p w14:paraId="6D9A6707" w14:textId="77777777" w:rsidR="00B45CAD" w:rsidRPr="00CB4B93" w:rsidRDefault="00B45CAD" w:rsidP="00B45CAD">
            <w:pPr>
              <w:jc w:val="right"/>
              <w:rPr>
                <w:color w:val="000000"/>
                <w:sz w:val="21"/>
                <w:szCs w:val="21"/>
              </w:rPr>
            </w:pPr>
            <w:r w:rsidRPr="00CB4B93">
              <w:rPr>
                <w:sz w:val="21"/>
                <w:szCs w:val="21"/>
              </w:rPr>
              <w:t>86,500</w:t>
            </w:r>
          </w:p>
        </w:tc>
        <w:tc>
          <w:tcPr>
            <w:tcW w:w="1635" w:type="dxa"/>
            <w:tcMar>
              <w:left w:w="115" w:type="dxa"/>
              <w:right w:w="288" w:type="dxa"/>
            </w:tcMar>
          </w:tcPr>
          <w:p w14:paraId="576F70DA" w14:textId="77777777" w:rsidR="00B45CAD" w:rsidRPr="00CB4B93" w:rsidRDefault="00B45CAD" w:rsidP="00B45CAD">
            <w:pPr>
              <w:jc w:val="right"/>
              <w:rPr>
                <w:sz w:val="21"/>
                <w:szCs w:val="21"/>
              </w:rPr>
            </w:pPr>
            <w:r w:rsidRPr="00CB4B93">
              <w:rPr>
                <w:sz w:val="21"/>
                <w:szCs w:val="21"/>
              </w:rPr>
              <w:t>20,000</w:t>
            </w:r>
          </w:p>
        </w:tc>
        <w:tc>
          <w:tcPr>
            <w:tcW w:w="1636" w:type="dxa"/>
            <w:shd w:val="clear" w:color="auto" w:fill="auto"/>
            <w:noWrap/>
            <w:tcMar>
              <w:left w:w="115" w:type="dxa"/>
              <w:right w:w="288" w:type="dxa"/>
            </w:tcMar>
            <w:vAlign w:val="center"/>
          </w:tcPr>
          <w:p w14:paraId="69493807" w14:textId="77777777" w:rsidR="00B45CAD" w:rsidRPr="00CB4B93" w:rsidRDefault="00B45CAD" w:rsidP="00B45CAD">
            <w:pPr>
              <w:jc w:val="right"/>
              <w:rPr>
                <w:color w:val="000000"/>
                <w:sz w:val="21"/>
                <w:szCs w:val="21"/>
              </w:rPr>
            </w:pPr>
            <w:r w:rsidRPr="00CB4B93">
              <w:rPr>
                <w:b/>
                <w:sz w:val="21"/>
                <w:szCs w:val="21"/>
              </w:rPr>
              <w:t>106,500</w:t>
            </w:r>
          </w:p>
        </w:tc>
        <w:tc>
          <w:tcPr>
            <w:tcW w:w="2160" w:type="dxa"/>
            <w:vMerge/>
            <w:vAlign w:val="center"/>
          </w:tcPr>
          <w:p w14:paraId="38F766C5" w14:textId="77777777" w:rsidR="00B45CAD" w:rsidRPr="00CB4B93" w:rsidRDefault="00B45CAD" w:rsidP="00B45CAD">
            <w:pPr>
              <w:jc w:val="center"/>
              <w:rPr>
                <w:color w:val="000000"/>
                <w:sz w:val="21"/>
                <w:szCs w:val="21"/>
                <w:lang w:val="en-CA" w:eastAsia="en-CA"/>
              </w:rPr>
            </w:pPr>
          </w:p>
        </w:tc>
      </w:tr>
      <w:tr w:rsidR="00B45CAD" w:rsidRPr="00CB4B93" w14:paraId="37D58516" w14:textId="77777777" w:rsidTr="00CE471E">
        <w:tc>
          <w:tcPr>
            <w:tcW w:w="1057" w:type="dxa"/>
            <w:vMerge w:val="restart"/>
            <w:shd w:val="clear" w:color="auto" w:fill="auto"/>
            <w:noWrap/>
            <w:vAlign w:val="center"/>
            <w:hideMark/>
          </w:tcPr>
          <w:p w14:paraId="3C61D4E3" w14:textId="18B13AA7" w:rsidR="00B45CAD" w:rsidRPr="00CB4B93" w:rsidRDefault="00B45CAD" w:rsidP="00B45CAD">
            <w:pPr>
              <w:jc w:val="left"/>
              <w:rPr>
                <w:bCs/>
                <w:color w:val="000000"/>
                <w:sz w:val="21"/>
                <w:szCs w:val="21"/>
                <w:lang w:val="en-CA" w:eastAsia="en-CA"/>
              </w:rPr>
            </w:pPr>
            <w:r w:rsidRPr="00CB4B93">
              <w:rPr>
                <w:bCs/>
                <w:color w:val="000000"/>
                <w:sz w:val="21"/>
                <w:szCs w:val="21"/>
                <w:lang w:val="en-CA" w:eastAsia="en-CA"/>
              </w:rPr>
              <w:t>Third</w:t>
            </w:r>
          </w:p>
        </w:tc>
        <w:tc>
          <w:tcPr>
            <w:tcW w:w="1260" w:type="dxa"/>
            <w:shd w:val="clear" w:color="auto" w:fill="auto"/>
            <w:noWrap/>
            <w:vAlign w:val="center"/>
            <w:hideMark/>
          </w:tcPr>
          <w:p w14:paraId="1030E0CF" w14:textId="77777777" w:rsidR="00B45CAD" w:rsidRPr="00CB4B93" w:rsidRDefault="00B45CAD" w:rsidP="00B45CAD">
            <w:pPr>
              <w:rPr>
                <w:bCs/>
                <w:color w:val="000000"/>
                <w:sz w:val="21"/>
                <w:szCs w:val="21"/>
                <w:lang w:val="en-CA" w:eastAsia="en-CA"/>
              </w:rPr>
            </w:pPr>
            <w:r w:rsidRPr="00CB4B93">
              <w:rPr>
                <w:bCs/>
                <w:color w:val="000000"/>
                <w:sz w:val="21"/>
                <w:szCs w:val="21"/>
                <w:lang w:val="en-CA" w:eastAsia="en-CA"/>
              </w:rPr>
              <w:t xml:space="preserve">Approved </w:t>
            </w:r>
          </w:p>
        </w:tc>
        <w:tc>
          <w:tcPr>
            <w:tcW w:w="1635" w:type="dxa"/>
            <w:shd w:val="clear" w:color="auto" w:fill="auto"/>
            <w:noWrap/>
            <w:tcMar>
              <w:left w:w="115" w:type="dxa"/>
              <w:right w:w="288" w:type="dxa"/>
            </w:tcMar>
            <w:vAlign w:val="center"/>
          </w:tcPr>
          <w:p w14:paraId="3E2D1E98" w14:textId="77777777" w:rsidR="00B45CAD" w:rsidRPr="00CB4B93" w:rsidRDefault="00B45CAD" w:rsidP="00B45CAD">
            <w:pPr>
              <w:jc w:val="right"/>
              <w:rPr>
                <w:color w:val="000000"/>
                <w:sz w:val="21"/>
                <w:szCs w:val="21"/>
              </w:rPr>
            </w:pPr>
            <w:r w:rsidRPr="00CB4B93">
              <w:rPr>
                <w:color w:val="000000"/>
                <w:sz w:val="21"/>
                <w:szCs w:val="21"/>
              </w:rPr>
              <w:t>86,500</w:t>
            </w:r>
          </w:p>
        </w:tc>
        <w:tc>
          <w:tcPr>
            <w:tcW w:w="1635" w:type="dxa"/>
            <w:tcMar>
              <w:left w:w="115" w:type="dxa"/>
              <w:right w:w="288" w:type="dxa"/>
            </w:tcMar>
            <w:vAlign w:val="center"/>
          </w:tcPr>
          <w:p w14:paraId="63FB8C4D" w14:textId="77777777" w:rsidR="00B45CAD" w:rsidRPr="00CB4B93" w:rsidRDefault="00B45CAD" w:rsidP="00B45CAD">
            <w:pPr>
              <w:jc w:val="right"/>
              <w:rPr>
                <w:color w:val="000000"/>
                <w:sz w:val="21"/>
                <w:szCs w:val="21"/>
              </w:rPr>
            </w:pPr>
            <w:r w:rsidRPr="00CB4B93">
              <w:rPr>
                <w:color w:val="000000"/>
                <w:sz w:val="21"/>
                <w:szCs w:val="21"/>
              </w:rPr>
              <w:t>30,000</w:t>
            </w:r>
          </w:p>
        </w:tc>
        <w:tc>
          <w:tcPr>
            <w:tcW w:w="1636" w:type="dxa"/>
            <w:shd w:val="clear" w:color="auto" w:fill="auto"/>
            <w:noWrap/>
            <w:tcMar>
              <w:left w:w="115" w:type="dxa"/>
              <w:right w:w="288" w:type="dxa"/>
            </w:tcMar>
            <w:vAlign w:val="center"/>
          </w:tcPr>
          <w:p w14:paraId="44425311" w14:textId="77777777" w:rsidR="00B45CAD" w:rsidRPr="00CB4B93" w:rsidRDefault="00B45CAD" w:rsidP="00B45CAD">
            <w:pPr>
              <w:jc w:val="right"/>
              <w:rPr>
                <w:b/>
                <w:color w:val="000000"/>
                <w:sz w:val="21"/>
                <w:szCs w:val="21"/>
              </w:rPr>
            </w:pPr>
            <w:r w:rsidRPr="00CB4B93">
              <w:rPr>
                <w:b/>
                <w:color w:val="000000"/>
                <w:sz w:val="21"/>
                <w:szCs w:val="21"/>
              </w:rPr>
              <w:t>116,500</w:t>
            </w:r>
          </w:p>
        </w:tc>
        <w:tc>
          <w:tcPr>
            <w:tcW w:w="2160" w:type="dxa"/>
            <w:vMerge w:val="restart"/>
            <w:shd w:val="clear" w:color="auto" w:fill="auto"/>
            <w:noWrap/>
            <w:vAlign w:val="center"/>
          </w:tcPr>
          <w:p w14:paraId="3F799EFF" w14:textId="1EE7DBA0" w:rsidR="00B45CAD" w:rsidRPr="00CB4B93" w:rsidRDefault="00037C36" w:rsidP="00B45CAD">
            <w:pPr>
              <w:jc w:val="center"/>
              <w:rPr>
                <w:color w:val="000000"/>
                <w:sz w:val="21"/>
                <w:szCs w:val="21"/>
                <w:lang w:val="en-CA" w:eastAsia="en-CA"/>
              </w:rPr>
            </w:pPr>
            <w:r w:rsidRPr="00CB4B93">
              <w:rPr>
                <w:color w:val="000000"/>
                <w:sz w:val="21"/>
                <w:szCs w:val="21"/>
                <w:lang w:val="en-CA" w:eastAsia="en-CA"/>
              </w:rPr>
              <w:t>96.1</w:t>
            </w:r>
          </w:p>
        </w:tc>
      </w:tr>
      <w:tr w:rsidR="00D54581" w:rsidRPr="00CB4B93" w14:paraId="41F3436B" w14:textId="77777777" w:rsidTr="00CE471E">
        <w:tc>
          <w:tcPr>
            <w:tcW w:w="1057" w:type="dxa"/>
            <w:vMerge/>
            <w:vAlign w:val="center"/>
            <w:hideMark/>
          </w:tcPr>
          <w:p w14:paraId="155F7EC7" w14:textId="77777777" w:rsidR="00D54581" w:rsidRPr="00CB4B93" w:rsidRDefault="00D54581" w:rsidP="00F04DC2">
            <w:pPr>
              <w:jc w:val="left"/>
              <w:rPr>
                <w:bCs/>
                <w:color w:val="000000"/>
                <w:sz w:val="21"/>
                <w:szCs w:val="21"/>
                <w:lang w:val="en-CA" w:eastAsia="en-CA"/>
              </w:rPr>
            </w:pPr>
          </w:p>
        </w:tc>
        <w:tc>
          <w:tcPr>
            <w:tcW w:w="1260" w:type="dxa"/>
            <w:shd w:val="clear" w:color="auto" w:fill="auto"/>
            <w:noWrap/>
            <w:vAlign w:val="center"/>
            <w:hideMark/>
          </w:tcPr>
          <w:p w14:paraId="0B8F4D59" w14:textId="77777777" w:rsidR="00D54581" w:rsidRPr="00CB4B93" w:rsidRDefault="00D54581" w:rsidP="00F04DC2">
            <w:pPr>
              <w:rPr>
                <w:bCs/>
                <w:color w:val="000000"/>
                <w:sz w:val="21"/>
                <w:szCs w:val="21"/>
                <w:lang w:val="en-CA" w:eastAsia="en-CA"/>
              </w:rPr>
            </w:pPr>
            <w:r w:rsidRPr="00CB4B93">
              <w:rPr>
                <w:bCs/>
                <w:color w:val="000000"/>
                <w:sz w:val="21"/>
                <w:szCs w:val="21"/>
                <w:lang w:val="en-CA" w:eastAsia="en-CA"/>
              </w:rPr>
              <w:t xml:space="preserve">Disbursed </w:t>
            </w:r>
          </w:p>
        </w:tc>
        <w:tc>
          <w:tcPr>
            <w:tcW w:w="1635" w:type="dxa"/>
            <w:shd w:val="clear" w:color="auto" w:fill="auto"/>
            <w:noWrap/>
            <w:tcMar>
              <w:left w:w="115" w:type="dxa"/>
              <w:right w:w="288" w:type="dxa"/>
            </w:tcMar>
            <w:vAlign w:val="center"/>
          </w:tcPr>
          <w:p w14:paraId="1396F387" w14:textId="77777777" w:rsidR="00D54581" w:rsidRPr="00CB4B93" w:rsidRDefault="0080166F" w:rsidP="00F04DC2">
            <w:pPr>
              <w:jc w:val="right"/>
              <w:rPr>
                <w:color w:val="000000"/>
                <w:sz w:val="21"/>
                <w:szCs w:val="21"/>
                <w:lang w:val="en-CA" w:eastAsia="en-CA"/>
              </w:rPr>
            </w:pPr>
            <w:r w:rsidRPr="00CB4B93">
              <w:rPr>
                <w:color w:val="000000"/>
                <w:sz w:val="21"/>
                <w:szCs w:val="21"/>
                <w:lang w:val="en-CA" w:eastAsia="en-CA"/>
              </w:rPr>
              <w:t>86,348</w:t>
            </w:r>
          </w:p>
        </w:tc>
        <w:tc>
          <w:tcPr>
            <w:tcW w:w="1635" w:type="dxa"/>
            <w:tcMar>
              <w:left w:w="115" w:type="dxa"/>
              <w:right w:w="288" w:type="dxa"/>
            </w:tcMar>
            <w:vAlign w:val="center"/>
          </w:tcPr>
          <w:p w14:paraId="21092B41" w14:textId="501E13E7" w:rsidR="00D54581" w:rsidRPr="00CB4B93" w:rsidRDefault="00FE6362" w:rsidP="00F04DC2">
            <w:pPr>
              <w:jc w:val="right"/>
              <w:rPr>
                <w:color w:val="000000"/>
                <w:sz w:val="21"/>
                <w:szCs w:val="21"/>
                <w:lang w:val="en-CA" w:eastAsia="en-CA"/>
              </w:rPr>
            </w:pPr>
            <w:r w:rsidRPr="00CB4B93">
              <w:rPr>
                <w:color w:val="000000"/>
                <w:sz w:val="21"/>
                <w:szCs w:val="21"/>
                <w:lang w:val="en-CA" w:eastAsia="en-CA"/>
              </w:rPr>
              <w:t>25,629</w:t>
            </w:r>
          </w:p>
        </w:tc>
        <w:tc>
          <w:tcPr>
            <w:tcW w:w="1636" w:type="dxa"/>
            <w:shd w:val="clear" w:color="auto" w:fill="auto"/>
            <w:noWrap/>
            <w:tcMar>
              <w:left w:w="115" w:type="dxa"/>
              <w:right w:w="288" w:type="dxa"/>
            </w:tcMar>
            <w:vAlign w:val="center"/>
          </w:tcPr>
          <w:p w14:paraId="77CD32B4" w14:textId="0B717219" w:rsidR="00D54581" w:rsidRPr="00CB4B93" w:rsidRDefault="005872D9" w:rsidP="00F04DC2">
            <w:pPr>
              <w:jc w:val="right"/>
              <w:rPr>
                <w:b/>
                <w:color w:val="000000"/>
                <w:sz w:val="21"/>
                <w:szCs w:val="21"/>
                <w:lang w:val="en-CA" w:eastAsia="en-CA"/>
              </w:rPr>
            </w:pPr>
            <w:r w:rsidRPr="00CB4B93">
              <w:rPr>
                <w:b/>
                <w:color w:val="000000"/>
                <w:sz w:val="21"/>
                <w:szCs w:val="21"/>
                <w:lang w:val="en-CA" w:eastAsia="en-CA"/>
              </w:rPr>
              <w:t>111,977</w:t>
            </w:r>
          </w:p>
        </w:tc>
        <w:tc>
          <w:tcPr>
            <w:tcW w:w="2160" w:type="dxa"/>
            <w:vMerge/>
            <w:vAlign w:val="center"/>
          </w:tcPr>
          <w:p w14:paraId="161F1848" w14:textId="77777777" w:rsidR="00D54581" w:rsidRPr="00CB4B93" w:rsidRDefault="00D54581" w:rsidP="00F04DC2">
            <w:pPr>
              <w:jc w:val="center"/>
              <w:rPr>
                <w:color w:val="000000"/>
                <w:sz w:val="21"/>
                <w:szCs w:val="21"/>
                <w:lang w:val="en-CA" w:eastAsia="en-CA"/>
              </w:rPr>
            </w:pPr>
          </w:p>
        </w:tc>
      </w:tr>
      <w:tr w:rsidR="00D54581" w:rsidRPr="00CB4B93" w14:paraId="06B4DB8D" w14:textId="77777777" w:rsidTr="00CE471E">
        <w:tc>
          <w:tcPr>
            <w:tcW w:w="1057" w:type="dxa"/>
            <w:vMerge w:val="restart"/>
            <w:shd w:val="clear" w:color="auto" w:fill="auto"/>
            <w:noWrap/>
            <w:vAlign w:val="center"/>
            <w:hideMark/>
          </w:tcPr>
          <w:p w14:paraId="2C6E41BB" w14:textId="6223D848" w:rsidR="00D54581" w:rsidRPr="00CB4B93" w:rsidRDefault="00D54581" w:rsidP="00F04DC2">
            <w:pPr>
              <w:jc w:val="left"/>
              <w:rPr>
                <w:bCs/>
                <w:color w:val="000000"/>
                <w:sz w:val="21"/>
                <w:szCs w:val="21"/>
                <w:lang w:val="en-CA" w:eastAsia="en-CA"/>
              </w:rPr>
            </w:pPr>
            <w:r w:rsidRPr="00CB4B93">
              <w:rPr>
                <w:bCs/>
                <w:color w:val="000000"/>
                <w:sz w:val="21"/>
                <w:szCs w:val="21"/>
                <w:lang w:val="en-CA" w:eastAsia="en-CA"/>
              </w:rPr>
              <w:t>Fourth</w:t>
            </w:r>
            <w:r w:rsidR="000F6001" w:rsidRPr="00CB4B93">
              <w:rPr>
                <w:bCs/>
                <w:color w:val="000000"/>
                <w:sz w:val="21"/>
                <w:szCs w:val="21"/>
                <w:lang w:val="en-CA" w:eastAsia="en-CA"/>
              </w:rPr>
              <w:t>*</w:t>
            </w:r>
          </w:p>
        </w:tc>
        <w:tc>
          <w:tcPr>
            <w:tcW w:w="1260" w:type="dxa"/>
            <w:shd w:val="clear" w:color="auto" w:fill="auto"/>
            <w:noWrap/>
            <w:vAlign w:val="center"/>
            <w:hideMark/>
          </w:tcPr>
          <w:p w14:paraId="1CDC5EF4" w14:textId="77777777" w:rsidR="00D54581" w:rsidRPr="00CB4B93" w:rsidRDefault="00D54581" w:rsidP="00F04DC2">
            <w:pPr>
              <w:rPr>
                <w:bCs/>
                <w:color w:val="000000"/>
                <w:sz w:val="21"/>
                <w:szCs w:val="21"/>
                <w:lang w:val="en-CA" w:eastAsia="en-CA"/>
              </w:rPr>
            </w:pPr>
            <w:r w:rsidRPr="00CB4B93">
              <w:rPr>
                <w:bCs/>
                <w:color w:val="000000"/>
                <w:sz w:val="21"/>
                <w:szCs w:val="21"/>
                <w:lang w:val="en-CA" w:eastAsia="en-CA"/>
              </w:rPr>
              <w:t xml:space="preserve">Approved </w:t>
            </w:r>
          </w:p>
        </w:tc>
        <w:tc>
          <w:tcPr>
            <w:tcW w:w="1635" w:type="dxa"/>
            <w:shd w:val="clear" w:color="auto" w:fill="auto"/>
            <w:noWrap/>
            <w:tcMar>
              <w:left w:w="115" w:type="dxa"/>
              <w:right w:w="288" w:type="dxa"/>
            </w:tcMar>
            <w:vAlign w:val="center"/>
          </w:tcPr>
          <w:p w14:paraId="4D337D13" w14:textId="77777777" w:rsidR="00D54581" w:rsidRPr="00CB4B93" w:rsidRDefault="00B45CAD" w:rsidP="00F04DC2">
            <w:pPr>
              <w:jc w:val="right"/>
              <w:rPr>
                <w:color w:val="000000"/>
                <w:sz w:val="21"/>
                <w:szCs w:val="21"/>
                <w:lang w:val="en-CA" w:eastAsia="en-CA"/>
              </w:rPr>
            </w:pPr>
            <w:r w:rsidRPr="00CB4B93">
              <w:rPr>
                <w:color w:val="000000"/>
                <w:sz w:val="21"/>
                <w:szCs w:val="21"/>
                <w:lang w:val="en-CA" w:eastAsia="en-CA"/>
              </w:rPr>
              <w:t>86,500</w:t>
            </w:r>
          </w:p>
        </w:tc>
        <w:tc>
          <w:tcPr>
            <w:tcW w:w="1635" w:type="dxa"/>
            <w:tcMar>
              <w:left w:w="115" w:type="dxa"/>
              <w:right w:w="288" w:type="dxa"/>
            </w:tcMar>
            <w:vAlign w:val="center"/>
          </w:tcPr>
          <w:p w14:paraId="4B5211DA" w14:textId="77777777" w:rsidR="00D54581" w:rsidRPr="00CB4B93" w:rsidRDefault="00B45CAD" w:rsidP="00F04DC2">
            <w:pPr>
              <w:jc w:val="right"/>
              <w:rPr>
                <w:color w:val="000000"/>
                <w:sz w:val="21"/>
                <w:szCs w:val="21"/>
                <w:lang w:val="en-CA" w:eastAsia="en-CA"/>
              </w:rPr>
            </w:pPr>
            <w:r w:rsidRPr="00CB4B93">
              <w:rPr>
                <w:color w:val="000000"/>
                <w:sz w:val="21"/>
                <w:szCs w:val="21"/>
                <w:lang w:val="en-CA" w:eastAsia="en-CA"/>
              </w:rPr>
              <w:t>25,000</w:t>
            </w:r>
          </w:p>
        </w:tc>
        <w:tc>
          <w:tcPr>
            <w:tcW w:w="1636" w:type="dxa"/>
            <w:shd w:val="clear" w:color="auto" w:fill="auto"/>
            <w:noWrap/>
            <w:tcMar>
              <w:left w:w="115" w:type="dxa"/>
              <w:right w:w="288" w:type="dxa"/>
            </w:tcMar>
            <w:vAlign w:val="center"/>
          </w:tcPr>
          <w:p w14:paraId="2683AAC5" w14:textId="77777777" w:rsidR="00D54581" w:rsidRPr="00CB4B93" w:rsidRDefault="00092FCD" w:rsidP="00F04DC2">
            <w:pPr>
              <w:jc w:val="right"/>
              <w:rPr>
                <w:b/>
                <w:color w:val="000000"/>
                <w:sz w:val="21"/>
                <w:szCs w:val="21"/>
                <w:lang w:val="en-CA" w:eastAsia="en-CA"/>
              </w:rPr>
            </w:pPr>
            <w:r w:rsidRPr="00CB4B93">
              <w:rPr>
                <w:b/>
                <w:color w:val="000000"/>
                <w:sz w:val="21"/>
                <w:szCs w:val="21"/>
                <w:lang w:val="en-CA" w:eastAsia="en-CA"/>
              </w:rPr>
              <w:t>111</w:t>
            </w:r>
            <w:r w:rsidR="00B45CAD" w:rsidRPr="00CB4B93">
              <w:rPr>
                <w:b/>
                <w:color w:val="000000"/>
                <w:sz w:val="21"/>
                <w:szCs w:val="21"/>
                <w:lang w:val="en-CA" w:eastAsia="en-CA"/>
              </w:rPr>
              <w:t>,500</w:t>
            </w:r>
          </w:p>
        </w:tc>
        <w:tc>
          <w:tcPr>
            <w:tcW w:w="2160" w:type="dxa"/>
            <w:vMerge w:val="restart"/>
            <w:shd w:val="clear" w:color="auto" w:fill="auto"/>
            <w:noWrap/>
            <w:vAlign w:val="center"/>
          </w:tcPr>
          <w:p w14:paraId="243B017D" w14:textId="4C6B34A3" w:rsidR="00D54581" w:rsidRPr="00CB4B93" w:rsidRDefault="00037C36" w:rsidP="00F04DC2">
            <w:pPr>
              <w:jc w:val="center"/>
              <w:rPr>
                <w:color w:val="000000"/>
                <w:sz w:val="21"/>
                <w:szCs w:val="21"/>
                <w:lang w:val="en-CA" w:eastAsia="en-CA"/>
              </w:rPr>
            </w:pPr>
            <w:r w:rsidRPr="00CB4B93">
              <w:rPr>
                <w:color w:val="000000"/>
                <w:sz w:val="21"/>
                <w:szCs w:val="21"/>
                <w:lang w:val="en-CA" w:eastAsia="en-CA"/>
              </w:rPr>
              <w:t>75.5</w:t>
            </w:r>
          </w:p>
        </w:tc>
      </w:tr>
      <w:tr w:rsidR="00D54581" w:rsidRPr="00CB4B93" w14:paraId="45FF00D3" w14:textId="77777777" w:rsidTr="00CE471E">
        <w:tc>
          <w:tcPr>
            <w:tcW w:w="1057" w:type="dxa"/>
            <w:vMerge/>
            <w:vAlign w:val="center"/>
            <w:hideMark/>
          </w:tcPr>
          <w:p w14:paraId="63575A1B" w14:textId="77777777" w:rsidR="00D54581" w:rsidRPr="00CB4B93" w:rsidRDefault="00D54581" w:rsidP="00F04DC2">
            <w:pPr>
              <w:jc w:val="left"/>
              <w:rPr>
                <w:bCs/>
                <w:color w:val="000000"/>
                <w:sz w:val="21"/>
                <w:szCs w:val="21"/>
                <w:lang w:val="en-CA" w:eastAsia="en-CA"/>
              </w:rPr>
            </w:pPr>
          </w:p>
        </w:tc>
        <w:tc>
          <w:tcPr>
            <w:tcW w:w="1260" w:type="dxa"/>
            <w:shd w:val="clear" w:color="auto" w:fill="auto"/>
            <w:noWrap/>
            <w:vAlign w:val="center"/>
            <w:hideMark/>
          </w:tcPr>
          <w:p w14:paraId="2928AC41" w14:textId="77777777" w:rsidR="00D54581" w:rsidRPr="00CB4B93" w:rsidRDefault="00D54581" w:rsidP="00F04DC2">
            <w:pPr>
              <w:rPr>
                <w:bCs/>
                <w:color w:val="000000"/>
                <w:sz w:val="21"/>
                <w:szCs w:val="21"/>
                <w:lang w:val="en-CA" w:eastAsia="en-CA"/>
              </w:rPr>
            </w:pPr>
            <w:r w:rsidRPr="00CB4B93">
              <w:rPr>
                <w:bCs/>
                <w:color w:val="000000"/>
                <w:sz w:val="21"/>
                <w:szCs w:val="21"/>
                <w:lang w:val="en-CA" w:eastAsia="en-CA"/>
              </w:rPr>
              <w:t xml:space="preserve">Disbursed </w:t>
            </w:r>
          </w:p>
        </w:tc>
        <w:tc>
          <w:tcPr>
            <w:tcW w:w="1635" w:type="dxa"/>
            <w:shd w:val="clear" w:color="auto" w:fill="auto"/>
            <w:noWrap/>
            <w:tcMar>
              <w:left w:w="115" w:type="dxa"/>
              <w:right w:w="288" w:type="dxa"/>
            </w:tcMar>
            <w:vAlign w:val="center"/>
          </w:tcPr>
          <w:p w14:paraId="1865096A" w14:textId="77777777" w:rsidR="00D54581" w:rsidRPr="00CB4B93" w:rsidRDefault="0080166F" w:rsidP="00F04DC2">
            <w:pPr>
              <w:jc w:val="right"/>
              <w:rPr>
                <w:color w:val="000000"/>
                <w:sz w:val="21"/>
                <w:szCs w:val="21"/>
                <w:lang w:val="en-CA" w:eastAsia="en-CA"/>
              </w:rPr>
            </w:pPr>
            <w:r w:rsidRPr="00CB4B93">
              <w:rPr>
                <w:color w:val="000000"/>
                <w:sz w:val="21"/>
                <w:szCs w:val="21"/>
                <w:lang w:val="en-CA" w:eastAsia="en-CA"/>
              </w:rPr>
              <w:t>60,409</w:t>
            </w:r>
          </w:p>
        </w:tc>
        <w:tc>
          <w:tcPr>
            <w:tcW w:w="1635" w:type="dxa"/>
            <w:tcMar>
              <w:left w:w="115" w:type="dxa"/>
              <w:right w:w="288" w:type="dxa"/>
            </w:tcMar>
            <w:vAlign w:val="center"/>
          </w:tcPr>
          <w:p w14:paraId="7726EC24" w14:textId="4354B9B6" w:rsidR="00D54581" w:rsidRPr="00CB4B93" w:rsidRDefault="00FE6362" w:rsidP="00FE3120">
            <w:pPr>
              <w:jc w:val="right"/>
              <w:rPr>
                <w:color w:val="000000"/>
                <w:sz w:val="21"/>
                <w:szCs w:val="21"/>
                <w:lang w:val="en-CA" w:eastAsia="en-CA"/>
              </w:rPr>
            </w:pPr>
            <w:r w:rsidRPr="00CB4B93">
              <w:rPr>
                <w:color w:val="000000"/>
                <w:sz w:val="21"/>
                <w:szCs w:val="21"/>
                <w:lang w:val="en-CA" w:eastAsia="en-CA"/>
              </w:rPr>
              <w:t>23,765</w:t>
            </w:r>
          </w:p>
        </w:tc>
        <w:tc>
          <w:tcPr>
            <w:tcW w:w="1636" w:type="dxa"/>
            <w:shd w:val="clear" w:color="auto" w:fill="auto"/>
            <w:noWrap/>
            <w:tcMar>
              <w:left w:w="115" w:type="dxa"/>
              <w:right w:w="288" w:type="dxa"/>
            </w:tcMar>
            <w:vAlign w:val="center"/>
          </w:tcPr>
          <w:p w14:paraId="2B3E099B" w14:textId="03CB3CDE" w:rsidR="00D54581" w:rsidRPr="00CB4B93" w:rsidRDefault="00037C36" w:rsidP="00F04DC2">
            <w:pPr>
              <w:jc w:val="right"/>
              <w:rPr>
                <w:b/>
                <w:color w:val="000000"/>
                <w:sz w:val="21"/>
                <w:szCs w:val="21"/>
                <w:lang w:val="en-CA" w:eastAsia="en-CA"/>
              </w:rPr>
            </w:pPr>
            <w:r w:rsidRPr="00CB4B93">
              <w:rPr>
                <w:b/>
                <w:color w:val="000000"/>
                <w:sz w:val="21"/>
                <w:szCs w:val="21"/>
                <w:lang w:val="en-CA" w:eastAsia="en-CA"/>
              </w:rPr>
              <w:t>84,174</w:t>
            </w:r>
          </w:p>
        </w:tc>
        <w:tc>
          <w:tcPr>
            <w:tcW w:w="2160" w:type="dxa"/>
            <w:vMerge/>
            <w:vAlign w:val="center"/>
          </w:tcPr>
          <w:p w14:paraId="060341C6" w14:textId="77777777" w:rsidR="00D54581" w:rsidRPr="00CB4B93" w:rsidRDefault="00D54581" w:rsidP="00F04DC2">
            <w:pPr>
              <w:jc w:val="center"/>
              <w:rPr>
                <w:color w:val="000000"/>
                <w:sz w:val="21"/>
                <w:szCs w:val="21"/>
                <w:lang w:val="en-CA" w:eastAsia="en-CA"/>
              </w:rPr>
            </w:pPr>
          </w:p>
        </w:tc>
      </w:tr>
      <w:tr w:rsidR="00D54581" w:rsidRPr="00CB4B93" w14:paraId="705BD466" w14:textId="77777777" w:rsidTr="00CE471E">
        <w:tc>
          <w:tcPr>
            <w:tcW w:w="1057" w:type="dxa"/>
            <w:vMerge w:val="restart"/>
            <w:shd w:val="clear" w:color="auto" w:fill="auto"/>
            <w:vAlign w:val="center"/>
            <w:hideMark/>
          </w:tcPr>
          <w:p w14:paraId="62CF8BD2" w14:textId="5A285AE2" w:rsidR="00D54581" w:rsidRPr="00CB4B93" w:rsidRDefault="00D54581" w:rsidP="00F04DC2">
            <w:pPr>
              <w:jc w:val="left"/>
              <w:rPr>
                <w:b/>
                <w:bCs/>
                <w:color w:val="000000"/>
                <w:sz w:val="21"/>
                <w:szCs w:val="21"/>
                <w:lang w:val="en-CA" w:eastAsia="en-CA"/>
              </w:rPr>
            </w:pPr>
            <w:r w:rsidRPr="00CB4B93">
              <w:rPr>
                <w:b/>
                <w:bCs/>
                <w:color w:val="000000"/>
                <w:sz w:val="21"/>
                <w:szCs w:val="21"/>
                <w:lang w:val="en-CA" w:eastAsia="en-CA"/>
              </w:rPr>
              <w:t>Total</w:t>
            </w:r>
            <w:r w:rsidR="00D32989" w:rsidRPr="00CB4B93">
              <w:rPr>
                <w:b/>
                <w:bCs/>
                <w:color w:val="000000"/>
                <w:sz w:val="21"/>
                <w:szCs w:val="21"/>
                <w:lang w:val="en-CA" w:eastAsia="en-CA"/>
              </w:rPr>
              <w:t>*</w:t>
            </w:r>
          </w:p>
        </w:tc>
        <w:tc>
          <w:tcPr>
            <w:tcW w:w="1260" w:type="dxa"/>
            <w:shd w:val="clear" w:color="auto" w:fill="auto"/>
            <w:vAlign w:val="center"/>
            <w:hideMark/>
          </w:tcPr>
          <w:p w14:paraId="4F33EA14" w14:textId="77777777" w:rsidR="00D54581" w:rsidRPr="00CB4B93" w:rsidRDefault="00D54581" w:rsidP="00F04DC2">
            <w:pPr>
              <w:rPr>
                <w:b/>
                <w:bCs/>
                <w:color w:val="000000"/>
                <w:sz w:val="21"/>
                <w:szCs w:val="21"/>
                <w:lang w:val="en-CA" w:eastAsia="en-CA"/>
              </w:rPr>
            </w:pPr>
            <w:r w:rsidRPr="00CB4B93">
              <w:rPr>
                <w:b/>
                <w:bCs/>
                <w:color w:val="000000"/>
                <w:sz w:val="21"/>
                <w:szCs w:val="21"/>
                <w:lang w:val="en-CA" w:eastAsia="en-CA"/>
              </w:rPr>
              <w:t xml:space="preserve">Approved </w:t>
            </w:r>
          </w:p>
        </w:tc>
        <w:tc>
          <w:tcPr>
            <w:tcW w:w="1635" w:type="dxa"/>
            <w:shd w:val="clear" w:color="auto" w:fill="auto"/>
            <w:tcMar>
              <w:left w:w="115" w:type="dxa"/>
              <w:right w:w="288" w:type="dxa"/>
            </w:tcMar>
            <w:vAlign w:val="center"/>
          </w:tcPr>
          <w:p w14:paraId="15A7E599" w14:textId="4A0EAD39" w:rsidR="00D54581" w:rsidRPr="00CB4B93" w:rsidRDefault="00037C36" w:rsidP="00F04DC2">
            <w:pPr>
              <w:jc w:val="right"/>
              <w:rPr>
                <w:b/>
                <w:color w:val="000000"/>
                <w:sz w:val="21"/>
                <w:szCs w:val="21"/>
                <w:lang w:val="en-CA" w:eastAsia="en-CA"/>
              </w:rPr>
            </w:pPr>
            <w:r w:rsidRPr="00CB4B93">
              <w:rPr>
                <w:b/>
                <w:color w:val="000000"/>
                <w:sz w:val="21"/>
                <w:szCs w:val="21"/>
                <w:lang w:val="en-CA" w:eastAsia="en-CA"/>
              </w:rPr>
              <w:t>1,791,440</w:t>
            </w:r>
          </w:p>
        </w:tc>
        <w:tc>
          <w:tcPr>
            <w:tcW w:w="1635" w:type="dxa"/>
            <w:tcMar>
              <w:left w:w="115" w:type="dxa"/>
              <w:right w:w="288" w:type="dxa"/>
            </w:tcMar>
            <w:vAlign w:val="center"/>
          </w:tcPr>
          <w:p w14:paraId="651FDA5F" w14:textId="0DEC29F0" w:rsidR="00D54581" w:rsidRPr="00CB4B93" w:rsidRDefault="00037C36" w:rsidP="00F04DC2">
            <w:pPr>
              <w:jc w:val="right"/>
              <w:rPr>
                <w:b/>
                <w:color w:val="000000"/>
                <w:sz w:val="21"/>
                <w:szCs w:val="21"/>
                <w:lang w:val="en-CA" w:eastAsia="en-CA"/>
              </w:rPr>
            </w:pPr>
            <w:r w:rsidRPr="00CB4B93">
              <w:rPr>
                <w:b/>
                <w:color w:val="000000"/>
                <w:sz w:val="21"/>
                <w:szCs w:val="21"/>
                <w:lang w:val="en-CA" w:eastAsia="en-CA"/>
              </w:rPr>
              <w:t>105,000</w:t>
            </w:r>
          </w:p>
        </w:tc>
        <w:tc>
          <w:tcPr>
            <w:tcW w:w="1636" w:type="dxa"/>
            <w:shd w:val="clear" w:color="auto" w:fill="auto"/>
            <w:tcMar>
              <w:left w:w="115" w:type="dxa"/>
              <w:right w:w="288" w:type="dxa"/>
            </w:tcMar>
            <w:vAlign w:val="center"/>
          </w:tcPr>
          <w:p w14:paraId="12096CC5" w14:textId="77777777" w:rsidR="00D54581" w:rsidRPr="00CB4B93" w:rsidRDefault="00092FCD" w:rsidP="00092FCD">
            <w:pPr>
              <w:jc w:val="right"/>
              <w:rPr>
                <w:b/>
                <w:color w:val="000000"/>
                <w:sz w:val="21"/>
                <w:szCs w:val="21"/>
                <w:lang w:val="en-CA" w:eastAsia="en-CA"/>
              </w:rPr>
            </w:pPr>
            <w:r w:rsidRPr="00CB4B93">
              <w:rPr>
                <w:b/>
                <w:color w:val="000000"/>
                <w:sz w:val="21"/>
                <w:szCs w:val="21"/>
                <w:lang w:val="en-CA" w:eastAsia="en-CA"/>
              </w:rPr>
              <w:t>1</w:t>
            </w:r>
            <w:r w:rsidR="00B45CAD" w:rsidRPr="00CB4B93">
              <w:rPr>
                <w:b/>
                <w:color w:val="000000"/>
                <w:sz w:val="21"/>
                <w:szCs w:val="21"/>
                <w:lang w:val="en-CA" w:eastAsia="en-CA"/>
              </w:rPr>
              <w:t>,</w:t>
            </w:r>
            <w:r w:rsidRPr="00CB4B93">
              <w:rPr>
                <w:b/>
                <w:color w:val="000000"/>
                <w:sz w:val="21"/>
                <w:szCs w:val="21"/>
                <w:lang w:val="en-CA" w:eastAsia="en-CA"/>
              </w:rPr>
              <w:t>896</w:t>
            </w:r>
            <w:r w:rsidR="00B45CAD" w:rsidRPr="00CB4B93">
              <w:rPr>
                <w:b/>
                <w:color w:val="000000"/>
                <w:sz w:val="21"/>
                <w:szCs w:val="21"/>
                <w:lang w:val="en-CA" w:eastAsia="en-CA"/>
              </w:rPr>
              <w:t>,</w:t>
            </w:r>
            <w:r w:rsidRPr="00CB4B93">
              <w:rPr>
                <w:b/>
                <w:color w:val="000000"/>
                <w:sz w:val="21"/>
                <w:szCs w:val="21"/>
                <w:lang w:val="en-CA" w:eastAsia="en-CA"/>
              </w:rPr>
              <w:t>440</w:t>
            </w:r>
          </w:p>
        </w:tc>
        <w:tc>
          <w:tcPr>
            <w:tcW w:w="2160" w:type="dxa"/>
            <w:vMerge w:val="restart"/>
            <w:shd w:val="clear" w:color="auto" w:fill="auto"/>
            <w:vAlign w:val="center"/>
          </w:tcPr>
          <w:p w14:paraId="0E9E7785" w14:textId="53F56608" w:rsidR="00D54581" w:rsidRPr="00CB4B93" w:rsidRDefault="00037C36" w:rsidP="00F04DC2">
            <w:pPr>
              <w:jc w:val="center"/>
              <w:rPr>
                <w:b/>
                <w:color w:val="000000"/>
                <w:sz w:val="21"/>
                <w:szCs w:val="21"/>
                <w:lang w:val="en-CA" w:eastAsia="en-CA"/>
              </w:rPr>
            </w:pPr>
            <w:r w:rsidRPr="00CB4B93">
              <w:rPr>
                <w:b/>
                <w:color w:val="000000"/>
                <w:sz w:val="21"/>
                <w:szCs w:val="21"/>
                <w:lang w:val="en-CA" w:eastAsia="en-CA"/>
              </w:rPr>
              <w:t>98.3</w:t>
            </w:r>
          </w:p>
        </w:tc>
      </w:tr>
      <w:tr w:rsidR="00D54581" w:rsidRPr="00CB4B93" w14:paraId="0D0CCD7D" w14:textId="77777777" w:rsidTr="00CE471E">
        <w:tc>
          <w:tcPr>
            <w:tcW w:w="1057" w:type="dxa"/>
            <w:vMerge/>
            <w:shd w:val="clear" w:color="auto" w:fill="auto"/>
            <w:vAlign w:val="center"/>
          </w:tcPr>
          <w:p w14:paraId="0DF037E8" w14:textId="77777777" w:rsidR="00D54581" w:rsidRPr="00CB4B93" w:rsidRDefault="00D54581" w:rsidP="00F04DC2">
            <w:pPr>
              <w:jc w:val="left"/>
              <w:rPr>
                <w:b/>
                <w:bCs/>
                <w:color w:val="000000"/>
                <w:sz w:val="21"/>
                <w:szCs w:val="21"/>
                <w:lang w:val="en-CA" w:eastAsia="en-CA"/>
              </w:rPr>
            </w:pPr>
          </w:p>
        </w:tc>
        <w:tc>
          <w:tcPr>
            <w:tcW w:w="1260" w:type="dxa"/>
            <w:shd w:val="clear" w:color="auto" w:fill="auto"/>
            <w:vAlign w:val="center"/>
          </w:tcPr>
          <w:p w14:paraId="539D73A8" w14:textId="77777777" w:rsidR="00D54581" w:rsidRPr="00CB4B93" w:rsidRDefault="00D54581" w:rsidP="00F04DC2">
            <w:pPr>
              <w:rPr>
                <w:b/>
                <w:bCs/>
                <w:color w:val="000000"/>
                <w:sz w:val="21"/>
                <w:szCs w:val="21"/>
                <w:lang w:val="en-CA" w:eastAsia="en-CA"/>
              </w:rPr>
            </w:pPr>
            <w:r w:rsidRPr="00CB4B93">
              <w:rPr>
                <w:b/>
                <w:bCs/>
                <w:color w:val="000000"/>
                <w:sz w:val="21"/>
                <w:szCs w:val="21"/>
                <w:lang w:val="en-CA" w:eastAsia="en-CA"/>
              </w:rPr>
              <w:t xml:space="preserve">Disbursed </w:t>
            </w:r>
          </w:p>
        </w:tc>
        <w:tc>
          <w:tcPr>
            <w:tcW w:w="1635" w:type="dxa"/>
            <w:shd w:val="clear" w:color="auto" w:fill="auto"/>
            <w:tcMar>
              <w:left w:w="115" w:type="dxa"/>
              <w:right w:w="288" w:type="dxa"/>
            </w:tcMar>
            <w:vAlign w:val="center"/>
          </w:tcPr>
          <w:p w14:paraId="5A6ACC98" w14:textId="740A5133" w:rsidR="00D54581" w:rsidRPr="00CB4B93" w:rsidRDefault="00037C36" w:rsidP="00F04DC2">
            <w:pPr>
              <w:jc w:val="right"/>
              <w:rPr>
                <w:b/>
                <w:color w:val="000000"/>
                <w:sz w:val="21"/>
                <w:szCs w:val="21"/>
                <w:lang w:val="en-CA" w:eastAsia="en-CA"/>
              </w:rPr>
            </w:pPr>
            <w:r w:rsidRPr="00CB4B93">
              <w:rPr>
                <w:b/>
                <w:color w:val="000000"/>
                <w:sz w:val="21"/>
                <w:szCs w:val="21"/>
                <w:lang w:val="en-CA" w:eastAsia="en-CA"/>
              </w:rPr>
              <w:t>1,765,197</w:t>
            </w:r>
          </w:p>
        </w:tc>
        <w:tc>
          <w:tcPr>
            <w:tcW w:w="1635" w:type="dxa"/>
            <w:tcMar>
              <w:left w:w="115" w:type="dxa"/>
              <w:right w:w="288" w:type="dxa"/>
            </w:tcMar>
            <w:vAlign w:val="center"/>
          </w:tcPr>
          <w:p w14:paraId="4E37D7E2" w14:textId="31A5D607" w:rsidR="00D54581" w:rsidRPr="00CB4B93" w:rsidRDefault="00037C36" w:rsidP="00F04DC2">
            <w:pPr>
              <w:jc w:val="right"/>
              <w:rPr>
                <w:b/>
                <w:color w:val="000000"/>
                <w:sz w:val="21"/>
                <w:szCs w:val="21"/>
                <w:lang w:val="en-CA" w:eastAsia="en-CA"/>
              </w:rPr>
            </w:pPr>
            <w:r w:rsidRPr="00CB4B93">
              <w:rPr>
                <w:b/>
                <w:color w:val="000000"/>
                <w:sz w:val="21"/>
                <w:szCs w:val="21"/>
                <w:lang w:val="en-CA" w:eastAsia="en-CA"/>
              </w:rPr>
              <w:t>99,394</w:t>
            </w:r>
          </w:p>
        </w:tc>
        <w:tc>
          <w:tcPr>
            <w:tcW w:w="1636" w:type="dxa"/>
            <w:shd w:val="clear" w:color="auto" w:fill="auto"/>
            <w:tcMar>
              <w:left w:w="115" w:type="dxa"/>
              <w:right w:w="288" w:type="dxa"/>
            </w:tcMar>
            <w:vAlign w:val="center"/>
          </w:tcPr>
          <w:p w14:paraId="4F61CBD2" w14:textId="5912135C" w:rsidR="00D54581" w:rsidRPr="00CB4B93" w:rsidRDefault="00037C36" w:rsidP="00F04DC2">
            <w:pPr>
              <w:jc w:val="right"/>
              <w:rPr>
                <w:b/>
                <w:color w:val="000000"/>
                <w:sz w:val="21"/>
                <w:szCs w:val="21"/>
                <w:lang w:val="en-CA" w:eastAsia="en-CA"/>
              </w:rPr>
            </w:pPr>
            <w:r w:rsidRPr="00CB4B93">
              <w:rPr>
                <w:b/>
                <w:color w:val="000000"/>
                <w:sz w:val="21"/>
                <w:szCs w:val="21"/>
                <w:lang w:val="en-CA" w:eastAsia="en-CA"/>
              </w:rPr>
              <w:t>1,864,591</w:t>
            </w:r>
          </w:p>
        </w:tc>
        <w:tc>
          <w:tcPr>
            <w:tcW w:w="2160" w:type="dxa"/>
            <w:vMerge/>
            <w:shd w:val="clear" w:color="auto" w:fill="auto"/>
            <w:vAlign w:val="center"/>
          </w:tcPr>
          <w:p w14:paraId="75D52581" w14:textId="77777777" w:rsidR="00D54581" w:rsidRPr="00CB4B93" w:rsidRDefault="00D54581" w:rsidP="00F04DC2">
            <w:pPr>
              <w:jc w:val="center"/>
              <w:rPr>
                <w:color w:val="000000"/>
                <w:sz w:val="21"/>
                <w:szCs w:val="21"/>
                <w:lang w:val="en-CA" w:eastAsia="en-CA"/>
              </w:rPr>
            </w:pPr>
          </w:p>
        </w:tc>
      </w:tr>
    </w:tbl>
    <w:p w14:paraId="3F33DF32" w14:textId="3FA2BA91" w:rsidR="00D54581" w:rsidRPr="00CB4B93" w:rsidRDefault="000F6001" w:rsidP="00F04DC2">
      <w:pPr>
        <w:rPr>
          <w:sz w:val="20"/>
          <w:szCs w:val="20"/>
          <w:lang w:val="en-CA"/>
        </w:rPr>
      </w:pPr>
      <w:r w:rsidRPr="00CB4B93">
        <w:rPr>
          <w:sz w:val="20"/>
          <w:szCs w:val="20"/>
          <w:lang w:val="en-CA"/>
        </w:rPr>
        <w:t xml:space="preserve">*Excluding the funding related to the </w:t>
      </w:r>
      <w:r w:rsidR="008E2893" w:rsidRPr="00CB4B93">
        <w:rPr>
          <w:sz w:val="20"/>
          <w:szCs w:val="20"/>
          <w:lang w:val="en-CA"/>
        </w:rPr>
        <w:t xml:space="preserve">PU </w:t>
      </w:r>
      <w:r w:rsidRPr="00CB4B93">
        <w:rPr>
          <w:sz w:val="20"/>
          <w:szCs w:val="20"/>
          <w:lang w:val="en-CA"/>
        </w:rPr>
        <w:t xml:space="preserve">foam </w:t>
      </w:r>
      <w:r w:rsidR="008E2893" w:rsidRPr="00CB4B93">
        <w:rPr>
          <w:sz w:val="20"/>
          <w:szCs w:val="20"/>
          <w:lang w:val="en-CA"/>
        </w:rPr>
        <w:t xml:space="preserve">sector plan </w:t>
      </w:r>
      <w:r w:rsidRPr="00CB4B93">
        <w:rPr>
          <w:sz w:val="20"/>
          <w:szCs w:val="20"/>
          <w:lang w:val="en-CA"/>
        </w:rPr>
        <w:t>approved at the 81</w:t>
      </w:r>
      <w:r w:rsidRPr="00CB4B93">
        <w:rPr>
          <w:sz w:val="20"/>
          <w:szCs w:val="20"/>
          <w:vertAlign w:val="superscript"/>
          <w:lang w:val="en-CA"/>
        </w:rPr>
        <w:t>st</w:t>
      </w:r>
      <w:r w:rsidRPr="00CB4B93">
        <w:rPr>
          <w:sz w:val="20"/>
          <w:szCs w:val="20"/>
          <w:lang w:val="en-CA"/>
        </w:rPr>
        <w:t xml:space="preserve"> meeting</w:t>
      </w:r>
      <w:r w:rsidR="00CE471E" w:rsidRPr="00CB4B93">
        <w:rPr>
          <w:sz w:val="20"/>
          <w:szCs w:val="20"/>
          <w:lang w:val="en-CA"/>
        </w:rPr>
        <w:t>.</w:t>
      </w:r>
    </w:p>
    <w:p w14:paraId="1F1F0801" w14:textId="77777777" w:rsidR="000F6001" w:rsidRPr="00CB4B93" w:rsidRDefault="000F6001" w:rsidP="00F04DC2">
      <w:pPr>
        <w:rPr>
          <w:sz w:val="20"/>
          <w:szCs w:val="20"/>
          <w:lang w:val="en-CA"/>
        </w:rPr>
      </w:pPr>
    </w:p>
    <w:p w14:paraId="44065023" w14:textId="77777777" w:rsidR="00D54581" w:rsidRPr="00CB4B93" w:rsidRDefault="00D54581" w:rsidP="00F04DC2">
      <w:pPr>
        <w:rPr>
          <w:u w:val="single"/>
          <w:lang w:val="en-CA"/>
        </w:rPr>
      </w:pPr>
      <w:r w:rsidRPr="00CB4B93">
        <w:rPr>
          <w:u w:val="single"/>
          <w:lang w:val="en-CA"/>
        </w:rPr>
        <w:t xml:space="preserve">Implementation plan for the </w:t>
      </w:r>
      <w:r w:rsidR="00092FCD" w:rsidRPr="00CB4B93">
        <w:rPr>
          <w:u w:val="single"/>
          <w:lang w:val="en-CA"/>
        </w:rPr>
        <w:t>fifth</w:t>
      </w:r>
      <w:r w:rsidRPr="00CB4B93">
        <w:rPr>
          <w:u w:val="single"/>
          <w:lang w:val="en-CA"/>
        </w:rPr>
        <w:t xml:space="preserve"> </w:t>
      </w:r>
      <w:r w:rsidR="00092FCD" w:rsidRPr="00CB4B93">
        <w:rPr>
          <w:u w:val="single"/>
          <w:lang w:val="en-CA"/>
        </w:rPr>
        <w:t>and final</w:t>
      </w:r>
      <w:r w:rsidRPr="00CB4B93">
        <w:rPr>
          <w:u w:val="single"/>
          <w:lang w:val="en-CA"/>
        </w:rPr>
        <w:t xml:space="preserve"> tranche of the HPMP</w:t>
      </w:r>
    </w:p>
    <w:p w14:paraId="413D39CA" w14:textId="5B1FDEE6" w:rsidR="00D54581" w:rsidRPr="00CB4B93" w:rsidRDefault="00685599" w:rsidP="00685599">
      <w:pPr>
        <w:tabs>
          <w:tab w:val="left" w:pos="7142"/>
        </w:tabs>
        <w:rPr>
          <w:lang w:val="en-CA"/>
        </w:rPr>
      </w:pPr>
      <w:r w:rsidRPr="00CB4B93">
        <w:rPr>
          <w:lang w:val="en-CA"/>
        </w:rPr>
        <w:tab/>
      </w:r>
    </w:p>
    <w:p w14:paraId="64DEC383" w14:textId="01764629" w:rsidR="00D54581" w:rsidRPr="00CB4B93" w:rsidRDefault="00D54581" w:rsidP="00F04DC2">
      <w:pPr>
        <w:pStyle w:val="Heading1"/>
        <w:rPr>
          <w:lang w:val="en-CA"/>
        </w:rPr>
      </w:pPr>
      <w:r w:rsidRPr="00CB4B93">
        <w:rPr>
          <w:lang w:val="en-CA"/>
        </w:rPr>
        <w:t xml:space="preserve">The following activities will be implemented between </w:t>
      </w:r>
      <w:r w:rsidR="00FE3120" w:rsidRPr="00CB4B93">
        <w:rPr>
          <w:lang w:val="en-CA"/>
        </w:rPr>
        <w:t>July</w:t>
      </w:r>
      <w:r w:rsidRPr="00CB4B93">
        <w:rPr>
          <w:lang w:val="en-CA"/>
        </w:rPr>
        <w:t xml:space="preserve"> 2020 and </w:t>
      </w:r>
      <w:r w:rsidR="00FE3120" w:rsidRPr="00CB4B93">
        <w:rPr>
          <w:lang w:val="en-CA"/>
        </w:rPr>
        <w:t>December 2021</w:t>
      </w:r>
      <w:r w:rsidRPr="00CB4B93">
        <w:rPr>
          <w:lang w:val="en-CA"/>
        </w:rPr>
        <w:t>:</w:t>
      </w:r>
    </w:p>
    <w:p w14:paraId="46AE634A" w14:textId="5CBBE26D" w:rsidR="005E538E" w:rsidRPr="00CB4B93" w:rsidRDefault="00230BE6" w:rsidP="00230BE6">
      <w:pPr>
        <w:pStyle w:val="Heading2"/>
        <w:rPr>
          <w:lang w:val="en-CA"/>
        </w:rPr>
      </w:pPr>
      <w:r w:rsidRPr="00CB4B93">
        <w:rPr>
          <w:lang w:val="en-CA"/>
        </w:rPr>
        <w:t xml:space="preserve">Strengthening of the ODS legal framework </w:t>
      </w:r>
      <w:r w:rsidR="00FE3120" w:rsidRPr="00CB4B93">
        <w:rPr>
          <w:lang w:val="en-CA"/>
        </w:rPr>
        <w:t>(UNEP</w:t>
      </w:r>
      <w:r w:rsidR="00D54581" w:rsidRPr="00CB4B93">
        <w:rPr>
          <w:lang w:val="en-CA"/>
        </w:rPr>
        <w:t>) (</w:t>
      </w:r>
      <w:r w:rsidR="00867E17" w:rsidRPr="00CB4B93">
        <w:rPr>
          <w:lang w:val="en-CA"/>
        </w:rPr>
        <w:t>US $</w:t>
      </w:r>
      <w:r w:rsidR="00FE3120" w:rsidRPr="00CB4B93">
        <w:rPr>
          <w:lang w:val="en-CA"/>
        </w:rPr>
        <w:t>10,000</w:t>
      </w:r>
      <w:r w:rsidR="00D54581" w:rsidRPr="00CB4B93">
        <w:rPr>
          <w:lang w:val="en-CA"/>
        </w:rPr>
        <w:t>)</w:t>
      </w:r>
      <w:r w:rsidRPr="00CB4B93">
        <w:rPr>
          <w:lang w:val="en-CA"/>
        </w:rPr>
        <w:t>: continue</w:t>
      </w:r>
      <w:r w:rsidR="006A46DF" w:rsidRPr="00CB4B93">
        <w:rPr>
          <w:lang w:val="en-CA"/>
        </w:rPr>
        <w:t>d</w:t>
      </w:r>
      <w:r w:rsidR="005E538E" w:rsidRPr="00CB4B93">
        <w:rPr>
          <w:lang w:val="en-CA"/>
        </w:rPr>
        <w:t xml:space="preserve"> </w:t>
      </w:r>
      <w:r w:rsidRPr="00CB4B93">
        <w:rPr>
          <w:lang w:val="en-CA"/>
        </w:rPr>
        <w:t>support</w:t>
      </w:r>
      <w:r w:rsidR="006A46DF" w:rsidRPr="00CB4B93">
        <w:rPr>
          <w:lang w:val="en-CA"/>
        </w:rPr>
        <w:t xml:space="preserve"> of</w:t>
      </w:r>
      <w:r w:rsidRPr="00CB4B93">
        <w:rPr>
          <w:lang w:val="en-CA"/>
        </w:rPr>
        <w:t xml:space="preserve"> i</w:t>
      </w:r>
      <w:r w:rsidR="005E538E" w:rsidRPr="00CB4B93">
        <w:rPr>
          <w:lang w:val="en-CA"/>
        </w:rPr>
        <w:t>nstitutional coordination</w:t>
      </w:r>
      <w:r w:rsidRPr="00CB4B93">
        <w:rPr>
          <w:lang w:val="en-CA"/>
        </w:rPr>
        <w:t>; training of 50 custom</w:t>
      </w:r>
      <w:r w:rsidR="00570E43" w:rsidRPr="00CB4B93">
        <w:rPr>
          <w:lang w:val="en-CA"/>
        </w:rPr>
        <w:t>s</w:t>
      </w:r>
      <w:r w:rsidRPr="00CB4B93">
        <w:rPr>
          <w:lang w:val="en-CA"/>
        </w:rPr>
        <w:t xml:space="preserve"> officers and other enforcement officers on </w:t>
      </w:r>
      <w:r w:rsidR="00570E43" w:rsidRPr="00CB4B93">
        <w:rPr>
          <w:lang w:val="en-CA"/>
        </w:rPr>
        <w:t xml:space="preserve">the </w:t>
      </w:r>
      <w:r w:rsidRPr="00CB4B93">
        <w:rPr>
          <w:lang w:val="en-CA"/>
        </w:rPr>
        <w:t>prevention of illegal trade; and update of s</w:t>
      </w:r>
      <w:r w:rsidR="005E538E" w:rsidRPr="00CB4B93">
        <w:rPr>
          <w:lang w:val="en-CA"/>
        </w:rPr>
        <w:t>tandards</w:t>
      </w:r>
      <w:r w:rsidRPr="00CB4B93">
        <w:rPr>
          <w:lang w:val="en-CA"/>
        </w:rPr>
        <w:t xml:space="preserve"> </w:t>
      </w:r>
      <w:r w:rsidR="005E538E" w:rsidRPr="00CB4B93">
        <w:rPr>
          <w:lang w:val="en-CA"/>
        </w:rPr>
        <w:t>for the use of flammable refrigerants</w:t>
      </w:r>
      <w:r w:rsidRPr="00CB4B93">
        <w:rPr>
          <w:lang w:val="en-CA"/>
        </w:rPr>
        <w:t>;</w:t>
      </w:r>
    </w:p>
    <w:p w14:paraId="44C7F5AA" w14:textId="3DBAF9F3" w:rsidR="00052A05" w:rsidRPr="00CB4B93" w:rsidRDefault="00230BE6" w:rsidP="00F51319">
      <w:pPr>
        <w:pStyle w:val="Heading2"/>
        <w:rPr>
          <w:lang w:val="en-CA"/>
        </w:rPr>
      </w:pPr>
      <w:r w:rsidRPr="00CB4B93">
        <w:rPr>
          <w:lang w:val="en-CA"/>
        </w:rPr>
        <w:t xml:space="preserve">Technical assistance for the refrigeration servicing sector </w:t>
      </w:r>
      <w:r w:rsidR="00D54581" w:rsidRPr="00CB4B93">
        <w:rPr>
          <w:lang w:val="en-CA"/>
        </w:rPr>
        <w:t>(</w:t>
      </w:r>
      <w:r w:rsidR="00FE3120" w:rsidRPr="00CB4B93">
        <w:rPr>
          <w:lang w:val="en-CA"/>
        </w:rPr>
        <w:t>UNIDO</w:t>
      </w:r>
      <w:r w:rsidRPr="00CB4B93">
        <w:rPr>
          <w:lang w:val="en-CA"/>
        </w:rPr>
        <w:t>)</w:t>
      </w:r>
      <w:r w:rsidR="00D54581" w:rsidRPr="00CB4B93">
        <w:rPr>
          <w:lang w:val="en-CA"/>
        </w:rPr>
        <w:t xml:space="preserve"> (</w:t>
      </w:r>
      <w:r w:rsidR="00867E17" w:rsidRPr="00CB4B93">
        <w:rPr>
          <w:lang w:val="en-CA"/>
        </w:rPr>
        <w:t>US $</w:t>
      </w:r>
      <w:r w:rsidR="00D32989" w:rsidRPr="00CB4B93">
        <w:rPr>
          <w:lang w:val="en-CA"/>
        </w:rPr>
        <w:t>38</w:t>
      </w:r>
      <w:r w:rsidR="00FE3120" w:rsidRPr="00CB4B93">
        <w:rPr>
          <w:lang w:val="en-CA"/>
        </w:rPr>
        <w:t>,000</w:t>
      </w:r>
      <w:r w:rsidR="00D54581" w:rsidRPr="00CB4B93">
        <w:rPr>
          <w:lang w:val="en-CA"/>
        </w:rPr>
        <w:t>)</w:t>
      </w:r>
      <w:r w:rsidR="00CD1A5F" w:rsidRPr="00CB4B93">
        <w:rPr>
          <w:lang w:val="en-CA"/>
        </w:rPr>
        <w:t>:</w:t>
      </w:r>
      <w:r w:rsidR="00D54581" w:rsidRPr="00CB4B93">
        <w:rPr>
          <w:lang w:val="en-CA"/>
        </w:rPr>
        <w:t xml:space="preserve"> </w:t>
      </w:r>
      <w:r w:rsidRPr="00CB4B93">
        <w:rPr>
          <w:lang w:val="en-CA"/>
        </w:rPr>
        <w:t>training of 300 technicians i</w:t>
      </w:r>
      <w:r w:rsidR="00CD1A5F" w:rsidRPr="00CB4B93">
        <w:rPr>
          <w:lang w:val="en-CA"/>
        </w:rPr>
        <w:t>n good practices and</w:t>
      </w:r>
      <w:r w:rsidRPr="00CB4B93">
        <w:rPr>
          <w:lang w:val="en-CA"/>
        </w:rPr>
        <w:t xml:space="preserve"> safe </w:t>
      </w:r>
      <w:r w:rsidR="00CD1A5F" w:rsidRPr="00CB4B93">
        <w:rPr>
          <w:lang w:val="en-CA"/>
        </w:rPr>
        <w:t xml:space="preserve">handling of </w:t>
      </w:r>
      <w:r w:rsidRPr="00CB4B93">
        <w:rPr>
          <w:lang w:val="en-CA"/>
        </w:rPr>
        <w:t xml:space="preserve">low-GWP </w:t>
      </w:r>
      <w:r w:rsidR="00BB3C7A" w:rsidRPr="00CB4B93">
        <w:rPr>
          <w:lang w:val="en-CA"/>
        </w:rPr>
        <w:t>alternatives</w:t>
      </w:r>
      <w:r w:rsidRPr="00CB4B93">
        <w:rPr>
          <w:lang w:val="en-CA"/>
        </w:rPr>
        <w:t xml:space="preserve">; </w:t>
      </w:r>
      <w:r w:rsidR="00BB3C7A" w:rsidRPr="00CB4B93">
        <w:rPr>
          <w:lang w:val="en-CA"/>
        </w:rPr>
        <w:t xml:space="preserve">implementation of the certification scheme and </w:t>
      </w:r>
      <w:r w:rsidRPr="00CB4B93">
        <w:rPr>
          <w:lang w:val="en-CA"/>
        </w:rPr>
        <w:t xml:space="preserve">certification </w:t>
      </w:r>
      <w:r w:rsidR="00B42AA5" w:rsidRPr="00CB4B93">
        <w:rPr>
          <w:lang w:val="en-CA"/>
        </w:rPr>
        <w:t>o</w:t>
      </w:r>
      <w:r w:rsidRPr="00CB4B93">
        <w:rPr>
          <w:lang w:val="en-CA"/>
        </w:rPr>
        <w:t>f 100 technicians</w:t>
      </w:r>
      <w:r w:rsidR="00BB3C7A" w:rsidRPr="00CB4B93">
        <w:rPr>
          <w:lang w:val="en-CA"/>
        </w:rPr>
        <w:t xml:space="preserve">; </w:t>
      </w:r>
      <w:r w:rsidR="00937000" w:rsidRPr="00CB4B93">
        <w:rPr>
          <w:lang w:val="en-CA"/>
        </w:rPr>
        <w:t xml:space="preserve">establishing of one reclaiming operation </w:t>
      </w:r>
      <w:r w:rsidR="008E2893" w:rsidRPr="00CB4B93">
        <w:rPr>
          <w:lang w:val="en-CA"/>
        </w:rPr>
        <w:t>centre</w:t>
      </w:r>
      <w:r w:rsidR="00937000" w:rsidRPr="00CB4B93">
        <w:rPr>
          <w:lang w:val="en-CA"/>
        </w:rPr>
        <w:t xml:space="preserve">; </w:t>
      </w:r>
      <w:r w:rsidR="00BB3C7A" w:rsidRPr="00CB4B93">
        <w:rPr>
          <w:lang w:val="en-CA"/>
        </w:rPr>
        <w:t>development of</w:t>
      </w:r>
      <w:r w:rsidR="00CD1A5F" w:rsidRPr="00CB4B93">
        <w:rPr>
          <w:lang w:val="en-CA"/>
        </w:rPr>
        <w:t xml:space="preserve"> a </w:t>
      </w:r>
      <w:r w:rsidR="008E2893" w:rsidRPr="00CB4B93">
        <w:rPr>
          <w:lang w:val="en-CA"/>
        </w:rPr>
        <w:t xml:space="preserve">self-learning </w:t>
      </w:r>
      <w:r w:rsidR="00CD1A5F" w:rsidRPr="00CB4B93">
        <w:rPr>
          <w:lang w:val="en-CA"/>
        </w:rPr>
        <w:t>manual for technician</w:t>
      </w:r>
      <w:r w:rsidR="006A46DF" w:rsidRPr="00CB4B93">
        <w:rPr>
          <w:lang w:val="en-CA"/>
        </w:rPr>
        <w:t>s</w:t>
      </w:r>
      <w:r w:rsidR="00BB3C7A" w:rsidRPr="00CB4B93">
        <w:rPr>
          <w:lang w:val="en-CA"/>
        </w:rPr>
        <w:t xml:space="preserve">; </w:t>
      </w:r>
      <w:r w:rsidR="00155067" w:rsidRPr="00CB4B93">
        <w:rPr>
          <w:lang w:val="en-CA"/>
        </w:rPr>
        <w:t>replicat</w:t>
      </w:r>
      <w:r w:rsidR="00570E43" w:rsidRPr="00CB4B93">
        <w:rPr>
          <w:lang w:val="en-CA"/>
        </w:rPr>
        <w:t>ion</w:t>
      </w:r>
      <w:r w:rsidR="00155067" w:rsidRPr="00CB4B93">
        <w:rPr>
          <w:lang w:val="en-CA"/>
        </w:rPr>
        <w:t xml:space="preserve"> </w:t>
      </w:r>
      <w:r w:rsidR="00D32989" w:rsidRPr="00CB4B93">
        <w:rPr>
          <w:lang w:val="en-CA"/>
        </w:rPr>
        <w:t xml:space="preserve">of the </w:t>
      </w:r>
      <w:proofErr w:type="spellStart"/>
      <w:r w:rsidR="00D32989" w:rsidRPr="00CB4B93">
        <w:rPr>
          <w:lang w:val="en-CA"/>
        </w:rPr>
        <w:t>Hilsea</w:t>
      </w:r>
      <w:proofErr w:type="spellEnd"/>
      <w:r w:rsidR="00D32989" w:rsidRPr="00CB4B93">
        <w:rPr>
          <w:lang w:val="en-CA"/>
        </w:rPr>
        <w:t xml:space="preserve"> project </w:t>
      </w:r>
      <w:r w:rsidR="00155067" w:rsidRPr="00CB4B93">
        <w:rPr>
          <w:lang w:val="en-CA"/>
        </w:rPr>
        <w:t xml:space="preserve">in at least one </w:t>
      </w:r>
      <w:r w:rsidR="00BB3C7A" w:rsidRPr="00CB4B93">
        <w:rPr>
          <w:lang w:val="en-CA"/>
        </w:rPr>
        <w:t xml:space="preserve">enterprise </w:t>
      </w:r>
      <w:r w:rsidR="00155067" w:rsidRPr="00CB4B93">
        <w:rPr>
          <w:lang w:val="en-CA"/>
        </w:rPr>
        <w:t>and continue</w:t>
      </w:r>
      <w:r w:rsidR="00570E43" w:rsidRPr="00CB4B93">
        <w:rPr>
          <w:lang w:val="en-CA"/>
        </w:rPr>
        <w:t>d</w:t>
      </w:r>
      <w:r w:rsidR="00155067" w:rsidRPr="00CB4B93">
        <w:rPr>
          <w:lang w:val="en-CA"/>
        </w:rPr>
        <w:t xml:space="preserve"> promot</w:t>
      </w:r>
      <w:r w:rsidR="00570E43" w:rsidRPr="00CB4B93">
        <w:rPr>
          <w:lang w:val="en-CA"/>
        </w:rPr>
        <w:t>ion of</w:t>
      </w:r>
      <w:r w:rsidR="00155067" w:rsidRPr="00CB4B93">
        <w:rPr>
          <w:lang w:val="en-CA"/>
        </w:rPr>
        <w:t xml:space="preserve"> HC as alternative</w:t>
      </w:r>
      <w:r w:rsidR="00052A05" w:rsidRPr="00CB4B93">
        <w:rPr>
          <w:lang w:val="en-CA"/>
        </w:rPr>
        <w:t xml:space="preserve"> refrigerant</w:t>
      </w:r>
      <w:r w:rsidR="00BB3C7A" w:rsidRPr="00CB4B93">
        <w:rPr>
          <w:lang w:val="en-CA"/>
        </w:rPr>
        <w:t xml:space="preserve">; </w:t>
      </w:r>
      <w:r w:rsidR="00B42AA5" w:rsidRPr="00CB4B93">
        <w:rPr>
          <w:lang w:val="en-CA"/>
        </w:rPr>
        <w:t xml:space="preserve">and the implementation of the Galapagos </w:t>
      </w:r>
      <w:r w:rsidR="008E2893" w:rsidRPr="00CB4B93">
        <w:rPr>
          <w:lang w:val="en-CA"/>
        </w:rPr>
        <w:t>Island</w:t>
      </w:r>
      <w:r w:rsidR="006A46DF" w:rsidRPr="00CB4B93">
        <w:rPr>
          <w:lang w:val="en-CA"/>
        </w:rPr>
        <w:t>s</w:t>
      </w:r>
      <w:r w:rsidR="008E2893" w:rsidRPr="00CB4B93">
        <w:rPr>
          <w:lang w:val="en-CA"/>
        </w:rPr>
        <w:t xml:space="preserve"> </w:t>
      </w:r>
      <w:r w:rsidR="00B42AA5" w:rsidRPr="00CB4B93">
        <w:rPr>
          <w:lang w:val="en-CA"/>
        </w:rPr>
        <w:t xml:space="preserve">and </w:t>
      </w:r>
      <w:r w:rsidR="008E2893" w:rsidRPr="00CB4B93">
        <w:rPr>
          <w:lang w:val="en-CA"/>
        </w:rPr>
        <w:t xml:space="preserve">the </w:t>
      </w:r>
      <w:r w:rsidR="00DE6A25" w:rsidRPr="00CB4B93">
        <w:rPr>
          <w:lang w:val="en-CA"/>
        </w:rPr>
        <w:t>“Zero L</w:t>
      </w:r>
      <w:r w:rsidR="00B42AA5" w:rsidRPr="00CB4B93">
        <w:rPr>
          <w:lang w:val="en-CA"/>
        </w:rPr>
        <w:t>eak</w:t>
      </w:r>
      <w:r w:rsidR="00DE6A25" w:rsidRPr="00CB4B93">
        <w:rPr>
          <w:lang w:val="en-CA"/>
        </w:rPr>
        <w:t>s”</w:t>
      </w:r>
      <w:r w:rsidR="00B42AA5" w:rsidRPr="00CB4B93">
        <w:rPr>
          <w:lang w:val="en-CA"/>
        </w:rPr>
        <w:t xml:space="preserve"> programmes; </w:t>
      </w:r>
    </w:p>
    <w:p w14:paraId="5726E505" w14:textId="79EB12C4" w:rsidR="00D54581" w:rsidRPr="00CB4B93" w:rsidRDefault="00052A05">
      <w:pPr>
        <w:pStyle w:val="Heading2"/>
        <w:rPr>
          <w:lang w:val="en-CA"/>
        </w:rPr>
      </w:pPr>
      <w:r w:rsidRPr="00CB4B93">
        <w:rPr>
          <w:lang w:val="en-CA"/>
        </w:rPr>
        <w:t xml:space="preserve">Continued implementation of the </w:t>
      </w:r>
      <w:r w:rsidR="008E2893" w:rsidRPr="00CB4B93">
        <w:rPr>
          <w:lang w:val="en-CA"/>
        </w:rPr>
        <w:t>PU foam sector plan</w:t>
      </w:r>
      <w:r w:rsidR="008E2893" w:rsidRPr="00CB4B93">
        <w:rPr>
          <w:sz w:val="20"/>
          <w:szCs w:val="20"/>
          <w:lang w:val="en-CA"/>
        </w:rPr>
        <w:t xml:space="preserve"> </w:t>
      </w:r>
      <w:r w:rsidRPr="00CB4B93">
        <w:rPr>
          <w:lang w:val="en-CA"/>
        </w:rPr>
        <w:t>approved at the 81</w:t>
      </w:r>
      <w:r w:rsidRPr="00CB4B93">
        <w:rPr>
          <w:vertAlign w:val="superscript"/>
          <w:lang w:val="en-CA"/>
        </w:rPr>
        <w:t>st</w:t>
      </w:r>
      <w:r w:rsidR="00685599" w:rsidRPr="00CB4B93">
        <w:rPr>
          <w:lang w:val="en-CA"/>
        </w:rPr>
        <w:t> </w:t>
      </w:r>
      <w:r w:rsidRPr="00CB4B93">
        <w:rPr>
          <w:lang w:val="en-CA"/>
        </w:rPr>
        <w:t xml:space="preserve">meeting (UNIDO); </w:t>
      </w:r>
      <w:r w:rsidR="00B42AA5" w:rsidRPr="00CB4B93">
        <w:rPr>
          <w:lang w:val="en-CA"/>
        </w:rPr>
        <w:t xml:space="preserve">and </w:t>
      </w:r>
    </w:p>
    <w:p w14:paraId="76D41941" w14:textId="3CDED322" w:rsidR="00D54581" w:rsidRPr="00CB4B93" w:rsidRDefault="00990312" w:rsidP="00F51319">
      <w:pPr>
        <w:pStyle w:val="Heading2"/>
        <w:rPr>
          <w:lang w:val="en-CA"/>
        </w:rPr>
      </w:pPr>
      <w:r w:rsidRPr="00CB4B93">
        <w:rPr>
          <w:lang w:val="en-CA"/>
        </w:rPr>
        <w:t>Implementation and monitoring</w:t>
      </w:r>
      <w:r w:rsidR="00D54581" w:rsidRPr="00CB4B93">
        <w:rPr>
          <w:lang w:val="en-CA"/>
        </w:rPr>
        <w:t xml:space="preserve"> (</w:t>
      </w:r>
      <w:r w:rsidR="00FE3120" w:rsidRPr="00CB4B93">
        <w:rPr>
          <w:lang w:val="en-CA"/>
        </w:rPr>
        <w:t>UNIDO) (</w:t>
      </w:r>
      <w:r w:rsidR="00867E17" w:rsidRPr="00CB4B93">
        <w:rPr>
          <w:lang w:val="en-CA"/>
        </w:rPr>
        <w:t>US $</w:t>
      </w:r>
      <w:r w:rsidR="00155067" w:rsidRPr="00CB4B93">
        <w:rPr>
          <w:lang w:val="en-CA"/>
        </w:rPr>
        <w:t>17,000</w:t>
      </w:r>
      <w:r w:rsidRPr="00CB4B93">
        <w:rPr>
          <w:lang w:val="en-CA"/>
        </w:rPr>
        <w:t xml:space="preserve">): </w:t>
      </w:r>
      <w:r w:rsidR="00570E43" w:rsidRPr="00CB4B93">
        <w:rPr>
          <w:lang w:val="en-CA"/>
        </w:rPr>
        <w:t>comprising</w:t>
      </w:r>
      <w:r w:rsidRPr="00CB4B93">
        <w:rPr>
          <w:lang w:val="en-CA"/>
        </w:rPr>
        <w:t xml:space="preserve"> </w:t>
      </w:r>
      <w:r w:rsidR="00867E17" w:rsidRPr="00CB4B93">
        <w:rPr>
          <w:lang w:val="en-CA"/>
        </w:rPr>
        <w:t>US $</w:t>
      </w:r>
      <w:r w:rsidRPr="00CB4B93">
        <w:rPr>
          <w:lang w:val="en-CA"/>
        </w:rPr>
        <w:t xml:space="preserve">3,000 for staff and consultants, </w:t>
      </w:r>
      <w:r w:rsidR="00867E17" w:rsidRPr="00CB4B93">
        <w:rPr>
          <w:lang w:val="en-CA"/>
        </w:rPr>
        <w:t>US $</w:t>
      </w:r>
      <w:r w:rsidRPr="00CB4B93">
        <w:rPr>
          <w:lang w:val="en-CA"/>
        </w:rPr>
        <w:t xml:space="preserve">2,000 for </w:t>
      </w:r>
      <w:r w:rsidR="00316A27" w:rsidRPr="00CB4B93">
        <w:rPr>
          <w:lang w:val="en-CA"/>
        </w:rPr>
        <w:t>workshops and meetings</w:t>
      </w:r>
      <w:r w:rsidR="00B70B67" w:rsidRPr="00CB4B93">
        <w:rPr>
          <w:lang w:val="en-CA"/>
        </w:rPr>
        <w:t>,</w:t>
      </w:r>
      <w:r w:rsidR="00316A27" w:rsidRPr="00CB4B93">
        <w:rPr>
          <w:lang w:val="en-CA"/>
        </w:rPr>
        <w:t xml:space="preserve"> </w:t>
      </w:r>
      <w:r w:rsidRPr="00CB4B93">
        <w:rPr>
          <w:lang w:val="en-CA"/>
        </w:rPr>
        <w:t xml:space="preserve">and </w:t>
      </w:r>
      <w:r w:rsidR="00867E17" w:rsidRPr="00CB4B93">
        <w:rPr>
          <w:lang w:val="en-CA"/>
        </w:rPr>
        <w:t>US $</w:t>
      </w:r>
      <w:r w:rsidRPr="00CB4B93">
        <w:rPr>
          <w:lang w:val="en-CA"/>
        </w:rPr>
        <w:t xml:space="preserve">12,000 </w:t>
      </w:r>
      <w:r w:rsidR="008E2893" w:rsidRPr="00CB4B93">
        <w:rPr>
          <w:lang w:val="en-CA"/>
        </w:rPr>
        <w:t xml:space="preserve">for </w:t>
      </w:r>
      <w:r w:rsidR="00B70B67" w:rsidRPr="00CB4B93">
        <w:rPr>
          <w:lang w:val="en-CA"/>
        </w:rPr>
        <w:t xml:space="preserve">the </w:t>
      </w:r>
      <w:r w:rsidRPr="00CB4B93">
        <w:rPr>
          <w:lang w:val="en-CA"/>
        </w:rPr>
        <w:t>i</w:t>
      </w:r>
      <w:r w:rsidR="00AE4C95" w:rsidRPr="00CB4B93">
        <w:rPr>
          <w:lang w:val="en-CA"/>
        </w:rPr>
        <w:t xml:space="preserve">mplementation </w:t>
      </w:r>
      <w:r w:rsidRPr="00CB4B93">
        <w:rPr>
          <w:lang w:val="en-CA"/>
        </w:rPr>
        <w:t xml:space="preserve">and monitoring </w:t>
      </w:r>
      <w:r w:rsidR="00AE4C95" w:rsidRPr="00CB4B93">
        <w:rPr>
          <w:lang w:val="en-CA"/>
        </w:rPr>
        <w:t xml:space="preserve">services for all </w:t>
      </w:r>
      <w:r w:rsidR="00DE6A25" w:rsidRPr="00CB4B93">
        <w:rPr>
          <w:lang w:val="en-CA"/>
        </w:rPr>
        <w:t>activities within the HPMP,</w:t>
      </w:r>
      <w:r w:rsidRPr="00CB4B93">
        <w:rPr>
          <w:lang w:val="en-CA"/>
        </w:rPr>
        <w:t xml:space="preserve"> including completion of the</w:t>
      </w:r>
      <w:r w:rsidR="00035C43" w:rsidRPr="00CB4B93">
        <w:rPr>
          <w:lang w:val="en-CA"/>
        </w:rPr>
        <w:t xml:space="preserve"> PU</w:t>
      </w:r>
      <w:r w:rsidRPr="00CB4B93">
        <w:rPr>
          <w:lang w:val="en-CA"/>
        </w:rPr>
        <w:t xml:space="preserve"> foam </w:t>
      </w:r>
      <w:r w:rsidR="008E2893" w:rsidRPr="00CB4B93">
        <w:rPr>
          <w:lang w:val="en-CA"/>
        </w:rPr>
        <w:t>sector plan</w:t>
      </w:r>
      <w:r w:rsidRPr="00CB4B93">
        <w:rPr>
          <w:lang w:val="en-CA"/>
        </w:rPr>
        <w:t xml:space="preserve">, </w:t>
      </w:r>
      <w:r w:rsidR="00AE4C95" w:rsidRPr="00CB4B93">
        <w:rPr>
          <w:lang w:val="en-CA"/>
        </w:rPr>
        <w:t>analysis of market trends and developments</w:t>
      </w:r>
      <w:r w:rsidR="003736E8" w:rsidRPr="00CB4B93">
        <w:rPr>
          <w:lang w:val="en-CA"/>
        </w:rPr>
        <w:t>;</w:t>
      </w:r>
      <w:r w:rsidR="00AE4C95" w:rsidRPr="00CB4B93">
        <w:rPr>
          <w:lang w:val="en-CA"/>
        </w:rPr>
        <w:t xml:space="preserve"> technical assistance </w:t>
      </w:r>
      <w:r w:rsidR="003736E8" w:rsidRPr="00CB4B93">
        <w:rPr>
          <w:lang w:val="en-CA"/>
        </w:rPr>
        <w:t>to beneficiaries; m</w:t>
      </w:r>
      <w:r w:rsidR="00AE4C95" w:rsidRPr="00CB4B93">
        <w:rPr>
          <w:lang w:val="en-CA"/>
        </w:rPr>
        <w:t xml:space="preserve">onitoring of energy efficiency of </w:t>
      </w:r>
      <w:r w:rsidR="008E2893" w:rsidRPr="00CB4B93">
        <w:rPr>
          <w:lang w:val="en-CA"/>
        </w:rPr>
        <w:t xml:space="preserve">HC-based RAC </w:t>
      </w:r>
      <w:r w:rsidR="00AE4C95" w:rsidRPr="00CB4B93">
        <w:rPr>
          <w:lang w:val="en-CA"/>
        </w:rPr>
        <w:t>eq</w:t>
      </w:r>
      <w:r w:rsidR="003736E8" w:rsidRPr="00CB4B93">
        <w:rPr>
          <w:lang w:val="en-CA"/>
        </w:rPr>
        <w:t>uipment; m</w:t>
      </w:r>
      <w:r w:rsidR="00AE4C95" w:rsidRPr="00CB4B93">
        <w:rPr>
          <w:lang w:val="en-CA"/>
        </w:rPr>
        <w:t>onitoring of gende</w:t>
      </w:r>
      <w:r w:rsidRPr="00CB4B93">
        <w:rPr>
          <w:lang w:val="en-CA"/>
        </w:rPr>
        <w:t>r indicators; and preparation of reports.</w:t>
      </w:r>
    </w:p>
    <w:p w14:paraId="5DC3FEE0" w14:textId="77777777" w:rsidR="00D54581" w:rsidRPr="00CB4B93" w:rsidRDefault="00D54581" w:rsidP="00F04DC2">
      <w:pPr>
        <w:jc w:val="center"/>
        <w:rPr>
          <w:b/>
          <w:lang w:val="en-CA"/>
        </w:rPr>
      </w:pPr>
      <w:r w:rsidRPr="00CB4B93">
        <w:rPr>
          <w:b/>
          <w:lang w:val="en-CA"/>
        </w:rPr>
        <w:t>SECRETARIAT’S COMMENTS AND RECOMMENDATION</w:t>
      </w:r>
    </w:p>
    <w:p w14:paraId="4315B124" w14:textId="77777777" w:rsidR="00D54581" w:rsidRPr="00CB4B93" w:rsidRDefault="00D54581" w:rsidP="00F04DC2">
      <w:pPr>
        <w:rPr>
          <w:lang w:val="en-CA"/>
        </w:rPr>
      </w:pPr>
    </w:p>
    <w:p w14:paraId="32397CC8" w14:textId="77777777" w:rsidR="00D54581" w:rsidRPr="00CB4B93" w:rsidRDefault="00D54581" w:rsidP="00F04DC2">
      <w:pPr>
        <w:rPr>
          <w:b/>
          <w:lang w:val="en-CA"/>
        </w:rPr>
      </w:pPr>
      <w:r w:rsidRPr="00CB4B93">
        <w:rPr>
          <w:b/>
          <w:lang w:val="en-CA"/>
        </w:rPr>
        <w:t>COMMENTS</w:t>
      </w:r>
    </w:p>
    <w:p w14:paraId="436C4677" w14:textId="77777777" w:rsidR="00D54581" w:rsidRPr="00CB4B93" w:rsidRDefault="00D54581" w:rsidP="00F04DC2">
      <w:pPr>
        <w:rPr>
          <w:lang w:val="en-CA"/>
        </w:rPr>
      </w:pPr>
    </w:p>
    <w:p w14:paraId="2BD819FD" w14:textId="77777777" w:rsidR="00D54581" w:rsidRPr="00CB4B93" w:rsidRDefault="00D54581" w:rsidP="00F04DC2">
      <w:pPr>
        <w:rPr>
          <w:u w:val="single"/>
          <w:lang w:val="en-CA"/>
        </w:rPr>
      </w:pPr>
      <w:r w:rsidRPr="00CB4B93">
        <w:rPr>
          <w:u w:val="single"/>
          <w:lang w:val="en-CA"/>
        </w:rPr>
        <w:t xml:space="preserve">Progress report on the implementation of the </w:t>
      </w:r>
      <w:r w:rsidR="00092FCD" w:rsidRPr="00CB4B93">
        <w:rPr>
          <w:u w:val="single"/>
          <w:lang w:val="en-CA"/>
        </w:rPr>
        <w:t>fourth</w:t>
      </w:r>
      <w:r w:rsidRPr="00CB4B93">
        <w:rPr>
          <w:u w:val="single"/>
          <w:lang w:val="en-CA"/>
        </w:rPr>
        <w:t xml:space="preserve"> tranche of the HPMP</w:t>
      </w:r>
    </w:p>
    <w:p w14:paraId="1C69D681" w14:textId="77777777" w:rsidR="00D54581" w:rsidRPr="00CB4B93" w:rsidRDefault="00D54581" w:rsidP="00F04DC2">
      <w:pPr>
        <w:rPr>
          <w:lang w:val="en-CA"/>
        </w:rPr>
      </w:pPr>
    </w:p>
    <w:p w14:paraId="2356D34E" w14:textId="77777777" w:rsidR="00D54581" w:rsidRPr="00CB4B93" w:rsidRDefault="00D54581" w:rsidP="00F04DC2">
      <w:pPr>
        <w:rPr>
          <w:i/>
          <w:lang w:val="en-CA"/>
        </w:rPr>
      </w:pPr>
      <w:r w:rsidRPr="00CB4B93">
        <w:rPr>
          <w:i/>
          <w:lang w:val="en-CA"/>
        </w:rPr>
        <w:t>Legal framework</w:t>
      </w:r>
    </w:p>
    <w:p w14:paraId="54F512E7" w14:textId="77777777" w:rsidR="00D54581" w:rsidRPr="00CB4B93" w:rsidRDefault="00D54581" w:rsidP="00F04DC2">
      <w:pPr>
        <w:rPr>
          <w:lang w:val="en-CA"/>
        </w:rPr>
      </w:pPr>
    </w:p>
    <w:p w14:paraId="58E31144" w14:textId="139FFB78" w:rsidR="00D54581" w:rsidRPr="00CB4B93" w:rsidRDefault="00D54581" w:rsidP="00F04DC2">
      <w:pPr>
        <w:pStyle w:val="Heading1"/>
        <w:rPr>
          <w:lang w:val="en-CA"/>
        </w:rPr>
      </w:pPr>
      <w:r w:rsidRPr="00CB4B93">
        <w:rPr>
          <w:lang w:val="en-CA"/>
        </w:rPr>
        <w:t xml:space="preserve">The Government of </w:t>
      </w:r>
      <w:r w:rsidR="00092FCD" w:rsidRPr="00CB4B93">
        <w:rPr>
          <w:lang w:val="en-CA"/>
        </w:rPr>
        <w:t>Ecuador</w:t>
      </w:r>
      <w:r w:rsidRPr="00CB4B93">
        <w:rPr>
          <w:lang w:val="en-CA"/>
        </w:rPr>
        <w:t xml:space="preserve"> has already issued HCFC import quotas for 2020</w:t>
      </w:r>
      <w:r w:rsidR="00BA1879" w:rsidRPr="00CB4B93">
        <w:rPr>
          <w:lang w:val="en-CA"/>
        </w:rPr>
        <w:t xml:space="preserve"> and 2021</w:t>
      </w:r>
      <w:r w:rsidR="00787222" w:rsidRPr="00CB4B93">
        <w:rPr>
          <w:lang w:val="en-CA"/>
        </w:rPr>
        <w:t xml:space="preserve"> at 15.27 </w:t>
      </w:r>
      <w:r w:rsidR="005E5381" w:rsidRPr="00CB4B93">
        <w:rPr>
          <w:lang w:val="en-CA"/>
        </w:rPr>
        <w:t>ODP</w:t>
      </w:r>
      <w:r w:rsidR="00787222" w:rsidRPr="00CB4B93">
        <w:rPr>
          <w:lang w:val="en-CA"/>
        </w:rPr>
        <w:t> </w:t>
      </w:r>
      <w:r w:rsidR="005E5381" w:rsidRPr="00CB4B93">
        <w:rPr>
          <w:lang w:val="en-CA"/>
        </w:rPr>
        <w:t xml:space="preserve">tonnes, </w:t>
      </w:r>
      <w:r w:rsidRPr="00CB4B93">
        <w:rPr>
          <w:lang w:val="en-CA"/>
        </w:rPr>
        <w:t>in accordance with the Mo</w:t>
      </w:r>
      <w:r w:rsidR="005E5381" w:rsidRPr="00CB4B93">
        <w:rPr>
          <w:lang w:val="en-CA"/>
        </w:rPr>
        <w:t>ntreal Protocol control targets</w:t>
      </w:r>
      <w:r w:rsidRPr="00CB4B93">
        <w:rPr>
          <w:lang w:val="en-CA"/>
        </w:rPr>
        <w:t>.</w:t>
      </w:r>
    </w:p>
    <w:p w14:paraId="6C796856" w14:textId="08FEAB55" w:rsidR="00724391" w:rsidRPr="00CB4B93" w:rsidRDefault="00724391" w:rsidP="009037BD">
      <w:pPr>
        <w:pStyle w:val="Heading1"/>
        <w:rPr>
          <w:lang w:val="en-CA"/>
        </w:rPr>
      </w:pPr>
      <w:r w:rsidRPr="00CB4B93">
        <w:rPr>
          <w:lang w:val="en-CA"/>
        </w:rPr>
        <w:t>Based on an observation from the verification submitted at the 82</w:t>
      </w:r>
      <w:r w:rsidRPr="00CB4B93">
        <w:rPr>
          <w:vertAlign w:val="superscript"/>
          <w:lang w:val="en-CA"/>
        </w:rPr>
        <w:t>nd</w:t>
      </w:r>
      <w:r w:rsidRPr="00CB4B93">
        <w:rPr>
          <w:lang w:val="en-CA"/>
        </w:rPr>
        <w:t xml:space="preserve"> meeting (one enterprise that imported a slightly higher amount than the allocated quota), in approving the fourth tranche the Executive Committee requested the Government, UNIDO and UNEP to include in the fifth tranche an update on the measures taken by the country to ensure that HCFC imports by individual importers do not exceed the issued quotas. Accordingly, UNIDO reported that the customs authority (SENAE) </w:t>
      </w:r>
      <w:r w:rsidR="00631F76" w:rsidRPr="00CB4B93">
        <w:rPr>
          <w:lang w:val="en-CA"/>
        </w:rPr>
        <w:t xml:space="preserve">is </w:t>
      </w:r>
      <w:r w:rsidRPr="00CB4B93">
        <w:rPr>
          <w:lang w:val="en-CA"/>
        </w:rPr>
        <w:t>carr</w:t>
      </w:r>
      <w:r w:rsidR="00631F76" w:rsidRPr="00CB4B93">
        <w:rPr>
          <w:lang w:val="en-CA"/>
        </w:rPr>
        <w:t xml:space="preserve">ying </w:t>
      </w:r>
      <w:r w:rsidRPr="00CB4B93">
        <w:rPr>
          <w:lang w:val="en-CA"/>
        </w:rPr>
        <w:t xml:space="preserve">out </w:t>
      </w:r>
      <w:r w:rsidR="00631F76" w:rsidRPr="00CB4B93">
        <w:rPr>
          <w:lang w:val="en-CA"/>
        </w:rPr>
        <w:t xml:space="preserve">a </w:t>
      </w:r>
      <w:r w:rsidRPr="00CB4B93">
        <w:rPr>
          <w:lang w:val="en-CA"/>
        </w:rPr>
        <w:t xml:space="preserve">more effective control </w:t>
      </w:r>
      <w:r w:rsidR="00631F76" w:rsidRPr="00CB4B93">
        <w:rPr>
          <w:lang w:val="en-CA"/>
        </w:rPr>
        <w:t xml:space="preserve">on imports </w:t>
      </w:r>
      <w:r w:rsidRPr="00CB4B93">
        <w:rPr>
          <w:lang w:val="en-CA"/>
        </w:rPr>
        <w:t xml:space="preserve">and </w:t>
      </w:r>
      <w:r w:rsidR="00631F76" w:rsidRPr="00CB4B93">
        <w:rPr>
          <w:lang w:val="en-CA"/>
        </w:rPr>
        <w:t xml:space="preserve">applying </w:t>
      </w:r>
      <w:r w:rsidRPr="00CB4B93">
        <w:rPr>
          <w:lang w:val="en-CA"/>
        </w:rPr>
        <w:t>the sanction measures in the Organic Code of Production, Commerce and Investments</w:t>
      </w:r>
      <w:r w:rsidR="00631F76" w:rsidRPr="00CB4B93">
        <w:rPr>
          <w:lang w:val="en-CA"/>
        </w:rPr>
        <w:t>;</w:t>
      </w:r>
      <w:r w:rsidRPr="00CB4B93">
        <w:rPr>
          <w:lang w:val="en-CA"/>
        </w:rPr>
        <w:t xml:space="preserve"> </w:t>
      </w:r>
      <w:r w:rsidR="00631F76" w:rsidRPr="00CB4B93">
        <w:rPr>
          <w:lang w:val="en-CA"/>
        </w:rPr>
        <w:t>also</w:t>
      </w:r>
      <w:r w:rsidRPr="00CB4B93">
        <w:rPr>
          <w:lang w:val="en-CA"/>
        </w:rPr>
        <w:t xml:space="preserve">, the NOU </w:t>
      </w:r>
      <w:r w:rsidR="00631F76" w:rsidRPr="00CB4B93">
        <w:rPr>
          <w:lang w:val="en-CA"/>
        </w:rPr>
        <w:t xml:space="preserve">has </w:t>
      </w:r>
      <w:r w:rsidRPr="00CB4B93">
        <w:rPr>
          <w:lang w:val="en-CA"/>
        </w:rPr>
        <w:t xml:space="preserve">signed an agreement with SENAE to ensure better control of illicit traffic </w:t>
      </w:r>
      <w:r w:rsidR="00631F76" w:rsidRPr="00CB4B93">
        <w:rPr>
          <w:lang w:val="en-CA"/>
        </w:rPr>
        <w:t xml:space="preserve">of controlled substances </w:t>
      </w:r>
      <w:r w:rsidRPr="00CB4B93">
        <w:rPr>
          <w:lang w:val="en-CA"/>
        </w:rPr>
        <w:t>and provided additional training and refrigerant identifiers to customs officers. Risk profiles for tariffs of controlled substances and physical inspections for all related goods and</w:t>
      </w:r>
      <w:r w:rsidR="00833791" w:rsidRPr="00CB4B93">
        <w:rPr>
          <w:lang w:val="en-CA"/>
        </w:rPr>
        <w:t>,</w:t>
      </w:r>
      <w:r w:rsidRPr="00CB4B93">
        <w:rPr>
          <w:lang w:val="en-CA"/>
        </w:rPr>
        <w:t xml:space="preserve"> in some cases</w:t>
      </w:r>
      <w:r w:rsidR="00833791" w:rsidRPr="00CB4B93">
        <w:rPr>
          <w:lang w:val="en-CA"/>
        </w:rPr>
        <w:t>,</w:t>
      </w:r>
      <w:r w:rsidRPr="00CB4B93">
        <w:rPr>
          <w:lang w:val="en-CA"/>
        </w:rPr>
        <w:t xml:space="preserve"> laboratory tests are also being implemented. </w:t>
      </w:r>
    </w:p>
    <w:p w14:paraId="7D0AC78F" w14:textId="2D9D7422" w:rsidR="00BA1879" w:rsidRPr="00CB4B93" w:rsidRDefault="002B35AE" w:rsidP="00724391">
      <w:pPr>
        <w:pStyle w:val="Heading1"/>
        <w:rPr>
          <w:lang w:val="en-CA"/>
        </w:rPr>
      </w:pPr>
      <w:r w:rsidRPr="00CB4B93">
        <w:rPr>
          <w:lang w:val="en-CA"/>
        </w:rPr>
        <w:t xml:space="preserve">A resolution </w:t>
      </w:r>
      <w:r w:rsidR="00724391" w:rsidRPr="00CB4B93">
        <w:rPr>
          <w:lang w:val="en-CA"/>
        </w:rPr>
        <w:t xml:space="preserve">of the Foreign Trade Committee </w:t>
      </w:r>
      <w:r w:rsidR="00DE6A25" w:rsidRPr="00CB4B93">
        <w:rPr>
          <w:lang w:val="en-CA"/>
        </w:rPr>
        <w:t xml:space="preserve">dated 20 December 2019, </w:t>
      </w:r>
      <w:r w:rsidR="00724391" w:rsidRPr="00CB4B93">
        <w:rPr>
          <w:lang w:val="en-CA"/>
        </w:rPr>
        <w:t>as well as the development of instructions, agreements and other secondary instruments</w:t>
      </w:r>
      <w:r w:rsidR="00833791" w:rsidRPr="00CB4B93">
        <w:rPr>
          <w:lang w:val="en-CA"/>
        </w:rPr>
        <w:t>,</w:t>
      </w:r>
      <w:r w:rsidR="00724391" w:rsidRPr="00CB4B93">
        <w:rPr>
          <w:lang w:val="en-CA"/>
        </w:rPr>
        <w:t xml:space="preserve"> have allowed Ecuador to reinforce the control of substances subject to the licensing system, and comply with national commitments to ban substances, as in the case of HCFC-141b pure.</w:t>
      </w:r>
    </w:p>
    <w:p w14:paraId="2196AE5D" w14:textId="7CC91846" w:rsidR="00D54581" w:rsidRPr="00CB4B93" w:rsidRDefault="00570E43" w:rsidP="00F04DC2">
      <w:pPr>
        <w:rPr>
          <w:i/>
          <w:lang w:val="en-CA"/>
        </w:rPr>
      </w:pPr>
      <w:r w:rsidRPr="00CB4B93">
        <w:rPr>
          <w:i/>
          <w:lang w:val="en-CA"/>
        </w:rPr>
        <w:t>Postponement</w:t>
      </w:r>
      <w:r w:rsidR="006E598B" w:rsidRPr="00CB4B93">
        <w:rPr>
          <w:i/>
          <w:lang w:val="en-CA"/>
        </w:rPr>
        <w:t xml:space="preserve"> of the ban on import</w:t>
      </w:r>
      <w:r w:rsidR="006D2A6A" w:rsidRPr="00CB4B93">
        <w:rPr>
          <w:i/>
          <w:lang w:val="en-CA"/>
        </w:rPr>
        <w:t>s</w:t>
      </w:r>
      <w:r w:rsidR="006E598B" w:rsidRPr="00CB4B93">
        <w:rPr>
          <w:i/>
          <w:lang w:val="en-CA"/>
        </w:rPr>
        <w:t xml:space="preserve"> of HCFC-</w:t>
      </w:r>
      <w:r w:rsidR="006D2A6A" w:rsidRPr="00CB4B93">
        <w:rPr>
          <w:i/>
          <w:lang w:val="en-CA"/>
        </w:rPr>
        <w:t>1</w:t>
      </w:r>
      <w:r w:rsidR="006E598B" w:rsidRPr="00CB4B93">
        <w:rPr>
          <w:i/>
          <w:lang w:val="en-CA"/>
        </w:rPr>
        <w:t>41b contained in pre-blended polyols</w:t>
      </w:r>
    </w:p>
    <w:p w14:paraId="2CABF18A" w14:textId="77777777" w:rsidR="00D54581" w:rsidRPr="00CB4B93" w:rsidRDefault="00D54581" w:rsidP="00F04DC2">
      <w:pPr>
        <w:rPr>
          <w:lang w:val="en-CA"/>
        </w:rPr>
      </w:pPr>
    </w:p>
    <w:p w14:paraId="475BA96A" w14:textId="1F94BAF8" w:rsidR="000835FF" w:rsidRPr="00CB4B93" w:rsidRDefault="009307CC" w:rsidP="00F51319">
      <w:pPr>
        <w:pStyle w:val="Heading1"/>
        <w:rPr>
          <w:lang w:val="en-CA"/>
        </w:rPr>
      </w:pPr>
      <w:r w:rsidRPr="00CB4B93">
        <w:rPr>
          <w:lang w:val="en-CA"/>
        </w:rPr>
        <w:t xml:space="preserve">On 22 November 2019, the Government of Ecuador informed the Secretariat </w:t>
      </w:r>
      <w:r w:rsidR="006D2A6A" w:rsidRPr="00CB4B93">
        <w:rPr>
          <w:lang w:val="en-CA"/>
        </w:rPr>
        <w:t xml:space="preserve">of </w:t>
      </w:r>
      <w:r w:rsidRPr="00CB4B93">
        <w:rPr>
          <w:lang w:val="en-CA"/>
        </w:rPr>
        <w:t>the need to postpone the ban on imports of HCFC-141b contained in pre-blended polyols from 1</w:t>
      </w:r>
      <w:r w:rsidR="006D2A6A" w:rsidRPr="00CB4B93">
        <w:rPr>
          <w:lang w:val="en-CA"/>
        </w:rPr>
        <w:t> </w:t>
      </w:r>
      <w:r w:rsidRPr="00CB4B93">
        <w:rPr>
          <w:lang w:val="en-CA"/>
        </w:rPr>
        <w:t>January</w:t>
      </w:r>
      <w:r w:rsidR="006D2A6A" w:rsidRPr="00CB4B93">
        <w:rPr>
          <w:lang w:val="en-CA"/>
        </w:rPr>
        <w:t> </w:t>
      </w:r>
      <w:r w:rsidRPr="00CB4B93">
        <w:rPr>
          <w:lang w:val="en-CA"/>
        </w:rPr>
        <w:t>2020 to 1</w:t>
      </w:r>
      <w:r w:rsidR="0012797C" w:rsidRPr="00CB4B93">
        <w:rPr>
          <w:lang w:val="en-CA"/>
        </w:rPr>
        <w:t> </w:t>
      </w:r>
      <w:r w:rsidRPr="00CB4B93">
        <w:rPr>
          <w:lang w:val="en-CA"/>
        </w:rPr>
        <w:t xml:space="preserve">January 2021 (except for spray foam users, </w:t>
      </w:r>
      <w:r w:rsidR="00685599" w:rsidRPr="00CB4B93">
        <w:rPr>
          <w:lang w:val="en-CA"/>
        </w:rPr>
        <w:t>with</w:t>
      </w:r>
      <w:r w:rsidR="00E60441" w:rsidRPr="00CB4B93">
        <w:rPr>
          <w:lang w:val="en-CA"/>
        </w:rPr>
        <w:t xml:space="preserve"> a </w:t>
      </w:r>
      <w:r w:rsidRPr="00CB4B93">
        <w:rPr>
          <w:lang w:val="en-CA"/>
        </w:rPr>
        <w:t>deadline</w:t>
      </w:r>
      <w:r w:rsidR="00631F76" w:rsidRPr="00CB4B93">
        <w:rPr>
          <w:lang w:val="en-CA"/>
        </w:rPr>
        <w:t xml:space="preserve"> of </w:t>
      </w:r>
      <w:r w:rsidR="00035C43" w:rsidRPr="00CB4B93">
        <w:rPr>
          <w:lang w:val="en-CA"/>
        </w:rPr>
        <w:t>1 January 2022</w:t>
      </w:r>
      <w:r w:rsidRPr="00CB4B93">
        <w:rPr>
          <w:lang w:val="en-CA"/>
        </w:rPr>
        <w:t xml:space="preserve">). This extension would allow PU foam enterprises </w:t>
      </w:r>
      <w:r w:rsidR="00570E43" w:rsidRPr="00CB4B93">
        <w:rPr>
          <w:lang w:val="en-CA"/>
        </w:rPr>
        <w:t xml:space="preserve">to </w:t>
      </w:r>
      <w:r w:rsidRPr="00CB4B93">
        <w:rPr>
          <w:lang w:val="en-CA"/>
        </w:rPr>
        <w:t xml:space="preserve">complete tests with low-GWP alternative blowing agents and </w:t>
      </w:r>
      <w:r w:rsidR="00570E43" w:rsidRPr="00CB4B93">
        <w:rPr>
          <w:lang w:val="en-CA"/>
        </w:rPr>
        <w:t xml:space="preserve">undertake </w:t>
      </w:r>
      <w:r w:rsidRPr="00CB4B93">
        <w:rPr>
          <w:lang w:val="en-CA"/>
        </w:rPr>
        <w:t xml:space="preserve">the associated conversion of their manufacturing processes. </w:t>
      </w:r>
    </w:p>
    <w:p w14:paraId="2C501DCB" w14:textId="6C7EB9E5" w:rsidR="00441D7E" w:rsidRPr="00CB4B93" w:rsidRDefault="000835FF" w:rsidP="009307CC">
      <w:pPr>
        <w:pStyle w:val="Heading1"/>
        <w:rPr>
          <w:lang w:val="en-CA"/>
        </w:rPr>
      </w:pPr>
      <w:r w:rsidRPr="00CB4B93">
        <w:rPr>
          <w:lang w:val="en-CA"/>
        </w:rPr>
        <w:t xml:space="preserve">In </w:t>
      </w:r>
      <w:r w:rsidR="00347D3B" w:rsidRPr="00CB4B93">
        <w:rPr>
          <w:lang w:val="en-CA"/>
        </w:rPr>
        <w:t xml:space="preserve">further </w:t>
      </w:r>
      <w:r w:rsidRPr="00CB4B93">
        <w:rPr>
          <w:lang w:val="en-CA"/>
        </w:rPr>
        <w:t>justifying the need to postpone the ban for a year</w:t>
      </w:r>
      <w:r w:rsidR="009F57EC" w:rsidRPr="00CB4B93">
        <w:rPr>
          <w:lang w:val="en-CA"/>
        </w:rPr>
        <w:t>,</w:t>
      </w:r>
      <w:r w:rsidRPr="00CB4B93">
        <w:rPr>
          <w:lang w:val="en-CA"/>
        </w:rPr>
        <w:t xml:space="preserve"> UNIDO explained that</w:t>
      </w:r>
      <w:r w:rsidR="00347D3B" w:rsidRPr="00CB4B93">
        <w:rPr>
          <w:lang w:val="en-CA"/>
        </w:rPr>
        <w:t xml:space="preserve"> the tests with low-GWP blowing agents started late as </w:t>
      </w:r>
      <w:r w:rsidR="00441D7E" w:rsidRPr="00CB4B93">
        <w:rPr>
          <w:lang w:val="en-CA"/>
        </w:rPr>
        <w:t>additional enterprises were identified and invited to participate</w:t>
      </w:r>
      <w:r w:rsidR="00347D3B" w:rsidRPr="00CB4B93">
        <w:rPr>
          <w:lang w:val="en-CA"/>
        </w:rPr>
        <w:t xml:space="preserve"> (although any conversion by these enterprises will be </w:t>
      </w:r>
      <w:r w:rsidR="00441D7E" w:rsidRPr="00CB4B93">
        <w:rPr>
          <w:lang w:val="en-CA"/>
        </w:rPr>
        <w:t>self-funded</w:t>
      </w:r>
      <w:r w:rsidR="00347D3B" w:rsidRPr="00CB4B93">
        <w:rPr>
          <w:lang w:val="en-CA"/>
        </w:rPr>
        <w:t>)</w:t>
      </w:r>
      <w:r w:rsidR="00441D7E" w:rsidRPr="00CB4B93">
        <w:rPr>
          <w:lang w:val="en-CA"/>
        </w:rPr>
        <w:t>. A systems house from Colombia tested water-based options for spray applications in 2019</w:t>
      </w:r>
      <w:r w:rsidR="006D2A6A" w:rsidRPr="00CB4B93">
        <w:rPr>
          <w:lang w:val="en-CA"/>
        </w:rPr>
        <w:t>,</w:t>
      </w:r>
      <w:r w:rsidR="00347D3B" w:rsidRPr="00CB4B93">
        <w:rPr>
          <w:lang w:val="en-CA"/>
        </w:rPr>
        <w:t xml:space="preserve"> but t</w:t>
      </w:r>
      <w:r w:rsidR="00441D7E" w:rsidRPr="00CB4B93">
        <w:rPr>
          <w:lang w:val="en-CA"/>
        </w:rPr>
        <w:t>ests with pre-blended HC</w:t>
      </w:r>
      <w:r w:rsidR="00347D3B" w:rsidRPr="00CB4B93">
        <w:rPr>
          <w:lang w:val="en-CA"/>
        </w:rPr>
        <w:t xml:space="preserve"> by</w:t>
      </w:r>
      <w:r w:rsidR="00441D7E" w:rsidRPr="00CB4B93">
        <w:rPr>
          <w:lang w:val="en-CA"/>
        </w:rPr>
        <w:t xml:space="preserve"> </w:t>
      </w:r>
      <w:r w:rsidR="00347D3B" w:rsidRPr="00CB4B93">
        <w:rPr>
          <w:lang w:val="en-CA"/>
        </w:rPr>
        <w:t>a</w:t>
      </w:r>
      <w:r w:rsidR="00631F76" w:rsidRPr="00CB4B93">
        <w:rPr>
          <w:lang w:val="en-CA"/>
        </w:rPr>
        <w:t xml:space="preserve"> </w:t>
      </w:r>
      <w:r w:rsidR="00441D7E" w:rsidRPr="00CB4B93">
        <w:rPr>
          <w:lang w:val="en-CA"/>
        </w:rPr>
        <w:t xml:space="preserve">provider </w:t>
      </w:r>
      <w:r w:rsidR="00631F76" w:rsidRPr="00CB4B93">
        <w:rPr>
          <w:lang w:val="en-CA"/>
        </w:rPr>
        <w:t xml:space="preserve">from Mexico </w:t>
      </w:r>
      <w:r w:rsidR="00441D7E" w:rsidRPr="00CB4B93">
        <w:rPr>
          <w:lang w:val="en-CA"/>
        </w:rPr>
        <w:t xml:space="preserve">could only take place in January 2020. </w:t>
      </w:r>
      <w:r w:rsidR="00685599" w:rsidRPr="00CB4B93">
        <w:rPr>
          <w:lang w:val="en-CA"/>
        </w:rPr>
        <w:t>Also</w:t>
      </w:r>
      <w:r w:rsidR="00631F76" w:rsidRPr="00CB4B93">
        <w:rPr>
          <w:lang w:val="en-CA"/>
        </w:rPr>
        <w:t xml:space="preserve"> i</w:t>
      </w:r>
      <w:r w:rsidR="00347D3B" w:rsidRPr="00CB4B93">
        <w:rPr>
          <w:lang w:val="en-CA"/>
        </w:rPr>
        <w:t>n 2019</w:t>
      </w:r>
      <w:r w:rsidR="006D2A6A" w:rsidRPr="00CB4B93">
        <w:rPr>
          <w:lang w:val="en-CA"/>
        </w:rPr>
        <w:t>,</w:t>
      </w:r>
      <w:r w:rsidR="00441D7E" w:rsidRPr="00CB4B93">
        <w:rPr>
          <w:lang w:val="en-CA"/>
        </w:rPr>
        <w:t xml:space="preserve"> two international systems houses </w:t>
      </w:r>
      <w:r w:rsidR="00347D3B" w:rsidRPr="00CB4B93">
        <w:rPr>
          <w:lang w:val="en-CA"/>
        </w:rPr>
        <w:t>tested HFCs</w:t>
      </w:r>
      <w:r w:rsidR="006D2A6A" w:rsidRPr="00CB4B93">
        <w:rPr>
          <w:lang w:val="en-CA"/>
        </w:rPr>
        <w:t>,</w:t>
      </w:r>
      <w:r w:rsidR="00347D3B" w:rsidRPr="00CB4B93">
        <w:rPr>
          <w:lang w:val="en-CA"/>
        </w:rPr>
        <w:t xml:space="preserve"> </w:t>
      </w:r>
      <w:r w:rsidR="00E60441" w:rsidRPr="00CB4B93">
        <w:rPr>
          <w:lang w:val="en-CA"/>
        </w:rPr>
        <w:t>but UNIDO did not support those tests as they used high-GWP technology. Therefore, the providers developed other formulations with low-GWP alternatives</w:t>
      </w:r>
      <w:r w:rsidR="009307CC" w:rsidRPr="00CB4B93">
        <w:rPr>
          <w:lang w:val="en-CA"/>
        </w:rPr>
        <w:t xml:space="preserve">. </w:t>
      </w:r>
      <w:r w:rsidR="00C34482" w:rsidRPr="00CB4B93">
        <w:rPr>
          <w:lang w:val="en-CA"/>
        </w:rPr>
        <w:t>While n</w:t>
      </w:r>
      <w:r w:rsidR="009307CC" w:rsidRPr="00CB4B93">
        <w:rPr>
          <w:lang w:val="en-CA"/>
        </w:rPr>
        <w:t>ew tests were schedule</w:t>
      </w:r>
      <w:r w:rsidR="00347D3B" w:rsidRPr="00CB4B93">
        <w:rPr>
          <w:lang w:val="en-CA"/>
        </w:rPr>
        <w:t>d</w:t>
      </w:r>
      <w:r w:rsidR="009307CC" w:rsidRPr="00CB4B93">
        <w:rPr>
          <w:lang w:val="en-CA"/>
        </w:rPr>
        <w:t xml:space="preserve"> for the first </w:t>
      </w:r>
      <w:r w:rsidR="00685599" w:rsidRPr="00CB4B93">
        <w:rPr>
          <w:lang w:val="en-CA"/>
        </w:rPr>
        <w:t>half</w:t>
      </w:r>
      <w:r w:rsidR="009307CC" w:rsidRPr="00CB4B93">
        <w:rPr>
          <w:lang w:val="en-CA"/>
        </w:rPr>
        <w:t xml:space="preserve"> of 2020, </w:t>
      </w:r>
      <w:r w:rsidR="00C34482" w:rsidRPr="00CB4B93">
        <w:rPr>
          <w:lang w:val="en-CA"/>
        </w:rPr>
        <w:t xml:space="preserve">due to </w:t>
      </w:r>
      <w:r w:rsidR="00B70B67" w:rsidRPr="00CB4B93">
        <w:rPr>
          <w:lang w:val="en-CA"/>
        </w:rPr>
        <w:t xml:space="preserve">the </w:t>
      </w:r>
      <w:r w:rsidR="009307CC" w:rsidRPr="00CB4B93">
        <w:rPr>
          <w:lang w:val="en-CA"/>
        </w:rPr>
        <w:t xml:space="preserve">COVID-19 </w:t>
      </w:r>
      <w:r w:rsidR="00B70B67" w:rsidRPr="00CB4B93">
        <w:rPr>
          <w:lang w:val="en-CA"/>
        </w:rPr>
        <w:t xml:space="preserve">emergency </w:t>
      </w:r>
      <w:r w:rsidR="00477C22" w:rsidRPr="00CB4B93">
        <w:rPr>
          <w:lang w:val="en-CA"/>
        </w:rPr>
        <w:t>they have been</w:t>
      </w:r>
      <w:r w:rsidR="00C34482" w:rsidRPr="00CB4B93">
        <w:rPr>
          <w:lang w:val="en-CA"/>
        </w:rPr>
        <w:t xml:space="preserve"> postponed</w:t>
      </w:r>
      <w:r w:rsidR="009307CC" w:rsidRPr="00CB4B93">
        <w:rPr>
          <w:lang w:val="en-CA"/>
        </w:rPr>
        <w:t xml:space="preserve">. </w:t>
      </w:r>
    </w:p>
    <w:p w14:paraId="7A082821" w14:textId="0C4B40BE" w:rsidR="00C34482" w:rsidRPr="00CB4B93" w:rsidRDefault="00C34482" w:rsidP="00C34482">
      <w:pPr>
        <w:pStyle w:val="Heading1"/>
        <w:rPr>
          <w:lang w:val="en-CA"/>
        </w:rPr>
      </w:pPr>
      <w:r w:rsidRPr="00CB4B93">
        <w:rPr>
          <w:lang w:val="en-CA"/>
        </w:rPr>
        <w:t>The Secretariat considers that this extension will allow for the conversion of all foam enterprises using HCFC-141b as a blowing agent and for the introduction of low-GWP alternatives in the local market; accordingly, it is informing the Executive Committee along with the submission of the present tranche.</w:t>
      </w:r>
    </w:p>
    <w:p w14:paraId="3D3DE22E" w14:textId="0A05A9EE" w:rsidR="006E598B" w:rsidRPr="00CB4B93" w:rsidRDefault="006E598B" w:rsidP="006E598B">
      <w:pPr>
        <w:pStyle w:val="Heading1"/>
        <w:numPr>
          <w:ilvl w:val="0"/>
          <w:numId w:val="0"/>
        </w:numPr>
        <w:rPr>
          <w:i/>
          <w:lang w:val="en-CA"/>
        </w:rPr>
      </w:pPr>
      <w:r w:rsidRPr="00CB4B93">
        <w:rPr>
          <w:i/>
          <w:lang w:val="en-CA"/>
        </w:rPr>
        <w:t>Availability of technology in the PU foam sector</w:t>
      </w:r>
    </w:p>
    <w:p w14:paraId="4F8F94B5" w14:textId="0A221935" w:rsidR="009307CC" w:rsidRPr="00CB4B93" w:rsidRDefault="006D2A6A" w:rsidP="009771CF">
      <w:pPr>
        <w:pStyle w:val="Heading1"/>
        <w:rPr>
          <w:lang w:val="en-CA"/>
        </w:rPr>
      </w:pPr>
      <w:r w:rsidRPr="00CB4B93">
        <w:rPr>
          <w:lang w:val="en-CA"/>
        </w:rPr>
        <w:t>The d</w:t>
      </w:r>
      <w:r w:rsidR="00347D3B" w:rsidRPr="00CB4B93">
        <w:rPr>
          <w:lang w:val="en-CA"/>
        </w:rPr>
        <w:t>istribution of HFO and water</w:t>
      </w:r>
      <w:r w:rsidR="00570E43" w:rsidRPr="00CB4B93">
        <w:rPr>
          <w:lang w:val="en-CA"/>
        </w:rPr>
        <w:t>-</w:t>
      </w:r>
      <w:r w:rsidR="00347D3B" w:rsidRPr="00CB4B93">
        <w:rPr>
          <w:lang w:val="en-CA"/>
        </w:rPr>
        <w:t xml:space="preserve">based alternatives </w:t>
      </w:r>
      <w:r w:rsidRPr="00CB4B93">
        <w:rPr>
          <w:lang w:val="en-CA"/>
        </w:rPr>
        <w:t xml:space="preserve">met </w:t>
      </w:r>
      <w:r w:rsidR="00347D3B" w:rsidRPr="00CB4B93">
        <w:rPr>
          <w:lang w:val="en-CA"/>
        </w:rPr>
        <w:t>neither market challenges nor introduction issues</w:t>
      </w:r>
      <w:r w:rsidR="00570E43" w:rsidRPr="00CB4B93">
        <w:rPr>
          <w:lang w:val="en-CA"/>
        </w:rPr>
        <w:t>,</w:t>
      </w:r>
      <w:r w:rsidR="00347D3B" w:rsidRPr="00CB4B93">
        <w:rPr>
          <w:lang w:val="en-CA"/>
        </w:rPr>
        <w:t xml:space="preserve"> but </w:t>
      </w:r>
      <w:r w:rsidRPr="00CB4B93">
        <w:rPr>
          <w:lang w:val="en-CA"/>
        </w:rPr>
        <w:t xml:space="preserve">cost considerations </w:t>
      </w:r>
      <w:r w:rsidR="00347D3B" w:rsidRPr="00CB4B93">
        <w:rPr>
          <w:lang w:val="en-CA"/>
        </w:rPr>
        <w:t xml:space="preserve">will be decisive. </w:t>
      </w:r>
      <w:r w:rsidR="009307CC" w:rsidRPr="00CB4B93">
        <w:rPr>
          <w:lang w:val="en-CA"/>
        </w:rPr>
        <w:t>Pre-blended HC polyols, if imported directly by end-users, will also be available without limitations and</w:t>
      </w:r>
      <w:r w:rsidR="00347D3B" w:rsidRPr="00CB4B93">
        <w:rPr>
          <w:lang w:val="en-CA"/>
        </w:rPr>
        <w:t xml:space="preserve"> </w:t>
      </w:r>
      <w:r w:rsidR="00570E43" w:rsidRPr="00CB4B93">
        <w:rPr>
          <w:lang w:val="en-CA"/>
        </w:rPr>
        <w:t xml:space="preserve">at a </w:t>
      </w:r>
      <w:r w:rsidR="00347D3B" w:rsidRPr="00CB4B93">
        <w:rPr>
          <w:lang w:val="en-CA"/>
        </w:rPr>
        <w:t>competitive cost</w:t>
      </w:r>
      <w:r w:rsidR="009307CC" w:rsidRPr="00CB4B93">
        <w:rPr>
          <w:lang w:val="en-CA"/>
        </w:rPr>
        <w:t xml:space="preserve">. Activities with small </w:t>
      </w:r>
      <w:r w:rsidR="00570E43" w:rsidRPr="00CB4B93">
        <w:rPr>
          <w:lang w:val="en-CA"/>
        </w:rPr>
        <w:t xml:space="preserve">and </w:t>
      </w:r>
      <w:r w:rsidR="009307CC" w:rsidRPr="00CB4B93">
        <w:rPr>
          <w:lang w:val="en-CA"/>
        </w:rPr>
        <w:t>medium</w:t>
      </w:r>
      <w:r w:rsidR="00023939" w:rsidRPr="00CB4B93">
        <w:rPr>
          <w:lang w:val="en-CA"/>
        </w:rPr>
        <w:t>-sized</w:t>
      </w:r>
      <w:r w:rsidR="009307CC" w:rsidRPr="00CB4B93">
        <w:rPr>
          <w:lang w:val="en-CA"/>
        </w:rPr>
        <w:t xml:space="preserve"> enterprises (SME</w:t>
      </w:r>
      <w:r w:rsidR="00D576DB" w:rsidRPr="00CB4B93">
        <w:rPr>
          <w:lang w:val="en-CA"/>
        </w:rPr>
        <w:t>s</w:t>
      </w:r>
      <w:r w:rsidR="009307CC" w:rsidRPr="00CB4B93">
        <w:rPr>
          <w:lang w:val="en-CA"/>
        </w:rPr>
        <w:t xml:space="preserve">) </w:t>
      </w:r>
      <w:r w:rsidR="00D576DB" w:rsidRPr="00CB4B93">
        <w:rPr>
          <w:lang w:val="en-CA"/>
        </w:rPr>
        <w:t>that</w:t>
      </w:r>
      <w:r w:rsidR="009307CC" w:rsidRPr="00CB4B93">
        <w:rPr>
          <w:lang w:val="en-CA"/>
        </w:rPr>
        <w:t xml:space="preserve"> cannot import directly are crucial and are expected to need more assessment and advisory </w:t>
      </w:r>
      <w:r w:rsidR="00D576DB" w:rsidRPr="00CB4B93">
        <w:rPr>
          <w:lang w:val="en-CA"/>
        </w:rPr>
        <w:t xml:space="preserve">work </w:t>
      </w:r>
      <w:r w:rsidR="009307CC" w:rsidRPr="00CB4B93">
        <w:rPr>
          <w:lang w:val="en-CA"/>
        </w:rPr>
        <w:t xml:space="preserve">from the </w:t>
      </w:r>
      <w:r w:rsidR="00347D3B" w:rsidRPr="00CB4B93">
        <w:rPr>
          <w:lang w:val="en-CA"/>
        </w:rPr>
        <w:t xml:space="preserve">project. In view of these challenges, </w:t>
      </w:r>
      <w:r w:rsidR="009307CC" w:rsidRPr="00CB4B93">
        <w:rPr>
          <w:lang w:val="en-CA"/>
        </w:rPr>
        <w:t>the date of complet</w:t>
      </w:r>
      <w:r w:rsidRPr="00CB4B93">
        <w:rPr>
          <w:lang w:val="en-CA"/>
        </w:rPr>
        <w:t>ion of the foam sector p</w:t>
      </w:r>
      <w:r w:rsidR="009307CC" w:rsidRPr="00CB4B93">
        <w:rPr>
          <w:lang w:val="en-CA"/>
        </w:rPr>
        <w:t xml:space="preserve">lan </w:t>
      </w:r>
      <w:r w:rsidR="00347D3B" w:rsidRPr="00CB4B93">
        <w:rPr>
          <w:lang w:val="en-CA"/>
        </w:rPr>
        <w:t>was</w:t>
      </w:r>
      <w:r w:rsidR="00D576DB" w:rsidRPr="00CB4B93">
        <w:rPr>
          <w:lang w:val="en-CA"/>
        </w:rPr>
        <w:t xml:space="preserve"> </w:t>
      </w:r>
      <w:r w:rsidR="00653E16" w:rsidRPr="00CB4B93">
        <w:rPr>
          <w:lang w:val="en-CA"/>
        </w:rPr>
        <w:t xml:space="preserve">revised to </w:t>
      </w:r>
      <w:r w:rsidR="00D576DB" w:rsidRPr="00CB4B93">
        <w:rPr>
          <w:lang w:val="en-CA"/>
        </w:rPr>
        <w:t>the</w:t>
      </w:r>
      <w:r w:rsidR="00347D3B" w:rsidRPr="00CB4B93">
        <w:rPr>
          <w:lang w:val="en-CA"/>
        </w:rPr>
        <w:t xml:space="preserve"> </w:t>
      </w:r>
      <w:r w:rsidR="009307CC" w:rsidRPr="00CB4B93">
        <w:rPr>
          <w:lang w:val="en-CA"/>
        </w:rPr>
        <w:t>end of 2020</w:t>
      </w:r>
      <w:r w:rsidR="00653E16" w:rsidRPr="00CB4B93">
        <w:rPr>
          <w:lang w:val="en-CA"/>
        </w:rPr>
        <w:t>; however</w:t>
      </w:r>
      <w:r w:rsidR="009307CC" w:rsidRPr="00CB4B93">
        <w:rPr>
          <w:lang w:val="en-CA"/>
        </w:rPr>
        <w:t xml:space="preserve">, </w:t>
      </w:r>
      <w:r w:rsidR="00D576DB" w:rsidRPr="00CB4B93">
        <w:rPr>
          <w:lang w:val="en-CA"/>
        </w:rPr>
        <w:t xml:space="preserve">the </w:t>
      </w:r>
      <w:r w:rsidR="009307CC" w:rsidRPr="00CB4B93">
        <w:rPr>
          <w:lang w:val="en-CA"/>
        </w:rPr>
        <w:t xml:space="preserve">international </w:t>
      </w:r>
      <w:r w:rsidR="00D576DB" w:rsidRPr="00CB4B93">
        <w:rPr>
          <w:lang w:val="en-CA"/>
        </w:rPr>
        <w:t>COVID</w:t>
      </w:r>
      <w:r w:rsidR="008B29C7" w:rsidRPr="00CB4B93">
        <w:rPr>
          <w:lang w:val="en-CA"/>
        </w:rPr>
        <w:t>-</w:t>
      </w:r>
      <w:r w:rsidR="00D576DB" w:rsidRPr="00CB4B93">
        <w:rPr>
          <w:lang w:val="en-CA"/>
        </w:rPr>
        <w:t xml:space="preserve">19 </w:t>
      </w:r>
      <w:r w:rsidR="009307CC" w:rsidRPr="00CB4B93">
        <w:rPr>
          <w:lang w:val="en-CA"/>
        </w:rPr>
        <w:t xml:space="preserve">emergency </w:t>
      </w:r>
      <w:r w:rsidR="00653E16" w:rsidRPr="00CB4B93">
        <w:rPr>
          <w:lang w:val="en-CA"/>
        </w:rPr>
        <w:t>may</w:t>
      </w:r>
      <w:r w:rsidR="009307CC" w:rsidRPr="00CB4B93">
        <w:rPr>
          <w:lang w:val="en-CA"/>
        </w:rPr>
        <w:t xml:space="preserve"> </w:t>
      </w:r>
      <w:r w:rsidR="00B574F6" w:rsidRPr="00CB4B93">
        <w:rPr>
          <w:lang w:val="en-CA"/>
        </w:rPr>
        <w:t xml:space="preserve">further </w:t>
      </w:r>
      <w:r w:rsidR="008B29C7" w:rsidRPr="00CB4B93">
        <w:rPr>
          <w:lang w:val="en-CA"/>
        </w:rPr>
        <w:t>delay</w:t>
      </w:r>
      <w:r w:rsidR="00477C22" w:rsidRPr="00CB4B93">
        <w:rPr>
          <w:lang w:val="en-CA"/>
        </w:rPr>
        <w:t xml:space="preserve"> </w:t>
      </w:r>
      <w:r w:rsidR="00B574F6" w:rsidRPr="00CB4B93">
        <w:rPr>
          <w:lang w:val="en-CA"/>
        </w:rPr>
        <w:t xml:space="preserve">its completion </w:t>
      </w:r>
      <w:r w:rsidR="00D576DB" w:rsidRPr="00CB4B93">
        <w:rPr>
          <w:lang w:val="en-CA"/>
        </w:rPr>
        <w:t xml:space="preserve">by </w:t>
      </w:r>
      <w:r w:rsidR="009307CC" w:rsidRPr="00CB4B93">
        <w:rPr>
          <w:lang w:val="en-CA"/>
        </w:rPr>
        <w:t>a</w:t>
      </w:r>
      <w:r w:rsidR="00D576DB" w:rsidRPr="00CB4B93">
        <w:rPr>
          <w:lang w:val="en-CA"/>
        </w:rPr>
        <w:t xml:space="preserve"> number of </w:t>
      </w:r>
      <w:r w:rsidR="009307CC" w:rsidRPr="00CB4B93">
        <w:rPr>
          <w:lang w:val="en-CA"/>
        </w:rPr>
        <w:t>months.</w:t>
      </w:r>
      <w:r w:rsidR="009771CF" w:rsidRPr="00CB4B93">
        <w:rPr>
          <w:lang w:val="en-CA"/>
        </w:rPr>
        <w:t xml:space="preserve"> Whereas UNIDO has supported the development of tests with </w:t>
      </w:r>
      <w:r w:rsidR="00AA45B8" w:rsidRPr="00CB4B93">
        <w:rPr>
          <w:lang w:val="en-CA"/>
        </w:rPr>
        <w:t xml:space="preserve">water, </w:t>
      </w:r>
      <w:r w:rsidR="009771CF" w:rsidRPr="00CB4B93">
        <w:rPr>
          <w:lang w:val="en-CA"/>
        </w:rPr>
        <w:t xml:space="preserve">HC and HFO, international suppliers have also independently carried out tests with </w:t>
      </w:r>
      <w:r w:rsidR="00477C22" w:rsidRPr="00CB4B93">
        <w:rPr>
          <w:lang w:val="en-CA"/>
        </w:rPr>
        <w:t>high</w:t>
      </w:r>
      <w:r w:rsidR="00477C22" w:rsidRPr="00CB4B93">
        <w:rPr>
          <w:lang w:val="en-CA"/>
        </w:rPr>
        <w:noBreakHyphen/>
        <w:t xml:space="preserve">GWP </w:t>
      </w:r>
      <w:r w:rsidR="009771CF" w:rsidRPr="00CB4B93">
        <w:rPr>
          <w:lang w:val="en-CA"/>
        </w:rPr>
        <w:t xml:space="preserve">HFCs with good results. </w:t>
      </w:r>
      <w:r w:rsidRPr="00CB4B93">
        <w:rPr>
          <w:lang w:val="en-CA"/>
        </w:rPr>
        <w:t xml:space="preserve">UNIDO and the </w:t>
      </w:r>
      <w:r w:rsidR="009771CF" w:rsidRPr="00CB4B93">
        <w:rPr>
          <w:lang w:val="en-CA"/>
        </w:rPr>
        <w:t xml:space="preserve">NOU will </w:t>
      </w:r>
      <w:r w:rsidRPr="00CB4B93">
        <w:rPr>
          <w:lang w:val="en-CA"/>
        </w:rPr>
        <w:t>maintain</w:t>
      </w:r>
      <w:r w:rsidR="00D576DB" w:rsidRPr="00CB4B93">
        <w:rPr>
          <w:lang w:val="en-CA"/>
        </w:rPr>
        <w:t xml:space="preserve"> </w:t>
      </w:r>
      <w:r w:rsidR="009771CF" w:rsidRPr="00CB4B93">
        <w:rPr>
          <w:lang w:val="en-CA"/>
        </w:rPr>
        <w:t>efforts to ensure th</w:t>
      </w:r>
      <w:r w:rsidR="00D576DB" w:rsidRPr="00CB4B93">
        <w:rPr>
          <w:lang w:val="en-CA"/>
        </w:rPr>
        <w:t>at</w:t>
      </w:r>
      <w:r w:rsidR="009771CF" w:rsidRPr="00CB4B93">
        <w:rPr>
          <w:lang w:val="en-CA"/>
        </w:rPr>
        <w:t xml:space="preserve"> producers select environmentally</w:t>
      </w:r>
      <w:r w:rsidR="00023939" w:rsidRPr="00CB4B93">
        <w:rPr>
          <w:lang w:val="en-CA"/>
        </w:rPr>
        <w:t>-</w:t>
      </w:r>
      <w:r w:rsidR="009771CF" w:rsidRPr="00CB4B93">
        <w:rPr>
          <w:lang w:val="en-CA"/>
        </w:rPr>
        <w:t>friend</w:t>
      </w:r>
      <w:r w:rsidR="00D576DB" w:rsidRPr="00CB4B93">
        <w:rPr>
          <w:lang w:val="en-CA"/>
        </w:rPr>
        <w:t>ly</w:t>
      </w:r>
      <w:r w:rsidR="009771CF" w:rsidRPr="00CB4B93">
        <w:rPr>
          <w:lang w:val="en-CA"/>
        </w:rPr>
        <w:t xml:space="preserve"> alternative</w:t>
      </w:r>
      <w:r w:rsidR="00D576DB" w:rsidRPr="00CB4B93">
        <w:rPr>
          <w:lang w:val="en-CA"/>
        </w:rPr>
        <w:t>s</w:t>
      </w:r>
      <w:r w:rsidR="009771CF" w:rsidRPr="00CB4B93">
        <w:rPr>
          <w:lang w:val="en-CA"/>
        </w:rPr>
        <w:t>.</w:t>
      </w:r>
    </w:p>
    <w:p w14:paraId="41439E0E" w14:textId="3FCD9BF7" w:rsidR="00D54581" w:rsidRPr="00CB4B93" w:rsidRDefault="00D54581" w:rsidP="009307CC">
      <w:pPr>
        <w:rPr>
          <w:i/>
          <w:lang w:val="en-CA"/>
        </w:rPr>
      </w:pPr>
      <w:r w:rsidRPr="00CB4B93">
        <w:rPr>
          <w:i/>
          <w:lang w:val="en-CA"/>
        </w:rPr>
        <w:t>Refrigeration servicing sector</w:t>
      </w:r>
    </w:p>
    <w:p w14:paraId="5A13539B" w14:textId="77777777" w:rsidR="00D54581" w:rsidRPr="00CB4B93" w:rsidRDefault="00D54581" w:rsidP="00F04DC2">
      <w:pPr>
        <w:rPr>
          <w:lang w:val="en-CA"/>
        </w:rPr>
      </w:pPr>
    </w:p>
    <w:p w14:paraId="2C7120EB" w14:textId="097FB89C" w:rsidR="00700348" w:rsidRPr="00CB4B93" w:rsidRDefault="00700348" w:rsidP="00700348">
      <w:pPr>
        <w:pStyle w:val="Heading1"/>
        <w:rPr>
          <w:lang w:val="en-CA"/>
        </w:rPr>
      </w:pPr>
      <w:r w:rsidRPr="00CB4B93">
        <w:rPr>
          <w:lang w:val="en-CA"/>
        </w:rPr>
        <w:t xml:space="preserve">In line with decision 84/84 related to </w:t>
      </w:r>
      <w:r w:rsidR="000C5D9D" w:rsidRPr="00CB4B93">
        <w:rPr>
          <w:lang w:val="en-CA"/>
        </w:rPr>
        <w:t xml:space="preserve">demonstration and pilot projects directed to </w:t>
      </w:r>
      <w:r w:rsidRPr="00CB4B93">
        <w:rPr>
          <w:lang w:val="en-CA"/>
        </w:rPr>
        <w:t xml:space="preserve">end-users, </w:t>
      </w:r>
      <w:r w:rsidR="002B35AE" w:rsidRPr="00CB4B93">
        <w:rPr>
          <w:lang w:val="en-CA"/>
        </w:rPr>
        <w:t>UNIDO provided the following additional information on the replacement of a</w:t>
      </w:r>
      <w:r w:rsidR="008711DE" w:rsidRPr="00CB4B93">
        <w:rPr>
          <w:lang w:val="en-CA"/>
        </w:rPr>
        <w:t>n</w:t>
      </w:r>
      <w:r w:rsidR="002B35AE" w:rsidRPr="00CB4B93">
        <w:rPr>
          <w:lang w:val="en-CA"/>
        </w:rPr>
        <w:t xml:space="preserve"> HCFC-22 refrigeration system by a</w:t>
      </w:r>
      <w:r w:rsidR="008711DE" w:rsidRPr="00CB4B93">
        <w:rPr>
          <w:lang w:val="en-CA"/>
        </w:rPr>
        <w:t>n</w:t>
      </w:r>
      <w:r w:rsidR="002B35AE" w:rsidRPr="00CB4B93">
        <w:rPr>
          <w:lang w:val="en-CA"/>
        </w:rPr>
        <w:t xml:space="preserve"> R-290 system: </w:t>
      </w:r>
    </w:p>
    <w:p w14:paraId="62D48C37" w14:textId="0013BCCA" w:rsidR="00700348" w:rsidRPr="00CB4B93" w:rsidRDefault="00B574F6" w:rsidP="006311B3">
      <w:pPr>
        <w:pStyle w:val="Heading2"/>
        <w:rPr>
          <w:lang w:val="en-CA"/>
        </w:rPr>
      </w:pPr>
      <w:r w:rsidRPr="00CB4B93">
        <w:rPr>
          <w:lang w:val="en-CA"/>
        </w:rPr>
        <w:t xml:space="preserve">Fifty-seven </w:t>
      </w:r>
      <w:r w:rsidR="002B35AE" w:rsidRPr="00CB4B93">
        <w:rPr>
          <w:lang w:val="en-CA"/>
        </w:rPr>
        <w:t xml:space="preserve">per cent </w:t>
      </w:r>
      <w:r w:rsidR="008711DE" w:rsidRPr="00CB4B93">
        <w:rPr>
          <w:lang w:val="en-CA"/>
        </w:rPr>
        <w:t>of the</w:t>
      </w:r>
      <w:r w:rsidRPr="00CB4B93">
        <w:rPr>
          <w:lang w:val="en-CA"/>
        </w:rPr>
        <w:t xml:space="preserve"> total budget (US $21,856) </w:t>
      </w:r>
      <w:r w:rsidR="002B35AE" w:rsidRPr="00CB4B93">
        <w:rPr>
          <w:lang w:val="en-CA"/>
        </w:rPr>
        <w:t xml:space="preserve">was </w:t>
      </w:r>
      <w:r w:rsidR="00700348" w:rsidRPr="00CB4B93">
        <w:rPr>
          <w:lang w:val="en-CA"/>
        </w:rPr>
        <w:t>used for the purchase of</w:t>
      </w:r>
      <w:r w:rsidR="002B35AE" w:rsidRPr="00CB4B93">
        <w:rPr>
          <w:lang w:val="en-CA"/>
        </w:rPr>
        <w:t xml:space="preserve"> two</w:t>
      </w:r>
      <w:r w:rsidR="00816D76" w:rsidRPr="00CB4B93">
        <w:rPr>
          <w:lang w:val="en-CA"/>
        </w:rPr>
        <w:t xml:space="preserve"> new R</w:t>
      </w:r>
      <w:r w:rsidR="008711DE" w:rsidRPr="00CB4B93">
        <w:rPr>
          <w:lang w:val="en-CA"/>
        </w:rPr>
        <w:noBreakHyphen/>
      </w:r>
      <w:r w:rsidR="00816D76" w:rsidRPr="00CB4B93">
        <w:rPr>
          <w:lang w:val="en-CA"/>
        </w:rPr>
        <w:t>290 compressors, 33 per cent</w:t>
      </w:r>
      <w:r w:rsidR="00700348" w:rsidRPr="00CB4B93">
        <w:rPr>
          <w:lang w:val="en-CA"/>
        </w:rPr>
        <w:t xml:space="preserve"> </w:t>
      </w:r>
      <w:r w:rsidR="00816D76" w:rsidRPr="00CB4B93">
        <w:rPr>
          <w:lang w:val="en-CA"/>
        </w:rPr>
        <w:t xml:space="preserve">was invested in accessories for the refrigeration system, transportation, workmanship and safety (sensors, visual and audible alarm, control); and the </w:t>
      </w:r>
      <w:r w:rsidR="008711DE" w:rsidRPr="00CB4B93">
        <w:rPr>
          <w:lang w:val="en-CA"/>
        </w:rPr>
        <w:t>remaining</w:t>
      </w:r>
      <w:r w:rsidR="00816D76" w:rsidRPr="00CB4B93">
        <w:rPr>
          <w:lang w:val="en-CA"/>
        </w:rPr>
        <w:t xml:space="preserve"> 10 per cent, co</w:t>
      </w:r>
      <w:r w:rsidR="008711DE" w:rsidRPr="00CB4B93">
        <w:rPr>
          <w:lang w:val="en-CA"/>
        </w:rPr>
        <w:noBreakHyphen/>
      </w:r>
      <w:r w:rsidR="00816D76" w:rsidRPr="00CB4B93">
        <w:rPr>
          <w:lang w:val="en-CA"/>
        </w:rPr>
        <w:t xml:space="preserve">financed by the beneficiary, was invested </w:t>
      </w:r>
      <w:r w:rsidR="00D576DB" w:rsidRPr="00CB4B93">
        <w:rPr>
          <w:lang w:val="en-CA"/>
        </w:rPr>
        <w:t xml:space="preserve">in </w:t>
      </w:r>
      <w:r w:rsidR="00700348" w:rsidRPr="00CB4B93">
        <w:rPr>
          <w:lang w:val="en-CA"/>
        </w:rPr>
        <w:t>electrical items designed for flammable atmospheres and</w:t>
      </w:r>
      <w:r w:rsidR="00816D76" w:rsidRPr="00CB4B93">
        <w:rPr>
          <w:lang w:val="en-CA"/>
        </w:rPr>
        <w:t xml:space="preserve"> </w:t>
      </w:r>
      <w:r w:rsidR="00D576DB" w:rsidRPr="00CB4B93">
        <w:rPr>
          <w:lang w:val="en-CA"/>
        </w:rPr>
        <w:t xml:space="preserve">the </w:t>
      </w:r>
      <w:r w:rsidR="00816D76" w:rsidRPr="00CB4B93">
        <w:rPr>
          <w:lang w:val="en-CA"/>
        </w:rPr>
        <w:t>elimination of ignition sources;</w:t>
      </w:r>
      <w:r w:rsidR="00700348" w:rsidRPr="00CB4B93">
        <w:rPr>
          <w:lang w:val="en-CA"/>
        </w:rPr>
        <w:t xml:space="preserve"> </w:t>
      </w:r>
    </w:p>
    <w:p w14:paraId="6CCDB3E6" w14:textId="461B990A" w:rsidR="00700348" w:rsidRPr="00CB4B93" w:rsidRDefault="006311B3" w:rsidP="00F51319">
      <w:pPr>
        <w:pStyle w:val="Heading2"/>
        <w:rPr>
          <w:lang w:val="en-CA"/>
        </w:rPr>
      </w:pPr>
      <w:r w:rsidRPr="00CB4B93">
        <w:rPr>
          <w:lang w:val="en-CA"/>
        </w:rPr>
        <w:t>T</w:t>
      </w:r>
      <w:r w:rsidR="00700348" w:rsidRPr="00CB4B93">
        <w:rPr>
          <w:lang w:val="en-CA"/>
        </w:rPr>
        <w:t>he</w:t>
      </w:r>
      <w:r w:rsidR="00FA7D33" w:rsidRPr="00CB4B93">
        <w:rPr>
          <w:lang w:val="en-CA"/>
        </w:rPr>
        <w:t xml:space="preserve"> pilot is fully integrated with the other activities in the HPMP. The </w:t>
      </w:r>
      <w:r w:rsidR="006D2A6A" w:rsidRPr="00CB4B93">
        <w:rPr>
          <w:lang w:val="en-CA"/>
        </w:rPr>
        <w:t xml:space="preserve">training programme </w:t>
      </w:r>
      <w:r w:rsidR="00FC77C5" w:rsidRPr="00CB4B93">
        <w:rPr>
          <w:lang w:val="en-CA"/>
        </w:rPr>
        <w:t xml:space="preserve">implemented and the </w:t>
      </w:r>
      <w:r w:rsidR="00700348" w:rsidRPr="00CB4B93">
        <w:rPr>
          <w:lang w:val="en-CA"/>
        </w:rPr>
        <w:t xml:space="preserve">certification scheme </w:t>
      </w:r>
      <w:r w:rsidR="003B4DC6" w:rsidRPr="00CB4B93">
        <w:rPr>
          <w:lang w:val="en-CA"/>
        </w:rPr>
        <w:t>developed</w:t>
      </w:r>
      <w:r w:rsidR="00FC77C5" w:rsidRPr="00CB4B93">
        <w:rPr>
          <w:lang w:val="en-CA"/>
        </w:rPr>
        <w:t xml:space="preserve"> </w:t>
      </w:r>
      <w:r w:rsidR="00700348" w:rsidRPr="00CB4B93">
        <w:rPr>
          <w:lang w:val="en-CA"/>
        </w:rPr>
        <w:t>contain aspects of refrigerant se</w:t>
      </w:r>
      <w:r w:rsidR="008711DE" w:rsidRPr="00CB4B93">
        <w:rPr>
          <w:lang w:val="en-CA"/>
        </w:rPr>
        <w:t>curity classification, and</w:t>
      </w:r>
      <w:r w:rsidR="00700348" w:rsidRPr="00CB4B93">
        <w:rPr>
          <w:lang w:val="en-CA"/>
        </w:rPr>
        <w:t xml:space="preserve"> safe handling</w:t>
      </w:r>
      <w:r w:rsidR="00FC77C5" w:rsidRPr="00CB4B93">
        <w:rPr>
          <w:lang w:val="en-CA"/>
        </w:rPr>
        <w:t xml:space="preserve"> in</w:t>
      </w:r>
      <w:r w:rsidR="00816D76" w:rsidRPr="00CB4B93">
        <w:rPr>
          <w:lang w:val="en-CA"/>
        </w:rPr>
        <w:t xml:space="preserve"> </w:t>
      </w:r>
      <w:r w:rsidR="00D576DB" w:rsidRPr="00CB4B93">
        <w:rPr>
          <w:lang w:val="en-CA"/>
        </w:rPr>
        <w:t xml:space="preserve">the </w:t>
      </w:r>
      <w:r w:rsidR="00816D76" w:rsidRPr="00CB4B93">
        <w:rPr>
          <w:lang w:val="en-CA"/>
        </w:rPr>
        <w:t xml:space="preserve">installation and maintenance of </w:t>
      </w:r>
      <w:r w:rsidR="006D2A6A" w:rsidRPr="00CB4B93">
        <w:rPr>
          <w:lang w:val="en-CA"/>
        </w:rPr>
        <w:t>RAC</w:t>
      </w:r>
      <w:r w:rsidR="00816D76" w:rsidRPr="00CB4B93">
        <w:rPr>
          <w:lang w:val="en-CA"/>
        </w:rPr>
        <w:t xml:space="preserve"> systems</w:t>
      </w:r>
      <w:r w:rsidR="003B4DC6" w:rsidRPr="00CB4B93">
        <w:rPr>
          <w:lang w:val="en-CA"/>
        </w:rPr>
        <w:t xml:space="preserve">, which are </w:t>
      </w:r>
      <w:r w:rsidR="00FC77C5" w:rsidRPr="00CB4B93">
        <w:rPr>
          <w:lang w:val="en-CA"/>
        </w:rPr>
        <w:t xml:space="preserve">part of </w:t>
      </w:r>
      <w:r w:rsidR="003B4DC6" w:rsidRPr="00CB4B93">
        <w:rPr>
          <w:lang w:val="en-CA"/>
        </w:rPr>
        <w:t>this demonstration</w:t>
      </w:r>
      <w:r w:rsidR="00700348" w:rsidRPr="00CB4B93">
        <w:rPr>
          <w:lang w:val="en-CA"/>
        </w:rPr>
        <w:t xml:space="preserve">. </w:t>
      </w:r>
      <w:r w:rsidR="003503E9" w:rsidRPr="00CB4B93">
        <w:rPr>
          <w:lang w:val="en-CA"/>
        </w:rPr>
        <w:t>The HPMP also includes the fo</w:t>
      </w:r>
      <w:r w:rsidR="003B4DC6" w:rsidRPr="00CB4B93">
        <w:rPr>
          <w:lang w:val="en-CA"/>
        </w:rPr>
        <w:t>rmulati</w:t>
      </w:r>
      <w:r w:rsidR="003503E9" w:rsidRPr="00CB4B93">
        <w:rPr>
          <w:lang w:val="en-CA"/>
        </w:rPr>
        <w:t xml:space="preserve">on of </w:t>
      </w:r>
      <w:r w:rsidR="003B4DC6" w:rsidRPr="00CB4B93">
        <w:rPr>
          <w:lang w:val="en-CA"/>
        </w:rPr>
        <w:t>a</w:t>
      </w:r>
      <w:r w:rsidR="00700348" w:rsidRPr="00CB4B93">
        <w:rPr>
          <w:lang w:val="en-CA"/>
        </w:rPr>
        <w:t xml:space="preserve"> standard for handling flammable refrigerants. </w:t>
      </w:r>
      <w:r w:rsidR="00FC77C5" w:rsidRPr="00CB4B93">
        <w:rPr>
          <w:lang w:val="en-CA"/>
        </w:rPr>
        <w:t xml:space="preserve">The HCFC-22 from </w:t>
      </w:r>
      <w:r w:rsidR="00EE3351" w:rsidRPr="00CB4B93">
        <w:rPr>
          <w:lang w:val="en-CA"/>
        </w:rPr>
        <w:t xml:space="preserve">decommissioned </w:t>
      </w:r>
      <w:r w:rsidR="00FC77C5" w:rsidRPr="00CB4B93">
        <w:rPr>
          <w:lang w:val="en-CA"/>
        </w:rPr>
        <w:t xml:space="preserve">equipment can be recovered, reclaimed and reused in the </w:t>
      </w:r>
      <w:r w:rsidR="000C5D9D" w:rsidRPr="00CB4B93">
        <w:rPr>
          <w:lang w:val="en-CA"/>
        </w:rPr>
        <w:t xml:space="preserve">recovery, recycling and </w:t>
      </w:r>
      <w:r w:rsidR="00F029F5" w:rsidRPr="00CB4B93">
        <w:rPr>
          <w:lang w:val="en-CA"/>
        </w:rPr>
        <w:t>reclamation</w:t>
      </w:r>
      <w:r w:rsidR="00FC77C5" w:rsidRPr="00CB4B93">
        <w:rPr>
          <w:lang w:val="en-CA"/>
        </w:rPr>
        <w:t xml:space="preserve"> network being developed under the HPMP. </w:t>
      </w:r>
      <w:r w:rsidR="00700348" w:rsidRPr="00CB4B93">
        <w:rPr>
          <w:lang w:val="en-CA"/>
        </w:rPr>
        <w:t xml:space="preserve">Workshops </w:t>
      </w:r>
      <w:r w:rsidR="003503E9" w:rsidRPr="00CB4B93">
        <w:rPr>
          <w:lang w:val="en-CA"/>
        </w:rPr>
        <w:t xml:space="preserve">will also </w:t>
      </w:r>
      <w:r w:rsidR="008711DE" w:rsidRPr="00CB4B93">
        <w:rPr>
          <w:lang w:val="en-CA"/>
        </w:rPr>
        <w:t xml:space="preserve">be </w:t>
      </w:r>
      <w:r w:rsidR="00700348" w:rsidRPr="00CB4B93">
        <w:rPr>
          <w:lang w:val="en-CA"/>
        </w:rPr>
        <w:t xml:space="preserve">held with RAC technicians and end-users to </w:t>
      </w:r>
      <w:r w:rsidR="00904367" w:rsidRPr="00CB4B93">
        <w:rPr>
          <w:lang w:val="en-CA"/>
        </w:rPr>
        <w:t xml:space="preserve">demonstrate the experience, to </w:t>
      </w:r>
      <w:r w:rsidR="00700348" w:rsidRPr="00CB4B93">
        <w:rPr>
          <w:lang w:val="en-CA"/>
        </w:rPr>
        <w:t xml:space="preserve">promote flammability risk assessment with </w:t>
      </w:r>
      <w:r w:rsidR="00EE3351" w:rsidRPr="00CB4B93">
        <w:rPr>
          <w:lang w:val="en-CA"/>
        </w:rPr>
        <w:t xml:space="preserve">the </w:t>
      </w:r>
      <w:r w:rsidR="00700348" w:rsidRPr="00CB4B93">
        <w:rPr>
          <w:lang w:val="en-CA"/>
        </w:rPr>
        <w:t>identification of possible ignition sources</w:t>
      </w:r>
      <w:r w:rsidR="00F029F5" w:rsidRPr="00CB4B93">
        <w:rPr>
          <w:lang w:val="en-CA"/>
        </w:rPr>
        <w:t xml:space="preserve"> and</w:t>
      </w:r>
      <w:r w:rsidR="003503E9" w:rsidRPr="00CB4B93">
        <w:rPr>
          <w:lang w:val="en-CA"/>
        </w:rPr>
        <w:t xml:space="preserve"> </w:t>
      </w:r>
      <w:r w:rsidR="00700348" w:rsidRPr="00CB4B93">
        <w:rPr>
          <w:lang w:val="en-CA"/>
        </w:rPr>
        <w:t>activities to be implemented to eliminate them</w:t>
      </w:r>
      <w:r w:rsidR="003503E9" w:rsidRPr="00CB4B93">
        <w:rPr>
          <w:lang w:val="en-CA"/>
        </w:rPr>
        <w:t>,</w:t>
      </w:r>
      <w:r w:rsidR="00904367" w:rsidRPr="00CB4B93">
        <w:rPr>
          <w:lang w:val="en-CA"/>
        </w:rPr>
        <w:t xml:space="preserve"> and to demonstrate</w:t>
      </w:r>
      <w:r w:rsidR="003503E9" w:rsidRPr="00CB4B93">
        <w:rPr>
          <w:lang w:val="en-CA"/>
        </w:rPr>
        <w:t xml:space="preserve"> </w:t>
      </w:r>
      <w:r w:rsidR="00700348" w:rsidRPr="00CB4B93">
        <w:rPr>
          <w:lang w:val="en-CA"/>
        </w:rPr>
        <w:t xml:space="preserve">good </w:t>
      </w:r>
      <w:r w:rsidR="003503E9" w:rsidRPr="00CB4B93">
        <w:rPr>
          <w:lang w:val="en-CA"/>
        </w:rPr>
        <w:t xml:space="preserve">installation </w:t>
      </w:r>
      <w:r w:rsidR="00700348" w:rsidRPr="00CB4B93">
        <w:rPr>
          <w:lang w:val="en-CA"/>
        </w:rPr>
        <w:t>practices and determin</w:t>
      </w:r>
      <w:r w:rsidR="003503E9" w:rsidRPr="00CB4B93">
        <w:rPr>
          <w:lang w:val="en-CA"/>
        </w:rPr>
        <w:t xml:space="preserve">ation of the </w:t>
      </w:r>
      <w:r w:rsidR="00700348" w:rsidRPr="00CB4B93">
        <w:rPr>
          <w:lang w:val="en-CA"/>
        </w:rPr>
        <w:t xml:space="preserve">maximum allowable charge of </w:t>
      </w:r>
      <w:r w:rsidR="003503E9" w:rsidRPr="00CB4B93">
        <w:rPr>
          <w:lang w:val="en-CA"/>
        </w:rPr>
        <w:t>flammable r</w:t>
      </w:r>
      <w:r w:rsidR="00700348" w:rsidRPr="00CB4B93">
        <w:rPr>
          <w:lang w:val="en-CA"/>
        </w:rPr>
        <w:t>efrigerant according to the application and occupation</w:t>
      </w:r>
      <w:r w:rsidR="003503E9" w:rsidRPr="00CB4B93">
        <w:rPr>
          <w:lang w:val="en-CA"/>
        </w:rPr>
        <w:t>;</w:t>
      </w:r>
      <w:r w:rsidR="006D390F" w:rsidRPr="00CB4B93">
        <w:rPr>
          <w:lang w:val="en-CA"/>
        </w:rPr>
        <w:t xml:space="preserve"> and</w:t>
      </w:r>
    </w:p>
    <w:p w14:paraId="1A0516F3" w14:textId="6856EAEE" w:rsidR="00700348" w:rsidRPr="00CB4B93" w:rsidRDefault="00FC77C5" w:rsidP="00FC77C5">
      <w:pPr>
        <w:pStyle w:val="Heading2"/>
        <w:rPr>
          <w:lang w:val="en-CA"/>
        </w:rPr>
      </w:pPr>
      <w:r w:rsidRPr="00CB4B93">
        <w:rPr>
          <w:lang w:val="en-CA"/>
        </w:rPr>
        <w:t xml:space="preserve">On the potential for replicability, it is expected that some enterprises dedicated to the floriculture, dairy and meat products sector that require similar cooling conditions in their cold chain would be interested in adopting R-290 systems </w:t>
      </w:r>
      <w:r w:rsidR="00833EC1" w:rsidRPr="00CB4B93">
        <w:rPr>
          <w:lang w:val="en-CA"/>
        </w:rPr>
        <w:t>based on the positive environmental and economic results of the project</w:t>
      </w:r>
      <w:r w:rsidRPr="00CB4B93">
        <w:rPr>
          <w:lang w:val="en-CA"/>
        </w:rPr>
        <w:t xml:space="preserve">. </w:t>
      </w:r>
      <w:r w:rsidR="008711DE" w:rsidRPr="00CB4B93">
        <w:rPr>
          <w:lang w:val="en-CA"/>
        </w:rPr>
        <w:t>In 2020 t</w:t>
      </w:r>
      <w:r w:rsidR="00FA7D33" w:rsidRPr="00CB4B93">
        <w:rPr>
          <w:lang w:val="en-CA"/>
        </w:rPr>
        <w:t>he Government of Ecuador will undertake</w:t>
      </w:r>
      <w:r w:rsidR="00EE3351" w:rsidRPr="00CB4B93">
        <w:rPr>
          <w:lang w:val="en-CA"/>
        </w:rPr>
        <w:t xml:space="preserve"> </w:t>
      </w:r>
      <w:r w:rsidR="00FA7D33" w:rsidRPr="00CB4B93">
        <w:rPr>
          <w:lang w:val="en-CA"/>
        </w:rPr>
        <w:t>dissemination workshops addressed to</w:t>
      </w:r>
      <w:r w:rsidRPr="00CB4B93">
        <w:rPr>
          <w:lang w:val="en-CA"/>
        </w:rPr>
        <w:t xml:space="preserve"> </w:t>
      </w:r>
      <w:r w:rsidR="00700348" w:rsidRPr="00CB4B93">
        <w:rPr>
          <w:lang w:val="en-CA"/>
        </w:rPr>
        <w:t xml:space="preserve">decision-makers, managers, supervisors and </w:t>
      </w:r>
      <w:r w:rsidRPr="00CB4B93">
        <w:rPr>
          <w:lang w:val="en-CA"/>
        </w:rPr>
        <w:t>technical staff from enterprises with similar cooling needs</w:t>
      </w:r>
      <w:r w:rsidR="00700348" w:rsidRPr="00CB4B93">
        <w:rPr>
          <w:lang w:val="en-CA"/>
        </w:rPr>
        <w:t xml:space="preserve">. </w:t>
      </w:r>
      <w:r w:rsidRPr="00CB4B93">
        <w:rPr>
          <w:lang w:val="en-CA"/>
        </w:rPr>
        <w:t>It is expected that</w:t>
      </w:r>
      <w:r w:rsidR="00700348" w:rsidRPr="00CB4B93">
        <w:rPr>
          <w:lang w:val="en-CA"/>
        </w:rPr>
        <w:t xml:space="preserve"> compressor suppliers </w:t>
      </w:r>
      <w:r w:rsidR="00EE3351" w:rsidRPr="00CB4B93">
        <w:rPr>
          <w:lang w:val="en-CA"/>
        </w:rPr>
        <w:t xml:space="preserve">will </w:t>
      </w:r>
      <w:r w:rsidR="00700348" w:rsidRPr="00CB4B93">
        <w:rPr>
          <w:lang w:val="en-CA"/>
        </w:rPr>
        <w:t xml:space="preserve">start offering </w:t>
      </w:r>
      <w:r w:rsidRPr="00CB4B93">
        <w:rPr>
          <w:lang w:val="en-CA"/>
        </w:rPr>
        <w:t xml:space="preserve">components </w:t>
      </w:r>
      <w:r w:rsidR="00700348" w:rsidRPr="00CB4B93">
        <w:rPr>
          <w:lang w:val="en-CA"/>
        </w:rPr>
        <w:t>kits</w:t>
      </w:r>
      <w:r w:rsidRPr="00CB4B93">
        <w:rPr>
          <w:lang w:val="en-CA"/>
        </w:rPr>
        <w:t xml:space="preserve"> that </w:t>
      </w:r>
      <w:r w:rsidR="00700348" w:rsidRPr="00CB4B93">
        <w:rPr>
          <w:lang w:val="en-CA"/>
        </w:rPr>
        <w:t>will make the option more attractive.</w:t>
      </w:r>
      <w:r w:rsidR="001D7BDC" w:rsidRPr="00CB4B93">
        <w:rPr>
          <w:lang w:val="en-CA"/>
        </w:rPr>
        <w:t xml:space="preserve"> </w:t>
      </w:r>
      <w:r w:rsidR="006D390F" w:rsidRPr="00CB4B93">
        <w:rPr>
          <w:lang w:val="en-CA"/>
        </w:rPr>
        <w:t>Whereas t</w:t>
      </w:r>
      <w:r w:rsidR="00937000" w:rsidRPr="00CB4B93">
        <w:rPr>
          <w:lang w:val="en-CA"/>
        </w:rPr>
        <w:t>he NOU will provide technical assistance</w:t>
      </w:r>
      <w:r w:rsidR="006D390F" w:rsidRPr="00CB4B93">
        <w:rPr>
          <w:lang w:val="en-CA"/>
        </w:rPr>
        <w:t xml:space="preserve">, </w:t>
      </w:r>
      <w:r w:rsidR="00937000" w:rsidRPr="00CB4B93">
        <w:rPr>
          <w:lang w:val="en-CA"/>
        </w:rPr>
        <w:t>the entire in</w:t>
      </w:r>
      <w:r w:rsidR="006D390F" w:rsidRPr="00CB4B93">
        <w:rPr>
          <w:lang w:val="en-CA"/>
        </w:rPr>
        <w:t>vestment will be covered by interested enterprises</w:t>
      </w:r>
      <w:r w:rsidR="00937000" w:rsidRPr="00CB4B93">
        <w:rPr>
          <w:lang w:val="en-CA"/>
        </w:rPr>
        <w:t>.</w:t>
      </w:r>
    </w:p>
    <w:p w14:paraId="5A4BD1ED" w14:textId="2CB60A61" w:rsidR="003A41C8" w:rsidRPr="00CB4B93" w:rsidRDefault="00605B4F" w:rsidP="003A41C8">
      <w:pPr>
        <w:rPr>
          <w:u w:val="single"/>
          <w:lang w:val="en-CA"/>
        </w:rPr>
      </w:pPr>
      <w:r w:rsidRPr="00CB4B93">
        <w:rPr>
          <w:u w:val="single"/>
          <w:lang w:val="en-CA"/>
        </w:rPr>
        <w:t>G</w:t>
      </w:r>
      <w:r w:rsidR="003A41C8" w:rsidRPr="00CB4B93">
        <w:rPr>
          <w:u w:val="single"/>
          <w:lang w:val="en-CA"/>
        </w:rPr>
        <w:t>ender policy implementation</w:t>
      </w:r>
      <w:r w:rsidRPr="00CB4B93">
        <w:rPr>
          <w:rStyle w:val="FootnoteReference"/>
          <w:u w:val="single"/>
          <w:lang w:val="en-CA"/>
        </w:rPr>
        <w:footnoteReference w:id="2"/>
      </w:r>
    </w:p>
    <w:p w14:paraId="29C153A1" w14:textId="77777777" w:rsidR="003A41C8" w:rsidRPr="00CB4B93" w:rsidRDefault="003A41C8" w:rsidP="003A41C8">
      <w:pPr>
        <w:rPr>
          <w:lang w:val="en-CA"/>
        </w:rPr>
      </w:pPr>
    </w:p>
    <w:p w14:paraId="77F59632" w14:textId="582265DD" w:rsidR="00A60BF6" w:rsidRPr="00CB4B93" w:rsidRDefault="00CC7992" w:rsidP="00A60BF6">
      <w:pPr>
        <w:pStyle w:val="Heading1"/>
        <w:rPr>
          <w:lang w:val="en-CA"/>
        </w:rPr>
      </w:pPr>
      <w:r w:rsidRPr="00CB4B93">
        <w:rPr>
          <w:lang w:val="en-CA"/>
        </w:rPr>
        <w:t xml:space="preserve">UNIDO </w:t>
      </w:r>
      <w:r w:rsidR="00EE3351" w:rsidRPr="00CB4B93">
        <w:rPr>
          <w:lang w:val="en-CA"/>
        </w:rPr>
        <w:t>report</w:t>
      </w:r>
      <w:r w:rsidRPr="00CB4B93">
        <w:rPr>
          <w:lang w:val="en-CA"/>
        </w:rPr>
        <w:t xml:space="preserve">ed that one out of every 25 RAC technicians receiving training </w:t>
      </w:r>
      <w:r w:rsidR="008711DE" w:rsidRPr="00CB4B93">
        <w:rPr>
          <w:lang w:val="en-CA"/>
        </w:rPr>
        <w:t xml:space="preserve">in Ecuador </w:t>
      </w:r>
      <w:r w:rsidRPr="00CB4B93">
        <w:rPr>
          <w:lang w:val="en-CA"/>
        </w:rPr>
        <w:t xml:space="preserve">is a woman. </w:t>
      </w:r>
      <w:r w:rsidR="00EE3351" w:rsidRPr="00CB4B93">
        <w:rPr>
          <w:lang w:val="en-CA"/>
        </w:rPr>
        <w:t>As of</w:t>
      </w:r>
      <w:r w:rsidRPr="00CB4B93">
        <w:rPr>
          <w:lang w:val="en-CA"/>
        </w:rPr>
        <w:t xml:space="preserve"> 2020, the registration of participants</w:t>
      </w:r>
      <w:r w:rsidR="00EE3351" w:rsidRPr="00CB4B93">
        <w:rPr>
          <w:lang w:val="en-CA"/>
        </w:rPr>
        <w:t xml:space="preserve"> in</w:t>
      </w:r>
      <w:r w:rsidRPr="00CB4B93">
        <w:rPr>
          <w:lang w:val="en-CA"/>
        </w:rPr>
        <w:t xml:space="preserve"> any training session under the HPMP</w:t>
      </w:r>
      <w:r w:rsidR="00EE3351" w:rsidRPr="00CB4B93">
        <w:rPr>
          <w:lang w:val="en-CA"/>
        </w:rPr>
        <w:t xml:space="preserve"> is</w:t>
      </w:r>
      <w:r w:rsidRPr="00CB4B93">
        <w:rPr>
          <w:lang w:val="en-CA"/>
        </w:rPr>
        <w:t xml:space="preserve"> disaggregate</w:t>
      </w:r>
      <w:r w:rsidR="00EE3351" w:rsidRPr="00CB4B93">
        <w:rPr>
          <w:lang w:val="en-CA"/>
        </w:rPr>
        <w:t>d</w:t>
      </w:r>
      <w:r w:rsidRPr="00CB4B93">
        <w:rPr>
          <w:lang w:val="en-CA"/>
        </w:rPr>
        <w:t xml:space="preserve"> by gender</w:t>
      </w:r>
      <w:r w:rsidR="00EE3351" w:rsidRPr="00CB4B93">
        <w:rPr>
          <w:lang w:val="en-CA"/>
        </w:rPr>
        <w:t>,</w:t>
      </w:r>
      <w:r w:rsidR="00A60BF6" w:rsidRPr="00CB4B93">
        <w:rPr>
          <w:lang w:val="en-CA"/>
        </w:rPr>
        <w:t xml:space="preserve"> and future monitoring and evaluation of the project will specify reporting on gender issues and </w:t>
      </w:r>
      <w:r w:rsidR="00EE3351" w:rsidRPr="00CB4B93">
        <w:rPr>
          <w:lang w:val="en-CA"/>
        </w:rPr>
        <w:t xml:space="preserve">the </w:t>
      </w:r>
      <w:r w:rsidR="00A60BF6" w:rsidRPr="00CB4B93">
        <w:rPr>
          <w:lang w:val="en-CA"/>
        </w:rPr>
        <w:t xml:space="preserve">progress </w:t>
      </w:r>
      <w:r w:rsidR="008711DE" w:rsidRPr="00CB4B93">
        <w:rPr>
          <w:lang w:val="en-CA"/>
        </w:rPr>
        <w:t>in</w:t>
      </w:r>
      <w:r w:rsidR="00A60BF6" w:rsidRPr="00CB4B93">
        <w:rPr>
          <w:lang w:val="en-CA"/>
        </w:rPr>
        <w:t xml:space="preserve"> address</w:t>
      </w:r>
      <w:r w:rsidR="008711DE" w:rsidRPr="00CB4B93">
        <w:rPr>
          <w:lang w:val="en-CA"/>
        </w:rPr>
        <w:t>ing</w:t>
      </w:r>
      <w:r w:rsidR="00A60BF6" w:rsidRPr="00CB4B93">
        <w:rPr>
          <w:lang w:val="en-CA"/>
        </w:rPr>
        <w:t xml:space="preserve"> them</w:t>
      </w:r>
      <w:r w:rsidR="00605B4F" w:rsidRPr="00CB4B93">
        <w:rPr>
          <w:lang w:val="en-CA"/>
        </w:rPr>
        <w:t xml:space="preserve"> in accordance with </w:t>
      </w:r>
      <w:r w:rsidR="001F104E" w:rsidRPr="00CB4B93">
        <w:rPr>
          <w:lang w:val="en-CA"/>
        </w:rPr>
        <w:t>a comprehensive set of</w:t>
      </w:r>
      <w:r w:rsidR="00605B4F" w:rsidRPr="00CB4B93">
        <w:rPr>
          <w:lang w:val="en-CA"/>
        </w:rPr>
        <w:t xml:space="preserve"> gender indicators agreed for the project and the gender policy of UNIDO</w:t>
      </w:r>
      <w:r w:rsidR="00A60BF6" w:rsidRPr="00CB4B93">
        <w:rPr>
          <w:lang w:val="en-CA"/>
        </w:rPr>
        <w:t xml:space="preserve">. </w:t>
      </w:r>
    </w:p>
    <w:p w14:paraId="6CBEDD19" w14:textId="5C5ACE96" w:rsidR="00A60BF6" w:rsidRPr="00FE3568" w:rsidRDefault="00A60BF6" w:rsidP="00A60BF6">
      <w:pPr>
        <w:pStyle w:val="Heading1"/>
        <w:rPr>
          <w:lang w:val="en-CA"/>
        </w:rPr>
      </w:pPr>
      <w:r w:rsidRPr="008B29C7">
        <w:rPr>
          <w:lang w:val="en-CA"/>
        </w:rPr>
        <w:t>In the past years, the invitation of women to all training events has been applied without restriction, thereby ensuring that</w:t>
      </w:r>
      <w:r w:rsidRPr="00FE3568">
        <w:rPr>
          <w:lang w:val="en-CA"/>
        </w:rPr>
        <w:t xml:space="preserve"> both women and men can provide input, </w:t>
      </w:r>
      <w:r w:rsidR="00BB3D22">
        <w:rPr>
          <w:lang w:val="en-CA"/>
        </w:rPr>
        <w:t>have</w:t>
      </w:r>
      <w:r w:rsidR="002E035F">
        <w:rPr>
          <w:lang w:val="en-CA"/>
        </w:rPr>
        <w:t xml:space="preserve"> </w:t>
      </w:r>
      <w:r w:rsidRPr="00FE3568">
        <w:rPr>
          <w:lang w:val="en-CA"/>
        </w:rPr>
        <w:t xml:space="preserve">access </w:t>
      </w:r>
      <w:r w:rsidR="002E035F">
        <w:rPr>
          <w:lang w:val="en-CA"/>
        </w:rPr>
        <w:t xml:space="preserve">to </w:t>
      </w:r>
      <w:r w:rsidRPr="00FE3568">
        <w:rPr>
          <w:lang w:val="en-CA"/>
        </w:rPr>
        <w:t>and participate in the HPMP ac</w:t>
      </w:r>
      <w:r w:rsidR="002E035F">
        <w:rPr>
          <w:lang w:val="en-CA"/>
        </w:rPr>
        <w:t xml:space="preserve">tivities. So far, there is </w:t>
      </w:r>
      <w:r w:rsidRPr="00FE3568">
        <w:rPr>
          <w:lang w:val="en-CA"/>
        </w:rPr>
        <w:t>one female instructor at SECAP</w:t>
      </w:r>
      <w:r w:rsidR="00105335">
        <w:rPr>
          <w:lang w:val="en-CA"/>
        </w:rPr>
        <w:t>.</w:t>
      </w:r>
    </w:p>
    <w:p w14:paraId="38E44E29" w14:textId="2C8A4CFC" w:rsidR="00D54581" w:rsidRPr="00157991" w:rsidRDefault="00D54581" w:rsidP="00F04DC2">
      <w:pPr>
        <w:keepNext/>
        <w:keepLines/>
        <w:rPr>
          <w:u w:val="single"/>
          <w:lang w:val="en-CA"/>
        </w:rPr>
      </w:pPr>
      <w:r w:rsidRPr="00157991">
        <w:rPr>
          <w:u w:val="single"/>
          <w:lang w:val="en-CA"/>
        </w:rPr>
        <w:t>Sustainability of the HCFC phase-out</w:t>
      </w:r>
    </w:p>
    <w:p w14:paraId="29974EAB" w14:textId="7CC88275" w:rsidR="00D54581" w:rsidRDefault="00D54581" w:rsidP="00F04DC2">
      <w:pPr>
        <w:rPr>
          <w:u w:val="single"/>
          <w:lang w:val="en-CA"/>
        </w:rPr>
      </w:pPr>
    </w:p>
    <w:p w14:paraId="3341CFE5" w14:textId="04C40045" w:rsidR="00295BC3" w:rsidRPr="00BA7EA0" w:rsidRDefault="00AC770B" w:rsidP="00AC770B">
      <w:pPr>
        <w:pStyle w:val="Heading1"/>
        <w:rPr>
          <w:lang w:val="en-CA"/>
        </w:rPr>
      </w:pPr>
      <w:r w:rsidRPr="00BA7EA0">
        <w:rPr>
          <w:lang w:val="en-CA"/>
        </w:rPr>
        <w:t xml:space="preserve">In order to ensure the sustainability of the training provided through the HPMP, </w:t>
      </w:r>
      <w:r w:rsidR="00BA7EA0" w:rsidRPr="00BA7EA0">
        <w:rPr>
          <w:lang w:val="en-CA"/>
        </w:rPr>
        <w:t xml:space="preserve">agreements between </w:t>
      </w:r>
      <w:r w:rsidRPr="00BA7EA0">
        <w:rPr>
          <w:lang w:val="en-CA"/>
        </w:rPr>
        <w:t xml:space="preserve">MPCEIP </w:t>
      </w:r>
      <w:r w:rsidR="00BA7EA0" w:rsidRPr="00BA7EA0">
        <w:rPr>
          <w:lang w:val="en-CA"/>
        </w:rPr>
        <w:t xml:space="preserve">and </w:t>
      </w:r>
      <w:r w:rsidRPr="00BA7EA0">
        <w:rPr>
          <w:lang w:val="en-CA"/>
        </w:rPr>
        <w:t>the t</w:t>
      </w:r>
      <w:r w:rsidR="00BC24B4" w:rsidRPr="00BA7EA0">
        <w:rPr>
          <w:lang w:val="en-CA"/>
        </w:rPr>
        <w:t>echnical training institutions</w:t>
      </w:r>
      <w:r w:rsidRPr="00BA7EA0">
        <w:rPr>
          <w:lang w:val="en-CA"/>
        </w:rPr>
        <w:t xml:space="preserve"> </w:t>
      </w:r>
      <w:r w:rsidR="00BA7EA0" w:rsidRPr="00BA7EA0">
        <w:rPr>
          <w:lang w:val="en-CA"/>
        </w:rPr>
        <w:t xml:space="preserve">have been established; through these agreements, </w:t>
      </w:r>
      <w:r w:rsidR="00BA7EA0">
        <w:rPr>
          <w:lang w:val="en-CA"/>
        </w:rPr>
        <w:t xml:space="preserve">the </w:t>
      </w:r>
      <w:r w:rsidR="00BA7EA0" w:rsidRPr="00BA7EA0">
        <w:rPr>
          <w:lang w:val="en-CA"/>
        </w:rPr>
        <w:t xml:space="preserve">training institutes have </w:t>
      </w:r>
      <w:r w:rsidR="00BA7EA0">
        <w:rPr>
          <w:lang w:val="en-CA"/>
        </w:rPr>
        <w:t xml:space="preserve">to incorporate </w:t>
      </w:r>
      <w:r w:rsidR="00BA7EA0" w:rsidRPr="00BA7EA0">
        <w:rPr>
          <w:lang w:val="en-CA"/>
        </w:rPr>
        <w:t xml:space="preserve">the subject of good </w:t>
      </w:r>
      <w:r w:rsidR="00BA7EA0">
        <w:rPr>
          <w:lang w:val="en-CA"/>
        </w:rPr>
        <w:t xml:space="preserve">service </w:t>
      </w:r>
      <w:r w:rsidR="00BA7EA0" w:rsidRPr="00BA7EA0">
        <w:rPr>
          <w:lang w:val="en-CA"/>
        </w:rPr>
        <w:t>practices in refrigeration in</w:t>
      </w:r>
      <w:r w:rsidR="00BA7EA0">
        <w:rPr>
          <w:lang w:val="en-CA"/>
        </w:rPr>
        <w:t>to</w:t>
      </w:r>
      <w:r w:rsidR="00BA7EA0" w:rsidRPr="00BA7EA0">
        <w:rPr>
          <w:lang w:val="en-CA"/>
        </w:rPr>
        <w:t xml:space="preserve"> their educational curriculum</w:t>
      </w:r>
      <w:r w:rsidR="00BA7EA0">
        <w:rPr>
          <w:lang w:val="en-CA"/>
        </w:rPr>
        <w:t xml:space="preserve">, have </w:t>
      </w:r>
      <w:r w:rsidR="00BA7EA0" w:rsidRPr="00BA7EA0">
        <w:rPr>
          <w:lang w:val="en-CA"/>
        </w:rPr>
        <w:t xml:space="preserve">to continue providing training </w:t>
      </w:r>
      <w:r w:rsidR="00BA7EA0">
        <w:rPr>
          <w:lang w:val="en-CA"/>
        </w:rPr>
        <w:t xml:space="preserve">to refrigeration technicians </w:t>
      </w:r>
      <w:r w:rsidR="00BA7EA0" w:rsidRPr="00BA7EA0">
        <w:rPr>
          <w:lang w:val="en-CA"/>
        </w:rPr>
        <w:t>under their regular programmes</w:t>
      </w:r>
      <w:r w:rsidR="00BA7EA0">
        <w:rPr>
          <w:lang w:val="en-CA"/>
        </w:rPr>
        <w:t>, and have</w:t>
      </w:r>
      <w:r w:rsidR="00BA7EA0" w:rsidRPr="00BA7EA0">
        <w:rPr>
          <w:lang w:val="en-CA"/>
        </w:rPr>
        <w:t xml:space="preserve"> to report periodically on the number of technicians trained</w:t>
      </w:r>
      <w:r w:rsidR="00BA7EA0">
        <w:rPr>
          <w:lang w:val="en-CA"/>
        </w:rPr>
        <w:t xml:space="preserve">. The training institutions have been </w:t>
      </w:r>
      <w:r w:rsidRPr="00BA7EA0">
        <w:rPr>
          <w:lang w:val="en-CA"/>
        </w:rPr>
        <w:t>stren</w:t>
      </w:r>
      <w:r w:rsidR="00D91FC8" w:rsidRPr="00BA7EA0">
        <w:rPr>
          <w:lang w:val="en-CA"/>
        </w:rPr>
        <w:t xml:space="preserve">gthened with equipment and tool </w:t>
      </w:r>
      <w:r w:rsidRPr="00BA7EA0">
        <w:rPr>
          <w:lang w:val="en-CA"/>
        </w:rPr>
        <w:t>kits to</w:t>
      </w:r>
      <w:r w:rsidR="0078621D">
        <w:rPr>
          <w:lang w:val="en-CA"/>
        </w:rPr>
        <w:t xml:space="preserve"> provide hands-on training to technicians. </w:t>
      </w:r>
      <w:r w:rsidR="006F0F5D" w:rsidRPr="00BA7EA0">
        <w:rPr>
          <w:lang w:val="en-CA"/>
        </w:rPr>
        <w:t xml:space="preserve">UNIDO has also focused on building the capacity of local experts to become trainers at </w:t>
      </w:r>
      <w:r w:rsidR="00D91FC8" w:rsidRPr="00BA7EA0">
        <w:rPr>
          <w:lang w:val="en-CA"/>
        </w:rPr>
        <w:t xml:space="preserve">a </w:t>
      </w:r>
      <w:r w:rsidR="006F0F5D" w:rsidRPr="00BA7EA0">
        <w:rPr>
          <w:lang w:val="en-CA"/>
        </w:rPr>
        <w:t>national level</w:t>
      </w:r>
      <w:r w:rsidR="00A6083D">
        <w:rPr>
          <w:lang w:val="en-CA"/>
        </w:rPr>
        <w:t>,</w:t>
      </w:r>
      <w:r w:rsidR="006F0F5D" w:rsidRPr="00BA7EA0">
        <w:rPr>
          <w:lang w:val="en-CA"/>
        </w:rPr>
        <w:t xml:space="preserve"> ensur</w:t>
      </w:r>
      <w:r w:rsidR="0078621D">
        <w:rPr>
          <w:lang w:val="en-CA"/>
        </w:rPr>
        <w:t>ing</w:t>
      </w:r>
      <w:r w:rsidR="006F0F5D" w:rsidRPr="00BA7EA0">
        <w:rPr>
          <w:lang w:val="en-CA"/>
        </w:rPr>
        <w:t xml:space="preserve"> training </w:t>
      </w:r>
      <w:r w:rsidR="0078621D">
        <w:rPr>
          <w:lang w:val="en-CA"/>
        </w:rPr>
        <w:t xml:space="preserve">for a larger number of </w:t>
      </w:r>
      <w:r w:rsidR="006F0F5D" w:rsidRPr="00BA7EA0">
        <w:rPr>
          <w:lang w:val="en-CA"/>
        </w:rPr>
        <w:t xml:space="preserve">technicians. </w:t>
      </w:r>
      <w:r w:rsidRPr="00BA7EA0">
        <w:rPr>
          <w:lang w:val="en-CA"/>
        </w:rPr>
        <w:t>The implementation of the technicians’ certification scheme</w:t>
      </w:r>
      <w:r w:rsidR="0078621D">
        <w:rPr>
          <w:lang w:val="en-CA"/>
        </w:rPr>
        <w:t>,</w:t>
      </w:r>
      <w:r w:rsidR="00BD7338" w:rsidRPr="00BA7EA0">
        <w:rPr>
          <w:lang w:val="en-CA"/>
        </w:rPr>
        <w:t xml:space="preserve"> fully operated by local institutions</w:t>
      </w:r>
      <w:r w:rsidR="0078621D">
        <w:rPr>
          <w:lang w:val="en-CA"/>
        </w:rPr>
        <w:t>,</w:t>
      </w:r>
      <w:r w:rsidR="00D91FC8" w:rsidRPr="00BA7EA0">
        <w:rPr>
          <w:lang w:val="en-CA"/>
        </w:rPr>
        <w:t xml:space="preserve"> will</w:t>
      </w:r>
      <w:r w:rsidRPr="00BA7EA0">
        <w:rPr>
          <w:lang w:val="en-CA"/>
        </w:rPr>
        <w:t xml:space="preserve"> help ensure the sustainability of training activities</w:t>
      </w:r>
      <w:r w:rsidR="00521833" w:rsidRPr="00BA7EA0">
        <w:rPr>
          <w:lang w:val="en-CA"/>
        </w:rPr>
        <w:t xml:space="preserve">. </w:t>
      </w:r>
      <w:r w:rsidRPr="00BA7EA0">
        <w:rPr>
          <w:lang w:val="en-CA"/>
        </w:rPr>
        <w:t xml:space="preserve">MPCEIP has also </w:t>
      </w:r>
      <w:r w:rsidR="00521833" w:rsidRPr="00BA7EA0">
        <w:rPr>
          <w:lang w:val="en-CA"/>
        </w:rPr>
        <w:t xml:space="preserve">an </w:t>
      </w:r>
      <w:r w:rsidRPr="00BA7EA0">
        <w:rPr>
          <w:lang w:val="en-CA"/>
        </w:rPr>
        <w:t xml:space="preserve">agreement with SENAI to ensure </w:t>
      </w:r>
      <w:r w:rsidR="00521833" w:rsidRPr="00BA7EA0">
        <w:rPr>
          <w:lang w:val="en-CA"/>
        </w:rPr>
        <w:t xml:space="preserve">the </w:t>
      </w:r>
      <w:r w:rsidR="00BC24B4" w:rsidRPr="00BA7EA0">
        <w:rPr>
          <w:lang w:val="en-CA"/>
        </w:rPr>
        <w:t xml:space="preserve">continuous </w:t>
      </w:r>
      <w:r w:rsidR="0078621D">
        <w:rPr>
          <w:lang w:val="en-CA"/>
        </w:rPr>
        <w:t xml:space="preserve">capacity building </w:t>
      </w:r>
      <w:r w:rsidRPr="00BA7EA0">
        <w:rPr>
          <w:lang w:val="en-CA"/>
        </w:rPr>
        <w:t xml:space="preserve">of customs officers on </w:t>
      </w:r>
      <w:r w:rsidR="0078621D">
        <w:rPr>
          <w:i/>
          <w:lang w:val="en-CA"/>
        </w:rPr>
        <w:t xml:space="preserve">inter alia </w:t>
      </w:r>
      <w:r w:rsidRPr="00BA7EA0">
        <w:rPr>
          <w:lang w:val="en-CA"/>
        </w:rPr>
        <w:t>ODS regulations</w:t>
      </w:r>
      <w:r w:rsidR="00D91FC8" w:rsidRPr="00BA7EA0">
        <w:rPr>
          <w:lang w:val="en-CA"/>
        </w:rPr>
        <w:t>,</w:t>
      </w:r>
      <w:r w:rsidRPr="00BA7EA0">
        <w:rPr>
          <w:lang w:val="en-CA"/>
        </w:rPr>
        <w:t xml:space="preserve"> illegal trade </w:t>
      </w:r>
      <w:r w:rsidR="0078621D">
        <w:rPr>
          <w:lang w:val="en-CA"/>
        </w:rPr>
        <w:t xml:space="preserve">of ODS </w:t>
      </w:r>
      <w:r w:rsidRPr="00BA7EA0">
        <w:rPr>
          <w:lang w:val="en-CA"/>
        </w:rPr>
        <w:t xml:space="preserve">and </w:t>
      </w:r>
      <w:r w:rsidR="00BC24B4" w:rsidRPr="00BA7EA0">
        <w:rPr>
          <w:lang w:val="en-CA"/>
        </w:rPr>
        <w:t>counterfeit refrigerant</w:t>
      </w:r>
      <w:r w:rsidR="0078621D">
        <w:rPr>
          <w:lang w:val="en-CA"/>
        </w:rPr>
        <w:t>s</w:t>
      </w:r>
      <w:r w:rsidR="00BC24B4" w:rsidRPr="00BA7EA0">
        <w:rPr>
          <w:lang w:val="en-CA"/>
        </w:rPr>
        <w:t xml:space="preserve">. </w:t>
      </w:r>
    </w:p>
    <w:p w14:paraId="75439484" w14:textId="433AA55B" w:rsidR="002B35AE" w:rsidRPr="00A60BF6" w:rsidRDefault="002B35AE" w:rsidP="002B35AE">
      <w:pPr>
        <w:rPr>
          <w:u w:val="single"/>
          <w:lang w:val="en-CA"/>
        </w:rPr>
      </w:pPr>
      <w:r w:rsidRPr="00A60BF6">
        <w:rPr>
          <w:u w:val="single"/>
          <w:lang w:val="en-CA"/>
        </w:rPr>
        <w:t>Date of completion of stage I</w:t>
      </w:r>
    </w:p>
    <w:p w14:paraId="3CA59081" w14:textId="77777777" w:rsidR="002B35AE" w:rsidRDefault="002B35AE" w:rsidP="002B35AE">
      <w:pPr>
        <w:rPr>
          <w:i/>
          <w:lang w:val="en-CA"/>
        </w:rPr>
      </w:pPr>
    </w:p>
    <w:p w14:paraId="36A57BB5" w14:textId="7D3C4D61" w:rsidR="002B35AE" w:rsidRPr="00BF037F" w:rsidRDefault="002B35AE" w:rsidP="002B35AE">
      <w:pPr>
        <w:pStyle w:val="Heading1"/>
        <w:rPr>
          <w:lang w:val="en-CA"/>
        </w:rPr>
      </w:pPr>
      <w:r w:rsidRPr="00F27EBB">
        <w:rPr>
          <w:lang w:val="en-CA"/>
        </w:rPr>
        <w:t xml:space="preserve">As per the Agreement, </w:t>
      </w:r>
      <w:r w:rsidR="0033689C">
        <w:rPr>
          <w:lang w:val="en-CA"/>
        </w:rPr>
        <w:t xml:space="preserve">the duration of </w:t>
      </w:r>
      <w:r w:rsidRPr="00F27EBB">
        <w:rPr>
          <w:lang w:val="en-CA"/>
        </w:rPr>
        <w:t>stage I is up to December 2021</w:t>
      </w:r>
      <w:r w:rsidR="0033689C">
        <w:rPr>
          <w:lang w:val="en-CA"/>
        </w:rPr>
        <w:t>.</w:t>
      </w:r>
      <w:r w:rsidRPr="00F27EBB">
        <w:rPr>
          <w:lang w:val="en-CA"/>
        </w:rPr>
        <w:t xml:space="preserve"> UNIDO </w:t>
      </w:r>
      <w:r w:rsidR="0033689C">
        <w:rPr>
          <w:lang w:val="en-CA"/>
        </w:rPr>
        <w:t xml:space="preserve">has </w:t>
      </w:r>
      <w:r w:rsidRPr="00F27EBB">
        <w:rPr>
          <w:lang w:val="en-CA"/>
        </w:rPr>
        <w:t xml:space="preserve">confirmed that </w:t>
      </w:r>
      <w:r>
        <w:rPr>
          <w:lang w:val="en-CA"/>
        </w:rPr>
        <w:t>so far</w:t>
      </w:r>
      <w:r w:rsidRPr="00F27EBB">
        <w:rPr>
          <w:lang w:val="en-CA"/>
        </w:rPr>
        <w:t xml:space="preserve"> activities are progressing as planned</w:t>
      </w:r>
      <w:r w:rsidR="0033689C">
        <w:rPr>
          <w:lang w:val="en-CA"/>
        </w:rPr>
        <w:t xml:space="preserve"> and completion is </w:t>
      </w:r>
      <w:r w:rsidRPr="00F27EBB">
        <w:rPr>
          <w:lang w:val="en-CA"/>
        </w:rPr>
        <w:t xml:space="preserve">expected by </w:t>
      </w:r>
      <w:r>
        <w:rPr>
          <w:lang w:val="en-CA"/>
        </w:rPr>
        <w:t xml:space="preserve">the </w:t>
      </w:r>
      <w:r w:rsidR="0033689C">
        <w:rPr>
          <w:lang w:val="en-CA"/>
        </w:rPr>
        <w:t xml:space="preserve">scheduled </w:t>
      </w:r>
      <w:r>
        <w:rPr>
          <w:lang w:val="en-CA"/>
        </w:rPr>
        <w:t>date</w:t>
      </w:r>
      <w:r w:rsidRPr="00F27EBB">
        <w:rPr>
          <w:lang w:val="en-CA"/>
        </w:rPr>
        <w:t xml:space="preserve">. </w:t>
      </w:r>
      <w:r>
        <w:rPr>
          <w:lang w:val="en-CA"/>
        </w:rPr>
        <w:t xml:space="preserve">However, the present </w:t>
      </w:r>
      <w:r w:rsidRPr="00BF037F">
        <w:rPr>
          <w:lang w:val="en-CA"/>
        </w:rPr>
        <w:t>global situation is expected to slow down</w:t>
      </w:r>
      <w:r w:rsidR="0033689C">
        <w:rPr>
          <w:lang w:val="en-CA"/>
        </w:rPr>
        <w:t xml:space="preserve"> </w:t>
      </w:r>
      <w:r w:rsidR="0033689C" w:rsidRPr="00BF037F">
        <w:rPr>
          <w:lang w:val="en-CA"/>
        </w:rPr>
        <w:t>implementation</w:t>
      </w:r>
      <w:r w:rsidRPr="00BF037F">
        <w:rPr>
          <w:lang w:val="en-CA"/>
        </w:rPr>
        <w:t>, which may require a future review of the situation.</w:t>
      </w:r>
    </w:p>
    <w:p w14:paraId="37315F57" w14:textId="22D336BD" w:rsidR="00D54581" w:rsidRPr="00BF037F" w:rsidRDefault="00D54581" w:rsidP="00700348">
      <w:pPr>
        <w:rPr>
          <w:u w:val="single"/>
          <w:lang w:val="en-CA"/>
        </w:rPr>
      </w:pPr>
      <w:r w:rsidRPr="00BF037F">
        <w:rPr>
          <w:u w:val="single"/>
          <w:lang w:val="en-CA"/>
        </w:rPr>
        <w:t xml:space="preserve">Conclusion </w:t>
      </w:r>
    </w:p>
    <w:p w14:paraId="7C2362D8" w14:textId="77777777" w:rsidR="00D54581" w:rsidRPr="00BF037F" w:rsidRDefault="00D54581" w:rsidP="00F04DC2">
      <w:pPr>
        <w:rPr>
          <w:lang w:val="en-CA"/>
        </w:rPr>
      </w:pPr>
    </w:p>
    <w:p w14:paraId="6C1C4BC7" w14:textId="2BE4B85F" w:rsidR="00A051C0" w:rsidRPr="00BF037F" w:rsidRDefault="00A60BF6" w:rsidP="00867E17">
      <w:pPr>
        <w:pStyle w:val="Heading1"/>
        <w:rPr>
          <w:lang w:val="en-CA"/>
        </w:rPr>
      </w:pPr>
      <w:r w:rsidRPr="00BF037F">
        <w:rPr>
          <w:lang w:val="en-CA"/>
        </w:rPr>
        <w:t xml:space="preserve">The Government of Ecuador continues to be </w:t>
      </w:r>
      <w:r w:rsidR="00A051C0" w:rsidRPr="00BF037F">
        <w:rPr>
          <w:lang w:val="en-CA"/>
        </w:rPr>
        <w:t xml:space="preserve">in compliance with the Montreal Protocol and its Agreement with the Executive Committee. The HCFC import licensing and quota system </w:t>
      </w:r>
      <w:r w:rsidR="0033689C">
        <w:rPr>
          <w:lang w:val="en-CA"/>
        </w:rPr>
        <w:t>has been</w:t>
      </w:r>
      <w:r w:rsidR="00A051C0" w:rsidRPr="00BF037F">
        <w:rPr>
          <w:lang w:val="en-CA"/>
        </w:rPr>
        <w:t xml:space="preserve"> further improved</w:t>
      </w:r>
      <w:r w:rsidRPr="00BF037F">
        <w:rPr>
          <w:lang w:val="en-CA"/>
        </w:rPr>
        <w:t>, the country has established a ban on the import of HCFC-141b pure from 1 January 2020 and will establish the ban on import</w:t>
      </w:r>
      <w:r w:rsidR="006D220B">
        <w:rPr>
          <w:lang w:val="en-CA"/>
        </w:rPr>
        <w:t>s</w:t>
      </w:r>
      <w:r w:rsidRPr="00BF037F">
        <w:rPr>
          <w:lang w:val="en-CA"/>
        </w:rPr>
        <w:t xml:space="preserve"> of HCFC-141b contained in imported pre-blended polyols as of 1</w:t>
      </w:r>
      <w:r w:rsidR="006D220B">
        <w:rPr>
          <w:lang w:val="en-CA"/>
        </w:rPr>
        <w:t> </w:t>
      </w:r>
      <w:r w:rsidRPr="00BF037F">
        <w:rPr>
          <w:lang w:val="en-CA"/>
        </w:rPr>
        <w:t>January</w:t>
      </w:r>
      <w:r w:rsidR="006D220B">
        <w:rPr>
          <w:lang w:val="en-CA"/>
        </w:rPr>
        <w:t> </w:t>
      </w:r>
      <w:r w:rsidRPr="00BF037F">
        <w:rPr>
          <w:lang w:val="en-CA"/>
        </w:rPr>
        <w:t xml:space="preserve">2021. A total of 350 </w:t>
      </w:r>
      <w:r w:rsidR="00A051C0" w:rsidRPr="00BF037F">
        <w:rPr>
          <w:lang w:val="en-CA"/>
        </w:rPr>
        <w:t>customs officers</w:t>
      </w:r>
      <w:r w:rsidRPr="00BF037F">
        <w:rPr>
          <w:lang w:val="en-CA"/>
        </w:rPr>
        <w:t xml:space="preserve"> have been trained, </w:t>
      </w:r>
      <w:r w:rsidR="006D220B" w:rsidRPr="00BF037F">
        <w:rPr>
          <w:lang w:val="en-CA"/>
        </w:rPr>
        <w:t xml:space="preserve">implementation </w:t>
      </w:r>
      <w:r w:rsidR="006D220B">
        <w:rPr>
          <w:lang w:val="en-CA"/>
        </w:rPr>
        <w:t xml:space="preserve">of </w:t>
      </w:r>
      <w:r w:rsidRPr="00BF037F">
        <w:rPr>
          <w:lang w:val="en-CA"/>
        </w:rPr>
        <w:t>t</w:t>
      </w:r>
      <w:r w:rsidR="00A051C0" w:rsidRPr="00BF037F">
        <w:rPr>
          <w:lang w:val="en-CA"/>
        </w:rPr>
        <w:t xml:space="preserve">he </w:t>
      </w:r>
      <w:r w:rsidR="00B31402">
        <w:rPr>
          <w:lang w:val="en-CA"/>
        </w:rPr>
        <w:t xml:space="preserve">PU </w:t>
      </w:r>
      <w:r w:rsidR="00A051C0" w:rsidRPr="00BF037F">
        <w:rPr>
          <w:lang w:val="en-CA"/>
        </w:rPr>
        <w:t xml:space="preserve">foam </w:t>
      </w:r>
      <w:r w:rsidR="00B31402">
        <w:rPr>
          <w:lang w:val="en-CA"/>
        </w:rPr>
        <w:t xml:space="preserve">sector plan </w:t>
      </w:r>
      <w:r w:rsidR="00A051C0" w:rsidRPr="00BF037F">
        <w:rPr>
          <w:lang w:val="en-CA"/>
        </w:rPr>
        <w:t xml:space="preserve">for the remaining eligible PU foam enterprises </w:t>
      </w:r>
      <w:r w:rsidR="0033689C">
        <w:rPr>
          <w:lang w:val="en-CA"/>
        </w:rPr>
        <w:t xml:space="preserve">has </w:t>
      </w:r>
      <w:r w:rsidRPr="00BF037F">
        <w:rPr>
          <w:lang w:val="en-CA"/>
        </w:rPr>
        <w:t>sta</w:t>
      </w:r>
      <w:r w:rsidR="0033689C">
        <w:rPr>
          <w:lang w:val="en-CA"/>
        </w:rPr>
        <w:t>r</w:t>
      </w:r>
      <w:r w:rsidRPr="00BF037F">
        <w:rPr>
          <w:lang w:val="en-CA"/>
        </w:rPr>
        <w:t>ted,</w:t>
      </w:r>
      <w:r w:rsidR="00A051C0" w:rsidRPr="00BF037F">
        <w:rPr>
          <w:lang w:val="en-CA"/>
        </w:rPr>
        <w:t xml:space="preserve"> </w:t>
      </w:r>
      <w:r w:rsidRPr="00BF037F">
        <w:rPr>
          <w:lang w:val="en-CA"/>
        </w:rPr>
        <w:t>a total of 957 technicians have been trained</w:t>
      </w:r>
      <w:r w:rsidR="00B31402">
        <w:rPr>
          <w:lang w:val="en-CA"/>
        </w:rPr>
        <w:t xml:space="preserve"> in good service practices</w:t>
      </w:r>
      <w:r w:rsidRPr="00BF037F">
        <w:rPr>
          <w:lang w:val="en-CA"/>
        </w:rPr>
        <w:t xml:space="preserve">, 19 training institutes have been strengthened with </w:t>
      </w:r>
      <w:r w:rsidR="00B31402">
        <w:rPr>
          <w:lang w:val="en-CA"/>
        </w:rPr>
        <w:t xml:space="preserve">equipment and service </w:t>
      </w:r>
      <w:r w:rsidRPr="00BF037F">
        <w:rPr>
          <w:lang w:val="en-CA"/>
        </w:rPr>
        <w:t xml:space="preserve">tools, and one flower producer implemented a </w:t>
      </w:r>
      <w:r w:rsidR="00BF037F" w:rsidRPr="00BF037F">
        <w:rPr>
          <w:lang w:val="en-CA"/>
        </w:rPr>
        <w:t xml:space="preserve">demonstration </w:t>
      </w:r>
      <w:r w:rsidRPr="00BF037F">
        <w:rPr>
          <w:lang w:val="en-CA"/>
        </w:rPr>
        <w:t>project to replace HCFC</w:t>
      </w:r>
      <w:r w:rsidR="0033689C">
        <w:rPr>
          <w:lang w:val="en-CA"/>
        </w:rPr>
        <w:t>-</w:t>
      </w:r>
      <w:r w:rsidRPr="00BF037F">
        <w:rPr>
          <w:lang w:val="en-CA"/>
        </w:rPr>
        <w:t xml:space="preserve">22 equipment </w:t>
      </w:r>
      <w:r w:rsidR="00B31402">
        <w:rPr>
          <w:lang w:val="en-CA"/>
        </w:rPr>
        <w:t xml:space="preserve">located in its cold room </w:t>
      </w:r>
      <w:r w:rsidR="0033689C">
        <w:rPr>
          <w:lang w:val="en-CA"/>
        </w:rPr>
        <w:t>with</w:t>
      </w:r>
      <w:r w:rsidR="00B31402">
        <w:rPr>
          <w:lang w:val="en-CA"/>
        </w:rPr>
        <w:t xml:space="preserve"> </w:t>
      </w:r>
      <w:r w:rsidR="00235026">
        <w:rPr>
          <w:lang w:val="en-CA"/>
        </w:rPr>
        <w:t xml:space="preserve">a </w:t>
      </w:r>
      <w:r w:rsidRPr="00BF037F">
        <w:rPr>
          <w:lang w:val="en-CA"/>
        </w:rPr>
        <w:t>new R-290</w:t>
      </w:r>
      <w:r w:rsidR="006D220B">
        <w:rPr>
          <w:lang w:val="en-CA"/>
        </w:rPr>
        <w:noBreakHyphen/>
      </w:r>
      <w:r w:rsidRPr="00BF037F">
        <w:rPr>
          <w:lang w:val="en-CA"/>
        </w:rPr>
        <w:t>based equipment</w:t>
      </w:r>
      <w:r w:rsidR="0033689C">
        <w:rPr>
          <w:lang w:val="en-CA"/>
        </w:rPr>
        <w:t>, thereby</w:t>
      </w:r>
      <w:r w:rsidRPr="00BF037F">
        <w:rPr>
          <w:lang w:val="en-CA"/>
        </w:rPr>
        <w:t xml:space="preserve"> obtaining improvements in </w:t>
      </w:r>
      <w:r w:rsidR="00BF037F" w:rsidRPr="00BF037F">
        <w:rPr>
          <w:lang w:val="en-CA"/>
        </w:rPr>
        <w:t xml:space="preserve">performance </w:t>
      </w:r>
      <w:r w:rsidR="006D220B">
        <w:rPr>
          <w:lang w:val="en-CA"/>
        </w:rPr>
        <w:t xml:space="preserve">and energy use. </w:t>
      </w:r>
      <w:r w:rsidR="00A051C0" w:rsidRPr="00BF037F">
        <w:rPr>
          <w:lang w:val="en-CA"/>
        </w:rPr>
        <w:t xml:space="preserve">Activities planned under the </w:t>
      </w:r>
      <w:r w:rsidR="003736E8" w:rsidRPr="00BF037F">
        <w:rPr>
          <w:lang w:val="en-CA"/>
        </w:rPr>
        <w:t xml:space="preserve">fifth </w:t>
      </w:r>
      <w:r w:rsidR="00BF037F" w:rsidRPr="00BF037F">
        <w:rPr>
          <w:lang w:val="en-CA"/>
        </w:rPr>
        <w:t xml:space="preserve">tranche will be completed as planned </w:t>
      </w:r>
      <w:r w:rsidR="0033689C">
        <w:rPr>
          <w:lang w:val="en-CA"/>
        </w:rPr>
        <w:t>by</w:t>
      </w:r>
      <w:r w:rsidR="00BF037F" w:rsidRPr="00BF037F">
        <w:rPr>
          <w:lang w:val="en-CA"/>
        </w:rPr>
        <w:t xml:space="preserve"> December 2021; however, UNIDO indicated that given the current situation related to COVID-19, this may need to be reassessed in the future.</w:t>
      </w:r>
    </w:p>
    <w:p w14:paraId="3E8EE334" w14:textId="77777777" w:rsidR="00D54581" w:rsidRPr="00FE3307" w:rsidRDefault="00D54581" w:rsidP="00A6083D">
      <w:pPr>
        <w:keepNext/>
        <w:keepLines/>
        <w:rPr>
          <w:lang w:val="en-CA"/>
        </w:rPr>
      </w:pPr>
      <w:r w:rsidRPr="00BF037F">
        <w:rPr>
          <w:b/>
          <w:lang w:val="en-CA"/>
        </w:rPr>
        <w:t>RECOMMENDATION</w:t>
      </w:r>
      <w:r w:rsidRPr="00FE3307">
        <w:rPr>
          <w:b/>
          <w:lang w:val="en-CA"/>
        </w:rPr>
        <w:t xml:space="preserve"> </w:t>
      </w:r>
    </w:p>
    <w:p w14:paraId="0AAF0ACD" w14:textId="77777777" w:rsidR="00D54581" w:rsidRPr="00FE3307" w:rsidRDefault="00D54581" w:rsidP="00A6083D">
      <w:pPr>
        <w:keepNext/>
        <w:keepLines/>
        <w:rPr>
          <w:lang w:val="en-CA"/>
        </w:rPr>
      </w:pPr>
    </w:p>
    <w:p w14:paraId="5056EDEB" w14:textId="54840B73" w:rsidR="00D54581" w:rsidRPr="00C04AB4" w:rsidRDefault="00D54581" w:rsidP="00A6083D">
      <w:pPr>
        <w:pStyle w:val="Heading1"/>
        <w:keepNext/>
        <w:keepLines/>
        <w:rPr>
          <w:lang w:val="en-CA"/>
        </w:rPr>
      </w:pPr>
      <w:r w:rsidRPr="00C04AB4">
        <w:rPr>
          <w:lang w:val="en-CA"/>
        </w:rPr>
        <w:t xml:space="preserve">The Fund Secretariat recommends </w:t>
      </w:r>
      <w:r w:rsidR="00C04AB4" w:rsidRPr="00C04AB4">
        <w:rPr>
          <w:lang w:val="en-CA"/>
        </w:rPr>
        <w:t xml:space="preserve">that </w:t>
      </w:r>
      <w:r w:rsidRPr="00C04AB4">
        <w:rPr>
          <w:lang w:val="en-CA"/>
        </w:rPr>
        <w:t>the Executive Committee</w:t>
      </w:r>
      <w:r w:rsidR="00C04AB4">
        <w:rPr>
          <w:lang w:val="en-CA"/>
        </w:rPr>
        <w:t xml:space="preserve"> t</w:t>
      </w:r>
      <w:r w:rsidRPr="00C04AB4">
        <w:rPr>
          <w:lang w:val="en-CA"/>
        </w:rPr>
        <w:t>ake</w:t>
      </w:r>
      <w:r w:rsidR="00C04AB4" w:rsidRPr="00C04AB4">
        <w:rPr>
          <w:lang w:val="en-CA"/>
        </w:rPr>
        <w:t>s</w:t>
      </w:r>
      <w:r w:rsidRPr="00C04AB4">
        <w:rPr>
          <w:lang w:val="en-CA"/>
        </w:rPr>
        <w:t xml:space="preserve"> note of the progress report on the implementation of the </w:t>
      </w:r>
      <w:r w:rsidR="00226E3D" w:rsidRPr="00C04AB4">
        <w:rPr>
          <w:lang w:val="en-CA"/>
        </w:rPr>
        <w:t>fourth</w:t>
      </w:r>
      <w:r w:rsidRPr="00C04AB4">
        <w:rPr>
          <w:lang w:val="en-CA"/>
        </w:rPr>
        <w:t xml:space="preserve"> tranche of stage I of the HCFC phase-out management plan of (HPMP) for </w:t>
      </w:r>
      <w:r w:rsidR="00226E3D" w:rsidRPr="00C04AB4">
        <w:rPr>
          <w:lang w:val="en-CA"/>
        </w:rPr>
        <w:t>Ecuador</w:t>
      </w:r>
      <w:r w:rsidRPr="00C04AB4">
        <w:rPr>
          <w:lang w:val="en-CA"/>
        </w:rPr>
        <w:t xml:space="preserve">; </w:t>
      </w:r>
      <w:r w:rsidR="00C04AB4" w:rsidRPr="00C04AB4">
        <w:rPr>
          <w:lang w:val="en-CA"/>
        </w:rPr>
        <w:t xml:space="preserve">and </w:t>
      </w:r>
      <w:r w:rsidRPr="00C04AB4">
        <w:rPr>
          <w:lang w:val="en-CA"/>
        </w:rPr>
        <w:t xml:space="preserve">further recommends blanket approval of the </w:t>
      </w:r>
      <w:r w:rsidR="00226E3D" w:rsidRPr="00C04AB4">
        <w:rPr>
          <w:lang w:val="en-CA"/>
        </w:rPr>
        <w:t>fifth</w:t>
      </w:r>
      <w:r w:rsidRPr="00C04AB4">
        <w:rPr>
          <w:lang w:val="en-CA"/>
        </w:rPr>
        <w:t xml:space="preserve"> </w:t>
      </w:r>
      <w:r w:rsidR="00226E3D" w:rsidRPr="00C04AB4">
        <w:rPr>
          <w:lang w:val="en-CA"/>
        </w:rPr>
        <w:t>and final</w:t>
      </w:r>
      <w:r w:rsidRPr="00C04AB4">
        <w:rPr>
          <w:lang w:val="en-CA"/>
        </w:rPr>
        <w:t xml:space="preserve"> tranche of stage I of the HPMP for </w:t>
      </w:r>
      <w:r w:rsidR="00226E3D" w:rsidRPr="00C04AB4">
        <w:rPr>
          <w:lang w:val="en-CA"/>
        </w:rPr>
        <w:t>Ecuador</w:t>
      </w:r>
      <w:r w:rsidR="00897A78" w:rsidRPr="00C04AB4">
        <w:rPr>
          <w:lang w:val="en-CA"/>
        </w:rPr>
        <w:t>, and the corresponding 2020</w:t>
      </w:r>
      <w:r w:rsidR="004C6A96" w:rsidRPr="00C04AB4">
        <w:rPr>
          <w:lang w:val="en-CA"/>
        </w:rPr>
        <w:t xml:space="preserve">-2021 </w:t>
      </w:r>
      <w:r w:rsidRPr="00C04AB4">
        <w:rPr>
          <w:lang w:val="en-CA"/>
        </w:rPr>
        <w:t>tranche implementa</w:t>
      </w:r>
      <w:r w:rsidR="006D220B" w:rsidRPr="00C04AB4">
        <w:rPr>
          <w:lang w:val="en-CA"/>
        </w:rPr>
        <w:t>tion plan, at the funding levels</w:t>
      </w:r>
      <w:r w:rsidRPr="00C04AB4">
        <w:rPr>
          <w:lang w:val="en-CA"/>
        </w:rPr>
        <w:t xml:space="preserve"> shown in the table below</w:t>
      </w:r>
      <w:r w:rsidR="004C6A96" w:rsidRPr="00C04AB4">
        <w:rPr>
          <w:lang w:val="en-CA"/>
        </w:rPr>
        <w:t>:</w:t>
      </w:r>
      <w:bookmarkStart w:id="0" w:name="_GoBack"/>
      <w:bookmarkEnd w:id="0"/>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0"/>
        <w:gridCol w:w="1461"/>
        <w:gridCol w:w="1461"/>
        <w:gridCol w:w="1461"/>
      </w:tblGrid>
      <w:tr w:rsidR="00D54581" w:rsidRPr="00FE3307" w14:paraId="44A00560" w14:textId="77777777" w:rsidTr="00F04DC2">
        <w:tc>
          <w:tcPr>
            <w:tcW w:w="540" w:type="dxa"/>
          </w:tcPr>
          <w:p w14:paraId="31F22E08" w14:textId="77777777" w:rsidR="00D54581" w:rsidRPr="00FE3307" w:rsidRDefault="00D54581" w:rsidP="007C4CB3">
            <w:pPr>
              <w:keepNext/>
              <w:keepLines/>
              <w:jc w:val="center"/>
              <w:rPr>
                <w:b/>
                <w:bCs/>
                <w:sz w:val="20"/>
                <w:szCs w:val="20"/>
                <w:lang w:val="en-CA"/>
              </w:rPr>
            </w:pPr>
          </w:p>
        </w:tc>
        <w:tc>
          <w:tcPr>
            <w:tcW w:w="4320" w:type="dxa"/>
          </w:tcPr>
          <w:p w14:paraId="32DCC4B2" w14:textId="77777777" w:rsidR="00D54581" w:rsidRPr="00FE3307" w:rsidRDefault="00D54581" w:rsidP="007C4CB3">
            <w:pPr>
              <w:keepNext/>
              <w:keepLines/>
              <w:jc w:val="center"/>
              <w:rPr>
                <w:b/>
                <w:bCs/>
                <w:sz w:val="20"/>
                <w:szCs w:val="20"/>
                <w:lang w:val="en-CA"/>
              </w:rPr>
            </w:pPr>
            <w:r w:rsidRPr="00FE3307">
              <w:rPr>
                <w:b/>
                <w:bCs/>
                <w:sz w:val="20"/>
                <w:szCs w:val="20"/>
                <w:lang w:val="en-CA"/>
              </w:rPr>
              <w:t>Project title</w:t>
            </w:r>
          </w:p>
        </w:tc>
        <w:tc>
          <w:tcPr>
            <w:tcW w:w="1461" w:type="dxa"/>
            <w:tcMar>
              <w:left w:w="29" w:type="dxa"/>
              <w:right w:w="29" w:type="dxa"/>
            </w:tcMar>
          </w:tcPr>
          <w:p w14:paraId="5A72A7B2" w14:textId="162D0905" w:rsidR="00D54581" w:rsidRPr="00FE3307" w:rsidRDefault="00D54581" w:rsidP="007C4CB3">
            <w:pPr>
              <w:keepNext/>
              <w:keepLines/>
              <w:jc w:val="center"/>
              <w:rPr>
                <w:b/>
                <w:bCs/>
                <w:sz w:val="20"/>
                <w:szCs w:val="20"/>
                <w:lang w:val="en-CA"/>
              </w:rPr>
            </w:pPr>
            <w:r w:rsidRPr="00FE3307">
              <w:rPr>
                <w:b/>
                <w:bCs/>
                <w:sz w:val="20"/>
                <w:szCs w:val="20"/>
                <w:lang w:val="en-CA"/>
              </w:rPr>
              <w:t>Project funding (</w:t>
            </w:r>
            <w:r w:rsidR="00867E17">
              <w:rPr>
                <w:b/>
                <w:bCs/>
                <w:sz w:val="20"/>
                <w:szCs w:val="20"/>
                <w:lang w:val="en-CA"/>
              </w:rPr>
              <w:t>US $</w:t>
            </w:r>
            <w:r w:rsidRPr="00FE3307">
              <w:rPr>
                <w:b/>
                <w:bCs/>
                <w:sz w:val="20"/>
                <w:szCs w:val="20"/>
                <w:lang w:val="en-CA"/>
              </w:rPr>
              <w:t>)</w:t>
            </w:r>
          </w:p>
        </w:tc>
        <w:tc>
          <w:tcPr>
            <w:tcW w:w="1461" w:type="dxa"/>
            <w:tcMar>
              <w:left w:w="29" w:type="dxa"/>
              <w:right w:w="29" w:type="dxa"/>
            </w:tcMar>
          </w:tcPr>
          <w:p w14:paraId="7B9838FE" w14:textId="51AB7D46" w:rsidR="00D54581" w:rsidRPr="00FE3307" w:rsidRDefault="00D54581" w:rsidP="007C4CB3">
            <w:pPr>
              <w:keepNext/>
              <w:keepLines/>
              <w:jc w:val="center"/>
              <w:rPr>
                <w:b/>
                <w:bCs/>
                <w:sz w:val="20"/>
                <w:szCs w:val="20"/>
                <w:lang w:val="en-CA"/>
              </w:rPr>
            </w:pPr>
            <w:r w:rsidRPr="00FE3307">
              <w:rPr>
                <w:b/>
                <w:bCs/>
                <w:sz w:val="20"/>
                <w:szCs w:val="20"/>
                <w:lang w:val="en-CA"/>
              </w:rPr>
              <w:t>Support cost (</w:t>
            </w:r>
            <w:r w:rsidR="00867E17">
              <w:rPr>
                <w:b/>
                <w:bCs/>
                <w:sz w:val="20"/>
                <w:szCs w:val="20"/>
                <w:lang w:val="en-CA"/>
              </w:rPr>
              <w:t>US $</w:t>
            </w:r>
            <w:r w:rsidRPr="00FE3307">
              <w:rPr>
                <w:b/>
                <w:bCs/>
                <w:sz w:val="20"/>
                <w:szCs w:val="20"/>
                <w:lang w:val="en-CA"/>
              </w:rPr>
              <w:t>)</w:t>
            </w:r>
          </w:p>
        </w:tc>
        <w:tc>
          <w:tcPr>
            <w:tcW w:w="1461" w:type="dxa"/>
            <w:tcMar>
              <w:left w:w="29" w:type="dxa"/>
              <w:right w:w="29" w:type="dxa"/>
            </w:tcMar>
          </w:tcPr>
          <w:p w14:paraId="19CF669B" w14:textId="77777777" w:rsidR="00D54581" w:rsidRPr="00FE3307" w:rsidRDefault="00D54581" w:rsidP="007C4CB3">
            <w:pPr>
              <w:keepNext/>
              <w:keepLines/>
              <w:jc w:val="center"/>
              <w:rPr>
                <w:b/>
                <w:bCs/>
                <w:sz w:val="20"/>
                <w:szCs w:val="20"/>
                <w:lang w:val="en-CA"/>
              </w:rPr>
            </w:pPr>
            <w:r w:rsidRPr="00FE3307">
              <w:rPr>
                <w:b/>
                <w:bCs/>
                <w:sz w:val="20"/>
                <w:szCs w:val="20"/>
                <w:lang w:val="en-CA"/>
              </w:rPr>
              <w:t>Implementing agency</w:t>
            </w:r>
          </w:p>
        </w:tc>
      </w:tr>
      <w:tr w:rsidR="00D54581" w:rsidRPr="00FE3307" w14:paraId="61D302A5" w14:textId="77777777" w:rsidTr="00F04DC2">
        <w:tc>
          <w:tcPr>
            <w:tcW w:w="540" w:type="dxa"/>
          </w:tcPr>
          <w:p w14:paraId="49FB0F23" w14:textId="77777777" w:rsidR="00D54581" w:rsidRPr="00FE3307" w:rsidRDefault="00D54581" w:rsidP="007C4CB3">
            <w:pPr>
              <w:keepNext/>
              <w:keepLines/>
              <w:rPr>
                <w:sz w:val="20"/>
                <w:szCs w:val="20"/>
                <w:lang w:val="en-CA"/>
              </w:rPr>
            </w:pPr>
            <w:r w:rsidRPr="00FE3307">
              <w:rPr>
                <w:sz w:val="20"/>
                <w:szCs w:val="20"/>
                <w:lang w:val="en-CA"/>
              </w:rPr>
              <w:t>(a)</w:t>
            </w:r>
          </w:p>
        </w:tc>
        <w:tc>
          <w:tcPr>
            <w:tcW w:w="4320" w:type="dxa"/>
          </w:tcPr>
          <w:p w14:paraId="3F8094B2" w14:textId="77777777" w:rsidR="00D54581" w:rsidRPr="00226E3D" w:rsidRDefault="00D54581" w:rsidP="007C4CB3">
            <w:pPr>
              <w:keepNext/>
              <w:keepLines/>
              <w:rPr>
                <w:sz w:val="20"/>
                <w:szCs w:val="20"/>
                <w:lang w:val="en-CA"/>
              </w:rPr>
            </w:pPr>
            <w:r w:rsidRPr="00226E3D">
              <w:rPr>
                <w:sz w:val="20"/>
                <w:szCs w:val="20"/>
                <w:lang w:val="en-CA"/>
              </w:rPr>
              <w:t xml:space="preserve">HCFC phase-out management plan (stage I, </w:t>
            </w:r>
            <w:r w:rsidR="00226E3D" w:rsidRPr="00226E3D">
              <w:rPr>
                <w:sz w:val="20"/>
                <w:szCs w:val="20"/>
                <w:lang w:val="en-CA"/>
              </w:rPr>
              <w:t>fifth</w:t>
            </w:r>
            <w:r w:rsidRPr="00226E3D">
              <w:rPr>
                <w:sz w:val="20"/>
                <w:szCs w:val="20"/>
                <w:lang w:val="en-CA"/>
              </w:rPr>
              <w:t xml:space="preserve"> tranche)</w:t>
            </w:r>
          </w:p>
        </w:tc>
        <w:tc>
          <w:tcPr>
            <w:tcW w:w="1461" w:type="dxa"/>
          </w:tcPr>
          <w:p w14:paraId="42D5487B" w14:textId="77777777" w:rsidR="00D54581" w:rsidRPr="00226E3D" w:rsidRDefault="00226E3D" w:rsidP="007C4CB3">
            <w:pPr>
              <w:keepNext/>
              <w:keepLines/>
              <w:jc w:val="right"/>
              <w:rPr>
                <w:sz w:val="20"/>
                <w:szCs w:val="20"/>
                <w:lang w:val="en-CA"/>
              </w:rPr>
            </w:pPr>
            <w:r w:rsidRPr="00226E3D">
              <w:rPr>
                <w:sz w:val="20"/>
                <w:szCs w:val="20"/>
                <w:lang w:val="en-CA"/>
              </w:rPr>
              <w:t>55,000</w:t>
            </w:r>
          </w:p>
        </w:tc>
        <w:tc>
          <w:tcPr>
            <w:tcW w:w="1461" w:type="dxa"/>
          </w:tcPr>
          <w:p w14:paraId="0B4A6C08" w14:textId="77777777" w:rsidR="00D54581" w:rsidRPr="00226E3D" w:rsidRDefault="00226E3D" w:rsidP="007C4CB3">
            <w:pPr>
              <w:keepNext/>
              <w:keepLines/>
              <w:jc w:val="right"/>
              <w:rPr>
                <w:sz w:val="20"/>
                <w:szCs w:val="20"/>
                <w:lang w:val="en-CA"/>
              </w:rPr>
            </w:pPr>
            <w:r w:rsidRPr="00531B65">
              <w:rPr>
                <w:sz w:val="20"/>
                <w:szCs w:val="20"/>
                <w:lang w:val="en-CA" w:eastAsia="en-CA"/>
              </w:rPr>
              <w:t>4,125</w:t>
            </w:r>
          </w:p>
        </w:tc>
        <w:tc>
          <w:tcPr>
            <w:tcW w:w="1461" w:type="dxa"/>
          </w:tcPr>
          <w:p w14:paraId="411F1E1D" w14:textId="77777777" w:rsidR="00D54581" w:rsidRPr="00FE3307" w:rsidRDefault="00226E3D" w:rsidP="007C4CB3">
            <w:pPr>
              <w:keepNext/>
              <w:keepLines/>
              <w:jc w:val="center"/>
              <w:rPr>
                <w:sz w:val="20"/>
                <w:szCs w:val="20"/>
                <w:lang w:val="en-CA"/>
              </w:rPr>
            </w:pPr>
            <w:r>
              <w:rPr>
                <w:sz w:val="20"/>
                <w:szCs w:val="20"/>
                <w:lang w:val="en-CA"/>
              </w:rPr>
              <w:t>UNIDO</w:t>
            </w:r>
          </w:p>
        </w:tc>
      </w:tr>
      <w:tr w:rsidR="00D54581" w:rsidRPr="00FE3307" w14:paraId="7CE90D07" w14:textId="77777777" w:rsidTr="00F04DC2">
        <w:tc>
          <w:tcPr>
            <w:tcW w:w="540" w:type="dxa"/>
          </w:tcPr>
          <w:p w14:paraId="7719520C" w14:textId="77777777" w:rsidR="00D54581" w:rsidRPr="00FE3307" w:rsidRDefault="00D54581" w:rsidP="007C4CB3">
            <w:pPr>
              <w:keepNext/>
              <w:keepLines/>
              <w:rPr>
                <w:sz w:val="20"/>
                <w:szCs w:val="20"/>
                <w:lang w:val="en-CA"/>
              </w:rPr>
            </w:pPr>
            <w:r w:rsidRPr="00FE3307">
              <w:rPr>
                <w:sz w:val="20"/>
                <w:szCs w:val="20"/>
                <w:lang w:val="en-CA"/>
              </w:rPr>
              <w:t>(b)</w:t>
            </w:r>
          </w:p>
        </w:tc>
        <w:tc>
          <w:tcPr>
            <w:tcW w:w="4320" w:type="dxa"/>
          </w:tcPr>
          <w:p w14:paraId="216D9BF5" w14:textId="77777777" w:rsidR="00D54581" w:rsidRPr="00FE3307" w:rsidRDefault="00D54581" w:rsidP="007C4CB3">
            <w:pPr>
              <w:keepNext/>
              <w:keepLines/>
              <w:rPr>
                <w:sz w:val="20"/>
                <w:szCs w:val="20"/>
                <w:lang w:val="en-CA"/>
              </w:rPr>
            </w:pPr>
            <w:r w:rsidRPr="00FE3307">
              <w:rPr>
                <w:sz w:val="20"/>
                <w:szCs w:val="20"/>
                <w:lang w:val="en-CA"/>
              </w:rPr>
              <w:t xml:space="preserve">HCFC phase-out management plan (stage I, </w:t>
            </w:r>
            <w:r w:rsidR="00226E3D">
              <w:rPr>
                <w:sz w:val="20"/>
                <w:szCs w:val="20"/>
                <w:lang w:val="en-CA"/>
              </w:rPr>
              <w:t>fifth</w:t>
            </w:r>
            <w:r w:rsidRPr="00FE3307">
              <w:rPr>
                <w:sz w:val="20"/>
                <w:szCs w:val="20"/>
                <w:lang w:val="en-CA"/>
              </w:rPr>
              <w:t xml:space="preserve"> tranche)</w:t>
            </w:r>
          </w:p>
        </w:tc>
        <w:tc>
          <w:tcPr>
            <w:tcW w:w="1461" w:type="dxa"/>
          </w:tcPr>
          <w:p w14:paraId="0504DAC0" w14:textId="77777777" w:rsidR="00D54581" w:rsidRPr="00226E3D" w:rsidRDefault="00226E3D" w:rsidP="007C4CB3">
            <w:pPr>
              <w:keepNext/>
              <w:keepLines/>
              <w:jc w:val="right"/>
              <w:rPr>
                <w:sz w:val="20"/>
                <w:szCs w:val="20"/>
                <w:lang w:val="en-CA"/>
              </w:rPr>
            </w:pPr>
            <w:r w:rsidRPr="00531B65">
              <w:rPr>
                <w:sz w:val="20"/>
                <w:szCs w:val="20"/>
                <w:lang w:val="en-CA" w:eastAsia="en-CA"/>
              </w:rPr>
              <w:t>10,000</w:t>
            </w:r>
          </w:p>
        </w:tc>
        <w:tc>
          <w:tcPr>
            <w:tcW w:w="1461" w:type="dxa"/>
          </w:tcPr>
          <w:p w14:paraId="2648BBF0" w14:textId="77777777" w:rsidR="00D54581" w:rsidRPr="00226E3D" w:rsidRDefault="00226E3D" w:rsidP="007C4CB3">
            <w:pPr>
              <w:keepNext/>
              <w:keepLines/>
              <w:jc w:val="right"/>
              <w:rPr>
                <w:sz w:val="20"/>
                <w:szCs w:val="20"/>
                <w:lang w:val="en-CA"/>
              </w:rPr>
            </w:pPr>
            <w:r w:rsidRPr="00226E3D">
              <w:rPr>
                <w:sz w:val="20"/>
                <w:szCs w:val="20"/>
                <w:lang w:val="en-CA"/>
              </w:rPr>
              <w:t>1,300</w:t>
            </w:r>
          </w:p>
        </w:tc>
        <w:tc>
          <w:tcPr>
            <w:tcW w:w="1461" w:type="dxa"/>
          </w:tcPr>
          <w:p w14:paraId="4F5EA4E7" w14:textId="77777777" w:rsidR="00D54581" w:rsidRPr="00FE3307" w:rsidRDefault="00226E3D" w:rsidP="007C4CB3">
            <w:pPr>
              <w:keepNext/>
              <w:keepLines/>
              <w:jc w:val="center"/>
              <w:rPr>
                <w:sz w:val="20"/>
                <w:szCs w:val="20"/>
                <w:lang w:val="en-CA"/>
              </w:rPr>
            </w:pPr>
            <w:r>
              <w:rPr>
                <w:sz w:val="20"/>
                <w:szCs w:val="20"/>
                <w:lang w:val="en-CA"/>
              </w:rPr>
              <w:t>UNEP</w:t>
            </w:r>
          </w:p>
        </w:tc>
      </w:tr>
    </w:tbl>
    <w:p w14:paraId="58E439B5" w14:textId="2FB9E9AE" w:rsidR="00D54581" w:rsidRDefault="00D54581" w:rsidP="007C4CB3">
      <w:pPr>
        <w:keepNext/>
        <w:keepLines/>
        <w:rPr>
          <w:lang w:val="en-CA"/>
        </w:rPr>
      </w:pPr>
    </w:p>
    <w:p w14:paraId="0A4692BA" w14:textId="77777777" w:rsidR="00867E17" w:rsidRPr="00FE3307" w:rsidRDefault="00867E17" w:rsidP="00F04DC2">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D54581" w:rsidRPr="00FE3307" w14:paraId="3C628368" w14:textId="77777777" w:rsidTr="00F04DC2">
        <w:tc>
          <w:tcPr>
            <w:tcW w:w="1871" w:type="dxa"/>
          </w:tcPr>
          <w:p w14:paraId="4686AD3F" w14:textId="77777777" w:rsidR="00D54581" w:rsidRPr="00FE3307" w:rsidRDefault="00D54581" w:rsidP="00F04DC2">
            <w:pPr>
              <w:rPr>
                <w:lang w:val="en-CA"/>
              </w:rPr>
            </w:pPr>
          </w:p>
        </w:tc>
        <w:tc>
          <w:tcPr>
            <w:tcW w:w="1872" w:type="dxa"/>
          </w:tcPr>
          <w:p w14:paraId="37B11138" w14:textId="77777777" w:rsidR="00D54581" w:rsidRPr="00FE3307" w:rsidRDefault="00D54581" w:rsidP="00F04DC2">
            <w:pPr>
              <w:rPr>
                <w:lang w:val="en-CA"/>
              </w:rPr>
            </w:pPr>
          </w:p>
        </w:tc>
        <w:tc>
          <w:tcPr>
            <w:tcW w:w="1872" w:type="dxa"/>
            <w:tcBorders>
              <w:bottom w:val="single" w:sz="4" w:space="0" w:color="auto"/>
            </w:tcBorders>
          </w:tcPr>
          <w:p w14:paraId="1EEE6830" w14:textId="77777777" w:rsidR="00D54581" w:rsidRPr="00FE3307" w:rsidRDefault="00D54581" w:rsidP="00F04DC2">
            <w:pPr>
              <w:rPr>
                <w:lang w:val="en-CA"/>
              </w:rPr>
            </w:pPr>
          </w:p>
        </w:tc>
        <w:tc>
          <w:tcPr>
            <w:tcW w:w="1872" w:type="dxa"/>
          </w:tcPr>
          <w:p w14:paraId="3B1FC0EB" w14:textId="77777777" w:rsidR="00D54581" w:rsidRPr="00FE3307" w:rsidRDefault="00D54581" w:rsidP="00F04DC2">
            <w:pPr>
              <w:rPr>
                <w:lang w:val="en-CA"/>
              </w:rPr>
            </w:pPr>
          </w:p>
        </w:tc>
        <w:tc>
          <w:tcPr>
            <w:tcW w:w="1873" w:type="dxa"/>
          </w:tcPr>
          <w:p w14:paraId="4C38DC26" w14:textId="77777777" w:rsidR="00D54581" w:rsidRPr="00FE3307" w:rsidRDefault="00D54581" w:rsidP="00F04DC2">
            <w:pPr>
              <w:rPr>
                <w:lang w:val="en-CA"/>
              </w:rPr>
            </w:pPr>
          </w:p>
        </w:tc>
      </w:tr>
    </w:tbl>
    <w:p w14:paraId="5A9F7456" w14:textId="77777777" w:rsidR="00D54581" w:rsidRDefault="00D54581" w:rsidP="00F04DC2">
      <w:pPr>
        <w:tabs>
          <w:tab w:val="left" w:pos="8280"/>
        </w:tabs>
      </w:pPr>
    </w:p>
    <w:sectPr w:rsidR="00D54581" w:rsidSect="00F04DC2">
      <w:headerReference w:type="even" r:id="rId12"/>
      <w:headerReference w:type="default" r:id="rId13"/>
      <w:footerReference w:type="even" r:id="rId14"/>
      <w:footerReference w:type="default" r:id="rId15"/>
      <w:footerReference w:type="first" r:id="rId16"/>
      <w:pgSz w:w="12240" w:h="15840" w:code="1"/>
      <w:pgMar w:top="600" w:right="1440" w:bottom="600" w:left="1440" w:header="720" w:footer="475"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9CE2CF" w16cid:durableId="222EC9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333A2" w14:textId="77777777" w:rsidR="00D27F9D" w:rsidRDefault="00D27F9D" w:rsidP="004A504B">
      <w:r>
        <w:separator/>
      </w:r>
    </w:p>
  </w:endnote>
  <w:endnote w:type="continuationSeparator" w:id="0">
    <w:p w14:paraId="561A55DA" w14:textId="77777777" w:rsidR="00D27F9D" w:rsidRDefault="00D27F9D"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E818A" w14:textId="3DB2C818" w:rsidR="00D27F9D" w:rsidRPr="0033525D" w:rsidRDefault="00D27F9D">
    <w:pPr>
      <w:jc w:val="center"/>
    </w:pPr>
    <w:r>
      <w:fldChar w:fldCharType="begin"/>
    </w:r>
    <w:r>
      <w:instrText xml:space="preserve"> PAGE </w:instrText>
    </w:r>
    <w:r>
      <w:fldChar w:fldCharType="separate"/>
    </w:r>
    <w:r w:rsidR="00F05104">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ACB66" w14:textId="5309F2D6" w:rsidR="00D27F9D" w:rsidRPr="0033525D" w:rsidRDefault="00D27F9D">
    <w:pPr>
      <w:jc w:val="center"/>
    </w:pPr>
    <w:r>
      <w:fldChar w:fldCharType="begin"/>
    </w:r>
    <w:r>
      <w:instrText xml:space="preserve"> PAGE </w:instrText>
    </w:r>
    <w:r>
      <w:fldChar w:fldCharType="separate"/>
    </w:r>
    <w:r w:rsidR="00F05104">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EF5A5" w14:textId="77777777" w:rsidR="00D27F9D" w:rsidRDefault="00D27F9D"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44F2A809" w14:textId="77777777" w:rsidR="00D27F9D" w:rsidRDefault="00D27F9D"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CB308" w14:textId="77777777" w:rsidR="00D27F9D" w:rsidRDefault="00D27F9D" w:rsidP="004A504B">
      <w:r>
        <w:separator/>
      </w:r>
    </w:p>
  </w:footnote>
  <w:footnote w:type="continuationSeparator" w:id="0">
    <w:p w14:paraId="652BA2D9" w14:textId="77777777" w:rsidR="00D27F9D" w:rsidRDefault="00D27F9D" w:rsidP="004A504B">
      <w:r>
        <w:continuationSeparator/>
      </w:r>
    </w:p>
  </w:footnote>
  <w:footnote w:id="1">
    <w:p w14:paraId="039AE79F" w14:textId="1D21FA0C" w:rsidR="00D27F9D" w:rsidRPr="00FE3307" w:rsidRDefault="00D27F9D" w:rsidP="00F04DC2">
      <w:pPr>
        <w:pStyle w:val="FootnoteText"/>
        <w:rPr>
          <w:lang w:val="en-CA"/>
        </w:rPr>
      </w:pPr>
      <w:r w:rsidRPr="00FE3307">
        <w:rPr>
          <w:rStyle w:val="FootnoteReference"/>
        </w:rPr>
        <w:footnoteRef/>
      </w:r>
      <w:r w:rsidRPr="00FE3307">
        <w:t xml:space="preserve"> </w:t>
      </w:r>
      <w:r>
        <w:rPr>
          <w:lang w:val="en-CA"/>
        </w:rPr>
        <w:t xml:space="preserve">As per the letter of </w:t>
      </w:r>
      <w:r w:rsidRPr="00EA0EC0">
        <w:rPr>
          <w:lang w:val="en-CA"/>
        </w:rPr>
        <w:t>13 March</w:t>
      </w:r>
      <w:r>
        <w:rPr>
          <w:lang w:val="en-CA"/>
        </w:rPr>
        <w:t xml:space="preserve"> 2020</w:t>
      </w:r>
      <w:r w:rsidRPr="00FE3307">
        <w:rPr>
          <w:lang w:val="en-CA"/>
        </w:rPr>
        <w:t xml:space="preserve"> from the </w:t>
      </w:r>
      <w:r w:rsidRPr="00227C23">
        <w:rPr>
          <w:lang w:val="en-CA"/>
        </w:rPr>
        <w:t>Ministry of Production, Foreign Trade, Investment, and Fisheries</w:t>
      </w:r>
      <w:r w:rsidRPr="00FE3307">
        <w:rPr>
          <w:lang w:val="en-CA"/>
        </w:rPr>
        <w:t xml:space="preserve"> of </w:t>
      </w:r>
      <w:r w:rsidRPr="009A7763">
        <w:rPr>
          <w:lang w:val="en-CA"/>
        </w:rPr>
        <w:t>Ecuador</w:t>
      </w:r>
      <w:r w:rsidRPr="00FE3307">
        <w:rPr>
          <w:lang w:val="en-CA"/>
        </w:rPr>
        <w:t xml:space="preserve"> to </w:t>
      </w:r>
      <w:r>
        <w:rPr>
          <w:lang w:val="en-CA"/>
        </w:rPr>
        <w:t>UNIDO</w:t>
      </w:r>
      <w:r w:rsidRPr="00FE3307">
        <w:rPr>
          <w:lang w:val="en-CA"/>
        </w:rPr>
        <w:t>.</w:t>
      </w:r>
    </w:p>
  </w:footnote>
  <w:footnote w:id="2">
    <w:p w14:paraId="6CD9C1DD" w14:textId="77777777" w:rsidR="00D27F9D" w:rsidRPr="00C82FBE" w:rsidRDefault="00D27F9D" w:rsidP="00605B4F">
      <w:pPr>
        <w:pStyle w:val="FootnoteText"/>
        <w:rPr>
          <w:lang w:val="en-CA"/>
        </w:rPr>
      </w:pPr>
      <w:r>
        <w:rPr>
          <w:rStyle w:val="FootnoteReference"/>
        </w:rPr>
        <w:footnoteRef/>
      </w:r>
      <w:r>
        <w:t xml:space="preserve"> </w:t>
      </w:r>
      <w:r>
        <w:rPr>
          <w:lang w:val="en-CA"/>
        </w:rPr>
        <w:t>D</w:t>
      </w:r>
      <w:r w:rsidRPr="00AB5129">
        <w:rPr>
          <w:lang w:val="en-CA"/>
        </w:rPr>
        <w:t>ecision 84/92(d) requested bilateral and implementing agencies to apply the operational policy on gender mainstreaming throughout the project cycle</w:t>
      </w:r>
      <w:r>
        <w:rPr>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39F4C" w14:textId="3271E7E9" w:rsidR="00D27F9D" w:rsidRPr="0033525D" w:rsidRDefault="00D27F9D">
    <w:fldSimple w:instr=" DOCPROPERTY &quot;Document number&quot;  \* MERGEFORMAT ">
      <w:r>
        <w:t>UNEP/OzL.Pro/ExCom/85/24</w:t>
      </w:r>
    </w:fldSimple>
  </w:p>
  <w:p w14:paraId="58732011" w14:textId="77777777" w:rsidR="00D27F9D" w:rsidRPr="0033525D" w:rsidRDefault="00D27F9D"/>
  <w:p w14:paraId="53A216F3" w14:textId="77777777" w:rsidR="00D27F9D" w:rsidRPr="0033525D" w:rsidRDefault="00D27F9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1B54F" w14:textId="4309C9AC" w:rsidR="00D27F9D" w:rsidRPr="0033525D" w:rsidRDefault="00D27F9D">
    <w:pPr>
      <w:jc w:val="right"/>
    </w:pPr>
    <w:fldSimple w:instr=" DOCPROPERTY &quot;Document number&quot;  \* MERGEFORMAT ">
      <w:r>
        <w:t>UNEP/OzL.Pro/ExCom/85/24</w:t>
      </w:r>
    </w:fldSimple>
  </w:p>
  <w:p w14:paraId="1BB54782" w14:textId="77777777" w:rsidR="00D27F9D" w:rsidRPr="0033525D" w:rsidRDefault="00D27F9D"/>
  <w:p w14:paraId="1484F55C" w14:textId="77777777" w:rsidR="00D27F9D" w:rsidRPr="0033525D" w:rsidRDefault="00D27F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53EB05E"/>
    <w:lvl w:ilvl="0">
      <w:start w:val="1"/>
      <w:numFmt w:val="decimal"/>
      <w:pStyle w:val="Heading1"/>
      <w:lvlText w:val="%1."/>
      <w:lvlJc w:val="left"/>
      <w:pPr>
        <w:tabs>
          <w:tab w:val="num" w:pos="0"/>
        </w:tabs>
        <w:ind w:left="0" w:firstLine="0"/>
      </w:pPr>
      <w:rPr>
        <w:i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199223B9"/>
    <w:multiLevelType w:val="multilevel"/>
    <w:tmpl w:val="2D64DFDA"/>
    <w:lvl w:ilvl="0">
      <w:start w:val="1"/>
      <w:numFmt w:val="decimal"/>
      <w:lvlText w:val="%1."/>
      <w:lvlJc w:val="left"/>
      <w:pPr>
        <w:tabs>
          <w:tab w:val="num" w:pos="0"/>
        </w:tabs>
        <w:ind w:left="0" w:firstLine="0"/>
      </w:pPr>
      <w:rPr>
        <w:i w:val="0"/>
      </w:rPr>
    </w:lvl>
    <w:lvl w:ilvl="1">
      <w:start w:val="1"/>
      <w:numFmt w:val="bullet"/>
      <w:lvlText w:val=""/>
      <w:lvlJc w:val="left"/>
      <w:pPr>
        <w:tabs>
          <w:tab w:val="num" w:pos="0"/>
        </w:tabs>
        <w:ind w:left="1440" w:hanging="720"/>
      </w:pPr>
      <w:rPr>
        <w:rFonts w:ascii="Symbol" w:hAnsi="Symbol" w:hint="default"/>
      </w:r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3D286A52"/>
    <w:multiLevelType w:val="hybridMultilevel"/>
    <w:tmpl w:val="3DBCDE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5"/>
  </w:num>
  <w:num w:numId="18">
    <w:abstractNumId w:val="16"/>
  </w:num>
  <w:num w:numId="19">
    <w:abstractNumId w:val="18"/>
  </w:num>
  <w:num w:numId="20">
    <w:abstractNumId w:val="13"/>
  </w:num>
  <w:num w:numId="21">
    <w:abstractNumId w:val="17"/>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0"/>
  </w:num>
  <w:num w:numId="26">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D54581"/>
    <w:rsid w:val="00000FED"/>
    <w:rsid w:val="00001E7B"/>
    <w:rsid w:val="0000434E"/>
    <w:rsid w:val="00004831"/>
    <w:rsid w:val="0001128F"/>
    <w:rsid w:val="000211A9"/>
    <w:rsid w:val="00023939"/>
    <w:rsid w:val="00031260"/>
    <w:rsid w:val="00035C43"/>
    <w:rsid w:val="0003681A"/>
    <w:rsid w:val="000372B7"/>
    <w:rsid w:val="00037C36"/>
    <w:rsid w:val="00052A05"/>
    <w:rsid w:val="00052F80"/>
    <w:rsid w:val="00061EC2"/>
    <w:rsid w:val="0006593C"/>
    <w:rsid w:val="00074107"/>
    <w:rsid w:val="00075BB1"/>
    <w:rsid w:val="00080ED0"/>
    <w:rsid w:val="000835FF"/>
    <w:rsid w:val="00085B8F"/>
    <w:rsid w:val="00087561"/>
    <w:rsid w:val="00090481"/>
    <w:rsid w:val="000908AB"/>
    <w:rsid w:val="0009148B"/>
    <w:rsid w:val="00092FCD"/>
    <w:rsid w:val="0009441A"/>
    <w:rsid w:val="0009570C"/>
    <w:rsid w:val="000A2807"/>
    <w:rsid w:val="000A6C26"/>
    <w:rsid w:val="000B5647"/>
    <w:rsid w:val="000C5D9D"/>
    <w:rsid w:val="000D52A4"/>
    <w:rsid w:val="000E07BC"/>
    <w:rsid w:val="000E31CD"/>
    <w:rsid w:val="000F1CD4"/>
    <w:rsid w:val="000F4103"/>
    <w:rsid w:val="000F6001"/>
    <w:rsid w:val="000F70A7"/>
    <w:rsid w:val="00105335"/>
    <w:rsid w:val="001067A0"/>
    <w:rsid w:val="00106DF7"/>
    <w:rsid w:val="00113CCA"/>
    <w:rsid w:val="00122F25"/>
    <w:rsid w:val="00123F09"/>
    <w:rsid w:val="0012797C"/>
    <w:rsid w:val="001335AE"/>
    <w:rsid w:val="00134D48"/>
    <w:rsid w:val="00135980"/>
    <w:rsid w:val="001379B6"/>
    <w:rsid w:val="00154234"/>
    <w:rsid w:val="00155067"/>
    <w:rsid w:val="00164719"/>
    <w:rsid w:val="00166FC4"/>
    <w:rsid w:val="001677AC"/>
    <w:rsid w:val="00175F59"/>
    <w:rsid w:val="001804EA"/>
    <w:rsid w:val="0018133D"/>
    <w:rsid w:val="00190A61"/>
    <w:rsid w:val="00193D81"/>
    <w:rsid w:val="00194524"/>
    <w:rsid w:val="001A3342"/>
    <w:rsid w:val="001A3E3D"/>
    <w:rsid w:val="001A7049"/>
    <w:rsid w:val="001B1E40"/>
    <w:rsid w:val="001C764E"/>
    <w:rsid w:val="001D2520"/>
    <w:rsid w:val="001D7BDC"/>
    <w:rsid w:val="001E1052"/>
    <w:rsid w:val="001E21B1"/>
    <w:rsid w:val="001E2F93"/>
    <w:rsid w:val="001E61E5"/>
    <w:rsid w:val="001F104E"/>
    <w:rsid w:val="001F2159"/>
    <w:rsid w:val="00210497"/>
    <w:rsid w:val="00210BCD"/>
    <w:rsid w:val="0021474E"/>
    <w:rsid w:val="00214863"/>
    <w:rsid w:val="002156B4"/>
    <w:rsid w:val="00226E3D"/>
    <w:rsid w:val="00227C23"/>
    <w:rsid w:val="00230BE6"/>
    <w:rsid w:val="00235026"/>
    <w:rsid w:val="0024777E"/>
    <w:rsid w:val="00253222"/>
    <w:rsid w:val="00260FBC"/>
    <w:rsid w:val="00262847"/>
    <w:rsid w:val="00281BB2"/>
    <w:rsid w:val="0028464A"/>
    <w:rsid w:val="00290500"/>
    <w:rsid w:val="00295BC3"/>
    <w:rsid w:val="00295BC4"/>
    <w:rsid w:val="002A1832"/>
    <w:rsid w:val="002B35AE"/>
    <w:rsid w:val="002B72E9"/>
    <w:rsid w:val="002C6903"/>
    <w:rsid w:val="002C7998"/>
    <w:rsid w:val="002D3F9B"/>
    <w:rsid w:val="002D652C"/>
    <w:rsid w:val="002D6B25"/>
    <w:rsid w:val="002E035F"/>
    <w:rsid w:val="002E2328"/>
    <w:rsid w:val="002F1E53"/>
    <w:rsid w:val="002F2CAA"/>
    <w:rsid w:val="0030052C"/>
    <w:rsid w:val="00316A27"/>
    <w:rsid w:val="00321ECC"/>
    <w:rsid w:val="003306E1"/>
    <w:rsid w:val="003320E4"/>
    <w:rsid w:val="00332EAC"/>
    <w:rsid w:val="00334AAC"/>
    <w:rsid w:val="0033525D"/>
    <w:rsid w:val="00335A75"/>
    <w:rsid w:val="0033689C"/>
    <w:rsid w:val="00337E87"/>
    <w:rsid w:val="00340D36"/>
    <w:rsid w:val="003414F3"/>
    <w:rsid w:val="003448AC"/>
    <w:rsid w:val="00344CEE"/>
    <w:rsid w:val="00347D3B"/>
    <w:rsid w:val="003503E9"/>
    <w:rsid w:val="0035613E"/>
    <w:rsid w:val="00363EE9"/>
    <w:rsid w:val="003641FD"/>
    <w:rsid w:val="00365A68"/>
    <w:rsid w:val="0036733D"/>
    <w:rsid w:val="003736E8"/>
    <w:rsid w:val="00376128"/>
    <w:rsid w:val="0037742E"/>
    <w:rsid w:val="00377D56"/>
    <w:rsid w:val="0038245A"/>
    <w:rsid w:val="003840E6"/>
    <w:rsid w:val="00385CFC"/>
    <w:rsid w:val="003910D0"/>
    <w:rsid w:val="0039337A"/>
    <w:rsid w:val="003950CC"/>
    <w:rsid w:val="00395791"/>
    <w:rsid w:val="003A3189"/>
    <w:rsid w:val="003A3CA7"/>
    <w:rsid w:val="003A41C8"/>
    <w:rsid w:val="003A4501"/>
    <w:rsid w:val="003A580C"/>
    <w:rsid w:val="003B33BD"/>
    <w:rsid w:val="003B4DC6"/>
    <w:rsid w:val="003B569D"/>
    <w:rsid w:val="003B70BF"/>
    <w:rsid w:val="003C3C0E"/>
    <w:rsid w:val="003D42A6"/>
    <w:rsid w:val="003D4FAC"/>
    <w:rsid w:val="003E7906"/>
    <w:rsid w:val="003F03B8"/>
    <w:rsid w:val="003F271E"/>
    <w:rsid w:val="003F3C50"/>
    <w:rsid w:val="003F5FFC"/>
    <w:rsid w:val="00406A6A"/>
    <w:rsid w:val="00406B22"/>
    <w:rsid w:val="00425D6F"/>
    <w:rsid w:val="004328A7"/>
    <w:rsid w:val="00434C74"/>
    <w:rsid w:val="00437A5C"/>
    <w:rsid w:val="00441D7E"/>
    <w:rsid w:val="00442D2F"/>
    <w:rsid w:val="00450396"/>
    <w:rsid w:val="00456EB4"/>
    <w:rsid w:val="00457FA8"/>
    <w:rsid w:val="00463339"/>
    <w:rsid w:val="00463385"/>
    <w:rsid w:val="004671F1"/>
    <w:rsid w:val="00470221"/>
    <w:rsid w:val="004718F3"/>
    <w:rsid w:val="00475040"/>
    <w:rsid w:val="00477217"/>
    <w:rsid w:val="00477C22"/>
    <w:rsid w:val="00484BAA"/>
    <w:rsid w:val="00493D40"/>
    <w:rsid w:val="004967B6"/>
    <w:rsid w:val="00497202"/>
    <w:rsid w:val="004A504B"/>
    <w:rsid w:val="004A6911"/>
    <w:rsid w:val="004B54E0"/>
    <w:rsid w:val="004B7384"/>
    <w:rsid w:val="004C2B64"/>
    <w:rsid w:val="004C4269"/>
    <w:rsid w:val="004C653F"/>
    <w:rsid w:val="004C6A96"/>
    <w:rsid w:val="004D6236"/>
    <w:rsid w:val="004D6326"/>
    <w:rsid w:val="004D7F90"/>
    <w:rsid w:val="004E4DBB"/>
    <w:rsid w:val="004E4E41"/>
    <w:rsid w:val="004E7F9C"/>
    <w:rsid w:val="004F3493"/>
    <w:rsid w:val="004F5143"/>
    <w:rsid w:val="00504594"/>
    <w:rsid w:val="005074BD"/>
    <w:rsid w:val="005104A8"/>
    <w:rsid w:val="00512B09"/>
    <w:rsid w:val="00514648"/>
    <w:rsid w:val="00521833"/>
    <w:rsid w:val="00522476"/>
    <w:rsid w:val="00527AF2"/>
    <w:rsid w:val="00531B65"/>
    <w:rsid w:val="00533796"/>
    <w:rsid w:val="00537343"/>
    <w:rsid w:val="00555D75"/>
    <w:rsid w:val="00560DF0"/>
    <w:rsid w:val="0056759C"/>
    <w:rsid w:val="005700BF"/>
    <w:rsid w:val="00570E43"/>
    <w:rsid w:val="00581DBB"/>
    <w:rsid w:val="005872D9"/>
    <w:rsid w:val="00587D15"/>
    <w:rsid w:val="0059513E"/>
    <w:rsid w:val="005B48FF"/>
    <w:rsid w:val="005C0A6A"/>
    <w:rsid w:val="005C2FD8"/>
    <w:rsid w:val="005C73EE"/>
    <w:rsid w:val="005E257A"/>
    <w:rsid w:val="005E4BA6"/>
    <w:rsid w:val="005E5381"/>
    <w:rsid w:val="005E538E"/>
    <w:rsid w:val="005F371A"/>
    <w:rsid w:val="00604C15"/>
    <w:rsid w:val="00605B4F"/>
    <w:rsid w:val="00613495"/>
    <w:rsid w:val="006158D5"/>
    <w:rsid w:val="00625D83"/>
    <w:rsid w:val="00626E47"/>
    <w:rsid w:val="006311B3"/>
    <w:rsid w:val="00631F76"/>
    <w:rsid w:val="00633618"/>
    <w:rsid w:val="00642836"/>
    <w:rsid w:val="00645FB9"/>
    <w:rsid w:val="00651AEF"/>
    <w:rsid w:val="00653E16"/>
    <w:rsid w:val="006623E7"/>
    <w:rsid w:val="00662B80"/>
    <w:rsid w:val="00667B05"/>
    <w:rsid w:val="00670F6C"/>
    <w:rsid w:val="006852C7"/>
    <w:rsid w:val="006852CE"/>
    <w:rsid w:val="00685599"/>
    <w:rsid w:val="006A46DF"/>
    <w:rsid w:val="006A7682"/>
    <w:rsid w:val="006C1727"/>
    <w:rsid w:val="006C1A37"/>
    <w:rsid w:val="006C32FD"/>
    <w:rsid w:val="006C39CE"/>
    <w:rsid w:val="006C4065"/>
    <w:rsid w:val="006C557E"/>
    <w:rsid w:val="006D0DB4"/>
    <w:rsid w:val="006D0FCC"/>
    <w:rsid w:val="006D220B"/>
    <w:rsid w:val="006D2A6A"/>
    <w:rsid w:val="006D390F"/>
    <w:rsid w:val="006D4565"/>
    <w:rsid w:val="006E1FC3"/>
    <w:rsid w:val="006E20D0"/>
    <w:rsid w:val="006E598B"/>
    <w:rsid w:val="006F0F5D"/>
    <w:rsid w:val="006F3B3E"/>
    <w:rsid w:val="006F4327"/>
    <w:rsid w:val="006F65D9"/>
    <w:rsid w:val="00700348"/>
    <w:rsid w:val="00700589"/>
    <w:rsid w:val="0070616B"/>
    <w:rsid w:val="00706FDA"/>
    <w:rsid w:val="00711F9A"/>
    <w:rsid w:val="007123F3"/>
    <w:rsid w:val="00713810"/>
    <w:rsid w:val="00721363"/>
    <w:rsid w:val="00724391"/>
    <w:rsid w:val="007251BB"/>
    <w:rsid w:val="007303A5"/>
    <w:rsid w:val="00730B3E"/>
    <w:rsid w:val="0073420B"/>
    <w:rsid w:val="0074224E"/>
    <w:rsid w:val="0074760E"/>
    <w:rsid w:val="00754ABA"/>
    <w:rsid w:val="0076199A"/>
    <w:rsid w:val="00771774"/>
    <w:rsid w:val="0078621D"/>
    <w:rsid w:val="00787222"/>
    <w:rsid w:val="0079296A"/>
    <w:rsid w:val="00793E2C"/>
    <w:rsid w:val="007A1546"/>
    <w:rsid w:val="007A228C"/>
    <w:rsid w:val="007A368E"/>
    <w:rsid w:val="007A5868"/>
    <w:rsid w:val="007B04CE"/>
    <w:rsid w:val="007B2105"/>
    <w:rsid w:val="007B6871"/>
    <w:rsid w:val="007B7A2F"/>
    <w:rsid w:val="007C3D33"/>
    <w:rsid w:val="007C4CB3"/>
    <w:rsid w:val="007C724E"/>
    <w:rsid w:val="007D199A"/>
    <w:rsid w:val="007D294A"/>
    <w:rsid w:val="007D47D2"/>
    <w:rsid w:val="007D6EC0"/>
    <w:rsid w:val="007D7E1D"/>
    <w:rsid w:val="007D7FE3"/>
    <w:rsid w:val="007E7825"/>
    <w:rsid w:val="007F1E59"/>
    <w:rsid w:val="007F4A86"/>
    <w:rsid w:val="0080166F"/>
    <w:rsid w:val="00807625"/>
    <w:rsid w:val="00810F19"/>
    <w:rsid w:val="008166B1"/>
    <w:rsid w:val="00816D76"/>
    <w:rsid w:val="00817E9E"/>
    <w:rsid w:val="00820103"/>
    <w:rsid w:val="00820BED"/>
    <w:rsid w:val="00831979"/>
    <w:rsid w:val="00833791"/>
    <w:rsid w:val="00833EC1"/>
    <w:rsid w:val="00851352"/>
    <w:rsid w:val="00851FAE"/>
    <w:rsid w:val="008569E8"/>
    <w:rsid w:val="00857077"/>
    <w:rsid w:val="00863230"/>
    <w:rsid w:val="0086389F"/>
    <w:rsid w:val="00867E17"/>
    <w:rsid w:val="008711DE"/>
    <w:rsid w:val="008717D8"/>
    <w:rsid w:val="0087215C"/>
    <w:rsid w:val="00876A16"/>
    <w:rsid w:val="00880E35"/>
    <w:rsid w:val="008875FE"/>
    <w:rsid w:val="00887F8E"/>
    <w:rsid w:val="00890D49"/>
    <w:rsid w:val="00896234"/>
    <w:rsid w:val="00897A78"/>
    <w:rsid w:val="00897E43"/>
    <w:rsid w:val="008B0825"/>
    <w:rsid w:val="008B29C7"/>
    <w:rsid w:val="008C1A28"/>
    <w:rsid w:val="008C5738"/>
    <w:rsid w:val="008C7EAD"/>
    <w:rsid w:val="008D0CFE"/>
    <w:rsid w:val="008D2C2B"/>
    <w:rsid w:val="008D6152"/>
    <w:rsid w:val="008E2893"/>
    <w:rsid w:val="008E6C53"/>
    <w:rsid w:val="008F0F81"/>
    <w:rsid w:val="008F27BF"/>
    <w:rsid w:val="00900D10"/>
    <w:rsid w:val="009037BD"/>
    <w:rsid w:val="009037D6"/>
    <w:rsid w:val="009039B1"/>
    <w:rsid w:val="00904367"/>
    <w:rsid w:val="009142EC"/>
    <w:rsid w:val="009154C3"/>
    <w:rsid w:val="00923540"/>
    <w:rsid w:val="00925AD4"/>
    <w:rsid w:val="00926767"/>
    <w:rsid w:val="009307CC"/>
    <w:rsid w:val="009361D5"/>
    <w:rsid w:val="00937000"/>
    <w:rsid w:val="009428A4"/>
    <w:rsid w:val="00944E56"/>
    <w:rsid w:val="00945285"/>
    <w:rsid w:val="00955E05"/>
    <w:rsid w:val="009575E7"/>
    <w:rsid w:val="009579BE"/>
    <w:rsid w:val="009659F4"/>
    <w:rsid w:val="00970D60"/>
    <w:rsid w:val="009771CF"/>
    <w:rsid w:val="00987DF4"/>
    <w:rsid w:val="00990312"/>
    <w:rsid w:val="009960E5"/>
    <w:rsid w:val="009A7763"/>
    <w:rsid w:val="009A7ADC"/>
    <w:rsid w:val="009B4E82"/>
    <w:rsid w:val="009C19B7"/>
    <w:rsid w:val="009C5ABB"/>
    <w:rsid w:val="009D17B0"/>
    <w:rsid w:val="009D7C51"/>
    <w:rsid w:val="009E196C"/>
    <w:rsid w:val="009E1D5E"/>
    <w:rsid w:val="009F36BF"/>
    <w:rsid w:val="009F57EC"/>
    <w:rsid w:val="009F61A7"/>
    <w:rsid w:val="00A051C0"/>
    <w:rsid w:val="00A071C7"/>
    <w:rsid w:val="00A10685"/>
    <w:rsid w:val="00A111B6"/>
    <w:rsid w:val="00A1197C"/>
    <w:rsid w:val="00A14551"/>
    <w:rsid w:val="00A1590D"/>
    <w:rsid w:val="00A1669E"/>
    <w:rsid w:val="00A26D27"/>
    <w:rsid w:val="00A3159A"/>
    <w:rsid w:val="00A32180"/>
    <w:rsid w:val="00A374DC"/>
    <w:rsid w:val="00A376EE"/>
    <w:rsid w:val="00A42A99"/>
    <w:rsid w:val="00A43FA5"/>
    <w:rsid w:val="00A5151A"/>
    <w:rsid w:val="00A542F3"/>
    <w:rsid w:val="00A57E0A"/>
    <w:rsid w:val="00A6083D"/>
    <w:rsid w:val="00A60BF6"/>
    <w:rsid w:val="00A628AC"/>
    <w:rsid w:val="00A6689D"/>
    <w:rsid w:val="00A7497E"/>
    <w:rsid w:val="00A823F6"/>
    <w:rsid w:val="00A83AEA"/>
    <w:rsid w:val="00A8719E"/>
    <w:rsid w:val="00A9586C"/>
    <w:rsid w:val="00AA0A89"/>
    <w:rsid w:val="00AA45B8"/>
    <w:rsid w:val="00AA5AB9"/>
    <w:rsid w:val="00AA6429"/>
    <w:rsid w:val="00AC01AA"/>
    <w:rsid w:val="00AC1E02"/>
    <w:rsid w:val="00AC4F72"/>
    <w:rsid w:val="00AC770B"/>
    <w:rsid w:val="00AC7ADF"/>
    <w:rsid w:val="00AD21F1"/>
    <w:rsid w:val="00AD2682"/>
    <w:rsid w:val="00AE4C95"/>
    <w:rsid w:val="00AF17EE"/>
    <w:rsid w:val="00AF741A"/>
    <w:rsid w:val="00B01ADB"/>
    <w:rsid w:val="00B04161"/>
    <w:rsid w:val="00B056F9"/>
    <w:rsid w:val="00B11E3D"/>
    <w:rsid w:val="00B17E82"/>
    <w:rsid w:val="00B221BB"/>
    <w:rsid w:val="00B31402"/>
    <w:rsid w:val="00B41740"/>
    <w:rsid w:val="00B42AA5"/>
    <w:rsid w:val="00B42B8E"/>
    <w:rsid w:val="00B42D47"/>
    <w:rsid w:val="00B4575A"/>
    <w:rsid w:val="00B45CAD"/>
    <w:rsid w:val="00B54A92"/>
    <w:rsid w:val="00B574F6"/>
    <w:rsid w:val="00B575BA"/>
    <w:rsid w:val="00B62034"/>
    <w:rsid w:val="00B66B6A"/>
    <w:rsid w:val="00B70B67"/>
    <w:rsid w:val="00B756CC"/>
    <w:rsid w:val="00B76429"/>
    <w:rsid w:val="00B800E0"/>
    <w:rsid w:val="00B83B78"/>
    <w:rsid w:val="00B83BB4"/>
    <w:rsid w:val="00B94B8F"/>
    <w:rsid w:val="00B956D4"/>
    <w:rsid w:val="00B964F2"/>
    <w:rsid w:val="00B97446"/>
    <w:rsid w:val="00BA1879"/>
    <w:rsid w:val="00BA7432"/>
    <w:rsid w:val="00BA7EA0"/>
    <w:rsid w:val="00BB3C7A"/>
    <w:rsid w:val="00BB3D22"/>
    <w:rsid w:val="00BC1AA0"/>
    <w:rsid w:val="00BC2495"/>
    <w:rsid w:val="00BC24B4"/>
    <w:rsid w:val="00BC7EB9"/>
    <w:rsid w:val="00BD2643"/>
    <w:rsid w:val="00BD4B0F"/>
    <w:rsid w:val="00BD56B1"/>
    <w:rsid w:val="00BD6558"/>
    <w:rsid w:val="00BD7338"/>
    <w:rsid w:val="00BE3961"/>
    <w:rsid w:val="00BF037F"/>
    <w:rsid w:val="00BF11ED"/>
    <w:rsid w:val="00BF181C"/>
    <w:rsid w:val="00BF2F76"/>
    <w:rsid w:val="00BF3022"/>
    <w:rsid w:val="00BF3214"/>
    <w:rsid w:val="00BF5030"/>
    <w:rsid w:val="00BF5573"/>
    <w:rsid w:val="00BF612B"/>
    <w:rsid w:val="00BF7293"/>
    <w:rsid w:val="00BF79E8"/>
    <w:rsid w:val="00C04AB4"/>
    <w:rsid w:val="00C05FF7"/>
    <w:rsid w:val="00C07F01"/>
    <w:rsid w:val="00C12F8B"/>
    <w:rsid w:val="00C15867"/>
    <w:rsid w:val="00C21C3F"/>
    <w:rsid w:val="00C2296D"/>
    <w:rsid w:val="00C23155"/>
    <w:rsid w:val="00C34482"/>
    <w:rsid w:val="00C40C41"/>
    <w:rsid w:val="00C41669"/>
    <w:rsid w:val="00C45885"/>
    <w:rsid w:val="00C50DA1"/>
    <w:rsid w:val="00C50F22"/>
    <w:rsid w:val="00C54DB4"/>
    <w:rsid w:val="00C577E3"/>
    <w:rsid w:val="00C57971"/>
    <w:rsid w:val="00C61A2A"/>
    <w:rsid w:val="00C65BD7"/>
    <w:rsid w:val="00C7198B"/>
    <w:rsid w:val="00C76BA4"/>
    <w:rsid w:val="00C81ADA"/>
    <w:rsid w:val="00C83A48"/>
    <w:rsid w:val="00C85865"/>
    <w:rsid w:val="00C85E85"/>
    <w:rsid w:val="00CA2EAE"/>
    <w:rsid w:val="00CA320F"/>
    <w:rsid w:val="00CA4AC1"/>
    <w:rsid w:val="00CA5549"/>
    <w:rsid w:val="00CB0316"/>
    <w:rsid w:val="00CB0B11"/>
    <w:rsid w:val="00CB1475"/>
    <w:rsid w:val="00CB4B93"/>
    <w:rsid w:val="00CB5354"/>
    <w:rsid w:val="00CC3C9E"/>
    <w:rsid w:val="00CC3F0C"/>
    <w:rsid w:val="00CC48F7"/>
    <w:rsid w:val="00CC6A14"/>
    <w:rsid w:val="00CC70A3"/>
    <w:rsid w:val="00CC7992"/>
    <w:rsid w:val="00CD1A5F"/>
    <w:rsid w:val="00CD4442"/>
    <w:rsid w:val="00CD53C3"/>
    <w:rsid w:val="00CD574E"/>
    <w:rsid w:val="00CE471E"/>
    <w:rsid w:val="00CE4C22"/>
    <w:rsid w:val="00CE7CBB"/>
    <w:rsid w:val="00CF41EC"/>
    <w:rsid w:val="00CF5D04"/>
    <w:rsid w:val="00D04DE4"/>
    <w:rsid w:val="00D05D46"/>
    <w:rsid w:val="00D063F1"/>
    <w:rsid w:val="00D14F22"/>
    <w:rsid w:val="00D27F9D"/>
    <w:rsid w:val="00D31987"/>
    <w:rsid w:val="00D32989"/>
    <w:rsid w:val="00D4741C"/>
    <w:rsid w:val="00D54581"/>
    <w:rsid w:val="00D57110"/>
    <w:rsid w:val="00D576DB"/>
    <w:rsid w:val="00D57918"/>
    <w:rsid w:val="00D6084B"/>
    <w:rsid w:val="00D64ADE"/>
    <w:rsid w:val="00D73DC6"/>
    <w:rsid w:val="00D74C1A"/>
    <w:rsid w:val="00D754C1"/>
    <w:rsid w:val="00D77393"/>
    <w:rsid w:val="00D77A35"/>
    <w:rsid w:val="00D81B3E"/>
    <w:rsid w:val="00D83B1A"/>
    <w:rsid w:val="00D8509C"/>
    <w:rsid w:val="00D90C70"/>
    <w:rsid w:val="00D90E49"/>
    <w:rsid w:val="00D91FC8"/>
    <w:rsid w:val="00D96ADE"/>
    <w:rsid w:val="00D96D5B"/>
    <w:rsid w:val="00DA0CE2"/>
    <w:rsid w:val="00DA47E7"/>
    <w:rsid w:val="00DA6AD9"/>
    <w:rsid w:val="00DA6EAA"/>
    <w:rsid w:val="00DB0EE4"/>
    <w:rsid w:val="00DB606B"/>
    <w:rsid w:val="00DC0732"/>
    <w:rsid w:val="00DC2821"/>
    <w:rsid w:val="00DC2ED8"/>
    <w:rsid w:val="00DC6A10"/>
    <w:rsid w:val="00DC754C"/>
    <w:rsid w:val="00DD2A9F"/>
    <w:rsid w:val="00DD5DCB"/>
    <w:rsid w:val="00DE03A1"/>
    <w:rsid w:val="00DE657E"/>
    <w:rsid w:val="00DE6A25"/>
    <w:rsid w:val="00DE7A74"/>
    <w:rsid w:val="00DF26E3"/>
    <w:rsid w:val="00DF4704"/>
    <w:rsid w:val="00E024AA"/>
    <w:rsid w:val="00E250F1"/>
    <w:rsid w:val="00E31D0E"/>
    <w:rsid w:val="00E33BD8"/>
    <w:rsid w:val="00E3550D"/>
    <w:rsid w:val="00E57EDC"/>
    <w:rsid w:val="00E60441"/>
    <w:rsid w:val="00E614E0"/>
    <w:rsid w:val="00E66C85"/>
    <w:rsid w:val="00E71B5A"/>
    <w:rsid w:val="00E73B3C"/>
    <w:rsid w:val="00E73F7F"/>
    <w:rsid w:val="00E75673"/>
    <w:rsid w:val="00E76EB5"/>
    <w:rsid w:val="00E85409"/>
    <w:rsid w:val="00E90DA4"/>
    <w:rsid w:val="00E92231"/>
    <w:rsid w:val="00EA0EC0"/>
    <w:rsid w:val="00EA429F"/>
    <w:rsid w:val="00EA4F9E"/>
    <w:rsid w:val="00EA63CA"/>
    <w:rsid w:val="00EA6D3B"/>
    <w:rsid w:val="00EB00AD"/>
    <w:rsid w:val="00EB136C"/>
    <w:rsid w:val="00EB480E"/>
    <w:rsid w:val="00EB5EC6"/>
    <w:rsid w:val="00EB7FC9"/>
    <w:rsid w:val="00EC2F5B"/>
    <w:rsid w:val="00ED27E8"/>
    <w:rsid w:val="00ED7137"/>
    <w:rsid w:val="00EE3351"/>
    <w:rsid w:val="00F029F5"/>
    <w:rsid w:val="00F04DC2"/>
    <w:rsid w:val="00F05104"/>
    <w:rsid w:val="00F06282"/>
    <w:rsid w:val="00F07EBF"/>
    <w:rsid w:val="00F2006B"/>
    <w:rsid w:val="00F205F9"/>
    <w:rsid w:val="00F21088"/>
    <w:rsid w:val="00F25740"/>
    <w:rsid w:val="00F27994"/>
    <w:rsid w:val="00F27EBB"/>
    <w:rsid w:val="00F3131D"/>
    <w:rsid w:val="00F327E7"/>
    <w:rsid w:val="00F35746"/>
    <w:rsid w:val="00F447C7"/>
    <w:rsid w:val="00F51319"/>
    <w:rsid w:val="00F5211B"/>
    <w:rsid w:val="00F554A9"/>
    <w:rsid w:val="00F716FD"/>
    <w:rsid w:val="00F719C0"/>
    <w:rsid w:val="00F77AB3"/>
    <w:rsid w:val="00F801C6"/>
    <w:rsid w:val="00F80355"/>
    <w:rsid w:val="00F85A6B"/>
    <w:rsid w:val="00F87C43"/>
    <w:rsid w:val="00FA7D33"/>
    <w:rsid w:val="00FB0C81"/>
    <w:rsid w:val="00FB6411"/>
    <w:rsid w:val="00FC2200"/>
    <w:rsid w:val="00FC2540"/>
    <w:rsid w:val="00FC2A40"/>
    <w:rsid w:val="00FC77C5"/>
    <w:rsid w:val="00FD598A"/>
    <w:rsid w:val="00FE3120"/>
    <w:rsid w:val="00FE3568"/>
    <w:rsid w:val="00FE6362"/>
    <w:rsid w:val="00FF0204"/>
    <w:rsid w:val="00FF3AED"/>
    <w:rsid w:val="00FF6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2F779"/>
  <w15:docId w15:val="{0028AE6D-1444-41B9-8DF3-00E3F28AC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rsid w:val="0033525D"/>
    <w:pPr>
      <w:widowControl w:val="0"/>
      <w:numPr>
        <w:ilvl w:val="1"/>
        <w:numId w:val="1"/>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1"/>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qFormat/>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uiPriority w:val="34"/>
    <w:qFormat/>
    <w:rsid w:val="00D54581"/>
    <w:pPr>
      <w:ind w:left="720"/>
      <w:contextualSpacing/>
    </w:pPr>
  </w:style>
  <w:style w:type="paragraph" w:styleId="FootnoteText">
    <w:name w:val="footnote text"/>
    <w:basedOn w:val="Normal"/>
    <w:link w:val="FootnoteTextChar"/>
    <w:uiPriority w:val="99"/>
    <w:semiHidden/>
    <w:unhideWhenUsed/>
    <w:rsid w:val="00D54581"/>
    <w:rPr>
      <w:sz w:val="20"/>
      <w:szCs w:val="20"/>
    </w:rPr>
  </w:style>
  <w:style w:type="character" w:customStyle="1" w:styleId="FootnoteTextChar">
    <w:name w:val="Footnote Text Char"/>
    <w:basedOn w:val="DefaultParagraphFont"/>
    <w:link w:val="FootnoteText"/>
    <w:uiPriority w:val="99"/>
    <w:semiHidden/>
    <w:rsid w:val="00D54581"/>
    <w:rPr>
      <w:lang w:val="en-GB"/>
    </w:rPr>
  </w:style>
  <w:style w:type="character" w:styleId="FootnoteReference">
    <w:name w:val="footnote reference"/>
    <w:basedOn w:val="DefaultParagraphFont"/>
    <w:uiPriority w:val="99"/>
    <w:semiHidden/>
    <w:unhideWhenUsed/>
    <w:rsid w:val="00D54581"/>
    <w:rPr>
      <w:vertAlign w:val="superscript"/>
    </w:rPr>
  </w:style>
  <w:style w:type="paragraph" w:styleId="Revision">
    <w:name w:val="Revision"/>
    <w:hidden/>
    <w:uiPriority w:val="99"/>
    <w:semiHidden/>
    <w:rsid w:val="008D2C2B"/>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EC4716D3F019F488CE3B89D33B3E908" ma:contentTypeVersion="4" ma:contentTypeDescription="Create a new document." ma:contentTypeScope="" ma:versionID="45a0c8b828b22e603891381e90c22e1a">
  <xsd:schema xmlns:xsd="http://www.w3.org/2001/XMLSchema" xmlns:p="http://schemas.microsoft.com/office/2006/metadata/properties" xmlns:ns2="6b03d5a6-c642-4a08-93b6-965b66bfac2e" xmlns:ns3="64e33b30-101d-41de-b951-961aab25ea29" targetNamespace="http://schemas.microsoft.com/office/2006/metadata/properties" ma:root="true" ma:fieldsID="9ea923941b472cb1f56ee2421d6b039b"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5/"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UNEP/OzL.Pro/ExCom/85/24</Document_x0020_Number>
    <DocumentType xmlns="64e33b30-101d-41de-b951-961aab25ea29">Pre-session</DocumentType>
  </documentManagement>
</p:properties>
</file>

<file path=customXml/itemProps1.xml><?xml version="1.0" encoding="utf-8"?>
<ds:datastoreItem xmlns:ds="http://schemas.openxmlformats.org/officeDocument/2006/customXml" ds:itemID="{58500BCD-48E4-4C4F-94C9-C35DAA812B7E}"/>
</file>

<file path=customXml/itemProps2.xml><?xml version="1.0" encoding="utf-8"?>
<ds:datastoreItem xmlns:ds="http://schemas.openxmlformats.org/officeDocument/2006/customXml" ds:itemID="{020B5534-B4ED-45A1-9546-7DBB02D64D0D}"/>
</file>

<file path=customXml/itemProps3.xml><?xml version="1.0" encoding="utf-8"?>
<ds:datastoreItem xmlns:ds="http://schemas.openxmlformats.org/officeDocument/2006/customXml" ds:itemID="{239ABC99-397A-4A7D-B14F-E8639FD68EBA}"/>
</file>

<file path=customXml/itemProps4.xml><?xml version="1.0" encoding="utf-8"?>
<ds:datastoreItem xmlns:ds="http://schemas.openxmlformats.org/officeDocument/2006/customXml" ds:itemID="{EF9900AD-748E-4870-96A2-F29855A75582}"/>
</file>

<file path=docProps/app.xml><?xml version="1.0" encoding="utf-8"?>
<Properties xmlns="http://schemas.openxmlformats.org/officeDocument/2006/extended-properties" xmlns:vt="http://schemas.openxmlformats.org/officeDocument/2006/docPropsVTypes">
  <Template>Normal</Template>
  <TotalTime>352</TotalTime>
  <Pages>10</Pages>
  <Words>4112</Words>
  <Characters>23025</Characters>
  <Application>Microsoft Office Word</Application>
  <DocSecurity>0</DocSecurity>
  <Lines>854</Lines>
  <Paragraphs>463</Paragraphs>
  <ScaleCrop>false</ScaleCrop>
  <HeadingPairs>
    <vt:vector size="2" baseType="variant">
      <vt:variant>
        <vt:lpstr>Title</vt:lpstr>
      </vt:variant>
      <vt:variant>
        <vt:i4>1</vt:i4>
      </vt:variant>
    </vt:vector>
  </HeadingPairs>
  <TitlesOfParts>
    <vt:vector size="1" baseType="lpstr">
      <vt:lpstr>Project proposal: Ecuador</vt:lpstr>
    </vt:vector>
  </TitlesOfParts>
  <Company>UNMFS</Company>
  <LinksUpToDate>false</LinksUpToDate>
  <CharactersWithSpaces>26763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Ecuador</dc:title>
  <dc:creator>Dominika Anna Suwik</dc:creator>
  <cp:keywords>85th</cp:keywords>
  <cp:lastModifiedBy>Dominika Anna Suwik</cp:lastModifiedBy>
  <cp:revision>3</cp:revision>
  <cp:lastPrinted>2001-05-26T16:40:00Z</cp:lastPrinted>
  <dcterms:created xsi:type="dcterms:W3CDTF">2020-05-01T13:24:00Z</dcterms:created>
  <dcterms:modified xsi:type="dcterms:W3CDTF">2020-05-01T19:42:00Z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UNEP/OzL.Pro/ExCom/85/24</vt:lpwstr>
  </property>
  <property fmtid="{D5CDD505-2E9C-101B-9397-08002B2CF9AE}" pid="3" name="Revision date">
    <vt:lpwstr>05/1/2020</vt:lpwstr>
  </property>
  <property fmtid="{D5CDD505-2E9C-101B-9397-08002B2CF9AE}" pid="4" name="ContentTypeId">
    <vt:lpwstr>0x0101005EC4716D3F019F488CE3B89D33B3E908</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