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8" w:type="dxa"/>
        <w:tblLayout w:type="fixed"/>
        <w:tblLook w:val="0000" w:firstRow="0" w:lastRow="0" w:firstColumn="0" w:lastColumn="0" w:noHBand="0" w:noVBand="0"/>
      </w:tblPr>
      <w:tblGrid>
        <w:gridCol w:w="4059"/>
        <w:gridCol w:w="351"/>
        <w:gridCol w:w="3051"/>
        <w:gridCol w:w="2079"/>
      </w:tblGrid>
      <w:tr w:rsidR="007E5D09" w14:paraId="6687FE26" w14:textId="77777777">
        <w:trPr>
          <w:trHeight w:val="720"/>
        </w:trPr>
        <w:tc>
          <w:tcPr>
            <w:tcW w:w="4410" w:type="dxa"/>
            <w:gridSpan w:val="2"/>
            <w:tcBorders>
              <w:bottom w:val="single" w:sz="18" w:space="0" w:color="auto"/>
            </w:tcBorders>
          </w:tcPr>
          <w:p w14:paraId="22BACE35" w14:textId="77777777" w:rsidR="007E5D09" w:rsidRDefault="00E1360E">
            <w:pPr>
              <w:jc w:val="left"/>
              <w:rPr>
                <w:rFonts w:asciiTheme="minorBidi" w:hAnsiTheme="minorBidi" w:cstheme="minorBidi"/>
                <w:b/>
                <w:bCs/>
                <w:lang w:val="en-US"/>
              </w:rPr>
            </w:pPr>
            <w:r>
              <w:rPr>
                <w:rFonts w:asciiTheme="minorBidi" w:hAnsiTheme="minorBidi" w:cstheme="minorBidi"/>
                <w:b/>
                <w:bCs/>
                <w:sz w:val="72"/>
                <w:szCs w:val="72"/>
                <w:lang w:val="en-US"/>
              </w:rPr>
              <w:t>EP</w:t>
            </w:r>
            <w:r>
              <w:rPr>
                <w:rFonts w:asciiTheme="minorBidi" w:hAnsiTheme="minorBidi" w:cstheme="minorBidi"/>
                <w:b/>
                <w:bCs/>
                <w:sz w:val="27"/>
                <w:szCs w:val="27"/>
                <w:lang w:val="en-US"/>
              </w:rPr>
              <w:t xml:space="preserve"> </w:t>
            </w:r>
          </w:p>
        </w:tc>
        <w:tc>
          <w:tcPr>
            <w:tcW w:w="5130" w:type="dxa"/>
            <w:gridSpan w:val="2"/>
            <w:tcBorders>
              <w:bottom w:val="single" w:sz="18" w:space="0" w:color="auto"/>
            </w:tcBorders>
          </w:tcPr>
          <w:p w14:paraId="738593E7" w14:textId="77777777" w:rsidR="007E5D09" w:rsidRDefault="00E1360E">
            <w:pPr>
              <w:pStyle w:val="Heading3"/>
              <w:numPr>
                <w:ilvl w:val="0"/>
                <w:numId w:val="0"/>
              </w:numPr>
              <w:bidi/>
              <w:ind w:left="270" w:right="1384"/>
              <w:rPr>
                <w:b/>
                <w:bCs/>
                <w:sz w:val="48"/>
                <w:szCs w:val="48"/>
              </w:rPr>
            </w:pPr>
            <w:r>
              <w:rPr>
                <w:b/>
                <w:bCs/>
                <w:sz w:val="48"/>
                <w:szCs w:val="48"/>
                <w:rtl/>
              </w:rPr>
              <w:t>الأمم المتحدة</w:t>
            </w:r>
          </w:p>
        </w:tc>
      </w:tr>
      <w:tr w:rsidR="007E5D09" w14:paraId="506075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6"/>
        </w:trPr>
        <w:tc>
          <w:tcPr>
            <w:tcW w:w="4059" w:type="dxa"/>
            <w:tcBorders>
              <w:top w:val="nil"/>
              <w:left w:val="nil"/>
              <w:bottom w:val="single" w:sz="36" w:space="0" w:color="auto"/>
              <w:right w:val="nil"/>
            </w:tcBorders>
          </w:tcPr>
          <w:p w14:paraId="0A2DF41D" w14:textId="77777777" w:rsidR="007E5D09" w:rsidRDefault="00E1360E">
            <w:pPr>
              <w:spacing w:before="120"/>
              <w:jc w:val="left"/>
              <w:rPr>
                <w:lang w:val="en-US"/>
              </w:rPr>
            </w:pPr>
            <w:r>
              <w:rPr>
                <w:noProof/>
                <w:lang w:val="es-CO" w:eastAsia="es-CO" w:bidi="ar-SA"/>
              </w:rPr>
              <w:drawing>
                <wp:anchor distT="0" distB="0" distL="114300" distR="114300" simplePos="0" relativeHeight="251660288" behindDoc="0" locked="0" layoutInCell="0" allowOverlap="1" wp14:anchorId="2F12F3D9" wp14:editId="0521A7B3">
                  <wp:simplePos x="0" y="0"/>
                  <wp:positionH relativeFrom="column">
                    <wp:posOffset>5010785</wp:posOffset>
                  </wp:positionH>
                  <wp:positionV relativeFrom="paragraph">
                    <wp:posOffset>643890</wp:posOffset>
                  </wp:positionV>
                  <wp:extent cx="658495" cy="555625"/>
                  <wp:effectExtent l="0" t="0" r="8255" b="0"/>
                  <wp:wrapNone/>
                  <wp:docPr id="4" name="Picture 4"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49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bidi="ar-SA"/>
              </w:rPr>
              <w:drawing>
                <wp:anchor distT="0" distB="0" distL="114300" distR="114300" simplePos="0" relativeHeight="251659264" behindDoc="1" locked="0" layoutInCell="0" allowOverlap="1" wp14:anchorId="772B25A9" wp14:editId="4D50C7F8">
                  <wp:simplePos x="0" y="0"/>
                  <wp:positionH relativeFrom="column">
                    <wp:posOffset>5029200</wp:posOffset>
                  </wp:positionH>
                  <wp:positionV relativeFrom="paragraph">
                    <wp:posOffset>93345</wp:posOffset>
                  </wp:positionV>
                  <wp:extent cx="579755" cy="515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75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Distr.</w:t>
            </w:r>
          </w:p>
          <w:p w14:paraId="1FFABD20" w14:textId="77777777" w:rsidR="007E5D09" w:rsidRDefault="00E1360E">
            <w:pPr>
              <w:spacing w:before="120"/>
              <w:jc w:val="left"/>
              <w:rPr>
                <w:lang w:val="en-US"/>
              </w:rPr>
            </w:pPr>
            <w:r>
              <w:rPr>
                <w:lang w:val="en-US"/>
              </w:rPr>
              <w:t>GENERAL</w:t>
            </w:r>
          </w:p>
          <w:p w14:paraId="71363E21" w14:textId="77777777" w:rsidR="007E5D09" w:rsidRDefault="007E5D09">
            <w:pPr>
              <w:spacing w:before="120"/>
              <w:jc w:val="left"/>
              <w:rPr>
                <w:lang w:val="en-US"/>
              </w:rPr>
            </w:pPr>
          </w:p>
          <w:p w14:paraId="48FA5918" w14:textId="2FAEBF97" w:rsidR="007E5D09" w:rsidRDefault="00585F2D" w:rsidP="0058144C">
            <w:pPr>
              <w:rPr>
                <w:rtl/>
              </w:rPr>
            </w:pPr>
            <w:r>
              <w:fldChar w:fldCharType="begin"/>
            </w:r>
            <w:r>
              <w:instrText xml:space="preserve"> DOCPROPERTY "Document number"  \* MERGEFORMAT </w:instrText>
            </w:r>
            <w:r>
              <w:fldChar w:fldCharType="separate"/>
            </w:r>
            <w:r w:rsidR="00272FB1">
              <w:t>UNEP/</w:t>
            </w:r>
            <w:proofErr w:type="spellStart"/>
            <w:r w:rsidR="00272FB1">
              <w:t>OzL.Pro</w:t>
            </w:r>
            <w:proofErr w:type="spellEnd"/>
            <w:r w:rsidR="00272FB1">
              <w:t>/ExCom/85/30</w:t>
            </w:r>
            <w:r>
              <w:fldChar w:fldCharType="end"/>
            </w:r>
          </w:p>
          <w:p w14:paraId="4738D725" w14:textId="3EC8D05E" w:rsidR="00662A73" w:rsidRPr="003F73BA" w:rsidRDefault="00662A73" w:rsidP="0058144C">
            <w:pPr>
              <w:spacing w:before="120"/>
              <w:jc w:val="left"/>
            </w:pPr>
            <w:r>
              <w:rPr>
                <w:lang w:val="en-US"/>
              </w:rPr>
              <w:fldChar w:fldCharType="begin"/>
            </w:r>
            <w:r w:rsidRPr="00662A73">
              <w:rPr>
                <w:lang w:val="en-US"/>
              </w:rPr>
              <w:instrText xml:space="preserve"> DOCPROPERTY "Revision date" \@ "d MMMM YYYY"  \* MERGEFORMAT </w:instrText>
            </w:r>
            <w:r>
              <w:rPr>
                <w:lang w:val="en-US"/>
              </w:rPr>
              <w:fldChar w:fldCharType="separate"/>
            </w:r>
            <w:r w:rsidR="00EC3A73">
              <w:rPr>
                <w:lang w:val="en-US"/>
              </w:rPr>
              <w:t>3 May</w:t>
            </w:r>
            <w:r w:rsidR="00EC3A73" w:rsidRPr="00EC3A73">
              <w:t xml:space="preserve"> 2020</w:t>
            </w:r>
            <w:r>
              <w:fldChar w:fldCharType="end"/>
            </w:r>
          </w:p>
          <w:p w14:paraId="6AA26FB8" w14:textId="77777777" w:rsidR="00662A73" w:rsidRDefault="00662A73">
            <w:pPr>
              <w:spacing w:before="120"/>
              <w:jc w:val="left"/>
              <w:rPr>
                <w:rtl/>
                <w:lang w:val="en-US" w:bidi="ar-AE"/>
              </w:rPr>
            </w:pPr>
          </w:p>
          <w:p w14:paraId="74A4D868" w14:textId="77777777" w:rsidR="007E5D09" w:rsidRDefault="00E1360E">
            <w:pPr>
              <w:spacing w:before="120"/>
              <w:jc w:val="left"/>
              <w:rPr>
                <w:lang w:val="en-US"/>
              </w:rPr>
            </w:pPr>
            <w:r>
              <w:rPr>
                <w:lang w:val="en-US"/>
              </w:rPr>
              <w:t>ARABIC</w:t>
            </w:r>
          </w:p>
          <w:p w14:paraId="730F0391" w14:textId="77777777" w:rsidR="007E5D09" w:rsidRDefault="00E1360E">
            <w:pPr>
              <w:spacing w:before="120"/>
              <w:jc w:val="left"/>
              <w:rPr>
                <w:lang w:val="en-US"/>
              </w:rPr>
            </w:pPr>
            <w:r>
              <w:rPr>
                <w:lang w:val="en-US"/>
              </w:rPr>
              <w:t>ORIGINAL: ENGLISH</w:t>
            </w:r>
          </w:p>
        </w:tc>
        <w:tc>
          <w:tcPr>
            <w:tcW w:w="3402" w:type="dxa"/>
            <w:gridSpan w:val="2"/>
            <w:tcBorders>
              <w:top w:val="nil"/>
              <w:left w:val="nil"/>
              <w:bottom w:val="single" w:sz="36" w:space="0" w:color="auto"/>
              <w:right w:val="nil"/>
            </w:tcBorders>
          </w:tcPr>
          <w:p w14:paraId="2208C032" w14:textId="77777777"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برنامج</w:t>
            </w:r>
          </w:p>
          <w:p w14:paraId="44C21502" w14:textId="77777777"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الأمم المتحدة</w:t>
            </w:r>
          </w:p>
          <w:p w14:paraId="64ACB535" w14:textId="77777777"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للبيئة</w:t>
            </w:r>
          </w:p>
          <w:p w14:paraId="50B09708" w14:textId="77777777" w:rsidR="007E5D09" w:rsidRDefault="00E1360E">
            <w:pPr>
              <w:pStyle w:val="Heading7"/>
              <w:spacing w:before="0" w:after="0"/>
              <w:ind w:right="4997"/>
              <w:rPr>
                <w:rFonts w:cs="Akhbar MT"/>
                <w:b/>
                <w:bCs/>
                <w:sz w:val="52"/>
                <w:szCs w:val="52"/>
                <w:lang w:val="en-US"/>
              </w:rPr>
            </w:pPr>
            <w:r>
              <w:rPr>
                <w:rFonts w:cs="Arabic Transparent"/>
                <w:b/>
                <w:bCs/>
                <w:sz w:val="52"/>
                <w:szCs w:val="52"/>
                <w:rtl/>
              </w:rPr>
              <w:t>ل</w:t>
            </w:r>
          </w:p>
        </w:tc>
        <w:tc>
          <w:tcPr>
            <w:tcW w:w="2079" w:type="dxa"/>
            <w:tcBorders>
              <w:top w:val="nil"/>
              <w:left w:val="nil"/>
              <w:bottom w:val="single" w:sz="36" w:space="0" w:color="auto"/>
              <w:right w:val="nil"/>
            </w:tcBorders>
          </w:tcPr>
          <w:p w14:paraId="219EF383" w14:textId="77777777" w:rsidR="007E5D09" w:rsidRDefault="007E5D09">
            <w:pPr>
              <w:rPr>
                <w:caps/>
                <w:lang w:val="en-US"/>
              </w:rPr>
            </w:pPr>
          </w:p>
          <w:p w14:paraId="69F0A7C1" w14:textId="77777777" w:rsidR="007E5D09" w:rsidRDefault="007E5D09">
            <w:pPr>
              <w:rPr>
                <w:lang w:val="en-US"/>
              </w:rPr>
            </w:pPr>
          </w:p>
        </w:tc>
      </w:tr>
    </w:tbl>
    <w:p w14:paraId="1F8F2A2B" w14:textId="77777777" w:rsidR="007E5D09" w:rsidRDefault="007E5D09">
      <w:pPr>
        <w:pStyle w:val="Caption"/>
        <w:spacing w:line="200" w:lineRule="exact"/>
        <w:ind w:left="187" w:right="187" w:hanging="187"/>
        <w:jc w:val="both"/>
        <w:rPr>
          <w:rFonts w:cs="Akhbar MT"/>
          <w:b/>
          <w:bCs/>
          <w:sz w:val="28"/>
          <w:szCs w:val="28"/>
          <w:rtl/>
        </w:rPr>
      </w:pPr>
    </w:p>
    <w:p w14:paraId="52516F90" w14:textId="77777777" w:rsidR="007E5D09" w:rsidRDefault="00E1360E">
      <w:pPr>
        <w:pStyle w:val="Caption"/>
        <w:ind w:left="0" w:right="180"/>
        <w:jc w:val="both"/>
        <w:rPr>
          <w:rFonts w:cs="Arabic Transparent"/>
          <w:b/>
          <w:bCs/>
          <w:sz w:val="28"/>
          <w:szCs w:val="28"/>
          <w:rtl/>
        </w:rPr>
      </w:pPr>
      <w:r>
        <w:rPr>
          <w:rFonts w:cs="Arabic Transparent"/>
          <w:b/>
          <w:bCs/>
          <w:sz w:val="28"/>
          <w:szCs w:val="28"/>
          <w:rtl/>
        </w:rPr>
        <w:t>اللجن</w:t>
      </w:r>
      <w:r>
        <w:rPr>
          <w:rFonts w:cs="Arabic Transparent" w:hint="cs"/>
          <w:b/>
          <w:bCs/>
          <w:sz w:val="28"/>
          <w:szCs w:val="28"/>
          <w:rtl/>
        </w:rPr>
        <w:t>ــ</w:t>
      </w:r>
      <w:r>
        <w:rPr>
          <w:rFonts w:cs="Arabic Transparent"/>
          <w:b/>
          <w:bCs/>
          <w:sz w:val="28"/>
          <w:szCs w:val="28"/>
          <w:rtl/>
        </w:rPr>
        <w:t>ة التنفي</w:t>
      </w:r>
      <w:r>
        <w:rPr>
          <w:rFonts w:cs="Arabic Transparent" w:hint="cs"/>
          <w:b/>
          <w:bCs/>
          <w:sz w:val="28"/>
          <w:szCs w:val="28"/>
          <w:rtl/>
        </w:rPr>
        <w:t>ـ</w:t>
      </w:r>
      <w:r>
        <w:rPr>
          <w:rFonts w:cs="Arabic Transparent"/>
          <w:b/>
          <w:bCs/>
          <w:sz w:val="28"/>
          <w:szCs w:val="28"/>
          <w:rtl/>
        </w:rPr>
        <w:t>ذي</w:t>
      </w:r>
      <w:r>
        <w:rPr>
          <w:rFonts w:cs="Arabic Transparent" w:hint="cs"/>
          <w:b/>
          <w:bCs/>
          <w:sz w:val="28"/>
          <w:szCs w:val="28"/>
          <w:rtl/>
        </w:rPr>
        <w:t>ــــ</w:t>
      </w:r>
      <w:r>
        <w:rPr>
          <w:rFonts w:cs="Arabic Transparent"/>
          <w:b/>
          <w:bCs/>
          <w:sz w:val="28"/>
          <w:szCs w:val="28"/>
          <w:rtl/>
        </w:rPr>
        <w:t>ة للصن</w:t>
      </w:r>
      <w:r>
        <w:rPr>
          <w:rFonts w:cs="Arabic Transparent" w:hint="cs"/>
          <w:b/>
          <w:bCs/>
          <w:sz w:val="28"/>
          <w:szCs w:val="28"/>
          <w:rtl/>
        </w:rPr>
        <w:t>ــ</w:t>
      </w:r>
      <w:r>
        <w:rPr>
          <w:rFonts w:cs="Arabic Transparent"/>
          <w:b/>
          <w:bCs/>
          <w:sz w:val="28"/>
          <w:szCs w:val="28"/>
          <w:rtl/>
        </w:rPr>
        <w:t>دوق الم</w:t>
      </w:r>
      <w:r>
        <w:rPr>
          <w:rFonts w:cs="Arabic Transparent" w:hint="cs"/>
          <w:b/>
          <w:bCs/>
          <w:sz w:val="28"/>
          <w:szCs w:val="28"/>
          <w:rtl/>
        </w:rPr>
        <w:t>ــ</w:t>
      </w:r>
      <w:r>
        <w:rPr>
          <w:rFonts w:cs="Arabic Transparent"/>
          <w:b/>
          <w:bCs/>
          <w:sz w:val="28"/>
          <w:szCs w:val="28"/>
          <w:rtl/>
        </w:rPr>
        <w:t>تع</w:t>
      </w:r>
      <w:r>
        <w:rPr>
          <w:rFonts w:cs="Arabic Transparent" w:hint="cs"/>
          <w:b/>
          <w:bCs/>
          <w:sz w:val="28"/>
          <w:szCs w:val="28"/>
          <w:rtl/>
        </w:rPr>
        <w:t>ــ</w:t>
      </w:r>
      <w:r>
        <w:rPr>
          <w:rFonts w:cs="Arabic Transparent"/>
          <w:b/>
          <w:bCs/>
          <w:sz w:val="28"/>
          <w:szCs w:val="28"/>
          <w:rtl/>
        </w:rPr>
        <w:t>دد الأطـ</w:t>
      </w:r>
      <w:r>
        <w:rPr>
          <w:rFonts w:cs="Arabic Transparent" w:hint="cs"/>
          <w:b/>
          <w:bCs/>
          <w:sz w:val="28"/>
          <w:szCs w:val="28"/>
          <w:rtl/>
        </w:rPr>
        <w:t>ــ</w:t>
      </w:r>
      <w:r>
        <w:rPr>
          <w:rFonts w:cs="Arabic Transparent"/>
          <w:b/>
          <w:bCs/>
          <w:sz w:val="28"/>
          <w:szCs w:val="28"/>
          <w:rtl/>
        </w:rPr>
        <w:t>راف</w:t>
      </w:r>
    </w:p>
    <w:p w14:paraId="1931CD25" w14:textId="77777777" w:rsidR="007E5D09" w:rsidRDefault="00E1360E">
      <w:pPr>
        <w:bidi/>
        <w:ind w:left="180" w:hanging="180"/>
        <w:jc w:val="lowKashida"/>
        <w:rPr>
          <w:rFonts w:cs="Arabic Transparent"/>
          <w:b/>
          <w:bCs/>
          <w:sz w:val="28"/>
          <w:szCs w:val="28"/>
          <w:rtl/>
          <w:lang w:val="en-US" w:eastAsia="en-CA"/>
        </w:rPr>
      </w:pPr>
      <w:r>
        <w:rPr>
          <w:rFonts w:cs="Arabic Transparent"/>
          <w:b/>
          <w:bCs/>
          <w:sz w:val="28"/>
          <w:szCs w:val="28"/>
          <w:rtl/>
          <w:lang w:val="en-US" w:eastAsia="en-CA"/>
        </w:rPr>
        <w:t>لتنفي</w:t>
      </w:r>
      <w:r>
        <w:rPr>
          <w:rFonts w:cs="Arabic Transparent" w:hint="cs"/>
          <w:b/>
          <w:bCs/>
          <w:sz w:val="28"/>
          <w:szCs w:val="28"/>
          <w:rtl/>
          <w:lang w:val="en-US" w:eastAsia="en-CA"/>
        </w:rPr>
        <w:t>ـــ</w:t>
      </w:r>
      <w:r>
        <w:rPr>
          <w:rFonts w:cs="Arabic Transparent"/>
          <w:b/>
          <w:bCs/>
          <w:sz w:val="28"/>
          <w:szCs w:val="28"/>
          <w:rtl/>
          <w:lang w:val="en-US" w:eastAsia="en-CA"/>
        </w:rPr>
        <w:t>ذ بروتوك</w:t>
      </w:r>
      <w:r>
        <w:rPr>
          <w:rFonts w:cs="Arabic Transparent" w:hint="cs"/>
          <w:b/>
          <w:bCs/>
          <w:sz w:val="28"/>
          <w:szCs w:val="28"/>
          <w:rtl/>
          <w:lang w:val="en-US" w:eastAsia="en-CA"/>
        </w:rPr>
        <w:t>ـ</w:t>
      </w:r>
      <w:r>
        <w:rPr>
          <w:rFonts w:cs="Arabic Transparent"/>
          <w:b/>
          <w:bCs/>
          <w:sz w:val="28"/>
          <w:szCs w:val="28"/>
          <w:rtl/>
          <w:lang w:val="en-US" w:eastAsia="en-CA"/>
        </w:rPr>
        <w:t>ول مونتري</w:t>
      </w:r>
      <w:r>
        <w:rPr>
          <w:rFonts w:cs="Arabic Transparent" w:hint="cs"/>
          <w:b/>
          <w:bCs/>
          <w:sz w:val="28"/>
          <w:szCs w:val="28"/>
          <w:rtl/>
          <w:lang w:val="en-US" w:eastAsia="en-CA"/>
        </w:rPr>
        <w:t>ــ</w:t>
      </w:r>
      <w:r>
        <w:rPr>
          <w:rFonts w:cs="Arabic Transparent"/>
          <w:b/>
          <w:bCs/>
          <w:sz w:val="28"/>
          <w:szCs w:val="28"/>
          <w:rtl/>
          <w:lang w:val="en-US" w:eastAsia="en-CA"/>
        </w:rPr>
        <w:t xml:space="preserve">ال </w:t>
      </w:r>
    </w:p>
    <w:p w14:paraId="2697B226" w14:textId="77777777" w:rsidR="007E5D09" w:rsidRDefault="00E1360E" w:rsidP="006F2A2C">
      <w:pPr>
        <w:bidi/>
        <w:ind w:left="4"/>
        <w:jc w:val="lowKashida"/>
        <w:rPr>
          <w:sz w:val="28"/>
          <w:szCs w:val="28"/>
          <w:rtl/>
          <w:lang w:val="en-US" w:eastAsia="en-CA"/>
        </w:rPr>
      </w:pPr>
      <w:r>
        <w:rPr>
          <w:sz w:val="28"/>
          <w:szCs w:val="28"/>
          <w:rtl/>
          <w:lang w:val="en-US" w:eastAsia="en-CA"/>
        </w:rPr>
        <w:t xml:space="preserve">الاجتمــــــاع </w:t>
      </w:r>
      <w:r w:rsidR="006F2A2C">
        <w:rPr>
          <w:rFonts w:hint="cs"/>
          <w:sz w:val="28"/>
          <w:szCs w:val="28"/>
          <w:rtl/>
          <w:lang w:val="en-US" w:eastAsia="en-CA"/>
        </w:rPr>
        <w:t>ال</w:t>
      </w:r>
      <w:r w:rsidR="00F311C3">
        <w:rPr>
          <w:rFonts w:hint="cs"/>
          <w:sz w:val="28"/>
          <w:szCs w:val="28"/>
          <w:rtl/>
          <w:lang w:val="en-US" w:eastAsia="en-CA"/>
        </w:rPr>
        <w:t>خ</w:t>
      </w:r>
      <w:r w:rsidR="006F2A2C">
        <w:rPr>
          <w:rFonts w:hint="cs"/>
          <w:sz w:val="28"/>
          <w:szCs w:val="28"/>
          <w:rtl/>
          <w:lang w:val="en-US" w:eastAsia="en-CA"/>
        </w:rPr>
        <w:t>ا</w:t>
      </w:r>
      <w:r w:rsidR="00F311C3">
        <w:rPr>
          <w:rFonts w:hint="cs"/>
          <w:sz w:val="28"/>
          <w:szCs w:val="28"/>
          <w:rtl/>
          <w:lang w:val="en-US" w:eastAsia="en-CA"/>
        </w:rPr>
        <w:t>مس</w:t>
      </w:r>
      <w:r w:rsidR="006F2A2C">
        <w:rPr>
          <w:rFonts w:hint="cs"/>
          <w:sz w:val="28"/>
          <w:szCs w:val="28"/>
          <w:rtl/>
          <w:lang w:val="en-US" w:eastAsia="en-CA"/>
        </w:rPr>
        <w:t xml:space="preserve"> </w:t>
      </w:r>
      <w:r w:rsidR="00786775">
        <w:rPr>
          <w:rFonts w:hint="cs"/>
          <w:sz w:val="28"/>
          <w:szCs w:val="28"/>
          <w:rtl/>
          <w:lang w:val="en-US" w:eastAsia="en-CA"/>
        </w:rPr>
        <w:t>و</w:t>
      </w:r>
      <w:r>
        <w:rPr>
          <w:rFonts w:hint="cs"/>
          <w:sz w:val="28"/>
          <w:szCs w:val="28"/>
          <w:rtl/>
          <w:lang w:val="en-US" w:eastAsia="en-CA"/>
        </w:rPr>
        <w:t>الثمانون</w:t>
      </w:r>
    </w:p>
    <w:p w14:paraId="249A2E01" w14:textId="77777777" w:rsidR="003263B5" w:rsidRDefault="00E1360E" w:rsidP="003263B5">
      <w:pPr>
        <w:pStyle w:val="0Heading0"/>
        <w:bidi/>
        <w:ind w:left="4"/>
        <w:rPr>
          <w:sz w:val="28"/>
          <w:szCs w:val="28"/>
          <w:rtl/>
        </w:rPr>
      </w:pPr>
      <w:r>
        <w:rPr>
          <w:rFonts w:hint="cs"/>
          <w:sz w:val="28"/>
          <w:szCs w:val="28"/>
          <w:rtl/>
        </w:rPr>
        <w:t>مونتريال</w:t>
      </w:r>
      <w:r>
        <w:rPr>
          <w:sz w:val="28"/>
          <w:szCs w:val="28"/>
          <w:rtl/>
        </w:rPr>
        <w:t>،</w:t>
      </w:r>
      <w:r>
        <w:rPr>
          <w:rFonts w:hint="cs"/>
          <w:sz w:val="28"/>
          <w:szCs w:val="28"/>
          <w:rtl/>
        </w:rPr>
        <w:t xml:space="preserve"> </w:t>
      </w:r>
      <w:r w:rsidR="003263B5">
        <w:rPr>
          <w:rFonts w:hint="cs"/>
          <w:sz w:val="28"/>
          <w:szCs w:val="28"/>
          <w:rtl/>
        </w:rPr>
        <w:t xml:space="preserve"> من</w:t>
      </w:r>
      <w:r>
        <w:rPr>
          <w:rFonts w:hint="cs"/>
          <w:sz w:val="28"/>
          <w:szCs w:val="28"/>
          <w:rtl/>
        </w:rPr>
        <w:t xml:space="preserve"> </w:t>
      </w:r>
      <w:r w:rsidR="003263B5">
        <w:rPr>
          <w:rFonts w:hint="cs"/>
          <w:sz w:val="28"/>
          <w:szCs w:val="28"/>
          <w:rtl/>
        </w:rPr>
        <w:t>25 إلى 29 مايو</w:t>
      </w:r>
      <w:r w:rsidR="003263B5" w:rsidRPr="00532BD7">
        <w:rPr>
          <w:rFonts w:hint="cs"/>
          <w:sz w:val="28"/>
          <w:szCs w:val="28"/>
          <w:rtl/>
        </w:rPr>
        <w:t>/أيار 2020</w:t>
      </w:r>
    </w:p>
    <w:p w14:paraId="49E399CE" w14:textId="77777777" w:rsidR="007E5D09" w:rsidRPr="00532BD7" w:rsidRDefault="003263B5" w:rsidP="003263B5">
      <w:pPr>
        <w:pStyle w:val="0Heading0"/>
        <w:bidi/>
        <w:ind w:left="4"/>
        <w:rPr>
          <w:sz w:val="28"/>
          <w:szCs w:val="28"/>
        </w:rPr>
      </w:pPr>
      <w:r>
        <w:rPr>
          <w:rFonts w:hint="cs"/>
          <w:sz w:val="28"/>
          <w:szCs w:val="28"/>
          <w:rtl/>
        </w:rPr>
        <w:t>مؤجل: من</w:t>
      </w:r>
      <w:r w:rsidR="00E1360E">
        <w:rPr>
          <w:rFonts w:hint="cs"/>
          <w:sz w:val="28"/>
          <w:szCs w:val="28"/>
          <w:rtl/>
        </w:rPr>
        <w:t xml:space="preserve"> </w:t>
      </w:r>
      <w:r w:rsidR="00F311C3">
        <w:rPr>
          <w:rFonts w:hint="cs"/>
          <w:sz w:val="28"/>
          <w:szCs w:val="28"/>
          <w:rtl/>
        </w:rPr>
        <w:t>19</w:t>
      </w:r>
      <w:r w:rsidR="00E1360E">
        <w:rPr>
          <w:rFonts w:hint="cs"/>
          <w:sz w:val="28"/>
          <w:szCs w:val="28"/>
          <w:rtl/>
        </w:rPr>
        <w:t xml:space="preserve"> إلى </w:t>
      </w:r>
      <w:r w:rsidR="006F2A2C">
        <w:rPr>
          <w:rFonts w:hint="cs"/>
          <w:sz w:val="28"/>
          <w:szCs w:val="28"/>
          <w:rtl/>
        </w:rPr>
        <w:t>2</w:t>
      </w:r>
      <w:r w:rsidR="00F311C3">
        <w:rPr>
          <w:rFonts w:hint="cs"/>
          <w:sz w:val="28"/>
          <w:szCs w:val="28"/>
          <w:rtl/>
        </w:rPr>
        <w:t>2</w:t>
      </w:r>
      <w:r w:rsidR="00013372">
        <w:rPr>
          <w:sz w:val="28"/>
          <w:szCs w:val="28"/>
        </w:rPr>
        <w:t xml:space="preserve"> </w:t>
      </w:r>
      <w:r w:rsidR="00A44778">
        <w:rPr>
          <w:rFonts w:hint="cs"/>
          <w:sz w:val="28"/>
          <w:szCs w:val="28"/>
          <w:rtl/>
        </w:rPr>
        <w:t xml:space="preserve"> </w:t>
      </w:r>
      <w:r w:rsidR="00F311C3" w:rsidRPr="00532BD7">
        <w:rPr>
          <w:rFonts w:hint="cs"/>
          <w:sz w:val="28"/>
          <w:szCs w:val="28"/>
          <w:rtl/>
        </w:rPr>
        <w:t>يولية</w:t>
      </w:r>
      <w:r w:rsidR="006F2A2C" w:rsidRPr="00532BD7">
        <w:rPr>
          <w:rFonts w:hint="cs"/>
          <w:sz w:val="28"/>
          <w:szCs w:val="28"/>
          <w:rtl/>
        </w:rPr>
        <w:t xml:space="preserve">/ </w:t>
      </w:r>
      <w:r w:rsidR="00F311C3" w:rsidRPr="00532BD7">
        <w:rPr>
          <w:rFonts w:hint="cs"/>
          <w:sz w:val="28"/>
          <w:szCs w:val="28"/>
          <w:rtl/>
        </w:rPr>
        <w:t>تموز</w:t>
      </w:r>
      <w:r w:rsidR="006F2A2C" w:rsidRPr="00DB2568">
        <w:rPr>
          <w:rFonts w:hint="cs"/>
          <w:sz w:val="28"/>
          <w:szCs w:val="28"/>
          <w:rtl/>
        </w:rPr>
        <w:t xml:space="preserve"> </w:t>
      </w:r>
      <w:r w:rsidR="00F311C3" w:rsidRPr="00532BD7">
        <w:rPr>
          <w:rFonts w:hint="cs"/>
          <w:sz w:val="28"/>
          <w:szCs w:val="28"/>
          <w:rtl/>
        </w:rPr>
        <w:t>2020</w:t>
      </w:r>
      <w:r w:rsidR="00FE13A5">
        <w:rPr>
          <w:sz w:val="28"/>
          <w:szCs w:val="28"/>
        </w:rPr>
        <w:t>*</w:t>
      </w:r>
    </w:p>
    <w:p w14:paraId="3B904B94" w14:textId="77777777" w:rsidR="00FE13A5" w:rsidRDefault="00FE13A5" w:rsidP="00FE13A5">
      <w:pPr>
        <w:pStyle w:val="StyleHeader4Para4Left0Firstline0"/>
        <w:numPr>
          <w:ilvl w:val="0"/>
          <w:numId w:val="0"/>
        </w:numPr>
      </w:pPr>
    </w:p>
    <w:p w14:paraId="09DBC57E" w14:textId="77777777" w:rsidR="00272FB1" w:rsidRDefault="00272FB1" w:rsidP="003D326B">
      <w:pPr>
        <w:pStyle w:val="Heading2"/>
        <w:numPr>
          <w:ilvl w:val="0"/>
          <w:numId w:val="0"/>
        </w:numPr>
        <w:tabs>
          <w:tab w:val="left" w:pos="708"/>
        </w:tabs>
        <w:bidi/>
        <w:ind w:left="4"/>
        <w:jc w:val="center"/>
        <w:rPr>
          <w:b/>
          <w:bCs/>
          <w:sz w:val="32"/>
          <w:szCs w:val="32"/>
          <w:lang w:val="en-US" w:bidi="ar-LB"/>
        </w:rPr>
      </w:pPr>
    </w:p>
    <w:p w14:paraId="29B03B24" w14:textId="4537D463" w:rsidR="00004D1A" w:rsidRDefault="00004D1A" w:rsidP="00272FB1">
      <w:pPr>
        <w:pStyle w:val="Heading2"/>
        <w:numPr>
          <w:ilvl w:val="0"/>
          <w:numId w:val="0"/>
        </w:numPr>
        <w:tabs>
          <w:tab w:val="left" w:pos="708"/>
        </w:tabs>
        <w:bidi/>
        <w:ind w:left="4"/>
        <w:jc w:val="center"/>
        <w:rPr>
          <w:b/>
          <w:bCs/>
          <w:sz w:val="32"/>
          <w:szCs w:val="32"/>
          <w:lang w:val="en-US" w:bidi="ar-LB"/>
        </w:rPr>
      </w:pPr>
      <w:r>
        <w:rPr>
          <w:rFonts w:hint="cs"/>
          <w:b/>
          <w:bCs/>
          <w:sz w:val="32"/>
          <w:szCs w:val="32"/>
          <w:rtl/>
          <w:lang w:val="en-US" w:bidi="ar-LB"/>
        </w:rPr>
        <w:t xml:space="preserve">مقترح مشروع: </w:t>
      </w:r>
      <w:r w:rsidR="003D326B">
        <w:rPr>
          <w:rFonts w:hint="cs"/>
          <w:b/>
          <w:bCs/>
          <w:sz w:val="32"/>
          <w:szCs w:val="32"/>
          <w:rtl/>
          <w:lang w:val="en-US" w:bidi="ar-LB"/>
        </w:rPr>
        <w:t>غينيا</w:t>
      </w:r>
      <w:r w:rsidR="00146908">
        <w:rPr>
          <w:b/>
          <w:bCs/>
          <w:sz w:val="32"/>
          <w:szCs w:val="32"/>
          <w:lang w:val="en-US" w:bidi="ar-LB"/>
        </w:rPr>
        <w:t xml:space="preserve"> </w:t>
      </w:r>
      <w:r w:rsidR="003D326B">
        <w:rPr>
          <w:rFonts w:hint="cs"/>
          <w:b/>
          <w:bCs/>
          <w:sz w:val="32"/>
          <w:szCs w:val="32"/>
          <w:rtl/>
          <w:lang w:val="en-US" w:bidi="ar-LB"/>
        </w:rPr>
        <w:t>- بيساو</w:t>
      </w:r>
    </w:p>
    <w:p w14:paraId="68D9ADC4" w14:textId="77777777" w:rsidR="00004D1A" w:rsidRDefault="00004D1A" w:rsidP="00004D1A">
      <w:pPr>
        <w:pStyle w:val="Heading3"/>
        <w:numPr>
          <w:ilvl w:val="0"/>
          <w:numId w:val="0"/>
        </w:numPr>
        <w:tabs>
          <w:tab w:val="left" w:pos="708"/>
        </w:tabs>
        <w:bidi/>
        <w:spacing w:after="0"/>
        <w:jc w:val="center"/>
        <w:rPr>
          <w:b/>
          <w:bCs/>
          <w:sz w:val="32"/>
          <w:szCs w:val="32"/>
          <w:lang w:val="en-US"/>
        </w:rPr>
      </w:pPr>
    </w:p>
    <w:p w14:paraId="01EC224E" w14:textId="77777777" w:rsidR="00004D1A" w:rsidRDefault="00004D1A" w:rsidP="00004D1A">
      <w:pPr>
        <w:pStyle w:val="Heading3"/>
        <w:numPr>
          <w:ilvl w:val="0"/>
          <w:numId w:val="0"/>
        </w:numPr>
        <w:tabs>
          <w:tab w:val="left" w:pos="708"/>
        </w:tabs>
        <w:bidi/>
        <w:spacing w:after="0"/>
        <w:rPr>
          <w:sz w:val="26"/>
          <w:szCs w:val="26"/>
          <w:rtl/>
          <w:lang w:bidi="ar-EG"/>
        </w:rPr>
      </w:pPr>
    </w:p>
    <w:p w14:paraId="5AECC59A" w14:textId="77777777" w:rsidR="00004D1A" w:rsidRPr="00004D1A" w:rsidRDefault="00004D1A" w:rsidP="00004D1A">
      <w:pPr>
        <w:pStyle w:val="Heading3"/>
        <w:numPr>
          <w:ilvl w:val="0"/>
          <w:numId w:val="0"/>
        </w:numPr>
        <w:tabs>
          <w:tab w:val="left" w:pos="708"/>
        </w:tabs>
        <w:bidi/>
        <w:spacing w:after="0"/>
        <w:ind w:firstLine="720"/>
        <w:rPr>
          <w:sz w:val="26"/>
          <w:szCs w:val="26"/>
          <w:rtl/>
        </w:rPr>
      </w:pPr>
      <w:r w:rsidRPr="00004D1A">
        <w:rPr>
          <w:sz w:val="26"/>
          <w:szCs w:val="26"/>
          <w:rtl/>
        </w:rPr>
        <w:t>تتألف هذه الوثيقة من تعليقات وتوصية الأمانة بشأن مقترح المشروع التالي:</w:t>
      </w:r>
    </w:p>
    <w:p w14:paraId="486598C9" w14:textId="77777777" w:rsidR="00004D1A" w:rsidRDefault="00004D1A" w:rsidP="00004D1A">
      <w:pPr>
        <w:pStyle w:val="Heading3"/>
        <w:numPr>
          <w:ilvl w:val="0"/>
          <w:numId w:val="0"/>
        </w:numPr>
        <w:tabs>
          <w:tab w:val="left" w:pos="708"/>
        </w:tabs>
        <w:bidi/>
        <w:spacing w:after="0"/>
        <w:rPr>
          <w:rtl/>
        </w:rPr>
      </w:pPr>
    </w:p>
    <w:p w14:paraId="7CA340D1" w14:textId="77777777" w:rsidR="00004D1A" w:rsidRDefault="00004D1A" w:rsidP="00004D1A">
      <w:pPr>
        <w:pStyle w:val="Heading3"/>
        <w:numPr>
          <w:ilvl w:val="0"/>
          <w:numId w:val="0"/>
        </w:numPr>
        <w:tabs>
          <w:tab w:val="left" w:pos="708"/>
        </w:tabs>
        <w:bidi/>
        <w:spacing w:after="0"/>
        <w:rPr>
          <w:sz w:val="26"/>
          <w:szCs w:val="26"/>
          <w:u w:val="single"/>
          <w:rtl/>
        </w:rPr>
      </w:pPr>
      <w:r w:rsidRPr="00004D1A">
        <w:rPr>
          <w:sz w:val="26"/>
          <w:szCs w:val="26"/>
          <w:u w:val="single"/>
          <w:rtl/>
        </w:rPr>
        <w:t>الإزالة</w:t>
      </w:r>
    </w:p>
    <w:p w14:paraId="1DFA7E0D" w14:textId="77777777" w:rsidR="00004D1A" w:rsidRDefault="00004D1A" w:rsidP="00004D1A">
      <w:pPr>
        <w:bidi/>
        <w:rPr>
          <w:rtl/>
        </w:rPr>
      </w:pPr>
    </w:p>
    <w:tbl>
      <w:tblPr>
        <w:bidiVisual/>
        <w:tblW w:w="0" w:type="auto"/>
        <w:tblLook w:val="01E0" w:firstRow="1" w:lastRow="1" w:firstColumn="1" w:lastColumn="1" w:noHBand="0" w:noVBand="0"/>
      </w:tblPr>
      <w:tblGrid>
        <w:gridCol w:w="537"/>
        <w:gridCol w:w="6804"/>
        <w:gridCol w:w="2235"/>
      </w:tblGrid>
      <w:tr w:rsidR="00667B4B" w14:paraId="10A64600" w14:textId="77777777" w:rsidTr="00667B4B">
        <w:tc>
          <w:tcPr>
            <w:tcW w:w="537" w:type="dxa"/>
            <w:hideMark/>
          </w:tcPr>
          <w:p w14:paraId="2DC27065" w14:textId="77777777" w:rsidR="00667B4B" w:rsidRDefault="00667B4B">
            <w:pPr>
              <w:pStyle w:val="Heading3"/>
              <w:numPr>
                <w:ilvl w:val="0"/>
                <w:numId w:val="0"/>
              </w:numPr>
              <w:tabs>
                <w:tab w:val="left" w:pos="708"/>
              </w:tabs>
              <w:bidi/>
              <w:spacing w:after="0"/>
            </w:pPr>
            <w:r>
              <w:rPr>
                <w:rtl/>
              </w:rPr>
              <w:t>•</w:t>
            </w:r>
          </w:p>
        </w:tc>
        <w:tc>
          <w:tcPr>
            <w:tcW w:w="6804" w:type="dxa"/>
          </w:tcPr>
          <w:p w14:paraId="175EAAF6" w14:textId="77777777" w:rsidR="00667B4B" w:rsidRPr="00667B4B" w:rsidRDefault="00667B4B" w:rsidP="003D326B">
            <w:pPr>
              <w:pStyle w:val="Heading3"/>
              <w:numPr>
                <w:ilvl w:val="0"/>
                <w:numId w:val="0"/>
              </w:numPr>
              <w:tabs>
                <w:tab w:val="left" w:pos="708"/>
              </w:tabs>
              <w:bidi/>
              <w:spacing w:after="0"/>
              <w:jc w:val="left"/>
              <w:rPr>
                <w:sz w:val="26"/>
                <w:szCs w:val="26"/>
                <w:rtl/>
              </w:rPr>
            </w:pPr>
            <w:r w:rsidRPr="00667B4B">
              <w:rPr>
                <w:sz w:val="26"/>
                <w:szCs w:val="26"/>
                <w:rtl/>
              </w:rPr>
              <w:t xml:space="preserve">خطة إدارة إزالة المواد الهيدروكلوروفلوروكربونية (المرحلة الأولى، الشريحة </w:t>
            </w:r>
            <w:r w:rsidR="003D326B">
              <w:rPr>
                <w:rFonts w:hint="cs"/>
                <w:sz w:val="26"/>
                <w:szCs w:val="26"/>
                <w:rtl/>
              </w:rPr>
              <w:t>الرابعة</w:t>
            </w:r>
            <w:r w:rsidRPr="00667B4B">
              <w:rPr>
                <w:sz w:val="26"/>
                <w:szCs w:val="26"/>
                <w:rtl/>
              </w:rPr>
              <w:t xml:space="preserve">) </w:t>
            </w:r>
          </w:p>
          <w:p w14:paraId="25D151CC" w14:textId="77777777" w:rsidR="00667B4B" w:rsidRDefault="00667B4B">
            <w:pPr>
              <w:pStyle w:val="Heading3"/>
              <w:numPr>
                <w:ilvl w:val="0"/>
                <w:numId w:val="0"/>
              </w:numPr>
              <w:tabs>
                <w:tab w:val="left" w:pos="708"/>
              </w:tabs>
              <w:bidi/>
              <w:spacing w:after="0"/>
              <w:jc w:val="left"/>
            </w:pPr>
          </w:p>
        </w:tc>
        <w:tc>
          <w:tcPr>
            <w:tcW w:w="2235" w:type="dxa"/>
            <w:hideMark/>
          </w:tcPr>
          <w:p w14:paraId="6A3BBBF3" w14:textId="77777777" w:rsidR="00667B4B" w:rsidRPr="00667B4B" w:rsidRDefault="00667B4B" w:rsidP="003953E1">
            <w:pPr>
              <w:pStyle w:val="Heading3"/>
              <w:numPr>
                <w:ilvl w:val="0"/>
                <w:numId w:val="0"/>
              </w:numPr>
              <w:tabs>
                <w:tab w:val="left" w:pos="2976"/>
              </w:tabs>
              <w:bidi/>
              <w:spacing w:after="0"/>
              <w:ind w:left="1814" w:hanging="1415"/>
              <w:jc w:val="left"/>
              <w:rPr>
                <w:sz w:val="26"/>
                <w:szCs w:val="26"/>
                <w:rtl/>
                <w:lang w:bidi="ar-EG"/>
              </w:rPr>
            </w:pPr>
            <w:r w:rsidRPr="00667B4B">
              <w:rPr>
                <w:sz w:val="26"/>
                <w:szCs w:val="26"/>
                <w:rtl/>
              </w:rPr>
              <w:t xml:space="preserve">يونيب </w:t>
            </w:r>
            <w:r w:rsidR="003953E1">
              <w:rPr>
                <w:rFonts w:hint="cs"/>
                <w:sz w:val="26"/>
                <w:szCs w:val="26"/>
                <w:rtl/>
                <w:lang w:bidi="ar-EG"/>
              </w:rPr>
              <w:t>ويونيدو</w:t>
            </w:r>
          </w:p>
        </w:tc>
      </w:tr>
    </w:tbl>
    <w:p w14:paraId="55D836FB" w14:textId="77777777" w:rsidR="00004D1A" w:rsidRPr="00004D1A" w:rsidRDefault="00004D1A" w:rsidP="00004D1A">
      <w:pPr>
        <w:bidi/>
        <w:rPr>
          <w:sz w:val="26"/>
          <w:szCs w:val="26"/>
          <w:rtl/>
        </w:rPr>
      </w:pPr>
    </w:p>
    <w:p w14:paraId="62C211E0" w14:textId="77777777" w:rsidR="00004D1A" w:rsidRDefault="00004D1A" w:rsidP="00004D1A">
      <w:pPr>
        <w:pStyle w:val="Heading3"/>
        <w:numPr>
          <w:ilvl w:val="0"/>
          <w:numId w:val="0"/>
        </w:numPr>
        <w:tabs>
          <w:tab w:val="left" w:pos="708"/>
        </w:tabs>
        <w:bidi/>
        <w:spacing w:after="0"/>
        <w:rPr>
          <w:rtl/>
        </w:rPr>
      </w:pPr>
    </w:p>
    <w:p w14:paraId="4A349E48" w14:textId="77777777" w:rsidR="007E5D09" w:rsidRDefault="007E5D09" w:rsidP="00004D1A">
      <w:pPr>
        <w:pStyle w:val="StyleHeader4Para4Left0Firstline0"/>
        <w:numPr>
          <w:ilvl w:val="0"/>
          <w:numId w:val="0"/>
        </w:numPr>
        <w:bidi/>
        <w:jc w:val="left"/>
      </w:pPr>
    </w:p>
    <w:p w14:paraId="75D12C33" w14:textId="77777777" w:rsidR="00FE13A5" w:rsidRDefault="00FE13A5">
      <w:pPr>
        <w:pStyle w:val="StyleHeader4Para4Left0Firstline0"/>
        <w:numPr>
          <w:ilvl w:val="0"/>
          <w:numId w:val="0"/>
        </w:numPr>
      </w:pPr>
    </w:p>
    <w:p w14:paraId="74998D18" w14:textId="77777777" w:rsidR="00FE13A5" w:rsidRDefault="00FE13A5">
      <w:pPr>
        <w:pStyle w:val="StyleHeader4Para4Left0Firstline0"/>
        <w:numPr>
          <w:ilvl w:val="0"/>
          <w:numId w:val="0"/>
        </w:numPr>
      </w:pPr>
    </w:p>
    <w:p w14:paraId="41C6D990" w14:textId="77777777" w:rsidR="00FE13A5" w:rsidRDefault="00FE13A5">
      <w:pPr>
        <w:pStyle w:val="StyleHeader4Para4Left0Firstline0"/>
        <w:numPr>
          <w:ilvl w:val="0"/>
          <w:numId w:val="0"/>
        </w:numPr>
      </w:pPr>
    </w:p>
    <w:p w14:paraId="04954F4B" w14:textId="77777777" w:rsidR="00FE13A5" w:rsidRDefault="00FE13A5">
      <w:pPr>
        <w:pStyle w:val="StyleHeader4Para4Left0Firstline0"/>
        <w:numPr>
          <w:ilvl w:val="0"/>
          <w:numId w:val="0"/>
        </w:numPr>
      </w:pPr>
    </w:p>
    <w:p w14:paraId="6F0FABE3" w14:textId="77777777" w:rsidR="003D326B" w:rsidRDefault="003D326B" w:rsidP="003D326B">
      <w:pPr>
        <w:pStyle w:val="StyleHeader4Para4Left0Firstline0"/>
        <w:numPr>
          <w:ilvl w:val="0"/>
          <w:numId w:val="24"/>
        </w:numPr>
        <w:jc w:val="right"/>
        <w:rPr>
          <w:lang w:val="en-CA" w:bidi="ar-BH"/>
        </w:rPr>
      </w:pPr>
      <w:r>
        <w:rPr>
          <w:rFonts w:hint="cs"/>
          <w:rtl/>
          <w:lang w:val="en-CA" w:bidi="ar-BH"/>
        </w:rPr>
        <w:t xml:space="preserve">*  </w:t>
      </w:r>
      <w:r>
        <w:rPr>
          <w:rFonts w:hint="cs"/>
          <w:rtl/>
          <w:lang w:bidi="ar-BH"/>
        </w:rPr>
        <w:t xml:space="preserve">بسبب </w:t>
      </w:r>
      <w:r>
        <w:rPr>
          <w:rFonts w:hint="cs"/>
          <w:rtl/>
          <w:lang w:val="en-CA" w:bidi="ar-BH"/>
        </w:rPr>
        <w:t>فيروس كورونا (كوفيد-19)</w:t>
      </w:r>
    </w:p>
    <w:p w14:paraId="474213C8" w14:textId="77777777" w:rsidR="003D326B" w:rsidRPr="00272FB1" w:rsidRDefault="003D326B" w:rsidP="00272FB1">
      <w:pPr>
        <w:bidi/>
        <w:ind w:left="357"/>
        <w:jc w:val="center"/>
        <w:rPr>
          <w:bCs/>
          <w:sz w:val="26"/>
          <w:szCs w:val="26"/>
          <w:lang w:bidi="ar-EG"/>
        </w:rPr>
      </w:pPr>
      <w:r w:rsidRPr="00272FB1">
        <w:rPr>
          <w:rFonts w:hint="cs"/>
          <w:bCs/>
          <w:sz w:val="26"/>
          <w:szCs w:val="26"/>
          <w:rtl/>
          <w:lang w:bidi="ar-AE"/>
        </w:rPr>
        <w:lastRenderedPageBreak/>
        <w:t>ورقة تقييم المشروع – مشروعات متعددة السنوات</w:t>
      </w:r>
    </w:p>
    <w:p w14:paraId="4CFDC449" w14:textId="77777777" w:rsidR="003D326B" w:rsidRDefault="003D326B" w:rsidP="00272FB1">
      <w:pPr>
        <w:bidi/>
        <w:ind w:left="357"/>
        <w:jc w:val="center"/>
        <w:rPr>
          <w:bCs/>
          <w:sz w:val="26"/>
          <w:szCs w:val="26"/>
          <w:rtl/>
          <w:lang w:bidi="ar-EG"/>
        </w:rPr>
      </w:pPr>
      <w:r>
        <w:rPr>
          <w:rFonts w:hint="cs"/>
          <w:bCs/>
          <w:sz w:val="26"/>
          <w:szCs w:val="26"/>
          <w:rtl/>
          <w:lang w:bidi="ar-EG"/>
        </w:rPr>
        <w:t>غينيا</w:t>
      </w:r>
      <w:r w:rsidR="00146908">
        <w:rPr>
          <w:bCs/>
          <w:sz w:val="26"/>
          <w:szCs w:val="26"/>
          <w:lang w:bidi="ar-EG"/>
        </w:rPr>
        <w:t xml:space="preserve"> </w:t>
      </w:r>
      <w:r>
        <w:rPr>
          <w:rFonts w:hint="cs"/>
          <w:bCs/>
          <w:sz w:val="26"/>
          <w:szCs w:val="26"/>
          <w:rtl/>
          <w:lang w:bidi="ar-EG"/>
        </w:rPr>
        <w:t>- بيساو</w:t>
      </w:r>
    </w:p>
    <w:tbl>
      <w:tblPr>
        <w:tblStyle w:val="TableGrid"/>
        <w:bidiVisual/>
        <w:tblW w:w="10980" w:type="dxa"/>
        <w:tblInd w:w="-70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187"/>
        <w:gridCol w:w="2463"/>
        <w:gridCol w:w="2542"/>
        <w:gridCol w:w="2788"/>
      </w:tblGrid>
      <w:tr w:rsidR="003D326B" w14:paraId="0551961C" w14:textId="77777777" w:rsidTr="003D326B">
        <w:trPr>
          <w:trHeight w:val="240"/>
        </w:trPr>
        <w:tc>
          <w:tcPr>
            <w:tcW w:w="3187" w:type="dxa"/>
            <w:tcBorders>
              <w:top w:val="single" w:sz="4" w:space="0" w:color="666699"/>
              <w:left w:val="single" w:sz="4" w:space="0" w:color="666699"/>
              <w:bottom w:val="single" w:sz="4" w:space="0" w:color="666699"/>
              <w:right w:val="single" w:sz="4" w:space="0" w:color="666699"/>
            </w:tcBorders>
            <w:hideMark/>
          </w:tcPr>
          <w:p w14:paraId="3E5FFC30" w14:textId="77777777" w:rsidR="003D326B" w:rsidRDefault="003D326B">
            <w:pPr>
              <w:bidi/>
              <w:spacing w:after="80"/>
              <w:jc w:val="left"/>
              <w:rPr>
                <w:bCs/>
                <w:sz w:val="18"/>
                <w:szCs w:val="24"/>
              </w:rPr>
            </w:pPr>
            <w:r>
              <w:rPr>
                <w:rFonts w:hint="cs"/>
                <w:bCs/>
                <w:sz w:val="18"/>
                <w:rtl/>
              </w:rPr>
              <w:t>(أولا) عنوان المشروع</w:t>
            </w:r>
          </w:p>
        </w:tc>
        <w:tc>
          <w:tcPr>
            <w:tcW w:w="2463" w:type="dxa"/>
            <w:tcBorders>
              <w:top w:val="single" w:sz="4" w:space="0" w:color="666699"/>
              <w:left w:val="single" w:sz="4" w:space="0" w:color="666699"/>
              <w:bottom w:val="single" w:sz="4" w:space="0" w:color="666699"/>
              <w:right w:val="single" w:sz="4" w:space="0" w:color="666699"/>
            </w:tcBorders>
            <w:hideMark/>
          </w:tcPr>
          <w:p w14:paraId="035A84D9" w14:textId="77777777" w:rsidR="003D326B" w:rsidRDefault="003D326B">
            <w:pPr>
              <w:spacing w:after="80"/>
              <w:jc w:val="center"/>
              <w:rPr>
                <w:bCs/>
                <w:sz w:val="18"/>
                <w:szCs w:val="24"/>
              </w:rPr>
            </w:pPr>
            <w:r>
              <w:rPr>
                <w:rFonts w:hint="cs"/>
                <w:bCs/>
                <w:sz w:val="18"/>
                <w:rtl/>
              </w:rPr>
              <w:t>الوكالة</w:t>
            </w:r>
          </w:p>
        </w:tc>
        <w:tc>
          <w:tcPr>
            <w:tcW w:w="2542" w:type="dxa"/>
            <w:tcBorders>
              <w:top w:val="single" w:sz="4" w:space="0" w:color="666699"/>
              <w:left w:val="single" w:sz="4" w:space="0" w:color="666699"/>
              <w:bottom w:val="single" w:sz="4" w:space="0" w:color="666699"/>
              <w:right w:val="single" w:sz="4" w:space="0" w:color="666699"/>
            </w:tcBorders>
            <w:hideMark/>
          </w:tcPr>
          <w:p w14:paraId="42A73047" w14:textId="77777777" w:rsidR="003D326B" w:rsidRDefault="003D326B">
            <w:pPr>
              <w:spacing w:after="80"/>
              <w:jc w:val="center"/>
              <w:rPr>
                <w:bCs/>
                <w:sz w:val="18"/>
                <w:szCs w:val="24"/>
              </w:rPr>
            </w:pPr>
            <w:r>
              <w:rPr>
                <w:rFonts w:hint="cs"/>
                <w:bCs/>
                <w:sz w:val="18"/>
                <w:rtl/>
              </w:rPr>
              <w:t>الاجتماع الذي تمت فيه الموافقة</w:t>
            </w:r>
          </w:p>
        </w:tc>
        <w:tc>
          <w:tcPr>
            <w:tcW w:w="2788" w:type="dxa"/>
            <w:tcBorders>
              <w:top w:val="single" w:sz="4" w:space="0" w:color="666699"/>
              <w:left w:val="single" w:sz="4" w:space="0" w:color="666699"/>
              <w:bottom w:val="single" w:sz="4" w:space="0" w:color="666699"/>
              <w:right w:val="single" w:sz="4" w:space="0" w:color="666699"/>
            </w:tcBorders>
            <w:hideMark/>
          </w:tcPr>
          <w:p w14:paraId="22F3FD85" w14:textId="77777777" w:rsidR="003D326B" w:rsidRDefault="003D326B">
            <w:pPr>
              <w:spacing w:after="80"/>
              <w:jc w:val="center"/>
              <w:rPr>
                <w:bCs/>
                <w:sz w:val="18"/>
                <w:szCs w:val="24"/>
              </w:rPr>
            </w:pPr>
            <w:r>
              <w:rPr>
                <w:rFonts w:hint="cs"/>
                <w:bCs/>
                <w:sz w:val="18"/>
                <w:rtl/>
              </w:rPr>
              <w:t>تدابير الرقابة</w:t>
            </w:r>
          </w:p>
        </w:tc>
      </w:tr>
      <w:tr w:rsidR="003D326B" w14:paraId="4111FDD0" w14:textId="77777777" w:rsidTr="003D326B">
        <w:trPr>
          <w:trHeight w:val="240"/>
        </w:trPr>
        <w:tc>
          <w:tcPr>
            <w:tcW w:w="3187" w:type="dxa"/>
            <w:tcBorders>
              <w:top w:val="single" w:sz="4" w:space="0" w:color="666699"/>
              <w:left w:val="single" w:sz="4" w:space="0" w:color="666699"/>
              <w:bottom w:val="single" w:sz="4" w:space="0" w:color="666699"/>
              <w:right w:val="single" w:sz="4" w:space="0" w:color="666699"/>
            </w:tcBorders>
            <w:hideMark/>
          </w:tcPr>
          <w:p w14:paraId="25F86BE4" w14:textId="77777777" w:rsidR="003D326B" w:rsidRDefault="003D326B">
            <w:pPr>
              <w:bidi/>
              <w:spacing w:after="80"/>
              <w:jc w:val="left"/>
              <w:rPr>
                <w:sz w:val="18"/>
                <w:szCs w:val="24"/>
              </w:rPr>
            </w:pPr>
            <w:r>
              <w:rPr>
                <w:rFonts w:hint="cs"/>
                <w:sz w:val="18"/>
                <w:rtl/>
              </w:rPr>
              <w:t>خطة إدارة إزالة المواد الهيدروكلوروفلوروكربونية (المرحلة الأولى)</w:t>
            </w:r>
          </w:p>
        </w:tc>
        <w:tc>
          <w:tcPr>
            <w:tcW w:w="2463" w:type="dxa"/>
            <w:tcBorders>
              <w:top w:val="single" w:sz="4" w:space="0" w:color="666699"/>
              <w:left w:val="single" w:sz="4" w:space="0" w:color="666699"/>
              <w:bottom w:val="single" w:sz="4" w:space="0" w:color="666699"/>
              <w:right w:val="single" w:sz="4" w:space="0" w:color="666699"/>
            </w:tcBorders>
            <w:hideMark/>
          </w:tcPr>
          <w:p w14:paraId="464FDAC0" w14:textId="77777777" w:rsidR="003D326B" w:rsidRDefault="003D326B">
            <w:pPr>
              <w:bidi/>
              <w:spacing w:after="80"/>
              <w:jc w:val="center"/>
              <w:rPr>
                <w:sz w:val="18"/>
                <w:szCs w:val="24"/>
                <w:lang w:bidi="ar-EG"/>
              </w:rPr>
            </w:pPr>
            <w:r>
              <w:rPr>
                <w:rFonts w:hint="cs"/>
                <w:sz w:val="18"/>
                <w:rtl/>
              </w:rPr>
              <w:t xml:space="preserve">يونيب (الرئيسة)، يونديبي </w:t>
            </w:r>
          </w:p>
        </w:tc>
        <w:tc>
          <w:tcPr>
            <w:tcW w:w="2542" w:type="dxa"/>
            <w:tcBorders>
              <w:top w:val="single" w:sz="4" w:space="0" w:color="666699"/>
              <w:left w:val="single" w:sz="4" w:space="0" w:color="666699"/>
              <w:bottom w:val="single" w:sz="4" w:space="0" w:color="666699"/>
              <w:right w:val="single" w:sz="4" w:space="0" w:color="666699"/>
            </w:tcBorders>
            <w:hideMark/>
          </w:tcPr>
          <w:p w14:paraId="0087D830" w14:textId="77777777" w:rsidR="003D326B" w:rsidRDefault="003D326B">
            <w:pPr>
              <w:spacing w:after="80"/>
              <w:jc w:val="center"/>
              <w:rPr>
                <w:sz w:val="18"/>
                <w:szCs w:val="24"/>
              </w:rPr>
            </w:pPr>
            <w:r>
              <w:rPr>
                <w:rFonts w:hint="cs"/>
                <w:sz w:val="18"/>
                <w:rtl/>
              </w:rPr>
              <w:t>الخامس والستون</w:t>
            </w:r>
          </w:p>
        </w:tc>
        <w:tc>
          <w:tcPr>
            <w:tcW w:w="2788" w:type="dxa"/>
            <w:tcBorders>
              <w:top w:val="single" w:sz="4" w:space="0" w:color="666699"/>
              <w:left w:val="single" w:sz="4" w:space="0" w:color="666699"/>
              <w:bottom w:val="single" w:sz="4" w:space="0" w:color="666699"/>
              <w:right w:val="single" w:sz="4" w:space="0" w:color="666699"/>
            </w:tcBorders>
            <w:hideMark/>
          </w:tcPr>
          <w:p w14:paraId="767D5425" w14:textId="77777777" w:rsidR="003D326B" w:rsidRDefault="003D326B">
            <w:pPr>
              <w:spacing w:after="80"/>
              <w:jc w:val="center"/>
              <w:rPr>
                <w:sz w:val="18"/>
                <w:szCs w:val="24"/>
              </w:rPr>
            </w:pPr>
            <w:r>
              <w:rPr>
                <w:rFonts w:hint="cs"/>
                <w:sz w:val="18"/>
                <w:rtl/>
              </w:rPr>
              <w:t>35 في المائة بحلول 2020</w:t>
            </w:r>
          </w:p>
        </w:tc>
      </w:tr>
    </w:tbl>
    <w:p w14:paraId="6A42E901" w14:textId="77777777" w:rsidR="003D326B" w:rsidRDefault="003D326B" w:rsidP="00272FB1">
      <w:pPr>
        <w:bidi/>
        <w:spacing w:line="80" w:lineRule="exact"/>
        <w:jc w:val="left"/>
        <w:rPr>
          <w:bCs/>
          <w:sz w:val="26"/>
          <w:szCs w:val="26"/>
          <w:rtl/>
          <w:lang w:bidi="ar-EG"/>
        </w:rPr>
      </w:pPr>
    </w:p>
    <w:tbl>
      <w:tblPr>
        <w:bidiVisual/>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2430"/>
        <w:gridCol w:w="4590"/>
      </w:tblGrid>
      <w:tr w:rsidR="003D326B" w14:paraId="1A07CF39" w14:textId="77777777" w:rsidTr="003D326B">
        <w:tc>
          <w:tcPr>
            <w:tcW w:w="3960" w:type="dxa"/>
            <w:tcBorders>
              <w:top w:val="single" w:sz="4" w:space="0" w:color="auto"/>
              <w:left w:val="single" w:sz="4" w:space="0" w:color="auto"/>
              <w:bottom w:val="single" w:sz="4" w:space="0" w:color="auto"/>
              <w:right w:val="single" w:sz="4" w:space="0" w:color="auto"/>
            </w:tcBorders>
            <w:hideMark/>
          </w:tcPr>
          <w:p w14:paraId="23F1C067" w14:textId="77777777" w:rsidR="003D326B" w:rsidRDefault="003D326B">
            <w:pPr>
              <w:pStyle w:val="Heading3"/>
              <w:numPr>
                <w:ilvl w:val="0"/>
                <w:numId w:val="0"/>
              </w:numPr>
              <w:tabs>
                <w:tab w:val="left" w:pos="720"/>
              </w:tabs>
              <w:bidi/>
              <w:spacing w:after="0"/>
              <w:rPr>
                <w:b/>
                <w:bCs/>
                <w:sz w:val="20"/>
                <w:lang w:bidi="ar-EG"/>
              </w:rPr>
            </w:pPr>
            <w:r>
              <w:rPr>
                <w:b/>
                <w:bCs/>
                <w:sz w:val="20"/>
                <w:rtl/>
                <w:lang w:bidi="ar-EG"/>
              </w:rPr>
              <w:t>(ثانيا) أحدث بيانات المادة 7 (المرفق جيم المجموعة الأولى)</w:t>
            </w:r>
          </w:p>
        </w:tc>
        <w:tc>
          <w:tcPr>
            <w:tcW w:w="2430" w:type="dxa"/>
            <w:tcBorders>
              <w:top w:val="single" w:sz="4" w:space="0" w:color="auto"/>
              <w:left w:val="single" w:sz="4" w:space="0" w:color="auto"/>
              <w:bottom w:val="single" w:sz="4" w:space="0" w:color="auto"/>
              <w:right w:val="single" w:sz="4" w:space="0" w:color="auto"/>
            </w:tcBorders>
            <w:hideMark/>
          </w:tcPr>
          <w:p w14:paraId="0C6EFE9F" w14:textId="77777777" w:rsidR="003D326B" w:rsidRDefault="003D326B">
            <w:pPr>
              <w:pStyle w:val="Heading3"/>
              <w:numPr>
                <w:ilvl w:val="0"/>
                <w:numId w:val="0"/>
              </w:numPr>
              <w:tabs>
                <w:tab w:val="left" w:pos="720"/>
              </w:tabs>
              <w:bidi/>
              <w:spacing w:after="0"/>
              <w:jc w:val="center"/>
              <w:rPr>
                <w:sz w:val="20"/>
                <w:lang w:bidi="ar-EG"/>
              </w:rPr>
            </w:pPr>
            <w:r>
              <w:rPr>
                <w:sz w:val="20"/>
                <w:rtl/>
                <w:lang w:bidi="ar-EG"/>
              </w:rPr>
              <w:t>السنة: 2018</w:t>
            </w:r>
          </w:p>
        </w:tc>
        <w:tc>
          <w:tcPr>
            <w:tcW w:w="4590" w:type="dxa"/>
            <w:tcBorders>
              <w:top w:val="single" w:sz="4" w:space="0" w:color="auto"/>
              <w:left w:val="single" w:sz="4" w:space="0" w:color="auto"/>
              <w:bottom w:val="single" w:sz="4" w:space="0" w:color="auto"/>
              <w:right w:val="single" w:sz="4" w:space="0" w:color="auto"/>
            </w:tcBorders>
            <w:hideMark/>
          </w:tcPr>
          <w:p w14:paraId="192ACD04" w14:textId="77777777" w:rsidR="003D326B" w:rsidRDefault="003D326B" w:rsidP="003D326B">
            <w:pPr>
              <w:pStyle w:val="Heading3"/>
              <w:numPr>
                <w:ilvl w:val="0"/>
                <w:numId w:val="0"/>
              </w:numPr>
              <w:tabs>
                <w:tab w:val="left" w:pos="720"/>
              </w:tabs>
              <w:bidi/>
              <w:spacing w:after="0"/>
              <w:jc w:val="center"/>
              <w:rPr>
                <w:sz w:val="20"/>
                <w:lang w:bidi="ar-EG"/>
              </w:rPr>
            </w:pPr>
            <w:r>
              <w:rPr>
                <w:sz w:val="20"/>
                <w:rtl/>
                <w:lang w:bidi="ar-EG"/>
              </w:rPr>
              <w:t>1.</w:t>
            </w:r>
            <w:r>
              <w:rPr>
                <w:rFonts w:hint="cs"/>
                <w:sz w:val="20"/>
                <w:rtl/>
                <w:lang w:bidi="ar-EG"/>
              </w:rPr>
              <w:t>54</w:t>
            </w:r>
            <w:r>
              <w:rPr>
                <w:sz w:val="20"/>
                <w:rtl/>
                <w:lang w:bidi="ar-EG"/>
              </w:rPr>
              <w:t xml:space="preserve"> (أطنان من قدرات استنفاد الأوزون)</w:t>
            </w:r>
          </w:p>
        </w:tc>
      </w:tr>
    </w:tbl>
    <w:p w14:paraId="38A57D19" w14:textId="77777777" w:rsidR="003D326B" w:rsidRPr="00272FB1" w:rsidRDefault="003D326B" w:rsidP="00272FB1">
      <w:pPr>
        <w:bidi/>
        <w:spacing w:line="80" w:lineRule="exact"/>
        <w:jc w:val="left"/>
        <w:rPr>
          <w:bCs/>
          <w:sz w:val="26"/>
          <w:szCs w:val="26"/>
          <w:rtl/>
          <w:lang w:bidi="ar-EG"/>
        </w:rPr>
      </w:pPr>
    </w:p>
    <w:tbl>
      <w:tblPr>
        <w:bidiVisual/>
        <w:tblW w:w="10980" w:type="dxa"/>
        <w:tblInd w:w="-70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2160"/>
        <w:gridCol w:w="810"/>
        <w:gridCol w:w="720"/>
        <w:gridCol w:w="90"/>
        <w:gridCol w:w="900"/>
        <w:gridCol w:w="1080"/>
        <w:gridCol w:w="1229"/>
        <w:gridCol w:w="767"/>
        <w:gridCol w:w="794"/>
        <w:gridCol w:w="113"/>
        <w:gridCol w:w="787"/>
        <w:gridCol w:w="1530"/>
      </w:tblGrid>
      <w:tr w:rsidR="003D326B" w14:paraId="3BF7F9C2" w14:textId="77777777" w:rsidTr="003D326B">
        <w:trPr>
          <w:trHeight w:hRule="exact" w:val="374"/>
        </w:trPr>
        <w:tc>
          <w:tcPr>
            <w:tcW w:w="6989" w:type="dxa"/>
            <w:gridSpan w:val="7"/>
            <w:tcBorders>
              <w:top w:val="single" w:sz="4" w:space="0" w:color="666699"/>
              <w:left w:val="single" w:sz="4" w:space="0" w:color="666699"/>
              <w:bottom w:val="single" w:sz="4" w:space="0" w:color="666699"/>
              <w:right w:val="single" w:sz="4" w:space="0" w:color="666699"/>
            </w:tcBorders>
            <w:hideMark/>
          </w:tcPr>
          <w:p w14:paraId="3FBCF52F" w14:textId="77777777" w:rsidR="003D326B" w:rsidRDefault="003D326B">
            <w:pPr>
              <w:bidi/>
              <w:spacing w:after="60"/>
              <w:jc w:val="left"/>
              <w:rPr>
                <w:b/>
                <w:sz w:val="18"/>
                <w:lang w:val="en-US" w:bidi="ar-EG"/>
              </w:rPr>
            </w:pPr>
            <w:r>
              <w:rPr>
                <w:rFonts w:hint="cs"/>
                <w:bCs/>
                <w:sz w:val="18"/>
                <w:rtl/>
                <w:lang w:val="en-US"/>
              </w:rPr>
              <w:t>(ثالثا)</w:t>
            </w:r>
            <w:r>
              <w:rPr>
                <w:rFonts w:hint="cs"/>
                <w:b/>
                <w:sz w:val="18"/>
                <w:rtl/>
                <w:lang w:val="en-US"/>
              </w:rPr>
              <w:t xml:space="preserve"> </w:t>
            </w:r>
            <w:r>
              <w:rPr>
                <w:rFonts w:hint="cs"/>
                <w:bCs/>
                <w:sz w:val="18"/>
                <w:rtl/>
                <w:lang w:val="en-US"/>
              </w:rPr>
              <w:t xml:space="preserve">أحدث </w:t>
            </w:r>
            <w:r>
              <w:rPr>
                <w:rFonts w:hint="cs"/>
                <w:b/>
                <w:bCs/>
                <w:sz w:val="20"/>
                <w:rtl/>
                <w:lang w:bidi="ar-EG"/>
              </w:rPr>
              <w:t>البيانات القطاعية للبرنامج القطري (أطنان من قدرات استنفاد الأوزون</w:t>
            </w:r>
            <w:r>
              <w:rPr>
                <w:rFonts w:hint="cs"/>
                <w:b/>
                <w:sz w:val="18"/>
                <w:rtl/>
                <w:lang w:val="en-US" w:bidi="ar-EG"/>
              </w:rPr>
              <w:t>)</w:t>
            </w:r>
          </w:p>
        </w:tc>
        <w:tc>
          <w:tcPr>
            <w:tcW w:w="3991" w:type="dxa"/>
            <w:gridSpan w:val="5"/>
            <w:tcBorders>
              <w:top w:val="single" w:sz="4" w:space="0" w:color="666699"/>
              <w:left w:val="single" w:sz="4" w:space="0" w:color="666699"/>
              <w:bottom w:val="single" w:sz="4" w:space="0" w:color="666699"/>
              <w:right w:val="single" w:sz="4" w:space="0" w:color="666699"/>
            </w:tcBorders>
            <w:hideMark/>
          </w:tcPr>
          <w:p w14:paraId="4F16E264" w14:textId="77777777" w:rsidR="003D326B" w:rsidRDefault="003D326B">
            <w:pPr>
              <w:bidi/>
              <w:spacing w:after="60"/>
              <w:jc w:val="center"/>
              <w:rPr>
                <w:bCs/>
                <w:sz w:val="18"/>
                <w:lang w:val="en-US"/>
              </w:rPr>
            </w:pPr>
            <w:r>
              <w:rPr>
                <w:rFonts w:hint="cs"/>
                <w:bCs/>
                <w:sz w:val="18"/>
                <w:rtl/>
                <w:lang w:val="en-US"/>
              </w:rPr>
              <w:t>السنة: 2018</w:t>
            </w:r>
          </w:p>
        </w:tc>
      </w:tr>
      <w:tr w:rsidR="003D326B" w14:paraId="3E821E43" w14:textId="77777777" w:rsidTr="003D326B">
        <w:trPr>
          <w:trHeight w:hRule="exact" w:val="487"/>
        </w:trPr>
        <w:tc>
          <w:tcPr>
            <w:tcW w:w="2160" w:type="dxa"/>
            <w:tcBorders>
              <w:top w:val="single" w:sz="4" w:space="0" w:color="666699"/>
              <w:left w:val="single" w:sz="4" w:space="0" w:color="666699"/>
              <w:bottom w:val="single" w:sz="4" w:space="0" w:color="666699"/>
              <w:right w:val="single" w:sz="4" w:space="0" w:color="666699"/>
            </w:tcBorders>
            <w:hideMark/>
          </w:tcPr>
          <w:p w14:paraId="333562BE" w14:textId="77777777" w:rsidR="003D326B" w:rsidRDefault="003D326B">
            <w:pPr>
              <w:bidi/>
              <w:spacing w:after="60"/>
              <w:jc w:val="center"/>
              <w:rPr>
                <w:sz w:val="18"/>
                <w:lang w:val="en-US"/>
              </w:rPr>
            </w:pPr>
            <w:r>
              <w:rPr>
                <w:rFonts w:hint="cs"/>
                <w:sz w:val="18"/>
                <w:rtl/>
                <w:lang w:val="en-US"/>
              </w:rPr>
              <w:t>المادة الكيميائية</w:t>
            </w:r>
          </w:p>
        </w:tc>
        <w:tc>
          <w:tcPr>
            <w:tcW w:w="810" w:type="dxa"/>
            <w:tcBorders>
              <w:top w:val="single" w:sz="4" w:space="0" w:color="666699"/>
              <w:left w:val="single" w:sz="4" w:space="0" w:color="666699"/>
              <w:bottom w:val="single" w:sz="4" w:space="0" w:color="666699"/>
              <w:right w:val="single" w:sz="4" w:space="0" w:color="666699"/>
            </w:tcBorders>
            <w:hideMark/>
          </w:tcPr>
          <w:p w14:paraId="2219CFA5" w14:textId="77777777" w:rsidR="003D326B" w:rsidRDefault="003D326B">
            <w:pPr>
              <w:bidi/>
              <w:spacing w:after="60"/>
              <w:jc w:val="center"/>
              <w:rPr>
                <w:sz w:val="18"/>
                <w:lang w:val="en-US"/>
              </w:rPr>
            </w:pPr>
            <w:r>
              <w:rPr>
                <w:rFonts w:hint="cs"/>
                <w:sz w:val="18"/>
                <w:rtl/>
                <w:lang w:val="en-US"/>
              </w:rPr>
              <w:t>أيروسول</w:t>
            </w:r>
          </w:p>
        </w:tc>
        <w:tc>
          <w:tcPr>
            <w:tcW w:w="720" w:type="dxa"/>
            <w:tcBorders>
              <w:top w:val="single" w:sz="4" w:space="0" w:color="666699"/>
              <w:left w:val="single" w:sz="4" w:space="0" w:color="666699"/>
              <w:bottom w:val="single" w:sz="4" w:space="0" w:color="666699"/>
              <w:right w:val="single" w:sz="4" w:space="0" w:color="666699"/>
            </w:tcBorders>
            <w:hideMark/>
          </w:tcPr>
          <w:p w14:paraId="533F9E65" w14:textId="77777777" w:rsidR="003D326B" w:rsidRDefault="003D326B">
            <w:pPr>
              <w:bidi/>
              <w:spacing w:after="60"/>
              <w:jc w:val="center"/>
              <w:rPr>
                <w:sz w:val="18"/>
                <w:lang w:val="en-US"/>
              </w:rPr>
            </w:pPr>
            <w:r>
              <w:rPr>
                <w:rFonts w:hint="cs"/>
                <w:sz w:val="18"/>
                <w:rtl/>
                <w:lang w:val="en-US"/>
              </w:rPr>
              <w:t>رغاوي</w:t>
            </w:r>
          </w:p>
        </w:tc>
        <w:tc>
          <w:tcPr>
            <w:tcW w:w="990" w:type="dxa"/>
            <w:gridSpan w:val="2"/>
            <w:tcBorders>
              <w:top w:val="single" w:sz="4" w:space="0" w:color="666699"/>
              <w:left w:val="single" w:sz="4" w:space="0" w:color="666699"/>
              <w:bottom w:val="single" w:sz="4" w:space="0" w:color="666699"/>
              <w:right w:val="single" w:sz="4" w:space="0" w:color="666699"/>
            </w:tcBorders>
            <w:hideMark/>
          </w:tcPr>
          <w:p w14:paraId="4AAC5E09" w14:textId="77777777" w:rsidR="003D326B" w:rsidRDefault="003D326B">
            <w:pPr>
              <w:bidi/>
              <w:spacing w:after="60"/>
              <w:jc w:val="center"/>
              <w:rPr>
                <w:sz w:val="18"/>
                <w:lang w:val="en-US"/>
              </w:rPr>
            </w:pPr>
            <w:r>
              <w:rPr>
                <w:rFonts w:hint="cs"/>
                <w:sz w:val="18"/>
                <w:rtl/>
                <w:lang w:val="en-US"/>
              </w:rPr>
              <w:t>مكافحة الحريق</w:t>
            </w:r>
          </w:p>
        </w:tc>
        <w:tc>
          <w:tcPr>
            <w:tcW w:w="2309" w:type="dxa"/>
            <w:gridSpan w:val="2"/>
            <w:tcBorders>
              <w:top w:val="single" w:sz="4" w:space="0" w:color="666699"/>
              <w:left w:val="single" w:sz="4" w:space="0" w:color="666699"/>
              <w:bottom w:val="single" w:sz="4" w:space="0" w:color="666699"/>
              <w:right w:val="single" w:sz="4" w:space="0" w:color="666699"/>
            </w:tcBorders>
            <w:hideMark/>
          </w:tcPr>
          <w:p w14:paraId="51A054D6" w14:textId="77777777" w:rsidR="003D326B" w:rsidRDefault="003D326B">
            <w:pPr>
              <w:bidi/>
              <w:spacing w:after="60"/>
              <w:jc w:val="center"/>
              <w:rPr>
                <w:sz w:val="18"/>
                <w:lang w:val="en-US"/>
              </w:rPr>
            </w:pPr>
            <w:r>
              <w:rPr>
                <w:rFonts w:hint="cs"/>
                <w:sz w:val="18"/>
                <w:rtl/>
                <w:lang w:val="en-US"/>
              </w:rPr>
              <w:t>التبريد</w:t>
            </w:r>
          </w:p>
        </w:tc>
        <w:tc>
          <w:tcPr>
            <w:tcW w:w="767" w:type="dxa"/>
            <w:tcBorders>
              <w:top w:val="single" w:sz="4" w:space="0" w:color="666699"/>
              <w:left w:val="single" w:sz="4" w:space="0" w:color="666699"/>
              <w:bottom w:val="single" w:sz="4" w:space="0" w:color="666699"/>
              <w:right w:val="single" w:sz="4" w:space="0" w:color="666699"/>
            </w:tcBorders>
            <w:hideMark/>
          </w:tcPr>
          <w:p w14:paraId="0EE38038" w14:textId="77777777" w:rsidR="003D326B" w:rsidRDefault="003D326B">
            <w:pPr>
              <w:bidi/>
              <w:spacing w:after="60"/>
              <w:jc w:val="center"/>
              <w:rPr>
                <w:sz w:val="18"/>
              </w:rPr>
            </w:pPr>
            <w:r>
              <w:rPr>
                <w:rFonts w:hint="cs"/>
                <w:sz w:val="18"/>
                <w:rtl/>
              </w:rPr>
              <w:t>مذيبات</w:t>
            </w:r>
          </w:p>
        </w:tc>
        <w:tc>
          <w:tcPr>
            <w:tcW w:w="794" w:type="dxa"/>
            <w:tcBorders>
              <w:top w:val="single" w:sz="4" w:space="0" w:color="666699"/>
              <w:left w:val="single" w:sz="4" w:space="0" w:color="666699"/>
              <w:bottom w:val="single" w:sz="4" w:space="0" w:color="666699"/>
              <w:right w:val="single" w:sz="4" w:space="0" w:color="666699"/>
            </w:tcBorders>
            <w:hideMark/>
          </w:tcPr>
          <w:p w14:paraId="48BA9C17" w14:textId="77777777" w:rsidR="003D326B" w:rsidRDefault="003D326B">
            <w:pPr>
              <w:bidi/>
              <w:spacing w:after="60"/>
              <w:jc w:val="center"/>
              <w:rPr>
                <w:sz w:val="18"/>
              </w:rPr>
            </w:pPr>
            <w:r>
              <w:rPr>
                <w:rFonts w:hint="cs"/>
                <w:sz w:val="18"/>
                <w:rtl/>
              </w:rPr>
              <w:t>عامل تجهيز</w:t>
            </w:r>
          </w:p>
        </w:tc>
        <w:tc>
          <w:tcPr>
            <w:tcW w:w="900" w:type="dxa"/>
            <w:gridSpan w:val="2"/>
            <w:tcBorders>
              <w:top w:val="single" w:sz="4" w:space="0" w:color="666699"/>
              <w:left w:val="single" w:sz="4" w:space="0" w:color="666699"/>
              <w:bottom w:val="single" w:sz="4" w:space="0" w:color="666699"/>
              <w:right w:val="single" w:sz="4" w:space="0" w:color="666699"/>
            </w:tcBorders>
            <w:hideMark/>
          </w:tcPr>
          <w:p w14:paraId="3A02FD97" w14:textId="77777777" w:rsidR="003D326B" w:rsidRDefault="003D326B">
            <w:pPr>
              <w:bidi/>
              <w:spacing w:after="60"/>
              <w:jc w:val="center"/>
              <w:rPr>
                <w:sz w:val="18"/>
              </w:rPr>
            </w:pPr>
            <w:r>
              <w:rPr>
                <w:rFonts w:hint="cs"/>
                <w:sz w:val="18"/>
                <w:rtl/>
              </w:rPr>
              <w:t>استخدام المختبرات</w:t>
            </w:r>
          </w:p>
        </w:tc>
        <w:tc>
          <w:tcPr>
            <w:tcW w:w="1530" w:type="dxa"/>
            <w:tcBorders>
              <w:top w:val="single" w:sz="4" w:space="0" w:color="666699"/>
              <w:left w:val="single" w:sz="4" w:space="0" w:color="666699"/>
              <w:bottom w:val="single" w:sz="4" w:space="0" w:color="666699"/>
              <w:right w:val="single" w:sz="4" w:space="0" w:color="666699"/>
            </w:tcBorders>
            <w:hideMark/>
          </w:tcPr>
          <w:p w14:paraId="1FC75E87" w14:textId="77777777" w:rsidR="003D326B" w:rsidRDefault="003D326B">
            <w:pPr>
              <w:bidi/>
              <w:spacing w:after="60"/>
              <w:jc w:val="center"/>
              <w:rPr>
                <w:sz w:val="18"/>
              </w:rPr>
            </w:pPr>
            <w:r>
              <w:rPr>
                <w:rFonts w:hint="cs"/>
                <w:sz w:val="18"/>
                <w:rtl/>
              </w:rPr>
              <w:t>مجموع استهلاك القطاع</w:t>
            </w:r>
          </w:p>
        </w:tc>
      </w:tr>
      <w:tr w:rsidR="003D326B" w14:paraId="3E2E99F9" w14:textId="77777777" w:rsidTr="003D326B">
        <w:trPr>
          <w:trHeight w:hRule="exact" w:val="240"/>
        </w:trPr>
        <w:tc>
          <w:tcPr>
            <w:tcW w:w="4680" w:type="dxa"/>
            <w:gridSpan w:val="5"/>
            <w:tcBorders>
              <w:top w:val="single" w:sz="4" w:space="0" w:color="666699"/>
              <w:left w:val="single" w:sz="4" w:space="0" w:color="666699"/>
              <w:bottom w:val="single" w:sz="4" w:space="0" w:color="666699"/>
              <w:right w:val="single" w:sz="4" w:space="0" w:color="666699"/>
            </w:tcBorders>
          </w:tcPr>
          <w:p w14:paraId="20CFB32E" w14:textId="77777777" w:rsidR="003D326B" w:rsidRDefault="003D326B">
            <w:pPr>
              <w:bidi/>
              <w:spacing w:after="60"/>
              <w:jc w:val="center"/>
              <w:rPr>
                <w:sz w:val="18"/>
              </w:rPr>
            </w:pPr>
          </w:p>
        </w:tc>
        <w:tc>
          <w:tcPr>
            <w:tcW w:w="1080" w:type="dxa"/>
            <w:tcBorders>
              <w:top w:val="single" w:sz="4" w:space="0" w:color="666699"/>
              <w:left w:val="single" w:sz="4" w:space="0" w:color="666699"/>
              <w:bottom w:val="single" w:sz="4" w:space="0" w:color="666699"/>
              <w:right w:val="single" w:sz="4" w:space="0" w:color="666699"/>
            </w:tcBorders>
            <w:hideMark/>
          </w:tcPr>
          <w:p w14:paraId="5B19A016" w14:textId="77777777" w:rsidR="003D326B" w:rsidRDefault="003D326B">
            <w:pPr>
              <w:bidi/>
              <w:spacing w:after="60"/>
              <w:jc w:val="center"/>
              <w:rPr>
                <w:sz w:val="18"/>
              </w:rPr>
            </w:pPr>
            <w:r>
              <w:rPr>
                <w:rFonts w:hint="cs"/>
                <w:sz w:val="18"/>
                <w:rtl/>
              </w:rPr>
              <w:t>التصنيع</w:t>
            </w:r>
          </w:p>
        </w:tc>
        <w:tc>
          <w:tcPr>
            <w:tcW w:w="1229" w:type="dxa"/>
            <w:tcBorders>
              <w:top w:val="single" w:sz="4" w:space="0" w:color="666699"/>
              <w:left w:val="single" w:sz="4" w:space="0" w:color="666699"/>
              <w:bottom w:val="single" w:sz="4" w:space="0" w:color="666699"/>
              <w:right w:val="single" w:sz="4" w:space="0" w:color="666699"/>
            </w:tcBorders>
            <w:hideMark/>
          </w:tcPr>
          <w:p w14:paraId="011F4490" w14:textId="77777777" w:rsidR="003D326B" w:rsidRDefault="003D326B">
            <w:pPr>
              <w:bidi/>
              <w:spacing w:after="60"/>
              <w:jc w:val="center"/>
              <w:rPr>
                <w:sz w:val="18"/>
              </w:rPr>
            </w:pPr>
            <w:r>
              <w:rPr>
                <w:rFonts w:hint="cs"/>
                <w:sz w:val="18"/>
                <w:rtl/>
              </w:rPr>
              <w:t>الخدمة</w:t>
            </w:r>
          </w:p>
        </w:tc>
        <w:tc>
          <w:tcPr>
            <w:tcW w:w="3991" w:type="dxa"/>
            <w:gridSpan w:val="5"/>
            <w:tcBorders>
              <w:top w:val="single" w:sz="4" w:space="0" w:color="666699"/>
              <w:left w:val="single" w:sz="4" w:space="0" w:color="666699"/>
              <w:bottom w:val="single" w:sz="4" w:space="0" w:color="666699"/>
              <w:right w:val="single" w:sz="4" w:space="0" w:color="666699"/>
            </w:tcBorders>
          </w:tcPr>
          <w:p w14:paraId="2795F040" w14:textId="77777777" w:rsidR="003D326B" w:rsidRDefault="003D326B">
            <w:pPr>
              <w:bidi/>
              <w:spacing w:after="60"/>
              <w:jc w:val="center"/>
              <w:rPr>
                <w:sz w:val="18"/>
              </w:rPr>
            </w:pPr>
          </w:p>
        </w:tc>
      </w:tr>
      <w:tr w:rsidR="003D326B" w14:paraId="64463032" w14:textId="77777777" w:rsidTr="003D326B">
        <w:trPr>
          <w:trHeight w:hRule="exact" w:val="451"/>
        </w:trPr>
        <w:tc>
          <w:tcPr>
            <w:tcW w:w="2160" w:type="dxa"/>
            <w:tcBorders>
              <w:top w:val="single" w:sz="4" w:space="0" w:color="666699"/>
              <w:left w:val="single" w:sz="4" w:space="0" w:color="666699"/>
              <w:bottom w:val="single" w:sz="4" w:space="0" w:color="666699"/>
              <w:right w:val="single" w:sz="4" w:space="0" w:color="666699"/>
            </w:tcBorders>
          </w:tcPr>
          <w:p w14:paraId="1CD5B8D1" w14:textId="77777777" w:rsidR="003D326B" w:rsidRDefault="003D326B">
            <w:pPr>
              <w:spacing w:after="60"/>
              <w:jc w:val="right"/>
              <w:rPr>
                <w:sz w:val="20"/>
                <w:rtl/>
              </w:rPr>
            </w:pPr>
            <w:r>
              <w:rPr>
                <w:rFonts w:hint="cs"/>
                <w:sz w:val="20"/>
                <w:rtl/>
              </w:rPr>
              <w:t>هيدروكلوروفلوروكربون- 22</w:t>
            </w:r>
          </w:p>
          <w:p w14:paraId="4E1FF381" w14:textId="77777777" w:rsidR="003D326B" w:rsidRDefault="003D326B">
            <w:pPr>
              <w:spacing w:after="60"/>
              <w:jc w:val="right"/>
              <w:rPr>
                <w:sz w:val="18"/>
                <w:szCs w:val="18"/>
              </w:rPr>
            </w:pPr>
          </w:p>
        </w:tc>
        <w:tc>
          <w:tcPr>
            <w:tcW w:w="810" w:type="dxa"/>
            <w:tcBorders>
              <w:top w:val="single" w:sz="4" w:space="0" w:color="666699"/>
              <w:left w:val="single" w:sz="4" w:space="0" w:color="666699"/>
              <w:bottom w:val="single" w:sz="4" w:space="0" w:color="666699"/>
              <w:right w:val="single" w:sz="4" w:space="0" w:color="666699"/>
            </w:tcBorders>
          </w:tcPr>
          <w:p w14:paraId="3ACD83F0" w14:textId="77777777" w:rsidR="003D326B" w:rsidRDefault="003D326B">
            <w:pPr>
              <w:spacing w:after="60"/>
              <w:jc w:val="right"/>
              <w:rPr>
                <w:sz w:val="18"/>
              </w:rPr>
            </w:pPr>
          </w:p>
        </w:tc>
        <w:tc>
          <w:tcPr>
            <w:tcW w:w="810" w:type="dxa"/>
            <w:gridSpan w:val="2"/>
            <w:tcBorders>
              <w:top w:val="single" w:sz="4" w:space="0" w:color="666699"/>
              <w:left w:val="single" w:sz="4" w:space="0" w:color="666699"/>
              <w:bottom w:val="single" w:sz="4" w:space="0" w:color="666699"/>
              <w:right w:val="single" w:sz="4" w:space="0" w:color="666699"/>
            </w:tcBorders>
          </w:tcPr>
          <w:p w14:paraId="794B737D" w14:textId="77777777" w:rsidR="003D326B" w:rsidRDefault="003D326B">
            <w:pPr>
              <w:spacing w:after="60"/>
              <w:jc w:val="right"/>
              <w:rPr>
                <w:sz w:val="18"/>
              </w:rPr>
            </w:pPr>
          </w:p>
        </w:tc>
        <w:tc>
          <w:tcPr>
            <w:tcW w:w="900" w:type="dxa"/>
            <w:tcBorders>
              <w:top w:val="single" w:sz="4" w:space="0" w:color="666699"/>
              <w:left w:val="single" w:sz="4" w:space="0" w:color="666699"/>
              <w:bottom w:val="single" w:sz="4" w:space="0" w:color="666699"/>
              <w:right w:val="single" w:sz="4" w:space="0" w:color="666699"/>
            </w:tcBorders>
          </w:tcPr>
          <w:p w14:paraId="5E9A726D" w14:textId="77777777" w:rsidR="003D326B" w:rsidRDefault="003D326B">
            <w:pPr>
              <w:spacing w:after="60"/>
              <w:jc w:val="right"/>
              <w:rPr>
                <w:sz w:val="18"/>
              </w:rPr>
            </w:pPr>
          </w:p>
        </w:tc>
        <w:tc>
          <w:tcPr>
            <w:tcW w:w="1080" w:type="dxa"/>
            <w:tcBorders>
              <w:top w:val="single" w:sz="4" w:space="0" w:color="666699"/>
              <w:left w:val="single" w:sz="4" w:space="0" w:color="666699"/>
              <w:bottom w:val="single" w:sz="4" w:space="0" w:color="666699"/>
              <w:right w:val="single" w:sz="4" w:space="0" w:color="666699"/>
            </w:tcBorders>
            <w:vAlign w:val="center"/>
          </w:tcPr>
          <w:p w14:paraId="6624AEB7" w14:textId="77777777" w:rsidR="003D326B" w:rsidRDefault="003D326B">
            <w:pPr>
              <w:spacing w:after="60"/>
              <w:jc w:val="right"/>
              <w:rPr>
                <w:sz w:val="18"/>
              </w:rPr>
            </w:pPr>
          </w:p>
        </w:tc>
        <w:tc>
          <w:tcPr>
            <w:tcW w:w="1229" w:type="dxa"/>
            <w:tcBorders>
              <w:top w:val="single" w:sz="4" w:space="0" w:color="666699"/>
              <w:left w:val="single" w:sz="4" w:space="0" w:color="666699"/>
              <w:bottom w:val="single" w:sz="4" w:space="0" w:color="666699"/>
              <w:right w:val="single" w:sz="4" w:space="0" w:color="666699"/>
            </w:tcBorders>
            <w:vAlign w:val="center"/>
            <w:hideMark/>
          </w:tcPr>
          <w:p w14:paraId="284F8AA2" w14:textId="77777777" w:rsidR="003D326B" w:rsidRDefault="003D326B" w:rsidP="003D326B">
            <w:pPr>
              <w:spacing w:after="60"/>
              <w:jc w:val="right"/>
              <w:rPr>
                <w:sz w:val="18"/>
              </w:rPr>
            </w:pPr>
            <w:r>
              <w:rPr>
                <w:rFonts w:hint="cs"/>
                <w:sz w:val="20"/>
                <w:rtl/>
                <w:lang w:bidi="ar-EG"/>
              </w:rPr>
              <w:t>1.54</w:t>
            </w:r>
          </w:p>
        </w:tc>
        <w:tc>
          <w:tcPr>
            <w:tcW w:w="767" w:type="dxa"/>
            <w:tcBorders>
              <w:top w:val="single" w:sz="4" w:space="0" w:color="666699"/>
              <w:left w:val="single" w:sz="4" w:space="0" w:color="666699"/>
              <w:bottom w:val="single" w:sz="4" w:space="0" w:color="666699"/>
              <w:right w:val="single" w:sz="4" w:space="0" w:color="666699"/>
            </w:tcBorders>
            <w:vAlign w:val="center"/>
          </w:tcPr>
          <w:p w14:paraId="0E862EC3" w14:textId="77777777" w:rsidR="003D326B" w:rsidRDefault="003D326B">
            <w:pPr>
              <w:spacing w:after="60"/>
              <w:jc w:val="right"/>
              <w:rPr>
                <w:sz w:val="18"/>
              </w:rPr>
            </w:pPr>
          </w:p>
        </w:tc>
        <w:tc>
          <w:tcPr>
            <w:tcW w:w="907" w:type="dxa"/>
            <w:gridSpan w:val="2"/>
            <w:tcBorders>
              <w:top w:val="single" w:sz="4" w:space="0" w:color="666699"/>
              <w:left w:val="single" w:sz="4" w:space="0" w:color="666699"/>
              <w:bottom w:val="single" w:sz="4" w:space="0" w:color="666699"/>
              <w:right w:val="single" w:sz="4" w:space="0" w:color="666699"/>
            </w:tcBorders>
            <w:vAlign w:val="center"/>
          </w:tcPr>
          <w:p w14:paraId="4CBCB45F" w14:textId="77777777" w:rsidR="003D326B" w:rsidRDefault="003D326B">
            <w:pPr>
              <w:spacing w:after="60"/>
              <w:jc w:val="right"/>
              <w:rPr>
                <w:sz w:val="18"/>
              </w:rPr>
            </w:pPr>
          </w:p>
        </w:tc>
        <w:tc>
          <w:tcPr>
            <w:tcW w:w="787" w:type="dxa"/>
            <w:tcBorders>
              <w:top w:val="single" w:sz="4" w:space="0" w:color="666699"/>
              <w:left w:val="single" w:sz="4" w:space="0" w:color="666699"/>
              <w:bottom w:val="single" w:sz="4" w:space="0" w:color="666699"/>
              <w:right w:val="single" w:sz="4" w:space="0" w:color="666699"/>
            </w:tcBorders>
            <w:vAlign w:val="center"/>
          </w:tcPr>
          <w:p w14:paraId="7E608FED" w14:textId="77777777" w:rsidR="003D326B" w:rsidRDefault="003D326B">
            <w:pPr>
              <w:spacing w:after="60"/>
              <w:jc w:val="right"/>
              <w:rPr>
                <w:sz w:val="18"/>
              </w:rPr>
            </w:pPr>
          </w:p>
        </w:tc>
        <w:tc>
          <w:tcPr>
            <w:tcW w:w="1530" w:type="dxa"/>
            <w:tcBorders>
              <w:top w:val="single" w:sz="4" w:space="0" w:color="666699"/>
              <w:left w:val="single" w:sz="4" w:space="0" w:color="666699"/>
              <w:bottom w:val="single" w:sz="4" w:space="0" w:color="666699"/>
              <w:right w:val="single" w:sz="4" w:space="0" w:color="666699"/>
            </w:tcBorders>
            <w:vAlign w:val="center"/>
            <w:hideMark/>
          </w:tcPr>
          <w:p w14:paraId="597E7B1F" w14:textId="77777777" w:rsidR="003D326B" w:rsidRDefault="003D326B" w:rsidP="003D326B">
            <w:pPr>
              <w:spacing w:after="60"/>
              <w:jc w:val="right"/>
              <w:rPr>
                <w:sz w:val="18"/>
              </w:rPr>
            </w:pPr>
            <w:r>
              <w:rPr>
                <w:rFonts w:hint="cs"/>
                <w:sz w:val="20"/>
                <w:rtl/>
                <w:lang w:bidi="ar-EG"/>
              </w:rPr>
              <w:t>1.54</w:t>
            </w:r>
          </w:p>
        </w:tc>
      </w:tr>
    </w:tbl>
    <w:p w14:paraId="73B3E97E" w14:textId="77777777" w:rsidR="003D326B" w:rsidRPr="00272FB1" w:rsidRDefault="003D326B" w:rsidP="00272FB1">
      <w:pPr>
        <w:bidi/>
        <w:spacing w:line="80" w:lineRule="exact"/>
        <w:jc w:val="left"/>
        <w:rPr>
          <w:bCs/>
          <w:sz w:val="26"/>
          <w:szCs w:val="26"/>
          <w:rtl/>
          <w:lang w:bidi="ar-EG"/>
        </w:rPr>
      </w:pPr>
    </w:p>
    <w:tbl>
      <w:tblPr>
        <w:bidiVisual/>
        <w:tblW w:w="10890" w:type="dxa"/>
        <w:tblInd w:w="-70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0A0" w:firstRow="1" w:lastRow="0" w:firstColumn="1" w:lastColumn="0" w:noHBand="0" w:noVBand="0"/>
      </w:tblPr>
      <w:tblGrid>
        <w:gridCol w:w="5820"/>
        <w:gridCol w:w="634"/>
        <w:gridCol w:w="3255"/>
        <w:gridCol w:w="1181"/>
      </w:tblGrid>
      <w:tr w:rsidR="003D326B" w14:paraId="335737DD" w14:textId="77777777" w:rsidTr="003D326B">
        <w:trPr>
          <w:trHeight w:val="240"/>
        </w:trPr>
        <w:tc>
          <w:tcPr>
            <w:tcW w:w="10890" w:type="dxa"/>
            <w:gridSpan w:val="4"/>
            <w:tcBorders>
              <w:top w:val="single" w:sz="4" w:space="0" w:color="666699"/>
              <w:left w:val="single" w:sz="4" w:space="0" w:color="666699"/>
              <w:bottom w:val="single" w:sz="4" w:space="0" w:color="666699"/>
              <w:right w:val="single" w:sz="4" w:space="0" w:color="666699"/>
            </w:tcBorders>
            <w:hideMark/>
          </w:tcPr>
          <w:p w14:paraId="5811863A" w14:textId="77777777" w:rsidR="003D326B" w:rsidRDefault="003D326B">
            <w:pPr>
              <w:bidi/>
              <w:spacing w:after="60"/>
              <w:jc w:val="left"/>
              <w:rPr>
                <w:bCs/>
                <w:sz w:val="18"/>
                <w:lang w:val="en-CA" w:bidi="ar-EG"/>
              </w:rPr>
            </w:pPr>
            <w:r>
              <w:rPr>
                <w:rFonts w:hint="cs"/>
                <w:bCs/>
                <w:sz w:val="18"/>
                <w:rtl/>
                <w:lang w:val="en-CA" w:bidi="ar-EG"/>
              </w:rPr>
              <w:t>(رابعا) بيانات الاستهلاك (أطنان من قدرات استنفاد الأوزون)</w:t>
            </w:r>
          </w:p>
        </w:tc>
      </w:tr>
      <w:tr w:rsidR="003D326B" w14:paraId="54AD1805" w14:textId="77777777" w:rsidTr="003D326B">
        <w:trPr>
          <w:trHeight w:val="240"/>
        </w:trPr>
        <w:tc>
          <w:tcPr>
            <w:tcW w:w="5193" w:type="dxa"/>
            <w:tcBorders>
              <w:top w:val="single" w:sz="4" w:space="0" w:color="666699"/>
              <w:left w:val="single" w:sz="4" w:space="0" w:color="666699"/>
              <w:bottom w:val="single" w:sz="4" w:space="0" w:color="666699"/>
              <w:right w:val="single" w:sz="4" w:space="0" w:color="666699"/>
            </w:tcBorders>
            <w:hideMark/>
          </w:tcPr>
          <w:p w14:paraId="3406D621" w14:textId="77777777" w:rsidR="003D326B" w:rsidRDefault="003D326B">
            <w:pPr>
              <w:bidi/>
              <w:spacing w:after="60"/>
              <w:jc w:val="center"/>
              <w:rPr>
                <w:sz w:val="18"/>
                <w:lang w:val="en-CA"/>
              </w:rPr>
            </w:pPr>
            <w:r>
              <w:rPr>
                <w:rFonts w:hint="cs"/>
                <w:sz w:val="18"/>
                <w:rtl/>
                <w:lang w:val="en-CA"/>
              </w:rPr>
              <w:t>خط الأساس 2009 - 2010 :</w:t>
            </w:r>
          </w:p>
        </w:tc>
        <w:tc>
          <w:tcPr>
            <w:tcW w:w="0" w:type="auto"/>
            <w:tcBorders>
              <w:top w:val="single" w:sz="4" w:space="0" w:color="666699"/>
              <w:left w:val="single" w:sz="4" w:space="0" w:color="666699"/>
              <w:bottom w:val="single" w:sz="4" w:space="0" w:color="666699"/>
              <w:right w:val="single" w:sz="4" w:space="0" w:color="666699"/>
            </w:tcBorders>
            <w:hideMark/>
          </w:tcPr>
          <w:p w14:paraId="0551765A" w14:textId="77777777" w:rsidR="003D326B" w:rsidRDefault="003D326B" w:rsidP="003D326B">
            <w:pPr>
              <w:spacing w:after="60"/>
              <w:jc w:val="right"/>
              <w:rPr>
                <w:sz w:val="18"/>
              </w:rPr>
            </w:pPr>
            <w:r>
              <w:rPr>
                <w:rFonts w:hint="cs"/>
                <w:sz w:val="18"/>
                <w:rtl/>
              </w:rPr>
              <w:t>2.83</w:t>
            </w:r>
          </w:p>
        </w:tc>
        <w:tc>
          <w:tcPr>
            <w:tcW w:w="0" w:type="auto"/>
            <w:tcBorders>
              <w:top w:val="single" w:sz="4" w:space="0" w:color="666699"/>
              <w:left w:val="single" w:sz="4" w:space="0" w:color="666699"/>
              <w:bottom w:val="single" w:sz="4" w:space="0" w:color="666699"/>
              <w:right w:val="single" w:sz="4" w:space="0" w:color="666699"/>
            </w:tcBorders>
            <w:hideMark/>
          </w:tcPr>
          <w:p w14:paraId="2135FD50" w14:textId="77777777" w:rsidR="003D326B" w:rsidRDefault="003D326B">
            <w:pPr>
              <w:bidi/>
              <w:spacing w:after="60"/>
              <w:jc w:val="center"/>
              <w:rPr>
                <w:sz w:val="18"/>
                <w:lang w:val="en-US"/>
              </w:rPr>
            </w:pPr>
            <w:r>
              <w:rPr>
                <w:rFonts w:hint="cs"/>
                <w:sz w:val="18"/>
                <w:rtl/>
                <w:lang w:val="en-US"/>
              </w:rPr>
              <w:t>نقطة البداية لإجمالي التخفيضات المستدامة:</w:t>
            </w:r>
          </w:p>
        </w:tc>
        <w:tc>
          <w:tcPr>
            <w:tcW w:w="1054" w:type="dxa"/>
            <w:tcBorders>
              <w:top w:val="single" w:sz="4" w:space="0" w:color="666699"/>
              <w:left w:val="single" w:sz="4" w:space="0" w:color="666699"/>
              <w:bottom w:val="single" w:sz="4" w:space="0" w:color="666699"/>
              <w:right w:val="single" w:sz="4" w:space="0" w:color="666699"/>
            </w:tcBorders>
            <w:hideMark/>
          </w:tcPr>
          <w:p w14:paraId="2F43BCC2" w14:textId="77777777" w:rsidR="003D326B" w:rsidRDefault="003D326B" w:rsidP="003D326B">
            <w:pPr>
              <w:spacing w:after="60"/>
              <w:jc w:val="right"/>
              <w:rPr>
                <w:sz w:val="18"/>
              </w:rPr>
            </w:pPr>
            <w:r>
              <w:rPr>
                <w:rFonts w:hint="cs"/>
                <w:sz w:val="18"/>
                <w:rtl/>
              </w:rPr>
              <w:t>2.83</w:t>
            </w:r>
          </w:p>
        </w:tc>
      </w:tr>
      <w:tr w:rsidR="003D326B" w14:paraId="254C4A99" w14:textId="77777777" w:rsidTr="003D326B">
        <w:trPr>
          <w:trHeight w:val="240"/>
        </w:trPr>
        <w:tc>
          <w:tcPr>
            <w:tcW w:w="10890" w:type="dxa"/>
            <w:gridSpan w:val="4"/>
            <w:tcBorders>
              <w:top w:val="single" w:sz="4" w:space="0" w:color="666699"/>
              <w:left w:val="single" w:sz="4" w:space="0" w:color="666699"/>
              <w:bottom w:val="single" w:sz="4" w:space="0" w:color="666699"/>
              <w:right w:val="single" w:sz="4" w:space="0" w:color="666699"/>
            </w:tcBorders>
            <w:vAlign w:val="center"/>
            <w:hideMark/>
          </w:tcPr>
          <w:p w14:paraId="0F7F64D7" w14:textId="77777777" w:rsidR="003D326B" w:rsidRDefault="003D326B">
            <w:pPr>
              <w:bidi/>
              <w:spacing w:after="60"/>
              <w:jc w:val="center"/>
              <w:rPr>
                <w:bCs/>
                <w:sz w:val="18"/>
                <w:lang w:val="en-US" w:bidi="ar-EG"/>
              </w:rPr>
            </w:pPr>
            <w:r>
              <w:rPr>
                <w:rFonts w:hint="cs"/>
                <w:bCs/>
                <w:sz w:val="18"/>
                <w:rtl/>
                <w:lang w:val="en-US" w:bidi="ar-EG"/>
              </w:rPr>
              <w:t xml:space="preserve">الاستهلاك المؤهل للتمويل </w:t>
            </w:r>
            <w:r>
              <w:rPr>
                <w:rFonts w:hint="cs"/>
                <w:bCs/>
                <w:sz w:val="18"/>
                <w:rtl/>
                <w:lang w:val="en-CA" w:bidi="ar-EG"/>
              </w:rPr>
              <w:t>(أطنان من قدرات استنفاد الأوزون)</w:t>
            </w:r>
          </w:p>
        </w:tc>
      </w:tr>
      <w:tr w:rsidR="003D326B" w14:paraId="3547643E" w14:textId="77777777" w:rsidTr="003D326B">
        <w:trPr>
          <w:trHeight w:val="240"/>
        </w:trPr>
        <w:tc>
          <w:tcPr>
            <w:tcW w:w="5193" w:type="dxa"/>
            <w:tcBorders>
              <w:top w:val="single" w:sz="4" w:space="0" w:color="666699"/>
              <w:left w:val="single" w:sz="4" w:space="0" w:color="666699"/>
              <w:bottom w:val="single" w:sz="4" w:space="0" w:color="666699"/>
              <w:right w:val="single" w:sz="4" w:space="0" w:color="666699"/>
            </w:tcBorders>
            <w:hideMark/>
          </w:tcPr>
          <w:p w14:paraId="7AD695C9" w14:textId="77777777" w:rsidR="003D326B" w:rsidRDefault="003D326B">
            <w:pPr>
              <w:bidi/>
              <w:spacing w:after="60"/>
              <w:jc w:val="center"/>
              <w:rPr>
                <w:sz w:val="18"/>
                <w:lang w:val="en-CA" w:bidi="ar-EG"/>
              </w:rPr>
            </w:pPr>
            <w:r>
              <w:rPr>
                <w:rFonts w:hint="cs"/>
                <w:sz w:val="18"/>
                <w:rtl/>
                <w:lang w:val="en-CA" w:bidi="ar-EG"/>
              </w:rPr>
              <w:t>المعتمد بالفعل:</w:t>
            </w:r>
          </w:p>
        </w:tc>
        <w:tc>
          <w:tcPr>
            <w:tcW w:w="0" w:type="auto"/>
            <w:tcBorders>
              <w:top w:val="single" w:sz="4" w:space="0" w:color="666699"/>
              <w:left w:val="single" w:sz="4" w:space="0" w:color="666699"/>
              <w:bottom w:val="single" w:sz="4" w:space="0" w:color="666699"/>
              <w:right w:val="single" w:sz="4" w:space="0" w:color="666699"/>
            </w:tcBorders>
          </w:tcPr>
          <w:p w14:paraId="153D47CB" w14:textId="77777777" w:rsidR="003D326B" w:rsidRDefault="003D326B" w:rsidP="003D326B">
            <w:pPr>
              <w:spacing w:after="60"/>
              <w:jc w:val="right"/>
              <w:rPr>
                <w:sz w:val="18"/>
                <w:rtl/>
              </w:rPr>
            </w:pPr>
            <w:r>
              <w:rPr>
                <w:rFonts w:hint="cs"/>
                <w:sz w:val="18"/>
                <w:rtl/>
              </w:rPr>
              <w:t>0.99</w:t>
            </w:r>
          </w:p>
          <w:p w14:paraId="6AF7EF51" w14:textId="77777777" w:rsidR="003D326B" w:rsidRDefault="003D326B">
            <w:pPr>
              <w:spacing w:after="60"/>
              <w:jc w:val="right"/>
              <w:rPr>
                <w:sz w:val="18"/>
              </w:rPr>
            </w:pPr>
          </w:p>
        </w:tc>
        <w:tc>
          <w:tcPr>
            <w:tcW w:w="0" w:type="auto"/>
            <w:tcBorders>
              <w:top w:val="single" w:sz="4" w:space="0" w:color="666699"/>
              <w:left w:val="single" w:sz="4" w:space="0" w:color="666699"/>
              <w:bottom w:val="single" w:sz="4" w:space="0" w:color="666699"/>
              <w:right w:val="single" w:sz="4" w:space="0" w:color="666699"/>
            </w:tcBorders>
            <w:hideMark/>
          </w:tcPr>
          <w:p w14:paraId="44A4D596" w14:textId="77777777" w:rsidR="003D326B" w:rsidRDefault="003D326B">
            <w:pPr>
              <w:bidi/>
              <w:spacing w:after="60"/>
              <w:jc w:val="center"/>
              <w:rPr>
                <w:sz w:val="18"/>
                <w:lang w:val="en-CA" w:bidi="ar-EG"/>
              </w:rPr>
            </w:pPr>
            <w:r>
              <w:rPr>
                <w:rFonts w:hint="cs"/>
                <w:sz w:val="18"/>
                <w:rtl/>
                <w:lang w:val="en-CA" w:bidi="ar-EG"/>
              </w:rPr>
              <w:t>المتبقي:</w:t>
            </w:r>
          </w:p>
        </w:tc>
        <w:tc>
          <w:tcPr>
            <w:tcW w:w="1054" w:type="dxa"/>
            <w:tcBorders>
              <w:top w:val="single" w:sz="4" w:space="0" w:color="666699"/>
              <w:left w:val="single" w:sz="4" w:space="0" w:color="666699"/>
              <w:bottom w:val="single" w:sz="4" w:space="0" w:color="666699"/>
              <w:right w:val="single" w:sz="4" w:space="0" w:color="666699"/>
            </w:tcBorders>
            <w:hideMark/>
          </w:tcPr>
          <w:p w14:paraId="02A2A959" w14:textId="77777777" w:rsidR="003D326B" w:rsidRDefault="003D326B" w:rsidP="003D326B">
            <w:pPr>
              <w:spacing w:after="60"/>
              <w:jc w:val="center"/>
              <w:rPr>
                <w:sz w:val="18"/>
              </w:rPr>
            </w:pPr>
            <w:r>
              <w:rPr>
                <w:rFonts w:hint="cs"/>
                <w:sz w:val="18"/>
                <w:rtl/>
              </w:rPr>
              <w:t>1.84</w:t>
            </w:r>
          </w:p>
        </w:tc>
      </w:tr>
    </w:tbl>
    <w:p w14:paraId="0EDD7F1D" w14:textId="77777777" w:rsidR="003D326B" w:rsidRPr="003D326B" w:rsidRDefault="003D326B" w:rsidP="00272FB1">
      <w:pPr>
        <w:bidi/>
        <w:spacing w:line="80" w:lineRule="exact"/>
        <w:jc w:val="left"/>
        <w:rPr>
          <w:bCs/>
          <w:sz w:val="26"/>
          <w:szCs w:val="26"/>
          <w:lang w:bidi="ar-EG"/>
        </w:rPr>
      </w:pPr>
    </w:p>
    <w:tbl>
      <w:tblPr>
        <w:tblStyle w:val="TableGrid"/>
        <w:bidiVisual/>
        <w:tblW w:w="5714" w:type="pct"/>
        <w:tblInd w:w="-70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557"/>
        <w:gridCol w:w="5029"/>
        <w:gridCol w:w="1606"/>
        <w:gridCol w:w="1751"/>
      </w:tblGrid>
      <w:tr w:rsidR="00902124" w14:paraId="19C0E316" w14:textId="77777777" w:rsidTr="00871885">
        <w:trPr>
          <w:trHeight w:val="276"/>
        </w:trPr>
        <w:tc>
          <w:tcPr>
            <w:tcW w:w="3466" w:type="pct"/>
            <w:gridSpan w:val="2"/>
            <w:tcBorders>
              <w:top w:val="single" w:sz="4" w:space="0" w:color="666699"/>
              <w:left w:val="single" w:sz="4" w:space="0" w:color="666699"/>
              <w:bottom w:val="single" w:sz="4" w:space="0" w:color="666699"/>
              <w:right w:val="single" w:sz="4" w:space="0" w:color="666699"/>
            </w:tcBorders>
            <w:hideMark/>
          </w:tcPr>
          <w:p w14:paraId="626224D2" w14:textId="77777777" w:rsidR="00902124" w:rsidRPr="00902124" w:rsidRDefault="00902124" w:rsidP="00902124">
            <w:pPr>
              <w:bidi/>
              <w:spacing w:after="60"/>
              <w:jc w:val="left"/>
              <w:rPr>
                <w:b/>
                <w:sz w:val="20"/>
              </w:rPr>
            </w:pPr>
            <w:r>
              <w:rPr>
                <w:bCs/>
                <w:sz w:val="20"/>
                <w:rtl/>
              </w:rPr>
              <w:t>خامسا) خطة الأعمال</w:t>
            </w:r>
          </w:p>
        </w:tc>
        <w:tc>
          <w:tcPr>
            <w:tcW w:w="734" w:type="pct"/>
            <w:tcBorders>
              <w:top w:val="single" w:sz="4" w:space="0" w:color="666699"/>
              <w:left w:val="single" w:sz="4" w:space="0" w:color="666699"/>
              <w:bottom w:val="single" w:sz="4" w:space="0" w:color="666699"/>
              <w:right w:val="single" w:sz="4" w:space="0" w:color="666699"/>
            </w:tcBorders>
            <w:hideMark/>
          </w:tcPr>
          <w:p w14:paraId="6A2B6959" w14:textId="77777777" w:rsidR="00902124" w:rsidRPr="00902124" w:rsidRDefault="00902124">
            <w:pPr>
              <w:spacing w:after="60"/>
              <w:jc w:val="center"/>
              <w:rPr>
                <w:b/>
                <w:sz w:val="20"/>
              </w:rPr>
            </w:pPr>
            <w:r w:rsidRPr="00902124">
              <w:rPr>
                <w:b/>
                <w:sz w:val="20"/>
              </w:rPr>
              <w:t>2020</w:t>
            </w:r>
          </w:p>
        </w:tc>
        <w:tc>
          <w:tcPr>
            <w:tcW w:w="800" w:type="pct"/>
            <w:tcBorders>
              <w:top w:val="single" w:sz="4" w:space="0" w:color="666699"/>
              <w:left w:val="single" w:sz="4" w:space="0" w:color="666699"/>
              <w:bottom w:val="single" w:sz="4" w:space="0" w:color="666699"/>
              <w:right w:val="single" w:sz="4" w:space="0" w:color="666699"/>
            </w:tcBorders>
            <w:hideMark/>
          </w:tcPr>
          <w:p w14:paraId="1E756C1A" w14:textId="77777777" w:rsidR="00902124" w:rsidRPr="00871885" w:rsidRDefault="00871885">
            <w:pPr>
              <w:spacing w:after="60"/>
              <w:jc w:val="center"/>
              <w:rPr>
                <w:bCs/>
                <w:sz w:val="20"/>
              </w:rPr>
            </w:pPr>
            <w:r w:rsidRPr="00871885">
              <w:rPr>
                <w:rFonts w:hint="cs"/>
                <w:bCs/>
                <w:sz w:val="20"/>
                <w:rtl/>
              </w:rPr>
              <w:t>المجموع</w:t>
            </w:r>
          </w:p>
        </w:tc>
      </w:tr>
      <w:tr w:rsidR="00902124" w14:paraId="6925C8CE" w14:textId="77777777" w:rsidTr="00871885">
        <w:trPr>
          <w:trHeight w:val="276"/>
        </w:trPr>
        <w:tc>
          <w:tcPr>
            <w:tcW w:w="1168" w:type="pct"/>
            <w:vMerge w:val="restart"/>
            <w:tcBorders>
              <w:top w:val="single" w:sz="4" w:space="0" w:color="666699"/>
              <w:left w:val="single" w:sz="4" w:space="0" w:color="666699"/>
              <w:bottom w:val="single" w:sz="4" w:space="0" w:color="666699"/>
              <w:right w:val="single" w:sz="4" w:space="0" w:color="666699"/>
            </w:tcBorders>
            <w:hideMark/>
          </w:tcPr>
          <w:p w14:paraId="17D47AF7" w14:textId="77777777" w:rsidR="00902124" w:rsidRPr="00871885" w:rsidRDefault="00871885">
            <w:pPr>
              <w:spacing w:after="60"/>
              <w:jc w:val="center"/>
              <w:rPr>
                <w:b/>
                <w:bCs/>
                <w:sz w:val="20"/>
              </w:rPr>
            </w:pPr>
            <w:r w:rsidRPr="00871885">
              <w:rPr>
                <w:rFonts w:hint="cs"/>
                <w:b/>
                <w:bCs/>
                <w:sz w:val="20"/>
                <w:rtl/>
              </w:rPr>
              <w:t>يونيب</w:t>
            </w:r>
          </w:p>
        </w:tc>
        <w:tc>
          <w:tcPr>
            <w:tcW w:w="2298" w:type="pct"/>
            <w:tcBorders>
              <w:top w:val="single" w:sz="4" w:space="0" w:color="666699"/>
              <w:left w:val="single" w:sz="4" w:space="0" w:color="666699"/>
              <w:bottom w:val="single" w:sz="4" w:space="0" w:color="666699"/>
              <w:right w:val="single" w:sz="4" w:space="0" w:color="666699"/>
            </w:tcBorders>
            <w:hideMark/>
          </w:tcPr>
          <w:p w14:paraId="4D7E2381" w14:textId="77777777" w:rsidR="00902124" w:rsidRPr="00902124" w:rsidRDefault="00146908" w:rsidP="00902124">
            <w:pPr>
              <w:bidi/>
              <w:spacing w:after="60"/>
              <w:jc w:val="left"/>
              <w:rPr>
                <w:sz w:val="20"/>
              </w:rPr>
            </w:pPr>
            <w:r>
              <w:rPr>
                <w:rFonts w:hint="cs"/>
                <w:sz w:val="20"/>
                <w:rtl/>
                <w:lang w:val="en-US"/>
              </w:rPr>
              <w:t>إ</w:t>
            </w:r>
            <w:r w:rsidR="00871885">
              <w:rPr>
                <w:sz w:val="20"/>
                <w:rtl/>
                <w:lang w:val="en-US"/>
              </w:rPr>
              <w:t>زالة المواد المستنفدة للأوزون (أطنان من قدرات استنفاد الأوزون)</w:t>
            </w:r>
          </w:p>
        </w:tc>
        <w:tc>
          <w:tcPr>
            <w:tcW w:w="734" w:type="pct"/>
            <w:tcBorders>
              <w:top w:val="single" w:sz="4" w:space="0" w:color="666699"/>
              <w:left w:val="single" w:sz="4" w:space="0" w:color="666699"/>
              <w:bottom w:val="single" w:sz="4" w:space="0" w:color="666699"/>
              <w:right w:val="single" w:sz="4" w:space="0" w:color="666699"/>
            </w:tcBorders>
            <w:hideMark/>
          </w:tcPr>
          <w:p w14:paraId="7B24FA87" w14:textId="77777777" w:rsidR="00902124" w:rsidRPr="00902124" w:rsidRDefault="00902124">
            <w:pPr>
              <w:spacing w:after="60"/>
              <w:jc w:val="right"/>
              <w:rPr>
                <w:sz w:val="20"/>
              </w:rPr>
            </w:pPr>
            <w:r w:rsidRPr="00902124">
              <w:rPr>
                <w:sz w:val="20"/>
              </w:rPr>
              <w:t>0.10</w:t>
            </w:r>
          </w:p>
        </w:tc>
        <w:tc>
          <w:tcPr>
            <w:tcW w:w="800" w:type="pct"/>
            <w:tcBorders>
              <w:top w:val="single" w:sz="4" w:space="0" w:color="666699"/>
              <w:left w:val="single" w:sz="4" w:space="0" w:color="666699"/>
              <w:bottom w:val="single" w:sz="4" w:space="0" w:color="666699"/>
              <w:right w:val="single" w:sz="4" w:space="0" w:color="666699"/>
            </w:tcBorders>
            <w:hideMark/>
          </w:tcPr>
          <w:p w14:paraId="54AC181C" w14:textId="77777777" w:rsidR="00902124" w:rsidRPr="00902124" w:rsidRDefault="00902124">
            <w:pPr>
              <w:spacing w:after="60"/>
              <w:jc w:val="right"/>
              <w:rPr>
                <w:sz w:val="20"/>
              </w:rPr>
            </w:pPr>
            <w:r w:rsidRPr="00902124">
              <w:rPr>
                <w:sz w:val="20"/>
              </w:rPr>
              <w:t>0.10</w:t>
            </w:r>
          </w:p>
        </w:tc>
      </w:tr>
      <w:tr w:rsidR="00902124" w14:paraId="07DF59CC" w14:textId="77777777" w:rsidTr="00871885">
        <w:trPr>
          <w:trHeight w:val="276"/>
        </w:trPr>
        <w:tc>
          <w:tcPr>
            <w:tcW w:w="1168" w:type="pct"/>
            <w:vMerge/>
            <w:tcBorders>
              <w:top w:val="single" w:sz="4" w:space="0" w:color="666699"/>
              <w:left w:val="single" w:sz="4" w:space="0" w:color="666699"/>
              <w:bottom w:val="single" w:sz="4" w:space="0" w:color="666699"/>
              <w:right w:val="single" w:sz="4" w:space="0" w:color="666699"/>
            </w:tcBorders>
            <w:vAlign w:val="center"/>
            <w:hideMark/>
          </w:tcPr>
          <w:p w14:paraId="6995707C" w14:textId="77777777" w:rsidR="00902124" w:rsidRPr="00902124" w:rsidRDefault="00902124">
            <w:pPr>
              <w:jc w:val="left"/>
              <w:rPr>
                <w:sz w:val="20"/>
              </w:rPr>
            </w:pPr>
          </w:p>
        </w:tc>
        <w:tc>
          <w:tcPr>
            <w:tcW w:w="2298" w:type="pct"/>
            <w:tcBorders>
              <w:top w:val="single" w:sz="4" w:space="0" w:color="666699"/>
              <w:left w:val="single" w:sz="4" w:space="0" w:color="666699"/>
              <w:bottom w:val="single" w:sz="4" w:space="0" w:color="666699"/>
              <w:right w:val="single" w:sz="4" w:space="0" w:color="666699"/>
            </w:tcBorders>
            <w:hideMark/>
          </w:tcPr>
          <w:p w14:paraId="2509233C" w14:textId="77777777" w:rsidR="00902124" w:rsidRPr="00902124" w:rsidRDefault="00871885" w:rsidP="00871885">
            <w:pPr>
              <w:bidi/>
              <w:spacing w:after="60"/>
              <w:jc w:val="left"/>
              <w:rPr>
                <w:sz w:val="20"/>
              </w:rPr>
            </w:pPr>
            <w:r>
              <w:rPr>
                <w:rFonts w:hint="cs"/>
                <w:sz w:val="20"/>
                <w:rtl/>
              </w:rPr>
              <w:t>التمويل (دولار أمريكي)</w:t>
            </w:r>
          </w:p>
        </w:tc>
        <w:tc>
          <w:tcPr>
            <w:tcW w:w="734" w:type="pct"/>
            <w:tcBorders>
              <w:top w:val="single" w:sz="4" w:space="0" w:color="666699"/>
              <w:left w:val="single" w:sz="4" w:space="0" w:color="666699"/>
              <w:bottom w:val="single" w:sz="4" w:space="0" w:color="666699"/>
              <w:right w:val="single" w:sz="4" w:space="0" w:color="666699"/>
            </w:tcBorders>
            <w:hideMark/>
          </w:tcPr>
          <w:p w14:paraId="6A9974A2" w14:textId="77777777" w:rsidR="00902124" w:rsidRPr="00902124" w:rsidRDefault="00902124">
            <w:pPr>
              <w:spacing w:after="60"/>
              <w:jc w:val="right"/>
              <w:rPr>
                <w:sz w:val="20"/>
              </w:rPr>
            </w:pPr>
            <w:r w:rsidRPr="00902124">
              <w:rPr>
                <w:sz w:val="20"/>
              </w:rPr>
              <w:t>31,640</w:t>
            </w:r>
          </w:p>
        </w:tc>
        <w:tc>
          <w:tcPr>
            <w:tcW w:w="800" w:type="pct"/>
            <w:tcBorders>
              <w:top w:val="single" w:sz="4" w:space="0" w:color="666699"/>
              <w:left w:val="single" w:sz="4" w:space="0" w:color="666699"/>
              <w:bottom w:val="single" w:sz="4" w:space="0" w:color="666699"/>
              <w:right w:val="single" w:sz="4" w:space="0" w:color="666699"/>
            </w:tcBorders>
            <w:hideMark/>
          </w:tcPr>
          <w:p w14:paraId="1C1C61C4" w14:textId="77777777" w:rsidR="00902124" w:rsidRPr="00902124" w:rsidRDefault="00902124">
            <w:pPr>
              <w:spacing w:after="60"/>
              <w:jc w:val="right"/>
              <w:rPr>
                <w:sz w:val="20"/>
              </w:rPr>
            </w:pPr>
            <w:r w:rsidRPr="00902124">
              <w:rPr>
                <w:sz w:val="20"/>
              </w:rPr>
              <w:t>31,640</w:t>
            </w:r>
          </w:p>
        </w:tc>
      </w:tr>
      <w:tr w:rsidR="00902124" w14:paraId="29CDC976" w14:textId="77777777" w:rsidTr="00871885">
        <w:trPr>
          <w:trHeight w:val="276"/>
        </w:trPr>
        <w:tc>
          <w:tcPr>
            <w:tcW w:w="1168" w:type="pct"/>
            <w:vMerge w:val="restart"/>
            <w:tcBorders>
              <w:top w:val="single" w:sz="4" w:space="0" w:color="666699"/>
              <w:left w:val="single" w:sz="4" w:space="0" w:color="666699"/>
              <w:bottom w:val="single" w:sz="4" w:space="0" w:color="666699"/>
              <w:right w:val="single" w:sz="4" w:space="0" w:color="666699"/>
            </w:tcBorders>
            <w:hideMark/>
          </w:tcPr>
          <w:p w14:paraId="1E84A66D" w14:textId="77777777" w:rsidR="00902124" w:rsidRPr="00871885" w:rsidRDefault="00871885">
            <w:pPr>
              <w:spacing w:after="60"/>
              <w:jc w:val="center"/>
              <w:rPr>
                <w:b/>
                <w:bCs/>
                <w:sz w:val="20"/>
              </w:rPr>
            </w:pPr>
            <w:r w:rsidRPr="00871885">
              <w:rPr>
                <w:rFonts w:hint="cs"/>
                <w:b/>
                <w:bCs/>
                <w:sz w:val="20"/>
                <w:rtl/>
              </w:rPr>
              <w:t>يونيدو</w:t>
            </w:r>
          </w:p>
        </w:tc>
        <w:tc>
          <w:tcPr>
            <w:tcW w:w="2298" w:type="pct"/>
            <w:tcBorders>
              <w:top w:val="single" w:sz="4" w:space="0" w:color="666699"/>
              <w:left w:val="single" w:sz="4" w:space="0" w:color="666699"/>
              <w:bottom w:val="single" w:sz="4" w:space="0" w:color="666699"/>
              <w:right w:val="single" w:sz="4" w:space="0" w:color="666699"/>
            </w:tcBorders>
            <w:hideMark/>
          </w:tcPr>
          <w:p w14:paraId="61F169BB" w14:textId="77777777" w:rsidR="00902124" w:rsidRPr="00902124" w:rsidRDefault="00146908" w:rsidP="00902124">
            <w:pPr>
              <w:bidi/>
              <w:spacing w:after="60"/>
              <w:jc w:val="left"/>
              <w:rPr>
                <w:sz w:val="20"/>
              </w:rPr>
            </w:pPr>
            <w:r>
              <w:rPr>
                <w:rFonts w:hint="cs"/>
                <w:sz w:val="20"/>
                <w:rtl/>
                <w:lang w:val="en-US"/>
              </w:rPr>
              <w:t>إ</w:t>
            </w:r>
            <w:r w:rsidR="00871885">
              <w:rPr>
                <w:sz w:val="20"/>
                <w:rtl/>
                <w:lang w:val="en-US"/>
              </w:rPr>
              <w:t>زالة المواد المستنفدة للأوزون (أطنان من قدرات استنفاد الأوزون)</w:t>
            </w:r>
          </w:p>
        </w:tc>
        <w:tc>
          <w:tcPr>
            <w:tcW w:w="734" w:type="pct"/>
            <w:tcBorders>
              <w:top w:val="single" w:sz="4" w:space="0" w:color="666699"/>
              <w:left w:val="single" w:sz="4" w:space="0" w:color="666699"/>
              <w:bottom w:val="single" w:sz="4" w:space="0" w:color="666699"/>
              <w:right w:val="single" w:sz="4" w:space="0" w:color="666699"/>
            </w:tcBorders>
            <w:hideMark/>
          </w:tcPr>
          <w:p w14:paraId="05720560" w14:textId="77777777" w:rsidR="00902124" w:rsidRPr="00902124" w:rsidRDefault="00902124">
            <w:pPr>
              <w:spacing w:after="60"/>
              <w:jc w:val="right"/>
              <w:rPr>
                <w:sz w:val="20"/>
              </w:rPr>
            </w:pPr>
            <w:r w:rsidRPr="00902124">
              <w:rPr>
                <w:sz w:val="20"/>
              </w:rPr>
              <w:t>0</w:t>
            </w:r>
          </w:p>
        </w:tc>
        <w:tc>
          <w:tcPr>
            <w:tcW w:w="800" w:type="pct"/>
            <w:tcBorders>
              <w:top w:val="single" w:sz="4" w:space="0" w:color="666699"/>
              <w:left w:val="single" w:sz="4" w:space="0" w:color="666699"/>
              <w:bottom w:val="single" w:sz="4" w:space="0" w:color="666699"/>
              <w:right w:val="single" w:sz="4" w:space="0" w:color="666699"/>
            </w:tcBorders>
            <w:hideMark/>
          </w:tcPr>
          <w:p w14:paraId="0244F092" w14:textId="77777777" w:rsidR="00902124" w:rsidRPr="00902124" w:rsidRDefault="00902124">
            <w:pPr>
              <w:spacing w:after="60"/>
              <w:jc w:val="right"/>
              <w:rPr>
                <w:sz w:val="20"/>
              </w:rPr>
            </w:pPr>
            <w:r w:rsidRPr="00902124">
              <w:rPr>
                <w:sz w:val="20"/>
              </w:rPr>
              <w:t>0</w:t>
            </w:r>
          </w:p>
        </w:tc>
      </w:tr>
      <w:tr w:rsidR="00902124" w14:paraId="61C54148" w14:textId="77777777" w:rsidTr="00871885">
        <w:trPr>
          <w:trHeight w:val="276"/>
        </w:trPr>
        <w:tc>
          <w:tcPr>
            <w:tcW w:w="1168" w:type="pct"/>
            <w:vMerge/>
            <w:tcBorders>
              <w:top w:val="single" w:sz="4" w:space="0" w:color="666699"/>
              <w:left w:val="single" w:sz="4" w:space="0" w:color="666699"/>
              <w:bottom w:val="single" w:sz="4" w:space="0" w:color="666699"/>
              <w:right w:val="single" w:sz="4" w:space="0" w:color="666699"/>
            </w:tcBorders>
            <w:vAlign w:val="center"/>
            <w:hideMark/>
          </w:tcPr>
          <w:p w14:paraId="56B68517" w14:textId="77777777" w:rsidR="00902124" w:rsidRPr="00902124" w:rsidRDefault="00902124">
            <w:pPr>
              <w:jc w:val="left"/>
              <w:rPr>
                <w:sz w:val="20"/>
              </w:rPr>
            </w:pPr>
          </w:p>
        </w:tc>
        <w:tc>
          <w:tcPr>
            <w:tcW w:w="2298" w:type="pct"/>
            <w:tcBorders>
              <w:top w:val="single" w:sz="4" w:space="0" w:color="666699"/>
              <w:left w:val="single" w:sz="4" w:space="0" w:color="666699"/>
              <w:bottom w:val="single" w:sz="4" w:space="0" w:color="666699"/>
              <w:right w:val="single" w:sz="4" w:space="0" w:color="666699"/>
            </w:tcBorders>
            <w:hideMark/>
          </w:tcPr>
          <w:p w14:paraId="331CB04D" w14:textId="77777777" w:rsidR="00902124" w:rsidRPr="00902124" w:rsidRDefault="00871885" w:rsidP="00871885">
            <w:pPr>
              <w:bidi/>
              <w:spacing w:after="60"/>
              <w:jc w:val="left"/>
              <w:rPr>
                <w:sz w:val="20"/>
              </w:rPr>
            </w:pPr>
            <w:r>
              <w:rPr>
                <w:rFonts w:hint="cs"/>
                <w:sz w:val="20"/>
                <w:rtl/>
              </w:rPr>
              <w:t>التمويل (دولار أمريكي)</w:t>
            </w:r>
          </w:p>
        </w:tc>
        <w:tc>
          <w:tcPr>
            <w:tcW w:w="734" w:type="pct"/>
            <w:tcBorders>
              <w:top w:val="single" w:sz="4" w:space="0" w:color="666699"/>
              <w:left w:val="single" w:sz="4" w:space="0" w:color="666699"/>
              <w:bottom w:val="single" w:sz="4" w:space="0" w:color="666699"/>
              <w:right w:val="single" w:sz="4" w:space="0" w:color="666699"/>
            </w:tcBorders>
            <w:hideMark/>
          </w:tcPr>
          <w:p w14:paraId="6EA457DB" w14:textId="77777777" w:rsidR="00902124" w:rsidRPr="00902124" w:rsidRDefault="00902124">
            <w:pPr>
              <w:spacing w:after="60"/>
              <w:jc w:val="right"/>
              <w:rPr>
                <w:sz w:val="20"/>
              </w:rPr>
            </w:pPr>
            <w:r w:rsidRPr="00902124">
              <w:rPr>
                <w:sz w:val="20"/>
              </w:rPr>
              <w:t>0</w:t>
            </w:r>
          </w:p>
        </w:tc>
        <w:tc>
          <w:tcPr>
            <w:tcW w:w="800" w:type="pct"/>
            <w:tcBorders>
              <w:top w:val="single" w:sz="4" w:space="0" w:color="666699"/>
              <w:left w:val="single" w:sz="4" w:space="0" w:color="666699"/>
              <w:bottom w:val="single" w:sz="4" w:space="0" w:color="666699"/>
              <w:right w:val="single" w:sz="4" w:space="0" w:color="666699"/>
            </w:tcBorders>
            <w:hideMark/>
          </w:tcPr>
          <w:p w14:paraId="31CB5D40" w14:textId="77777777" w:rsidR="00902124" w:rsidRPr="00902124" w:rsidRDefault="00902124">
            <w:pPr>
              <w:spacing w:after="60"/>
              <w:jc w:val="right"/>
              <w:rPr>
                <w:sz w:val="20"/>
              </w:rPr>
            </w:pPr>
            <w:r w:rsidRPr="00902124">
              <w:rPr>
                <w:sz w:val="20"/>
              </w:rPr>
              <w:t>0</w:t>
            </w:r>
          </w:p>
        </w:tc>
      </w:tr>
    </w:tbl>
    <w:p w14:paraId="6766499C" w14:textId="77777777" w:rsidR="00FE13A5" w:rsidRPr="00272FB1" w:rsidRDefault="00FE13A5" w:rsidP="00272FB1">
      <w:pPr>
        <w:bidi/>
        <w:spacing w:line="80" w:lineRule="exact"/>
        <w:jc w:val="left"/>
        <w:rPr>
          <w:bCs/>
          <w:sz w:val="26"/>
          <w:szCs w:val="26"/>
          <w:lang w:bidi="ar-EG"/>
        </w:rPr>
      </w:pPr>
    </w:p>
    <w:tbl>
      <w:tblPr>
        <w:tblStyle w:val="TableGrid"/>
        <w:bidiVisual/>
        <w:tblW w:w="10710" w:type="dxa"/>
        <w:tblInd w:w="-70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1520"/>
        <w:gridCol w:w="796"/>
        <w:gridCol w:w="787"/>
        <w:gridCol w:w="655"/>
        <w:gridCol w:w="763"/>
        <w:gridCol w:w="763"/>
        <w:gridCol w:w="763"/>
        <w:gridCol w:w="763"/>
        <w:gridCol w:w="763"/>
        <w:gridCol w:w="847"/>
        <w:gridCol w:w="763"/>
        <w:gridCol w:w="763"/>
        <w:gridCol w:w="764"/>
      </w:tblGrid>
      <w:tr w:rsidR="003953E1" w14:paraId="53E41277" w14:textId="77777777" w:rsidTr="003953E1">
        <w:trPr>
          <w:trHeight w:val="414"/>
        </w:trPr>
        <w:tc>
          <w:tcPr>
            <w:tcW w:w="3103" w:type="dxa"/>
            <w:gridSpan w:val="3"/>
            <w:tcBorders>
              <w:top w:val="single" w:sz="4" w:space="0" w:color="666699"/>
              <w:left w:val="single" w:sz="4" w:space="0" w:color="666699"/>
              <w:bottom w:val="single" w:sz="4" w:space="0" w:color="666699"/>
              <w:right w:val="single" w:sz="4" w:space="0" w:color="666699"/>
            </w:tcBorders>
            <w:hideMark/>
          </w:tcPr>
          <w:p w14:paraId="5A22D96F" w14:textId="77777777" w:rsidR="003953E1" w:rsidRDefault="003953E1" w:rsidP="003953E1">
            <w:pPr>
              <w:bidi/>
              <w:spacing w:after="60"/>
              <w:jc w:val="left"/>
              <w:rPr>
                <w:b/>
                <w:sz w:val="17"/>
                <w:szCs w:val="17"/>
              </w:rPr>
            </w:pPr>
            <w:r>
              <w:rPr>
                <w:rFonts w:hint="cs"/>
                <w:bCs/>
                <w:sz w:val="18"/>
                <w:szCs w:val="18"/>
                <w:rtl/>
              </w:rPr>
              <w:t>(</w:t>
            </w:r>
            <w:r>
              <w:rPr>
                <w:rFonts w:hint="cs"/>
                <w:bCs/>
                <w:sz w:val="20"/>
                <w:rtl/>
              </w:rPr>
              <w:t>سادسا) بيانات المشروع</w:t>
            </w:r>
          </w:p>
        </w:tc>
        <w:tc>
          <w:tcPr>
            <w:tcW w:w="655"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05FC6985" w14:textId="77777777" w:rsidR="003953E1" w:rsidRDefault="003953E1">
            <w:pPr>
              <w:spacing w:after="60"/>
              <w:jc w:val="center"/>
              <w:rPr>
                <w:b/>
                <w:sz w:val="17"/>
                <w:szCs w:val="17"/>
              </w:rPr>
            </w:pPr>
            <w:r>
              <w:rPr>
                <w:b/>
                <w:sz w:val="17"/>
                <w:szCs w:val="17"/>
              </w:rPr>
              <w:t>2011</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3F68BFE6" w14:textId="77777777" w:rsidR="003953E1" w:rsidRDefault="003953E1">
            <w:pPr>
              <w:spacing w:after="60"/>
              <w:jc w:val="center"/>
              <w:rPr>
                <w:b/>
                <w:sz w:val="17"/>
                <w:szCs w:val="17"/>
              </w:rPr>
            </w:pPr>
            <w:r>
              <w:rPr>
                <w:b/>
                <w:sz w:val="17"/>
                <w:szCs w:val="17"/>
              </w:rPr>
              <w:t>2012</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3096B751" w14:textId="77777777" w:rsidR="003953E1" w:rsidRDefault="003953E1">
            <w:pPr>
              <w:spacing w:after="60"/>
              <w:jc w:val="center"/>
              <w:rPr>
                <w:b/>
                <w:sz w:val="17"/>
                <w:szCs w:val="17"/>
              </w:rPr>
            </w:pPr>
            <w:r>
              <w:rPr>
                <w:b/>
                <w:sz w:val="17"/>
                <w:szCs w:val="17"/>
              </w:rPr>
              <w:t>2013</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21037352" w14:textId="77777777" w:rsidR="003953E1" w:rsidRDefault="003953E1">
            <w:pPr>
              <w:spacing w:after="60"/>
              <w:jc w:val="center"/>
              <w:rPr>
                <w:b/>
                <w:sz w:val="17"/>
                <w:szCs w:val="17"/>
              </w:rPr>
            </w:pPr>
            <w:r>
              <w:rPr>
                <w:b/>
                <w:sz w:val="17"/>
                <w:szCs w:val="17"/>
              </w:rPr>
              <w:t>2014</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1C6BE2EA" w14:textId="77777777" w:rsidR="003953E1" w:rsidRDefault="003953E1">
            <w:pPr>
              <w:spacing w:after="60"/>
              <w:jc w:val="center"/>
              <w:rPr>
                <w:b/>
                <w:sz w:val="17"/>
                <w:szCs w:val="17"/>
              </w:rPr>
            </w:pPr>
            <w:r>
              <w:rPr>
                <w:b/>
                <w:sz w:val="17"/>
                <w:szCs w:val="17"/>
              </w:rPr>
              <w:t>2015</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71ECE17A" w14:textId="77777777" w:rsidR="003953E1" w:rsidRDefault="003953E1">
            <w:pPr>
              <w:spacing w:after="60"/>
              <w:jc w:val="center"/>
              <w:rPr>
                <w:b/>
                <w:sz w:val="17"/>
                <w:szCs w:val="17"/>
              </w:rPr>
            </w:pPr>
            <w:r>
              <w:rPr>
                <w:b/>
                <w:sz w:val="17"/>
                <w:szCs w:val="17"/>
              </w:rPr>
              <w:t>2016</w:t>
            </w:r>
          </w:p>
        </w:tc>
        <w:tc>
          <w:tcPr>
            <w:tcW w:w="847"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0" w:type="dxa"/>
            </w:tcMar>
            <w:hideMark/>
          </w:tcPr>
          <w:p w14:paraId="2793078C" w14:textId="77777777" w:rsidR="003953E1" w:rsidRDefault="003953E1">
            <w:pPr>
              <w:spacing w:after="60"/>
              <w:jc w:val="center"/>
              <w:rPr>
                <w:b/>
                <w:sz w:val="17"/>
                <w:szCs w:val="17"/>
              </w:rPr>
            </w:pPr>
            <w:r>
              <w:rPr>
                <w:b/>
                <w:sz w:val="17"/>
                <w:szCs w:val="17"/>
              </w:rPr>
              <w:t>2017 -2018</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4E955402" w14:textId="77777777" w:rsidR="003953E1" w:rsidRDefault="003953E1">
            <w:pPr>
              <w:spacing w:after="60"/>
              <w:jc w:val="center"/>
              <w:rPr>
                <w:b/>
                <w:sz w:val="17"/>
                <w:szCs w:val="17"/>
              </w:rPr>
            </w:pPr>
            <w:r>
              <w:rPr>
                <w:b/>
                <w:sz w:val="17"/>
                <w:szCs w:val="17"/>
              </w:rPr>
              <w:t>2019</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51C4BBE0" w14:textId="77777777" w:rsidR="003953E1" w:rsidRDefault="003953E1">
            <w:pPr>
              <w:spacing w:after="60"/>
              <w:jc w:val="center"/>
              <w:rPr>
                <w:b/>
                <w:sz w:val="17"/>
                <w:szCs w:val="17"/>
              </w:rPr>
            </w:pPr>
            <w:r>
              <w:rPr>
                <w:b/>
                <w:sz w:val="17"/>
                <w:szCs w:val="17"/>
              </w:rPr>
              <w:t>2020</w:t>
            </w:r>
          </w:p>
        </w:tc>
        <w:tc>
          <w:tcPr>
            <w:tcW w:w="764"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0368507A" w14:textId="77777777" w:rsidR="003953E1" w:rsidRPr="003953E1" w:rsidRDefault="003953E1">
            <w:pPr>
              <w:spacing w:after="60"/>
              <w:jc w:val="center"/>
              <w:rPr>
                <w:bCs/>
                <w:sz w:val="17"/>
                <w:szCs w:val="17"/>
              </w:rPr>
            </w:pPr>
            <w:r w:rsidRPr="003953E1">
              <w:rPr>
                <w:rFonts w:hint="cs"/>
                <w:bCs/>
                <w:sz w:val="17"/>
                <w:szCs w:val="17"/>
                <w:rtl/>
              </w:rPr>
              <w:t>المجموع</w:t>
            </w:r>
          </w:p>
        </w:tc>
      </w:tr>
      <w:tr w:rsidR="003953E1" w14:paraId="6DC3AC2D" w14:textId="77777777" w:rsidTr="003953E1">
        <w:tc>
          <w:tcPr>
            <w:tcW w:w="3103" w:type="dxa"/>
            <w:gridSpan w:val="3"/>
            <w:tcBorders>
              <w:top w:val="single" w:sz="4" w:space="0" w:color="666699"/>
              <w:left w:val="single" w:sz="4" w:space="0" w:color="666699"/>
              <w:bottom w:val="single" w:sz="4" w:space="0" w:color="666699"/>
              <w:right w:val="single" w:sz="4" w:space="0" w:color="666699"/>
            </w:tcBorders>
            <w:hideMark/>
          </w:tcPr>
          <w:p w14:paraId="6FA53745" w14:textId="77777777" w:rsidR="003953E1" w:rsidRDefault="003953E1" w:rsidP="003953E1">
            <w:pPr>
              <w:bidi/>
              <w:spacing w:after="60"/>
              <w:jc w:val="left"/>
              <w:rPr>
                <w:sz w:val="17"/>
                <w:szCs w:val="17"/>
              </w:rPr>
            </w:pPr>
            <w:r>
              <w:rPr>
                <w:rFonts w:hint="cs"/>
                <w:sz w:val="20"/>
                <w:rtl/>
              </w:rPr>
              <w:t>حدود استهلاك بروتوكول مونتريال</w:t>
            </w:r>
          </w:p>
        </w:tc>
        <w:tc>
          <w:tcPr>
            <w:tcW w:w="655"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30463C51" w14:textId="77777777" w:rsidR="003953E1" w:rsidRDefault="003953E1">
            <w:pPr>
              <w:spacing w:after="60"/>
              <w:jc w:val="center"/>
              <w:rPr>
                <w:sz w:val="17"/>
                <w:szCs w:val="17"/>
              </w:rPr>
            </w:pPr>
            <w:r>
              <w:rPr>
                <w:sz w:val="17"/>
                <w:szCs w:val="17"/>
              </w:rPr>
              <w:t>n/a</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1184B8C9" w14:textId="77777777" w:rsidR="003953E1" w:rsidRDefault="003953E1">
            <w:pPr>
              <w:spacing w:after="60"/>
              <w:jc w:val="center"/>
              <w:rPr>
                <w:sz w:val="17"/>
                <w:szCs w:val="17"/>
              </w:rPr>
            </w:pPr>
            <w:r>
              <w:rPr>
                <w:sz w:val="17"/>
                <w:szCs w:val="17"/>
              </w:rPr>
              <w:t>n/a</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2BB1A3D4" w14:textId="77777777" w:rsidR="003953E1" w:rsidRDefault="003953E1">
            <w:pPr>
              <w:spacing w:after="60"/>
              <w:jc w:val="right"/>
              <w:rPr>
                <w:sz w:val="17"/>
                <w:szCs w:val="17"/>
              </w:rPr>
            </w:pPr>
            <w:r>
              <w:rPr>
                <w:color w:val="000000"/>
                <w:sz w:val="17"/>
                <w:szCs w:val="17"/>
              </w:rPr>
              <w:t>2.83</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58E6C751" w14:textId="77777777" w:rsidR="003953E1" w:rsidRDefault="003953E1">
            <w:pPr>
              <w:spacing w:after="60"/>
              <w:jc w:val="right"/>
              <w:rPr>
                <w:sz w:val="17"/>
                <w:szCs w:val="17"/>
              </w:rPr>
            </w:pPr>
            <w:r>
              <w:rPr>
                <w:color w:val="000000"/>
                <w:sz w:val="17"/>
                <w:szCs w:val="17"/>
              </w:rPr>
              <w:t>2.83</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28795D52" w14:textId="77777777" w:rsidR="003953E1" w:rsidRDefault="003953E1">
            <w:pPr>
              <w:spacing w:after="60"/>
              <w:jc w:val="right"/>
              <w:rPr>
                <w:sz w:val="17"/>
                <w:szCs w:val="17"/>
              </w:rPr>
            </w:pPr>
            <w:r>
              <w:rPr>
                <w:color w:val="000000"/>
                <w:sz w:val="17"/>
                <w:szCs w:val="17"/>
              </w:rPr>
              <w:t>2.55</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52FDE609" w14:textId="77777777" w:rsidR="003953E1" w:rsidRDefault="003953E1">
            <w:pPr>
              <w:spacing w:after="60"/>
              <w:jc w:val="right"/>
              <w:rPr>
                <w:sz w:val="17"/>
                <w:szCs w:val="17"/>
              </w:rPr>
            </w:pPr>
            <w:r>
              <w:rPr>
                <w:color w:val="000000"/>
                <w:sz w:val="17"/>
                <w:szCs w:val="17"/>
              </w:rPr>
              <w:t>2.55</w:t>
            </w:r>
          </w:p>
        </w:tc>
        <w:tc>
          <w:tcPr>
            <w:tcW w:w="847"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716EB98A" w14:textId="77777777" w:rsidR="003953E1" w:rsidRDefault="003953E1">
            <w:pPr>
              <w:spacing w:after="60"/>
              <w:jc w:val="right"/>
              <w:rPr>
                <w:sz w:val="17"/>
                <w:szCs w:val="17"/>
              </w:rPr>
            </w:pPr>
            <w:r>
              <w:rPr>
                <w:color w:val="000000"/>
                <w:sz w:val="17"/>
                <w:szCs w:val="17"/>
              </w:rPr>
              <w:t>2.55</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3FD0CDE8" w14:textId="77777777" w:rsidR="003953E1" w:rsidRDefault="003953E1">
            <w:pPr>
              <w:spacing w:after="60"/>
              <w:jc w:val="right"/>
              <w:rPr>
                <w:sz w:val="17"/>
                <w:szCs w:val="17"/>
              </w:rPr>
            </w:pPr>
            <w:r>
              <w:rPr>
                <w:color w:val="000000"/>
                <w:sz w:val="17"/>
                <w:szCs w:val="17"/>
              </w:rPr>
              <w:t>2.55</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487810FA" w14:textId="77777777" w:rsidR="003953E1" w:rsidRDefault="003953E1">
            <w:pPr>
              <w:spacing w:after="60"/>
              <w:jc w:val="right"/>
              <w:rPr>
                <w:sz w:val="17"/>
                <w:szCs w:val="17"/>
              </w:rPr>
            </w:pPr>
            <w:r>
              <w:rPr>
                <w:color w:val="000000"/>
                <w:sz w:val="17"/>
                <w:szCs w:val="17"/>
              </w:rPr>
              <w:t>1.84</w:t>
            </w:r>
          </w:p>
        </w:tc>
        <w:tc>
          <w:tcPr>
            <w:tcW w:w="764"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41301C8A" w14:textId="77777777" w:rsidR="003953E1" w:rsidRDefault="004E5618" w:rsidP="004E5618">
            <w:pPr>
              <w:bidi/>
              <w:spacing w:after="60"/>
              <w:jc w:val="center"/>
              <w:rPr>
                <w:sz w:val="17"/>
                <w:szCs w:val="17"/>
              </w:rPr>
            </w:pPr>
            <w:r>
              <w:rPr>
                <w:rFonts w:hint="cs"/>
                <w:color w:val="000000"/>
                <w:sz w:val="17"/>
                <w:szCs w:val="17"/>
                <w:rtl/>
              </w:rPr>
              <w:t>غير متاح</w:t>
            </w:r>
          </w:p>
        </w:tc>
      </w:tr>
      <w:tr w:rsidR="003953E1" w14:paraId="03598CEE" w14:textId="77777777" w:rsidTr="003953E1">
        <w:tc>
          <w:tcPr>
            <w:tcW w:w="3103" w:type="dxa"/>
            <w:gridSpan w:val="3"/>
            <w:tcBorders>
              <w:top w:val="single" w:sz="4" w:space="0" w:color="666699"/>
              <w:left w:val="single" w:sz="4" w:space="0" w:color="666699"/>
              <w:bottom w:val="single" w:sz="4" w:space="0" w:color="666699"/>
              <w:right w:val="single" w:sz="4" w:space="0" w:color="666699"/>
            </w:tcBorders>
            <w:hideMark/>
          </w:tcPr>
          <w:p w14:paraId="06B13695" w14:textId="77777777" w:rsidR="003953E1" w:rsidRPr="003953E1" w:rsidRDefault="003953E1" w:rsidP="003953E1">
            <w:pPr>
              <w:bidi/>
              <w:spacing w:after="60"/>
              <w:jc w:val="left"/>
              <w:rPr>
                <w:sz w:val="17"/>
                <w:szCs w:val="17"/>
              </w:rPr>
            </w:pPr>
            <w:r>
              <w:rPr>
                <w:rFonts w:hint="cs"/>
                <w:sz w:val="20"/>
                <w:rtl/>
              </w:rPr>
              <w:t xml:space="preserve">الحد الأقصى للاستهلاك المسموح به </w:t>
            </w:r>
            <w:r>
              <w:rPr>
                <w:rFonts w:hint="cs"/>
                <w:sz w:val="20"/>
                <w:rtl/>
                <w:lang w:val="en-US"/>
              </w:rPr>
              <w:t>(أطنان من قدرات استنفاد الأوزون)</w:t>
            </w:r>
          </w:p>
        </w:tc>
        <w:tc>
          <w:tcPr>
            <w:tcW w:w="655"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5787ABE6" w14:textId="77777777" w:rsidR="003953E1" w:rsidRDefault="003953E1">
            <w:pPr>
              <w:spacing w:after="60"/>
              <w:jc w:val="center"/>
              <w:rPr>
                <w:sz w:val="17"/>
                <w:szCs w:val="17"/>
              </w:rPr>
            </w:pPr>
            <w:r>
              <w:rPr>
                <w:sz w:val="17"/>
                <w:szCs w:val="17"/>
              </w:rPr>
              <w:t>n/a</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0ADA721F" w14:textId="77777777" w:rsidR="003953E1" w:rsidRDefault="003953E1">
            <w:pPr>
              <w:spacing w:after="60"/>
              <w:jc w:val="center"/>
              <w:rPr>
                <w:sz w:val="17"/>
                <w:szCs w:val="17"/>
              </w:rPr>
            </w:pPr>
            <w:r>
              <w:rPr>
                <w:sz w:val="17"/>
                <w:szCs w:val="17"/>
              </w:rPr>
              <w:t>n/a</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7958C163" w14:textId="77777777" w:rsidR="003953E1" w:rsidRDefault="003953E1">
            <w:pPr>
              <w:spacing w:after="60"/>
              <w:jc w:val="right"/>
              <w:rPr>
                <w:sz w:val="17"/>
                <w:szCs w:val="17"/>
              </w:rPr>
            </w:pPr>
            <w:r>
              <w:rPr>
                <w:color w:val="000000"/>
                <w:sz w:val="17"/>
                <w:szCs w:val="17"/>
              </w:rPr>
              <w:t>2.83</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5CFFE0A9" w14:textId="77777777" w:rsidR="003953E1" w:rsidRDefault="003953E1">
            <w:pPr>
              <w:spacing w:after="60"/>
              <w:jc w:val="right"/>
              <w:rPr>
                <w:sz w:val="17"/>
                <w:szCs w:val="17"/>
              </w:rPr>
            </w:pPr>
            <w:r>
              <w:rPr>
                <w:color w:val="000000"/>
                <w:sz w:val="17"/>
                <w:szCs w:val="17"/>
              </w:rPr>
              <w:t>2.83</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5F5A8A3C" w14:textId="77777777" w:rsidR="003953E1" w:rsidRDefault="003953E1">
            <w:pPr>
              <w:spacing w:after="60"/>
              <w:jc w:val="right"/>
              <w:rPr>
                <w:sz w:val="17"/>
                <w:szCs w:val="17"/>
              </w:rPr>
            </w:pPr>
            <w:r>
              <w:rPr>
                <w:color w:val="000000"/>
                <w:sz w:val="17"/>
                <w:szCs w:val="17"/>
              </w:rPr>
              <w:t>2.55</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2F760DA5" w14:textId="77777777" w:rsidR="003953E1" w:rsidRDefault="003953E1">
            <w:pPr>
              <w:spacing w:after="60"/>
              <w:jc w:val="right"/>
              <w:rPr>
                <w:sz w:val="17"/>
                <w:szCs w:val="17"/>
              </w:rPr>
            </w:pPr>
            <w:r>
              <w:rPr>
                <w:color w:val="000000"/>
                <w:sz w:val="17"/>
                <w:szCs w:val="17"/>
              </w:rPr>
              <w:t>2.55</w:t>
            </w:r>
          </w:p>
        </w:tc>
        <w:tc>
          <w:tcPr>
            <w:tcW w:w="847"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5EF6315B" w14:textId="77777777" w:rsidR="003953E1" w:rsidRDefault="003953E1">
            <w:pPr>
              <w:spacing w:after="60"/>
              <w:jc w:val="right"/>
              <w:rPr>
                <w:sz w:val="17"/>
                <w:szCs w:val="17"/>
              </w:rPr>
            </w:pPr>
            <w:r>
              <w:rPr>
                <w:color w:val="000000"/>
                <w:sz w:val="17"/>
                <w:szCs w:val="17"/>
              </w:rPr>
              <w:t>2.55</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25D055AA" w14:textId="77777777" w:rsidR="003953E1" w:rsidRDefault="003953E1">
            <w:pPr>
              <w:spacing w:after="60"/>
              <w:jc w:val="right"/>
              <w:rPr>
                <w:sz w:val="17"/>
                <w:szCs w:val="17"/>
              </w:rPr>
            </w:pPr>
            <w:r>
              <w:rPr>
                <w:color w:val="000000"/>
                <w:sz w:val="17"/>
                <w:szCs w:val="17"/>
              </w:rPr>
              <w:t>2.55</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447319EC" w14:textId="77777777" w:rsidR="003953E1" w:rsidRDefault="003953E1">
            <w:pPr>
              <w:spacing w:after="60"/>
              <w:jc w:val="right"/>
              <w:rPr>
                <w:sz w:val="17"/>
                <w:szCs w:val="17"/>
              </w:rPr>
            </w:pPr>
            <w:r>
              <w:rPr>
                <w:color w:val="000000"/>
                <w:sz w:val="17"/>
                <w:szCs w:val="17"/>
              </w:rPr>
              <w:t>1.84</w:t>
            </w:r>
          </w:p>
        </w:tc>
        <w:tc>
          <w:tcPr>
            <w:tcW w:w="764"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0EB6514C" w14:textId="77777777" w:rsidR="003953E1" w:rsidRDefault="004E5618" w:rsidP="004E5618">
            <w:pPr>
              <w:bidi/>
              <w:spacing w:after="60"/>
              <w:jc w:val="center"/>
              <w:rPr>
                <w:sz w:val="17"/>
                <w:szCs w:val="17"/>
              </w:rPr>
            </w:pPr>
            <w:r>
              <w:rPr>
                <w:rFonts w:hint="cs"/>
                <w:color w:val="000000"/>
                <w:sz w:val="17"/>
                <w:szCs w:val="17"/>
                <w:rtl/>
              </w:rPr>
              <w:t>غير متاح</w:t>
            </w:r>
          </w:p>
        </w:tc>
      </w:tr>
      <w:tr w:rsidR="003953E1" w14:paraId="067DF1F2" w14:textId="77777777" w:rsidTr="003953E1">
        <w:tc>
          <w:tcPr>
            <w:tcW w:w="1520" w:type="dxa"/>
            <w:vMerge w:val="restart"/>
            <w:tcBorders>
              <w:top w:val="single" w:sz="4" w:space="0" w:color="666699"/>
              <w:left w:val="single" w:sz="4" w:space="0" w:color="666699"/>
              <w:bottom w:val="single" w:sz="4" w:space="0" w:color="666699"/>
              <w:right w:val="single" w:sz="4" w:space="0" w:color="666699"/>
            </w:tcBorders>
            <w:hideMark/>
          </w:tcPr>
          <w:p w14:paraId="1D804268" w14:textId="77777777" w:rsidR="003953E1" w:rsidRDefault="003953E1" w:rsidP="003953E1">
            <w:pPr>
              <w:spacing w:after="60"/>
              <w:jc w:val="left"/>
              <w:rPr>
                <w:sz w:val="20"/>
                <w:rtl/>
                <w:lang w:val="en-US"/>
              </w:rPr>
            </w:pPr>
            <w:r>
              <w:rPr>
                <w:rFonts w:hint="cs"/>
                <w:sz w:val="20"/>
                <w:rtl/>
              </w:rPr>
              <w:t xml:space="preserve">التمويل </w:t>
            </w:r>
            <w:r>
              <w:rPr>
                <w:rFonts w:hint="cs"/>
                <w:sz w:val="20"/>
                <w:rtl/>
                <w:lang w:val="en-US"/>
              </w:rPr>
              <w:t>الموافق عليه</w:t>
            </w:r>
          </w:p>
          <w:p w14:paraId="5C804F3E" w14:textId="77777777" w:rsidR="003953E1" w:rsidRDefault="003953E1" w:rsidP="003953E1">
            <w:pPr>
              <w:spacing w:after="60"/>
              <w:jc w:val="left"/>
              <w:rPr>
                <w:sz w:val="18"/>
                <w:szCs w:val="22"/>
                <w:lang w:val="en-CA"/>
              </w:rPr>
            </w:pPr>
            <w:r>
              <w:rPr>
                <w:rFonts w:hint="cs"/>
                <w:sz w:val="20"/>
                <w:rtl/>
              </w:rPr>
              <w:t>(دولار أمريكي</w:t>
            </w:r>
          </w:p>
          <w:p w14:paraId="416CF7F5" w14:textId="77777777" w:rsidR="003953E1" w:rsidRDefault="003953E1">
            <w:pPr>
              <w:spacing w:after="60"/>
              <w:jc w:val="left"/>
              <w:rPr>
                <w:sz w:val="17"/>
                <w:szCs w:val="17"/>
              </w:rPr>
            </w:pPr>
          </w:p>
        </w:tc>
        <w:tc>
          <w:tcPr>
            <w:tcW w:w="796" w:type="dxa"/>
            <w:vMerge w:val="restart"/>
            <w:tcBorders>
              <w:top w:val="single" w:sz="4" w:space="0" w:color="666699"/>
              <w:left w:val="single" w:sz="4" w:space="0" w:color="666699"/>
              <w:bottom w:val="single" w:sz="4" w:space="0" w:color="666699"/>
              <w:right w:val="single" w:sz="4" w:space="0" w:color="666699"/>
            </w:tcBorders>
            <w:hideMark/>
          </w:tcPr>
          <w:p w14:paraId="0C714434" w14:textId="77777777" w:rsidR="003953E1" w:rsidRPr="00FB01F0" w:rsidRDefault="003953E1">
            <w:pPr>
              <w:spacing w:after="60"/>
              <w:jc w:val="center"/>
              <w:rPr>
                <w:sz w:val="20"/>
              </w:rPr>
            </w:pPr>
            <w:r w:rsidRPr="00FB01F0">
              <w:rPr>
                <w:rFonts w:hint="cs"/>
                <w:sz w:val="20"/>
                <w:rtl/>
              </w:rPr>
              <w:t>يونيب</w:t>
            </w:r>
          </w:p>
        </w:tc>
        <w:tc>
          <w:tcPr>
            <w:tcW w:w="787" w:type="dxa"/>
            <w:tcBorders>
              <w:top w:val="single" w:sz="4" w:space="0" w:color="666699"/>
              <w:left w:val="single" w:sz="4" w:space="0" w:color="666699"/>
              <w:bottom w:val="single" w:sz="4" w:space="0" w:color="666699"/>
              <w:right w:val="single" w:sz="4" w:space="0" w:color="666699"/>
            </w:tcBorders>
            <w:hideMark/>
          </w:tcPr>
          <w:p w14:paraId="70523C54" w14:textId="77777777" w:rsidR="003953E1" w:rsidRDefault="003953E1">
            <w:pPr>
              <w:bidi/>
              <w:spacing w:after="60"/>
              <w:jc w:val="left"/>
              <w:rPr>
                <w:sz w:val="20"/>
                <w:lang w:val="en-US"/>
              </w:rPr>
            </w:pPr>
            <w:r>
              <w:rPr>
                <w:rFonts w:hint="cs"/>
                <w:sz w:val="20"/>
                <w:rtl/>
              </w:rPr>
              <w:t>تكاليف المشروع</w:t>
            </w:r>
          </w:p>
        </w:tc>
        <w:tc>
          <w:tcPr>
            <w:tcW w:w="655"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1DE1609F" w14:textId="77777777" w:rsidR="003953E1" w:rsidRDefault="003953E1">
            <w:pPr>
              <w:spacing w:after="60"/>
              <w:jc w:val="right"/>
              <w:rPr>
                <w:sz w:val="17"/>
                <w:szCs w:val="17"/>
              </w:rPr>
            </w:pPr>
            <w:r>
              <w:rPr>
                <w:sz w:val="17"/>
                <w:szCs w:val="17"/>
              </w:rPr>
              <w:t>35,000</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6A448236" w14:textId="77777777" w:rsidR="003953E1" w:rsidRDefault="003953E1">
            <w:pPr>
              <w:spacing w:after="60"/>
              <w:jc w:val="right"/>
              <w:rPr>
                <w:sz w:val="17"/>
                <w:szCs w:val="17"/>
              </w:rPr>
            </w:pPr>
            <w:r>
              <w:rPr>
                <w:sz w:val="17"/>
                <w:szCs w:val="17"/>
              </w:rPr>
              <w:t>0</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61443246" w14:textId="77777777" w:rsidR="003953E1" w:rsidRDefault="003953E1">
            <w:pPr>
              <w:spacing w:after="60"/>
              <w:jc w:val="right"/>
              <w:rPr>
                <w:sz w:val="17"/>
                <w:szCs w:val="17"/>
              </w:rPr>
            </w:pPr>
            <w:r>
              <w:rPr>
                <w:sz w:val="17"/>
                <w:szCs w:val="17"/>
              </w:rPr>
              <w:t>52,000</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10498D69" w14:textId="77777777" w:rsidR="003953E1" w:rsidRDefault="003953E1">
            <w:pPr>
              <w:spacing w:after="60"/>
              <w:jc w:val="right"/>
              <w:rPr>
                <w:sz w:val="17"/>
                <w:szCs w:val="17"/>
              </w:rPr>
            </w:pPr>
            <w:r>
              <w:rPr>
                <w:sz w:val="17"/>
                <w:szCs w:val="17"/>
              </w:rPr>
              <w:t>0</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70C2B0C9" w14:textId="77777777" w:rsidR="003953E1" w:rsidRDefault="003953E1">
            <w:pPr>
              <w:spacing w:after="60"/>
              <w:jc w:val="right"/>
              <w:rPr>
                <w:sz w:val="17"/>
                <w:szCs w:val="17"/>
              </w:rPr>
            </w:pPr>
            <w:r>
              <w:rPr>
                <w:sz w:val="17"/>
                <w:szCs w:val="17"/>
              </w:rPr>
              <w:t>0</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7804FF55" w14:textId="77777777" w:rsidR="003953E1" w:rsidRDefault="003953E1">
            <w:pPr>
              <w:spacing w:after="60"/>
              <w:jc w:val="right"/>
              <w:rPr>
                <w:sz w:val="17"/>
                <w:szCs w:val="17"/>
              </w:rPr>
            </w:pPr>
            <w:r>
              <w:rPr>
                <w:color w:val="000000"/>
                <w:sz w:val="17"/>
                <w:szCs w:val="17"/>
              </w:rPr>
              <w:t>50,000</w:t>
            </w:r>
          </w:p>
        </w:tc>
        <w:tc>
          <w:tcPr>
            <w:tcW w:w="847"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72C46ADE" w14:textId="77777777" w:rsidR="003953E1" w:rsidRDefault="003953E1">
            <w:pPr>
              <w:spacing w:after="60"/>
              <w:jc w:val="right"/>
              <w:rPr>
                <w:sz w:val="17"/>
                <w:szCs w:val="17"/>
              </w:rPr>
            </w:pPr>
            <w:r>
              <w:rPr>
                <w:sz w:val="17"/>
                <w:szCs w:val="17"/>
              </w:rPr>
              <w:t>0</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7444C4C0" w14:textId="77777777" w:rsidR="003953E1" w:rsidRDefault="003953E1">
            <w:pPr>
              <w:spacing w:after="60"/>
              <w:jc w:val="right"/>
              <w:rPr>
                <w:sz w:val="17"/>
                <w:szCs w:val="17"/>
              </w:rPr>
            </w:pPr>
            <w:r>
              <w:rPr>
                <w:sz w:val="17"/>
                <w:szCs w:val="17"/>
              </w:rPr>
              <w:t>0</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0D3CEE91" w14:textId="77777777" w:rsidR="003953E1" w:rsidRDefault="003953E1">
            <w:pPr>
              <w:spacing w:after="60"/>
              <w:jc w:val="right"/>
              <w:rPr>
                <w:sz w:val="17"/>
                <w:szCs w:val="17"/>
              </w:rPr>
            </w:pPr>
            <w:r>
              <w:rPr>
                <w:color w:val="000000"/>
                <w:sz w:val="17"/>
                <w:szCs w:val="17"/>
              </w:rPr>
              <w:t>28,000</w:t>
            </w:r>
          </w:p>
        </w:tc>
        <w:tc>
          <w:tcPr>
            <w:tcW w:w="764"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7598EB0B" w14:textId="77777777" w:rsidR="003953E1" w:rsidRDefault="003953E1">
            <w:pPr>
              <w:spacing w:after="60"/>
              <w:jc w:val="right"/>
              <w:rPr>
                <w:sz w:val="17"/>
                <w:szCs w:val="17"/>
              </w:rPr>
            </w:pPr>
            <w:r>
              <w:rPr>
                <w:color w:val="000000"/>
                <w:sz w:val="17"/>
                <w:szCs w:val="17"/>
              </w:rPr>
              <w:t>165,000</w:t>
            </w:r>
          </w:p>
        </w:tc>
      </w:tr>
      <w:tr w:rsidR="003953E1" w14:paraId="5EBBCCDB" w14:textId="77777777" w:rsidTr="003953E1">
        <w:tc>
          <w:tcPr>
            <w:tcW w:w="1520" w:type="dxa"/>
            <w:vMerge/>
            <w:tcBorders>
              <w:top w:val="single" w:sz="4" w:space="0" w:color="666699"/>
              <w:left w:val="single" w:sz="4" w:space="0" w:color="666699"/>
              <w:bottom w:val="single" w:sz="4" w:space="0" w:color="666699"/>
              <w:right w:val="single" w:sz="4" w:space="0" w:color="666699"/>
            </w:tcBorders>
            <w:vAlign w:val="center"/>
            <w:hideMark/>
          </w:tcPr>
          <w:p w14:paraId="28B78896" w14:textId="77777777" w:rsidR="003953E1" w:rsidRDefault="003953E1">
            <w:pPr>
              <w:jc w:val="left"/>
              <w:rPr>
                <w:sz w:val="17"/>
                <w:szCs w:val="17"/>
              </w:rPr>
            </w:pPr>
          </w:p>
        </w:tc>
        <w:tc>
          <w:tcPr>
            <w:tcW w:w="796" w:type="dxa"/>
            <w:vMerge/>
            <w:tcBorders>
              <w:top w:val="single" w:sz="4" w:space="0" w:color="666699"/>
              <w:left w:val="single" w:sz="4" w:space="0" w:color="666699"/>
              <w:bottom w:val="single" w:sz="4" w:space="0" w:color="666699"/>
              <w:right w:val="single" w:sz="4" w:space="0" w:color="666699"/>
            </w:tcBorders>
            <w:vAlign w:val="center"/>
            <w:hideMark/>
          </w:tcPr>
          <w:p w14:paraId="23FFBAC2" w14:textId="77777777" w:rsidR="003953E1" w:rsidRPr="00FB01F0" w:rsidRDefault="003953E1">
            <w:pPr>
              <w:jc w:val="left"/>
              <w:rPr>
                <w:sz w:val="20"/>
              </w:rPr>
            </w:pPr>
          </w:p>
        </w:tc>
        <w:tc>
          <w:tcPr>
            <w:tcW w:w="787" w:type="dxa"/>
            <w:tcBorders>
              <w:top w:val="single" w:sz="4" w:space="0" w:color="666699"/>
              <w:left w:val="single" w:sz="4" w:space="0" w:color="666699"/>
              <w:bottom w:val="single" w:sz="4" w:space="0" w:color="666699"/>
              <w:right w:val="single" w:sz="4" w:space="0" w:color="666699"/>
            </w:tcBorders>
            <w:hideMark/>
          </w:tcPr>
          <w:p w14:paraId="24AC7D45" w14:textId="77777777" w:rsidR="003953E1" w:rsidRDefault="003953E1">
            <w:pPr>
              <w:bidi/>
              <w:spacing w:after="60"/>
              <w:jc w:val="left"/>
              <w:rPr>
                <w:sz w:val="20"/>
                <w:lang w:val="en-US"/>
              </w:rPr>
            </w:pPr>
            <w:r>
              <w:rPr>
                <w:rFonts w:hint="cs"/>
                <w:sz w:val="20"/>
                <w:rtl/>
              </w:rPr>
              <w:t>تكاليف الدعم</w:t>
            </w:r>
          </w:p>
        </w:tc>
        <w:tc>
          <w:tcPr>
            <w:tcW w:w="655"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084E7CE9" w14:textId="77777777" w:rsidR="003953E1" w:rsidRDefault="003953E1">
            <w:pPr>
              <w:spacing w:after="60"/>
              <w:jc w:val="right"/>
              <w:rPr>
                <w:sz w:val="17"/>
                <w:szCs w:val="17"/>
              </w:rPr>
            </w:pPr>
            <w:r>
              <w:rPr>
                <w:sz w:val="17"/>
                <w:szCs w:val="17"/>
              </w:rPr>
              <w:t>4,550</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461ABD01" w14:textId="77777777" w:rsidR="003953E1" w:rsidRDefault="003953E1">
            <w:pPr>
              <w:spacing w:after="60"/>
              <w:jc w:val="right"/>
              <w:rPr>
                <w:sz w:val="17"/>
                <w:szCs w:val="17"/>
              </w:rPr>
            </w:pPr>
            <w:r>
              <w:rPr>
                <w:sz w:val="17"/>
                <w:szCs w:val="17"/>
              </w:rPr>
              <w:t>0</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0AD19859" w14:textId="77777777" w:rsidR="003953E1" w:rsidRDefault="003953E1">
            <w:pPr>
              <w:spacing w:after="60"/>
              <w:jc w:val="right"/>
              <w:rPr>
                <w:sz w:val="17"/>
                <w:szCs w:val="17"/>
              </w:rPr>
            </w:pPr>
            <w:r>
              <w:rPr>
                <w:color w:val="000000"/>
                <w:sz w:val="17"/>
                <w:szCs w:val="17"/>
              </w:rPr>
              <w:t>6,760</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25CE3EAA" w14:textId="77777777" w:rsidR="003953E1" w:rsidRDefault="003953E1">
            <w:pPr>
              <w:spacing w:after="60"/>
              <w:jc w:val="right"/>
              <w:rPr>
                <w:sz w:val="17"/>
                <w:szCs w:val="17"/>
              </w:rPr>
            </w:pPr>
            <w:r>
              <w:rPr>
                <w:sz w:val="17"/>
                <w:szCs w:val="17"/>
              </w:rPr>
              <w:t>0</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7446B94D" w14:textId="77777777" w:rsidR="003953E1" w:rsidRDefault="003953E1">
            <w:pPr>
              <w:spacing w:after="60"/>
              <w:jc w:val="right"/>
              <w:rPr>
                <w:sz w:val="17"/>
                <w:szCs w:val="17"/>
              </w:rPr>
            </w:pPr>
            <w:r>
              <w:rPr>
                <w:sz w:val="17"/>
                <w:szCs w:val="17"/>
              </w:rPr>
              <w:t>0</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583FABFE" w14:textId="77777777" w:rsidR="003953E1" w:rsidRDefault="003953E1">
            <w:pPr>
              <w:spacing w:after="60"/>
              <w:jc w:val="right"/>
              <w:rPr>
                <w:sz w:val="17"/>
                <w:szCs w:val="17"/>
              </w:rPr>
            </w:pPr>
            <w:r>
              <w:rPr>
                <w:color w:val="000000"/>
                <w:sz w:val="17"/>
                <w:szCs w:val="17"/>
              </w:rPr>
              <w:t>6,500</w:t>
            </w:r>
          </w:p>
        </w:tc>
        <w:tc>
          <w:tcPr>
            <w:tcW w:w="847"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1DB61434" w14:textId="77777777" w:rsidR="003953E1" w:rsidRDefault="003953E1">
            <w:pPr>
              <w:spacing w:after="60"/>
              <w:jc w:val="right"/>
              <w:rPr>
                <w:sz w:val="17"/>
                <w:szCs w:val="17"/>
              </w:rPr>
            </w:pPr>
            <w:r>
              <w:rPr>
                <w:sz w:val="17"/>
                <w:szCs w:val="17"/>
              </w:rPr>
              <w:t>0</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6D31DC10" w14:textId="77777777" w:rsidR="003953E1" w:rsidRDefault="003953E1">
            <w:pPr>
              <w:spacing w:after="60"/>
              <w:jc w:val="right"/>
              <w:rPr>
                <w:sz w:val="17"/>
                <w:szCs w:val="17"/>
              </w:rPr>
            </w:pPr>
            <w:r>
              <w:rPr>
                <w:sz w:val="17"/>
                <w:szCs w:val="17"/>
              </w:rPr>
              <w:t>0</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2CD45577" w14:textId="77777777" w:rsidR="003953E1" w:rsidRDefault="003953E1">
            <w:pPr>
              <w:spacing w:after="60"/>
              <w:jc w:val="right"/>
              <w:rPr>
                <w:sz w:val="17"/>
                <w:szCs w:val="17"/>
              </w:rPr>
            </w:pPr>
            <w:r>
              <w:rPr>
                <w:color w:val="000000"/>
                <w:sz w:val="17"/>
                <w:szCs w:val="17"/>
              </w:rPr>
              <w:t>3,640</w:t>
            </w:r>
          </w:p>
        </w:tc>
        <w:tc>
          <w:tcPr>
            <w:tcW w:w="764"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68DF6F40" w14:textId="77777777" w:rsidR="003953E1" w:rsidRDefault="003953E1">
            <w:pPr>
              <w:spacing w:after="60"/>
              <w:jc w:val="right"/>
              <w:rPr>
                <w:sz w:val="17"/>
                <w:szCs w:val="17"/>
              </w:rPr>
            </w:pPr>
            <w:r>
              <w:rPr>
                <w:color w:val="000000"/>
                <w:sz w:val="17"/>
                <w:szCs w:val="17"/>
              </w:rPr>
              <w:t>21,450</w:t>
            </w:r>
          </w:p>
        </w:tc>
      </w:tr>
      <w:tr w:rsidR="003953E1" w14:paraId="4F92AC4E" w14:textId="77777777" w:rsidTr="003953E1">
        <w:tc>
          <w:tcPr>
            <w:tcW w:w="1520" w:type="dxa"/>
            <w:vMerge/>
            <w:tcBorders>
              <w:top w:val="single" w:sz="4" w:space="0" w:color="666699"/>
              <w:left w:val="single" w:sz="4" w:space="0" w:color="666699"/>
              <w:bottom w:val="single" w:sz="4" w:space="0" w:color="666699"/>
              <w:right w:val="single" w:sz="4" w:space="0" w:color="666699"/>
            </w:tcBorders>
            <w:vAlign w:val="center"/>
            <w:hideMark/>
          </w:tcPr>
          <w:p w14:paraId="65AEC8E5" w14:textId="77777777" w:rsidR="003953E1" w:rsidRDefault="003953E1">
            <w:pPr>
              <w:jc w:val="left"/>
              <w:rPr>
                <w:sz w:val="17"/>
                <w:szCs w:val="17"/>
              </w:rPr>
            </w:pPr>
          </w:p>
        </w:tc>
        <w:tc>
          <w:tcPr>
            <w:tcW w:w="796" w:type="dxa"/>
            <w:vMerge w:val="restart"/>
            <w:tcBorders>
              <w:top w:val="single" w:sz="4" w:space="0" w:color="666699"/>
              <w:left w:val="single" w:sz="4" w:space="0" w:color="666699"/>
              <w:bottom w:val="single" w:sz="4" w:space="0" w:color="666699"/>
              <w:right w:val="single" w:sz="4" w:space="0" w:color="666699"/>
            </w:tcBorders>
            <w:hideMark/>
          </w:tcPr>
          <w:p w14:paraId="7D5DE323" w14:textId="77777777" w:rsidR="003953E1" w:rsidRPr="00FB01F0" w:rsidRDefault="003953E1">
            <w:pPr>
              <w:spacing w:after="60"/>
              <w:jc w:val="center"/>
              <w:rPr>
                <w:sz w:val="20"/>
              </w:rPr>
            </w:pPr>
            <w:r w:rsidRPr="00FB01F0">
              <w:rPr>
                <w:rFonts w:hint="cs"/>
                <w:sz w:val="20"/>
                <w:rtl/>
              </w:rPr>
              <w:t>يونيدو</w:t>
            </w:r>
          </w:p>
        </w:tc>
        <w:tc>
          <w:tcPr>
            <w:tcW w:w="787" w:type="dxa"/>
            <w:tcBorders>
              <w:top w:val="single" w:sz="4" w:space="0" w:color="666699"/>
              <w:left w:val="single" w:sz="4" w:space="0" w:color="666699"/>
              <w:bottom w:val="single" w:sz="4" w:space="0" w:color="666699"/>
              <w:right w:val="single" w:sz="4" w:space="0" w:color="666699"/>
            </w:tcBorders>
            <w:hideMark/>
          </w:tcPr>
          <w:p w14:paraId="15DFAFC7" w14:textId="77777777" w:rsidR="003953E1" w:rsidRDefault="003953E1">
            <w:pPr>
              <w:bidi/>
              <w:spacing w:after="60"/>
              <w:jc w:val="left"/>
              <w:rPr>
                <w:sz w:val="20"/>
                <w:lang w:val="en-US"/>
              </w:rPr>
            </w:pPr>
            <w:r>
              <w:rPr>
                <w:rFonts w:hint="cs"/>
                <w:sz w:val="20"/>
                <w:rtl/>
              </w:rPr>
              <w:t>تكاليف المشروع</w:t>
            </w:r>
          </w:p>
        </w:tc>
        <w:tc>
          <w:tcPr>
            <w:tcW w:w="655"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416714B9" w14:textId="77777777" w:rsidR="003953E1" w:rsidRDefault="003953E1">
            <w:pPr>
              <w:spacing w:after="60"/>
              <w:jc w:val="right"/>
              <w:rPr>
                <w:sz w:val="17"/>
                <w:szCs w:val="17"/>
              </w:rPr>
            </w:pPr>
            <w:r>
              <w:rPr>
                <w:sz w:val="17"/>
                <w:szCs w:val="17"/>
              </w:rPr>
              <w:t>40,000</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2A92D639" w14:textId="77777777" w:rsidR="003953E1" w:rsidRDefault="003953E1">
            <w:pPr>
              <w:spacing w:after="60"/>
              <w:jc w:val="right"/>
              <w:rPr>
                <w:sz w:val="17"/>
                <w:szCs w:val="17"/>
              </w:rPr>
            </w:pPr>
            <w:r>
              <w:rPr>
                <w:sz w:val="17"/>
                <w:szCs w:val="17"/>
              </w:rPr>
              <w:t>0</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5E311A74" w14:textId="77777777" w:rsidR="003953E1" w:rsidRDefault="003953E1">
            <w:pPr>
              <w:spacing w:after="60"/>
              <w:jc w:val="right"/>
              <w:rPr>
                <w:sz w:val="17"/>
                <w:szCs w:val="17"/>
              </w:rPr>
            </w:pPr>
            <w:r>
              <w:rPr>
                <w:color w:val="000000"/>
                <w:sz w:val="17"/>
                <w:szCs w:val="17"/>
              </w:rPr>
              <w:t>0</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1CD0B480" w14:textId="77777777" w:rsidR="003953E1" w:rsidRDefault="003953E1">
            <w:pPr>
              <w:spacing w:after="60"/>
              <w:jc w:val="right"/>
              <w:rPr>
                <w:sz w:val="17"/>
                <w:szCs w:val="17"/>
              </w:rPr>
            </w:pPr>
            <w:r>
              <w:rPr>
                <w:color w:val="000000"/>
                <w:sz w:val="17"/>
                <w:szCs w:val="17"/>
              </w:rPr>
              <w:t>0</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0DA95C9C" w14:textId="77777777" w:rsidR="003953E1" w:rsidRDefault="003953E1">
            <w:pPr>
              <w:spacing w:after="60"/>
              <w:jc w:val="right"/>
              <w:rPr>
                <w:sz w:val="17"/>
                <w:szCs w:val="17"/>
              </w:rPr>
            </w:pPr>
            <w:r>
              <w:rPr>
                <w:color w:val="000000"/>
                <w:sz w:val="17"/>
                <w:szCs w:val="17"/>
              </w:rPr>
              <w:t>0</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35527270" w14:textId="77777777" w:rsidR="003953E1" w:rsidRDefault="003953E1">
            <w:pPr>
              <w:spacing w:after="60"/>
              <w:jc w:val="right"/>
              <w:rPr>
                <w:sz w:val="17"/>
                <w:szCs w:val="17"/>
              </w:rPr>
            </w:pPr>
            <w:r>
              <w:rPr>
                <w:color w:val="000000"/>
                <w:sz w:val="17"/>
                <w:szCs w:val="17"/>
              </w:rPr>
              <w:t>75,000</w:t>
            </w:r>
          </w:p>
        </w:tc>
        <w:tc>
          <w:tcPr>
            <w:tcW w:w="847"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36FCFB25" w14:textId="77777777" w:rsidR="003953E1" w:rsidRDefault="003953E1">
            <w:pPr>
              <w:spacing w:after="60"/>
              <w:jc w:val="right"/>
              <w:rPr>
                <w:sz w:val="17"/>
                <w:szCs w:val="17"/>
              </w:rPr>
            </w:pPr>
            <w:r>
              <w:rPr>
                <w:color w:val="000000"/>
                <w:sz w:val="17"/>
                <w:szCs w:val="17"/>
              </w:rPr>
              <w:t>0</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223B86B8" w14:textId="77777777" w:rsidR="003953E1" w:rsidRDefault="003953E1">
            <w:pPr>
              <w:spacing w:after="60"/>
              <w:jc w:val="right"/>
              <w:rPr>
                <w:sz w:val="17"/>
                <w:szCs w:val="17"/>
              </w:rPr>
            </w:pPr>
            <w:r>
              <w:rPr>
                <w:color w:val="000000"/>
                <w:sz w:val="17"/>
                <w:szCs w:val="17"/>
              </w:rPr>
              <w:t>0</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60AC173C" w14:textId="77777777" w:rsidR="003953E1" w:rsidRDefault="003953E1">
            <w:pPr>
              <w:spacing w:after="60"/>
              <w:jc w:val="right"/>
              <w:rPr>
                <w:sz w:val="17"/>
                <w:szCs w:val="17"/>
              </w:rPr>
            </w:pPr>
            <w:r>
              <w:rPr>
                <w:color w:val="000000"/>
                <w:sz w:val="17"/>
                <w:szCs w:val="17"/>
              </w:rPr>
              <w:t>0</w:t>
            </w:r>
          </w:p>
        </w:tc>
        <w:tc>
          <w:tcPr>
            <w:tcW w:w="764"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45044332" w14:textId="77777777" w:rsidR="003953E1" w:rsidRDefault="003953E1">
            <w:pPr>
              <w:spacing w:after="60"/>
              <w:jc w:val="right"/>
              <w:rPr>
                <w:sz w:val="17"/>
                <w:szCs w:val="17"/>
              </w:rPr>
            </w:pPr>
            <w:r>
              <w:rPr>
                <w:color w:val="000000"/>
                <w:sz w:val="17"/>
                <w:szCs w:val="17"/>
              </w:rPr>
              <w:t>115,000</w:t>
            </w:r>
          </w:p>
        </w:tc>
      </w:tr>
      <w:tr w:rsidR="003953E1" w14:paraId="69133DAC" w14:textId="77777777" w:rsidTr="003953E1">
        <w:tc>
          <w:tcPr>
            <w:tcW w:w="1520" w:type="dxa"/>
            <w:vMerge/>
            <w:tcBorders>
              <w:top w:val="single" w:sz="4" w:space="0" w:color="666699"/>
              <w:left w:val="single" w:sz="4" w:space="0" w:color="666699"/>
              <w:bottom w:val="single" w:sz="4" w:space="0" w:color="666699"/>
              <w:right w:val="single" w:sz="4" w:space="0" w:color="666699"/>
            </w:tcBorders>
            <w:vAlign w:val="center"/>
            <w:hideMark/>
          </w:tcPr>
          <w:p w14:paraId="48E90FB1" w14:textId="77777777" w:rsidR="003953E1" w:rsidRDefault="003953E1">
            <w:pPr>
              <w:jc w:val="left"/>
              <w:rPr>
                <w:sz w:val="17"/>
                <w:szCs w:val="17"/>
              </w:rPr>
            </w:pPr>
          </w:p>
        </w:tc>
        <w:tc>
          <w:tcPr>
            <w:tcW w:w="796" w:type="dxa"/>
            <w:vMerge/>
            <w:tcBorders>
              <w:top w:val="single" w:sz="4" w:space="0" w:color="666699"/>
              <w:left w:val="single" w:sz="4" w:space="0" w:color="666699"/>
              <w:bottom w:val="single" w:sz="4" w:space="0" w:color="666699"/>
              <w:right w:val="single" w:sz="4" w:space="0" w:color="666699"/>
            </w:tcBorders>
            <w:vAlign w:val="center"/>
            <w:hideMark/>
          </w:tcPr>
          <w:p w14:paraId="300BCD99" w14:textId="77777777" w:rsidR="003953E1" w:rsidRDefault="003953E1">
            <w:pPr>
              <w:jc w:val="left"/>
              <w:rPr>
                <w:sz w:val="17"/>
                <w:szCs w:val="17"/>
              </w:rPr>
            </w:pPr>
          </w:p>
        </w:tc>
        <w:tc>
          <w:tcPr>
            <w:tcW w:w="787" w:type="dxa"/>
            <w:tcBorders>
              <w:top w:val="single" w:sz="4" w:space="0" w:color="666699"/>
              <w:left w:val="single" w:sz="4" w:space="0" w:color="666699"/>
              <w:bottom w:val="single" w:sz="4" w:space="0" w:color="666699"/>
              <w:right w:val="single" w:sz="4" w:space="0" w:color="666699"/>
            </w:tcBorders>
            <w:hideMark/>
          </w:tcPr>
          <w:p w14:paraId="4FDB2752" w14:textId="77777777" w:rsidR="003953E1" w:rsidRDefault="003953E1">
            <w:pPr>
              <w:bidi/>
              <w:spacing w:after="60"/>
              <w:jc w:val="left"/>
              <w:rPr>
                <w:sz w:val="20"/>
                <w:lang w:val="en-US"/>
              </w:rPr>
            </w:pPr>
            <w:r>
              <w:rPr>
                <w:rFonts w:hint="cs"/>
                <w:sz w:val="20"/>
                <w:rtl/>
              </w:rPr>
              <w:t>تكاليف الدعم</w:t>
            </w:r>
          </w:p>
        </w:tc>
        <w:tc>
          <w:tcPr>
            <w:tcW w:w="655"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25804C3B" w14:textId="77777777" w:rsidR="003953E1" w:rsidRDefault="003953E1">
            <w:pPr>
              <w:spacing w:after="60"/>
              <w:jc w:val="right"/>
              <w:rPr>
                <w:sz w:val="17"/>
                <w:szCs w:val="17"/>
              </w:rPr>
            </w:pPr>
            <w:r>
              <w:rPr>
                <w:sz w:val="17"/>
                <w:szCs w:val="17"/>
              </w:rPr>
              <w:t>3,600</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45F94C4C" w14:textId="77777777" w:rsidR="003953E1" w:rsidRDefault="003953E1">
            <w:pPr>
              <w:spacing w:after="60"/>
              <w:jc w:val="right"/>
              <w:rPr>
                <w:sz w:val="17"/>
                <w:szCs w:val="17"/>
              </w:rPr>
            </w:pPr>
            <w:r>
              <w:rPr>
                <w:sz w:val="17"/>
                <w:szCs w:val="17"/>
              </w:rPr>
              <w:t>0</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07F0E9C9" w14:textId="77777777" w:rsidR="003953E1" w:rsidRDefault="003953E1">
            <w:pPr>
              <w:spacing w:after="60"/>
              <w:jc w:val="right"/>
              <w:rPr>
                <w:sz w:val="17"/>
                <w:szCs w:val="17"/>
              </w:rPr>
            </w:pPr>
            <w:r>
              <w:rPr>
                <w:color w:val="000000"/>
                <w:sz w:val="17"/>
                <w:szCs w:val="17"/>
              </w:rPr>
              <w:t>0</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40458642" w14:textId="77777777" w:rsidR="003953E1" w:rsidRDefault="003953E1">
            <w:pPr>
              <w:spacing w:after="60"/>
              <w:jc w:val="right"/>
              <w:rPr>
                <w:sz w:val="17"/>
                <w:szCs w:val="17"/>
              </w:rPr>
            </w:pPr>
            <w:r>
              <w:rPr>
                <w:color w:val="000000"/>
                <w:sz w:val="17"/>
                <w:szCs w:val="17"/>
              </w:rPr>
              <w:t>0</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463C5B55" w14:textId="77777777" w:rsidR="003953E1" w:rsidRDefault="003953E1">
            <w:pPr>
              <w:spacing w:after="60"/>
              <w:jc w:val="right"/>
              <w:rPr>
                <w:sz w:val="17"/>
                <w:szCs w:val="17"/>
              </w:rPr>
            </w:pPr>
            <w:r>
              <w:rPr>
                <w:color w:val="000000"/>
                <w:sz w:val="17"/>
                <w:szCs w:val="17"/>
              </w:rPr>
              <w:t>0</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14889F0D" w14:textId="77777777" w:rsidR="003953E1" w:rsidRDefault="003953E1">
            <w:pPr>
              <w:spacing w:after="60"/>
              <w:jc w:val="right"/>
              <w:rPr>
                <w:sz w:val="17"/>
                <w:szCs w:val="17"/>
              </w:rPr>
            </w:pPr>
            <w:r>
              <w:rPr>
                <w:color w:val="000000"/>
                <w:sz w:val="17"/>
                <w:szCs w:val="17"/>
              </w:rPr>
              <w:t>6,750</w:t>
            </w:r>
          </w:p>
        </w:tc>
        <w:tc>
          <w:tcPr>
            <w:tcW w:w="847"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584A8106" w14:textId="77777777" w:rsidR="003953E1" w:rsidRDefault="003953E1">
            <w:pPr>
              <w:spacing w:after="60"/>
              <w:jc w:val="right"/>
              <w:rPr>
                <w:sz w:val="17"/>
                <w:szCs w:val="17"/>
              </w:rPr>
            </w:pPr>
            <w:r>
              <w:rPr>
                <w:color w:val="000000"/>
                <w:sz w:val="17"/>
                <w:szCs w:val="17"/>
              </w:rPr>
              <w:t>0</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3D44B213" w14:textId="77777777" w:rsidR="003953E1" w:rsidRDefault="003953E1">
            <w:pPr>
              <w:spacing w:after="60"/>
              <w:jc w:val="right"/>
              <w:rPr>
                <w:sz w:val="17"/>
                <w:szCs w:val="17"/>
              </w:rPr>
            </w:pPr>
            <w:r>
              <w:rPr>
                <w:color w:val="000000"/>
                <w:sz w:val="17"/>
                <w:szCs w:val="17"/>
              </w:rPr>
              <w:t>0</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0F705627" w14:textId="77777777" w:rsidR="003953E1" w:rsidRDefault="003953E1">
            <w:pPr>
              <w:spacing w:after="60"/>
              <w:jc w:val="right"/>
              <w:rPr>
                <w:sz w:val="17"/>
                <w:szCs w:val="17"/>
              </w:rPr>
            </w:pPr>
            <w:r>
              <w:rPr>
                <w:color w:val="000000"/>
                <w:sz w:val="17"/>
                <w:szCs w:val="17"/>
              </w:rPr>
              <w:t>0</w:t>
            </w:r>
          </w:p>
        </w:tc>
        <w:tc>
          <w:tcPr>
            <w:tcW w:w="764"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63A5C213" w14:textId="77777777" w:rsidR="003953E1" w:rsidRDefault="003953E1">
            <w:pPr>
              <w:spacing w:after="60"/>
              <w:jc w:val="right"/>
              <w:rPr>
                <w:sz w:val="17"/>
                <w:szCs w:val="17"/>
              </w:rPr>
            </w:pPr>
            <w:r>
              <w:rPr>
                <w:color w:val="000000"/>
                <w:sz w:val="17"/>
                <w:szCs w:val="17"/>
              </w:rPr>
              <w:t>10,350</w:t>
            </w:r>
          </w:p>
        </w:tc>
      </w:tr>
      <w:tr w:rsidR="003953E1" w14:paraId="26583FC2" w14:textId="77777777" w:rsidTr="003953E1">
        <w:tc>
          <w:tcPr>
            <w:tcW w:w="2316" w:type="dxa"/>
            <w:gridSpan w:val="2"/>
            <w:vMerge w:val="restart"/>
            <w:tcBorders>
              <w:top w:val="single" w:sz="4" w:space="0" w:color="666699"/>
              <w:left w:val="single" w:sz="4" w:space="0" w:color="666699"/>
              <w:bottom w:val="single" w:sz="4" w:space="0" w:color="666699"/>
              <w:right w:val="single" w:sz="4" w:space="0" w:color="666699"/>
            </w:tcBorders>
            <w:hideMark/>
          </w:tcPr>
          <w:p w14:paraId="2231E978" w14:textId="77777777" w:rsidR="003953E1" w:rsidRPr="003953E1" w:rsidRDefault="003953E1" w:rsidP="003953E1">
            <w:pPr>
              <w:bidi/>
              <w:spacing w:after="60"/>
              <w:jc w:val="left"/>
              <w:rPr>
                <w:sz w:val="17"/>
                <w:szCs w:val="17"/>
                <w:lang w:val="en-US"/>
              </w:rPr>
            </w:pPr>
            <w:r>
              <w:rPr>
                <w:rFonts w:hint="cs"/>
                <w:sz w:val="20"/>
                <w:rtl/>
                <w:lang w:val="en-US"/>
              </w:rPr>
              <w:t>الأموال التى وافقت عليها اللجنة التنفيذية (دولار أمريكي)</w:t>
            </w:r>
          </w:p>
        </w:tc>
        <w:tc>
          <w:tcPr>
            <w:tcW w:w="787" w:type="dxa"/>
            <w:tcBorders>
              <w:top w:val="single" w:sz="4" w:space="0" w:color="666699"/>
              <w:left w:val="single" w:sz="4" w:space="0" w:color="666699"/>
              <w:bottom w:val="single" w:sz="4" w:space="0" w:color="666699"/>
              <w:right w:val="single" w:sz="4" w:space="0" w:color="666699"/>
            </w:tcBorders>
            <w:hideMark/>
          </w:tcPr>
          <w:p w14:paraId="6FD66F57" w14:textId="77777777" w:rsidR="003953E1" w:rsidRDefault="003953E1">
            <w:pPr>
              <w:bidi/>
              <w:spacing w:after="60"/>
              <w:jc w:val="left"/>
              <w:rPr>
                <w:sz w:val="20"/>
                <w:lang w:val="en-US"/>
              </w:rPr>
            </w:pPr>
            <w:r>
              <w:rPr>
                <w:rFonts w:hint="cs"/>
                <w:sz w:val="20"/>
                <w:rtl/>
              </w:rPr>
              <w:t>تكاليف المشروع</w:t>
            </w:r>
          </w:p>
        </w:tc>
        <w:tc>
          <w:tcPr>
            <w:tcW w:w="655"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107A5924" w14:textId="77777777" w:rsidR="003953E1" w:rsidRDefault="003953E1">
            <w:pPr>
              <w:spacing w:after="60"/>
              <w:jc w:val="right"/>
              <w:rPr>
                <w:sz w:val="17"/>
                <w:szCs w:val="17"/>
              </w:rPr>
            </w:pPr>
            <w:r>
              <w:rPr>
                <w:sz w:val="17"/>
                <w:szCs w:val="17"/>
              </w:rPr>
              <w:t>75,000</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40BA695C" w14:textId="77777777" w:rsidR="003953E1" w:rsidRDefault="003953E1">
            <w:pPr>
              <w:spacing w:after="60"/>
              <w:jc w:val="right"/>
              <w:rPr>
                <w:sz w:val="17"/>
                <w:szCs w:val="17"/>
              </w:rPr>
            </w:pPr>
            <w:r>
              <w:rPr>
                <w:sz w:val="17"/>
                <w:szCs w:val="17"/>
              </w:rPr>
              <w:t>0</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4A68B980" w14:textId="77777777" w:rsidR="003953E1" w:rsidRDefault="003953E1">
            <w:pPr>
              <w:spacing w:after="60"/>
              <w:jc w:val="right"/>
              <w:rPr>
                <w:sz w:val="17"/>
                <w:szCs w:val="17"/>
              </w:rPr>
            </w:pPr>
            <w:r>
              <w:rPr>
                <w:sz w:val="17"/>
                <w:szCs w:val="17"/>
              </w:rPr>
              <w:t>52,000</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2EA13D7E" w14:textId="77777777" w:rsidR="003953E1" w:rsidRDefault="003953E1">
            <w:pPr>
              <w:spacing w:after="60"/>
              <w:jc w:val="right"/>
              <w:rPr>
                <w:sz w:val="17"/>
                <w:szCs w:val="17"/>
              </w:rPr>
            </w:pPr>
            <w:r>
              <w:rPr>
                <w:sz w:val="17"/>
                <w:szCs w:val="17"/>
              </w:rPr>
              <w:t>0</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7AC0C404" w14:textId="77777777" w:rsidR="003953E1" w:rsidRDefault="003953E1">
            <w:pPr>
              <w:spacing w:after="60"/>
              <w:jc w:val="right"/>
              <w:rPr>
                <w:sz w:val="17"/>
                <w:szCs w:val="17"/>
              </w:rPr>
            </w:pPr>
            <w:r>
              <w:rPr>
                <w:color w:val="000000"/>
                <w:sz w:val="17"/>
                <w:szCs w:val="17"/>
              </w:rPr>
              <w:t>0</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502CC4F7" w14:textId="77777777" w:rsidR="003953E1" w:rsidRDefault="003953E1">
            <w:pPr>
              <w:spacing w:after="60"/>
              <w:jc w:val="right"/>
              <w:rPr>
                <w:sz w:val="17"/>
                <w:szCs w:val="17"/>
              </w:rPr>
            </w:pPr>
            <w:r>
              <w:rPr>
                <w:sz w:val="17"/>
                <w:szCs w:val="17"/>
              </w:rPr>
              <w:t>125,000</w:t>
            </w:r>
          </w:p>
        </w:tc>
        <w:tc>
          <w:tcPr>
            <w:tcW w:w="847"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608D06C7" w14:textId="77777777" w:rsidR="003953E1" w:rsidRDefault="003953E1">
            <w:pPr>
              <w:spacing w:after="60"/>
              <w:jc w:val="right"/>
              <w:rPr>
                <w:sz w:val="17"/>
                <w:szCs w:val="17"/>
              </w:rPr>
            </w:pPr>
            <w:r>
              <w:rPr>
                <w:sz w:val="17"/>
                <w:szCs w:val="17"/>
              </w:rPr>
              <w:t>0</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1D49F256" w14:textId="77777777" w:rsidR="003953E1" w:rsidRDefault="003953E1">
            <w:pPr>
              <w:spacing w:after="60"/>
              <w:jc w:val="right"/>
              <w:rPr>
                <w:sz w:val="17"/>
                <w:szCs w:val="17"/>
              </w:rPr>
            </w:pPr>
            <w:r>
              <w:rPr>
                <w:color w:val="000000"/>
                <w:sz w:val="17"/>
                <w:szCs w:val="17"/>
              </w:rPr>
              <w:t>0</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38E29240" w14:textId="77777777" w:rsidR="003953E1" w:rsidRDefault="003953E1">
            <w:pPr>
              <w:spacing w:after="60"/>
              <w:jc w:val="right"/>
              <w:rPr>
                <w:sz w:val="17"/>
                <w:szCs w:val="17"/>
              </w:rPr>
            </w:pPr>
            <w:r>
              <w:rPr>
                <w:sz w:val="17"/>
                <w:szCs w:val="17"/>
              </w:rPr>
              <w:t>0</w:t>
            </w:r>
          </w:p>
        </w:tc>
        <w:tc>
          <w:tcPr>
            <w:tcW w:w="764"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67118640" w14:textId="77777777" w:rsidR="003953E1" w:rsidRDefault="003953E1">
            <w:pPr>
              <w:spacing w:after="60"/>
              <w:jc w:val="right"/>
              <w:rPr>
                <w:sz w:val="17"/>
                <w:szCs w:val="17"/>
              </w:rPr>
            </w:pPr>
            <w:r>
              <w:rPr>
                <w:sz w:val="17"/>
                <w:szCs w:val="17"/>
              </w:rPr>
              <w:t>252,000</w:t>
            </w:r>
          </w:p>
        </w:tc>
      </w:tr>
      <w:tr w:rsidR="003953E1" w14:paraId="69D5B9F7" w14:textId="77777777" w:rsidTr="003953E1">
        <w:tc>
          <w:tcPr>
            <w:tcW w:w="2316" w:type="dxa"/>
            <w:gridSpan w:val="2"/>
            <w:vMerge/>
            <w:tcBorders>
              <w:top w:val="single" w:sz="4" w:space="0" w:color="666699"/>
              <w:left w:val="single" w:sz="4" w:space="0" w:color="666699"/>
              <w:bottom w:val="single" w:sz="4" w:space="0" w:color="666699"/>
              <w:right w:val="single" w:sz="4" w:space="0" w:color="666699"/>
            </w:tcBorders>
            <w:vAlign w:val="center"/>
            <w:hideMark/>
          </w:tcPr>
          <w:p w14:paraId="2292CEA5" w14:textId="77777777" w:rsidR="003953E1" w:rsidRDefault="003953E1">
            <w:pPr>
              <w:jc w:val="left"/>
              <w:rPr>
                <w:sz w:val="17"/>
                <w:szCs w:val="17"/>
              </w:rPr>
            </w:pPr>
          </w:p>
        </w:tc>
        <w:tc>
          <w:tcPr>
            <w:tcW w:w="787" w:type="dxa"/>
            <w:tcBorders>
              <w:top w:val="single" w:sz="4" w:space="0" w:color="666699"/>
              <w:left w:val="single" w:sz="4" w:space="0" w:color="666699"/>
              <w:bottom w:val="single" w:sz="4" w:space="0" w:color="666699"/>
              <w:right w:val="single" w:sz="4" w:space="0" w:color="666699"/>
            </w:tcBorders>
            <w:hideMark/>
          </w:tcPr>
          <w:p w14:paraId="750E4942" w14:textId="77777777" w:rsidR="003953E1" w:rsidRDefault="003953E1">
            <w:pPr>
              <w:bidi/>
              <w:spacing w:after="60"/>
              <w:jc w:val="left"/>
              <w:rPr>
                <w:sz w:val="20"/>
                <w:lang w:val="en-US"/>
              </w:rPr>
            </w:pPr>
            <w:r>
              <w:rPr>
                <w:rFonts w:hint="cs"/>
                <w:sz w:val="20"/>
                <w:rtl/>
              </w:rPr>
              <w:t>تكاليف الدعم</w:t>
            </w:r>
          </w:p>
        </w:tc>
        <w:tc>
          <w:tcPr>
            <w:tcW w:w="655"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401D6775" w14:textId="77777777" w:rsidR="003953E1" w:rsidRDefault="003953E1">
            <w:pPr>
              <w:spacing w:after="60"/>
              <w:jc w:val="right"/>
              <w:rPr>
                <w:sz w:val="17"/>
                <w:szCs w:val="17"/>
              </w:rPr>
            </w:pPr>
            <w:r>
              <w:rPr>
                <w:sz w:val="17"/>
                <w:szCs w:val="17"/>
              </w:rPr>
              <w:t>8,150</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4316BE5B" w14:textId="77777777" w:rsidR="003953E1" w:rsidRDefault="003953E1">
            <w:pPr>
              <w:spacing w:after="60"/>
              <w:jc w:val="right"/>
              <w:rPr>
                <w:sz w:val="17"/>
                <w:szCs w:val="17"/>
              </w:rPr>
            </w:pPr>
            <w:r>
              <w:rPr>
                <w:sz w:val="17"/>
                <w:szCs w:val="17"/>
              </w:rPr>
              <w:t>0</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5A919481" w14:textId="77777777" w:rsidR="003953E1" w:rsidRDefault="003953E1">
            <w:pPr>
              <w:spacing w:after="60"/>
              <w:jc w:val="right"/>
              <w:rPr>
                <w:sz w:val="17"/>
                <w:szCs w:val="17"/>
              </w:rPr>
            </w:pPr>
            <w:r>
              <w:rPr>
                <w:color w:val="000000"/>
                <w:sz w:val="17"/>
                <w:szCs w:val="17"/>
              </w:rPr>
              <w:t>6,760</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1DFB04D6" w14:textId="77777777" w:rsidR="003953E1" w:rsidRDefault="003953E1">
            <w:pPr>
              <w:spacing w:after="60"/>
              <w:jc w:val="right"/>
              <w:rPr>
                <w:sz w:val="17"/>
                <w:szCs w:val="17"/>
              </w:rPr>
            </w:pPr>
            <w:r>
              <w:rPr>
                <w:sz w:val="17"/>
                <w:szCs w:val="17"/>
              </w:rPr>
              <w:t>0</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41F555C4" w14:textId="77777777" w:rsidR="003953E1" w:rsidRDefault="003953E1">
            <w:pPr>
              <w:spacing w:after="60"/>
              <w:jc w:val="right"/>
              <w:rPr>
                <w:sz w:val="17"/>
                <w:szCs w:val="17"/>
              </w:rPr>
            </w:pPr>
            <w:r>
              <w:rPr>
                <w:color w:val="000000"/>
                <w:sz w:val="17"/>
                <w:szCs w:val="17"/>
              </w:rPr>
              <w:t>0</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7BE819BD" w14:textId="77777777" w:rsidR="003953E1" w:rsidRDefault="003953E1">
            <w:pPr>
              <w:spacing w:after="60"/>
              <w:jc w:val="right"/>
              <w:rPr>
                <w:sz w:val="17"/>
                <w:szCs w:val="17"/>
              </w:rPr>
            </w:pPr>
            <w:r>
              <w:rPr>
                <w:sz w:val="17"/>
                <w:szCs w:val="17"/>
              </w:rPr>
              <w:t>13,250</w:t>
            </w:r>
          </w:p>
        </w:tc>
        <w:tc>
          <w:tcPr>
            <w:tcW w:w="847"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12306A30" w14:textId="77777777" w:rsidR="003953E1" w:rsidRDefault="003953E1">
            <w:pPr>
              <w:spacing w:after="60"/>
              <w:jc w:val="right"/>
              <w:rPr>
                <w:sz w:val="17"/>
                <w:szCs w:val="17"/>
              </w:rPr>
            </w:pPr>
            <w:r>
              <w:rPr>
                <w:sz w:val="17"/>
                <w:szCs w:val="17"/>
              </w:rPr>
              <w:t>0</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66667719" w14:textId="77777777" w:rsidR="003953E1" w:rsidRDefault="003953E1">
            <w:pPr>
              <w:spacing w:after="60"/>
              <w:jc w:val="right"/>
              <w:rPr>
                <w:sz w:val="17"/>
                <w:szCs w:val="17"/>
              </w:rPr>
            </w:pPr>
            <w:r>
              <w:rPr>
                <w:color w:val="000000"/>
                <w:sz w:val="17"/>
                <w:szCs w:val="17"/>
              </w:rPr>
              <w:t>0</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03F3D4C0" w14:textId="77777777" w:rsidR="003953E1" w:rsidRDefault="003953E1">
            <w:pPr>
              <w:spacing w:after="60"/>
              <w:jc w:val="right"/>
              <w:rPr>
                <w:sz w:val="17"/>
                <w:szCs w:val="17"/>
              </w:rPr>
            </w:pPr>
            <w:r>
              <w:rPr>
                <w:sz w:val="17"/>
                <w:szCs w:val="17"/>
              </w:rPr>
              <w:t>0</w:t>
            </w:r>
          </w:p>
        </w:tc>
        <w:tc>
          <w:tcPr>
            <w:tcW w:w="764"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3C3574FC" w14:textId="77777777" w:rsidR="003953E1" w:rsidRDefault="003953E1">
            <w:pPr>
              <w:spacing w:after="60"/>
              <w:jc w:val="right"/>
              <w:rPr>
                <w:sz w:val="17"/>
                <w:szCs w:val="17"/>
              </w:rPr>
            </w:pPr>
            <w:r>
              <w:rPr>
                <w:sz w:val="17"/>
                <w:szCs w:val="17"/>
              </w:rPr>
              <w:t>28,160</w:t>
            </w:r>
          </w:p>
        </w:tc>
      </w:tr>
      <w:tr w:rsidR="003953E1" w14:paraId="41AADDFA" w14:textId="77777777" w:rsidTr="003953E1">
        <w:tc>
          <w:tcPr>
            <w:tcW w:w="2316" w:type="dxa"/>
            <w:gridSpan w:val="2"/>
            <w:vMerge w:val="restart"/>
            <w:tcBorders>
              <w:top w:val="single" w:sz="4" w:space="0" w:color="666699"/>
              <w:left w:val="single" w:sz="4" w:space="0" w:color="666699"/>
              <w:bottom w:val="single" w:sz="4" w:space="0" w:color="666699"/>
              <w:right w:val="single" w:sz="4" w:space="0" w:color="666699"/>
            </w:tcBorders>
            <w:hideMark/>
          </w:tcPr>
          <w:p w14:paraId="474C3171" w14:textId="77777777" w:rsidR="003953E1" w:rsidRPr="003953E1" w:rsidRDefault="003953E1" w:rsidP="003953E1">
            <w:pPr>
              <w:bidi/>
              <w:spacing w:after="60"/>
              <w:jc w:val="left"/>
              <w:rPr>
                <w:sz w:val="17"/>
                <w:szCs w:val="17"/>
                <w:lang w:val="en-US"/>
              </w:rPr>
            </w:pPr>
            <w:r>
              <w:rPr>
                <w:rFonts w:hint="cs"/>
                <w:sz w:val="20"/>
                <w:rtl/>
                <w:lang w:val="en-US"/>
              </w:rPr>
              <w:t>مجموع الأموال المطلوبة للموافقة عليها في هذا الاجتماع (دولار أمريكي)</w:t>
            </w:r>
          </w:p>
        </w:tc>
        <w:tc>
          <w:tcPr>
            <w:tcW w:w="787" w:type="dxa"/>
            <w:tcBorders>
              <w:top w:val="single" w:sz="4" w:space="0" w:color="666699"/>
              <w:left w:val="single" w:sz="4" w:space="0" w:color="666699"/>
              <w:bottom w:val="single" w:sz="4" w:space="0" w:color="666699"/>
              <w:right w:val="single" w:sz="4" w:space="0" w:color="666699"/>
            </w:tcBorders>
            <w:hideMark/>
          </w:tcPr>
          <w:p w14:paraId="5111876E" w14:textId="77777777" w:rsidR="003953E1" w:rsidRDefault="003953E1">
            <w:pPr>
              <w:bidi/>
              <w:spacing w:after="60"/>
              <w:jc w:val="left"/>
              <w:rPr>
                <w:sz w:val="20"/>
                <w:lang w:val="en-US"/>
              </w:rPr>
            </w:pPr>
            <w:r>
              <w:rPr>
                <w:rFonts w:hint="cs"/>
                <w:sz w:val="20"/>
                <w:rtl/>
              </w:rPr>
              <w:t>تكاليف المشروع</w:t>
            </w:r>
          </w:p>
        </w:tc>
        <w:tc>
          <w:tcPr>
            <w:tcW w:w="655"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28855676" w14:textId="77777777" w:rsidR="003953E1" w:rsidRDefault="003953E1">
            <w:pPr>
              <w:spacing w:after="60"/>
              <w:jc w:val="right"/>
              <w:rPr>
                <w:sz w:val="17"/>
                <w:szCs w:val="17"/>
              </w:rPr>
            </w:pPr>
            <w:r>
              <w:rPr>
                <w:sz w:val="17"/>
                <w:szCs w:val="17"/>
              </w:rPr>
              <w:t>0</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1E52BBFE" w14:textId="77777777" w:rsidR="003953E1" w:rsidRDefault="003953E1">
            <w:pPr>
              <w:spacing w:after="60"/>
              <w:jc w:val="right"/>
              <w:rPr>
                <w:sz w:val="17"/>
                <w:szCs w:val="17"/>
              </w:rPr>
            </w:pPr>
            <w:r>
              <w:rPr>
                <w:sz w:val="17"/>
                <w:szCs w:val="17"/>
              </w:rPr>
              <w:t>0</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6702D1EB" w14:textId="77777777" w:rsidR="003953E1" w:rsidRDefault="003953E1">
            <w:pPr>
              <w:spacing w:after="60"/>
              <w:jc w:val="right"/>
              <w:rPr>
                <w:sz w:val="17"/>
                <w:szCs w:val="17"/>
              </w:rPr>
            </w:pPr>
            <w:r>
              <w:rPr>
                <w:sz w:val="17"/>
                <w:szCs w:val="17"/>
              </w:rPr>
              <w:t>0</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723C0B9F" w14:textId="77777777" w:rsidR="003953E1" w:rsidRDefault="003953E1">
            <w:pPr>
              <w:spacing w:after="60"/>
              <w:jc w:val="right"/>
              <w:rPr>
                <w:b/>
                <w:sz w:val="17"/>
                <w:szCs w:val="17"/>
              </w:rPr>
            </w:pPr>
            <w:r>
              <w:rPr>
                <w:sz w:val="17"/>
                <w:szCs w:val="17"/>
              </w:rPr>
              <w:t>0</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0496B825" w14:textId="77777777" w:rsidR="003953E1" w:rsidRDefault="003953E1">
            <w:pPr>
              <w:spacing w:after="60"/>
              <w:jc w:val="right"/>
              <w:rPr>
                <w:sz w:val="17"/>
                <w:szCs w:val="17"/>
              </w:rPr>
            </w:pPr>
            <w:r>
              <w:rPr>
                <w:color w:val="000000"/>
                <w:sz w:val="17"/>
                <w:szCs w:val="17"/>
              </w:rPr>
              <w:t>0</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25230DC7" w14:textId="77777777" w:rsidR="003953E1" w:rsidRDefault="003953E1">
            <w:pPr>
              <w:spacing w:after="60"/>
              <w:jc w:val="right"/>
              <w:rPr>
                <w:sz w:val="17"/>
                <w:szCs w:val="17"/>
              </w:rPr>
            </w:pPr>
            <w:r>
              <w:rPr>
                <w:sz w:val="17"/>
                <w:szCs w:val="17"/>
              </w:rPr>
              <w:t>0</w:t>
            </w:r>
          </w:p>
        </w:tc>
        <w:tc>
          <w:tcPr>
            <w:tcW w:w="847"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4CD456D2" w14:textId="77777777" w:rsidR="003953E1" w:rsidRDefault="003953E1">
            <w:pPr>
              <w:spacing w:after="60"/>
              <w:jc w:val="right"/>
              <w:rPr>
                <w:sz w:val="17"/>
                <w:szCs w:val="17"/>
              </w:rPr>
            </w:pPr>
            <w:r>
              <w:rPr>
                <w:sz w:val="17"/>
                <w:szCs w:val="17"/>
              </w:rPr>
              <w:t>0</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091393BA" w14:textId="77777777" w:rsidR="003953E1" w:rsidRDefault="003953E1">
            <w:pPr>
              <w:spacing w:after="60"/>
              <w:jc w:val="right"/>
              <w:rPr>
                <w:sz w:val="17"/>
                <w:szCs w:val="17"/>
              </w:rPr>
            </w:pPr>
            <w:r>
              <w:rPr>
                <w:color w:val="000000"/>
                <w:sz w:val="17"/>
                <w:szCs w:val="17"/>
              </w:rPr>
              <w:t>0</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4F170D74" w14:textId="77777777" w:rsidR="003953E1" w:rsidRDefault="003953E1">
            <w:pPr>
              <w:spacing w:after="60"/>
              <w:jc w:val="right"/>
              <w:rPr>
                <w:sz w:val="17"/>
                <w:szCs w:val="17"/>
              </w:rPr>
            </w:pPr>
            <w:r>
              <w:rPr>
                <w:color w:val="000000"/>
                <w:sz w:val="17"/>
                <w:szCs w:val="17"/>
              </w:rPr>
              <w:t>28,000</w:t>
            </w:r>
          </w:p>
        </w:tc>
        <w:tc>
          <w:tcPr>
            <w:tcW w:w="764"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426BEE89" w14:textId="77777777" w:rsidR="003953E1" w:rsidRDefault="003953E1">
            <w:pPr>
              <w:spacing w:after="60"/>
              <w:jc w:val="right"/>
              <w:rPr>
                <w:sz w:val="17"/>
                <w:szCs w:val="17"/>
              </w:rPr>
            </w:pPr>
            <w:r>
              <w:rPr>
                <w:color w:val="000000"/>
                <w:sz w:val="17"/>
                <w:szCs w:val="17"/>
              </w:rPr>
              <w:t>28,000</w:t>
            </w:r>
          </w:p>
        </w:tc>
      </w:tr>
      <w:tr w:rsidR="003953E1" w14:paraId="791E18FE" w14:textId="77777777" w:rsidTr="003953E1">
        <w:tc>
          <w:tcPr>
            <w:tcW w:w="2316" w:type="dxa"/>
            <w:gridSpan w:val="2"/>
            <w:vMerge/>
            <w:tcBorders>
              <w:top w:val="single" w:sz="4" w:space="0" w:color="666699"/>
              <w:left w:val="single" w:sz="4" w:space="0" w:color="666699"/>
              <w:bottom w:val="single" w:sz="4" w:space="0" w:color="666699"/>
              <w:right w:val="single" w:sz="4" w:space="0" w:color="666699"/>
            </w:tcBorders>
            <w:vAlign w:val="center"/>
            <w:hideMark/>
          </w:tcPr>
          <w:p w14:paraId="5312A25A" w14:textId="77777777" w:rsidR="003953E1" w:rsidRDefault="003953E1">
            <w:pPr>
              <w:jc w:val="left"/>
              <w:rPr>
                <w:sz w:val="17"/>
                <w:szCs w:val="17"/>
              </w:rPr>
            </w:pPr>
          </w:p>
        </w:tc>
        <w:tc>
          <w:tcPr>
            <w:tcW w:w="787" w:type="dxa"/>
            <w:tcBorders>
              <w:top w:val="single" w:sz="4" w:space="0" w:color="666699"/>
              <w:left w:val="single" w:sz="4" w:space="0" w:color="666699"/>
              <w:bottom w:val="single" w:sz="4" w:space="0" w:color="666699"/>
              <w:right w:val="single" w:sz="4" w:space="0" w:color="666699"/>
            </w:tcBorders>
            <w:hideMark/>
          </w:tcPr>
          <w:p w14:paraId="0CEB2B11" w14:textId="77777777" w:rsidR="003953E1" w:rsidRDefault="003953E1">
            <w:pPr>
              <w:bidi/>
              <w:spacing w:after="60"/>
              <w:jc w:val="left"/>
              <w:rPr>
                <w:sz w:val="20"/>
                <w:lang w:val="en-US"/>
              </w:rPr>
            </w:pPr>
            <w:r>
              <w:rPr>
                <w:rFonts w:hint="cs"/>
                <w:sz w:val="20"/>
                <w:rtl/>
              </w:rPr>
              <w:t>تكاليف الدعم</w:t>
            </w:r>
          </w:p>
        </w:tc>
        <w:tc>
          <w:tcPr>
            <w:tcW w:w="655"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34DFF2E2" w14:textId="77777777" w:rsidR="003953E1" w:rsidRDefault="003953E1">
            <w:pPr>
              <w:spacing w:after="60"/>
              <w:jc w:val="right"/>
              <w:rPr>
                <w:sz w:val="17"/>
                <w:szCs w:val="17"/>
              </w:rPr>
            </w:pPr>
            <w:r>
              <w:rPr>
                <w:sz w:val="17"/>
                <w:szCs w:val="17"/>
              </w:rPr>
              <w:t>0</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0E759B6D" w14:textId="77777777" w:rsidR="003953E1" w:rsidRDefault="003953E1">
            <w:pPr>
              <w:spacing w:after="60"/>
              <w:jc w:val="right"/>
              <w:rPr>
                <w:sz w:val="17"/>
                <w:szCs w:val="17"/>
              </w:rPr>
            </w:pPr>
            <w:r>
              <w:rPr>
                <w:sz w:val="17"/>
                <w:szCs w:val="17"/>
              </w:rPr>
              <w:t>0</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50D85779" w14:textId="77777777" w:rsidR="003953E1" w:rsidRDefault="003953E1">
            <w:pPr>
              <w:spacing w:after="60"/>
              <w:jc w:val="right"/>
              <w:rPr>
                <w:sz w:val="17"/>
                <w:szCs w:val="17"/>
              </w:rPr>
            </w:pPr>
            <w:r>
              <w:rPr>
                <w:sz w:val="17"/>
                <w:szCs w:val="17"/>
              </w:rPr>
              <w:t>0</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16A0A39D" w14:textId="77777777" w:rsidR="003953E1" w:rsidRDefault="003953E1">
            <w:pPr>
              <w:spacing w:after="60"/>
              <w:jc w:val="right"/>
              <w:rPr>
                <w:b/>
                <w:sz w:val="17"/>
                <w:szCs w:val="17"/>
              </w:rPr>
            </w:pPr>
            <w:r>
              <w:rPr>
                <w:sz w:val="17"/>
                <w:szCs w:val="17"/>
              </w:rPr>
              <w:t>0</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2BB16BAB" w14:textId="77777777" w:rsidR="003953E1" w:rsidRDefault="003953E1">
            <w:pPr>
              <w:spacing w:after="60"/>
              <w:jc w:val="right"/>
              <w:rPr>
                <w:sz w:val="17"/>
                <w:szCs w:val="17"/>
              </w:rPr>
            </w:pPr>
            <w:r>
              <w:rPr>
                <w:color w:val="000000"/>
                <w:sz w:val="17"/>
                <w:szCs w:val="17"/>
              </w:rPr>
              <w:t>0</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507C4A59" w14:textId="77777777" w:rsidR="003953E1" w:rsidRDefault="003953E1">
            <w:pPr>
              <w:spacing w:after="60"/>
              <w:jc w:val="right"/>
              <w:rPr>
                <w:sz w:val="17"/>
                <w:szCs w:val="17"/>
              </w:rPr>
            </w:pPr>
            <w:r>
              <w:rPr>
                <w:sz w:val="17"/>
                <w:szCs w:val="17"/>
              </w:rPr>
              <w:t>0</w:t>
            </w:r>
          </w:p>
        </w:tc>
        <w:tc>
          <w:tcPr>
            <w:tcW w:w="847"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4B3D2042" w14:textId="77777777" w:rsidR="003953E1" w:rsidRDefault="003953E1">
            <w:pPr>
              <w:spacing w:after="60"/>
              <w:jc w:val="right"/>
              <w:rPr>
                <w:sz w:val="17"/>
                <w:szCs w:val="17"/>
              </w:rPr>
            </w:pPr>
            <w:r>
              <w:rPr>
                <w:sz w:val="17"/>
                <w:szCs w:val="17"/>
              </w:rPr>
              <w:t>0</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030B5B59" w14:textId="77777777" w:rsidR="003953E1" w:rsidRDefault="003953E1">
            <w:pPr>
              <w:spacing w:after="60"/>
              <w:jc w:val="right"/>
              <w:rPr>
                <w:sz w:val="17"/>
                <w:szCs w:val="17"/>
              </w:rPr>
            </w:pPr>
            <w:r>
              <w:rPr>
                <w:color w:val="000000"/>
                <w:sz w:val="17"/>
                <w:szCs w:val="17"/>
              </w:rPr>
              <w:t>0</w:t>
            </w:r>
          </w:p>
        </w:tc>
        <w:tc>
          <w:tcPr>
            <w:tcW w:w="763"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65BC10DD" w14:textId="77777777" w:rsidR="003953E1" w:rsidRDefault="003953E1">
            <w:pPr>
              <w:spacing w:after="60"/>
              <w:jc w:val="right"/>
              <w:rPr>
                <w:sz w:val="17"/>
                <w:szCs w:val="17"/>
              </w:rPr>
            </w:pPr>
            <w:r>
              <w:rPr>
                <w:color w:val="000000"/>
                <w:sz w:val="17"/>
                <w:szCs w:val="17"/>
              </w:rPr>
              <w:t>3,640</w:t>
            </w:r>
          </w:p>
        </w:tc>
        <w:tc>
          <w:tcPr>
            <w:tcW w:w="764" w:type="dxa"/>
            <w:tcBorders>
              <w:top w:val="single" w:sz="4" w:space="0" w:color="666699"/>
              <w:left w:val="single" w:sz="4" w:space="0" w:color="666699"/>
              <w:bottom w:val="single" w:sz="4" w:space="0" w:color="666699"/>
              <w:right w:val="single" w:sz="4" w:space="0" w:color="666699"/>
            </w:tcBorders>
            <w:tcMar>
              <w:top w:w="0" w:type="dxa"/>
              <w:left w:w="0" w:type="dxa"/>
              <w:bottom w:w="0" w:type="dxa"/>
              <w:right w:w="115" w:type="dxa"/>
            </w:tcMar>
            <w:hideMark/>
          </w:tcPr>
          <w:p w14:paraId="7ADFDC94" w14:textId="77777777" w:rsidR="003953E1" w:rsidRDefault="003953E1">
            <w:pPr>
              <w:spacing w:after="60"/>
              <w:jc w:val="right"/>
              <w:rPr>
                <w:sz w:val="17"/>
                <w:szCs w:val="17"/>
              </w:rPr>
            </w:pPr>
            <w:r>
              <w:rPr>
                <w:color w:val="000000"/>
                <w:sz w:val="17"/>
                <w:szCs w:val="17"/>
              </w:rPr>
              <w:t>3,640</w:t>
            </w:r>
          </w:p>
        </w:tc>
      </w:tr>
    </w:tbl>
    <w:p w14:paraId="12B1B29A" w14:textId="77777777" w:rsidR="00FE13A5" w:rsidRPr="00272FB1" w:rsidRDefault="00FE13A5" w:rsidP="00272FB1">
      <w:pPr>
        <w:bidi/>
        <w:spacing w:line="80" w:lineRule="exact"/>
        <w:jc w:val="left"/>
        <w:rPr>
          <w:bCs/>
          <w:sz w:val="26"/>
          <w:szCs w:val="26"/>
          <w:lang w:bidi="ar-EG"/>
        </w:rPr>
      </w:pPr>
    </w:p>
    <w:tbl>
      <w:tblPr>
        <w:tblStyle w:val="TableGrid10"/>
        <w:bidiVisual/>
        <w:tblW w:w="10890" w:type="dxa"/>
        <w:tblInd w:w="-70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702"/>
        <w:gridCol w:w="7188"/>
      </w:tblGrid>
      <w:tr w:rsidR="003953E1" w14:paraId="380E64AB" w14:textId="77777777" w:rsidTr="003953E1">
        <w:trPr>
          <w:trHeight w:val="240"/>
        </w:trPr>
        <w:tc>
          <w:tcPr>
            <w:tcW w:w="3702" w:type="dxa"/>
            <w:tcBorders>
              <w:top w:val="single" w:sz="4" w:space="0" w:color="666699"/>
              <w:left w:val="single" w:sz="4" w:space="0" w:color="666699"/>
              <w:bottom w:val="single" w:sz="4" w:space="0" w:color="666699"/>
              <w:right w:val="single" w:sz="4" w:space="0" w:color="666699"/>
            </w:tcBorders>
            <w:hideMark/>
          </w:tcPr>
          <w:p w14:paraId="461D67D5" w14:textId="77777777" w:rsidR="003953E1" w:rsidRDefault="003953E1">
            <w:pPr>
              <w:bidi/>
              <w:jc w:val="left"/>
              <w:rPr>
                <w:b/>
                <w:sz w:val="21"/>
                <w:szCs w:val="21"/>
                <w:lang w:val="en-CA"/>
              </w:rPr>
            </w:pPr>
            <w:r>
              <w:rPr>
                <w:rFonts w:hint="cs"/>
                <w:bCs/>
                <w:sz w:val="20"/>
                <w:rtl/>
                <w:lang w:val="en-US" w:bidi="ar-EG"/>
              </w:rPr>
              <w:t>توصية الأمانة</w:t>
            </w:r>
          </w:p>
        </w:tc>
        <w:tc>
          <w:tcPr>
            <w:tcW w:w="7188" w:type="dxa"/>
            <w:tcBorders>
              <w:top w:val="single" w:sz="4" w:space="0" w:color="666699"/>
              <w:left w:val="single" w:sz="4" w:space="0" w:color="666699"/>
              <w:bottom w:val="single" w:sz="4" w:space="0" w:color="666699"/>
              <w:right w:val="single" w:sz="4" w:space="0" w:color="666699"/>
            </w:tcBorders>
            <w:hideMark/>
          </w:tcPr>
          <w:p w14:paraId="71251E75" w14:textId="77777777" w:rsidR="003953E1" w:rsidRDefault="003953E1">
            <w:pPr>
              <w:jc w:val="center"/>
              <w:rPr>
                <w:sz w:val="21"/>
                <w:szCs w:val="21"/>
                <w:lang w:val="en-CA"/>
              </w:rPr>
            </w:pPr>
            <w:r>
              <w:rPr>
                <w:rFonts w:hint="cs"/>
                <w:b/>
                <w:sz w:val="20"/>
                <w:rtl/>
                <w:lang w:val="en-US" w:bidi="ar-EG"/>
              </w:rPr>
              <w:t>الموافقة الشاملة</w:t>
            </w:r>
          </w:p>
        </w:tc>
      </w:tr>
    </w:tbl>
    <w:p w14:paraId="2377711A" w14:textId="77777777" w:rsidR="00BC346D" w:rsidRDefault="00BC346D" w:rsidP="00BC346D">
      <w:pPr>
        <w:bidi/>
        <w:jc w:val="center"/>
        <w:rPr>
          <w:bCs/>
          <w:sz w:val="28"/>
          <w:szCs w:val="28"/>
          <w:lang w:val="en-US" w:bidi="ar-EG"/>
        </w:rPr>
      </w:pPr>
      <w:r>
        <w:rPr>
          <w:rFonts w:hint="cs"/>
          <w:bCs/>
          <w:sz w:val="28"/>
          <w:szCs w:val="28"/>
          <w:rtl/>
          <w:lang w:val="en-US" w:bidi="ar-EG"/>
        </w:rPr>
        <w:lastRenderedPageBreak/>
        <w:t>وصف المشروع</w:t>
      </w:r>
    </w:p>
    <w:p w14:paraId="383AC910" w14:textId="77777777" w:rsidR="00BC346D" w:rsidRDefault="00BC346D" w:rsidP="00BC346D">
      <w:pPr>
        <w:jc w:val="center"/>
        <w:rPr>
          <w:sz w:val="28"/>
          <w:szCs w:val="22"/>
          <w:rtl/>
          <w:lang w:bidi="ar-EG"/>
        </w:rPr>
      </w:pPr>
    </w:p>
    <w:p w14:paraId="424043C1" w14:textId="77777777" w:rsidR="00BC346D" w:rsidRDefault="00BC346D" w:rsidP="00DA1C69">
      <w:pPr>
        <w:pStyle w:val="StyleComplexArabicTransparent13ptAfter12pt"/>
        <w:bidi/>
        <w:rPr>
          <w:rFonts w:cs="Times New Roman"/>
        </w:rPr>
      </w:pPr>
      <w:r>
        <w:rPr>
          <w:rFonts w:cs="Times New Roman" w:hint="cs"/>
          <w:rtl/>
        </w:rPr>
        <w:t>1.</w:t>
      </w:r>
      <w:r>
        <w:rPr>
          <w:rFonts w:cs="Times New Roman"/>
        </w:rPr>
        <w:tab/>
      </w:r>
      <w:r>
        <w:rPr>
          <w:rFonts w:cs="Times New Roman" w:hint="cs"/>
          <w:rtl/>
        </w:rPr>
        <w:t>نيابة عن حكومة غينيا</w:t>
      </w:r>
      <w:r w:rsidR="007450E5">
        <w:rPr>
          <w:rFonts w:cs="Times New Roman" w:hint="cs"/>
          <w:rtl/>
        </w:rPr>
        <w:t xml:space="preserve"> </w:t>
      </w:r>
      <w:r>
        <w:rPr>
          <w:rFonts w:cs="Times New Roman" w:hint="cs"/>
          <w:rtl/>
        </w:rPr>
        <w:t>- بيساو، قدم اليونيب، بوصفه الوكالة المنفذة الرئيسة، طلبا لتمويل الشريحة الرابعة من المرحلة الأولى من خطة إدارة إزالة المواد الهيدروكلوروفلوروكربونية بمبلـغ 000 28 دولار أمريكي زائدا تكاليف دعم الوكالة البالغة 640 3 دولار أمريكي لليونيب فقط.</w:t>
      </w:r>
      <w:r>
        <w:rPr>
          <w:rStyle w:val="FootnoteReference"/>
          <w:rFonts w:cs="Times New Roman"/>
          <w:rtl/>
        </w:rPr>
        <w:footnoteReference w:id="1"/>
      </w:r>
      <w:r>
        <w:rPr>
          <w:rFonts w:cs="Times New Roman" w:hint="cs"/>
          <w:rtl/>
        </w:rPr>
        <w:t xml:space="preserve"> ويشمل التقديم تقريرا مرحليا عن تنفيذ الشريحة </w:t>
      </w:r>
      <w:r w:rsidR="00DA1C69">
        <w:rPr>
          <w:rFonts w:cs="Times New Roman" w:hint="cs"/>
          <w:rtl/>
        </w:rPr>
        <w:t>الثالثة</w:t>
      </w:r>
      <w:r>
        <w:rPr>
          <w:rFonts w:cs="Times New Roman" w:hint="cs"/>
          <w:rtl/>
        </w:rPr>
        <w:t xml:space="preserve"> و</w:t>
      </w:r>
      <w:r w:rsidR="00DA1C69">
        <w:rPr>
          <w:rFonts w:cs="Times New Roman" w:hint="cs"/>
          <w:rtl/>
        </w:rPr>
        <w:t xml:space="preserve">تقرير التحقق من استهلاك </w:t>
      </w:r>
      <w:r w:rsidR="00DA1C69">
        <w:rPr>
          <w:rtl/>
        </w:rPr>
        <w:t>الهيدروكلوروفلوروكربون</w:t>
      </w:r>
      <w:r w:rsidR="00DA1C69">
        <w:rPr>
          <w:rFonts w:hint="cs"/>
          <w:rtl/>
        </w:rPr>
        <w:t xml:space="preserve"> من عام 2013 إلى عام 2019 و</w:t>
      </w:r>
      <w:r>
        <w:rPr>
          <w:rFonts w:cs="Times New Roman" w:hint="cs"/>
          <w:rtl/>
        </w:rPr>
        <w:t xml:space="preserve">خطة تنفيذ الشريحة للفترة من عام </w:t>
      </w:r>
      <w:r w:rsidR="00DA1C69">
        <w:rPr>
          <w:rFonts w:cs="Times New Roman" w:hint="cs"/>
          <w:rtl/>
        </w:rPr>
        <w:t>2020</w:t>
      </w:r>
      <w:r>
        <w:rPr>
          <w:rFonts w:cs="Times New Roman" w:hint="cs"/>
          <w:rtl/>
        </w:rPr>
        <w:t xml:space="preserve"> إلى عام </w:t>
      </w:r>
      <w:r w:rsidR="00DA1C69">
        <w:rPr>
          <w:rFonts w:cs="Times New Roman" w:hint="cs"/>
          <w:rtl/>
        </w:rPr>
        <w:t>2021</w:t>
      </w:r>
      <w:r>
        <w:rPr>
          <w:rFonts w:cs="Times New Roman" w:hint="cs"/>
          <w:rtl/>
        </w:rPr>
        <w:t xml:space="preserve">. </w:t>
      </w:r>
    </w:p>
    <w:p w14:paraId="36740DE5" w14:textId="77777777" w:rsidR="00BC346D" w:rsidRDefault="00BC346D" w:rsidP="00BC346D">
      <w:pPr>
        <w:pStyle w:val="StyleComplexArabicTransparent13ptAfter12pt"/>
        <w:bidi/>
        <w:rPr>
          <w:u w:val="single"/>
        </w:rPr>
      </w:pPr>
      <w:r>
        <w:rPr>
          <w:rFonts w:cs="Times New Roman" w:hint="cs"/>
          <w:u w:val="single"/>
          <w:rtl/>
          <w:lang w:bidi="ar-EG"/>
        </w:rPr>
        <w:t xml:space="preserve">تقرير بشأن استهلاك </w:t>
      </w:r>
      <w:r w:rsidRPr="006E12B4">
        <w:rPr>
          <w:u w:val="single"/>
          <w:rtl/>
        </w:rPr>
        <w:t>المواد الهيدروكلوروفلوروكربونية</w:t>
      </w:r>
    </w:p>
    <w:p w14:paraId="1D45C84F" w14:textId="77777777" w:rsidR="00BC346D" w:rsidRDefault="00BC346D" w:rsidP="00627BAE">
      <w:pPr>
        <w:pStyle w:val="StyleComplexArabicTransparent13ptAfter12pt"/>
        <w:bidi/>
        <w:rPr>
          <w:rFonts w:cs="Times New Roman"/>
          <w:rtl/>
        </w:rPr>
      </w:pPr>
      <w:r>
        <w:rPr>
          <w:rFonts w:cs="Times New Roman" w:hint="cs"/>
          <w:rtl/>
        </w:rPr>
        <w:t>2.</w:t>
      </w:r>
      <w:r>
        <w:rPr>
          <w:rFonts w:cs="Times New Roman" w:hint="cs"/>
          <w:rtl/>
        </w:rPr>
        <w:tab/>
        <w:t xml:space="preserve">أبلغت حكومة </w:t>
      </w:r>
      <w:r w:rsidR="00E85387">
        <w:rPr>
          <w:rtl/>
        </w:rPr>
        <w:t>غينيا</w:t>
      </w:r>
      <w:r w:rsidR="00D542DD">
        <w:rPr>
          <w:rFonts w:hint="cs"/>
          <w:rtl/>
        </w:rPr>
        <w:t xml:space="preserve"> </w:t>
      </w:r>
      <w:r w:rsidR="00E85387">
        <w:rPr>
          <w:rtl/>
        </w:rPr>
        <w:t>- بيساو</w:t>
      </w:r>
      <w:r w:rsidR="00E85387">
        <w:rPr>
          <w:rFonts w:cs="Times New Roman" w:hint="cs"/>
          <w:rtl/>
        </w:rPr>
        <w:t xml:space="preserve"> </w:t>
      </w:r>
      <w:r w:rsidR="00627BAE">
        <w:rPr>
          <w:rFonts w:cs="Times New Roman" w:hint="cs"/>
          <w:rtl/>
          <w:lang w:bidi="ar-EG"/>
        </w:rPr>
        <w:t xml:space="preserve">في تقرير التحقق </w:t>
      </w:r>
      <w:r>
        <w:rPr>
          <w:rFonts w:cs="Times New Roman" w:hint="cs"/>
          <w:rtl/>
        </w:rPr>
        <w:t xml:space="preserve">عن استهلاك </w:t>
      </w:r>
      <w:r>
        <w:rPr>
          <w:rtl/>
        </w:rPr>
        <w:t>يبلغ 1.</w:t>
      </w:r>
      <w:r w:rsidR="00627BAE">
        <w:rPr>
          <w:rFonts w:hint="cs"/>
          <w:rtl/>
        </w:rPr>
        <w:t>27</w:t>
      </w:r>
      <w:r>
        <w:rPr>
          <w:rtl/>
        </w:rPr>
        <w:t xml:space="preserve"> طن من قدرات استنفاد الأوزون من </w:t>
      </w:r>
      <w:r>
        <w:rPr>
          <w:rtl/>
          <w:lang w:bidi="ar-EG"/>
        </w:rPr>
        <w:t xml:space="preserve">المواد الهيدروكلوروفلوروكربونية </w:t>
      </w:r>
      <w:r>
        <w:rPr>
          <w:rtl/>
        </w:rPr>
        <w:t>في عام 201</w:t>
      </w:r>
      <w:r w:rsidR="00627BAE">
        <w:rPr>
          <w:rFonts w:hint="cs"/>
          <w:rtl/>
        </w:rPr>
        <w:t>9</w:t>
      </w:r>
      <w:r>
        <w:rPr>
          <w:rtl/>
        </w:rPr>
        <w:t xml:space="preserve"> يمثل نسبة حوالى </w:t>
      </w:r>
      <w:r w:rsidR="00627BAE">
        <w:rPr>
          <w:rFonts w:hint="cs"/>
          <w:rtl/>
        </w:rPr>
        <w:t>55</w:t>
      </w:r>
      <w:r>
        <w:rPr>
          <w:rtl/>
        </w:rPr>
        <w:t xml:space="preserve"> في المائة أقل من خط أساس المواد الهيدروكلوروفلوروكربونية للامتثال. ويرد في الجدول 1 استهلاك المواد الهيدروكلوروفلوروكربونية في الفترة 201</w:t>
      </w:r>
      <w:r w:rsidR="00627BAE">
        <w:rPr>
          <w:rFonts w:hint="cs"/>
          <w:rtl/>
        </w:rPr>
        <w:t>5</w:t>
      </w:r>
      <w:r>
        <w:rPr>
          <w:rtl/>
        </w:rPr>
        <w:t>-201</w:t>
      </w:r>
      <w:r w:rsidR="00627BAE">
        <w:rPr>
          <w:rFonts w:hint="cs"/>
          <w:rtl/>
        </w:rPr>
        <w:t>9</w:t>
      </w:r>
      <w:r>
        <w:rPr>
          <w:rtl/>
        </w:rPr>
        <w:t>.</w:t>
      </w:r>
    </w:p>
    <w:p w14:paraId="1922486E" w14:textId="77777777" w:rsidR="006E12B4" w:rsidRDefault="006E12B4" w:rsidP="00D542DD">
      <w:pPr>
        <w:bidi/>
        <w:spacing w:line="360" w:lineRule="auto"/>
        <w:rPr>
          <w:b/>
          <w:bCs/>
          <w:sz w:val="26"/>
          <w:szCs w:val="26"/>
          <w:lang w:bidi="ar-AE"/>
        </w:rPr>
      </w:pPr>
      <w:r>
        <w:rPr>
          <w:rFonts w:hint="cs"/>
          <w:b/>
          <w:bCs/>
          <w:sz w:val="26"/>
          <w:szCs w:val="26"/>
          <w:rtl/>
          <w:lang w:bidi="ar-EG"/>
        </w:rPr>
        <w:t xml:space="preserve">الجدول 1. </w:t>
      </w:r>
      <w:r>
        <w:rPr>
          <w:rFonts w:hint="cs"/>
          <w:b/>
          <w:bCs/>
          <w:sz w:val="26"/>
          <w:szCs w:val="26"/>
          <w:rtl/>
          <w:lang w:bidi="ar-AE"/>
        </w:rPr>
        <w:t xml:space="preserve">استهلاك الهيدروكلوروفلوروكربون في </w:t>
      </w:r>
      <w:r w:rsidR="00D542DD">
        <w:rPr>
          <w:rFonts w:hint="cs"/>
          <w:b/>
          <w:bCs/>
          <w:sz w:val="26"/>
          <w:szCs w:val="26"/>
          <w:rtl/>
          <w:lang w:bidi="ar-AE"/>
        </w:rPr>
        <w:t>غينيا - بيساو</w:t>
      </w:r>
      <w:r>
        <w:rPr>
          <w:rFonts w:hint="cs"/>
          <w:b/>
          <w:bCs/>
          <w:sz w:val="26"/>
          <w:szCs w:val="26"/>
          <w:rtl/>
          <w:lang w:bidi="ar-AE"/>
        </w:rPr>
        <w:t xml:space="preserve"> (بيانات المادة 7 للفترة </w:t>
      </w:r>
      <w:r w:rsidR="00D542DD">
        <w:rPr>
          <w:rFonts w:hint="cs"/>
          <w:b/>
          <w:bCs/>
          <w:sz w:val="26"/>
          <w:szCs w:val="26"/>
          <w:rtl/>
          <w:lang w:bidi="ar-AE"/>
        </w:rPr>
        <w:t>2015</w:t>
      </w:r>
      <w:r>
        <w:rPr>
          <w:rFonts w:hint="cs"/>
          <w:b/>
          <w:bCs/>
          <w:sz w:val="26"/>
          <w:szCs w:val="26"/>
          <w:rtl/>
          <w:lang w:bidi="ar-AE"/>
        </w:rPr>
        <w:t>-</w:t>
      </w:r>
      <w:r w:rsidR="00D542DD">
        <w:rPr>
          <w:rFonts w:hint="cs"/>
          <w:b/>
          <w:bCs/>
          <w:sz w:val="26"/>
          <w:szCs w:val="26"/>
          <w:rtl/>
          <w:lang w:bidi="ar-AE"/>
        </w:rPr>
        <w:t>2019</w:t>
      </w:r>
      <w:r>
        <w:rPr>
          <w:rFonts w:hint="cs"/>
          <w:b/>
          <w:bCs/>
          <w:sz w:val="26"/>
          <w:szCs w:val="26"/>
          <w:rtl/>
          <w:lang w:bidi="ar-AE"/>
        </w:rPr>
        <w:t>)</w:t>
      </w:r>
    </w:p>
    <w:tbl>
      <w:tblPr>
        <w:bidiVisual/>
        <w:tblW w:w="5000" w:type="pct"/>
        <w:tblLook w:val="04A0" w:firstRow="1" w:lastRow="0" w:firstColumn="1" w:lastColumn="0" w:noHBand="0" w:noVBand="1"/>
      </w:tblPr>
      <w:tblGrid>
        <w:gridCol w:w="2559"/>
        <w:gridCol w:w="1159"/>
        <w:gridCol w:w="1159"/>
        <w:gridCol w:w="1160"/>
        <w:gridCol w:w="1158"/>
        <w:gridCol w:w="1158"/>
        <w:gridCol w:w="1158"/>
      </w:tblGrid>
      <w:tr w:rsidR="006E12B4" w14:paraId="3F4DE4AE" w14:textId="77777777" w:rsidTr="006E12B4">
        <w:trPr>
          <w:trHeight w:val="248"/>
          <w:tblHeader/>
        </w:trPr>
        <w:tc>
          <w:tcPr>
            <w:tcW w:w="1345"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hideMark/>
          </w:tcPr>
          <w:p w14:paraId="5341739C" w14:textId="77777777" w:rsidR="006E12B4" w:rsidRDefault="006E12B4">
            <w:pPr>
              <w:widowControl w:val="0"/>
              <w:bidi/>
              <w:snapToGrid w:val="0"/>
              <w:jc w:val="left"/>
              <w:rPr>
                <w:b/>
                <w:bCs/>
                <w:color w:val="000000"/>
                <w:sz w:val="20"/>
                <w:lang w:val="en-CA"/>
              </w:rPr>
            </w:pPr>
            <w:r>
              <w:rPr>
                <w:rFonts w:hint="cs"/>
                <w:b/>
                <w:bCs/>
                <w:sz w:val="20"/>
                <w:rtl/>
                <w:lang w:bidi="ar-AE"/>
              </w:rPr>
              <w:t>الهيدروكلوروفلوروكربون-22</w:t>
            </w:r>
          </w:p>
        </w:tc>
        <w:tc>
          <w:tcPr>
            <w:tcW w:w="609" w:type="pct"/>
            <w:tcBorders>
              <w:top w:val="single" w:sz="4" w:space="0" w:color="auto"/>
              <w:left w:val="nil"/>
              <w:bottom w:val="single" w:sz="4" w:space="0" w:color="auto"/>
              <w:right w:val="single" w:sz="4" w:space="0" w:color="auto"/>
            </w:tcBorders>
            <w:noWrap/>
            <w:vAlign w:val="center"/>
            <w:hideMark/>
          </w:tcPr>
          <w:p w14:paraId="10FD04BC" w14:textId="77777777" w:rsidR="006E12B4" w:rsidRDefault="006E12B4">
            <w:pPr>
              <w:widowControl w:val="0"/>
              <w:jc w:val="center"/>
              <w:rPr>
                <w:b/>
                <w:bCs/>
                <w:color w:val="000000"/>
                <w:sz w:val="21"/>
                <w:szCs w:val="21"/>
                <w:lang w:val="en-CA"/>
              </w:rPr>
            </w:pPr>
            <w:r>
              <w:rPr>
                <w:b/>
                <w:bCs/>
                <w:color w:val="000000"/>
                <w:sz w:val="21"/>
                <w:szCs w:val="21"/>
                <w:lang w:val="en-CA"/>
              </w:rPr>
              <w:t>2015</w:t>
            </w:r>
          </w:p>
        </w:tc>
        <w:tc>
          <w:tcPr>
            <w:tcW w:w="609" w:type="pct"/>
            <w:tcBorders>
              <w:top w:val="single" w:sz="4" w:space="0" w:color="auto"/>
              <w:left w:val="nil"/>
              <w:bottom w:val="single" w:sz="4" w:space="0" w:color="auto"/>
              <w:right w:val="single" w:sz="4" w:space="0" w:color="auto"/>
            </w:tcBorders>
            <w:noWrap/>
            <w:vAlign w:val="center"/>
            <w:hideMark/>
          </w:tcPr>
          <w:p w14:paraId="55AB6AB3" w14:textId="77777777" w:rsidR="006E12B4" w:rsidRDefault="006E12B4">
            <w:pPr>
              <w:widowControl w:val="0"/>
              <w:jc w:val="center"/>
              <w:rPr>
                <w:b/>
                <w:bCs/>
                <w:color w:val="000000"/>
                <w:sz w:val="21"/>
                <w:szCs w:val="21"/>
                <w:lang w:val="en-CA"/>
              </w:rPr>
            </w:pPr>
            <w:r>
              <w:rPr>
                <w:b/>
                <w:bCs/>
                <w:color w:val="000000"/>
                <w:sz w:val="21"/>
                <w:szCs w:val="21"/>
                <w:lang w:val="en-CA"/>
              </w:rPr>
              <w:t>2016</w:t>
            </w:r>
          </w:p>
        </w:tc>
        <w:tc>
          <w:tcPr>
            <w:tcW w:w="610" w:type="pct"/>
            <w:tcBorders>
              <w:top w:val="single" w:sz="4" w:space="0" w:color="auto"/>
              <w:left w:val="nil"/>
              <w:bottom w:val="single" w:sz="4" w:space="0" w:color="auto"/>
              <w:right w:val="single" w:sz="4" w:space="0" w:color="auto"/>
            </w:tcBorders>
            <w:hideMark/>
          </w:tcPr>
          <w:p w14:paraId="2C293D08" w14:textId="77777777" w:rsidR="006E12B4" w:rsidRDefault="006E12B4">
            <w:pPr>
              <w:widowControl w:val="0"/>
              <w:jc w:val="center"/>
              <w:rPr>
                <w:b/>
                <w:bCs/>
                <w:color w:val="000000"/>
                <w:sz w:val="21"/>
                <w:szCs w:val="21"/>
                <w:lang w:val="en-CA"/>
              </w:rPr>
            </w:pPr>
            <w:r>
              <w:rPr>
                <w:b/>
                <w:bCs/>
                <w:color w:val="000000"/>
                <w:sz w:val="21"/>
                <w:szCs w:val="21"/>
                <w:lang w:val="en-CA"/>
              </w:rPr>
              <w:t>2017</w:t>
            </w:r>
          </w:p>
        </w:tc>
        <w:tc>
          <w:tcPr>
            <w:tcW w:w="609" w:type="pct"/>
            <w:tcBorders>
              <w:top w:val="single" w:sz="4" w:space="0" w:color="auto"/>
              <w:left w:val="single" w:sz="4" w:space="0" w:color="auto"/>
              <w:bottom w:val="single" w:sz="4" w:space="0" w:color="auto"/>
              <w:right w:val="single" w:sz="4" w:space="0" w:color="auto"/>
            </w:tcBorders>
            <w:hideMark/>
          </w:tcPr>
          <w:p w14:paraId="451713E1" w14:textId="77777777" w:rsidR="006E12B4" w:rsidRDefault="006E12B4">
            <w:pPr>
              <w:widowControl w:val="0"/>
              <w:jc w:val="center"/>
              <w:rPr>
                <w:b/>
                <w:bCs/>
                <w:color w:val="000000"/>
                <w:sz w:val="21"/>
                <w:szCs w:val="21"/>
                <w:lang w:val="en-CA"/>
              </w:rPr>
            </w:pPr>
            <w:r>
              <w:rPr>
                <w:b/>
                <w:bCs/>
                <w:color w:val="000000"/>
                <w:sz w:val="21"/>
                <w:szCs w:val="21"/>
                <w:lang w:val="en-CA"/>
              </w:rPr>
              <w:t>2018</w:t>
            </w:r>
          </w:p>
        </w:tc>
        <w:tc>
          <w:tcPr>
            <w:tcW w:w="609" w:type="pct"/>
            <w:tcBorders>
              <w:top w:val="single" w:sz="4" w:space="0" w:color="auto"/>
              <w:left w:val="single" w:sz="4" w:space="0" w:color="auto"/>
              <w:bottom w:val="single" w:sz="4" w:space="0" w:color="auto"/>
              <w:right w:val="single" w:sz="4" w:space="0" w:color="auto"/>
            </w:tcBorders>
            <w:hideMark/>
          </w:tcPr>
          <w:p w14:paraId="21626C84" w14:textId="77777777" w:rsidR="006E12B4" w:rsidRDefault="006E12B4">
            <w:pPr>
              <w:widowControl w:val="0"/>
              <w:jc w:val="center"/>
              <w:rPr>
                <w:b/>
                <w:bCs/>
                <w:color w:val="000000"/>
                <w:sz w:val="21"/>
                <w:szCs w:val="21"/>
                <w:lang w:val="en-CA"/>
              </w:rPr>
            </w:pPr>
            <w:r>
              <w:rPr>
                <w:b/>
                <w:bCs/>
                <w:color w:val="000000"/>
                <w:sz w:val="21"/>
                <w:szCs w:val="21"/>
                <w:lang w:val="en-CA"/>
              </w:rPr>
              <w:t>2019*</w:t>
            </w:r>
          </w:p>
        </w:tc>
        <w:tc>
          <w:tcPr>
            <w:tcW w:w="610" w:type="pct"/>
            <w:tcBorders>
              <w:top w:val="single" w:sz="4" w:space="0" w:color="auto"/>
              <w:left w:val="single" w:sz="4" w:space="0" w:color="auto"/>
              <w:bottom w:val="single" w:sz="4" w:space="0" w:color="auto"/>
              <w:right w:val="single" w:sz="4" w:space="0" w:color="auto"/>
            </w:tcBorders>
            <w:noWrap/>
            <w:vAlign w:val="center"/>
            <w:hideMark/>
          </w:tcPr>
          <w:p w14:paraId="57E9CC42" w14:textId="77777777" w:rsidR="006E12B4" w:rsidRDefault="006E12B4">
            <w:pPr>
              <w:widowControl w:val="0"/>
              <w:jc w:val="center"/>
              <w:rPr>
                <w:b/>
                <w:bCs/>
                <w:color w:val="000000"/>
                <w:sz w:val="21"/>
                <w:szCs w:val="21"/>
                <w:lang w:val="en-CA"/>
              </w:rPr>
            </w:pPr>
            <w:r>
              <w:rPr>
                <w:rFonts w:hint="cs"/>
                <w:b/>
                <w:bCs/>
                <w:color w:val="000000"/>
                <w:sz w:val="21"/>
                <w:szCs w:val="21"/>
                <w:rtl/>
                <w:lang w:val="en-CA"/>
              </w:rPr>
              <w:t>خط الأساس</w:t>
            </w:r>
          </w:p>
        </w:tc>
      </w:tr>
      <w:tr w:rsidR="006E12B4" w14:paraId="4310418D" w14:textId="77777777" w:rsidTr="006E12B4">
        <w:trPr>
          <w:trHeight w:val="240"/>
        </w:trPr>
        <w:tc>
          <w:tcPr>
            <w:tcW w:w="1345" w:type="pct"/>
            <w:tcBorders>
              <w:top w:val="nil"/>
              <w:left w:val="single" w:sz="4" w:space="0" w:color="auto"/>
              <w:bottom w:val="single" w:sz="4" w:space="0" w:color="auto"/>
              <w:right w:val="single" w:sz="4" w:space="0" w:color="auto"/>
            </w:tcBorders>
            <w:noWrap/>
            <w:tcMar>
              <w:top w:w="0" w:type="dxa"/>
              <w:left w:w="43" w:type="dxa"/>
              <w:bottom w:w="0" w:type="dxa"/>
              <w:right w:w="43" w:type="dxa"/>
            </w:tcMar>
            <w:vAlign w:val="center"/>
            <w:hideMark/>
          </w:tcPr>
          <w:p w14:paraId="2A4AC5D9" w14:textId="77777777" w:rsidR="006E12B4" w:rsidRDefault="006E12B4">
            <w:pPr>
              <w:widowControl w:val="0"/>
              <w:bidi/>
              <w:snapToGrid w:val="0"/>
              <w:jc w:val="left"/>
              <w:rPr>
                <w:b/>
                <w:color w:val="000000"/>
                <w:sz w:val="20"/>
                <w:lang w:val="en-CA"/>
              </w:rPr>
            </w:pPr>
            <w:r>
              <w:rPr>
                <w:rFonts w:hint="cs"/>
                <w:b/>
                <w:color w:val="000000"/>
                <w:sz w:val="20"/>
                <w:rtl/>
                <w:lang w:val="en-CA"/>
              </w:rPr>
              <w:t>أطنان مترية</w:t>
            </w:r>
          </w:p>
        </w:tc>
        <w:tc>
          <w:tcPr>
            <w:tcW w:w="609" w:type="pct"/>
            <w:tcBorders>
              <w:top w:val="nil"/>
              <w:left w:val="single" w:sz="4" w:space="0" w:color="auto"/>
              <w:bottom w:val="single" w:sz="4" w:space="0" w:color="auto"/>
              <w:right w:val="single" w:sz="4" w:space="0" w:color="auto"/>
            </w:tcBorders>
            <w:noWrap/>
            <w:tcMar>
              <w:top w:w="0" w:type="dxa"/>
              <w:left w:w="115" w:type="dxa"/>
              <w:bottom w:w="0" w:type="dxa"/>
              <w:right w:w="202" w:type="dxa"/>
            </w:tcMar>
            <w:hideMark/>
          </w:tcPr>
          <w:p w14:paraId="1194D91F" w14:textId="77777777" w:rsidR="006E12B4" w:rsidRDefault="006E12B4">
            <w:pPr>
              <w:widowControl w:val="0"/>
              <w:jc w:val="right"/>
              <w:rPr>
                <w:bCs/>
                <w:color w:val="000000"/>
                <w:sz w:val="21"/>
                <w:szCs w:val="21"/>
                <w:lang w:val="en-CA"/>
              </w:rPr>
            </w:pPr>
            <w:r>
              <w:rPr>
                <w:bCs/>
                <w:color w:val="000000"/>
                <w:sz w:val="21"/>
                <w:szCs w:val="21"/>
                <w:lang w:val="en-CA"/>
              </w:rPr>
              <w:t>45.10</w:t>
            </w:r>
          </w:p>
        </w:tc>
        <w:tc>
          <w:tcPr>
            <w:tcW w:w="609" w:type="pct"/>
            <w:tcBorders>
              <w:top w:val="nil"/>
              <w:left w:val="nil"/>
              <w:bottom w:val="single" w:sz="4" w:space="0" w:color="auto"/>
              <w:right w:val="single" w:sz="4" w:space="0" w:color="auto"/>
            </w:tcBorders>
            <w:noWrap/>
            <w:tcMar>
              <w:top w:w="0" w:type="dxa"/>
              <w:left w:w="115" w:type="dxa"/>
              <w:bottom w:w="0" w:type="dxa"/>
              <w:right w:w="202" w:type="dxa"/>
            </w:tcMar>
            <w:hideMark/>
          </w:tcPr>
          <w:p w14:paraId="165A3216" w14:textId="77777777" w:rsidR="006E12B4" w:rsidRDefault="006E12B4">
            <w:pPr>
              <w:jc w:val="right"/>
              <w:rPr>
                <w:color w:val="000000"/>
                <w:sz w:val="21"/>
                <w:szCs w:val="21"/>
                <w:lang w:val="en-CA"/>
              </w:rPr>
            </w:pPr>
            <w:r>
              <w:rPr>
                <w:color w:val="000000"/>
                <w:sz w:val="21"/>
                <w:szCs w:val="21"/>
                <w:lang w:val="en-CA"/>
              </w:rPr>
              <w:t>42.00</w:t>
            </w:r>
          </w:p>
        </w:tc>
        <w:tc>
          <w:tcPr>
            <w:tcW w:w="610" w:type="pct"/>
            <w:tcBorders>
              <w:top w:val="single" w:sz="4" w:space="0" w:color="auto"/>
              <w:left w:val="nil"/>
              <w:bottom w:val="single" w:sz="4" w:space="0" w:color="auto"/>
              <w:right w:val="single" w:sz="4" w:space="0" w:color="auto"/>
            </w:tcBorders>
            <w:tcMar>
              <w:top w:w="0" w:type="dxa"/>
              <w:left w:w="115" w:type="dxa"/>
              <w:bottom w:w="0" w:type="dxa"/>
              <w:right w:w="202" w:type="dxa"/>
            </w:tcMar>
            <w:hideMark/>
          </w:tcPr>
          <w:p w14:paraId="1D4035D5" w14:textId="77777777" w:rsidR="006E12B4" w:rsidRDefault="006E12B4">
            <w:pPr>
              <w:widowControl w:val="0"/>
              <w:jc w:val="right"/>
              <w:rPr>
                <w:bCs/>
                <w:color w:val="000000"/>
                <w:sz w:val="21"/>
                <w:szCs w:val="21"/>
                <w:lang w:val="en-CA"/>
              </w:rPr>
            </w:pPr>
            <w:r>
              <w:rPr>
                <w:bCs/>
                <w:color w:val="000000"/>
                <w:sz w:val="21"/>
                <w:szCs w:val="21"/>
                <w:lang w:val="en-CA"/>
              </w:rPr>
              <w:t>36.00</w:t>
            </w:r>
          </w:p>
        </w:tc>
        <w:tc>
          <w:tcPr>
            <w:tcW w:w="609" w:type="pct"/>
            <w:tcBorders>
              <w:top w:val="nil"/>
              <w:left w:val="single" w:sz="4" w:space="0" w:color="auto"/>
              <w:bottom w:val="single" w:sz="4" w:space="0" w:color="auto"/>
              <w:right w:val="single" w:sz="4" w:space="0" w:color="auto"/>
            </w:tcBorders>
            <w:tcMar>
              <w:top w:w="0" w:type="dxa"/>
              <w:left w:w="115" w:type="dxa"/>
              <w:bottom w:w="0" w:type="dxa"/>
              <w:right w:w="202" w:type="dxa"/>
            </w:tcMar>
            <w:hideMark/>
          </w:tcPr>
          <w:p w14:paraId="435DFCED" w14:textId="77777777" w:rsidR="006E12B4" w:rsidRDefault="006E12B4">
            <w:pPr>
              <w:widowControl w:val="0"/>
              <w:jc w:val="right"/>
              <w:rPr>
                <w:bCs/>
                <w:color w:val="000000"/>
                <w:sz w:val="21"/>
                <w:szCs w:val="21"/>
                <w:lang w:val="en-CA"/>
              </w:rPr>
            </w:pPr>
            <w:r>
              <w:rPr>
                <w:bCs/>
                <w:color w:val="000000"/>
                <w:sz w:val="21"/>
                <w:szCs w:val="21"/>
                <w:lang w:val="en-CA"/>
              </w:rPr>
              <w:t>28.00</w:t>
            </w:r>
          </w:p>
        </w:tc>
        <w:tc>
          <w:tcPr>
            <w:tcW w:w="609" w:type="pct"/>
            <w:tcBorders>
              <w:top w:val="nil"/>
              <w:left w:val="single" w:sz="4" w:space="0" w:color="auto"/>
              <w:bottom w:val="single" w:sz="4" w:space="0" w:color="auto"/>
              <w:right w:val="single" w:sz="4" w:space="0" w:color="auto"/>
            </w:tcBorders>
            <w:tcMar>
              <w:top w:w="0" w:type="dxa"/>
              <w:left w:w="115" w:type="dxa"/>
              <w:bottom w:w="0" w:type="dxa"/>
              <w:right w:w="202" w:type="dxa"/>
            </w:tcMar>
            <w:hideMark/>
          </w:tcPr>
          <w:p w14:paraId="07BCF40E" w14:textId="77777777" w:rsidR="006E12B4" w:rsidRDefault="006E12B4">
            <w:pPr>
              <w:widowControl w:val="0"/>
              <w:jc w:val="right"/>
              <w:rPr>
                <w:rFonts w:eastAsiaTheme="minorHAnsi"/>
                <w:color w:val="000000"/>
                <w:sz w:val="21"/>
                <w:szCs w:val="21"/>
                <w:lang w:val="en-CA"/>
              </w:rPr>
            </w:pPr>
            <w:r>
              <w:rPr>
                <w:rFonts w:eastAsiaTheme="minorHAnsi"/>
                <w:color w:val="000000"/>
                <w:sz w:val="21"/>
                <w:szCs w:val="21"/>
                <w:lang w:val="en-CA"/>
              </w:rPr>
              <w:t>23.00</w:t>
            </w:r>
          </w:p>
        </w:tc>
        <w:tc>
          <w:tcPr>
            <w:tcW w:w="610" w:type="pct"/>
            <w:tcBorders>
              <w:top w:val="nil"/>
              <w:left w:val="single" w:sz="4" w:space="0" w:color="auto"/>
              <w:bottom w:val="single" w:sz="4" w:space="0" w:color="auto"/>
              <w:right w:val="single" w:sz="4" w:space="0" w:color="auto"/>
            </w:tcBorders>
            <w:noWrap/>
            <w:tcMar>
              <w:top w:w="0" w:type="dxa"/>
              <w:left w:w="115" w:type="dxa"/>
              <w:bottom w:w="0" w:type="dxa"/>
              <w:right w:w="202" w:type="dxa"/>
            </w:tcMar>
            <w:vAlign w:val="center"/>
            <w:hideMark/>
          </w:tcPr>
          <w:p w14:paraId="76EB7C66" w14:textId="77777777" w:rsidR="006E12B4" w:rsidRDefault="006E12B4">
            <w:pPr>
              <w:widowControl w:val="0"/>
              <w:jc w:val="right"/>
              <w:rPr>
                <w:b/>
                <w:bCs/>
                <w:color w:val="000000"/>
                <w:sz w:val="21"/>
                <w:szCs w:val="21"/>
                <w:lang w:val="en-CA"/>
              </w:rPr>
            </w:pPr>
            <w:r>
              <w:rPr>
                <w:color w:val="000000"/>
                <w:sz w:val="21"/>
                <w:szCs w:val="21"/>
              </w:rPr>
              <w:t>51.00</w:t>
            </w:r>
          </w:p>
        </w:tc>
      </w:tr>
      <w:tr w:rsidR="006E12B4" w14:paraId="7DC1FE2D" w14:textId="77777777" w:rsidTr="006E12B4">
        <w:trPr>
          <w:trHeight w:val="248"/>
        </w:trPr>
        <w:tc>
          <w:tcPr>
            <w:tcW w:w="1345" w:type="pct"/>
            <w:tcBorders>
              <w:top w:val="nil"/>
              <w:left w:val="single" w:sz="4" w:space="0" w:color="auto"/>
              <w:bottom w:val="single" w:sz="4" w:space="0" w:color="auto"/>
              <w:right w:val="single" w:sz="4" w:space="0" w:color="auto"/>
            </w:tcBorders>
            <w:noWrap/>
            <w:tcMar>
              <w:top w:w="0" w:type="dxa"/>
              <w:left w:w="43" w:type="dxa"/>
              <w:bottom w:w="0" w:type="dxa"/>
              <w:right w:w="43" w:type="dxa"/>
            </w:tcMar>
            <w:vAlign w:val="center"/>
            <w:hideMark/>
          </w:tcPr>
          <w:p w14:paraId="61AF98A9" w14:textId="77777777" w:rsidR="006E12B4" w:rsidRDefault="006E12B4">
            <w:pPr>
              <w:widowControl w:val="0"/>
              <w:bidi/>
              <w:snapToGrid w:val="0"/>
              <w:jc w:val="left"/>
              <w:rPr>
                <w:color w:val="000000"/>
                <w:sz w:val="20"/>
                <w:lang w:val="en-CA"/>
              </w:rPr>
            </w:pPr>
            <w:r>
              <w:rPr>
                <w:rFonts w:hint="cs"/>
                <w:sz w:val="20"/>
                <w:rtl/>
                <w:lang w:bidi="ar-AE"/>
              </w:rPr>
              <w:t>أطنان من قدرات استنفاذ الأوزون</w:t>
            </w:r>
          </w:p>
        </w:tc>
        <w:tc>
          <w:tcPr>
            <w:tcW w:w="609" w:type="pct"/>
            <w:tcBorders>
              <w:top w:val="nil"/>
              <w:left w:val="single" w:sz="4" w:space="0" w:color="auto"/>
              <w:bottom w:val="single" w:sz="4" w:space="0" w:color="auto"/>
              <w:right w:val="single" w:sz="4" w:space="0" w:color="auto"/>
            </w:tcBorders>
            <w:noWrap/>
            <w:tcMar>
              <w:top w:w="0" w:type="dxa"/>
              <w:left w:w="115" w:type="dxa"/>
              <w:bottom w:w="0" w:type="dxa"/>
              <w:right w:w="202" w:type="dxa"/>
            </w:tcMar>
            <w:hideMark/>
          </w:tcPr>
          <w:p w14:paraId="28806E74" w14:textId="77777777" w:rsidR="006E12B4" w:rsidRDefault="006E12B4">
            <w:pPr>
              <w:widowControl w:val="0"/>
              <w:jc w:val="right"/>
              <w:rPr>
                <w:color w:val="000000"/>
                <w:sz w:val="21"/>
                <w:szCs w:val="21"/>
                <w:lang w:val="en-CA"/>
              </w:rPr>
            </w:pPr>
            <w:r>
              <w:rPr>
                <w:color w:val="000000"/>
                <w:sz w:val="21"/>
                <w:szCs w:val="21"/>
                <w:lang w:val="en-CA"/>
              </w:rPr>
              <w:t>2.48</w:t>
            </w:r>
          </w:p>
        </w:tc>
        <w:tc>
          <w:tcPr>
            <w:tcW w:w="609" w:type="pct"/>
            <w:tcBorders>
              <w:top w:val="nil"/>
              <w:left w:val="nil"/>
              <w:bottom w:val="single" w:sz="4" w:space="0" w:color="auto"/>
              <w:right w:val="single" w:sz="4" w:space="0" w:color="auto"/>
            </w:tcBorders>
            <w:noWrap/>
            <w:tcMar>
              <w:top w:w="0" w:type="dxa"/>
              <w:left w:w="115" w:type="dxa"/>
              <w:bottom w:w="0" w:type="dxa"/>
              <w:right w:w="202" w:type="dxa"/>
            </w:tcMar>
            <w:hideMark/>
          </w:tcPr>
          <w:p w14:paraId="621A108F" w14:textId="77777777" w:rsidR="006E12B4" w:rsidRDefault="006E12B4">
            <w:pPr>
              <w:jc w:val="right"/>
              <w:rPr>
                <w:color w:val="000000"/>
                <w:sz w:val="21"/>
                <w:szCs w:val="21"/>
                <w:lang w:val="en-CA"/>
              </w:rPr>
            </w:pPr>
            <w:r>
              <w:rPr>
                <w:color w:val="000000"/>
                <w:sz w:val="21"/>
                <w:szCs w:val="21"/>
                <w:lang w:val="en-CA"/>
              </w:rPr>
              <w:t>2.31</w:t>
            </w:r>
          </w:p>
        </w:tc>
        <w:tc>
          <w:tcPr>
            <w:tcW w:w="610" w:type="pct"/>
            <w:tcBorders>
              <w:top w:val="single" w:sz="4" w:space="0" w:color="auto"/>
              <w:left w:val="nil"/>
              <w:bottom w:val="single" w:sz="4" w:space="0" w:color="auto"/>
              <w:right w:val="single" w:sz="4" w:space="0" w:color="auto"/>
            </w:tcBorders>
            <w:tcMar>
              <w:top w:w="0" w:type="dxa"/>
              <w:left w:w="115" w:type="dxa"/>
              <w:bottom w:w="0" w:type="dxa"/>
              <w:right w:w="202" w:type="dxa"/>
            </w:tcMar>
            <w:hideMark/>
          </w:tcPr>
          <w:p w14:paraId="1CFA358A" w14:textId="77777777" w:rsidR="006E12B4" w:rsidRDefault="006E12B4">
            <w:pPr>
              <w:jc w:val="right"/>
              <w:rPr>
                <w:color w:val="000000"/>
                <w:sz w:val="21"/>
                <w:szCs w:val="21"/>
                <w:lang w:val="en-CA"/>
              </w:rPr>
            </w:pPr>
            <w:r>
              <w:rPr>
                <w:color w:val="000000"/>
                <w:sz w:val="21"/>
                <w:szCs w:val="21"/>
                <w:lang w:val="en-CA"/>
              </w:rPr>
              <w:t>1.98</w:t>
            </w:r>
          </w:p>
        </w:tc>
        <w:tc>
          <w:tcPr>
            <w:tcW w:w="609" w:type="pct"/>
            <w:tcBorders>
              <w:top w:val="nil"/>
              <w:left w:val="single" w:sz="4" w:space="0" w:color="auto"/>
              <w:bottom w:val="single" w:sz="4" w:space="0" w:color="auto"/>
              <w:right w:val="single" w:sz="4" w:space="0" w:color="auto"/>
            </w:tcBorders>
            <w:tcMar>
              <w:top w:w="0" w:type="dxa"/>
              <w:left w:w="115" w:type="dxa"/>
              <w:bottom w:w="0" w:type="dxa"/>
              <w:right w:w="202" w:type="dxa"/>
            </w:tcMar>
            <w:hideMark/>
          </w:tcPr>
          <w:p w14:paraId="45E49EB6" w14:textId="77777777" w:rsidR="006E12B4" w:rsidRDefault="006E12B4">
            <w:pPr>
              <w:jc w:val="right"/>
              <w:rPr>
                <w:sz w:val="21"/>
                <w:szCs w:val="21"/>
                <w:lang w:val="en-CA"/>
              </w:rPr>
            </w:pPr>
            <w:r>
              <w:rPr>
                <w:sz w:val="21"/>
                <w:szCs w:val="21"/>
                <w:lang w:val="en-CA"/>
              </w:rPr>
              <w:t>1.54</w:t>
            </w:r>
          </w:p>
        </w:tc>
        <w:tc>
          <w:tcPr>
            <w:tcW w:w="609" w:type="pct"/>
            <w:tcBorders>
              <w:top w:val="nil"/>
              <w:left w:val="single" w:sz="4" w:space="0" w:color="auto"/>
              <w:bottom w:val="single" w:sz="4" w:space="0" w:color="auto"/>
              <w:right w:val="single" w:sz="4" w:space="0" w:color="auto"/>
            </w:tcBorders>
            <w:tcMar>
              <w:top w:w="0" w:type="dxa"/>
              <w:left w:w="115" w:type="dxa"/>
              <w:bottom w:w="0" w:type="dxa"/>
              <w:right w:w="202" w:type="dxa"/>
            </w:tcMar>
            <w:hideMark/>
          </w:tcPr>
          <w:p w14:paraId="6EA99311" w14:textId="77777777" w:rsidR="006E12B4" w:rsidRDefault="006E12B4">
            <w:pPr>
              <w:jc w:val="right"/>
              <w:rPr>
                <w:rFonts w:eastAsiaTheme="minorHAnsi"/>
                <w:color w:val="000000"/>
                <w:sz w:val="21"/>
                <w:szCs w:val="21"/>
                <w:lang w:val="en-CA"/>
              </w:rPr>
            </w:pPr>
            <w:r>
              <w:rPr>
                <w:rFonts w:eastAsiaTheme="minorHAnsi"/>
                <w:color w:val="000000"/>
                <w:sz w:val="21"/>
                <w:szCs w:val="21"/>
                <w:lang w:val="en-CA"/>
              </w:rPr>
              <w:t>1.27</w:t>
            </w:r>
          </w:p>
        </w:tc>
        <w:tc>
          <w:tcPr>
            <w:tcW w:w="610" w:type="pct"/>
            <w:tcBorders>
              <w:top w:val="nil"/>
              <w:left w:val="single" w:sz="4" w:space="0" w:color="auto"/>
              <w:bottom w:val="single" w:sz="4" w:space="0" w:color="auto"/>
              <w:right w:val="single" w:sz="4" w:space="0" w:color="auto"/>
            </w:tcBorders>
            <w:noWrap/>
            <w:tcMar>
              <w:top w:w="0" w:type="dxa"/>
              <w:left w:w="115" w:type="dxa"/>
              <w:bottom w:w="0" w:type="dxa"/>
              <w:right w:w="202" w:type="dxa"/>
            </w:tcMar>
            <w:vAlign w:val="center"/>
            <w:hideMark/>
          </w:tcPr>
          <w:p w14:paraId="7A7BE30A" w14:textId="77777777" w:rsidR="006E12B4" w:rsidRDefault="006E12B4">
            <w:pPr>
              <w:widowControl w:val="0"/>
              <w:jc w:val="right"/>
              <w:rPr>
                <w:color w:val="000000"/>
                <w:sz w:val="21"/>
                <w:szCs w:val="21"/>
                <w:lang w:val="en-CA"/>
              </w:rPr>
            </w:pPr>
            <w:r>
              <w:rPr>
                <w:color w:val="000000"/>
                <w:sz w:val="21"/>
                <w:szCs w:val="21"/>
                <w:lang w:val="en-CA"/>
              </w:rPr>
              <w:t>2.83</w:t>
            </w:r>
          </w:p>
        </w:tc>
      </w:tr>
    </w:tbl>
    <w:p w14:paraId="1640F4D1" w14:textId="77777777" w:rsidR="003953E1" w:rsidRDefault="006E12B4" w:rsidP="003953E1">
      <w:pPr>
        <w:pStyle w:val="StyleHeader4Para4Left0Firstline0"/>
        <w:numPr>
          <w:ilvl w:val="0"/>
          <w:numId w:val="0"/>
        </w:numPr>
        <w:bidi/>
        <w:rPr>
          <w:rtl/>
        </w:rPr>
      </w:pPr>
      <w:r w:rsidRPr="006E12B4">
        <w:rPr>
          <w:rFonts w:hint="cs"/>
          <w:rtl/>
        </w:rPr>
        <w:t>* بيانات من تقرير التحقق بشأن استهلاك</w:t>
      </w:r>
      <w:r>
        <w:rPr>
          <w:rFonts w:hint="cs"/>
          <w:sz w:val="26"/>
          <w:szCs w:val="26"/>
          <w:rtl/>
        </w:rPr>
        <w:t xml:space="preserve"> </w:t>
      </w:r>
      <w:r>
        <w:rPr>
          <w:rtl/>
        </w:rPr>
        <w:t>المواد الهيدروكلوروفلوروكربونية</w:t>
      </w:r>
    </w:p>
    <w:p w14:paraId="54FCC220" w14:textId="77777777" w:rsidR="006E12B4" w:rsidRDefault="006E12B4" w:rsidP="00C77EBF">
      <w:pPr>
        <w:pStyle w:val="Heading1"/>
        <w:numPr>
          <w:ilvl w:val="0"/>
          <w:numId w:val="0"/>
        </w:numPr>
        <w:tabs>
          <w:tab w:val="num" w:pos="180"/>
        </w:tabs>
        <w:bidi/>
        <w:snapToGrid w:val="0"/>
        <w:rPr>
          <w:sz w:val="26"/>
          <w:szCs w:val="26"/>
        </w:rPr>
      </w:pPr>
      <w:r>
        <w:rPr>
          <w:rFonts w:hint="cs"/>
          <w:sz w:val="26"/>
          <w:szCs w:val="26"/>
          <w:rtl/>
          <w:lang w:bidi="ar-AE"/>
        </w:rPr>
        <w:t>3</w:t>
      </w:r>
      <w:r>
        <w:rPr>
          <w:rFonts w:hint="cs"/>
          <w:sz w:val="26"/>
          <w:szCs w:val="26"/>
          <w:rtl/>
          <w:lang w:bidi="ar-AE"/>
        </w:rPr>
        <w:tab/>
      </w:r>
      <w:r>
        <w:rPr>
          <w:rFonts w:hint="cs"/>
          <w:sz w:val="26"/>
          <w:szCs w:val="26"/>
          <w:rtl/>
          <w:lang w:bidi="ar-AE"/>
        </w:rPr>
        <w:tab/>
        <w:t>انخفض استهلاك الهيدروكلوروفلوروكربون</w:t>
      </w:r>
      <w:r w:rsidR="00CD3E15">
        <w:rPr>
          <w:rFonts w:hint="cs"/>
          <w:sz w:val="26"/>
          <w:szCs w:val="26"/>
          <w:rtl/>
          <w:lang w:bidi="ar-AE"/>
        </w:rPr>
        <w:t xml:space="preserve"> منذ عام 2015 الذي يرجع لتنفيذ أنشطة بمقتضي </w:t>
      </w:r>
      <w:r>
        <w:rPr>
          <w:rFonts w:hint="cs"/>
          <w:sz w:val="26"/>
          <w:szCs w:val="26"/>
          <w:rtl/>
          <w:lang w:bidi="ar-AE"/>
        </w:rPr>
        <w:t xml:space="preserve"> خطة إدارة إزالة المواد الهيدروكلوروفلوروكربونية، </w:t>
      </w:r>
      <w:r w:rsidR="00CD3E15">
        <w:rPr>
          <w:rFonts w:hint="cs"/>
          <w:sz w:val="26"/>
          <w:szCs w:val="26"/>
          <w:rtl/>
          <w:lang w:bidi="ar-AE"/>
        </w:rPr>
        <w:t>بما في ذلك</w:t>
      </w:r>
      <w:r>
        <w:rPr>
          <w:rFonts w:hint="cs"/>
          <w:sz w:val="26"/>
          <w:szCs w:val="26"/>
          <w:rtl/>
          <w:lang w:bidi="ar-AE"/>
        </w:rPr>
        <w:t xml:space="preserve"> إنفاذ</w:t>
      </w:r>
      <w:r w:rsidR="00CD3E15">
        <w:rPr>
          <w:rFonts w:hint="cs"/>
          <w:sz w:val="26"/>
          <w:szCs w:val="26"/>
          <w:rtl/>
          <w:lang w:bidi="ar-AE"/>
        </w:rPr>
        <w:t xml:space="preserve"> </w:t>
      </w:r>
      <w:r w:rsidR="00B10365">
        <w:rPr>
          <w:rFonts w:hint="cs"/>
          <w:sz w:val="26"/>
          <w:szCs w:val="26"/>
          <w:rtl/>
          <w:lang w:bidi="ar-AE"/>
        </w:rPr>
        <w:t>لوائح</w:t>
      </w:r>
      <w:r w:rsidR="00CD3E15">
        <w:rPr>
          <w:rFonts w:hint="cs"/>
          <w:sz w:val="26"/>
          <w:szCs w:val="26"/>
          <w:rtl/>
          <w:lang w:bidi="ar-AE"/>
        </w:rPr>
        <w:t xml:space="preserve"> المواد المستنفدة للأوزون</w:t>
      </w:r>
      <w:r w:rsidR="00B10365">
        <w:rPr>
          <w:rFonts w:hint="cs"/>
          <w:sz w:val="26"/>
          <w:szCs w:val="26"/>
          <w:rtl/>
          <w:lang w:bidi="ar-AE"/>
        </w:rPr>
        <w:t xml:space="preserve"> </w:t>
      </w:r>
      <w:r w:rsidR="0024417C">
        <w:rPr>
          <w:rFonts w:hint="cs"/>
          <w:sz w:val="26"/>
          <w:szCs w:val="26"/>
          <w:rtl/>
          <w:lang w:bidi="ar-AE"/>
        </w:rPr>
        <w:t>والرقابة عليها</w:t>
      </w:r>
      <w:r w:rsidR="00CD3E15">
        <w:rPr>
          <w:rFonts w:hint="cs"/>
          <w:sz w:val="26"/>
          <w:szCs w:val="26"/>
          <w:rtl/>
          <w:lang w:bidi="ar-AE"/>
        </w:rPr>
        <w:t xml:space="preserve"> و</w:t>
      </w:r>
      <w:r>
        <w:rPr>
          <w:rFonts w:hint="cs"/>
          <w:sz w:val="26"/>
          <w:szCs w:val="26"/>
          <w:rtl/>
          <w:lang w:bidi="ar-AE"/>
        </w:rPr>
        <w:t>نظام الترخيص والحصص</w:t>
      </w:r>
      <w:r w:rsidR="0024417C">
        <w:rPr>
          <w:rFonts w:hint="cs"/>
          <w:sz w:val="26"/>
          <w:szCs w:val="26"/>
          <w:rtl/>
          <w:lang w:bidi="ar-AE"/>
        </w:rPr>
        <w:t xml:space="preserve"> للواردات/الصادرات</w:t>
      </w:r>
      <w:r w:rsidR="00CD3E15">
        <w:rPr>
          <w:rFonts w:hint="cs"/>
          <w:sz w:val="26"/>
          <w:szCs w:val="26"/>
          <w:rtl/>
          <w:lang w:bidi="ar-AE"/>
        </w:rPr>
        <w:t xml:space="preserve"> واستخدام الممارسات الجيدة في خدمة التبريد في المنهج الدراس</w:t>
      </w:r>
      <w:r w:rsidR="00C77EBF">
        <w:rPr>
          <w:rFonts w:hint="cs"/>
          <w:sz w:val="26"/>
          <w:szCs w:val="26"/>
          <w:rtl/>
          <w:lang w:bidi="ar-AE"/>
        </w:rPr>
        <w:t>ي</w:t>
      </w:r>
      <w:r w:rsidR="00CD3E15">
        <w:rPr>
          <w:rFonts w:hint="cs"/>
          <w:sz w:val="26"/>
          <w:szCs w:val="26"/>
          <w:rtl/>
          <w:lang w:bidi="ar-AE"/>
        </w:rPr>
        <w:t xml:space="preserve"> لمدرسة التدريب الرئيسة </w:t>
      </w:r>
      <w:r w:rsidR="00B10365">
        <w:rPr>
          <w:rFonts w:hint="cs"/>
          <w:sz w:val="26"/>
          <w:szCs w:val="26"/>
          <w:rtl/>
          <w:lang w:bidi="ar-AE"/>
        </w:rPr>
        <w:t>ل</w:t>
      </w:r>
      <w:r w:rsidR="00CD3E15">
        <w:rPr>
          <w:rFonts w:hint="cs"/>
          <w:sz w:val="26"/>
          <w:szCs w:val="26"/>
          <w:rtl/>
          <w:lang w:bidi="ar-AE"/>
        </w:rPr>
        <w:t>لتبريد وتكييف الهواء وزيادة الوعي.</w:t>
      </w:r>
      <w:r>
        <w:rPr>
          <w:rFonts w:hint="cs"/>
          <w:sz w:val="26"/>
          <w:szCs w:val="26"/>
          <w:rtl/>
          <w:lang w:bidi="ar-AE"/>
        </w:rPr>
        <w:t xml:space="preserve"> </w:t>
      </w:r>
      <w:r w:rsidR="00CD3E15">
        <w:rPr>
          <w:rFonts w:hint="cs"/>
          <w:sz w:val="26"/>
          <w:szCs w:val="26"/>
          <w:rtl/>
          <w:lang w:bidi="ar-AE"/>
        </w:rPr>
        <w:t>و</w:t>
      </w:r>
      <w:r>
        <w:rPr>
          <w:rFonts w:hint="cs"/>
          <w:sz w:val="26"/>
          <w:szCs w:val="26"/>
          <w:rtl/>
          <w:lang w:bidi="ar-AE"/>
        </w:rPr>
        <w:t>سا</w:t>
      </w:r>
      <w:r w:rsidR="00CD3E15">
        <w:rPr>
          <w:rFonts w:hint="cs"/>
          <w:sz w:val="26"/>
          <w:szCs w:val="26"/>
          <w:rtl/>
          <w:lang w:bidi="ar-AE"/>
        </w:rPr>
        <w:t xml:space="preserve">هم استيراد معدات </w:t>
      </w:r>
      <w:r w:rsidR="00B10365">
        <w:rPr>
          <w:rFonts w:hint="cs"/>
          <w:sz w:val="26"/>
          <w:szCs w:val="26"/>
          <w:rtl/>
          <w:lang w:bidi="ar-AE"/>
        </w:rPr>
        <w:t>التبريد وتكييف الهواء</w:t>
      </w:r>
      <w:r w:rsidR="00CD3E15">
        <w:rPr>
          <w:rFonts w:hint="cs"/>
          <w:sz w:val="26"/>
          <w:szCs w:val="26"/>
          <w:rtl/>
          <w:lang w:bidi="ar-AE"/>
        </w:rPr>
        <w:t xml:space="preserve"> الخالية من </w:t>
      </w:r>
      <w:r w:rsidR="00CD3E15">
        <w:rPr>
          <w:sz w:val="26"/>
          <w:szCs w:val="26"/>
          <w:rtl/>
          <w:lang w:bidi="ar-AE"/>
        </w:rPr>
        <w:t>الهيدروكلوروفلوروكربون-22</w:t>
      </w:r>
      <w:r>
        <w:rPr>
          <w:rFonts w:hint="cs"/>
          <w:sz w:val="26"/>
          <w:szCs w:val="26"/>
          <w:rtl/>
          <w:lang w:bidi="ar-AE"/>
        </w:rPr>
        <w:t xml:space="preserve"> </w:t>
      </w:r>
      <w:r w:rsidR="00C77EBF">
        <w:rPr>
          <w:rFonts w:hint="cs"/>
          <w:sz w:val="26"/>
          <w:szCs w:val="26"/>
          <w:rtl/>
          <w:lang w:bidi="ar-AE"/>
        </w:rPr>
        <w:t>في</w:t>
      </w:r>
      <w:r w:rsidR="00CD3E15">
        <w:rPr>
          <w:rFonts w:hint="cs"/>
          <w:sz w:val="26"/>
          <w:szCs w:val="26"/>
          <w:rtl/>
          <w:lang w:bidi="ar-AE"/>
        </w:rPr>
        <w:t xml:space="preserve"> خفض استهلاك الهيدروكلوروفلوروكربون</w:t>
      </w:r>
      <w:r>
        <w:rPr>
          <w:rFonts w:hint="cs"/>
          <w:sz w:val="26"/>
          <w:szCs w:val="26"/>
          <w:rtl/>
          <w:lang w:bidi="ar-AE"/>
        </w:rPr>
        <w:t>.</w:t>
      </w:r>
    </w:p>
    <w:p w14:paraId="7FB03B69" w14:textId="77777777" w:rsidR="006E12B4" w:rsidRDefault="006E12B4" w:rsidP="006E12B4">
      <w:pPr>
        <w:bidi/>
        <w:rPr>
          <w:i/>
          <w:iCs/>
          <w:sz w:val="26"/>
          <w:szCs w:val="26"/>
          <w:rtl/>
          <w:lang w:bidi="ar-EG"/>
        </w:rPr>
      </w:pPr>
      <w:r>
        <w:rPr>
          <w:rFonts w:hint="cs"/>
          <w:i/>
          <w:iCs/>
          <w:sz w:val="26"/>
          <w:szCs w:val="26"/>
          <w:rtl/>
          <w:lang w:bidi="ar-AE"/>
        </w:rPr>
        <w:t>تقرير تنفيذ البرنامج القطرى</w:t>
      </w:r>
    </w:p>
    <w:p w14:paraId="26E419AA" w14:textId="77777777" w:rsidR="006E12B4" w:rsidRDefault="006E12B4" w:rsidP="006E12B4">
      <w:pPr>
        <w:bidi/>
        <w:rPr>
          <w:sz w:val="26"/>
          <w:szCs w:val="26"/>
          <w:rtl/>
          <w:lang w:val="en-US" w:bidi="ar-SA"/>
        </w:rPr>
      </w:pPr>
    </w:p>
    <w:p w14:paraId="17B9659A" w14:textId="77777777" w:rsidR="006E12B4" w:rsidRDefault="006E12B4" w:rsidP="005E4994">
      <w:pPr>
        <w:pStyle w:val="Heading1"/>
        <w:numPr>
          <w:ilvl w:val="0"/>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decimal" w:pos="7200"/>
        </w:tabs>
        <w:bidi/>
        <w:snapToGrid w:val="0"/>
        <w:rPr>
          <w:spacing w:val="-3"/>
          <w:sz w:val="26"/>
          <w:szCs w:val="26"/>
        </w:rPr>
      </w:pPr>
      <w:r>
        <w:rPr>
          <w:rFonts w:hint="cs"/>
          <w:sz w:val="26"/>
          <w:szCs w:val="26"/>
          <w:rtl/>
          <w:lang w:bidi="ar-AE"/>
        </w:rPr>
        <w:t>4</w:t>
      </w:r>
      <w:r>
        <w:rPr>
          <w:rFonts w:hint="cs"/>
          <w:sz w:val="26"/>
          <w:szCs w:val="26"/>
          <w:rtl/>
          <w:lang w:bidi="ar-AE"/>
        </w:rPr>
        <w:tab/>
        <w:t xml:space="preserve">أبلغت حكومة </w:t>
      </w:r>
      <w:r w:rsidR="00706E91">
        <w:rPr>
          <w:rFonts w:hint="cs"/>
          <w:sz w:val="26"/>
          <w:szCs w:val="26"/>
          <w:rtl/>
          <w:lang w:bidi="ar-AE"/>
        </w:rPr>
        <w:t>غينيا</w:t>
      </w:r>
      <w:r w:rsidR="005E4994">
        <w:rPr>
          <w:rFonts w:hint="cs"/>
          <w:sz w:val="26"/>
          <w:szCs w:val="26"/>
          <w:rtl/>
          <w:lang w:bidi="ar-AE"/>
        </w:rPr>
        <w:t xml:space="preserve"> </w:t>
      </w:r>
      <w:r w:rsidR="00706E91">
        <w:rPr>
          <w:rFonts w:hint="cs"/>
          <w:sz w:val="26"/>
          <w:szCs w:val="26"/>
          <w:rtl/>
          <w:lang w:bidi="ar-AE"/>
        </w:rPr>
        <w:t>- بيساو</w:t>
      </w:r>
      <w:r>
        <w:rPr>
          <w:rFonts w:hint="cs"/>
          <w:sz w:val="26"/>
          <w:szCs w:val="26"/>
          <w:rtl/>
          <w:lang w:bidi="ar-AE"/>
        </w:rPr>
        <w:t xml:space="preserve"> عن بيانات استهلاك قطاع الهيدروكلوروفلوروكربون بناء على تقرير تنفيذ البرنامج القطرى</w:t>
      </w:r>
      <w:r w:rsidR="00706E91">
        <w:rPr>
          <w:rFonts w:hint="cs"/>
          <w:sz w:val="26"/>
          <w:szCs w:val="26"/>
          <w:rtl/>
          <w:lang w:bidi="ar-AE"/>
        </w:rPr>
        <w:t xml:space="preserve"> لعام 2018</w:t>
      </w:r>
      <w:r>
        <w:rPr>
          <w:rFonts w:hint="cs"/>
          <w:sz w:val="26"/>
          <w:szCs w:val="26"/>
          <w:rtl/>
          <w:lang w:bidi="ar-AE"/>
        </w:rPr>
        <w:t xml:space="preserve"> </w:t>
      </w:r>
      <w:r w:rsidR="005E4994">
        <w:rPr>
          <w:rFonts w:hint="cs"/>
          <w:sz w:val="26"/>
          <w:szCs w:val="26"/>
          <w:rtl/>
          <w:lang w:bidi="ar-AE"/>
        </w:rPr>
        <w:t>ت</w:t>
      </w:r>
      <w:r>
        <w:rPr>
          <w:rFonts w:hint="cs"/>
          <w:sz w:val="26"/>
          <w:szCs w:val="26"/>
          <w:rtl/>
          <w:lang w:bidi="ar-AE"/>
        </w:rPr>
        <w:t>تمشى مع البيانات المبلغ عنها عملا بالمادة 7 من بروتوكول مونتريال.</w:t>
      </w:r>
    </w:p>
    <w:p w14:paraId="3E7B8C6D" w14:textId="77777777" w:rsidR="006E12B4" w:rsidRDefault="006E12B4" w:rsidP="006E12B4">
      <w:pPr>
        <w:bidi/>
        <w:rPr>
          <w:i/>
          <w:iCs/>
          <w:sz w:val="26"/>
          <w:szCs w:val="26"/>
          <w:lang w:bidi="ar-EG"/>
        </w:rPr>
      </w:pPr>
      <w:r>
        <w:rPr>
          <w:rFonts w:hint="cs"/>
          <w:i/>
          <w:iCs/>
          <w:sz w:val="26"/>
          <w:szCs w:val="26"/>
          <w:rtl/>
          <w:lang w:bidi="ar-AE"/>
        </w:rPr>
        <w:t>تقرير التحقق</w:t>
      </w:r>
    </w:p>
    <w:p w14:paraId="24C71661" w14:textId="77777777" w:rsidR="006E12B4" w:rsidRDefault="006E12B4" w:rsidP="006E12B4">
      <w:pPr>
        <w:bidi/>
        <w:rPr>
          <w:sz w:val="26"/>
          <w:szCs w:val="26"/>
          <w:rtl/>
          <w:lang w:val="en-US" w:bidi="ar-SA"/>
        </w:rPr>
      </w:pPr>
    </w:p>
    <w:p w14:paraId="04B2467B" w14:textId="77777777" w:rsidR="006E12B4" w:rsidRDefault="006E12B4" w:rsidP="007C6E04">
      <w:pPr>
        <w:pStyle w:val="Heading1"/>
        <w:numPr>
          <w:ilvl w:val="0"/>
          <w:numId w:val="0"/>
        </w:numPr>
        <w:tabs>
          <w:tab w:val="num" w:pos="180"/>
        </w:tabs>
        <w:bidi/>
        <w:snapToGrid w:val="0"/>
        <w:rPr>
          <w:sz w:val="26"/>
          <w:szCs w:val="26"/>
          <w:rtl/>
          <w:lang w:bidi="ar-AE"/>
        </w:rPr>
      </w:pPr>
      <w:r>
        <w:rPr>
          <w:rFonts w:hint="cs"/>
          <w:color w:val="000000"/>
          <w:sz w:val="26"/>
          <w:szCs w:val="26"/>
          <w:rtl/>
          <w:lang w:bidi="ar-AE"/>
        </w:rPr>
        <w:t>5</w:t>
      </w:r>
      <w:r>
        <w:rPr>
          <w:rFonts w:hint="cs"/>
          <w:color w:val="000000"/>
          <w:sz w:val="26"/>
          <w:szCs w:val="26"/>
          <w:rtl/>
          <w:lang w:bidi="ar-AE"/>
        </w:rPr>
        <w:tab/>
      </w:r>
      <w:r>
        <w:rPr>
          <w:rFonts w:hint="cs"/>
          <w:color w:val="000000"/>
          <w:sz w:val="26"/>
          <w:szCs w:val="26"/>
          <w:rtl/>
          <w:lang w:bidi="ar-AE"/>
        </w:rPr>
        <w:tab/>
        <w:t xml:space="preserve">أكد تقرير التحقق أن الحكومة تنفذ نظام ترخيص وحصص للواردات والصادرات من </w:t>
      </w:r>
      <w:r w:rsidR="0093363C">
        <w:rPr>
          <w:rFonts w:hint="cs"/>
          <w:sz w:val="26"/>
          <w:szCs w:val="26"/>
          <w:rtl/>
          <w:lang w:bidi="ar-AE"/>
        </w:rPr>
        <w:t xml:space="preserve">المواد الهيدروكلوروفلوروكربونية؛ وأن الاستهلاك من </w:t>
      </w:r>
      <w:r w:rsidR="0093363C">
        <w:rPr>
          <w:sz w:val="26"/>
          <w:szCs w:val="26"/>
          <w:rtl/>
          <w:lang w:bidi="ar-AE"/>
        </w:rPr>
        <w:t>المواد الهيدروكلوروفلوروكربونية</w:t>
      </w:r>
      <w:r w:rsidR="0093363C">
        <w:rPr>
          <w:rFonts w:hint="cs"/>
          <w:sz w:val="26"/>
          <w:szCs w:val="26"/>
          <w:rtl/>
          <w:lang w:bidi="ar-AE"/>
        </w:rPr>
        <w:t xml:space="preserve"> المبلغ عنه بمقتضي المادة 7 من بروتوكول مونتريال لعام 2013 (2.31 طن من قدرات استنفاد الأوزون) ولعام 2014 (2.81 </w:t>
      </w:r>
      <w:r w:rsidR="0093363C">
        <w:rPr>
          <w:sz w:val="26"/>
          <w:szCs w:val="26"/>
          <w:rtl/>
          <w:lang w:bidi="ar-AE"/>
        </w:rPr>
        <w:t>طن من قدرات استنفاد الأوزون</w:t>
      </w:r>
      <w:r w:rsidR="0093363C">
        <w:rPr>
          <w:rFonts w:hint="cs"/>
          <w:sz w:val="26"/>
          <w:szCs w:val="26"/>
          <w:rtl/>
          <w:lang w:bidi="ar-AE"/>
        </w:rPr>
        <w:t>) ومن عام 2015</w:t>
      </w:r>
      <w:r w:rsidR="0093363C">
        <w:rPr>
          <w:sz w:val="26"/>
          <w:szCs w:val="26"/>
          <w:rtl/>
          <w:lang w:bidi="ar-AE"/>
        </w:rPr>
        <w:t xml:space="preserve"> </w:t>
      </w:r>
      <w:r w:rsidR="0093363C">
        <w:rPr>
          <w:rFonts w:hint="cs"/>
          <w:sz w:val="26"/>
          <w:szCs w:val="26"/>
          <w:rtl/>
          <w:lang w:bidi="ar-AE"/>
        </w:rPr>
        <w:t xml:space="preserve"> إلى عام 2018 كان </w:t>
      </w:r>
      <w:r w:rsidR="00A31AE2">
        <w:rPr>
          <w:rFonts w:hint="cs"/>
          <w:sz w:val="26"/>
          <w:szCs w:val="26"/>
          <w:rtl/>
          <w:lang w:bidi="ar-AE"/>
        </w:rPr>
        <w:t xml:space="preserve">صحيحا (كما يبين الجدول 1 أعلاه)؛ وأن البلد يتبع جدول التخفيض لبروتوكول مونتريال والأهداف الواردة في اتفاقه مع اللجنة التنفيذية للفترة </w:t>
      </w:r>
      <w:r w:rsidR="00B723AB">
        <w:rPr>
          <w:rFonts w:hint="cs"/>
          <w:sz w:val="26"/>
          <w:szCs w:val="26"/>
          <w:rtl/>
          <w:lang w:bidi="ar-AE"/>
        </w:rPr>
        <w:t>من</w:t>
      </w:r>
      <w:r w:rsidR="007C6E04">
        <w:rPr>
          <w:rFonts w:hint="cs"/>
          <w:sz w:val="26"/>
          <w:szCs w:val="26"/>
          <w:rtl/>
          <w:lang w:bidi="ar-AE"/>
        </w:rPr>
        <w:t xml:space="preserve"> 2013</w:t>
      </w:r>
      <w:r w:rsidR="00B723AB">
        <w:rPr>
          <w:rFonts w:hint="cs"/>
          <w:sz w:val="26"/>
          <w:szCs w:val="26"/>
          <w:rtl/>
          <w:lang w:bidi="ar-AE"/>
        </w:rPr>
        <w:t xml:space="preserve"> </w:t>
      </w:r>
      <w:r w:rsidR="00A31AE2">
        <w:rPr>
          <w:rFonts w:hint="cs"/>
          <w:sz w:val="26"/>
          <w:szCs w:val="26"/>
          <w:rtl/>
          <w:lang w:bidi="ar-AE"/>
        </w:rPr>
        <w:t xml:space="preserve"> إلى 2019.</w:t>
      </w:r>
      <w:r w:rsidR="0093363C">
        <w:rPr>
          <w:sz w:val="26"/>
          <w:szCs w:val="26"/>
          <w:rtl/>
          <w:lang w:bidi="ar-AE"/>
        </w:rPr>
        <w:t xml:space="preserve"> </w:t>
      </w:r>
      <w:r w:rsidR="00A31AE2">
        <w:rPr>
          <w:rFonts w:hint="cs"/>
          <w:sz w:val="26"/>
          <w:szCs w:val="26"/>
          <w:rtl/>
          <w:lang w:bidi="ar-AE"/>
        </w:rPr>
        <w:t xml:space="preserve">وأوصي تقرير التحقق بدعم تدريب موظفى الجمارك الجدد؛ توفير محددات سوائل التبريد ذات كفاءة أداء عالية لموظفى الجمارك؛ التأكد من التراخيص/التصاريح التى تصدرها الجمارك قبل السماح بالشحنات؛ دعم التنسيق بين الوحدة </w:t>
      </w:r>
      <w:r w:rsidR="00A31AE2">
        <w:rPr>
          <w:rFonts w:hint="cs"/>
          <w:sz w:val="26"/>
          <w:szCs w:val="26"/>
          <w:rtl/>
          <w:lang w:bidi="ar-AE"/>
        </w:rPr>
        <w:lastRenderedPageBreak/>
        <w:t>الوطنية للأوزون والمستوردين ومواصلة زيادة وعيهم بالتشريع</w:t>
      </w:r>
      <w:r w:rsidR="00B723AB">
        <w:rPr>
          <w:rFonts w:hint="cs"/>
          <w:sz w:val="26"/>
          <w:szCs w:val="26"/>
          <w:rtl/>
          <w:lang w:bidi="ar-AE"/>
        </w:rPr>
        <w:t>ات الوطنية</w:t>
      </w:r>
      <w:r w:rsidR="00A31AE2">
        <w:rPr>
          <w:rFonts w:hint="cs"/>
          <w:sz w:val="26"/>
          <w:szCs w:val="26"/>
          <w:rtl/>
          <w:lang w:bidi="ar-AE"/>
        </w:rPr>
        <w:t xml:space="preserve"> ودون الإقليم</w:t>
      </w:r>
      <w:r w:rsidR="00B723AB">
        <w:rPr>
          <w:rFonts w:hint="cs"/>
          <w:sz w:val="26"/>
          <w:szCs w:val="26"/>
          <w:rtl/>
          <w:lang w:bidi="ar-AE"/>
        </w:rPr>
        <w:t>ية</w:t>
      </w:r>
      <w:r w:rsidR="00A31AE2">
        <w:rPr>
          <w:rFonts w:hint="cs"/>
          <w:sz w:val="26"/>
          <w:szCs w:val="26"/>
          <w:rtl/>
          <w:lang w:bidi="ar-AE"/>
        </w:rPr>
        <w:t>؛ تعريفات جمركية أقل لسوائل التبريد البديلة الجديدة.</w:t>
      </w:r>
    </w:p>
    <w:p w14:paraId="46469BD9" w14:textId="77777777" w:rsidR="006E12B4" w:rsidRDefault="006E12B4" w:rsidP="006E12B4">
      <w:pPr>
        <w:bidi/>
        <w:rPr>
          <w:rtl/>
          <w:lang w:bidi="ar-AE"/>
        </w:rPr>
      </w:pPr>
    </w:p>
    <w:p w14:paraId="1DD5B265" w14:textId="77777777" w:rsidR="006E12B4" w:rsidRDefault="006E12B4" w:rsidP="00166AB9">
      <w:pPr>
        <w:keepNext/>
        <w:keepLines/>
        <w:bidi/>
        <w:jc w:val="left"/>
        <w:rPr>
          <w:sz w:val="26"/>
          <w:szCs w:val="26"/>
          <w:u w:val="single"/>
          <w:lang w:val="en-US"/>
        </w:rPr>
      </w:pPr>
      <w:r>
        <w:rPr>
          <w:rFonts w:hint="cs"/>
          <w:sz w:val="26"/>
          <w:szCs w:val="26"/>
          <w:u w:val="single"/>
          <w:rtl/>
          <w:lang w:val="en-US"/>
        </w:rPr>
        <w:t xml:space="preserve">تقرير مرحلى عن تنفيذ الشريحة </w:t>
      </w:r>
      <w:r w:rsidR="00166AB9">
        <w:rPr>
          <w:rFonts w:hint="cs"/>
          <w:sz w:val="26"/>
          <w:szCs w:val="26"/>
          <w:u w:val="single"/>
          <w:rtl/>
          <w:lang w:val="en-US"/>
        </w:rPr>
        <w:t xml:space="preserve">الثالثة </w:t>
      </w:r>
      <w:r>
        <w:rPr>
          <w:rFonts w:hint="cs"/>
          <w:sz w:val="26"/>
          <w:szCs w:val="26"/>
          <w:u w:val="single"/>
          <w:rtl/>
          <w:lang w:val="en-US"/>
        </w:rPr>
        <w:t xml:space="preserve"> من </w:t>
      </w:r>
      <w:r>
        <w:rPr>
          <w:rFonts w:hint="cs"/>
          <w:sz w:val="26"/>
          <w:szCs w:val="26"/>
          <w:u w:val="single"/>
          <w:rtl/>
          <w:lang w:bidi="ar-AE"/>
        </w:rPr>
        <w:t>خطة إدارة إزالة المواد الهيدروكلوروفلوروكربونية</w:t>
      </w:r>
    </w:p>
    <w:p w14:paraId="2A298903" w14:textId="77777777" w:rsidR="006E12B4" w:rsidRDefault="006E12B4" w:rsidP="006E12B4">
      <w:pPr>
        <w:bidi/>
        <w:jc w:val="left"/>
        <w:rPr>
          <w:b/>
          <w:sz w:val="22"/>
          <w:szCs w:val="24"/>
        </w:rPr>
      </w:pPr>
    </w:p>
    <w:p w14:paraId="1679F409" w14:textId="77777777" w:rsidR="006E12B4" w:rsidRDefault="006E12B4" w:rsidP="006E12B4">
      <w:pPr>
        <w:bidi/>
        <w:jc w:val="left"/>
        <w:rPr>
          <w:b/>
          <w:i/>
          <w:iCs/>
          <w:szCs w:val="24"/>
          <w:rtl/>
        </w:rPr>
      </w:pPr>
      <w:r>
        <w:rPr>
          <w:rFonts w:hint="cs"/>
          <w:b/>
          <w:i/>
          <w:iCs/>
          <w:szCs w:val="24"/>
          <w:rtl/>
        </w:rPr>
        <w:t>الإطار القانونى</w:t>
      </w:r>
    </w:p>
    <w:p w14:paraId="5F93BCBB" w14:textId="77777777" w:rsidR="006E12B4" w:rsidRDefault="006E12B4" w:rsidP="006E12B4">
      <w:pPr>
        <w:bidi/>
        <w:jc w:val="left"/>
        <w:rPr>
          <w:b/>
          <w:szCs w:val="24"/>
          <w:rtl/>
        </w:rPr>
      </w:pPr>
    </w:p>
    <w:p w14:paraId="41BC4C5E" w14:textId="77777777" w:rsidR="006E12B4" w:rsidRDefault="006E12B4" w:rsidP="00FE46BF">
      <w:pPr>
        <w:pStyle w:val="Heading1"/>
        <w:numPr>
          <w:ilvl w:val="0"/>
          <w:numId w:val="0"/>
        </w:numPr>
        <w:tabs>
          <w:tab w:val="num" w:pos="180"/>
        </w:tabs>
        <w:bidi/>
        <w:snapToGrid w:val="0"/>
        <w:ind w:left="180"/>
        <w:rPr>
          <w:sz w:val="26"/>
          <w:szCs w:val="26"/>
        </w:rPr>
      </w:pPr>
      <w:r>
        <w:rPr>
          <w:rFonts w:hint="cs"/>
          <w:color w:val="000000"/>
          <w:sz w:val="26"/>
          <w:szCs w:val="26"/>
          <w:rtl/>
          <w:lang w:bidi="ar-AE"/>
        </w:rPr>
        <w:t>6</w:t>
      </w:r>
      <w:r>
        <w:rPr>
          <w:rFonts w:hint="cs"/>
          <w:color w:val="000000"/>
          <w:sz w:val="26"/>
          <w:szCs w:val="26"/>
          <w:rtl/>
          <w:lang w:bidi="ar-AE"/>
        </w:rPr>
        <w:tab/>
        <w:t xml:space="preserve">أنشأت حكومة </w:t>
      </w:r>
      <w:r w:rsidR="00166AB9">
        <w:rPr>
          <w:rFonts w:hint="cs"/>
          <w:color w:val="000000"/>
          <w:sz w:val="26"/>
          <w:szCs w:val="26"/>
          <w:rtl/>
          <w:lang w:bidi="ar-AE"/>
        </w:rPr>
        <w:t>غينيا</w:t>
      </w:r>
      <w:r w:rsidR="00E83E5F">
        <w:rPr>
          <w:rFonts w:hint="cs"/>
          <w:color w:val="000000"/>
          <w:sz w:val="26"/>
          <w:szCs w:val="26"/>
          <w:rtl/>
          <w:lang w:bidi="ar-AE"/>
        </w:rPr>
        <w:t xml:space="preserve"> </w:t>
      </w:r>
      <w:r w:rsidR="00166AB9">
        <w:rPr>
          <w:rFonts w:hint="cs"/>
          <w:color w:val="000000"/>
          <w:sz w:val="26"/>
          <w:szCs w:val="26"/>
          <w:rtl/>
          <w:lang w:bidi="ar-AE"/>
        </w:rPr>
        <w:t>- بيساو</w:t>
      </w:r>
      <w:r>
        <w:rPr>
          <w:rFonts w:hint="cs"/>
          <w:color w:val="000000"/>
          <w:sz w:val="26"/>
          <w:szCs w:val="26"/>
          <w:rtl/>
          <w:lang w:bidi="ar-AE"/>
        </w:rPr>
        <w:t xml:space="preserve"> </w:t>
      </w:r>
      <w:r w:rsidR="00166AB9">
        <w:rPr>
          <w:rFonts w:hint="cs"/>
          <w:color w:val="000000"/>
          <w:sz w:val="26"/>
          <w:szCs w:val="26"/>
          <w:rtl/>
          <w:lang w:bidi="ar-AE"/>
        </w:rPr>
        <w:t>نظاما للترخيص والحصص</w:t>
      </w:r>
      <w:r>
        <w:rPr>
          <w:rFonts w:hint="cs"/>
          <w:color w:val="000000"/>
          <w:sz w:val="26"/>
          <w:szCs w:val="26"/>
          <w:rtl/>
          <w:lang w:bidi="ar-AE"/>
        </w:rPr>
        <w:t xml:space="preserve"> </w:t>
      </w:r>
      <w:r w:rsidR="00166AB9">
        <w:rPr>
          <w:rFonts w:hint="cs"/>
          <w:color w:val="000000"/>
          <w:sz w:val="26"/>
          <w:szCs w:val="26"/>
          <w:rtl/>
          <w:lang w:bidi="ar-AE"/>
        </w:rPr>
        <w:t>ل</w:t>
      </w:r>
      <w:r>
        <w:rPr>
          <w:rFonts w:hint="cs"/>
          <w:color w:val="000000"/>
          <w:sz w:val="26"/>
          <w:szCs w:val="26"/>
          <w:rtl/>
          <w:lang w:bidi="ar-AE"/>
        </w:rPr>
        <w:t xml:space="preserve">لمواد </w:t>
      </w:r>
      <w:r>
        <w:rPr>
          <w:rFonts w:hint="cs"/>
          <w:sz w:val="26"/>
          <w:szCs w:val="26"/>
          <w:rtl/>
          <w:lang w:bidi="ar-AE"/>
        </w:rPr>
        <w:t>الهيدروكلوروفلوروكربونية</w:t>
      </w:r>
      <w:r w:rsidR="00166AB9">
        <w:rPr>
          <w:rFonts w:hint="cs"/>
          <w:sz w:val="26"/>
          <w:szCs w:val="26"/>
          <w:rtl/>
          <w:lang w:bidi="ar-AE"/>
        </w:rPr>
        <w:t>.</w:t>
      </w:r>
      <w:r>
        <w:rPr>
          <w:rFonts w:hint="cs"/>
          <w:sz w:val="26"/>
          <w:szCs w:val="26"/>
          <w:rtl/>
          <w:lang w:bidi="ar-AE"/>
        </w:rPr>
        <w:t xml:space="preserve"> </w:t>
      </w:r>
      <w:r w:rsidR="00166AB9">
        <w:rPr>
          <w:rFonts w:hint="cs"/>
          <w:sz w:val="26"/>
          <w:szCs w:val="26"/>
          <w:rtl/>
          <w:lang w:bidi="ar-AE"/>
        </w:rPr>
        <w:t>ويواصل البلد تنفيذ اللوائح دون الإقليمية للمواد المستنفدة للأوزون</w:t>
      </w:r>
      <w:r>
        <w:rPr>
          <w:rFonts w:hint="cs"/>
          <w:sz w:val="26"/>
          <w:szCs w:val="26"/>
          <w:rtl/>
          <w:lang w:bidi="ar-AE"/>
        </w:rPr>
        <w:t xml:space="preserve"> </w:t>
      </w:r>
      <w:r w:rsidR="00166AB9">
        <w:rPr>
          <w:rFonts w:hint="cs"/>
          <w:sz w:val="26"/>
          <w:szCs w:val="26"/>
          <w:rtl/>
          <w:lang w:bidi="ar-AE"/>
        </w:rPr>
        <w:t>وسياسات تنسيق ا</w:t>
      </w:r>
      <w:r w:rsidR="00166AB9">
        <w:rPr>
          <w:sz w:val="26"/>
          <w:szCs w:val="26"/>
          <w:rtl/>
          <w:lang w:bidi="ar-AE"/>
        </w:rPr>
        <w:t>لمواد المستنفدة للأوزون</w:t>
      </w:r>
      <w:r w:rsidR="00166AB9">
        <w:rPr>
          <w:rFonts w:hint="cs"/>
          <w:sz w:val="26"/>
          <w:szCs w:val="26"/>
          <w:rtl/>
          <w:lang w:bidi="ar-AE"/>
        </w:rPr>
        <w:t xml:space="preserve"> المطبقة في 8 أعضاء في الاتحاد الاقتصادى والمالى لأفريقيا الغربية،</w:t>
      </w:r>
      <w:r w:rsidR="00166AB9">
        <w:rPr>
          <w:rStyle w:val="FootnoteReference"/>
          <w:sz w:val="26"/>
          <w:szCs w:val="26"/>
          <w:rtl/>
          <w:lang w:bidi="ar-AE"/>
        </w:rPr>
        <w:footnoteReference w:id="2"/>
      </w:r>
      <w:r>
        <w:rPr>
          <w:rFonts w:hint="cs"/>
          <w:sz w:val="26"/>
          <w:szCs w:val="26"/>
          <w:rtl/>
          <w:lang w:bidi="ar-AE"/>
        </w:rPr>
        <w:t xml:space="preserve"> </w:t>
      </w:r>
      <w:r w:rsidR="0007211E">
        <w:rPr>
          <w:rFonts w:hint="cs"/>
          <w:sz w:val="26"/>
          <w:szCs w:val="26"/>
          <w:rtl/>
          <w:lang w:bidi="ar-AE"/>
        </w:rPr>
        <w:t xml:space="preserve">والتعاون مع بلدان أخرى للرقابة على الواردات والصادرات من </w:t>
      </w:r>
      <w:r w:rsidR="0007211E">
        <w:rPr>
          <w:color w:val="000000"/>
          <w:sz w:val="26"/>
          <w:szCs w:val="26"/>
          <w:rtl/>
          <w:lang w:bidi="ar-AE"/>
        </w:rPr>
        <w:t xml:space="preserve">المواد </w:t>
      </w:r>
      <w:r w:rsidR="0007211E">
        <w:rPr>
          <w:sz w:val="26"/>
          <w:szCs w:val="26"/>
          <w:rtl/>
          <w:lang w:bidi="ar-AE"/>
        </w:rPr>
        <w:t>الهيدروكلوروفلوروكربونية</w:t>
      </w:r>
      <w:r>
        <w:rPr>
          <w:rFonts w:hint="cs"/>
          <w:sz w:val="26"/>
          <w:szCs w:val="26"/>
          <w:rtl/>
          <w:lang w:bidi="ar-AE"/>
        </w:rPr>
        <w:t>.</w:t>
      </w:r>
    </w:p>
    <w:p w14:paraId="6FCA8458" w14:textId="77777777" w:rsidR="006E12B4" w:rsidRDefault="006E12B4" w:rsidP="007A7080">
      <w:pPr>
        <w:pStyle w:val="Heading1"/>
        <w:numPr>
          <w:ilvl w:val="0"/>
          <w:numId w:val="0"/>
        </w:numPr>
        <w:tabs>
          <w:tab w:val="num" w:pos="180"/>
        </w:tabs>
        <w:bidi/>
        <w:snapToGrid w:val="0"/>
        <w:ind w:left="180"/>
        <w:rPr>
          <w:sz w:val="26"/>
          <w:szCs w:val="26"/>
        </w:rPr>
      </w:pPr>
      <w:r>
        <w:rPr>
          <w:rFonts w:hint="cs"/>
          <w:sz w:val="26"/>
          <w:szCs w:val="26"/>
          <w:rtl/>
          <w:lang w:bidi="ar-AE"/>
        </w:rPr>
        <w:t>7</w:t>
      </w:r>
      <w:r>
        <w:rPr>
          <w:rFonts w:hint="cs"/>
          <w:sz w:val="26"/>
          <w:szCs w:val="26"/>
          <w:rtl/>
          <w:lang w:bidi="ar-AE"/>
        </w:rPr>
        <w:tab/>
      </w:r>
      <w:r w:rsidR="007A7080">
        <w:rPr>
          <w:rFonts w:hint="cs"/>
          <w:sz w:val="26"/>
          <w:szCs w:val="26"/>
          <w:rtl/>
          <w:lang w:bidi="ar-AE"/>
        </w:rPr>
        <w:t>وت</w:t>
      </w:r>
      <w:r w:rsidR="0007211E">
        <w:rPr>
          <w:rFonts w:hint="cs"/>
          <w:sz w:val="26"/>
          <w:szCs w:val="26"/>
          <w:rtl/>
          <w:lang w:bidi="ar-AE"/>
        </w:rPr>
        <w:t>حظر</w:t>
      </w:r>
      <w:r w:rsidR="007A7080">
        <w:rPr>
          <w:rFonts w:hint="cs"/>
          <w:sz w:val="26"/>
          <w:szCs w:val="26"/>
          <w:rtl/>
          <w:lang w:bidi="ar-AE"/>
        </w:rPr>
        <w:t xml:space="preserve"> لوائح</w:t>
      </w:r>
      <w:r w:rsidR="0007211E">
        <w:rPr>
          <w:rFonts w:hint="cs"/>
          <w:sz w:val="26"/>
          <w:szCs w:val="26"/>
          <w:rtl/>
          <w:lang w:bidi="ar-AE"/>
        </w:rPr>
        <w:t xml:space="preserve"> </w:t>
      </w:r>
      <w:r w:rsidR="0007211E">
        <w:rPr>
          <w:sz w:val="26"/>
          <w:szCs w:val="26"/>
          <w:rtl/>
          <w:lang w:bidi="ar-AE"/>
        </w:rPr>
        <w:t>الاتحاد الاقتصادى والمالى لأفريقيا الغربية</w:t>
      </w:r>
      <w:r w:rsidR="0007211E">
        <w:rPr>
          <w:rFonts w:hint="cs"/>
          <w:sz w:val="26"/>
          <w:szCs w:val="26"/>
          <w:rtl/>
          <w:lang w:bidi="ar-AE"/>
        </w:rPr>
        <w:t xml:space="preserve"> استهلاك المواد التى تم القضاء عليها بموجب بروتوكول مونتريال في منطقة الاتحاد؛ ولا توجد حصص </w:t>
      </w:r>
      <w:r w:rsidR="007A7080">
        <w:rPr>
          <w:rFonts w:hint="cs"/>
          <w:sz w:val="26"/>
          <w:szCs w:val="26"/>
          <w:rtl/>
          <w:lang w:bidi="ar-AE"/>
        </w:rPr>
        <w:t xml:space="preserve">من </w:t>
      </w:r>
      <w:r w:rsidR="0007211E">
        <w:rPr>
          <w:sz w:val="26"/>
          <w:szCs w:val="26"/>
          <w:rtl/>
          <w:lang w:bidi="ar-AE"/>
        </w:rPr>
        <w:t>مواد مستنفدة للأوزون</w:t>
      </w:r>
      <w:r w:rsidR="0007211E">
        <w:rPr>
          <w:rFonts w:hint="cs"/>
          <w:sz w:val="26"/>
          <w:szCs w:val="26"/>
          <w:rtl/>
          <w:lang w:bidi="ar-AE"/>
        </w:rPr>
        <w:t xml:space="preserve"> محظورة، وتخضع جميع سوائل التبريد الأخرى للإعلان عنها قبل </w:t>
      </w:r>
      <w:r w:rsidR="007A7080">
        <w:rPr>
          <w:rFonts w:hint="cs"/>
          <w:sz w:val="26"/>
          <w:szCs w:val="26"/>
          <w:rtl/>
          <w:lang w:bidi="ar-AE"/>
        </w:rPr>
        <w:t>الاستيراد</w:t>
      </w:r>
      <w:r w:rsidR="0007211E">
        <w:rPr>
          <w:rFonts w:hint="cs"/>
          <w:sz w:val="26"/>
          <w:szCs w:val="26"/>
          <w:rtl/>
          <w:lang w:bidi="ar-AE"/>
        </w:rPr>
        <w:t xml:space="preserve">. </w:t>
      </w:r>
      <w:r w:rsidR="007A7080">
        <w:rPr>
          <w:rFonts w:hint="cs"/>
          <w:sz w:val="26"/>
          <w:szCs w:val="26"/>
          <w:rtl/>
          <w:lang w:bidi="ar-AE"/>
        </w:rPr>
        <w:t>ولم يكن</w:t>
      </w:r>
      <w:r w:rsidR="0007211E">
        <w:rPr>
          <w:rFonts w:hint="cs"/>
          <w:sz w:val="26"/>
          <w:szCs w:val="26"/>
          <w:rtl/>
          <w:lang w:bidi="ar-AE"/>
        </w:rPr>
        <w:t xml:space="preserve"> البلد على علم بأى واردات غير قانونية أو استخدام مخزونات من مواد خاضعة للرقابة قد تمت إزالتها في البلد.</w:t>
      </w:r>
    </w:p>
    <w:p w14:paraId="474407C6" w14:textId="77777777" w:rsidR="006E12B4" w:rsidRDefault="006E12B4" w:rsidP="006E12B4">
      <w:pPr>
        <w:pStyle w:val="Heading1"/>
        <w:widowControl w:val="0"/>
        <w:numPr>
          <w:ilvl w:val="0"/>
          <w:numId w:val="0"/>
        </w:numPr>
        <w:tabs>
          <w:tab w:val="left" w:pos="708"/>
        </w:tabs>
        <w:bidi/>
        <w:jc w:val="left"/>
        <w:rPr>
          <w:i/>
          <w:iCs/>
          <w:sz w:val="26"/>
          <w:szCs w:val="26"/>
          <w:lang w:bidi="ar-EG"/>
        </w:rPr>
      </w:pPr>
      <w:r>
        <w:rPr>
          <w:rFonts w:hint="cs"/>
          <w:i/>
          <w:iCs/>
          <w:sz w:val="26"/>
          <w:szCs w:val="26"/>
          <w:rtl/>
          <w:lang w:bidi="ar-AE"/>
        </w:rPr>
        <w:t>قطاع خدمة التبريد</w:t>
      </w:r>
    </w:p>
    <w:p w14:paraId="17EB0EAC" w14:textId="77777777" w:rsidR="006E12B4" w:rsidRDefault="006E12B4" w:rsidP="00DD2366">
      <w:pPr>
        <w:pStyle w:val="Heading1"/>
        <w:widowControl w:val="0"/>
        <w:numPr>
          <w:ilvl w:val="0"/>
          <w:numId w:val="28"/>
        </w:numPr>
        <w:bidi/>
        <w:snapToGrid w:val="0"/>
        <w:rPr>
          <w:sz w:val="26"/>
          <w:szCs w:val="26"/>
          <w:rtl/>
          <w:lang w:bidi="ar-AE"/>
        </w:rPr>
      </w:pPr>
      <w:r>
        <w:rPr>
          <w:rFonts w:hint="cs"/>
          <w:sz w:val="26"/>
          <w:szCs w:val="26"/>
          <w:rtl/>
          <w:lang w:bidi="ar-AE"/>
        </w:rPr>
        <w:t>تم تنفيذ الأنشطة التالية:</w:t>
      </w:r>
    </w:p>
    <w:p w14:paraId="2F9EAADC" w14:textId="77777777" w:rsidR="006E12B4" w:rsidRDefault="006E12B4" w:rsidP="00D21CAC">
      <w:pPr>
        <w:pStyle w:val="ListParagraph"/>
        <w:numPr>
          <w:ilvl w:val="0"/>
          <w:numId w:val="27"/>
        </w:numPr>
        <w:bidi/>
        <w:snapToGrid w:val="0"/>
        <w:rPr>
          <w:sz w:val="26"/>
          <w:szCs w:val="26"/>
          <w:rtl/>
          <w:lang w:bidi="ar-AE"/>
        </w:rPr>
      </w:pPr>
      <w:r>
        <w:rPr>
          <w:rFonts w:hint="cs"/>
          <w:sz w:val="26"/>
          <w:szCs w:val="26"/>
          <w:rtl/>
          <w:lang w:bidi="ar-AE"/>
        </w:rPr>
        <w:t xml:space="preserve">تدريب </w:t>
      </w:r>
      <w:r w:rsidR="00D21CAC">
        <w:rPr>
          <w:rFonts w:hint="cs"/>
          <w:sz w:val="26"/>
          <w:szCs w:val="26"/>
          <w:rtl/>
          <w:lang w:bidi="ar-AE"/>
        </w:rPr>
        <w:t>85</w:t>
      </w:r>
      <w:r>
        <w:rPr>
          <w:rFonts w:hint="cs"/>
          <w:sz w:val="26"/>
          <w:szCs w:val="26"/>
          <w:rtl/>
          <w:lang w:bidi="ar-AE"/>
        </w:rPr>
        <w:t xml:space="preserve"> موظف جمارك </w:t>
      </w:r>
      <w:r w:rsidR="00D21CAC">
        <w:rPr>
          <w:rFonts w:hint="cs"/>
          <w:sz w:val="26"/>
          <w:szCs w:val="26"/>
          <w:rtl/>
          <w:lang w:bidi="ar-AE"/>
        </w:rPr>
        <w:t xml:space="preserve">في أربع موانئ دخول على تدابير الرقابة على </w:t>
      </w:r>
      <w:r>
        <w:rPr>
          <w:rFonts w:hint="cs"/>
          <w:sz w:val="26"/>
          <w:szCs w:val="26"/>
          <w:rtl/>
          <w:lang w:bidi="ar-AE"/>
        </w:rPr>
        <w:t xml:space="preserve">الهيدروكلوروفلوروكربون </w:t>
      </w:r>
      <w:r w:rsidR="00D21CAC">
        <w:rPr>
          <w:rFonts w:hint="cs"/>
          <w:sz w:val="26"/>
          <w:szCs w:val="26"/>
          <w:rtl/>
          <w:lang w:bidi="ar-AE"/>
        </w:rPr>
        <w:t xml:space="preserve">والإتجار غير القانونى؛ تحديد وتقنين وتوصيف </w:t>
      </w:r>
      <w:r w:rsidR="00D21CAC">
        <w:rPr>
          <w:color w:val="000000"/>
          <w:sz w:val="26"/>
          <w:szCs w:val="26"/>
          <w:rtl/>
          <w:lang w:bidi="ar-AE"/>
        </w:rPr>
        <w:t xml:space="preserve">المواد </w:t>
      </w:r>
      <w:r w:rsidR="00D21CAC">
        <w:rPr>
          <w:sz w:val="26"/>
          <w:szCs w:val="26"/>
          <w:rtl/>
          <w:lang w:bidi="ar-AE"/>
        </w:rPr>
        <w:t>الهيدروكلوروفلوروكربونية</w:t>
      </w:r>
      <w:r w:rsidR="00D21CAC">
        <w:rPr>
          <w:rFonts w:hint="cs"/>
          <w:sz w:val="26"/>
          <w:szCs w:val="26"/>
          <w:rtl/>
          <w:lang w:bidi="ar-AE"/>
        </w:rPr>
        <w:t xml:space="preserve"> والمنتجات المحتوية على </w:t>
      </w:r>
      <w:r w:rsidR="00D21CAC">
        <w:rPr>
          <w:color w:val="000000"/>
          <w:sz w:val="26"/>
          <w:szCs w:val="26"/>
          <w:rtl/>
          <w:lang w:bidi="ar-AE"/>
        </w:rPr>
        <w:t xml:space="preserve">المواد </w:t>
      </w:r>
      <w:r w:rsidR="00D21CAC">
        <w:rPr>
          <w:sz w:val="26"/>
          <w:szCs w:val="26"/>
          <w:rtl/>
          <w:lang w:bidi="ar-AE"/>
        </w:rPr>
        <w:t>الهيدروكلوروفلوروكربونية</w:t>
      </w:r>
      <w:r w:rsidR="00D21CAC">
        <w:rPr>
          <w:rFonts w:hint="cs"/>
          <w:sz w:val="26"/>
          <w:szCs w:val="26"/>
          <w:rtl/>
          <w:lang w:bidi="ar-AE"/>
        </w:rPr>
        <w:t>؛ تحسين تسجيل الواردات والإبلاغ عنها؛</w:t>
      </w:r>
    </w:p>
    <w:p w14:paraId="750D939C" w14:textId="77777777" w:rsidR="006E12B4" w:rsidRDefault="006E12B4" w:rsidP="006E12B4">
      <w:pPr>
        <w:bidi/>
        <w:rPr>
          <w:sz w:val="26"/>
          <w:szCs w:val="26"/>
          <w:lang w:bidi="ar-AE"/>
        </w:rPr>
      </w:pPr>
    </w:p>
    <w:p w14:paraId="24E4B1C6" w14:textId="77777777" w:rsidR="006E12B4" w:rsidRDefault="006E12B4" w:rsidP="00A1620C">
      <w:pPr>
        <w:pStyle w:val="ListParagraph"/>
        <w:numPr>
          <w:ilvl w:val="0"/>
          <w:numId w:val="27"/>
        </w:numPr>
        <w:bidi/>
        <w:snapToGrid w:val="0"/>
        <w:rPr>
          <w:sz w:val="26"/>
          <w:szCs w:val="26"/>
          <w:rtl/>
          <w:lang w:bidi="ar-AE"/>
        </w:rPr>
      </w:pPr>
      <w:r>
        <w:rPr>
          <w:rFonts w:hint="cs"/>
          <w:sz w:val="26"/>
          <w:szCs w:val="26"/>
          <w:rtl/>
          <w:lang w:bidi="ar-AE"/>
        </w:rPr>
        <w:t xml:space="preserve">  </w:t>
      </w:r>
      <w:r w:rsidR="00A1620C">
        <w:rPr>
          <w:rFonts w:hint="cs"/>
          <w:sz w:val="26"/>
          <w:szCs w:val="26"/>
          <w:rtl/>
          <w:lang w:bidi="ar-AE"/>
        </w:rPr>
        <w:t>أربع حلقات عمل لتدريب 130 تقنيا اضافيا على الممارسات الجيدة لسوائل التبريد والمناولة الآمنة لسوائل التبريد القابلة للاشتعال والمعايير المرتبطة بها</w:t>
      </w:r>
      <w:r>
        <w:rPr>
          <w:rFonts w:hint="cs"/>
          <w:sz w:val="26"/>
          <w:szCs w:val="26"/>
          <w:rtl/>
          <w:lang w:bidi="ar-AE"/>
        </w:rPr>
        <w:t>؛</w:t>
      </w:r>
    </w:p>
    <w:p w14:paraId="7484B432" w14:textId="77777777" w:rsidR="006E12B4" w:rsidRDefault="006E12B4" w:rsidP="006E12B4">
      <w:pPr>
        <w:pStyle w:val="ListParagraph"/>
        <w:rPr>
          <w:sz w:val="26"/>
          <w:szCs w:val="26"/>
          <w:lang w:bidi="ar-AE"/>
        </w:rPr>
      </w:pPr>
    </w:p>
    <w:p w14:paraId="2201D601" w14:textId="77777777" w:rsidR="006E12B4" w:rsidRDefault="006E12B4" w:rsidP="00495351">
      <w:pPr>
        <w:bidi/>
        <w:ind w:left="1260" w:hanging="540"/>
        <w:rPr>
          <w:sz w:val="26"/>
          <w:szCs w:val="26"/>
          <w:rtl/>
          <w:lang w:bidi="ar-AE"/>
        </w:rPr>
      </w:pPr>
      <w:r>
        <w:rPr>
          <w:rFonts w:hint="cs"/>
          <w:sz w:val="26"/>
          <w:szCs w:val="26"/>
          <w:rtl/>
          <w:lang w:bidi="ar-AE"/>
        </w:rPr>
        <w:t xml:space="preserve">(ج)  </w:t>
      </w:r>
      <w:r w:rsidR="00C90968">
        <w:rPr>
          <w:rFonts w:hint="cs"/>
          <w:sz w:val="26"/>
          <w:szCs w:val="26"/>
          <w:rtl/>
          <w:lang w:bidi="ar-AE"/>
        </w:rPr>
        <w:t>شراء معدات وأدوات خدمة (مثل، وحدات تكييف هواء ووحدات إ</w:t>
      </w:r>
      <w:r w:rsidR="00C90968">
        <w:rPr>
          <w:sz w:val="26"/>
          <w:szCs w:val="26"/>
          <w:rtl/>
          <w:lang w:bidi="ar-AE"/>
        </w:rPr>
        <w:t>سترداد</w:t>
      </w:r>
      <w:r w:rsidR="00C90968">
        <w:rPr>
          <w:rFonts w:hint="cs"/>
          <w:sz w:val="26"/>
          <w:szCs w:val="26"/>
          <w:rtl/>
          <w:lang w:bidi="ar-AE"/>
        </w:rPr>
        <w:t xml:space="preserve"> ومعدات </w:t>
      </w:r>
      <w:r w:rsidR="00C90968">
        <w:rPr>
          <w:sz w:val="26"/>
          <w:szCs w:val="26"/>
          <w:rtl/>
          <w:lang w:bidi="ar-AE"/>
        </w:rPr>
        <w:t>إعادة تدوير</w:t>
      </w:r>
      <w:r w:rsidR="00C90968">
        <w:rPr>
          <w:rFonts w:hint="cs"/>
          <w:sz w:val="26"/>
          <w:szCs w:val="26"/>
          <w:rtl/>
          <w:lang w:bidi="ar-AE"/>
        </w:rPr>
        <w:t xml:space="preserve"> ومضخات تفريغ</w:t>
      </w:r>
      <w:r w:rsidR="000474CE">
        <w:rPr>
          <w:rFonts w:hint="cs"/>
          <w:sz w:val="26"/>
          <w:szCs w:val="26"/>
          <w:rtl/>
          <w:lang w:bidi="ar-AE"/>
        </w:rPr>
        <w:t xml:space="preserve"> وأجهزة تحديد سوائل التبريد ومحطات شحن ومعدات لحام واسطوانات وأجهزة اكتشاف التسرب) لتحديث مر</w:t>
      </w:r>
      <w:r w:rsidR="00495351">
        <w:rPr>
          <w:rFonts w:hint="cs"/>
          <w:sz w:val="26"/>
          <w:szCs w:val="26"/>
          <w:rtl/>
          <w:lang w:bidi="ar-AE"/>
        </w:rPr>
        <w:t xml:space="preserve">كز التدريب الوطني </w:t>
      </w:r>
      <w:r w:rsidR="000474CE">
        <w:rPr>
          <w:rFonts w:hint="cs"/>
          <w:sz w:val="26"/>
          <w:szCs w:val="26"/>
          <w:rtl/>
          <w:lang w:bidi="ar-AE"/>
        </w:rPr>
        <w:t>وإنشاء مركز تدريب جديد في مدينة جابو؛ تدريب بواسطة خبير دولى لعدد 10 مدربين وحوالى 60 تقني على استخدام الأدوات، وكذلك على ممارسات التبريد الجيدة ومناولة سوائل التبريد القابلة للاشتعال واصلاح وصيانة غرف التبريد في قطاع صيد الأسماك لخفض التسرب والاقتصاد في الطاقة.</w:t>
      </w:r>
    </w:p>
    <w:p w14:paraId="3B7BB74F" w14:textId="77777777" w:rsidR="006E12B4" w:rsidRPr="006E12B4" w:rsidRDefault="006E12B4" w:rsidP="006E12B4">
      <w:pPr>
        <w:bidi/>
        <w:rPr>
          <w:lang w:bidi="ar-AE"/>
        </w:rPr>
      </w:pPr>
    </w:p>
    <w:p w14:paraId="14342E77" w14:textId="77777777" w:rsidR="006E12B4" w:rsidRDefault="006E12B4" w:rsidP="006E12B4">
      <w:pPr>
        <w:pStyle w:val="StyleHeader4Para4Left0Firstline0"/>
        <w:numPr>
          <w:ilvl w:val="0"/>
          <w:numId w:val="0"/>
        </w:numPr>
        <w:bidi/>
        <w:rPr>
          <w:sz w:val="26"/>
          <w:szCs w:val="26"/>
          <w:rtl/>
        </w:rPr>
      </w:pPr>
      <w:r>
        <w:rPr>
          <w:rFonts w:hint="cs"/>
          <w:sz w:val="26"/>
          <w:szCs w:val="26"/>
          <w:rtl/>
        </w:rPr>
        <w:t>تنفيذ المشروع ورصده</w:t>
      </w:r>
    </w:p>
    <w:p w14:paraId="30E739C3" w14:textId="77777777" w:rsidR="006E12B4" w:rsidRDefault="006E12B4" w:rsidP="004C33B4">
      <w:pPr>
        <w:pStyle w:val="StyleHeader4Para4Left0Firstline0"/>
        <w:numPr>
          <w:ilvl w:val="0"/>
          <w:numId w:val="0"/>
        </w:numPr>
        <w:tabs>
          <w:tab w:val="clear" w:pos="2880"/>
        </w:tabs>
        <w:bidi/>
        <w:jc w:val="left"/>
        <w:rPr>
          <w:sz w:val="26"/>
          <w:szCs w:val="26"/>
          <w:rtl/>
        </w:rPr>
      </w:pPr>
      <w:r>
        <w:rPr>
          <w:rFonts w:hint="cs"/>
          <w:sz w:val="26"/>
          <w:szCs w:val="26"/>
          <w:rtl/>
        </w:rPr>
        <w:t xml:space="preserve">9     </w:t>
      </w:r>
      <w:r w:rsidR="00C03A70">
        <w:rPr>
          <w:rFonts w:hint="cs"/>
          <w:sz w:val="26"/>
          <w:szCs w:val="26"/>
          <w:rtl/>
        </w:rPr>
        <w:t>ساعد استشاريان، واحد للتبريد و</w:t>
      </w:r>
      <w:r w:rsidR="0095427C">
        <w:rPr>
          <w:rFonts w:hint="cs"/>
          <w:sz w:val="26"/>
          <w:szCs w:val="26"/>
          <w:rtl/>
        </w:rPr>
        <w:t xml:space="preserve">آخر </w:t>
      </w:r>
      <w:r w:rsidR="00C03A70">
        <w:rPr>
          <w:rFonts w:hint="cs"/>
          <w:sz w:val="26"/>
          <w:szCs w:val="26"/>
          <w:rtl/>
        </w:rPr>
        <w:t xml:space="preserve">خبير في الجمارك، الوحدة الوطنية للأوزون في رصد تنفيذ أنشطة </w:t>
      </w:r>
      <w:r w:rsidR="00C03A70">
        <w:rPr>
          <w:sz w:val="26"/>
          <w:szCs w:val="26"/>
          <w:rtl/>
        </w:rPr>
        <w:t>خطة إدارة إزالة المواد الهيدروكلوروفلوروكربونية</w:t>
      </w:r>
      <w:r w:rsidR="00C03A70">
        <w:rPr>
          <w:rFonts w:hint="cs"/>
          <w:sz w:val="26"/>
          <w:szCs w:val="26"/>
          <w:rtl/>
        </w:rPr>
        <w:t xml:space="preserve">. وتم صرف مبلغ مجموعه 000 30 دولار أمريكي خلال مدة تسع سنوات من تنفيذ المرحلة الأولى، بما في ذلك للموظفين والاستشاريين (000 24 </w:t>
      </w:r>
      <w:r w:rsidR="00C03A70">
        <w:rPr>
          <w:sz w:val="26"/>
          <w:szCs w:val="26"/>
          <w:rtl/>
        </w:rPr>
        <w:t>دولار أمريكي</w:t>
      </w:r>
      <w:r w:rsidR="00C03A70">
        <w:rPr>
          <w:rFonts w:hint="cs"/>
          <w:sz w:val="26"/>
          <w:szCs w:val="26"/>
          <w:rtl/>
        </w:rPr>
        <w:t>) و</w:t>
      </w:r>
      <w:r w:rsidR="004C33B4">
        <w:rPr>
          <w:rFonts w:hint="cs"/>
          <w:sz w:val="26"/>
          <w:szCs w:val="26"/>
          <w:rtl/>
        </w:rPr>
        <w:t>ا</w:t>
      </w:r>
      <w:r w:rsidR="00C03A70">
        <w:rPr>
          <w:rFonts w:hint="cs"/>
          <w:sz w:val="26"/>
          <w:szCs w:val="26"/>
          <w:rtl/>
        </w:rPr>
        <w:t xml:space="preserve">لسفر (000 6 </w:t>
      </w:r>
      <w:r w:rsidR="00C03A70">
        <w:rPr>
          <w:sz w:val="26"/>
          <w:szCs w:val="26"/>
          <w:rtl/>
        </w:rPr>
        <w:t>دولار أمريكي</w:t>
      </w:r>
      <w:r w:rsidR="00C03A70">
        <w:rPr>
          <w:rFonts w:hint="cs"/>
          <w:sz w:val="26"/>
          <w:szCs w:val="26"/>
          <w:rtl/>
        </w:rPr>
        <w:t>).</w:t>
      </w:r>
    </w:p>
    <w:p w14:paraId="319FBFF6" w14:textId="77777777" w:rsidR="006E12B4" w:rsidRDefault="006E12B4" w:rsidP="006E12B4">
      <w:pPr>
        <w:pStyle w:val="Heading1"/>
        <w:numPr>
          <w:ilvl w:val="0"/>
          <w:numId w:val="0"/>
        </w:numPr>
        <w:tabs>
          <w:tab w:val="left" w:pos="708"/>
        </w:tabs>
        <w:bidi/>
        <w:rPr>
          <w:sz w:val="26"/>
          <w:szCs w:val="26"/>
          <w:lang w:bidi="ar-EG"/>
        </w:rPr>
      </w:pPr>
      <w:r>
        <w:rPr>
          <w:rFonts w:hint="cs"/>
          <w:sz w:val="26"/>
          <w:szCs w:val="26"/>
          <w:u w:val="single"/>
          <w:rtl/>
          <w:lang w:bidi="ar-AE"/>
        </w:rPr>
        <w:lastRenderedPageBreak/>
        <w:t>مستوى صرف الأموال</w:t>
      </w:r>
    </w:p>
    <w:p w14:paraId="58941D34" w14:textId="77777777" w:rsidR="006E12B4" w:rsidRDefault="006E12B4" w:rsidP="00F870A0">
      <w:pPr>
        <w:pStyle w:val="Heading1"/>
        <w:numPr>
          <w:ilvl w:val="0"/>
          <w:numId w:val="0"/>
        </w:numPr>
        <w:bidi/>
        <w:snapToGrid w:val="0"/>
        <w:ind w:left="180"/>
        <w:rPr>
          <w:sz w:val="26"/>
          <w:szCs w:val="26"/>
          <w:rtl/>
          <w:lang w:bidi="ar-AE"/>
        </w:rPr>
      </w:pPr>
      <w:r>
        <w:rPr>
          <w:rFonts w:hint="cs"/>
          <w:sz w:val="26"/>
          <w:szCs w:val="26"/>
          <w:rtl/>
          <w:lang w:bidi="ar-AE"/>
        </w:rPr>
        <w:t>10</w:t>
      </w:r>
      <w:r>
        <w:rPr>
          <w:rFonts w:hint="cs"/>
          <w:sz w:val="26"/>
          <w:szCs w:val="26"/>
          <w:rtl/>
          <w:lang w:bidi="ar-AE"/>
        </w:rPr>
        <w:tab/>
        <w:t xml:space="preserve">حتى </w:t>
      </w:r>
      <w:r w:rsidR="00F870A0">
        <w:rPr>
          <w:rFonts w:hint="cs"/>
          <w:sz w:val="26"/>
          <w:szCs w:val="26"/>
          <w:rtl/>
          <w:lang w:bidi="ar-AE"/>
        </w:rPr>
        <w:t>مارس/آذار 2020</w:t>
      </w:r>
      <w:r>
        <w:rPr>
          <w:rFonts w:hint="cs"/>
          <w:sz w:val="26"/>
          <w:szCs w:val="26"/>
          <w:rtl/>
          <w:lang w:bidi="ar-AE"/>
        </w:rPr>
        <w:t xml:space="preserve">، تم صرف مبلغ </w:t>
      </w:r>
      <w:r w:rsidR="00F870A0">
        <w:rPr>
          <w:rFonts w:hint="cs"/>
          <w:sz w:val="26"/>
          <w:szCs w:val="26"/>
          <w:rtl/>
          <w:lang w:bidi="ar-AE"/>
        </w:rPr>
        <w:t>957</w:t>
      </w:r>
      <w:r>
        <w:rPr>
          <w:rFonts w:hint="cs"/>
          <w:sz w:val="26"/>
          <w:szCs w:val="26"/>
          <w:rtl/>
          <w:lang w:bidi="ar-AE"/>
        </w:rPr>
        <w:t xml:space="preserve"> </w:t>
      </w:r>
      <w:r w:rsidR="00F870A0">
        <w:rPr>
          <w:rFonts w:hint="cs"/>
          <w:sz w:val="26"/>
          <w:szCs w:val="26"/>
          <w:rtl/>
          <w:lang w:bidi="ar-AE"/>
        </w:rPr>
        <w:t>244</w:t>
      </w:r>
      <w:r>
        <w:rPr>
          <w:rFonts w:hint="cs"/>
          <w:sz w:val="26"/>
          <w:szCs w:val="26"/>
          <w:rtl/>
          <w:lang w:bidi="ar-AE"/>
        </w:rPr>
        <w:t xml:space="preserve"> دولار أمريكي من مبلغ 000 </w:t>
      </w:r>
      <w:r w:rsidR="00F870A0">
        <w:rPr>
          <w:rFonts w:hint="cs"/>
          <w:sz w:val="26"/>
          <w:szCs w:val="26"/>
          <w:rtl/>
          <w:lang w:bidi="ar-AE"/>
        </w:rPr>
        <w:t>252</w:t>
      </w:r>
      <w:r>
        <w:rPr>
          <w:rFonts w:hint="cs"/>
          <w:sz w:val="26"/>
          <w:szCs w:val="26"/>
          <w:rtl/>
          <w:lang w:bidi="ar-AE"/>
        </w:rPr>
        <w:t xml:space="preserve"> دولار أمريكي تمت الموافقة عليه (000 </w:t>
      </w:r>
      <w:r w:rsidR="00F870A0">
        <w:rPr>
          <w:rFonts w:hint="cs"/>
          <w:sz w:val="26"/>
          <w:szCs w:val="26"/>
          <w:rtl/>
          <w:lang w:bidi="ar-AE"/>
        </w:rPr>
        <w:t>137</w:t>
      </w:r>
      <w:r>
        <w:rPr>
          <w:rFonts w:hint="cs"/>
          <w:sz w:val="26"/>
          <w:szCs w:val="26"/>
          <w:rtl/>
          <w:lang w:bidi="ar-AE"/>
        </w:rPr>
        <w:t xml:space="preserve"> دولار أمريكي </w:t>
      </w:r>
      <w:r w:rsidR="00F870A0">
        <w:rPr>
          <w:rFonts w:hint="cs"/>
          <w:sz w:val="26"/>
          <w:szCs w:val="26"/>
          <w:rtl/>
          <w:lang w:bidi="ar-AE"/>
        </w:rPr>
        <w:t>لليونيب</w:t>
      </w:r>
      <w:r>
        <w:rPr>
          <w:rFonts w:hint="cs"/>
          <w:sz w:val="26"/>
          <w:szCs w:val="26"/>
          <w:rtl/>
          <w:lang w:bidi="ar-AE"/>
        </w:rPr>
        <w:t xml:space="preserve"> </w:t>
      </w:r>
      <w:r w:rsidR="00F870A0">
        <w:rPr>
          <w:rFonts w:hint="cs"/>
          <w:sz w:val="26"/>
          <w:szCs w:val="26"/>
          <w:rtl/>
          <w:lang w:bidi="ar-AE"/>
        </w:rPr>
        <w:t>957</w:t>
      </w:r>
      <w:r>
        <w:rPr>
          <w:rFonts w:hint="cs"/>
          <w:sz w:val="26"/>
          <w:szCs w:val="26"/>
          <w:rtl/>
          <w:lang w:bidi="ar-AE"/>
        </w:rPr>
        <w:t xml:space="preserve"> </w:t>
      </w:r>
      <w:r w:rsidR="00F870A0">
        <w:rPr>
          <w:rFonts w:hint="cs"/>
          <w:sz w:val="26"/>
          <w:szCs w:val="26"/>
          <w:rtl/>
          <w:lang w:bidi="ar-AE"/>
        </w:rPr>
        <w:t>107</w:t>
      </w:r>
      <w:r>
        <w:rPr>
          <w:rFonts w:hint="cs"/>
          <w:sz w:val="26"/>
          <w:szCs w:val="26"/>
          <w:rtl/>
          <w:lang w:bidi="ar-AE"/>
        </w:rPr>
        <w:t xml:space="preserve"> دولار أمريكي </w:t>
      </w:r>
      <w:r w:rsidR="00F870A0">
        <w:rPr>
          <w:rFonts w:hint="cs"/>
          <w:sz w:val="26"/>
          <w:szCs w:val="26"/>
          <w:rtl/>
          <w:lang w:bidi="ar-AE"/>
        </w:rPr>
        <w:t>لليونيدو</w:t>
      </w:r>
      <w:r>
        <w:rPr>
          <w:rFonts w:hint="cs"/>
          <w:sz w:val="26"/>
          <w:szCs w:val="26"/>
          <w:rtl/>
          <w:lang w:bidi="ar-AE"/>
        </w:rPr>
        <w:t>)</w:t>
      </w:r>
      <w:r w:rsidR="00F870A0">
        <w:rPr>
          <w:rFonts w:hint="cs"/>
          <w:sz w:val="26"/>
          <w:szCs w:val="26"/>
          <w:rtl/>
          <w:lang w:bidi="ar-AE"/>
        </w:rPr>
        <w:t xml:space="preserve"> كما يرد في الجدول 2.</w:t>
      </w:r>
      <w:r>
        <w:rPr>
          <w:rFonts w:hint="cs"/>
          <w:sz w:val="26"/>
          <w:szCs w:val="26"/>
          <w:rtl/>
          <w:lang w:bidi="ar-AE"/>
        </w:rPr>
        <w:t xml:space="preserve"> وسوف يصرف الرصيد </w:t>
      </w:r>
      <w:r w:rsidR="00F870A0">
        <w:rPr>
          <w:rFonts w:hint="cs"/>
          <w:sz w:val="26"/>
          <w:szCs w:val="26"/>
          <w:rtl/>
          <w:lang w:bidi="ar-AE"/>
        </w:rPr>
        <w:t>المتبقى في عام</w:t>
      </w:r>
      <w:r>
        <w:rPr>
          <w:rFonts w:hint="cs"/>
          <w:sz w:val="26"/>
          <w:szCs w:val="26"/>
          <w:rtl/>
          <w:lang w:bidi="ar-AE"/>
        </w:rPr>
        <w:t xml:space="preserve"> 2020. </w:t>
      </w:r>
    </w:p>
    <w:p w14:paraId="45312FC1" w14:textId="77777777" w:rsidR="006E12B4" w:rsidRPr="0020072D" w:rsidRDefault="001262AB" w:rsidP="006E12B4">
      <w:pPr>
        <w:bidi/>
        <w:rPr>
          <w:b/>
          <w:bCs/>
          <w:sz w:val="26"/>
          <w:szCs w:val="26"/>
          <w:rtl/>
        </w:rPr>
      </w:pPr>
      <w:r w:rsidRPr="0020072D">
        <w:rPr>
          <w:rFonts w:hint="cs"/>
          <w:b/>
          <w:bCs/>
          <w:sz w:val="26"/>
          <w:szCs w:val="26"/>
          <w:rtl/>
          <w:lang w:bidi="ar-AE"/>
        </w:rPr>
        <w:t xml:space="preserve">الجدول 2. التقرير المالى للمرحلة الأولى من </w:t>
      </w:r>
      <w:r w:rsidR="0020072D" w:rsidRPr="0020072D">
        <w:rPr>
          <w:b/>
          <w:bCs/>
          <w:sz w:val="26"/>
          <w:szCs w:val="26"/>
          <w:rtl/>
        </w:rPr>
        <w:t>خطة إدارة إزالة المواد الهيدروكلوروفلوروكربونية</w:t>
      </w:r>
      <w:r w:rsidR="00D8766F">
        <w:rPr>
          <w:rFonts w:hint="cs"/>
          <w:b/>
          <w:bCs/>
          <w:sz w:val="26"/>
          <w:szCs w:val="26"/>
          <w:rtl/>
        </w:rPr>
        <w:t xml:space="preserve"> لغينيا - بيساو</w:t>
      </w:r>
    </w:p>
    <w:tbl>
      <w:tblPr>
        <w:bidiVisual/>
        <w:tblW w:w="938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8"/>
        <w:gridCol w:w="1170"/>
        <w:gridCol w:w="1702"/>
        <w:gridCol w:w="1703"/>
        <w:gridCol w:w="1703"/>
        <w:gridCol w:w="2048"/>
      </w:tblGrid>
      <w:tr w:rsidR="0020072D" w14:paraId="241FB3AE" w14:textId="77777777" w:rsidTr="005B6264">
        <w:trPr>
          <w:tblHeader/>
        </w:trPr>
        <w:tc>
          <w:tcPr>
            <w:tcW w:w="2228" w:type="dxa"/>
            <w:gridSpan w:val="2"/>
            <w:tcBorders>
              <w:top w:val="single" w:sz="4" w:space="0" w:color="auto"/>
              <w:left w:val="single" w:sz="4" w:space="0" w:color="auto"/>
              <w:bottom w:val="single" w:sz="4" w:space="0" w:color="auto"/>
              <w:right w:val="single" w:sz="4" w:space="0" w:color="auto"/>
            </w:tcBorders>
            <w:noWrap/>
            <w:vAlign w:val="center"/>
            <w:hideMark/>
          </w:tcPr>
          <w:p w14:paraId="0B01CD1E" w14:textId="77777777" w:rsidR="0020072D" w:rsidRDefault="005B6264" w:rsidP="0020072D">
            <w:pPr>
              <w:keepNext/>
              <w:keepLines/>
              <w:bidi/>
              <w:rPr>
                <w:b/>
                <w:bCs/>
                <w:color w:val="000000"/>
                <w:sz w:val="20"/>
                <w:lang w:val="en-CA" w:eastAsia="en-CA"/>
              </w:rPr>
            </w:pPr>
            <w:r>
              <w:rPr>
                <w:rFonts w:hint="cs"/>
                <w:b/>
                <w:bCs/>
                <w:color w:val="000000"/>
                <w:sz w:val="20"/>
                <w:rtl/>
                <w:lang w:val="en-CA" w:eastAsia="en-CA"/>
              </w:rPr>
              <w:t>الشريحة</w:t>
            </w:r>
          </w:p>
        </w:tc>
        <w:tc>
          <w:tcPr>
            <w:tcW w:w="1702" w:type="dxa"/>
            <w:tcBorders>
              <w:top w:val="single" w:sz="4" w:space="0" w:color="auto"/>
              <w:left w:val="single" w:sz="4" w:space="0" w:color="auto"/>
              <w:bottom w:val="single" w:sz="4" w:space="0" w:color="auto"/>
              <w:right w:val="single" w:sz="4" w:space="0" w:color="auto"/>
            </w:tcBorders>
            <w:noWrap/>
            <w:vAlign w:val="center"/>
            <w:hideMark/>
          </w:tcPr>
          <w:p w14:paraId="5F26AEBF" w14:textId="77777777" w:rsidR="0020072D" w:rsidRPr="005B6264" w:rsidRDefault="005B6264">
            <w:pPr>
              <w:keepNext/>
              <w:keepLines/>
              <w:jc w:val="center"/>
              <w:rPr>
                <w:bCs/>
                <w:color w:val="000000"/>
                <w:sz w:val="20"/>
                <w:lang w:val="en-CA" w:eastAsia="en-CA"/>
              </w:rPr>
            </w:pPr>
            <w:r w:rsidRPr="005B6264">
              <w:rPr>
                <w:rFonts w:hint="cs"/>
                <w:bCs/>
                <w:color w:val="000000"/>
                <w:sz w:val="20"/>
                <w:rtl/>
                <w:lang w:val="en-CA" w:eastAsia="en-CA"/>
              </w:rPr>
              <w:t>يونيب</w:t>
            </w:r>
          </w:p>
        </w:tc>
        <w:tc>
          <w:tcPr>
            <w:tcW w:w="1703" w:type="dxa"/>
            <w:tcBorders>
              <w:top w:val="single" w:sz="4" w:space="0" w:color="auto"/>
              <w:left w:val="single" w:sz="4" w:space="0" w:color="auto"/>
              <w:bottom w:val="single" w:sz="4" w:space="0" w:color="auto"/>
              <w:right w:val="single" w:sz="4" w:space="0" w:color="auto"/>
            </w:tcBorders>
            <w:vAlign w:val="center"/>
            <w:hideMark/>
          </w:tcPr>
          <w:p w14:paraId="6A0AADBA" w14:textId="77777777" w:rsidR="0020072D" w:rsidRPr="005B6264" w:rsidRDefault="005B6264">
            <w:pPr>
              <w:keepNext/>
              <w:keepLines/>
              <w:jc w:val="center"/>
              <w:rPr>
                <w:bCs/>
                <w:color w:val="000000"/>
                <w:sz w:val="20"/>
                <w:lang w:val="en-CA" w:eastAsia="en-CA"/>
              </w:rPr>
            </w:pPr>
            <w:r w:rsidRPr="005B6264">
              <w:rPr>
                <w:rFonts w:hint="cs"/>
                <w:bCs/>
                <w:color w:val="000000"/>
                <w:sz w:val="20"/>
                <w:rtl/>
                <w:lang w:val="en-CA" w:eastAsia="en-CA"/>
              </w:rPr>
              <w:t>يونيدو</w:t>
            </w:r>
          </w:p>
        </w:tc>
        <w:tc>
          <w:tcPr>
            <w:tcW w:w="1703" w:type="dxa"/>
            <w:tcBorders>
              <w:top w:val="single" w:sz="4" w:space="0" w:color="auto"/>
              <w:left w:val="single" w:sz="4" w:space="0" w:color="auto"/>
              <w:bottom w:val="single" w:sz="4" w:space="0" w:color="auto"/>
              <w:right w:val="single" w:sz="4" w:space="0" w:color="auto"/>
            </w:tcBorders>
            <w:noWrap/>
            <w:vAlign w:val="center"/>
            <w:hideMark/>
          </w:tcPr>
          <w:p w14:paraId="36B79854" w14:textId="77777777" w:rsidR="0020072D" w:rsidRPr="005B6264" w:rsidRDefault="005B6264">
            <w:pPr>
              <w:keepNext/>
              <w:keepLines/>
              <w:jc w:val="center"/>
              <w:rPr>
                <w:bCs/>
                <w:color w:val="000000"/>
                <w:sz w:val="20"/>
                <w:lang w:val="en-CA" w:eastAsia="en-CA"/>
              </w:rPr>
            </w:pPr>
            <w:r w:rsidRPr="005B6264">
              <w:rPr>
                <w:rFonts w:hint="cs"/>
                <w:bCs/>
                <w:color w:val="000000"/>
                <w:sz w:val="20"/>
                <w:rtl/>
                <w:lang w:val="en-CA" w:eastAsia="en-CA"/>
              </w:rPr>
              <w:t>المجموع</w:t>
            </w:r>
          </w:p>
        </w:tc>
        <w:tc>
          <w:tcPr>
            <w:tcW w:w="2048"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14:paraId="3C5BAD9A" w14:textId="77777777" w:rsidR="0020072D" w:rsidRPr="005B6264" w:rsidRDefault="005B6264">
            <w:pPr>
              <w:keepNext/>
              <w:keepLines/>
              <w:jc w:val="center"/>
              <w:rPr>
                <w:bCs/>
                <w:color w:val="000000"/>
                <w:sz w:val="20"/>
                <w:lang w:val="en-CA" w:eastAsia="en-CA"/>
              </w:rPr>
            </w:pPr>
            <w:r w:rsidRPr="005B6264">
              <w:rPr>
                <w:rFonts w:hint="cs"/>
                <w:bCs/>
                <w:color w:val="000000"/>
                <w:sz w:val="20"/>
                <w:rtl/>
                <w:lang w:val="en-CA" w:eastAsia="en-CA"/>
              </w:rPr>
              <w:t>النسبة المئوية لمعدل الصرف</w:t>
            </w:r>
          </w:p>
        </w:tc>
      </w:tr>
      <w:tr w:rsidR="0020072D" w14:paraId="7D07F23D" w14:textId="77777777" w:rsidTr="005B6264">
        <w:tc>
          <w:tcPr>
            <w:tcW w:w="1058" w:type="dxa"/>
            <w:vMerge w:val="restart"/>
            <w:tcBorders>
              <w:top w:val="single" w:sz="4" w:space="0" w:color="auto"/>
              <w:left w:val="single" w:sz="4" w:space="0" w:color="auto"/>
              <w:bottom w:val="single" w:sz="4" w:space="0" w:color="auto"/>
              <w:right w:val="single" w:sz="4" w:space="0" w:color="auto"/>
            </w:tcBorders>
            <w:noWrap/>
            <w:vAlign w:val="center"/>
            <w:hideMark/>
          </w:tcPr>
          <w:p w14:paraId="6F3CDFAB" w14:textId="77777777" w:rsidR="0020072D" w:rsidRDefault="005B6264" w:rsidP="0020072D">
            <w:pPr>
              <w:keepNext/>
              <w:keepLines/>
              <w:bidi/>
              <w:jc w:val="left"/>
              <w:rPr>
                <w:bCs/>
                <w:color w:val="000000"/>
                <w:sz w:val="20"/>
                <w:lang w:val="en-CA" w:eastAsia="en-CA"/>
              </w:rPr>
            </w:pPr>
            <w:r>
              <w:rPr>
                <w:rFonts w:hint="cs"/>
                <w:bCs/>
                <w:color w:val="000000"/>
                <w:sz w:val="20"/>
                <w:rtl/>
                <w:lang w:val="en-CA" w:eastAsia="en-CA"/>
              </w:rPr>
              <w:t>الأولى</w:t>
            </w:r>
            <w:r w:rsidR="0020072D">
              <w:rPr>
                <w:bCs/>
                <w:color w:val="000000"/>
                <w:sz w:val="20"/>
                <w:lang w:val="en-CA" w:eastAsia="en-CA"/>
              </w:rPr>
              <w:t xml:space="preserve"> </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0D5D8B93" w14:textId="77777777" w:rsidR="0020072D" w:rsidRPr="005B6264" w:rsidRDefault="005B6264" w:rsidP="0020072D">
            <w:pPr>
              <w:keepNext/>
              <w:keepLines/>
              <w:bidi/>
              <w:rPr>
                <w:b/>
                <w:color w:val="000000"/>
                <w:sz w:val="20"/>
                <w:lang w:val="en-CA" w:eastAsia="en-CA"/>
              </w:rPr>
            </w:pPr>
            <w:r w:rsidRPr="005B6264">
              <w:rPr>
                <w:rFonts w:hint="cs"/>
                <w:b/>
                <w:color w:val="000000"/>
                <w:sz w:val="20"/>
                <w:rtl/>
                <w:lang w:val="en-CA" w:eastAsia="en-CA"/>
              </w:rPr>
              <w:t>موافق عليها</w:t>
            </w:r>
            <w:r w:rsidR="0020072D" w:rsidRPr="005B6264">
              <w:rPr>
                <w:b/>
                <w:color w:val="000000"/>
                <w:sz w:val="20"/>
                <w:lang w:val="en-CA" w:eastAsia="en-CA"/>
              </w:rPr>
              <w:t xml:space="preserve"> </w:t>
            </w:r>
          </w:p>
        </w:tc>
        <w:tc>
          <w:tcPr>
            <w:tcW w:w="1702"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360" w:type="dxa"/>
            </w:tcMar>
            <w:vAlign w:val="center"/>
            <w:hideMark/>
          </w:tcPr>
          <w:p w14:paraId="58C041F8" w14:textId="77777777" w:rsidR="0020072D" w:rsidRDefault="0020072D">
            <w:pPr>
              <w:keepNext/>
              <w:keepLines/>
              <w:jc w:val="right"/>
              <w:rPr>
                <w:color w:val="000000"/>
                <w:sz w:val="20"/>
                <w:lang w:val="en-CA" w:eastAsia="en-CA"/>
              </w:rPr>
            </w:pPr>
            <w:r>
              <w:rPr>
                <w:color w:val="000000"/>
                <w:sz w:val="20"/>
                <w:lang w:val="en-CA" w:eastAsia="en-CA"/>
              </w:rPr>
              <w:t>35,000</w:t>
            </w:r>
          </w:p>
        </w:tc>
        <w:tc>
          <w:tcPr>
            <w:tcW w:w="1703" w:type="dxa"/>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14:paraId="62AFB071" w14:textId="77777777" w:rsidR="0020072D" w:rsidRDefault="0020072D">
            <w:pPr>
              <w:keepNext/>
              <w:keepLines/>
              <w:jc w:val="right"/>
              <w:rPr>
                <w:color w:val="000000"/>
                <w:sz w:val="20"/>
                <w:lang w:val="en-CA" w:eastAsia="en-CA"/>
              </w:rPr>
            </w:pPr>
            <w:r>
              <w:rPr>
                <w:color w:val="000000"/>
                <w:sz w:val="20"/>
                <w:lang w:val="en-CA" w:eastAsia="en-CA"/>
              </w:rPr>
              <w:t>40,000</w:t>
            </w:r>
          </w:p>
        </w:tc>
        <w:tc>
          <w:tcPr>
            <w:tcW w:w="1703"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360" w:type="dxa"/>
            </w:tcMar>
            <w:vAlign w:val="center"/>
            <w:hideMark/>
          </w:tcPr>
          <w:p w14:paraId="0910C7BB" w14:textId="77777777" w:rsidR="0020072D" w:rsidRDefault="0020072D">
            <w:pPr>
              <w:keepNext/>
              <w:keepLines/>
              <w:jc w:val="right"/>
              <w:rPr>
                <w:color w:val="000000"/>
                <w:sz w:val="20"/>
                <w:lang w:val="en-CA" w:eastAsia="en-CA"/>
              </w:rPr>
            </w:pPr>
            <w:r>
              <w:rPr>
                <w:color w:val="000000"/>
                <w:sz w:val="20"/>
                <w:lang w:val="en-CA" w:eastAsia="en-CA"/>
              </w:rPr>
              <w:t>75,000</w:t>
            </w:r>
          </w:p>
        </w:tc>
        <w:tc>
          <w:tcPr>
            <w:tcW w:w="2048" w:type="dxa"/>
            <w:vMerge w:val="restart"/>
            <w:tcBorders>
              <w:top w:val="single" w:sz="4" w:space="0" w:color="auto"/>
              <w:left w:val="single" w:sz="4" w:space="0" w:color="auto"/>
              <w:bottom w:val="single" w:sz="4" w:space="0" w:color="auto"/>
              <w:right w:val="single" w:sz="4" w:space="0" w:color="auto"/>
            </w:tcBorders>
            <w:noWrap/>
            <w:vAlign w:val="center"/>
            <w:hideMark/>
          </w:tcPr>
          <w:p w14:paraId="63CAFAE4" w14:textId="77777777" w:rsidR="0020072D" w:rsidRDefault="0020072D">
            <w:pPr>
              <w:keepNext/>
              <w:keepLines/>
              <w:jc w:val="center"/>
              <w:rPr>
                <w:color w:val="000000"/>
                <w:sz w:val="20"/>
                <w:lang w:val="en-CA" w:eastAsia="en-CA"/>
              </w:rPr>
            </w:pPr>
            <w:r>
              <w:rPr>
                <w:color w:val="000000"/>
                <w:sz w:val="20"/>
                <w:lang w:val="en-CA" w:eastAsia="en-CA"/>
              </w:rPr>
              <w:t>100</w:t>
            </w:r>
          </w:p>
        </w:tc>
      </w:tr>
      <w:tr w:rsidR="0020072D" w14:paraId="36A8A7F3" w14:textId="77777777" w:rsidTr="005B6264">
        <w:tc>
          <w:tcPr>
            <w:tcW w:w="1058" w:type="dxa"/>
            <w:vMerge/>
            <w:tcBorders>
              <w:top w:val="single" w:sz="4" w:space="0" w:color="auto"/>
              <w:left w:val="single" w:sz="4" w:space="0" w:color="auto"/>
              <w:bottom w:val="single" w:sz="4" w:space="0" w:color="auto"/>
              <w:right w:val="single" w:sz="4" w:space="0" w:color="auto"/>
            </w:tcBorders>
            <w:vAlign w:val="center"/>
            <w:hideMark/>
          </w:tcPr>
          <w:p w14:paraId="34E50034" w14:textId="77777777" w:rsidR="0020072D" w:rsidRDefault="0020072D" w:rsidP="0020072D">
            <w:pPr>
              <w:bidi/>
              <w:jc w:val="left"/>
              <w:rPr>
                <w:bCs/>
                <w:color w:val="000000"/>
                <w:sz w:val="20"/>
                <w:lang w:val="en-CA" w:eastAsia="en-CA"/>
              </w:rPr>
            </w:pP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5045900C" w14:textId="77777777" w:rsidR="0020072D" w:rsidRPr="005B6264" w:rsidRDefault="005B6264" w:rsidP="0020072D">
            <w:pPr>
              <w:bidi/>
              <w:rPr>
                <w:b/>
                <w:color w:val="000000"/>
                <w:sz w:val="20"/>
                <w:lang w:val="en-CA" w:eastAsia="en-CA"/>
              </w:rPr>
            </w:pPr>
            <w:r w:rsidRPr="005B6264">
              <w:rPr>
                <w:rFonts w:hint="cs"/>
                <w:b/>
                <w:color w:val="000000"/>
                <w:sz w:val="20"/>
                <w:rtl/>
                <w:lang w:val="en-CA" w:eastAsia="en-CA"/>
              </w:rPr>
              <w:t>تم صرفها</w:t>
            </w:r>
            <w:r w:rsidR="0020072D" w:rsidRPr="005B6264">
              <w:rPr>
                <w:b/>
                <w:color w:val="000000"/>
                <w:sz w:val="20"/>
                <w:lang w:val="en-CA" w:eastAsia="en-CA"/>
              </w:rPr>
              <w:t xml:space="preserve"> </w:t>
            </w:r>
          </w:p>
        </w:tc>
        <w:tc>
          <w:tcPr>
            <w:tcW w:w="1702"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360" w:type="dxa"/>
            </w:tcMar>
            <w:vAlign w:val="center"/>
            <w:hideMark/>
          </w:tcPr>
          <w:p w14:paraId="17B40F4D" w14:textId="77777777" w:rsidR="0020072D" w:rsidRDefault="0020072D">
            <w:pPr>
              <w:jc w:val="right"/>
              <w:rPr>
                <w:color w:val="000000"/>
                <w:sz w:val="20"/>
                <w:lang w:val="en-CA" w:eastAsia="en-CA"/>
              </w:rPr>
            </w:pPr>
            <w:r>
              <w:rPr>
                <w:color w:val="000000"/>
                <w:sz w:val="20"/>
                <w:lang w:val="en-CA" w:eastAsia="en-CA"/>
              </w:rPr>
              <w:t>35,000</w:t>
            </w:r>
          </w:p>
        </w:tc>
        <w:tc>
          <w:tcPr>
            <w:tcW w:w="1703" w:type="dxa"/>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14:paraId="71BBC8DF" w14:textId="77777777" w:rsidR="0020072D" w:rsidRDefault="0020072D">
            <w:pPr>
              <w:jc w:val="right"/>
              <w:rPr>
                <w:color w:val="000000"/>
                <w:sz w:val="20"/>
                <w:lang w:val="en-CA" w:eastAsia="en-CA"/>
              </w:rPr>
            </w:pPr>
            <w:r>
              <w:rPr>
                <w:color w:val="000000"/>
                <w:sz w:val="20"/>
                <w:lang w:val="en-CA" w:eastAsia="en-CA"/>
              </w:rPr>
              <w:t>40,000</w:t>
            </w:r>
          </w:p>
        </w:tc>
        <w:tc>
          <w:tcPr>
            <w:tcW w:w="1703"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360" w:type="dxa"/>
            </w:tcMar>
            <w:vAlign w:val="center"/>
            <w:hideMark/>
          </w:tcPr>
          <w:p w14:paraId="4C16134A" w14:textId="77777777" w:rsidR="0020072D" w:rsidRDefault="0020072D">
            <w:pPr>
              <w:jc w:val="right"/>
              <w:rPr>
                <w:color w:val="000000"/>
                <w:sz w:val="20"/>
                <w:lang w:val="en-CA" w:eastAsia="en-CA"/>
              </w:rPr>
            </w:pPr>
            <w:r>
              <w:rPr>
                <w:color w:val="000000"/>
                <w:sz w:val="20"/>
                <w:lang w:val="en-CA" w:eastAsia="en-CA"/>
              </w:rPr>
              <w:t>75,000</w:t>
            </w:r>
          </w:p>
        </w:tc>
        <w:tc>
          <w:tcPr>
            <w:tcW w:w="2048" w:type="dxa"/>
            <w:vMerge/>
            <w:tcBorders>
              <w:top w:val="single" w:sz="4" w:space="0" w:color="auto"/>
              <w:left w:val="single" w:sz="4" w:space="0" w:color="auto"/>
              <w:bottom w:val="single" w:sz="4" w:space="0" w:color="auto"/>
              <w:right w:val="single" w:sz="4" w:space="0" w:color="auto"/>
            </w:tcBorders>
            <w:vAlign w:val="center"/>
            <w:hideMark/>
          </w:tcPr>
          <w:p w14:paraId="05EED687" w14:textId="77777777" w:rsidR="0020072D" w:rsidRDefault="0020072D">
            <w:pPr>
              <w:jc w:val="left"/>
              <w:rPr>
                <w:color w:val="000000"/>
                <w:sz w:val="20"/>
                <w:lang w:val="en-CA" w:eastAsia="en-CA"/>
              </w:rPr>
            </w:pPr>
          </w:p>
        </w:tc>
      </w:tr>
      <w:tr w:rsidR="005B6264" w14:paraId="0FC72B03" w14:textId="77777777" w:rsidTr="005B6264">
        <w:tc>
          <w:tcPr>
            <w:tcW w:w="1058" w:type="dxa"/>
            <w:vMerge w:val="restart"/>
            <w:tcBorders>
              <w:top w:val="single" w:sz="4" w:space="0" w:color="auto"/>
              <w:left w:val="single" w:sz="4" w:space="0" w:color="auto"/>
              <w:bottom w:val="single" w:sz="4" w:space="0" w:color="auto"/>
              <w:right w:val="single" w:sz="4" w:space="0" w:color="auto"/>
            </w:tcBorders>
            <w:noWrap/>
            <w:vAlign w:val="center"/>
            <w:hideMark/>
          </w:tcPr>
          <w:p w14:paraId="7F3FE3E0" w14:textId="77777777" w:rsidR="005B6264" w:rsidRDefault="005B6264" w:rsidP="0020072D">
            <w:pPr>
              <w:bidi/>
              <w:jc w:val="left"/>
              <w:rPr>
                <w:bCs/>
                <w:color w:val="000000"/>
                <w:sz w:val="20"/>
                <w:lang w:val="en-CA" w:eastAsia="en-CA"/>
              </w:rPr>
            </w:pPr>
            <w:r>
              <w:rPr>
                <w:rFonts w:hint="cs"/>
                <w:bCs/>
                <w:color w:val="000000"/>
                <w:sz w:val="20"/>
                <w:rtl/>
                <w:lang w:val="en-CA" w:eastAsia="en-CA"/>
              </w:rPr>
              <w:t>الثانية</w:t>
            </w:r>
            <w:r>
              <w:rPr>
                <w:bCs/>
                <w:color w:val="000000"/>
                <w:sz w:val="20"/>
                <w:lang w:val="en-CA" w:eastAsia="en-CA"/>
              </w:rPr>
              <w:t xml:space="preserve"> </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5115F6F8" w14:textId="77777777" w:rsidR="005B6264" w:rsidRDefault="005B6264">
            <w:pPr>
              <w:keepNext/>
              <w:keepLines/>
              <w:bidi/>
              <w:rPr>
                <w:b/>
                <w:color w:val="000000"/>
                <w:sz w:val="20"/>
                <w:lang w:val="en-CA" w:eastAsia="en-CA"/>
              </w:rPr>
            </w:pPr>
            <w:r>
              <w:rPr>
                <w:rFonts w:hint="cs"/>
                <w:b/>
                <w:color w:val="000000"/>
                <w:sz w:val="20"/>
                <w:rtl/>
                <w:lang w:val="en-CA" w:eastAsia="en-CA"/>
              </w:rPr>
              <w:t>موافق عليها</w:t>
            </w:r>
            <w:r>
              <w:rPr>
                <w:rFonts w:hint="cs"/>
                <w:b/>
                <w:color w:val="000000"/>
                <w:sz w:val="20"/>
                <w:lang w:val="en-CA" w:eastAsia="en-CA"/>
              </w:rPr>
              <w:t xml:space="preserve"> </w:t>
            </w:r>
          </w:p>
        </w:tc>
        <w:tc>
          <w:tcPr>
            <w:tcW w:w="1702"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360" w:type="dxa"/>
            </w:tcMar>
            <w:vAlign w:val="center"/>
            <w:hideMark/>
          </w:tcPr>
          <w:p w14:paraId="52B065D4" w14:textId="77777777" w:rsidR="005B6264" w:rsidRDefault="005B6264">
            <w:pPr>
              <w:jc w:val="right"/>
              <w:rPr>
                <w:color w:val="000000"/>
                <w:sz w:val="20"/>
                <w:lang w:val="en-CA" w:eastAsia="en-CA"/>
              </w:rPr>
            </w:pPr>
            <w:r>
              <w:rPr>
                <w:color w:val="000000"/>
                <w:sz w:val="20"/>
                <w:lang w:val="en-CA" w:eastAsia="en-CA"/>
              </w:rPr>
              <w:t>52,000</w:t>
            </w:r>
          </w:p>
        </w:tc>
        <w:tc>
          <w:tcPr>
            <w:tcW w:w="1703" w:type="dxa"/>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14:paraId="543F58C5" w14:textId="77777777" w:rsidR="005B6264" w:rsidRDefault="005B6264">
            <w:pPr>
              <w:jc w:val="right"/>
              <w:rPr>
                <w:color w:val="000000"/>
                <w:sz w:val="20"/>
                <w:lang w:val="en-CA" w:eastAsia="en-CA"/>
              </w:rPr>
            </w:pPr>
            <w:r>
              <w:rPr>
                <w:color w:val="000000"/>
                <w:sz w:val="20"/>
                <w:lang w:val="en-CA" w:eastAsia="en-CA"/>
              </w:rPr>
              <w:t>0</w:t>
            </w:r>
          </w:p>
        </w:tc>
        <w:tc>
          <w:tcPr>
            <w:tcW w:w="1703"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360" w:type="dxa"/>
            </w:tcMar>
            <w:vAlign w:val="center"/>
            <w:hideMark/>
          </w:tcPr>
          <w:p w14:paraId="1D3D66D8" w14:textId="77777777" w:rsidR="005B6264" w:rsidRDefault="005B6264">
            <w:pPr>
              <w:jc w:val="right"/>
              <w:rPr>
                <w:color w:val="000000"/>
                <w:sz w:val="20"/>
                <w:lang w:val="en-CA" w:eastAsia="en-CA"/>
              </w:rPr>
            </w:pPr>
            <w:r>
              <w:rPr>
                <w:color w:val="000000"/>
                <w:sz w:val="20"/>
                <w:lang w:val="en-CA" w:eastAsia="en-CA"/>
              </w:rPr>
              <w:t>52,000</w:t>
            </w:r>
          </w:p>
        </w:tc>
        <w:tc>
          <w:tcPr>
            <w:tcW w:w="2048" w:type="dxa"/>
            <w:vMerge w:val="restart"/>
            <w:tcBorders>
              <w:top w:val="single" w:sz="4" w:space="0" w:color="auto"/>
              <w:left w:val="single" w:sz="4" w:space="0" w:color="auto"/>
              <w:bottom w:val="single" w:sz="4" w:space="0" w:color="auto"/>
              <w:right w:val="single" w:sz="4" w:space="0" w:color="auto"/>
            </w:tcBorders>
            <w:noWrap/>
            <w:vAlign w:val="center"/>
            <w:hideMark/>
          </w:tcPr>
          <w:p w14:paraId="579F27D0" w14:textId="77777777" w:rsidR="005B6264" w:rsidRDefault="005B6264">
            <w:pPr>
              <w:jc w:val="center"/>
              <w:rPr>
                <w:color w:val="000000"/>
                <w:sz w:val="20"/>
                <w:lang w:val="en-CA" w:eastAsia="en-CA"/>
              </w:rPr>
            </w:pPr>
            <w:r>
              <w:rPr>
                <w:color w:val="000000"/>
                <w:sz w:val="20"/>
                <w:lang w:val="en-CA" w:eastAsia="en-CA"/>
              </w:rPr>
              <w:t>100</w:t>
            </w:r>
          </w:p>
        </w:tc>
      </w:tr>
      <w:tr w:rsidR="005B6264" w14:paraId="334E4C78" w14:textId="77777777" w:rsidTr="005B6264">
        <w:tc>
          <w:tcPr>
            <w:tcW w:w="1058" w:type="dxa"/>
            <w:vMerge/>
            <w:tcBorders>
              <w:top w:val="single" w:sz="4" w:space="0" w:color="auto"/>
              <w:left w:val="single" w:sz="4" w:space="0" w:color="auto"/>
              <w:bottom w:val="single" w:sz="4" w:space="0" w:color="auto"/>
              <w:right w:val="single" w:sz="4" w:space="0" w:color="auto"/>
            </w:tcBorders>
            <w:vAlign w:val="center"/>
            <w:hideMark/>
          </w:tcPr>
          <w:p w14:paraId="66C9BA66" w14:textId="77777777" w:rsidR="005B6264" w:rsidRDefault="005B6264" w:rsidP="0020072D">
            <w:pPr>
              <w:bidi/>
              <w:jc w:val="left"/>
              <w:rPr>
                <w:bCs/>
                <w:color w:val="000000"/>
                <w:sz w:val="20"/>
                <w:lang w:val="en-CA" w:eastAsia="en-CA"/>
              </w:rPr>
            </w:pP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6400D09E" w14:textId="77777777" w:rsidR="005B6264" w:rsidRDefault="005B6264">
            <w:pPr>
              <w:bidi/>
              <w:rPr>
                <w:b/>
                <w:color w:val="000000"/>
                <w:sz w:val="20"/>
                <w:lang w:val="en-CA" w:eastAsia="en-CA"/>
              </w:rPr>
            </w:pPr>
            <w:r>
              <w:rPr>
                <w:rFonts w:hint="cs"/>
                <w:b/>
                <w:color w:val="000000"/>
                <w:sz w:val="20"/>
                <w:rtl/>
                <w:lang w:val="en-CA" w:eastAsia="en-CA"/>
              </w:rPr>
              <w:t>تم صرفها</w:t>
            </w:r>
            <w:r>
              <w:rPr>
                <w:rFonts w:hint="cs"/>
                <w:b/>
                <w:color w:val="000000"/>
                <w:sz w:val="20"/>
                <w:lang w:val="en-CA" w:eastAsia="en-CA"/>
              </w:rPr>
              <w:t xml:space="preserve"> </w:t>
            </w:r>
          </w:p>
        </w:tc>
        <w:tc>
          <w:tcPr>
            <w:tcW w:w="1702"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360" w:type="dxa"/>
            </w:tcMar>
            <w:vAlign w:val="center"/>
            <w:hideMark/>
          </w:tcPr>
          <w:p w14:paraId="0E501704" w14:textId="77777777" w:rsidR="005B6264" w:rsidRDefault="005B6264">
            <w:pPr>
              <w:jc w:val="right"/>
              <w:rPr>
                <w:color w:val="000000"/>
                <w:sz w:val="20"/>
                <w:lang w:val="en-CA" w:eastAsia="en-CA"/>
              </w:rPr>
            </w:pPr>
            <w:r>
              <w:rPr>
                <w:color w:val="000000"/>
                <w:sz w:val="20"/>
                <w:lang w:val="en-CA" w:eastAsia="en-CA"/>
              </w:rPr>
              <w:t>52,000</w:t>
            </w:r>
          </w:p>
        </w:tc>
        <w:tc>
          <w:tcPr>
            <w:tcW w:w="1703" w:type="dxa"/>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14:paraId="318FB139" w14:textId="77777777" w:rsidR="005B6264" w:rsidRDefault="005B6264">
            <w:pPr>
              <w:jc w:val="right"/>
              <w:rPr>
                <w:color w:val="000000"/>
                <w:sz w:val="20"/>
                <w:lang w:val="en-CA" w:eastAsia="en-CA"/>
              </w:rPr>
            </w:pPr>
            <w:r>
              <w:rPr>
                <w:color w:val="000000"/>
                <w:sz w:val="20"/>
                <w:lang w:val="en-CA" w:eastAsia="en-CA"/>
              </w:rPr>
              <w:t>0</w:t>
            </w:r>
          </w:p>
        </w:tc>
        <w:tc>
          <w:tcPr>
            <w:tcW w:w="1703"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360" w:type="dxa"/>
            </w:tcMar>
            <w:vAlign w:val="center"/>
            <w:hideMark/>
          </w:tcPr>
          <w:p w14:paraId="708E9718" w14:textId="77777777" w:rsidR="005B6264" w:rsidRDefault="005B6264">
            <w:pPr>
              <w:jc w:val="right"/>
              <w:rPr>
                <w:color w:val="000000"/>
                <w:sz w:val="20"/>
                <w:lang w:val="en-CA" w:eastAsia="en-CA"/>
              </w:rPr>
            </w:pPr>
            <w:r>
              <w:rPr>
                <w:color w:val="000000"/>
                <w:sz w:val="20"/>
                <w:lang w:val="en-CA" w:eastAsia="en-CA"/>
              </w:rPr>
              <w:t>52,000</w:t>
            </w:r>
          </w:p>
        </w:tc>
        <w:tc>
          <w:tcPr>
            <w:tcW w:w="2048" w:type="dxa"/>
            <w:vMerge/>
            <w:tcBorders>
              <w:top w:val="single" w:sz="4" w:space="0" w:color="auto"/>
              <w:left w:val="single" w:sz="4" w:space="0" w:color="auto"/>
              <w:bottom w:val="single" w:sz="4" w:space="0" w:color="auto"/>
              <w:right w:val="single" w:sz="4" w:space="0" w:color="auto"/>
            </w:tcBorders>
            <w:vAlign w:val="center"/>
            <w:hideMark/>
          </w:tcPr>
          <w:p w14:paraId="2947672F" w14:textId="77777777" w:rsidR="005B6264" w:rsidRDefault="005B6264">
            <w:pPr>
              <w:jc w:val="left"/>
              <w:rPr>
                <w:color w:val="000000"/>
                <w:sz w:val="20"/>
                <w:lang w:val="en-CA" w:eastAsia="en-CA"/>
              </w:rPr>
            </w:pPr>
          </w:p>
        </w:tc>
      </w:tr>
      <w:tr w:rsidR="005B6264" w14:paraId="2C34DF24" w14:textId="77777777" w:rsidTr="005B6264">
        <w:tc>
          <w:tcPr>
            <w:tcW w:w="1058" w:type="dxa"/>
            <w:vMerge w:val="restart"/>
            <w:tcBorders>
              <w:top w:val="single" w:sz="4" w:space="0" w:color="auto"/>
              <w:left w:val="single" w:sz="4" w:space="0" w:color="auto"/>
              <w:bottom w:val="single" w:sz="4" w:space="0" w:color="auto"/>
              <w:right w:val="single" w:sz="4" w:space="0" w:color="auto"/>
            </w:tcBorders>
            <w:noWrap/>
            <w:vAlign w:val="center"/>
            <w:hideMark/>
          </w:tcPr>
          <w:p w14:paraId="5DD85BA1" w14:textId="77777777" w:rsidR="005B6264" w:rsidRDefault="005B6264" w:rsidP="0020072D">
            <w:pPr>
              <w:bidi/>
              <w:jc w:val="left"/>
              <w:rPr>
                <w:bCs/>
                <w:color w:val="000000"/>
                <w:sz w:val="20"/>
                <w:lang w:val="en-CA" w:eastAsia="en-CA"/>
              </w:rPr>
            </w:pPr>
            <w:r>
              <w:rPr>
                <w:rFonts w:hint="cs"/>
                <w:bCs/>
                <w:color w:val="000000"/>
                <w:sz w:val="20"/>
                <w:rtl/>
                <w:lang w:val="en-CA" w:eastAsia="en-CA"/>
              </w:rPr>
              <w:t>الثالثة</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504006A1" w14:textId="77777777" w:rsidR="005B6264" w:rsidRDefault="005B6264">
            <w:pPr>
              <w:keepNext/>
              <w:keepLines/>
              <w:bidi/>
              <w:rPr>
                <w:b/>
                <w:color w:val="000000"/>
                <w:sz w:val="20"/>
                <w:lang w:val="en-CA" w:eastAsia="en-CA"/>
              </w:rPr>
            </w:pPr>
            <w:r>
              <w:rPr>
                <w:rFonts w:hint="cs"/>
                <w:b/>
                <w:color w:val="000000"/>
                <w:sz w:val="20"/>
                <w:rtl/>
                <w:lang w:val="en-CA" w:eastAsia="en-CA"/>
              </w:rPr>
              <w:t>موافق عليها</w:t>
            </w:r>
            <w:r>
              <w:rPr>
                <w:rFonts w:hint="cs"/>
                <w:b/>
                <w:color w:val="000000"/>
                <w:sz w:val="20"/>
                <w:lang w:val="en-CA" w:eastAsia="en-CA"/>
              </w:rPr>
              <w:t xml:space="preserve"> </w:t>
            </w:r>
          </w:p>
        </w:tc>
        <w:tc>
          <w:tcPr>
            <w:tcW w:w="1702"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360" w:type="dxa"/>
            </w:tcMar>
            <w:vAlign w:val="center"/>
            <w:hideMark/>
          </w:tcPr>
          <w:p w14:paraId="434B31D8" w14:textId="77777777" w:rsidR="005B6264" w:rsidRDefault="005B6264">
            <w:pPr>
              <w:jc w:val="right"/>
              <w:rPr>
                <w:color w:val="000000"/>
                <w:sz w:val="20"/>
                <w:lang w:val="en-CA" w:eastAsia="en-CA"/>
              </w:rPr>
            </w:pPr>
            <w:r>
              <w:rPr>
                <w:color w:val="000000"/>
                <w:sz w:val="20"/>
                <w:lang w:val="en-CA" w:eastAsia="en-CA"/>
              </w:rPr>
              <w:t>50,000</w:t>
            </w:r>
          </w:p>
        </w:tc>
        <w:tc>
          <w:tcPr>
            <w:tcW w:w="1703" w:type="dxa"/>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14:paraId="36C3FFC4" w14:textId="77777777" w:rsidR="005B6264" w:rsidRDefault="005B6264">
            <w:pPr>
              <w:jc w:val="right"/>
              <w:rPr>
                <w:sz w:val="20"/>
                <w:lang w:val="en-CA" w:eastAsia="en-CA"/>
              </w:rPr>
            </w:pPr>
            <w:r>
              <w:rPr>
                <w:sz w:val="20"/>
                <w:lang w:val="en-CA" w:eastAsia="en-CA"/>
              </w:rPr>
              <w:t>75,000</w:t>
            </w:r>
          </w:p>
        </w:tc>
        <w:tc>
          <w:tcPr>
            <w:tcW w:w="1703"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360" w:type="dxa"/>
            </w:tcMar>
            <w:vAlign w:val="center"/>
            <w:hideMark/>
          </w:tcPr>
          <w:p w14:paraId="1837C2F2" w14:textId="77777777" w:rsidR="005B6264" w:rsidRDefault="005B6264">
            <w:pPr>
              <w:jc w:val="right"/>
              <w:rPr>
                <w:sz w:val="20"/>
                <w:lang w:val="en-CA" w:eastAsia="en-CA"/>
              </w:rPr>
            </w:pPr>
            <w:r>
              <w:rPr>
                <w:sz w:val="20"/>
                <w:lang w:val="en-CA" w:eastAsia="en-CA"/>
              </w:rPr>
              <w:t>125,000</w:t>
            </w:r>
          </w:p>
        </w:tc>
        <w:tc>
          <w:tcPr>
            <w:tcW w:w="2048" w:type="dxa"/>
            <w:vMerge w:val="restart"/>
            <w:tcBorders>
              <w:top w:val="single" w:sz="4" w:space="0" w:color="auto"/>
              <w:left w:val="single" w:sz="4" w:space="0" w:color="auto"/>
              <w:bottom w:val="single" w:sz="4" w:space="0" w:color="auto"/>
              <w:right w:val="single" w:sz="4" w:space="0" w:color="auto"/>
            </w:tcBorders>
            <w:noWrap/>
            <w:vAlign w:val="center"/>
            <w:hideMark/>
          </w:tcPr>
          <w:p w14:paraId="2E3E6EFE" w14:textId="77777777" w:rsidR="005B6264" w:rsidRDefault="005B6264">
            <w:pPr>
              <w:jc w:val="center"/>
              <w:rPr>
                <w:sz w:val="20"/>
                <w:lang w:val="en-CA" w:eastAsia="en-CA"/>
              </w:rPr>
            </w:pPr>
            <w:r>
              <w:rPr>
                <w:sz w:val="20"/>
                <w:lang w:val="en-CA" w:eastAsia="en-CA"/>
              </w:rPr>
              <w:t>94</w:t>
            </w:r>
          </w:p>
        </w:tc>
      </w:tr>
      <w:tr w:rsidR="005B6264" w14:paraId="0BB36E71" w14:textId="77777777" w:rsidTr="005B6264">
        <w:tc>
          <w:tcPr>
            <w:tcW w:w="1058" w:type="dxa"/>
            <w:vMerge/>
            <w:tcBorders>
              <w:top w:val="single" w:sz="4" w:space="0" w:color="auto"/>
              <w:left w:val="single" w:sz="4" w:space="0" w:color="auto"/>
              <w:bottom w:val="single" w:sz="4" w:space="0" w:color="auto"/>
              <w:right w:val="single" w:sz="4" w:space="0" w:color="auto"/>
            </w:tcBorders>
            <w:vAlign w:val="center"/>
            <w:hideMark/>
          </w:tcPr>
          <w:p w14:paraId="03612BE4" w14:textId="77777777" w:rsidR="005B6264" w:rsidRDefault="005B6264" w:rsidP="0020072D">
            <w:pPr>
              <w:bidi/>
              <w:jc w:val="left"/>
              <w:rPr>
                <w:bCs/>
                <w:color w:val="000000"/>
                <w:sz w:val="20"/>
                <w:lang w:val="en-CA" w:eastAsia="en-CA"/>
              </w:rPr>
            </w:pP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41DD8C11" w14:textId="77777777" w:rsidR="005B6264" w:rsidRDefault="005B6264">
            <w:pPr>
              <w:bidi/>
              <w:rPr>
                <w:b/>
                <w:color w:val="000000"/>
                <w:sz w:val="20"/>
                <w:lang w:val="en-CA" w:eastAsia="en-CA"/>
              </w:rPr>
            </w:pPr>
            <w:r>
              <w:rPr>
                <w:rFonts w:hint="cs"/>
                <w:b/>
                <w:color w:val="000000"/>
                <w:sz w:val="20"/>
                <w:rtl/>
                <w:lang w:val="en-CA" w:eastAsia="en-CA"/>
              </w:rPr>
              <w:t>تم صرفها</w:t>
            </w:r>
            <w:r>
              <w:rPr>
                <w:rFonts w:hint="cs"/>
                <w:b/>
                <w:color w:val="000000"/>
                <w:sz w:val="20"/>
                <w:lang w:val="en-CA" w:eastAsia="en-CA"/>
              </w:rPr>
              <w:t xml:space="preserve"> </w:t>
            </w:r>
          </w:p>
        </w:tc>
        <w:tc>
          <w:tcPr>
            <w:tcW w:w="1702"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360" w:type="dxa"/>
            </w:tcMar>
            <w:vAlign w:val="center"/>
            <w:hideMark/>
          </w:tcPr>
          <w:p w14:paraId="6B533187" w14:textId="77777777" w:rsidR="005B6264" w:rsidRDefault="005B6264">
            <w:pPr>
              <w:jc w:val="right"/>
              <w:rPr>
                <w:color w:val="000000"/>
                <w:sz w:val="20"/>
                <w:lang w:val="en-CA" w:eastAsia="en-CA"/>
              </w:rPr>
            </w:pPr>
            <w:r>
              <w:rPr>
                <w:color w:val="000000"/>
                <w:sz w:val="20"/>
                <w:lang w:val="en-CA" w:eastAsia="en-CA"/>
              </w:rPr>
              <w:t>50,000</w:t>
            </w:r>
          </w:p>
        </w:tc>
        <w:tc>
          <w:tcPr>
            <w:tcW w:w="1703" w:type="dxa"/>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14:paraId="71A00193" w14:textId="77777777" w:rsidR="005B6264" w:rsidRDefault="005B6264">
            <w:pPr>
              <w:jc w:val="right"/>
              <w:rPr>
                <w:sz w:val="20"/>
                <w:lang w:val="en-CA" w:eastAsia="en-CA"/>
              </w:rPr>
            </w:pPr>
            <w:r>
              <w:rPr>
                <w:sz w:val="20"/>
                <w:lang w:val="en-CA" w:eastAsia="en-CA"/>
              </w:rPr>
              <w:t>67,957</w:t>
            </w:r>
          </w:p>
        </w:tc>
        <w:tc>
          <w:tcPr>
            <w:tcW w:w="1703"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360" w:type="dxa"/>
            </w:tcMar>
            <w:vAlign w:val="center"/>
            <w:hideMark/>
          </w:tcPr>
          <w:p w14:paraId="22695638" w14:textId="77777777" w:rsidR="005B6264" w:rsidRDefault="005B6264">
            <w:pPr>
              <w:jc w:val="right"/>
              <w:rPr>
                <w:sz w:val="20"/>
                <w:lang w:val="en-CA" w:eastAsia="en-CA"/>
              </w:rPr>
            </w:pPr>
            <w:r>
              <w:rPr>
                <w:sz w:val="20"/>
                <w:lang w:val="en-CA" w:eastAsia="en-CA"/>
              </w:rPr>
              <w:t>117,957</w:t>
            </w:r>
          </w:p>
        </w:tc>
        <w:tc>
          <w:tcPr>
            <w:tcW w:w="2048" w:type="dxa"/>
            <w:vMerge/>
            <w:tcBorders>
              <w:top w:val="single" w:sz="4" w:space="0" w:color="auto"/>
              <w:left w:val="single" w:sz="4" w:space="0" w:color="auto"/>
              <w:bottom w:val="single" w:sz="4" w:space="0" w:color="auto"/>
              <w:right w:val="single" w:sz="4" w:space="0" w:color="auto"/>
            </w:tcBorders>
            <w:vAlign w:val="center"/>
            <w:hideMark/>
          </w:tcPr>
          <w:p w14:paraId="3E1D78E3" w14:textId="77777777" w:rsidR="005B6264" w:rsidRDefault="005B6264">
            <w:pPr>
              <w:jc w:val="left"/>
              <w:rPr>
                <w:sz w:val="20"/>
                <w:lang w:val="en-CA" w:eastAsia="en-CA"/>
              </w:rPr>
            </w:pPr>
          </w:p>
        </w:tc>
      </w:tr>
      <w:tr w:rsidR="005B6264" w14:paraId="0CBFE6C1" w14:textId="77777777" w:rsidTr="005B6264">
        <w:tc>
          <w:tcPr>
            <w:tcW w:w="1058" w:type="dxa"/>
            <w:vMerge w:val="restart"/>
            <w:tcBorders>
              <w:top w:val="single" w:sz="4" w:space="0" w:color="auto"/>
              <w:left w:val="single" w:sz="4" w:space="0" w:color="auto"/>
              <w:bottom w:val="single" w:sz="4" w:space="0" w:color="auto"/>
              <w:right w:val="single" w:sz="4" w:space="0" w:color="auto"/>
            </w:tcBorders>
            <w:vAlign w:val="center"/>
            <w:hideMark/>
          </w:tcPr>
          <w:p w14:paraId="7DA08D95" w14:textId="77777777" w:rsidR="005B6264" w:rsidRDefault="005B6264" w:rsidP="0020072D">
            <w:pPr>
              <w:bidi/>
              <w:jc w:val="left"/>
              <w:rPr>
                <w:b/>
                <w:bCs/>
                <w:color w:val="000000"/>
                <w:sz w:val="20"/>
                <w:lang w:val="en-CA" w:eastAsia="en-CA"/>
              </w:rPr>
            </w:pPr>
            <w:r>
              <w:rPr>
                <w:rFonts w:hint="cs"/>
                <w:b/>
                <w:bCs/>
                <w:color w:val="000000"/>
                <w:sz w:val="20"/>
                <w:rtl/>
                <w:lang w:val="en-CA" w:eastAsia="en-CA"/>
              </w:rPr>
              <w:t>المجموع</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3649799" w14:textId="77777777" w:rsidR="005B6264" w:rsidRPr="005B6264" w:rsidRDefault="005B6264">
            <w:pPr>
              <w:keepNext/>
              <w:keepLines/>
              <w:bidi/>
              <w:rPr>
                <w:bCs/>
                <w:color w:val="000000"/>
                <w:sz w:val="20"/>
                <w:lang w:val="en-CA" w:eastAsia="en-CA"/>
              </w:rPr>
            </w:pPr>
            <w:r w:rsidRPr="005B6264">
              <w:rPr>
                <w:rFonts w:hint="cs"/>
                <w:bCs/>
                <w:color w:val="000000"/>
                <w:sz w:val="20"/>
                <w:rtl/>
                <w:lang w:val="en-CA" w:eastAsia="en-CA"/>
              </w:rPr>
              <w:t>موافق عليها</w:t>
            </w:r>
            <w:r w:rsidRPr="005B6264">
              <w:rPr>
                <w:rFonts w:hint="cs"/>
                <w:bCs/>
                <w:color w:val="000000"/>
                <w:sz w:val="20"/>
                <w:lang w:val="en-CA" w:eastAsia="en-CA"/>
              </w:rPr>
              <w:t xml:space="preserve"> </w:t>
            </w:r>
          </w:p>
        </w:tc>
        <w:tc>
          <w:tcPr>
            <w:tcW w:w="1702" w:type="dxa"/>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14:paraId="151895D6" w14:textId="77777777" w:rsidR="005B6264" w:rsidRDefault="005B6264">
            <w:pPr>
              <w:jc w:val="right"/>
              <w:rPr>
                <w:b/>
                <w:color w:val="000000"/>
                <w:sz w:val="20"/>
                <w:lang w:val="en-CA" w:eastAsia="en-CA"/>
              </w:rPr>
            </w:pPr>
            <w:r>
              <w:rPr>
                <w:b/>
                <w:color w:val="000000"/>
                <w:sz w:val="20"/>
                <w:lang w:val="en-CA" w:eastAsia="en-CA"/>
              </w:rPr>
              <w:t>137,000</w:t>
            </w:r>
          </w:p>
        </w:tc>
        <w:tc>
          <w:tcPr>
            <w:tcW w:w="1703" w:type="dxa"/>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14:paraId="6B38F0A1" w14:textId="77777777" w:rsidR="005B6264" w:rsidRDefault="005B6264">
            <w:pPr>
              <w:jc w:val="right"/>
              <w:rPr>
                <w:b/>
                <w:sz w:val="20"/>
                <w:lang w:val="en-CA" w:eastAsia="en-CA"/>
              </w:rPr>
            </w:pPr>
            <w:r>
              <w:rPr>
                <w:b/>
                <w:sz w:val="20"/>
                <w:lang w:val="en-CA" w:eastAsia="en-CA"/>
              </w:rPr>
              <w:t>115,000</w:t>
            </w:r>
          </w:p>
        </w:tc>
        <w:tc>
          <w:tcPr>
            <w:tcW w:w="1703" w:type="dxa"/>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14:paraId="0274520B" w14:textId="77777777" w:rsidR="005B6264" w:rsidRDefault="005B6264">
            <w:pPr>
              <w:jc w:val="right"/>
              <w:rPr>
                <w:b/>
                <w:sz w:val="20"/>
                <w:lang w:val="en-CA" w:eastAsia="en-CA"/>
              </w:rPr>
            </w:pPr>
            <w:r>
              <w:rPr>
                <w:b/>
                <w:sz w:val="20"/>
                <w:lang w:val="en-CA" w:eastAsia="en-CA"/>
              </w:rPr>
              <w:t>252,000</w:t>
            </w:r>
          </w:p>
        </w:tc>
        <w:tc>
          <w:tcPr>
            <w:tcW w:w="2048" w:type="dxa"/>
            <w:vMerge w:val="restart"/>
            <w:tcBorders>
              <w:top w:val="single" w:sz="4" w:space="0" w:color="auto"/>
              <w:left w:val="single" w:sz="4" w:space="0" w:color="auto"/>
              <w:bottom w:val="single" w:sz="4" w:space="0" w:color="auto"/>
              <w:right w:val="single" w:sz="4" w:space="0" w:color="auto"/>
            </w:tcBorders>
            <w:vAlign w:val="center"/>
            <w:hideMark/>
          </w:tcPr>
          <w:p w14:paraId="437C25B8" w14:textId="77777777" w:rsidR="005B6264" w:rsidRDefault="005B6264">
            <w:pPr>
              <w:jc w:val="center"/>
              <w:rPr>
                <w:b/>
                <w:sz w:val="20"/>
                <w:lang w:val="en-CA" w:eastAsia="en-CA"/>
              </w:rPr>
            </w:pPr>
            <w:r>
              <w:rPr>
                <w:b/>
                <w:sz w:val="20"/>
                <w:lang w:val="en-CA" w:eastAsia="en-CA"/>
              </w:rPr>
              <w:t>97</w:t>
            </w:r>
          </w:p>
        </w:tc>
      </w:tr>
      <w:tr w:rsidR="005B6264" w14:paraId="0DE188E1" w14:textId="77777777" w:rsidTr="005B6264">
        <w:tc>
          <w:tcPr>
            <w:tcW w:w="1058" w:type="dxa"/>
            <w:vMerge/>
            <w:tcBorders>
              <w:top w:val="single" w:sz="4" w:space="0" w:color="auto"/>
              <w:left w:val="single" w:sz="4" w:space="0" w:color="auto"/>
              <w:bottom w:val="single" w:sz="4" w:space="0" w:color="auto"/>
              <w:right w:val="single" w:sz="4" w:space="0" w:color="auto"/>
            </w:tcBorders>
            <w:vAlign w:val="center"/>
            <w:hideMark/>
          </w:tcPr>
          <w:p w14:paraId="39043B9A" w14:textId="77777777" w:rsidR="005B6264" w:rsidRDefault="005B6264">
            <w:pPr>
              <w:jc w:val="left"/>
              <w:rPr>
                <w:b/>
                <w:bCs/>
                <w:color w:val="000000"/>
                <w:sz w:val="20"/>
                <w:lang w:val="en-CA" w:eastAsia="en-CA"/>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726F5357" w14:textId="77777777" w:rsidR="005B6264" w:rsidRPr="005B6264" w:rsidRDefault="005B6264">
            <w:pPr>
              <w:bidi/>
              <w:rPr>
                <w:bCs/>
                <w:color w:val="000000"/>
                <w:sz w:val="20"/>
                <w:lang w:val="en-CA" w:eastAsia="en-CA"/>
              </w:rPr>
            </w:pPr>
            <w:r w:rsidRPr="005B6264">
              <w:rPr>
                <w:rFonts w:hint="cs"/>
                <w:bCs/>
                <w:color w:val="000000"/>
                <w:sz w:val="20"/>
                <w:rtl/>
                <w:lang w:val="en-CA" w:eastAsia="en-CA"/>
              </w:rPr>
              <w:t>تم صرفها</w:t>
            </w:r>
            <w:r w:rsidRPr="005B6264">
              <w:rPr>
                <w:rFonts w:hint="cs"/>
                <w:bCs/>
                <w:color w:val="000000"/>
                <w:sz w:val="20"/>
                <w:lang w:val="en-CA" w:eastAsia="en-CA"/>
              </w:rPr>
              <w:t xml:space="preserve"> </w:t>
            </w:r>
          </w:p>
        </w:tc>
        <w:tc>
          <w:tcPr>
            <w:tcW w:w="1702" w:type="dxa"/>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14:paraId="33DD2CFD" w14:textId="77777777" w:rsidR="005B6264" w:rsidRDefault="005B6264">
            <w:pPr>
              <w:jc w:val="right"/>
              <w:rPr>
                <w:b/>
                <w:bCs/>
                <w:color w:val="000000"/>
                <w:sz w:val="20"/>
                <w:lang w:val="en-CA" w:eastAsia="en-CA"/>
              </w:rPr>
            </w:pPr>
            <w:r>
              <w:rPr>
                <w:b/>
                <w:bCs/>
                <w:color w:val="000000"/>
                <w:sz w:val="20"/>
                <w:lang w:val="en-CA" w:eastAsia="en-CA"/>
              </w:rPr>
              <w:t>137,000</w:t>
            </w:r>
          </w:p>
        </w:tc>
        <w:tc>
          <w:tcPr>
            <w:tcW w:w="1703" w:type="dxa"/>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14:paraId="4713AD77" w14:textId="77777777" w:rsidR="005B6264" w:rsidRDefault="005B6264">
            <w:pPr>
              <w:jc w:val="right"/>
              <w:rPr>
                <w:b/>
                <w:bCs/>
                <w:color w:val="000000"/>
                <w:sz w:val="20"/>
                <w:lang w:val="en-CA" w:eastAsia="en-CA"/>
              </w:rPr>
            </w:pPr>
            <w:r>
              <w:rPr>
                <w:b/>
                <w:bCs/>
                <w:color w:val="000000"/>
                <w:sz w:val="20"/>
                <w:lang w:val="en-CA" w:eastAsia="en-CA"/>
              </w:rPr>
              <w:t>107,957</w:t>
            </w:r>
          </w:p>
        </w:tc>
        <w:tc>
          <w:tcPr>
            <w:tcW w:w="1703" w:type="dxa"/>
            <w:tcBorders>
              <w:top w:val="single" w:sz="4" w:space="0" w:color="auto"/>
              <w:left w:val="single" w:sz="4" w:space="0" w:color="auto"/>
              <w:bottom w:val="single" w:sz="4" w:space="0" w:color="auto"/>
              <w:right w:val="single" w:sz="4" w:space="0" w:color="auto"/>
            </w:tcBorders>
            <w:tcMar>
              <w:top w:w="0" w:type="dxa"/>
              <w:left w:w="115" w:type="dxa"/>
              <w:bottom w:w="0" w:type="dxa"/>
              <w:right w:w="360" w:type="dxa"/>
            </w:tcMar>
            <w:vAlign w:val="center"/>
            <w:hideMark/>
          </w:tcPr>
          <w:p w14:paraId="58F299FA" w14:textId="77777777" w:rsidR="005B6264" w:rsidRDefault="005B6264">
            <w:pPr>
              <w:jc w:val="right"/>
              <w:rPr>
                <w:b/>
                <w:bCs/>
                <w:color w:val="000000"/>
                <w:sz w:val="20"/>
                <w:lang w:val="en-CA" w:eastAsia="en-CA"/>
              </w:rPr>
            </w:pPr>
            <w:r>
              <w:rPr>
                <w:b/>
                <w:bCs/>
                <w:color w:val="000000"/>
                <w:sz w:val="20"/>
                <w:lang w:val="en-CA" w:eastAsia="en-CA"/>
              </w:rPr>
              <w:t>244,957</w:t>
            </w:r>
          </w:p>
        </w:tc>
        <w:tc>
          <w:tcPr>
            <w:tcW w:w="2048" w:type="dxa"/>
            <w:vMerge/>
            <w:tcBorders>
              <w:top w:val="single" w:sz="4" w:space="0" w:color="auto"/>
              <w:left w:val="single" w:sz="4" w:space="0" w:color="auto"/>
              <w:bottom w:val="single" w:sz="4" w:space="0" w:color="auto"/>
              <w:right w:val="single" w:sz="4" w:space="0" w:color="auto"/>
            </w:tcBorders>
            <w:vAlign w:val="center"/>
            <w:hideMark/>
          </w:tcPr>
          <w:p w14:paraId="6E09ED4D" w14:textId="77777777" w:rsidR="005B6264" w:rsidRDefault="005B6264">
            <w:pPr>
              <w:jc w:val="left"/>
              <w:rPr>
                <w:b/>
                <w:sz w:val="20"/>
                <w:lang w:val="en-CA" w:eastAsia="en-CA"/>
              </w:rPr>
            </w:pPr>
          </w:p>
        </w:tc>
      </w:tr>
    </w:tbl>
    <w:p w14:paraId="204CD46A" w14:textId="77777777" w:rsidR="0020072D" w:rsidRPr="001262AB" w:rsidRDefault="0020072D" w:rsidP="0020072D">
      <w:pPr>
        <w:bidi/>
        <w:rPr>
          <w:sz w:val="26"/>
          <w:szCs w:val="26"/>
          <w:rtl/>
          <w:lang w:bidi="ar-AE"/>
        </w:rPr>
      </w:pPr>
    </w:p>
    <w:p w14:paraId="3E7DB495" w14:textId="77777777" w:rsidR="0020072D" w:rsidRDefault="0020072D" w:rsidP="00416342">
      <w:pPr>
        <w:keepNext/>
        <w:bidi/>
        <w:jc w:val="left"/>
        <w:rPr>
          <w:sz w:val="26"/>
          <w:szCs w:val="26"/>
          <w:u w:val="single"/>
          <w:lang w:val="en-US" w:bidi="ar-EG"/>
        </w:rPr>
      </w:pPr>
      <w:r>
        <w:rPr>
          <w:rFonts w:hint="cs"/>
          <w:sz w:val="26"/>
          <w:szCs w:val="26"/>
          <w:u w:val="single"/>
          <w:rtl/>
          <w:lang w:val="en-US" w:bidi="ar-EG"/>
        </w:rPr>
        <w:t xml:space="preserve">خطة تنفيذ الشريحة </w:t>
      </w:r>
      <w:r w:rsidR="00416342">
        <w:rPr>
          <w:rFonts w:hint="cs"/>
          <w:sz w:val="26"/>
          <w:szCs w:val="26"/>
          <w:u w:val="single"/>
          <w:rtl/>
          <w:lang w:val="en-US" w:bidi="ar-EG"/>
        </w:rPr>
        <w:t>الرابعة</w:t>
      </w:r>
      <w:r>
        <w:rPr>
          <w:rFonts w:hint="cs"/>
          <w:sz w:val="26"/>
          <w:szCs w:val="26"/>
          <w:u w:val="single"/>
          <w:rtl/>
          <w:lang w:val="en-US" w:bidi="ar-EG"/>
        </w:rPr>
        <w:t xml:space="preserve"> </w:t>
      </w:r>
      <w:r w:rsidR="00416342">
        <w:rPr>
          <w:rFonts w:hint="cs"/>
          <w:sz w:val="26"/>
          <w:szCs w:val="26"/>
          <w:u w:val="single"/>
          <w:rtl/>
          <w:lang w:val="en-US" w:bidi="ar-EG"/>
        </w:rPr>
        <w:t xml:space="preserve"> </w:t>
      </w:r>
      <w:r w:rsidR="00D8766F">
        <w:rPr>
          <w:rFonts w:hint="cs"/>
          <w:sz w:val="26"/>
          <w:szCs w:val="26"/>
          <w:u w:val="single"/>
          <w:rtl/>
          <w:lang w:val="en-US" w:bidi="ar-EG"/>
        </w:rPr>
        <w:t xml:space="preserve">والأخيرة </w:t>
      </w:r>
      <w:r>
        <w:rPr>
          <w:rFonts w:hint="cs"/>
          <w:sz w:val="26"/>
          <w:szCs w:val="26"/>
          <w:u w:val="single"/>
          <w:rtl/>
          <w:lang w:val="en-US" w:bidi="ar-EG"/>
        </w:rPr>
        <w:t xml:space="preserve">من </w:t>
      </w:r>
      <w:r>
        <w:rPr>
          <w:rFonts w:hint="cs"/>
          <w:sz w:val="26"/>
          <w:szCs w:val="26"/>
          <w:u w:val="single"/>
          <w:rtl/>
          <w:lang w:bidi="ar-AE"/>
        </w:rPr>
        <w:t>خطة إدارة إزالة المواد الهيدروكلوروفلوروكربونية</w:t>
      </w:r>
    </w:p>
    <w:p w14:paraId="77859C4E" w14:textId="77777777" w:rsidR="0020072D" w:rsidRDefault="0020072D" w:rsidP="0020072D">
      <w:pPr>
        <w:keepNext/>
        <w:bidi/>
        <w:jc w:val="left"/>
        <w:rPr>
          <w:sz w:val="22"/>
          <w:szCs w:val="24"/>
          <w:lang w:bidi="ar-SA"/>
        </w:rPr>
      </w:pPr>
    </w:p>
    <w:p w14:paraId="5BCA56EB" w14:textId="77777777" w:rsidR="0020072D" w:rsidRDefault="00F97365" w:rsidP="00416342">
      <w:pPr>
        <w:widowControl w:val="0"/>
        <w:bidi/>
        <w:rPr>
          <w:sz w:val="26"/>
          <w:szCs w:val="26"/>
        </w:rPr>
      </w:pPr>
      <w:r>
        <w:rPr>
          <w:sz w:val="26"/>
          <w:szCs w:val="26"/>
        </w:rPr>
        <w:t>11</w:t>
      </w:r>
      <w:r w:rsidR="0020072D">
        <w:rPr>
          <w:rFonts w:hint="cs"/>
          <w:sz w:val="26"/>
          <w:szCs w:val="26"/>
          <w:rtl/>
        </w:rPr>
        <w:tab/>
        <w:t xml:space="preserve">سيجرى تنفيذ الأنشطة التالية </w:t>
      </w:r>
      <w:r w:rsidR="00416342">
        <w:rPr>
          <w:rFonts w:hint="cs"/>
          <w:sz w:val="26"/>
          <w:szCs w:val="26"/>
          <w:rtl/>
        </w:rPr>
        <w:t>حتى</w:t>
      </w:r>
      <w:r w:rsidR="0020072D">
        <w:rPr>
          <w:rFonts w:hint="cs"/>
          <w:sz w:val="26"/>
          <w:szCs w:val="26"/>
          <w:rtl/>
        </w:rPr>
        <w:t xml:space="preserve"> ديسمبر/كانون الأول </w:t>
      </w:r>
      <w:r w:rsidR="00416342">
        <w:rPr>
          <w:rFonts w:hint="cs"/>
          <w:sz w:val="26"/>
          <w:szCs w:val="26"/>
          <w:rtl/>
        </w:rPr>
        <w:t>2021</w:t>
      </w:r>
      <w:r w:rsidR="0020072D">
        <w:rPr>
          <w:rFonts w:hint="cs"/>
          <w:sz w:val="26"/>
          <w:szCs w:val="26"/>
          <w:rtl/>
        </w:rPr>
        <w:t>:</w:t>
      </w:r>
    </w:p>
    <w:p w14:paraId="7C755580" w14:textId="77777777" w:rsidR="0020072D" w:rsidRDefault="0020072D" w:rsidP="0020072D">
      <w:pPr>
        <w:widowControl w:val="0"/>
        <w:bidi/>
        <w:rPr>
          <w:sz w:val="26"/>
          <w:szCs w:val="26"/>
          <w:rtl/>
        </w:rPr>
      </w:pPr>
    </w:p>
    <w:p w14:paraId="3C5E116D" w14:textId="77777777" w:rsidR="0020072D" w:rsidRDefault="00FD1C6C" w:rsidP="00FD1C6C">
      <w:pPr>
        <w:pStyle w:val="ListParagraph"/>
        <w:widowControl w:val="0"/>
        <w:numPr>
          <w:ilvl w:val="0"/>
          <w:numId w:val="29"/>
        </w:numPr>
        <w:bidi/>
        <w:snapToGrid w:val="0"/>
        <w:rPr>
          <w:sz w:val="26"/>
          <w:szCs w:val="26"/>
          <w:rtl/>
        </w:rPr>
      </w:pPr>
      <w:r>
        <w:rPr>
          <w:rFonts w:hint="cs"/>
          <w:sz w:val="26"/>
          <w:szCs w:val="26"/>
          <w:rtl/>
        </w:rPr>
        <w:t xml:space="preserve">أربع حلقات عمل لتدريب 80 موظف جمارك وعملاء إنفاذ القانون على التعرف على </w:t>
      </w:r>
      <w:r>
        <w:rPr>
          <w:sz w:val="26"/>
          <w:szCs w:val="26"/>
          <w:rtl/>
        </w:rPr>
        <w:t xml:space="preserve">المواد </w:t>
      </w:r>
      <w:r>
        <w:rPr>
          <w:sz w:val="26"/>
          <w:szCs w:val="26"/>
          <w:rtl/>
          <w:lang w:bidi="ar-AE"/>
        </w:rPr>
        <w:t>الهيدروكلوروفلوروكربونية</w:t>
      </w:r>
      <w:r>
        <w:rPr>
          <w:rFonts w:hint="cs"/>
          <w:sz w:val="26"/>
          <w:szCs w:val="26"/>
          <w:rtl/>
          <w:lang w:bidi="ar-AE"/>
        </w:rPr>
        <w:t xml:space="preserve"> والرقابة عليها ورصد نظام الترخيص والحصص</w:t>
      </w:r>
      <w:r>
        <w:rPr>
          <w:rFonts w:hint="cs"/>
          <w:sz w:val="26"/>
          <w:szCs w:val="26"/>
          <w:rtl/>
        </w:rPr>
        <w:t xml:space="preserve"> </w:t>
      </w:r>
      <w:r w:rsidR="0020072D">
        <w:rPr>
          <w:rFonts w:hint="cs"/>
          <w:sz w:val="26"/>
          <w:szCs w:val="26"/>
          <w:rtl/>
        </w:rPr>
        <w:t xml:space="preserve"> (</w:t>
      </w:r>
      <w:r>
        <w:rPr>
          <w:rFonts w:hint="cs"/>
          <w:sz w:val="26"/>
          <w:szCs w:val="26"/>
          <w:rtl/>
        </w:rPr>
        <w:t>يونيب</w:t>
      </w:r>
      <w:r w:rsidR="0020072D">
        <w:rPr>
          <w:rFonts w:hint="cs"/>
          <w:sz w:val="26"/>
          <w:szCs w:val="26"/>
          <w:rtl/>
        </w:rPr>
        <w:t xml:space="preserve">) (000 </w:t>
      </w:r>
      <w:r>
        <w:rPr>
          <w:rFonts w:hint="cs"/>
          <w:sz w:val="26"/>
          <w:szCs w:val="26"/>
          <w:rtl/>
        </w:rPr>
        <w:t>12</w:t>
      </w:r>
      <w:r w:rsidR="0020072D">
        <w:rPr>
          <w:rFonts w:hint="cs"/>
          <w:sz w:val="26"/>
          <w:szCs w:val="26"/>
          <w:rtl/>
        </w:rPr>
        <w:t xml:space="preserve"> </w:t>
      </w:r>
      <w:r w:rsidR="0020072D">
        <w:rPr>
          <w:rFonts w:hint="cs"/>
          <w:sz w:val="26"/>
          <w:szCs w:val="26"/>
          <w:rtl/>
          <w:lang w:bidi="ar-AE"/>
        </w:rPr>
        <w:t>دولار أمريكي)؛</w:t>
      </w:r>
    </w:p>
    <w:p w14:paraId="7FCF5B3C" w14:textId="77777777" w:rsidR="0020072D" w:rsidRDefault="0020072D" w:rsidP="0020072D">
      <w:pPr>
        <w:widowControl w:val="0"/>
        <w:bidi/>
        <w:rPr>
          <w:sz w:val="26"/>
          <w:szCs w:val="26"/>
        </w:rPr>
      </w:pPr>
    </w:p>
    <w:p w14:paraId="50EC086E" w14:textId="77777777" w:rsidR="0020072D" w:rsidRDefault="0020072D" w:rsidP="00480B2D">
      <w:pPr>
        <w:pStyle w:val="ListParagraph"/>
        <w:widowControl w:val="0"/>
        <w:numPr>
          <w:ilvl w:val="0"/>
          <w:numId w:val="29"/>
        </w:numPr>
        <w:bidi/>
        <w:snapToGrid w:val="0"/>
        <w:rPr>
          <w:sz w:val="26"/>
          <w:szCs w:val="26"/>
          <w:rtl/>
        </w:rPr>
      </w:pPr>
      <w:r>
        <w:rPr>
          <w:rFonts w:hint="cs"/>
          <w:sz w:val="26"/>
          <w:szCs w:val="26"/>
          <w:rtl/>
        </w:rPr>
        <w:t xml:space="preserve">  </w:t>
      </w:r>
      <w:r w:rsidR="00480B2D">
        <w:rPr>
          <w:rFonts w:hint="cs"/>
          <w:sz w:val="26"/>
          <w:szCs w:val="26"/>
          <w:rtl/>
          <w:lang w:bidi="ar-AE"/>
        </w:rPr>
        <w:t>خمس</w:t>
      </w:r>
      <w:r w:rsidR="00480B2D">
        <w:rPr>
          <w:sz w:val="26"/>
          <w:szCs w:val="26"/>
          <w:rtl/>
          <w:lang w:bidi="ar-AE"/>
        </w:rPr>
        <w:t xml:space="preserve"> حلقات عمل لتدريب </w:t>
      </w:r>
      <w:r w:rsidR="00480B2D">
        <w:rPr>
          <w:rFonts w:hint="cs"/>
          <w:sz w:val="26"/>
          <w:szCs w:val="26"/>
          <w:rtl/>
          <w:lang w:bidi="ar-AE"/>
        </w:rPr>
        <w:t>125</w:t>
      </w:r>
      <w:r w:rsidR="00480B2D">
        <w:rPr>
          <w:sz w:val="26"/>
          <w:szCs w:val="26"/>
          <w:rtl/>
          <w:lang w:bidi="ar-AE"/>
        </w:rPr>
        <w:t xml:space="preserve"> </w:t>
      </w:r>
      <w:r w:rsidR="00480B2D">
        <w:rPr>
          <w:rFonts w:hint="cs"/>
          <w:sz w:val="26"/>
          <w:szCs w:val="26"/>
          <w:rtl/>
          <w:lang w:bidi="ar-AE"/>
        </w:rPr>
        <w:t>تقنى تبريد</w:t>
      </w:r>
      <w:r w:rsidR="00480B2D">
        <w:rPr>
          <w:sz w:val="26"/>
          <w:szCs w:val="26"/>
          <w:rtl/>
          <w:lang w:bidi="ar-AE"/>
        </w:rPr>
        <w:t xml:space="preserve"> اضاف</w:t>
      </w:r>
      <w:r w:rsidR="00480B2D">
        <w:rPr>
          <w:rFonts w:hint="cs"/>
          <w:sz w:val="26"/>
          <w:szCs w:val="26"/>
          <w:rtl/>
          <w:lang w:bidi="ar-AE"/>
        </w:rPr>
        <w:t>ى</w:t>
      </w:r>
      <w:r w:rsidR="00480B2D">
        <w:rPr>
          <w:sz w:val="26"/>
          <w:szCs w:val="26"/>
          <w:rtl/>
          <w:lang w:bidi="ar-AE"/>
        </w:rPr>
        <w:t xml:space="preserve"> على الممارسات الجيدة </w:t>
      </w:r>
      <w:r w:rsidR="00480B2D">
        <w:rPr>
          <w:rFonts w:hint="cs"/>
          <w:sz w:val="26"/>
          <w:szCs w:val="26"/>
          <w:rtl/>
          <w:lang w:bidi="ar-AE"/>
        </w:rPr>
        <w:t>ل</w:t>
      </w:r>
      <w:r w:rsidR="00480B2D">
        <w:rPr>
          <w:sz w:val="26"/>
          <w:szCs w:val="26"/>
          <w:rtl/>
          <w:lang w:bidi="ar-AE"/>
        </w:rPr>
        <w:t>لتبريد والمناولة الآمنة لسوائل التبريد القابلة للاشتعال</w:t>
      </w:r>
      <w:r>
        <w:rPr>
          <w:rFonts w:hint="cs"/>
          <w:sz w:val="26"/>
          <w:szCs w:val="26"/>
          <w:rtl/>
          <w:lang w:bidi="ar-AE"/>
        </w:rPr>
        <w:t xml:space="preserve"> (يونيب) (000 </w:t>
      </w:r>
      <w:r w:rsidR="00480B2D">
        <w:rPr>
          <w:rFonts w:hint="cs"/>
          <w:sz w:val="26"/>
          <w:szCs w:val="26"/>
          <w:rtl/>
          <w:lang w:bidi="ar-AE"/>
        </w:rPr>
        <w:t>16</w:t>
      </w:r>
      <w:r>
        <w:rPr>
          <w:rFonts w:hint="cs"/>
          <w:sz w:val="26"/>
          <w:szCs w:val="26"/>
          <w:rtl/>
          <w:lang w:bidi="ar-AE"/>
        </w:rPr>
        <w:t xml:space="preserve"> دولار أمريكي)؛</w:t>
      </w:r>
    </w:p>
    <w:p w14:paraId="0A0C32B7" w14:textId="77777777" w:rsidR="0020072D" w:rsidRDefault="0020072D" w:rsidP="0020072D">
      <w:pPr>
        <w:pStyle w:val="ListParagraph"/>
        <w:rPr>
          <w:sz w:val="26"/>
          <w:szCs w:val="26"/>
        </w:rPr>
      </w:pPr>
    </w:p>
    <w:p w14:paraId="1102464A" w14:textId="77777777" w:rsidR="0020072D" w:rsidRDefault="0020072D" w:rsidP="00CA33C1">
      <w:pPr>
        <w:pStyle w:val="ListParagraph"/>
        <w:numPr>
          <w:ilvl w:val="0"/>
          <w:numId w:val="30"/>
        </w:numPr>
        <w:bidi/>
        <w:snapToGrid w:val="0"/>
        <w:rPr>
          <w:sz w:val="26"/>
          <w:szCs w:val="26"/>
          <w:lang w:bidi="ar-AE"/>
        </w:rPr>
      </w:pPr>
      <w:r>
        <w:rPr>
          <w:rFonts w:hint="cs"/>
          <w:sz w:val="26"/>
          <w:szCs w:val="26"/>
          <w:rtl/>
          <w:lang w:bidi="ar-AE"/>
        </w:rPr>
        <w:t xml:space="preserve"> </w:t>
      </w:r>
      <w:r w:rsidR="00CA33C1">
        <w:rPr>
          <w:rFonts w:hint="cs"/>
          <w:sz w:val="26"/>
          <w:szCs w:val="26"/>
          <w:rtl/>
          <w:lang w:bidi="ar-AE"/>
        </w:rPr>
        <w:t>تنفيذ المشروع ورصده (يونيب) (لم يطلب تمويل).</w:t>
      </w:r>
    </w:p>
    <w:p w14:paraId="1F4F3404" w14:textId="77777777" w:rsidR="00CA33C1" w:rsidRDefault="00CA33C1" w:rsidP="00CA33C1">
      <w:pPr>
        <w:pStyle w:val="ListParagraph"/>
        <w:bidi/>
        <w:snapToGrid w:val="0"/>
        <w:ind w:left="1080"/>
        <w:rPr>
          <w:sz w:val="26"/>
          <w:szCs w:val="26"/>
          <w:rtl/>
          <w:lang w:bidi="ar-AE"/>
        </w:rPr>
      </w:pPr>
    </w:p>
    <w:p w14:paraId="3C8B3A98" w14:textId="77777777" w:rsidR="0020072D" w:rsidRDefault="0020072D" w:rsidP="0020072D">
      <w:pPr>
        <w:pStyle w:val="ListParagraph"/>
        <w:widowControl w:val="0"/>
        <w:bidi/>
        <w:ind w:left="1080"/>
        <w:rPr>
          <w:bCs/>
          <w:sz w:val="28"/>
          <w:szCs w:val="28"/>
          <w:rtl/>
          <w:lang w:bidi="ar-AE"/>
        </w:rPr>
      </w:pPr>
    </w:p>
    <w:p w14:paraId="4453BB73" w14:textId="77777777" w:rsidR="0020072D" w:rsidRPr="0020072D" w:rsidRDefault="0020072D" w:rsidP="0020072D">
      <w:pPr>
        <w:pStyle w:val="ListParagraph"/>
        <w:widowControl w:val="0"/>
        <w:bidi/>
        <w:ind w:left="1080"/>
        <w:jc w:val="center"/>
        <w:rPr>
          <w:bCs/>
          <w:sz w:val="28"/>
          <w:szCs w:val="28"/>
          <w:lang w:bidi="ar-EG"/>
        </w:rPr>
      </w:pPr>
      <w:r w:rsidRPr="0020072D">
        <w:rPr>
          <w:rFonts w:hint="cs"/>
          <w:bCs/>
          <w:sz w:val="28"/>
          <w:szCs w:val="28"/>
          <w:rtl/>
          <w:lang w:bidi="ar-AE"/>
        </w:rPr>
        <w:t>تعليقــات الأمانة والتوصية</w:t>
      </w:r>
    </w:p>
    <w:p w14:paraId="5B4B09A3" w14:textId="77777777" w:rsidR="0020072D" w:rsidRPr="0020072D" w:rsidRDefault="0020072D" w:rsidP="0020072D">
      <w:pPr>
        <w:widowControl w:val="0"/>
        <w:bidi/>
        <w:rPr>
          <w:sz w:val="22"/>
          <w:szCs w:val="24"/>
          <w:rtl/>
          <w:lang w:val="en-US" w:bidi="ar-SA"/>
        </w:rPr>
      </w:pPr>
    </w:p>
    <w:p w14:paraId="68BD8A67" w14:textId="77777777" w:rsidR="0020072D" w:rsidRPr="0020072D" w:rsidRDefault="0020072D" w:rsidP="0020072D">
      <w:pPr>
        <w:bidi/>
        <w:jc w:val="left"/>
        <w:rPr>
          <w:bCs/>
          <w:sz w:val="26"/>
          <w:szCs w:val="26"/>
          <w:lang w:bidi="ar-EG"/>
        </w:rPr>
      </w:pPr>
      <w:r w:rsidRPr="0020072D">
        <w:rPr>
          <w:rFonts w:hint="cs"/>
          <w:bCs/>
          <w:sz w:val="28"/>
          <w:szCs w:val="28"/>
          <w:rtl/>
          <w:lang w:bidi="ar-AE"/>
        </w:rPr>
        <w:t>التعليقـات</w:t>
      </w:r>
    </w:p>
    <w:p w14:paraId="4A73899A" w14:textId="77777777" w:rsidR="00F97365" w:rsidRDefault="00F97365" w:rsidP="0020072D">
      <w:pPr>
        <w:pStyle w:val="StyleHeader4Para4Left0Firstline0"/>
        <w:numPr>
          <w:ilvl w:val="0"/>
          <w:numId w:val="0"/>
        </w:numPr>
        <w:tabs>
          <w:tab w:val="clear" w:pos="2880"/>
        </w:tabs>
        <w:bidi/>
        <w:jc w:val="left"/>
        <w:rPr>
          <w:sz w:val="26"/>
          <w:szCs w:val="26"/>
          <w:rtl/>
        </w:rPr>
      </w:pPr>
    </w:p>
    <w:p w14:paraId="4D72C045" w14:textId="77777777" w:rsidR="006F4D44" w:rsidRDefault="006F4D44" w:rsidP="006F4D44">
      <w:pPr>
        <w:keepNext/>
        <w:keepLines/>
        <w:bidi/>
        <w:rPr>
          <w:sz w:val="26"/>
          <w:szCs w:val="26"/>
          <w:u w:val="single"/>
          <w:lang w:bidi="ar-EG"/>
        </w:rPr>
      </w:pPr>
      <w:r>
        <w:rPr>
          <w:rFonts w:hint="cs"/>
          <w:sz w:val="26"/>
          <w:szCs w:val="26"/>
          <w:u w:val="single"/>
          <w:rtl/>
          <w:lang w:bidi="ar-AE"/>
        </w:rPr>
        <w:t>تقرير التحقق</w:t>
      </w:r>
    </w:p>
    <w:p w14:paraId="4647036A" w14:textId="77777777" w:rsidR="006F4D44" w:rsidRDefault="006F4D44" w:rsidP="006F4D44">
      <w:pPr>
        <w:keepNext/>
        <w:keepLines/>
        <w:bidi/>
        <w:rPr>
          <w:sz w:val="26"/>
          <w:szCs w:val="26"/>
          <w:u w:val="single"/>
          <w:rtl/>
          <w:lang w:val="en-US" w:bidi="ar-SA"/>
        </w:rPr>
      </w:pPr>
    </w:p>
    <w:p w14:paraId="2D5AC603" w14:textId="77777777" w:rsidR="006F4D44" w:rsidRDefault="006F4D44" w:rsidP="00096BB4">
      <w:pPr>
        <w:pStyle w:val="Heading1"/>
        <w:keepNext/>
        <w:keepLines/>
        <w:widowControl w:val="0"/>
        <w:numPr>
          <w:ilvl w:val="0"/>
          <w:numId w:val="0"/>
        </w:numPr>
        <w:tabs>
          <w:tab w:val="left" w:pos="708"/>
        </w:tabs>
        <w:bidi/>
        <w:ind w:left="142"/>
        <w:rPr>
          <w:sz w:val="26"/>
          <w:szCs w:val="26"/>
        </w:rPr>
      </w:pPr>
      <w:r>
        <w:rPr>
          <w:rFonts w:hint="cs"/>
          <w:sz w:val="26"/>
          <w:szCs w:val="26"/>
          <w:rtl/>
          <w:lang w:bidi="ar-AE"/>
        </w:rPr>
        <w:t>12</w:t>
      </w:r>
      <w:r>
        <w:rPr>
          <w:rFonts w:hint="cs"/>
          <w:sz w:val="26"/>
          <w:szCs w:val="26"/>
          <w:rtl/>
          <w:lang w:bidi="ar-AE"/>
        </w:rPr>
        <w:tab/>
      </w:r>
      <w:r w:rsidR="00D00A80">
        <w:rPr>
          <w:rFonts w:hint="cs"/>
          <w:sz w:val="26"/>
          <w:szCs w:val="26"/>
          <w:rtl/>
          <w:lang w:bidi="ar-AE"/>
        </w:rPr>
        <w:t xml:space="preserve">لاحظ تقرير التحقق أن حصص استيراد </w:t>
      </w:r>
      <w:r w:rsidR="00D00A80">
        <w:rPr>
          <w:sz w:val="26"/>
          <w:szCs w:val="26"/>
          <w:rtl/>
        </w:rPr>
        <w:t>المواد الهيدروكلوروفلوروكربونية</w:t>
      </w:r>
      <w:r w:rsidR="00D00A80">
        <w:rPr>
          <w:rFonts w:hint="cs"/>
          <w:sz w:val="26"/>
          <w:szCs w:val="26"/>
          <w:rtl/>
        </w:rPr>
        <w:t xml:space="preserve"> </w:t>
      </w:r>
      <w:r w:rsidR="00096BB4">
        <w:rPr>
          <w:rFonts w:hint="cs"/>
          <w:sz w:val="26"/>
          <w:szCs w:val="26"/>
          <w:rtl/>
        </w:rPr>
        <w:t>المحددة</w:t>
      </w:r>
      <w:r w:rsidR="00D00A80">
        <w:rPr>
          <w:rFonts w:hint="cs"/>
          <w:sz w:val="26"/>
          <w:szCs w:val="26"/>
          <w:rtl/>
        </w:rPr>
        <w:t xml:space="preserve"> للفترة من 2013 إلى 2019 لم يتم تجاوزها. ومع ذلك، في حالتين فرديتين، تجاوز مستوردان حصصهما الفردية (2016 و2019)؛ وبالرغم من هذه الحالة، كان استهلاك </w:t>
      </w:r>
      <w:r w:rsidR="00D00A80">
        <w:rPr>
          <w:sz w:val="26"/>
          <w:szCs w:val="26"/>
          <w:rtl/>
        </w:rPr>
        <w:t>المواد الهيدروكلوروفلوروكربونية</w:t>
      </w:r>
      <w:r w:rsidR="00D00A80">
        <w:rPr>
          <w:rFonts w:hint="cs"/>
          <w:sz w:val="26"/>
          <w:szCs w:val="26"/>
          <w:rtl/>
        </w:rPr>
        <w:t xml:space="preserve"> في تلك السنوات أقل من مستوى الحد الأقصي المسموح به. وأبلغ اليونيب وجود خطأ في النظام ولكن الوحدة الوطنية للأوزون وإدارة الجمارك يعملان بشأن منصة إلكترونية تكشف عما إذا كان المستورد قد تجاوز حصته الفردية.</w:t>
      </w:r>
    </w:p>
    <w:p w14:paraId="0E6B2607" w14:textId="77777777" w:rsidR="006F4D44" w:rsidRDefault="006F4D44" w:rsidP="00F56EDC">
      <w:pPr>
        <w:pStyle w:val="StyleHeader4Para4Left0Firstline0"/>
        <w:numPr>
          <w:ilvl w:val="0"/>
          <w:numId w:val="0"/>
        </w:numPr>
        <w:tabs>
          <w:tab w:val="clear" w:pos="2880"/>
          <w:tab w:val="clear" w:pos="5760"/>
          <w:tab w:val="left" w:pos="720"/>
        </w:tabs>
        <w:bidi/>
        <w:jc w:val="left"/>
        <w:rPr>
          <w:snapToGrid w:val="0"/>
          <w:sz w:val="26"/>
          <w:szCs w:val="26"/>
          <w:rtl/>
          <w:lang w:bidi="ar-AE"/>
        </w:rPr>
      </w:pPr>
      <w:r>
        <w:rPr>
          <w:rFonts w:hint="cs"/>
          <w:snapToGrid w:val="0"/>
          <w:sz w:val="26"/>
          <w:szCs w:val="26"/>
          <w:rtl/>
        </w:rPr>
        <w:t>13</w:t>
      </w:r>
      <w:r>
        <w:rPr>
          <w:rFonts w:hint="cs"/>
          <w:snapToGrid w:val="0"/>
          <w:sz w:val="26"/>
          <w:szCs w:val="26"/>
          <w:rtl/>
        </w:rPr>
        <w:tab/>
      </w:r>
      <w:r w:rsidR="00F56EDC">
        <w:rPr>
          <w:rFonts w:hint="cs"/>
          <w:snapToGrid w:val="0"/>
          <w:sz w:val="26"/>
          <w:szCs w:val="26"/>
          <w:rtl/>
        </w:rPr>
        <w:t xml:space="preserve">أبلغ اليونيب أيضا أن الحكومة ستتناول التوصيات خلال تنفيذ الشريحة الرابعة من المرحلة الأولى من </w:t>
      </w:r>
      <w:r w:rsidR="00F56EDC">
        <w:rPr>
          <w:sz w:val="26"/>
          <w:szCs w:val="26"/>
          <w:rtl/>
        </w:rPr>
        <w:t xml:space="preserve">خطة </w:t>
      </w:r>
      <w:r w:rsidR="00F56EDC">
        <w:rPr>
          <w:sz w:val="26"/>
          <w:szCs w:val="26"/>
          <w:rtl/>
        </w:rPr>
        <w:lastRenderedPageBreak/>
        <w:t>إدارة إزالة المواد الهيدروكلوروفلوروكربونية</w:t>
      </w:r>
      <w:r w:rsidR="00F56EDC">
        <w:rPr>
          <w:rFonts w:hint="cs"/>
          <w:sz w:val="26"/>
          <w:szCs w:val="26"/>
          <w:rtl/>
        </w:rPr>
        <w:t xml:space="preserve"> ومن خلال تنفيذ مشروع الدعم المؤسسي. وتعتبر الأمانة أن من المفيد تناول هذه التوصيات وتتفق مع اليونيب بإدراج تحديث عن التقدم نحو تنفيذ تلك التوصيات عند تقديم المرحلة الثانية من </w:t>
      </w:r>
      <w:r w:rsidR="00F56EDC">
        <w:rPr>
          <w:sz w:val="26"/>
          <w:szCs w:val="26"/>
          <w:rtl/>
        </w:rPr>
        <w:t>خطة إدارة إزالة المواد الهيدروكلوروفلوروكربونية</w:t>
      </w:r>
      <w:r w:rsidR="00F56EDC">
        <w:rPr>
          <w:rFonts w:hint="cs"/>
          <w:sz w:val="26"/>
          <w:szCs w:val="26"/>
          <w:rtl/>
        </w:rPr>
        <w:t>.</w:t>
      </w:r>
    </w:p>
    <w:p w14:paraId="3F9E9237" w14:textId="77777777" w:rsidR="006F4D44" w:rsidRPr="00B145D8" w:rsidRDefault="006F4D44" w:rsidP="00B145D8">
      <w:pPr>
        <w:pStyle w:val="StyleHeader4Para4Left0Firstline0"/>
        <w:numPr>
          <w:ilvl w:val="0"/>
          <w:numId w:val="0"/>
        </w:numPr>
        <w:tabs>
          <w:tab w:val="clear" w:pos="2880"/>
          <w:tab w:val="clear" w:pos="5760"/>
          <w:tab w:val="left" w:pos="720"/>
        </w:tabs>
        <w:bidi/>
        <w:jc w:val="left"/>
        <w:rPr>
          <w:snapToGrid w:val="0"/>
          <w:sz w:val="26"/>
          <w:szCs w:val="26"/>
          <w:rtl/>
          <w:lang w:val="en-US" w:bidi="ar-EG"/>
        </w:rPr>
      </w:pPr>
      <w:r>
        <w:rPr>
          <w:rFonts w:hint="cs"/>
          <w:snapToGrid w:val="0"/>
          <w:sz w:val="26"/>
          <w:szCs w:val="26"/>
          <w:rtl/>
          <w:lang w:bidi="ar-AE"/>
        </w:rPr>
        <w:t>14</w:t>
      </w:r>
      <w:r>
        <w:rPr>
          <w:rFonts w:hint="cs"/>
          <w:snapToGrid w:val="0"/>
          <w:sz w:val="26"/>
          <w:szCs w:val="26"/>
          <w:rtl/>
          <w:lang w:bidi="ar-AE"/>
        </w:rPr>
        <w:tab/>
      </w:r>
      <w:r w:rsidR="00B145D8">
        <w:rPr>
          <w:rFonts w:hint="cs"/>
          <w:snapToGrid w:val="0"/>
          <w:sz w:val="26"/>
          <w:szCs w:val="26"/>
          <w:rtl/>
          <w:lang w:bidi="ar-AE"/>
        </w:rPr>
        <w:t xml:space="preserve">أكد تقرير التحقق على زيادة استهلاك المواد الهيدروفلوروكربونية والأمونيا وأن معدات التبريد وتكييف الهواء العاملة بسوائل تبريد الهيدروكربون (أساسا </w:t>
      </w:r>
      <w:r w:rsidR="00B145D8">
        <w:rPr>
          <w:snapToGrid w:val="0"/>
          <w:sz w:val="26"/>
          <w:szCs w:val="26"/>
          <w:lang w:val="en-US" w:bidi="ar-AE"/>
        </w:rPr>
        <w:t>R-600a</w:t>
      </w:r>
      <w:r w:rsidR="00B145D8">
        <w:rPr>
          <w:rFonts w:hint="cs"/>
          <w:snapToGrid w:val="0"/>
          <w:sz w:val="26"/>
          <w:szCs w:val="26"/>
          <w:rtl/>
          <w:lang w:val="en-US" w:bidi="ar-EG"/>
        </w:rPr>
        <w:t xml:space="preserve"> في التبريد المنزلى) قد تم استيرادها </w:t>
      </w:r>
      <w:r w:rsidR="00A902CF">
        <w:rPr>
          <w:rFonts w:hint="cs"/>
          <w:snapToGrid w:val="0"/>
          <w:sz w:val="26"/>
          <w:szCs w:val="26"/>
          <w:rtl/>
          <w:lang w:val="en-US" w:bidi="ar-EG"/>
        </w:rPr>
        <w:t>في البلد. وفي هذا الصدد، أبلغ اليونيب أن البلد قد استخدم نموذجا بشأن معايير المناولة الآمنة لسوائل التبريد القابلة للاشتعال والسامة في جميع حلقات العمل التدريبية للتبريد وتكييف الهواء.</w:t>
      </w:r>
    </w:p>
    <w:p w14:paraId="415C203F" w14:textId="77777777" w:rsidR="006F4D44" w:rsidRDefault="006F4D44" w:rsidP="00CA33C1">
      <w:pPr>
        <w:widowControl w:val="0"/>
        <w:bidi/>
        <w:rPr>
          <w:sz w:val="26"/>
          <w:szCs w:val="26"/>
          <w:u w:val="single"/>
          <w:lang w:bidi="ar-AE"/>
        </w:rPr>
      </w:pPr>
      <w:r>
        <w:rPr>
          <w:rFonts w:hint="cs"/>
          <w:sz w:val="26"/>
          <w:szCs w:val="26"/>
          <w:u w:val="single"/>
          <w:rtl/>
          <w:lang w:bidi="ar-AE"/>
        </w:rPr>
        <w:t xml:space="preserve">تقرير مرحلى بشأن تنفيذ الشريحة </w:t>
      </w:r>
      <w:r w:rsidR="00CA33C1">
        <w:rPr>
          <w:rFonts w:hint="cs"/>
          <w:sz w:val="26"/>
          <w:szCs w:val="26"/>
          <w:u w:val="single"/>
          <w:rtl/>
          <w:lang w:bidi="ar-AE"/>
        </w:rPr>
        <w:t>الثالثة</w:t>
      </w:r>
      <w:r>
        <w:rPr>
          <w:rFonts w:hint="cs"/>
          <w:sz w:val="26"/>
          <w:szCs w:val="26"/>
          <w:u w:val="single"/>
          <w:rtl/>
          <w:lang w:bidi="ar-AE"/>
        </w:rPr>
        <w:t xml:space="preserve"> لخطة إدارة إزالة المواد الهيدروكلوروفلوروكربونية</w:t>
      </w:r>
    </w:p>
    <w:p w14:paraId="064DE9AE" w14:textId="77777777" w:rsidR="006F4D44" w:rsidRDefault="006F4D44" w:rsidP="006F4D44">
      <w:pPr>
        <w:widowControl w:val="0"/>
        <w:bidi/>
        <w:rPr>
          <w:sz w:val="26"/>
          <w:szCs w:val="26"/>
          <w:u w:val="single"/>
          <w:rtl/>
          <w:lang w:bidi="ar-AE"/>
        </w:rPr>
      </w:pPr>
    </w:p>
    <w:p w14:paraId="760A750D" w14:textId="77777777" w:rsidR="006F4D44" w:rsidRDefault="006F4D44" w:rsidP="006F4D44">
      <w:pPr>
        <w:widowControl w:val="0"/>
        <w:bidi/>
        <w:rPr>
          <w:i/>
          <w:iCs/>
          <w:sz w:val="26"/>
          <w:szCs w:val="26"/>
          <w:rtl/>
          <w:lang w:bidi="ar-EG"/>
        </w:rPr>
      </w:pPr>
      <w:r>
        <w:rPr>
          <w:rFonts w:hint="cs"/>
          <w:i/>
          <w:iCs/>
          <w:sz w:val="26"/>
          <w:szCs w:val="26"/>
          <w:rtl/>
          <w:lang w:bidi="ar-AE"/>
        </w:rPr>
        <w:t>الإطار القانونى</w:t>
      </w:r>
    </w:p>
    <w:p w14:paraId="0A396072" w14:textId="77777777" w:rsidR="006F4D44" w:rsidRDefault="006F4D44" w:rsidP="006F4D44">
      <w:pPr>
        <w:widowControl w:val="0"/>
        <w:bidi/>
        <w:rPr>
          <w:sz w:val="26"/>
          <w:szCs w:val="26"/>
          <w:u w:val="single"/>
          <w:rtl/>
          <w:lang w:val="en-US" w:bidi="ar-SA"/>
        </w:rPr>
      </w:pPr>
    </w:p>
    <w:p w14:paraId="5635BE78" w14:textId="77777777" w:rsidR="006F4D44" w:rsidRDefault="006F4D44" w:rsidP="00CA33C1">
      <w:pPr>
        <w:pStyle w:val="Heading1"/>
        <w:numPr>
          <w:ilvl w:val="0"/>
          <w:numId w:val="0"/>
        </w:numPr>
        <w:tabs>
          <w:tab w:val="left" w:pos="708"/>
        </w:tabs>
        <w:bidi/>
        <w:ind w:left="142"/>
        <w:rPr>
          <w:sz w:val="26"/>
          <w:szCs w:val="26"/>
          <w:rtl/>
          <w:lang w:bidi="ar-AE"/>
        </w:rPr>
      </w:pPr>
      <w:r>
        <w:rPr>
          <w:rFonts w:hint="cs"/>
          <w:sz w:val="26"/>
          <w:szCs w:val="26"/>
          <w:rtl/>
          <w:lang w:bidi="ar-AE"/>
        </w:rPr>
        <w:t>15</w:t>
      </w:r>
      <w:r>
        <w:rPr>
          <w:rFonts w:hint="cs"/>
          <w:sz w:val="26"/>
          <w:szCs w:val="26"/>
          <w:rtl/>
          <w:lang w:bidi="ar-AE"/>
        </w:rPr>
        <w:tab/>
        <w:t xml:space="preserve">قامت حكومة </w:t>
      </w:r>
      <w:r w:rsidR="00CA33C1">
        <w:rPr>
          <w:rFonts w:hint="cs"/>
          <w:sz w:val="26"/>
          <w:szCs w:val="26"/>
          <w:rtl/>
          <w:lang w:bidi="ar-AE"/>
        </w:rPr>
        <w:t>غينيا</w:t>
      </w:r>
      <w:r w:rsidR="00096BB4">
        <w:rPr>
          <w:rFonts w:hint="cs"/>
          <w:sz w:val="26"/>
          <w:szCs w:val="26"/>
          <w:rtl/>
          <w:lang w:bidi="ar-AE"/>
        </w:rPr>
        <w:t xml:space="preserve"> </w:t>
      </w:r>
      <w:r w:rsidR="00CA33C1">
        <w:rPr>
          <w:rFonts w:hint="cs"/>
          <w:sz w:val="26"/>
          <w:szCs w:val="26"/>
          <w:rtl/>
          <w:lang w:bidi="ar-AE"/>
        </w:rPr>
        <w:t>- بيساو</w:t>
      </w:r>
      <w:r>
        <w:rPr>
          <w:rFonts w:hint="cs"/>
          <w:sz w:val="26"/>
          <w:szCs w:val="26"/>
          <w:rtl/>
          <w:lang w:bidi="ar-AE"/>
        </w:rPr>
        <w:t xml:space="preserve"> باصدار حصص واردات من الهيدروكلوروفلوروكربون لعام </w:t>
      </w:r>
      <w:r w:rsidR="00CA33C1">
        <w:rPr>
          <w:rFonts w:hint="cs"/>
          <w:sz w:val="26"/>
          <w:szCs w:val="26"/>
          <w:rtl/>
          <w:lang w:bidi="ar-AE"/>
        </w:rPr>
        <w:t>2020</w:t>
      </w:r>
      <w:r>
        <w:rPr>
          <w:rFonts w:hint="cs"/>
          <w:sz w:val="26"/>
          <w:szCs w:val="26"/>
          <w:rtl/>
          <w:lang w:bidi="ar-AE"/>
        </w:rPr>
        <w:t xml:space="preserve"> </w:t>
      </w:r>
      <w:r w:rsidR="00CA33C1">
        <w:rPr>
          <w:rFonts w:hint="cs"/>
          <w:sz w:val="26"/>
          <w:szCs w:val="26"/>
          <w:rtl/>
          <w:lang w:bidi="ar-AE"/>
        </w:rPr>
        <w:t xml:space="preserve">تبلغ 1.21 طن من قدرات استنفاد الأوزون، تمثل 34 في المائة أقل من </w:t>
      </w:r>
      <w:r>
        <w:rPr>
          <w:rFonts w:hint="cs"/>
          <w:sz w:val="26"/>
          <w:szCs w:val="26"/>
          <w:rtl/>
          <w:lang w:bidi="ar-AE"/>
        </w:rPr>
        <w:t xml:space="preserve">أهداف الرقابة لبروتوكول مونتريال. </w:t>
      </w:r>
    </w:p>
    <w:p w14:paraId="66D8DF41" w14:textId="77777777" w:rsidR="00E9240E" w:rsidRDefault="006F4D44" w:rsidP="00E721EF">
      <w:pPr>
        <w:bidi/>
        <w:rPr>
          <w:sz w:val="26"/>
          <w:szCs w:val="26"/>
          <w:lang w:bidi="ar-AE"/>
        </w:rPr>
      </w:pPr>
      <w:r>
        <w:rPr>
          <w:rFonts w:hint="cs"/>
          <w:sz w:val="26"/>
          <w:szCs w:val="26"/>
          <w:rtl/>
          <w:lang w:bidi="ar-AE"/>
        </w:rPr>
        <w:t>16</w:t>
      </w:r>
      <w:r>
        <w:rPr>
          <w:rFonts w:hint="cs"/>
          <w:sz w:val="26"/>
          <w:szCs w:val="26"/>
          <w:rtl/>
          <w:lang w:bidi="ar-AE"/>
        </w:rPr>
        <w:tab/>
      </w:r>
      <w:r w:rsidR="00477940">
        <w:rPr>
          <w:rFonts w:hint="cs"/>
          <w:sz w:val="26"/>
          <w:szCs w:val="26"/>
          <w:rtl/>
          <w:lang w:bidi="ar-AE"/>
        </w:rPr>
        <w:t>لدى غينيا</w:t>
      </w:r>
      <w:r w:rsidR="00E721EF">
        <w:rPr>
          <w:rFonts w:hint="cs"/>
          <w:sz w:val="26"/>
          <w:szCs w:val="26"/>
          <w:rtl/>
          <w:lang w:bidi="ar-AE"/>
        </w:rPr>
        <w:t xml:space="preserve"> </w:t>
      </w:r>
      <w:r w:rsidR="00477940">
        <w:rPr>
          <w:rFonts w:hint="cs"/>
          <w:sz w:val="26"/>
          <w:szCs w:val="26"/>
          <w:rtl/>
          <w:lang w:bidi="ar-AE"/>
        </w:rPr>
        <w:t xml:space="preserve">- بيساو إطار ناظم وقانونى لاستيراد وتوزيع </w:t>
      </w:r>
      <w:r w:rsidR="00477940">
        <w:rPr>
          <w:snapToGrid w:val="0"/>
          <w:sz w:val="26"/>
          <w:szCs w:val="26"/>
          <w:rtl/>
          <w:lang w:bidi="ar-AE"/>
        </w:rPr>
        <w:t>المواد الهيدرو</w:t>
      </w:r>
      <w:r w:rsidR="00E721EF">
        <w:rPr>
          <w:rFonts w:hint="cs"/>
          <w:snapToGrid w:val="0"/>
          <w:sz w:val="26"/>
          <w:szCs w:val="26"/>
          <w:rtl/>
          <w:lang w:bidi="ar-AE"/>
        </w:rPr>
        <w:t>كلورو</w:t>
      </w:r>
      <w:r w:rsidR="00477940">
        <w:rPr>
          <w:snapToGrid w:val="0"/>
          <w:sz w:val="26"/>
          <w:szCs w:val="26"/>
          <w:rtl/>
          <w:lang w:bidi="ar-AE"/>
        </w:rPr>
        <w:t>فلوروكربونية</w:t>
      </w:r>
      <w:r w:rsidR="00477940">
        <w:rPr>
          <w:rFonts w:hint="cs"/>
          <w:snapToGrid w:val="0"/>
          <w:sz w:val="26"/>
          <w:szCs w:val="26"/>
          <w:rtl/>
          <w:lang w:bidi="ar-AE"/>
        </w:rPr>
        <w:t xml:space="preserve">؛ هناك حظر على الواردات من المعدات المستعملة القائمة على </w:t>
      </w:r>
      <w:r w:rsidR="00477940">
        <w:rPr>
          <w:sz w:val="26"/>
          <w:szCs w:val="26"/>
          <w:rtl/>
          <w:lang w:bidi="ar-AE"/>
        </w:rPr>
        <w:t>الهيدروكلوروفلوروكربون</w:t>
      </w:r>
      <w:r w:rsidR="00477940">
        <w:rPr>
          <w:rFonts w:hint="cs"/>
          <w:sz w:val="26"/>
          <w:szCs w:val="26"/>
          <w:rtl/>
          <w:lang w:bidi="ar-AE"/>
        </w:rPr>
        <w:t xml:space="preserve"> وتخضع الواردات الجديدة من المعدات القائمة على </w:t>
      </w:r>
      <w:r w:rsidR="00477940">
        <w:rPr>
          <w:sz w:val="26"/>
          <w:szCs w:val="26"/>
          <w:rtl/>
          <w:lang w:bidi="ar-AE"/>
        </w:rPr>
        <w:t>الهيدروكلوروفلوروكربون</w:t>
      </w:r>
      <w:r w:rsidR="00477940">
        <w:rPr>
          <w:rFonts w:hint="cs"/>
          <w:sz w:val="26"/>
          <w:szCs w:val="26"/>
          <w:rtl/>
          <w:lang w:bidi="ar-AE"/>
        </w:rPr>
        <w:t xml:space="preserve"> لترخيص مسبق. وفي ما يتعلق بالقانون الوطنى واللوائح الإقليمية المنسقة للمواد المستنفدة للأوزون لغرض التصديق على تعديل </w:t>
      </w:r>
      <w:r w:rsidR="00E9240E">
        <w:rPr>
          <w:rFonts w:hint="cs"/>
          <w:sz w:val="26"/>
          <w:szCs w:val="26"/>
          <w:rtl/>
          <w:lang w:bidi="ar-AE"/>
        </w:rPr>
        <w:t xml:space="preserve">كيغالى من قبل 8 دول أعضاء في </w:t>
      </w:r>
      <w:r w:rsidR="00E9240E">
        <w:rPr>
          <w:sz w:val="26"/>
          <w:szCs w:val="26"/>
          <w:rtl/>
          <w:lang w:bidi="ar-AE"/>
        </w:rPr>
        <w:t>الاتحاد الاقتصادى والمالى لأفريقيا الغربية</w:t>
      </w:r>
      <w:r w:rsidR="00E9240E">
        <w:rPr>
          <w:rFonts w:hint="cs"/>
          <w:sz w:val="26"/>
          <w:szCs w:val="26"/>
          <w:rtl/>
          <w:lang w:bidi="ar-AE"/>
        </w:rPr>
        <w:t xml:space="preserve">، أبلغ اليونيب أن الدول الأعضاء قد ناقشت اللوائح المنسقة </w:t>
      </w:r>
      <w:r w:rsidR="00E9240E">
        <w:rPr>
          <w:rFonts w:hint="cs"/>
          <w:snapToGrid w:val="0"/>
          <w:sz w:val="26"/>
          <w:szCs w:val="26"/>
          <w:rtl/>
          <w:lang w:bidi="ar-AE"/>
        </w:rPr>
        <w:t>ل</w:t>
      </w:r>
      <w:r w:rsidR="00E9240E">
        <w:rPr>
          <w:snapToGrid w:val="0"/>
          <w:sz w:val="26"/>
          <w:szCs w:val="26"/>
          <w:rtl/>
          <w:lang w:bidi="ar-AE"/>
        </w:rPr>
        <w:t>لهيدروفلوروكربون</w:t>
      </w:r>
      <w:r w:rsidR="00E721EF">
        <w:rPr>
          <w:rFonts w:hint="cs"/>
          <w:snapToGrid w:val="0"/>
          <w:sz w:val="26"/>
          <w:szCs w:val="26"/>
          <w:rtl/>
          <w:lang w:bidi="ar-AE"/>
        </w:rPr>
        <w:t xml:space="preserve"> في</w:t>
      </w:r>
      <w:r w:rsidR="00E9240E">
        <w:rPr>
          <w:rFonts w:hint="cs"/>
          <w:snapToGrid w:val="0"/>
          <w:sz w:val="26"/>
          <w:szCs w:val="26"/>
          <w:rtl/>
          <w:lang w:bidi="ar-AE"/>
        </w:rPr>
        <w:t xml:space="preserve"> ديسمبر/كانون الأول 2019؛ وسوف يقدم مشروع لائحة إلى أمانة </w:t>
      </w:r>
      <w:r w:rsidR="00E9240E">
        <w:rPr>
          <w:sz w:val="26"/>
          <w:szCs w:val="26"/>
          <w:rtl/>
          <w:lang w:bidi="ar-AE"/>
        </w:rPr>
        <w:t>الاتحاد الاقتصادى والمالى لأفريقيا الغربية</w:t>
      </w:r>
      <w:r w:rsidR="00E9240E">
        <w:rPr>
          <w:rFonts w:hint="cs"/>
          <w:sz w:val="26"/>
          <w:szCs w:val="26"/>
          <w:rtl/>
          <w:lang w:bidi="ar-AE"/>
        </w:rPr>
        <w:t xml:space="preserve"> </w:t>
      </w:r>
      <w:r w:rsidR="00E9240E">
        <w:rPr>
          <w:rFonts w:hint="cs"/>
          <w:snapToGrid w:val="0"/>
          <w:sz w:val="26"/>
          <w:szCs w:val="26"/>
          <w:rtl/>
          <w:lang w:bidi="ar-AE"/>
        </w:rPr>
        <w:t>في يولية/تموز 2020 للموافقة عليها من قبل مجلس الوزراء.</w:t>
      </w:r>
    </w:p>
    <w:p w14:paraId="28F99C67" w14:textId="77777777" w:rsidR="006F4D44" w:rsidRPr="00E9240E" w:rsidRDefault="006F4D44" w:rsidP="00E9240E">
      <w:pPr>
        <w:bidi/>
        <w:rPr>
          <w:sz w:val="26"/>
          <w:szCs w:val="26"/>
          <w:rtl/>
          <w:lang w:bidi="ar-AE"/>
        </w:rPr>
      </w:pPr>
    </w:p>
    <w:p w14:paraId="0AF1E274" w14:textId="77777777" w:rsidR="006F4D44" w:rsidRDefault="006F4D44" w:rsidP="006F4D44">
      <w:pPr>
        <w:widowControl w:val="0"/>
        <w:bidi/>
        <w:rPr>
          <w:i/>
          <w:iCs/>
          <w:sz w:val="26"/>
          <w:szCs w:val="26"/>
          <w:lang w:bidi="ar-EG"/>
        </w:rPr>
      </w:pPr>
      <w:r>
        <w:rPr>
          <w:rFonts w:hint="cs"/>
          <w:i/>
          <w:iCs/>
          <w:sz w:val="26"/>
          <w:szCs w:val="26"/>
          <w:rtl/>
          <w:lang w:bidi="ar-AE"/>
        </w:rPr>
        <w:t>قطاع خدمة التبريد</w:t>
      </w:r>
    </w:p>
    <w:p w14:paraId="7C89371B" w14:textId="77777777" w:rsidR="006F4D44" w:rsidRDefault="006F4D44" w:rsidP="006F4D44">
      <w:pPr>
        <w:widowControl w:val="0"/>
        <w:bidi/>
        <w:rPr>
          <w:sz w:val="26"/>
          <w:szCs w:val="26"/>
          <w:u w:val="single"/>
          <w:rtl/>
          <w:lang w:val="en-US" w:bidi="ar-SA"/>
        </w:rPr>
      </w:pPr>
    </w:p>
    <w:p w14:paraId="37140523" w14:textId="77777777" w:rsidR="006F4D44" w:rsidRDefault="006F4D44" w:rsidP="00E721EF">
      <w:pPr>
        <w:pStyle w:val="Heading1"/>
        <w:numPr>
          <w:ilvl w:val="0"/>
          <w:numId w:val="0"/>
        </w:numPr>
        <w:tabs>
          <w:tab w:val="left" w:pos="708"/>
        </w:tabs>
        <w:bidi/>
        <w:ind w:left="142"/>
        <w:rPr>
          <w:sz w:val="26"/>
          <w:szCs w:val="26"/>
          <w:rtl/>
          <w:lang w:bidi="ar-AE"/>
        </w:rPr>
      </w:pPr>
      <w:r>
        <w:rPr>
          <w:rFonts w:hint="cs"/>
          <w:sz w:val="26"/>
          <w:szCs w:val="26"/>
          <w:rtl/>
          <w:lang w:bidi="ar-AE"/>
        </w:rPr>
        <w:t>17</w:t>
      </w:r>
      <w:r>
        <w:rPr>
          <w:rFonts w:hint="cs"/>
          <w:sz w:val="26"/>
          <w:szCs w:val="26"/>
          <w:rtl/>
          <w:lang w:bidi="ar-AE"/>
        </w:rPr>
        <w:tab/>
      </w:r>
      <w:r w:rsidR="00553973">
        <w:rPr>
          <w:rFonts w:hint="cs"/>
          <w:sz w:val="26"/>
          <w:szCs w:val="26"/>
          <w:rtl/>
          <w:lang w:bidi="ar-AE"/>
        </w:rPr>
        <w:t xml:space="preserve">أبلغ اليونيب أن المشروع التدليلى التجريبي لخفض التسرب لدى كبار مستهلكى سوائل التبريد، مثل المتاجر الكبيرة أو الاستخدام الصناعي المتوقع في الاجتماع السابع والسبعين، لم يتم تنفيذه نظرا لأن المرحلة الأولى ركزت على تدريب التقنيين وإنشاء مركز تدريب جديد. لقد استخدم مفهوم خفض تسرب سوائل التبريد لدى تقنيي التبريد وتكييف الهواء خلال حلقات العمل التدريبية وأثير الوعى بهذه المسألة مع المستعملين النهائيين. ويتوقع أن يكون </w:t>
      </w:r>
      <w:r w:rsidR="00553973">
        <w:rPr>
          <w:sz w:val="26"/>
          <w:szCs w:val="26"/>
          <w:rtl/>
          <w:lang w:bidi="ar-AE"/>
        </w:rPr>
        <w:t>المشروع التدليلى التجريبي</w:t>
      </w:r>
      <w:r w:rsidR="00553973">
        <w:rPr>
          <w:rFonts w:hint="cs"/>
          <w:sz w:val="26"/>
          <w:szCs w:val="26"/>
          <w:rtl/>
          <w:lang w:bidi="ar-AE"/>
        </w:rPr>
        <w:t xml:space="preserve"> جزء من </w:t>
      </w:r>
      <w:r w:rsidR="00E721EF">
        <w:rPr>
          <w:rFonts w:hint="cs"/>
          <w:sz w:val="26"/>
          <w:szCs w:val="26"/>
          <w:rtl/>
          <w:lang w:bidi="ar-AE"/>
        </w:rPr>
        <w:t xml:space="preserve">المرحلة الثانية من </w:t>
      </w:r>
      <w:r w:rsidR="00553973">
        <w:rPr>
          <w:sz w:val="26"/>
          <w:szCs w:val="26"/>
          <w:rtl/>
        </w:rPr>
        <w:t>خطة إدارة إزالة المواد الهيدروكلوروفلوروكربونية</w:t>
      </w:r>
      <w:r w:rsidR="00553973">
        <w:rPr>
          <w:rFonts w:hint="cs"/>
          <w:sz w:val="26"/>
          <w:szCs w:val="26"/>
          <w:rtl/>
        </w:rPr>
        <w:t>. وسوف يستخدم الرصيد البالغ 043 7 دولار أمريكي</w:t>
      </w:r>
      <w:r w:rsidR="00553973" w:rsidRPr="00553973">
        <w:rPr>
          <w:sz w:val="26"/>
          <w:szCs w:val="26"/>
          <w:rtl/>
        </w:rPr>
        <w:t xml:space="preserve"> </w:t>
      </w:r>
      <w:r w:rsidR="00553973">
        <w:rPr>
          <w:rFonts w:hint="cs"/>
          <w:sz w:val="26"/>
          <w:szCs w:val="26"/>
          <w:rtl/>
        </w:rPr>
        <w:t xml:space="preserve"> من مكون اليونيدو لمزيد من التدريب و</w:t>
      </w:r>
      <w:r w:rsidR="00E721EF">
        <w:rPr>
          <w:rFonts w:hint="cs"/>
          <w:sz w:val="26"/>
          <w:szCs w:val="26"/>
          <w:rtl/>
        </w:rPr>
        <w:t xml:space="preserve">شراء </w:t>
      </w:r>
      <w:r w:rsidR="00553973">
        <w:rPr>
          <w:rFonts w:hint="cs"/>
          <w:sz w:val="26"/>
          <w:szCs w:val="26"/>
          <w:rtl/>
        </w:rPr>
        <w:t>أدوات لحلقات العمل الخاصة بالتبريد وتكييف الهواء.</w:t>
      </w:r>
    </w:p>
    <w:p w14:paraId="1615F326" w14:textId="77777777" w:rsidR="006F4D44" w:rsidRPr="00CA33C1" w:rsidRDefault="00CA33C1" w:rsidP="00CA33C1">
      <w:pPr>
        <w:bidi/>
        <w:rPr>
          <w:sz w:val="26"/>
          <w:szCs w:val="26"/>
          <w:u w:val="single"/>
          <w:rtl/>
          <w:lang w:bidi="ar-AE"/>
        </w:rPr>
      </w:pPr>
      <w:r w:rsidRPr="00CA33C1">
        <w:rPr>
          <w:rFonts w:hint="cs"/>
          <w:sz w:val="26"/>
          <w:szCs w:val="26"/>
          <w:u w:val="single"/>
          <w:rtl/>
          <w:lang w:bidi="ar-AE"/>
        </w:rPr>
        <w:t xml:space="preserve">تنفيذ </w:t>
      </w:r>
      <w:r w:rsidR="006F4D44" w:rsidRPr="00CA33C1">
        <w:rPr>
          <w:rFonts w:hint="cs"/>
          <w:sz w:val="26"/>
          <w:szCs w:val="26"/>
          <w:u w:val="single"/>
          <w:rtl/>
          <w:lang w:bidi="ar-AE"/>
        </w:rPr>
        <w:t xml:space="preserve">سياسة </w:t>
      </w:r>
      <w:r w:rsidRPr="00CA33C1">
        <w:rPr>
          <w:rFonts w:hint="cs"/>
          <w:sz w:val="26"/>
          <w:szCs w:val="26"/>
          <w:u w:val="single"/>
          <w:rtl/>
          <w:lang w:bidi="ar-AE"/>
        </w:rPr>
        <w:t>المنظور الجنسانى</w:t>
      </w:r>
      <w:r w:rsidR="003B04E6">
        <w:rPr>
          <w:rStyle w:val="FootnoteReference"/>
          <w:sz w:val="26"/>
          <w:szCs w:val="26"/>
          <w:u w:val="single"/>
          <w:rtl/>
          <w:lang w:bidi="ar-AE"/>
        </w:rPr>
        <w:footnoteReference w:id="3"/>
      </w:r>
    </w:p>
    <w:p w14:paraId="631DADB4" w14:textId="77777777" w:rsidR="006F4D44" w:rsidRDefault="006F4D44" w:rsidP="006F4D44">
      <w:pPr>
        <w:bidi/>
        <w:rPr>
          <w:sz w:val="26"/>
          <w:szCs w:val="26"/>
          <w:rtl/>
          <w:lang w:bidi="ar-AE"/>
        </w:rPr>
      </w:pPr>
    </w:p>
    <w:p w14:paraId="049DB560" w14:textId="77777777" w:rsidR="006F4D44" w:rsidRDefault="00623825" w:rsidP="0061094C">
      <w:pPr>
        <w:bidi/>
        <w:rPr>
          <w:sz w:val="26"/>
          <w:szCs w:val="26"/>
          <w:rtl/>
          <w:lang w:bidi="ar-AE"/>
        </w:rPr>
      </w:pPr>
      <w:r>
        <w:rPr>
          <w:rFonts w:hint="cs"/>
          <w:sz w:val="26"/>
          <w:szCs w:val="26"/>
          <w:rtl/>
          <w:lang w:bidi="ar-AE"/>
        </w:rPr>
        <w:t>18</w:t>
      </w:r>
      <w:r>
        <w:rPr>
          <w:rFonts w:hint="cs"/>
          <w:sz w:val="26"/>
          <w:szCs w:val="26"/>
          <w:rtl/>
          <w:lang w:bidi="ar-AE"/>
        </w:rPr>
        <w:tab/>
      </w:r>
      <w:r w:rsidR="0061094C">
        <w:rPr>
          <w:rFonts w:hint="cs"/>
          <w:sz w:val="26"/>
          <w:szCs w:val="26"/>
          <w:rtl/>
          <w:lang w:bidi="ar-AE"/>
        </w:rPr>
        <w:t>أبلغ اليونيب أن الوحدة الوطنية للأوزون تخطط لزيادة الوعى بشأن سياسة المنظور الجنسانى للصندوق المتعدد الأطراف في ما بين الأطراف الفاعلة ل</w:t>
      </w:r>
      <w:r w:rsidR="0061094C">
        <w:rPr>
          <w:sz w:val="26"/>
          <w:szCs w:val="26"/>
          <w:rtl/>
        </w:rPr>
        <w:t>خطة إدارة إزالة المواد الهيدروكلوروفلوروكربونية</w:t>
      </w:r>
      <w:r w:rsidR="0061094C">
        <w:rPr>
          <w:rFonts w:hint="cs"/>
          <w:sz w:val="26"/>
          <w:szCs w:val="26"/>
          <w:rtl/>
        </w:rPr>
        <w:t xml:space="preserve">، من بين جملة أطراف، واللجنة الوطنية للأوزون ورابطة التبريد وتكييف الهواء وسلطات الضرائب. وستقوم </w:t>
      </w:r>
      <w:r w:rsidR="0061094C">
        <w:rPr>
          <w:sz w:val="26"/>
          <w:szCs w:val="26"/>
          <w:rtl/>
          <w:lang w:bidi="ar-AE"/>
        </w:rPr>
        <w:t>الوحدة الوطنية للأوزون</w:t>
      </w:r>
      <w:r w:rsidR="0061094C">
        <w:rPr>
          <w:rFonts w:hint="cs"/>
          <w:sz w:val="26"/>
          <w:szCs w:val="26"/>
          <w:rtl/>
          <w:lang w:bidi="ar-AE"/>
        </w:rPr>
        <w:t xml:space="preserve"> بالتشاور مع </w:t>
      </w:r>
      <w:r w:rsidR="0061094C">
        <w:rPr>
          <w:sz w:val="26"/>
          <w:szCs w:val="26"/>
          <w:rtl/>
        </w:rPr>
        <w:t>رابطة التبريد وتكييف الهواء</w:t>
      </w:r>
      <w:r w:rsidR="0061094C">
        <w:rPr>
          <w:rFonts w:hint="cs"/>
          <w:sz w:val="26"/>
          <w:szCs w:val="26"/>
          <w:rtl/>
        </w:rPr>
        <w:t xml:space="preserve"> لضمان الفرص المتساوية للتقنيين من النساء؛ وسوف تشمل المسائل الجنسانية في تدريب موظفى الجمارك وتقنيي </w:t>
      </w:r>
      <w:r w:rsidR="0061094C">
        <w:rPr>
          <w:sz w:val="26"/>
          <w:szCs w:val="26"/>
          <w:rtl/>
        </w:rPr>
        <w:t>التبريد وتكييف الهواء</w:t>
      </w:r>
      <w:r w:rsidR="0061094C">
        <w:rPr>
          <w:rFonts w:hint="cs"/>
          <w:sz w:val="26"/>
          <w:szCs w:val="26"/>
          <w:rtl/>
        </w:rPr>
        <w:t xml:space="preserve"> وسوف تتابع </w:t>
      </w:r>
      <w:r w:rsidR="0061094C">
        <w:rPr>
          <w:sz w:val="26"/>
          <w:szCs w:val="26"/>
          <w:rtl/>
          <w:lang w:bidi="ar-AE"/>
        </w:rPr>
        <w:t>الوحدة الوطنية للأوزون</w:t>
      </w:r>
      <w:r w:rsidR="0061094C">
        <w:rPr>
          <w:rFonts w:hint="cs"/>
          <w:sz w:val="26"/>
          <w:szCs w:val="26"/>
          <w:rtl/>
          <w:lang w:bidi="ar-AE"/>
        </w:rPr>
        <w:t xml:space="preserve"> عدد المتدربين من النساء. ويشمل فريق </w:t>
      </w:r>
      <w:r w:rsidR="0061094C">
        <w:rPr>
          <w:sz w:val="26"/>
          <w:szCs w:val="26"/>
          <w:rtl/>
          <w:lang w:bidi="ar-AE"/>
        </w:rPr>
        <w:t>الوحدة الوطنية للأوزون</w:t>
      </w:r>
      <w:r w:rsidR="0061094C">
        <w:rPr>
          <w:rFonts w:hint="cs"/>
          <w:sz w:val="26"/>
          <w:szCs w:val="26"/>
          <w:rtl/>
          <w:lang w:bidi="ar-AE"/>
        </w:rPr>
        <w:t xml:space="preserve"> بعض الموظفين من النساء.</w:t>
      </w:r>
    </w:p>
    <w:p w14:paraId="3143D554" w14:textId="77777777" w:rsidR="00623825" w:rsidRDefault="00623825" w:rsidP="00623825">
      <w:pPr>
        <w:bidi/>
        <w:rPr>
          <w:sz w:val="26"/>
          <w:szCs w:val="26"/>
          <w:u w:val="single"/>
          <w:lang w:bidi="ar-EG"/>
        </w:rPr>
      </w:pPr>
      <w:r>
        <w:rPr>
          <w:rFonts w:hint="cs"/>
          <w:sz w:val="26"/>
          <w:szCs w:val="26"/>
          <w:u w:val="single"/>
          <w:rtl/>
          <w:lang w:bidi="ar-AE"/>
        </w:rPr>
        <w:lastRenderedPageBreak/>
        <w:t>استدامة إزالة الهيدروكلوروفلوروكربون</w:t>
      </w:r>
    </w:p>
    <w:p w14:paraId="125BCCDD" w14:textId="77777777" w:rsidR="00623825" w:rsidRDefault="00623825" w:rsidP="00623825">
      <w:pPr>
        <w:keepNext/>
        <w:keepLines/>
        <w:bidi/>
        <w:rPr>
          <w:sz w:val="26"/>
          <w:szCs w:val="26"/>
          <w:rtl/>
          <w:lang w:val="en-US" w:bidi="ar-SA"/>
        </w:rPr>
      </w:pPr>
    </w:p>
    <w:p w14:paraId="66CEE97D" w14:textId="77777777" w:rsidR="00DE39EC" w:rsidRDefault="00623825" w:rsidP="00B65EAA">
      <w:pPr>
        <w:pStyle w:val="Heading1"/>
        <w:numPr>
          <w:ilvl w:val="0"/>
          <w:numId w:val="0"/>
        </w:numPr>
        <w:tabs>
          <w:tab w:val="left" w:pos="708"/>
        </w:tabs>
        <w:bidi/>
        <w:ind w:left="142"/>
        <w:rPr>
          <w:sz w:val="26"/>
          <w:szCs w:val="26"/>
          <w:rtl/>
        </w:rPr>
      </w:pPr>
      <w:r>
        <w:rPr>
          <w:rFonts w:hint="cs"/>
          <w:sz w:val="26"/>
          <w:szCs w:val="26"/>
          <w:rtl/>
          <w:lang w:bidi="ar-AE"/>
        </w:rPr>
        <w:t>19</w:t>
      </w:r>
      <w:r>
        <w:rPr>
          <w:rFonts w:hint="cs"/>
          <w:sz w:val="26"/>
          <w:szCs w:val="26"/>
          <w:rtl/>
          <w:lang w:bidi="ar-AE"/>
        </w:rPr>
        <w:tab/>
        <w:t xml:space="preserve">لضمان استدامة </w:t>
      </w:r>
      <w:r w:rsidR="00DE39EC">
        <w:rPr>
          <w:rFonts w:hint="cs"/>
          <w:sz w:val="26"/>
          <w:szCs w:val="26"/>
          <w:rtl/>
          <w:lang w:bidi="ar-AE"/>
        </w:rPr>
        <w:t xml:space="preserve">وإضفاء الطابع المؤسسي على تدريب موظفى الجمارك، تشترك الإدارة العامة للجمارك بشكل مباشر في تدريب موظفى الجمارك وتخطيط حلقات العمل وكذلك اختيار المشاركين. إن إدارة الجمارك هى عضو أيضا في اللجنة الوطنية للأوزون، وهى مسؤولة عن تحديد الحصص. وهناك اتفاق بين </w:t>
      </w:r>
      <w:r w:rsidR="00DE39EC">
        <w:rPr>
          <w:sz w:val="26"/>
          <w:szCs w:val="26"/>
          <w:rtl/>
          <w:lang w:bidi="ar-AE"/>
        </w:rPr>
        <w:t>الوحدة الوطنية للأوزون</w:t>
      </w:r>
      <w:r w:rsidR="00DF1A86">
        <w:rPr>
          <w:rFonts w:hint="cs"/>
          <w:sz w:val="26"/>
          <w:szCs w:val="26"/>
          <w:rtl/>
          <w:lang w:bidi="ar-AE"/>
        </w:rPr>
        <w:t xml:space="preserve"> و</w:t>
      </w:r>
      <w:r w:rsidR="00DE39EC">
        <w:rPr>
          <w:rFonts w:hint="cs"/>
          <w:sz w:val="26"/>
          <w:szCs w:val="26"/>
          <w:rtl/>
          <w:lang w:bidi="ar-AE"/>
        </w:rPr>
        <w:t xml:space="preserve">مركز </w:t>
      </w:r>
      <w:r w:rsidR="00DF1A86">
        <w:rPr>
          <w:rFonts w:hint="cs"/>
          <w:sz w:val="26"/>
          <w:szCs w:val="26"/>
          <w:rtl/>
          <w:lang w:bidi="ar-AE"/>
        </w:rPr>
        <w:t>ا</w:t>
      </w:r>
      <w:r w:rsidR="00DE39EC">
        <w:rPr>
          <w:rFonts w:hint="cs"/>
          <w:sz w:val="26"/>
          <w:szCs w:val="26"/>
          <w:rtl/>
          <w:lang w:bidi="ar-AE"/>
        </w:rPr>
        <w:t>لتدريب التقنى</w:t>
      </w:r>
      <w:r w:rsidR="00DF1A86">
        <w:rPr>
          <w:rFonts w:hint="cs"/>
          <w:sz w:val="26"/>
          <w:szCs w:val="26"/>
          <w:rtl/>
          <w:lang w:bidi="ar-AE"/>
        </w:rPr>
        <w:t xml:space="preserve"> الرئيس</w:t>
      </w:r>
      <w:r w:rsidR="0084018D">
        <w:rPr>
          <w:rFonts w:hint="cs"/>
          <w:sz w:val="26"/>
          <w:szCs w:val="26"/>
          <w:rtl/>
          <w:lang w:bidi="ar-AE"/>
        </w:rPr>
        <w:t>ى</w:t>
      </w:r>
      <w:r w:rsidR="00DE39EC">
        <w:rPr>
          <w:rFonts w:hint="cs"/>
          <w:sz w:val="26"/>
          <w:szCs w:val="26"/>
          <w:rtl/>
          <w:lang w:bidi="ar-AE"/>
        </w:rPr>
        <w:t xml:space="preserve"> لاستخدام نموذج للممارسات الجيدة في التبريد والاستخدام الآمن لسوائل التبريد القابلة للاشتعال في المنهج الدراسيى.</w:t>
      </w:r>
      <w:r w:rsidR="00DF1A86">
        <w:rPr>
          <w:rFonts w:hint="cs"/>
          <w:sz w:val="26"/>
          <w:szCs w:val="26"/>
          <w:rtl/>
          <w:lang w:bidi="ar-AE"/>
        </w:rPr>
        <w:t xml:space="preserve"> وحاليا، استخدم حوالى 35 تقنيا مؤهلا النموذج كجزء من تدريبهم. </w:t>
      </w:r>
      <w:r w:rsidR="00DF1A86">
        <w:rPr>
          <w:sz w:val="26"/>
          <w:szCs w:val="26"/>
          <w:rtl/>
        </w:rPr>
        <w:t>ورابطة التبريد وتكييف الهواء</w:t>
      </w:r>
      <w:r w:rsidR="00DF1A86">
        <w:rPr>
          <w:rFonts w:hint="cs"/>
          <w:sz w:val="26"/>
          <w:szCs w:val="26"/>
          <w:rtl/>
        </w:rPr>
        <w:t xml:space="preserve"> من</w:t>
      </w:r>
      <w:r w:rsidR="00C917CB">
        <w:rPr>
          <w:rFonts w:hint="cs"/>
          <w:sz w:val="26"/>
          <w:szCs w:val="26"/>
          <w:rtl/>
        </w:rPr>
        <w:t>ظمة جيدا وتخطط الحكومة لاصدار شه</w:t>
      </w:r>
      <w:r w:rsidR="00DF1A86">
        <w:rPr>
          <w:rFonts w:hint="cs"/>
          <w:sz w:val="26"/>
          <w:szCs w:val="26"/>
          <w:rtl/>
        </w:rPr>
        <w:t xml:space="preserve">ادات </w:t>
      </w:r>
      <w:r w:rsidR="00C917CB">
        <w:rPr>
          <w:rFonts w:hint="cs"/>
          <w:sz w:val="26"/>
          <w:szCs w:val="26"/>
          <w:rtl/>
        </w:rPr>
        <w:t xml:space="preserve">للتقنيين خلال المرحلة الثانية من </w:t>
      </w:r>
      <w:r w:rsidR="00C917CB">
        <w:rPr>
          <w:sz w:val="26"/>
          <w:szCs w:val="26"/>
          <w:rtl/>
        </w:rPr>
        <w:t>خطة إدارة إزالة المواد الهيدروكلوروفلوروكربونية</w:t>
      </w:r>
      <w:r w:rsidR="00C917CB">
        <w:rPr>
          <w:rFonts w:hint="cs"/>
          <w:sz w:val="26"/>
          <w:szCs w:val="26"/>
          <w:rtl/>
        </w:rPr>
        <w:t xml:space="preserve">. وتضمن مثل هذه التدابير استدامة إزالة </w:t>
      </w:r>
      <w:r w:rsidR="00C917CB">
        <w:rPr>
          <w:sz w:val="26"/>
          <w:szCs w:val="26"/>
          <w:rtl/>
        </w:rPr>
        <w:t>المواد الهيدروكلوروفلوروكربونية</w:t>
      </w:r>
      <w:r w:rsidR="00C917CB">
        <w:rPr>
          <w:rFonts w:hint="cs"/>
          <w:sz w:val="26"/>
          <w:szCs w:val="26"/>
          <w:rtl/>
        </w:rPr>
        <w:t>.</w:t>
      </w:r>
    </w:p>
    <w:p w14:paraId="2AE04AE3" w14:textId="77777777" w:rsidR="00B65EAA" w:rsidRDefault="00B65EAA" w:rsidP="00B65EAA">
      <w:pPr>
        <w:bidi/>
        <w:rPr>
          <w:sz w:val="26"/>
          <w:szCs w:val="26"/>
          <w:rtl/>
        </w:rPr>
      </w:pPr>
      <w:r>
        <w:rPr>
          <w:rFonts w:hint="cs"/>
          <w:sz w:val="26"/>
          <w:szCs w:val="26"/>
          <w:rtl/>
          <w:lang w:bidi="ar-AE"/>
        </w:rPr>
        <w:t>20</w:t>
      </w:r>
      <w:r>
        <w:rPr>
          <w:rFonts w:hint="cs"/>
          <w:sz w:val="26"/>
          <w:szCs w:val="26"/>
          <w:rtl/>
          <w:lang w:bidi="ar-AE"/>
        </w:rPr>
        <w:tab/>
        <w:t xml:space="preserve">سيجرى الانتهاء من المرحلة الأولى من </w:t>
      </w:r>
      <w:r>
        <w:rPr>
          <w:sz w:val="26"/>
          <w:szCs w:val="26"/>
          <w:rtl/>
        </w:rPr>
        <w:t>خطة إدارة إزالة المواد الهيدروكلوروفلوروكربونية</w:t>
      </w:r>
      <w:r>
        <w:rPr>
          <w:rFonts w:hint="cs"/>
          <w:sz w:val="26"/>
          <w:szCs w:val="26"/>
          <w:rtl/>
        </w:rPr>
        <w:t xml:space="preserve"> لغينيا</w:t>
      </w:r>
      <w:r w:rsidR="0084018D">
        <w:rPr>
          <w:rFonts w:hint="cs"/>
          <w:sz w:val="26"/>
          <w:szCs w:val="26"/>
          <w:rtl/>
        </w:rPr>
        <w:t xml:space="preserve"> </w:t>
      </w:r>
      <w:r>
        <w:rPr>
          <w:rFonts w:hint="cs"/>
          <w:sz w:val="26"/>
          <w:szCs w:val="26"/>
          <w:rtl/>
        </w:rPr>
        <w:t>- بيساو بحلول ديسمبر/كانون الأول 2021 كما ورد في الفقرة 14 من الاتفاق.</w:t>
      </w:r>
    </w:p>
    <w:p w14:paraId="79A59E35" w14:textId="77777777" w:rsidR="00B65EAA" w:rsidRPr="00B65EAA" w:rsidRDefault="00B65EAA" w:rsidP="00B65EAA">
      <w:pPr>
        <w:bidi/>
        <w:rPr>
          <w:sz w:val="26"/>
          <w:szCs w:val="26"/>
          <w:lang w:bidi="ar-AE"/>
        </w:rPr>
      </w:pPr>
    </w:p>
    <w:p w14:paraId="61B35CD9" w14:textId="77777777" w:rsidR="00623825" w:rsidRDefault="00623825" w:rsidP="00623825">
      <w:pPr>
        <w:bidi/>
        <w:rPr>
          <w:sz w:val="26"/>
          <w:szCs w:val="26"/>
          <w:u w:val="single"/>
          <w:lang w:bidi="ar-EG"/>
        </w:rPr>
      </w:pPr>
      <w:r>
        <w:rPr>
          <w:rFonts w:hint="cs"/>
          <w:sz w:val="26"/>
          <w:szCs w:val="26"/>
          <w:u w:val="single"/>
          <w:rtl/>
          <w:lang w:bidi="ar-AE"/>
        </w:rPr>
        <w:t>الاستنتاج</w:t>
      </w:r>
    </w:p>
    <w:p w14:paraId="38FDEBF1" w14:textId="77777777" w:rsidR="00623825" w:rsidRDefault="00623825" w:rsidP="00623825">
      <w:pPr>
        <w:bidi/>
        <w:rPr>
          <w:sz w:val="26"/>
          <w:szCs w:val="26"/>
          <w:rtl/>
          <w:lang w:val="en-US" w:bidi="ar-SA"/>
        </w:rPr>
      </w:pPr>
    </w:p>
    <w:p w14:paraId="005140BD" w14:textId="77777777" w:rsidR="00623825" w:rsidRDefault="00623825" w:rsidP="00FD552B">
      <w:pPr>
        <w:pStyle w:val="Heading1"/>
        <w:numPr>
          <w:ilvl w:val="0"/>
          <w:numId w:val="0"/>
        </w:numPr>
        <w:tabs>
          <w:tab w:val="left" w:pos="708"/>
        </w:tabs>
        <w:bidi/>
        <w:ind w:left="142"/>
        <w:rPr>
          <w:sz w:val="26"/>
          <w:szCs w:val="26"/>
        </w:rPr>
      </w:pPr>
      <w:r>
        <w:rPr>
          <w:rFonts w:hint="cs"/>
          <w:sz w:val="26"/>
          <w:szCs w:val="26"/>
          <w:rtl/>
          <w:lang w:bidi="ar-AE"/>
        </w:rPr>
        <w:t>21</w:t>
      </w:r>
      <w:r>
        <w:rPr>
          <w:rFonts w:hint="cs"/>
          <w:sz w:val="26"/>
          <w:szCs w:val="26"/>
          <w:rtl/>
          <w:lang w:bidi="ar-AE"/>
        </w:rPr>
        <w:tab/>
      </w:r>
      <w:r w:rsidR="00873E43">
        <w:rPr>
          <w:rFonts w:hint="cs"/>
          <w:sz w:val="26"/>
          <w:szCs w:val="26"/>
          <w:rtl/>
          <w:lang w:bidi="ar-AE"/>
        </w:rPr>
        <w:t xml:space="preserve">يبين استهلاك </w:t>
      </w:r>
      <w:r w:rsidR="00873E43">
        <w:rPr>
          <w:sz w:val="26"/>
          <w:szCs w:val="26"/>
          <w:rtl/>
        </w:rPr>
        <w:t>الهيدروكلوروفلوروكربون</w:t>
      </w:r>
      <w:r w:rsidR="00873E43">
        <w:rPr>
          <w:rFonts w:hint="cs"/>
          <w:sz w:val="26"/>
          <w:szCs w:val="26"/>
          <w:rtl/>
        </w:rPr>
        <w:t xml:space="preserve"> المبلغ عنه لعام 2018 والاستهلاك المقدر</w:t>
      </w:r>
      <w:r w:rsidR="00873E43" w:rsidRPr="00873E43">
        <w:rPr>
          <w:sz w:val="26"/>
          <w:szCs w:val="26"/>
          <w:rtl/>
        </w:rPr>
        <w:t xml:space="preserve"> </w:t>
      </w:r>
      <w:r w:rsidR="00873E43">
        <w:rPr>
          <w:rFonts w:hint="cs"/>
          <w:sz w:val="26"/>
          <w:szCs w:val="26"/>
          <w:rtl/>
        </w:rPr>
        <w:t xml:space="preserve">لعام 2019 القائم على أساس تقرير التحقق أن استهلاك البلد هو أقل بنسبة 55 في المائة من خط أساسه. </w:t>
      </w:r>
      <w:r w:rsidR="0013773E">
        <w:rPr>
          <w:rFonts w:hint="cs"/>
          <w:sz w:val="26"/>
          <w:szCs w:val="26"/>
          <w:rtl/>
        </w:rPr>
        <w:t>ويؤكد تقرير التحقق أيضا أن حكومة غينيا</w:t>
      </w:r>
      <w:r w:rsidR="00FD552B">
        <w:rPr>
          <w:rFonts w:hint="cs"/>
          <w:sz w:val="26"/>
          <w:szCs w:val="26"/>
          <w:rtl/>
        </w:rPr>
        <w:t xml:space="preserve"> </w:t>
      </w:r>
      <w:r w:rsidR="0013773E">
        <w:rPr>
          <w:rFonts w:hint="cs"/>
          <w:sz w:val="26"/>
          <w:szCs w:val="26"/>
          <w:rtl/>
        </w:rPr>
        <w:t xml:space="preserve">- بيساو تمتثل لأهداف </w:t>
      </w:r>
      <w:r w:rsidR="0013773E">
        <w:rPr>
          <w:sz w:val="26"/>
          <w:szCs w:val="26"/>
          <w:rtl/>
        </w:rPr>
        <w:t>الهيدروكلوروفلوروكربون</w:t>
      </w:r>
      <w:r w:rsidR="0013773E">
        <w:rPr>
          <w:rFonts w:hint="cs"/>
          <w:sz w:val="26"/>
          <w:szCs w:val="26"/>
          <w:rtl/>
        </w:rPr>
        <w:t xml:space="preserve"> في اتفاقها مع اللجنة التنفيذية وتواصل فرض نظام الترخيص والحصص.</w:t>
      </w:r>
      <w:r w:rsidR="00FD552B">
        <w:rPr>
          <w:rFonts w:hint="cs"/>
          <w:sz w:val="26"/>
          <w:szCs w:val="26"/>
          <w:rtl/>
        </w:rPr>
        <w:t xml:space="preserve"> </w:t>
      </w:r>
      <w:r w:rsidR="0013773E">
        <w:rPr>
          <w:rFonts w:hint="cs"/>
          <w:sz w:val="26"/>
          <w:szCs w:val="26"/>
          <w:rtl/>
        </w:rPr>
        <w:t xml:space="preserve">وتم تنفيذ أنشطة تدريب ودعم معاهد التدريب بمعدات وأدوات كما كان مخططا وبلغ مستوى صرف التمويل 97 في المائة. وسوف تتناول الأنشطة المخططة للشريحة الرابعة التوصيات الواردة في تقرير التحقق وسوف تمكن البلد من تلبية التزامات الامتثال </w:t>
      </w:r>
      <w:r w:rsidR="00FD552B">
        <w:rPr>
          <w:rFonts w:hint="cs"/>
          <w:sz w:val="26"/>
          <w:szCs w:val="26"/>
          <w:rtl/>
        </w:rPr>
        <w:t>ل</w:t>
      </w:r>
      <w:r w:rsidR="0013773E">
        <w:rPr>
          <w:rFonts w:hint="cs"/>
          <w:sz w:val="26"/>
          <w:szCs w:val="26"/>
          <w:rtl/>
        </w:rPr>
        <w:t>بروتوكول مونتريال.</w:t>
      </w:r>
    </w:p>
    <w:p w14:paraId="482D5160" w14:textId="77777777" w:rsidR="00623825" w:rsidRDefault="00623825" w:rsidP="00623825">
      <w:pPr>
        <w:bidi/>
        <w:rPr>
          <w:bCs/>
          <w:sz w:val="28"/>
          <w:szCs w:val="28"/>
          <w:lang w:bidi="ar-EG"/>
        </w:rPr>
      </w:pPr>
      <w:r>
        <w:rPr>
          <w:rFonts w:hint="cs"/>
          <w:bCs/>
          <w:sz w:val="28"/>
          <w:szCs w:val="28"/>
          <w:rtl/>
          <w:lang w:bidi="ar-AE"/>
        </w:rPr>
        <w:t>توصيـة</w:t>
      </w:r>
    </w:p>
    <w:p w14:paraId="0D97AAFE" w14:textId="77777777" w:rsidR="00623825" w:rsidRDefault="00623825" w:rsidP="00623825">
      <w:pPr>
        <w:bidi/>
        <w:rPr>
          <w:b/>
          <w:sz w:val="26"/>
          <w:szCs w:val="26"/>
          <w:rtl/>
          <w:lang w:val="en-US" w:bidi="ar-SA"/>
        </w:rPr>
      </w:pPr>
    </w:p>
    <w:p w14:paraId="0E878F58" w14:textId="77777777" w:rsidR="00623825" w:rsidRDefault="00623825" w:rsidP="00623825">
      <w:pPr>
        <w:pStyle w:val="Heading1"/>
        <w:numPr>
          <w:ilvl w:val="0"/>
          <w:numId w:val="0"/>
        </w:numPr>
        <w:tabs>
          <w:tab w:val="left" w:pos="708"/>
        </w:tabs>
        <w:bidi/>
        <w:ind w:left="142"/>
        <w:rPr>
          <w:sz w:val="26"/>
          <w:szCs w:val="26"/>
        </w:rPr>
      </w:pPr>
      <w:r>
        <w:rPr>
          <w:rFonts w:hint="cs"/>
          <w:sz w:val="26"/>
          <w:szCs w:val="26"/>
          <w:rtl/>
          <w:lang w:bidi="ar-AE"/>
        </w:rPr>
        <w:t>22</w:t>
      </w:r>
      <w:r>
        <w:rPr>
          <w:rFonts w:hint="cs"/>
          <w:sz w:val="26"/>
          <w:szCs w:val="26"/>
          <w:rtl/>
          <w:lang w:bidi="ar-AE"/>
        </w:rPr>
        <w:tab/>
        <w:t>توصي أمانة الصندوق اللجنة التنفيذية:</w:t>
      </w:r>
    </w:p>
    <w:p w14:paraId="0192D7DF" w14:textId="77777777" w:rsidR="00623825" w:rsidRPr="00623825" w:rsidRDefault="00623825" w:rsidP="00AE7741">
      <w:pPr>
        <w:pStyle w:val="Heading2"/>
        <w:numPr>
          <w:ilvl w:val="1"/>
          <w:numId w:val="31"/>
        </w:numPr>
        <w:bidi/>
        <w:rPr>
          <w:sz w:val="22"/>
          <w:szCs w:val="24"/>
        </w:rPr>
      </w:pPr>
      <w:r w:rsidRPr="00623825">
        <w:rPr>
          <w:rFonts w:hint="cs"/>
          <w:sz w:val="26"/>
          <w:szCs w:val="26"/>
          <w:rtl/>
          <w:lang w:bidi="ar-AE"/>
        </w:rPr>
        <w:t xml:space="preserve">أن تحاط علما بالتقرير المرحلى عن تنفيذ الشريحة </w:t>
      </w:r>
      <w:r w:rsidR="00AE7741">
        <w:rPr>
          <w:rFonts w:hint="cs"/>
          <w:sz w:val="26"/>
          <w:szCs w:val="26"/>
          <w:rtl/>
          <w:lang w:bidi="ar-AE"/>
        </w:rPr>
        <w:t>الثالثة</w:t>
      </w:r>
      <w:r w:rsidRPr="00623825">
        <w:rPr>
          <w:rFonts w:hint="cs"/>
          <w:sz w:val="26"/>
          <w:szCs w:val="26"/>
          <w:rtl/>
          <w:lang w:bidi="ar-AE"/>
        </w:rPr>
        <w:t xml:space="preserve"> من المرحلة الأولى من خطة إدارة إزالة المواد الهيدروكلوروفلوروكربونية </w:t>
      </w:r>
      <w:r w:rsidR="00AE7741">
        <w:rPr>
          <w:rFonts w:hint="cs"/>
          <w:sz w:val="26"/>
          <w:szCs w:val="26"/>
          <w:rtl/>
          <w:lang w:bidi="ar-AE"/>
        </w:rPr>
        <w:t>لغينيا</w:t>
      </w:r>
      <w:r w:rsidR="00F164FB">
        <w:rPr>
          <w:rFonts w:hint="cs"/>
          <w:sz w:val="26"/>
          <w:szCs w:val="26"/>
          <w:rtl/>
          <w:lang w:bidi="ar-AE"/>
        </w:rPr>
        <w:t xml:space="preserve"> </w:t>
      </w:r>
      <w:r w:rsidR="00AE7741">
        <w:rPr>
          <w:rFonts w:hint="cs"/>
          <w:sz w:val="26"/>
          <w:szCs w:val="26"/>
          <w:rtl/>
          <w:lang w:bidi="ar-AE"/>
        </w:rPr>
        <w:t>- بيساو</w:t>
      </w:r>
      <w:r w:rsidRPr="00623825">
        <w:rPr>
          <w:rFonts w:hint="cs"/>
          <w:sz w:val="26"/>
          <w:szCs w:val="26"/>
          <w:rtl/>
          <w:lang w:bidi="ar-AE"/>
        </w:rPr>
        <w:t xml:space="preserve">؛ </w:t>
      </w:r>
    </w:p>
    <w:p w14:paraId="797042A0" w14:textId="77777777" w:rsidR="00623825" w:rsidRDefault="00623825" w:rsidP="00AE7741">
      <w:pPr>
        <w:pStyle w:val="Heading2"/>
        <w:bidi/>
        <w:rPr>
          <w:szCs w:val="24"/>
        </w:rPr>
      </w:pPr>
      <w:r>
        <w:rPr>
          <w:rFonts w:hint="cs"/>
          <w:sz w:val="26"/>
          <w:szCs w:val="26"/>
          <w:rtl/>
          <w:lang w:bidi="ar-AE"/>
        </w:rPr>
        <w:t xml:space="preserve">أن </w:t>
      </w:r>
      <w:r w:rsidR="00AE7741">
        <w:rPr>
          <w:rFonts w:hint="cs"/>
          <w:sz w:val="26"/>
          <w:szCs w:val="26"/>
          <w:rtl/>
          <w:lang w:bidi="ar-AE"/>
        </w:rPr>
        <w:t xml:space="preserve">تطلب من اليونيب أن يضمن، كجزء من التقديم للمرحلة الثانية من </w:t>
      </w:r>
      <w:r w:rsidR="00AE7741">
        <w:rPr>
          <w:sz w:val="26"/>
          <w:szCs w:val="26"/>
          <w:rtl/>
        </w:rPr>
        <w:t>خطة إدارة إزالة المواد الهيدروكلوروفلوروكربونية</w:t>
      </w:r>
      <w:r w:rsidR="00AE7741">
        <w:rPr>
          <w:rFonts w:hint="cs"/>
          <w:sz w:val="26"/>
          <w:szCs w:val="26"/>
          <w:rtl/>
        </w:rPr>
        <w:t xml:space="preserve"> لغينيا</w:t>
      </w:r>
      <w:r w:rsidR="00F164FB">
        <w:rPr>
          <w:rFonts w:hint="cs"/>
          <w:sz w:val="26"/>
          <w:szCs w:val="26"/>
          <w:rtl/>
        </w:rPr>
        <w:t xml:space="preserve"> </w:t>
      </w:r>
      <w:r w:rsidR="00AE7741">
        <w:rPr>
          <w:rFonts w:hint="cs"/>
          <w:sz w:val="26"/>
          <w:szCs w:val="26"/>
          <w:rtl/>
        </w:rPr>
        <w:t>- بيساو، تحديثا عن التقدم في تنفيذ التوصيات الواردة في تقرير التحقق المقدم إلى الاجتماع الخامس والثمانين.</w:t>
      </w:r>
      <w:r w:rsidR="00AE7741">
        <w:rPr>
          <w:rFonts w:hint="cs"/>
          <w:sz w:val="26"/>
          <w:szCs w:val="26"/>
          <w:rtl/>
          <w:lang w:bidi="ar-AE"/>
        </w:rPr>
        <w:t xml:space="preserve"> </w:t>
      </w:r>
      <w:r>
        <w:rPr>
          <w:rFonts w:hint="cs"/>
          <w:sz w:val="26"/>
          <w:szCs w:val="26"/>
          <w:rtl/>
          <w:lang w:bidi="ar-AE"/>
        </w:rPr>
        <w:t xml:space="preserve">. </w:t>
      </w:r>
    </w:p>
    <w:p w14:paraId="62B8F24E" w14:textId="77777777" w:rsidR="00623825" w:rsidRDefault="00623825" w:rsidP="00623825">
      <w:pPr>
        <w:bidi/>
        <w:rPr>
          <w:sz w:val="26"/>
          <w:szCs w:val="26"/>
          <w:rtl/>
          <w:lang w:bidi="ar-AE"/>
        </w:rPr>
      </w:pPr>
      <w:r>
        <w:rPr>
          <w:rFonts w:hint="cs"/>
          <w:sz w:val="26"/>
          <w:szCs w:val="26"/>
          <w:rtl/>
        </w:rPr>
        <w:t>23</w:t>
      </w:r>
      <w:r>
        <w:rPr>
          <w:rFonts w:hint="cs"/>
          <w:sz w:val="26"/>
          <w:szCs w:val="26"/>
          <w:rtl/>
        </w:rPr>
        <w:tab/>
        <w:t xml:space="preserve">توصي أمانة الصندوق أيضا بالموافقة الشاملة على </w:t>
      </w:r>
      <w:r>
        <w:rPr>
          <w:rFonts w:hint="cs"/>
          <w:sz w:val="26"/>
          <w:szCs w:val="26"/>
          <w:rtl/>
          <w:lang w:bidi="ar-AE"/>
        </w:rPr>
        <w:t xml:space="preserve">الشريحة </w:t>
      </w:r>
      <w:r w:rsidR="00AE7741">
        <w:rPr>
          <w:rFonts w:hint="cs"/>
          <w:sz w:val="26"/>
          <w:szCs w:val="26"/>
          <w:rtl/>
          <w:lang w:bidi="ar-AE"/>
        </w:rPr>
        <w:t>الرابعة</w:t>
      </w:r>
      <w:r>
        <w:rPr>
          <w:rFonts w:hint="cs"/>
          <w:sz w:val="26"/>
          <w:szCs w:val="26"/>
          <w:rtl/>
          <w:lang w:bidi="ar-AE"/>
        </w:rPr>
        <w:t xml:space="preserve"> </w:t>
      </w:r>
      <w:r w:rsidR="009070AF">
        <w:rPr>
          <w:rFonts w:hint="cs"/>
          <w:sz w:val="26"/>
          <w:szCs w:val="26"/>
          <w:rtl/>
          <w:lang w:bidi="ar-AE"/>
        </w:rPr>
        <w:t xml:space="preserve">والنهائية </w:t>
      </w:r>
      <w:r>
        <w:rPr>
          <w:rFonts w:hint="cs"/>
          <w:sz w:val="26"/>
          <w:szCs w:val="26"/>
          <w:rtl/>
          <w:lang w:bidi="ar-AE"/>
        </w:rPr>
        <w:t xml:space="preserve">من المرحلة الأولى من خطة إدارة إزالة المواد الهيدروكلوروفلوروكربونية </w:t>
      </w:r>
      <w:r w:rsidR="00AE7741">
        <w:rPr>
          <w:rFonts w:hint="cs"/>
          <w:sz w:val="26"/>
          <w:szCs w:val="26"/>
          <w:rtl/>
          <w:lang w:bidi="ar-AE"/>
        </w:rPr>
        <w:t>لغينيا</w:t>
      </w:r>
      <w:r w:rsidR="009070AF">
        <w:rPr>
          <w:rFonts w:hint="cs"/>
          <w:sz w:val="26"/>
          <w:szCs w:val="26"/>
          <w:rtl/>
          <w:lang w:bidi="ar-AE"/>
        </w:rPr>
        <w:t xml:space="preserve"> </w:t>
      </w:r>
      <w:r w:rsidR="00AE7741">
        <w:rPr>
          <w:rFonts w:hint="cs"/>
          <w:sz w:val="26"/>
          <w:szCs w:val="26"/>
          <w:rtl/>
          <w:lang w:bidi="ar-AE"/>
        </w:rPr>
        <w:t>- بيساو</w:t>
      </w:r>
      <w:r>
        <w:rPr>
          <w:rFonts w:hint="cs"/>
          <w:sz w:val="26"/>
          <w:szCs w:val="26"/>
          <w:rtl/>
          <w:lang w:bidi="ar-AE"/>
        </w:rPr>
        <w:t xml:space="preserve"> وخطة تنفيذ الشريحة في الفترة </w:t>
      </w:r>
      <w:r w:rsidR="00AE7741">
        <w:rPr>
          <w:rFonts w:hint="cs"/>
          <w:sz w:val="26"/>
          <w:szCs w:val="26"/>
          <w:rtl/>
          <w:lang w:bidi="ar-AE"/>
        </w:rPr>
        <w:t>2020</w:t>
      </w:r>
      <w:r>
        <w:rPr>
          <w:rFonts w:hint="cs"/>
          <w:sz w:val="26"/>
          <w:szCs w:val="26"/>
          <w:rtl/>
          <w:lang w:bidi="ar-AE"/>
        </w:rPr>
        <w:t>-</w:t>
      </w:r>
      <w:r w:rsidR="00AE7741">
        <w:rPr>
          <w:rFonts w:hint="cs"/>
          <w:sz w:val="26"/>
          <w:szCs w:val="26"/>
          <w:rtl/>
          <w:lang w:bidi="ar-AE"/>
        </w:rPr>
        <w:t>2021</w:t>
      </w:r>
      <w:r>
        <w:rPr>
          <w:rFonts w:hint="cs"/>
          <w:sz w:val="26"/>
          <w:szCs w:val="26"/>
          <w:rtl/>
          <w:lang w:bidi="ar-AE"/>
        </w:rPr>
        <w:t xml:space="preserve"> عند مستوى التمويل المبين في ال</w:t>
      </w:r>
      <w:r w:rsidR="00AE7741">
        <w:rPr>
          <w:rFonts w:hint="cs"/>
          <w:sz w:val="26"/>
          <w:szCs w:val="26"/>
          <w:rtl/>
          <w:lang w:bidi="ar-AE"/>
        </w:rPr>
        <w:t>جدول أدناه:</w:t>
      </w:r>
      <w:r>
        <w:rPr>
          <w:rFonts w:hint="cs"/>
          <w:sz w:val="26"/>
          <w:szCs w:val="26"/>
          <w:rtl/>
          <w:lang w:bidi="ar-AE"/>
        </w:rPr>
        <w:t xml:space="preserve"> </w:t>
      </w:r>
    </w:p>
    <w:p w14:paraId="6C347B37" w14:textId="77777777" w:rsidR="00AE7741" w:rsidRDefault="00AE7741" w:rsidP="00AE7741">
      <w:pPr>
        <w:bidi/>
        <w:rPr>
          <w:sz w:val="22"/>
          <w:szCs w:val="24"/>
          <w:rtl/>
        </w:rPr>
      </w:pPr>
    </w:p>
    <w:tbl>
      <w:tblPr>
        <w:bidiVisual/>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9"/>
        <w:gridCol w:w="4318"/>
        <w:gridCol w:w="1461"/>
        <w:gridCol w:w="1461"/>
        <w:gridCol w:w="1461"/>
      </w:tblGrid>
      <w:tr w:rsidR="00623825" w14:paraId="44568AA0" w14:textId="77777777" w:rsidTr="00623825">
        <w:tc>
          <w:tcPr>
            <w:tcW w:w="539" w:type="dxa"/>
            <w:tcBorders>
              <w:top w:val="single" w:sz="4" w:space="0" w:color="auto"/>
              <w:left w:val="single" w:sz="4" w:space="0" w:color="auto"/>
              <w:bottom w:val="single" w:sz="4" w:space="0" w:color="auto"/>
              <w:right w:val="single" w:sz="4" w:space="0" w:color="auto"/>
            </w:tcBorders>
          </w:tcPr>
          <w:p w14:paraId="3467E7DD" w14:textId="77777777" w:rsidR="00623825" w:rsidRDefault="00623825">
            <w:pPr>
              <w:snapToGrid w:val="0"/>
              <w:jc w:val="center"/>
              <w:rPr>
                <w:b/>
                <w:bCs/>
                <w:sz w:val="20"/>
                <w:lang w:val="en-CA"/>
              </w:rPr>
            </w:pPr>
          </w:p>
        </w:tc>
        <w:tc>
          <w:tcPr>
            <w:tcW w:w="4318" w:type="dxa"/>
            <w:tcBorders>
              <w:top w:val="single" w:sz="4" w:space="0" w:color="auto"/>
              <w:left w:val="single" w:sz="4" w:space="0" w:color="auto"/>
              <w:bottom w:val="single" w:sz="4" w:space="0" w:color="auto"/>
              <w:right w:val="single" w:sz="4" w:space="0" w:color="auto"/>
            </w:tcBorders>
            <w:hideMark/>
          </w:tcPr>
          <w:p w14:paraId="1136DEEE" w14:textId="77777777" w:rsidR="00623825" w:rsidRDefault="00623825">
            <w:pPr>
              <w:snapToGrid w:val="0"/>
              <w:jc w:val="center"/>
              <w:rPr>
                <w:b/>
                <w:bCs/>
                <w:sz w:val="20"/>
                <w:lang w:val="en-CA"/>
              </w:rPr>
            </w:pPr>
            <w:r>
              <w:rPr>
                <w:rFonts w:hint="cs"/>
                <w:b/>
                <w:bCs/>
                <w:sz w:val="20"/>
                <w:rtl/>
                <w:lang w:val="en-CA"/>
              </w:rPr>
              <w:t>عنوان المشروع</w:t>
            </w:r>
          </w:p>
        </w:tc>
        <w:tc>
          <w:tcPr>
            <w:tcW w:w="146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01131B8B" w14:textId="77777777" w:rsidR="00623825" w:rsidRDefault="00623825">
            <w:pPr>
              <w:snapToGrid w:val="0"/>
              <w:jc w:val="center"/>
              <w:rPr>
                <w:b/>
                <w:bCs/>
                <w:sz w:val="20"/>
                <w:lang w:val="en-CA"/>
              </w:rPr>
            </w:pPr>
            <w:r>
              <w:rPr>
                <w:rFonts w:hint="cs"/>
                <w:b/>
                <w:bCs/>
                <w:sz w:val="20"/>
                <w:rtl/>
                <w:lang w:val="en-CA"/>
              </w:rPr>
              <w:t>تمويل المشروع (دولار أمريكى)</w:t>
            </w:r>
          </w:p>
        </w:tc>
        <w:tc>
          <w:tcPr>
            <w:tcW w:w="146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5514571F" w14:textId="77777777" w:rsidR="00623825" w:rsidRDefault="00623825">
            <w:pPr>
              <w:snapToGrid w:val="0"/>
              <w:jc w:val="center"/>
              <w:rPr>
                <w:b/>
                <w:bCs/>
                <w:sz w:val="20"/>
                <w:lang w:val="en-CA"/>
              </w:rPr>
            </w:pPr>
            <w:r>
              <w:rPr>
                <w:rFonts w:hint="cs"/>
                <w:b/>
                <w:bCs/>
                <w:sz w:val="20"/>
                <w:rtl/>
                <w:lang w:val="en-CA"/>
              </w:rPr>
              <w:t>تكاليف الدعم (دولار أمريكى)</w:t>
            </w:r>
          </w:p>
        </w:tc>
        <w:tc>
          <w:tcPr>
            <w:tcW w:w="146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085F1FE0" w14:textId="77777777" w:rsidR="00623825" w:rsidRDefault="00623825">
            <w:pPr>
              <w:snapToGrid w:val="0"/>
              <w:jc w:val="center"/>
              <w:rPr>
                <w:b/>
                <w:bCs/>
                <w:sz w:val="20"/>
                <w:lang w:val="en-CA"/>
              </w:rPr>
            </w:pPr>
            <w:r>
              <w:rPr>
                <w:rFonts w:hint="cs"/>
                <w:b/>
                <w:bCs/>
                <w:sz w:val="20"/>
                <w:rtl/>
                <w:lang w:val="en-CA"/>
              </w:rPr>
              <w:t>الوكالة المنفذة</w:t>
            </w:r>
          </w:p>
        </w:tc>
      </w:tr>
      <w:tr w:rsidR="00623825" w14:paraId="2B327C03" w14:textId="77777777" w:rsidTr="00623825">
        <w:tc>
          <w:tcPr>
            <w:tcW w:w="539" w:type="dxa"/>
            <w:tcBorders>
              <w:top w:val="single" w:sz="4" w:space="0" w:color="auto"/>
              <w:left w:val="single" w:sz="4" w:space="0" w:color="auto"/>
              <w:bottom w:val="single" w:sz="4" w:space="0" w:color="auto"/>
              <w:right w:val="single" w:sz="4" w:space="0" w:color="auto"/>
            </w:tcBorders>
            <w:hideMark/>
          </w:tcPr>
          <w:p w14:paraId="4710E315" w14:textId="77777777" w:rsidR="00623825" w:rsidRDefault="00623825">
            <w:pPr>
              <w:snapToGrid w:val="0"/>
              <w:rPr>
                <w:sz w:val="20"/>
                <w:lang w:val="en-CA"/>
              </w:rPr>
            </w:pPr>
            <w:r>
              <w:rPr>
                <w:rFonts w:hint="cs"/>
                <w:sz w:val="20"/>
                <w:rtl/>
                <w:lang w:val="en-CA"/>
              </w:rPr>
              <w:t>(أ)</w:t>
            </w:r>
          </w:p>
        </w:tc>
        <w:tc>
          <w:tcPr>
            <w:tcW w:w="4318" w:type="dxa"/>
            <w:tcBorders>
              <w:top w:val="single" w:sz="4" w:space="0" w:color="auto"/>
              <w:left w:val="single" w:sz="4" w:space="0" w:color="auto"/>
              <w:bottom w:val="single" w:sz="4" w:space="0" w:color="auto"/>
              <w:right w:val="single" w:sz="4" w:space="0" w:color="auto"/>
            </w:tcBorders>
            <w:hideMark/>
          </w:tcPr>
          <w:p w14:paraId="6DE476FD" w14:textId="77777777" w:rsidR="00623825" w:rsidRDefault="00623825" w:rsidP="00623825">
            <w:pPr>
              <w:bidi/>
              <w:snapToGrid w:val="0"/>
              <w:spacing w:after="60"/>
              <w:rPr>
                <w:sz w:val="20"/>
              </w:rPr>
            </w:pPr>
            <w:r>
              <w:rPr>
                <w:rFonts w:hint="cs"/>
                <w:sz w:val="18"/>
                <w:rtl/>
                <w:lang w:val="en-CA"/>
              </w:rPr>
              <w:t>خطة إدارة إزالة المواد ال</w:t>
            </w:r>
            <w:r>
              <w:rPr>
                <w:rFonts w:hint="cs"/>
                <w:sz w:val="20"/>
                <w:rtl/>
              </w:rPr>
              <w:t>هيدروكلوروفلوروكربونية (المرحلة الأولى، الشريحة الرابعة)</w:t>
            </w:r>
          </w:p>
        </w:tc>
        <w:tc>
          <w:tcPr>
            <w:tcW w:w="1461" w:type="dxa"/>
            <w:tcBorders>
              <w:top w:val="single" w:sz="4" w:space="0" w:color="auto"/>
              <w:left w:val="single" w:sz="4" w:space="0" w:color="auto"/>
              <w:bottom w:val="single" w:sz="4" w:space="0" w:color="auto"/>
              <w:right w:val="single" w:sz="4" w:space="0" w:color="auto"/>
            </w:tcBorders>
            <w:hideMark/>
          </w:tcPr>
          <w:p w14:paraId="70B5CA5C" w14:textId="77777777" w:rsidR="00623825" w:rsidRDefault="00623825">
            <w:pPr>
              <w:snapToGrid w:val="0"/>
              <w:jc w:val="right"/>
              <w:rPr>
                <w:sz w:val="20"/>
                <w:highlight w:val="cyan"/>
                <w:lang w:val="en-CA"/>
              </w:rPr>
            </w:pPr>
            <w:r>
              <w:rPr>
                <w:rFonts w:hint="cs"/>
                <w:sz w:val="20"/>
                <w:rtl/>
                <w:lang w:val="en-CA"/>
              </w:rPr>
              <w:t>28</w:t>
            </w:r>
            <w:r>
              <w:rPr>
                <w:sz w:val="20"/>
                <w:lang w:val="en-CA"/>
              </w:rPr>
              <w:t>,000</w:t>
            </w:r>
          </w:p>
        </w:tc>
        <w:tc>
          <w:tcPr>
            <w:tcW w:w="1461" w:type="dxa"/>
            <w:tcBorders>
              <w:top w:val="single" w:sz="4" w:space="0" w:color="auto"/>
              <w:left w:val="single" w:sz="4" w:space="0" w:color="auto"/>
              <w:bottom w:val="single" w:sz="4" w:space="0" w:color="auto"/>
              <w:right w:val="single" w:sz="4" w:space="0" w:color="auto"/>
            </w:tcBorders>
            <w:hideMark/>
          </w:tcPr>
          <w:p w14:paraId="09210E68" w14:textId="77777777" w:rsidR="00623825" w:rsidRDefault="00623825">
            <w:pPr>
              <w:snapToGrid w:val="0"/>
              <w:jc w:val="right"/>
              <w:rPr>
                <w:sz w:val="20"/>
                <w:lang w:val="en-CA"/>
              </w:rPr>
            </w:pPr>
            <w:r>
              <w:rPr>
                <w:rFonts w:hint="cs"/>
                <w:sz w:val="20"/>
                <w:rtl/>
                <w:lang w:val="en-CA"/>
              </w:rPr>
              <w:t>640 3</w:t>
            </w:r>
          </w:p>
        </w:tc>
        <w:tc>
          <w:tcPr>
            <w:tcW w:w="1461" w:type="dxa"/>
            <w:tcBorders>
              <w:top w:val="single" w:sz="4" w:space="0" w:color="auto"/>
              <w:left w:val="single" w:sz="4" w:space="0" w:color="auto"/>
              <w:bottom w:val="single" w:sz="4" w:space="0" w:color="auto"/>
              <w:right w:val="single" w:sz="4" w:space="0" w:color="auto"/>
            </w:tcBorders>
            <w:hideMark/>
          </w:tcPr>
          <w:p w14:paraId="54325D4F" w14:textId="77777777" w:rsidR="00623825" w:rsidRDefault="00623825">
            <w:pPr>
              <w:snapToGrid w:val="0"/>
              <w:jc w:val="center"/>
              <w:rPr>
                <w:sz w:val="20"/>
                <w:lang w:val="en-CA"/>
              </w:rPr>
            </w:pPr>
            <w:r>
              <w:rPr>
                <w:rFonts w:hint="cs"/>
                <w:sz w:val="20"/>
                <w:rtl/>
                <w:lang w:val="en-CA"/>
              </w:rPr>
              <w:t>يونيب</w:t>
            </w:r>
          </w:p>
        </w:tc>
      </w:tr>
    </w:tbl>
    <w:p w14:paraId="4ACC5089" w14:textId="77777777" w:rsidR="00623825" w:rsidRDefault="00623825" w:rsidP="00623825">
      <w:pPr>
        <w:bidi/>
        <w:rPr>
          <w:sz w:val="22"/>
          <w:szCs w:val="24"/>
          <w:rtl/>
        </w:rPr>
      </w:pPr>
    </w:p>
    <w:p w14:paraId="675271AC" w14:textId="21C07853" w:rsidR="006E12B4" w:rsidRPr="006E12B4" w:rsidRDefault="009070AF" w:rsidP="00272FB1">
      <w:pPr>
        <w:bidi/>
        <w:jc w:val="center"/>
        <w:rPr>
          <w:sz w:val="26"/>
          <w:szCs w:val="26"/>
        </w:rPr>
      </w:pPr>
      <w:r>
        <w:rPr>
          <w:rFonts w:hint="cs"/>
          <w:szCs w:val="24"/>
          <w:rtl/>
        </w:rPr>
        <w:t>___________</w:t>
      </w:r>
      <w:r w:rsidR="006E12B4">
        <w:rPr>
          <w:rFonts w:hint="cs"/>
          <w:sz w:val="26"/>
          <w:szCs w:val="26"/>
          <w:rtl/>
        </w:rPr>
        <w:tab/>
      </w:r>
      <w:r w:rsidR="006E12B4">
        <w:rPr>
          <w:rFonts w:hint="cs"/>
          <w:sz w:val="26"/>
          <w:szCs w:val="26"/>
          <w:rtl/>
        </w:rPr>
        <w:tab/>
      </w:r>
    </w:p>
    <w:p w14:paraId="568804BB" w14:textId="5009A7FA" w:rsidR="007E5D09" w:rsidRDefault="007E5D09">
      <w:pPr>
        <w:pStyle w:val="Heading3"/>
        <w:numPr>
          <w:ilvl w:val="0"/>
          <w:numId w:val="0"/>
        </w:numPr>
        <w:ind w:left="1361" w:firstLine="720"/>
      </w:pPr>
    </w:p>
    <w:p w14:paraId="3B2A5B57" w14:textId="7AA6CD1B" w:rsidR="007E5D09" w:rsidRDefault="007E5D09">
      <w:pPr>
        <w:pStyle w:val="Heading3"/>
        <w:numPr>
          <w:ilvl w:val="0"/>
          <w:numId w:val="0"/>
        </w:numPr>
        <w:ind w:left="1361"/>
        <w:sectPr w:rsidR="007E5D09">
          <w:headerReference w:type="even" r:id="rId10"/>
          <w:headerReference w:type="default" r:id="rId11"/>
          <w:footerReference w:type="even" r:id="rId12"/>
          <w:footerReference w:type="default" r:id="rId13"/>
          <w:headerReference w:type="first" r:id="rId14"/>
          <w:footerReference w:type="first" r:id="rId15"/>
          <w:pgSz w:w="12240" w:h="15840" w:code="1"/>
          <w:pgMar w:top="850" w:right="1440" w:bottom="1440" w:left="1440" w:header="720" w:footer="706" w:gutter="0"/>
          <w:cols w:space="720"/>
          <w:titlePg/>
        </w:sectPr>
      </w:pPr>
    </w:p>
    <w:p w14:paraId="1E549CE0" w14:textId="466E0A51" w:rsidR="007E5D09" w:rsidRDefault="007E5D09" w:rsidP="00272FB1">
      <w:pPr>
        <w:tabs>
          <w:tab w:val="left" w:pos="4095"/>
          <w:tab w:val="center" w:pos="4680"/>
        </w:tabs>
        <w:bidi/>
        <w:jc w:val="left"/>
        <w:rPr>
          <w:rtl/>
          <w:lang w:val="en-CA"/>
        </w:rPr>
      </w:pPr>
    </w:p>
    <w:sectPr w:rsidR="007E5D09">
      <w:headerReference w:type="even" r:id="rId16"/>
      <w:headerReference w:type="default" r:id="rId17"/>
      <w:footerReference w:type="even" r:id="rId18"/>
      <w:footerReference w:type="default" r:id="rId19"/>
      <w:headerReference w:type="first" r:id="rId20"/>
      <w:footerReference w:type="first" r:id="rId21"/>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DCE8A" w14:textId="77777777" w:rsidR="009636A4" w:rsidRDefault="009636A4">
      <w:r>
        <w:separator/>
      </w:r>
    </w:p>
  </w:endnote>
  <w:endnote w:type="continuationSeparator" w:id="0">
    <w:p w14:paraId="4C721DFE" w14:textId="77777777" w:rsidR="009636A4" w:rsidRDefault="0096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khbar MT">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EDDF3" w14:textId="77777777" w:rsidR="00873E43" w:rsidRDefault="00873E43">
    <w:pPr>
      <w:pStyle w:val="Footer"/>
      <w:jc w:val="center"/>
    </w:pPr>
    <w:r>
      <w:rPr>
        <w:rStyle w:val="PageNumber"/>
      </w:rPr>
      <w:fldChar w:fldCharType="begin"/>
    </w:r>
    <w:r>
      <w:rPr>
        <w:rStyle w:val="PageNumber"/>
      </w:rPr>
      <w:instrText xml:space="preserve"> PAGE </w:instrText>
    </w:r>
    <w:r>
      <w:rPr>
        <w:rStyle w:val="PageNumber"/>
      </w:rPr>
      <w:fldChar w:fldCharType="separate"/>
    </w:r>
    <w:r w:rsidR="0095427C">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A94D6" w14:textId="77777777" w:rsidR="00873E43" w:rsidRDefault="00873E43">
    <w:pPr>
      <w:jc w:val="center"/>
    </w:pPr>
    <w:r>
      <w:rPr>
        <w:rStyle w:val="PageNumber"/>
      </w:rPr>
      <w:fldChar w:fldCharType="begin"/>
    </w:r>
    <w:r>
      <w:rPr>
        <w:rStyle w:val="PageNumber"/>
      </w:rPr>
      <w:instrText xml:space="preserve"> PAGE </w:instrText>
    </w:r>
    <w:r>
      <w:rPr>
        <w:rStyle w:val="PageNumber"/>
      </w:rPr>
      <w:fldChar w:fldCharType="separate"/>
    </w:r>
    <w:r w:rsidR="0095427C">
      <w:rPr>
        <w:rStyle w:val="PageNumber"/>
        <w:noProof/>
      </w:rPr>
      <w:t>5</w:t>
    </w:r>
    <w:r>
      <w:rPr>
        <w:rStyle w:val="PageNumber"/>
      </w:rPr>
      <w:fldChar w:fldCharType="end"/>
    </w:r>
  </w:p>
  <w:p w14:paraId="66ACC30F" w14:textId="77777777" w:rsidR="00873E43" w:rsidRDefault="00873E4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9F56F" w14:textId="77777777" w:rsidR="00873E43" w:rsidRPr="008662C4" w:rsidRDefault="00873E43">
    <w:pPr>
      <w:pBdr>
        <w:top w:val="single" w:sz="4" w:space="1" w:color="auto"/>
        <w:left w:val="single" w:sz="4" w:space="0" w:color="auto"/>
        <w:bottom w:val="single" w:sz="4" w:space="1" w:color="auto"/>
        <w:right w:val="single" w:sz="4" w:space="0" w:color="auto"/>
      </w:pBdr>
      <w:bidi/>
      <w:jc w:val="center"/>
      <w:rPr>
        <w:rFonts w:cs="Arabic Transparent"/>
        <w:rtl/>
      </w:rPr>
    </w:pPr>
    <w:r w:rsidRPr="008662C4">
      <w:rPr>
        <w:rFonts w:cs="Arabic Transparent" w:hint="cs"/>
        <w:rtl/>
      </w:rPr>
      <w:t>إن وثائق ما قبل دورات اللجنة التنفيذية للصندوق المتعدد الأطراف لتنفيذ بروتوكول مونتريال</w:t>
    </w:r>
    <w:r w:rsidRPr="008662C4">
      <w:rPr>
        <w:rFonts w:cs="Arabic Transparent"/>
      </w:rPr>
      <w:t xml:space="preserve"> </w:t>
    </w:r>
  </w:p>
  <w:p w14:paraId="4E09863B" w14:textId="77777777" w:rsidR="00873E43" w:rsidRDefault="00873E43">
    <w:pPr>
      <w:pBdr>
        <w:top w:val="single" w:sz="4" w:space="1" w:color="auto"/>
        <w:left w:val="single" w:sz="4" w:space="0" w:color="auto"/>
        <w:bottom w:val="single" w:sz="4" w:space="1" w:color="auto"/>
        <w:right w:val="single" w:sz="4" w:space="0" w:color="auto"/>
      </w:pBdr>
      <w:bidi/>
      <w:jc w:val="center"/>
      <w:rPr>
        <w:rFonts w:cs="Arabic Transparent"/>
      </w:rPr>
    </w:pPr>
    <w:r w:rsidRPr="008662C4">
      <w:rPr>
        <w:rFonts w:cs="Arabic Transparent" w:hint="cs"/>
        <w:rtl/>
      </w:rPr>
      <w:t>قد تصدر دون إخلال بأي قرار تتخذه اللجنة التنفيذية بعد صدورها.</w:t>
    </w:r>
    <w:r>
      <w:rPr>
        <w:rFonts w:cs="Arabic Transparent"/>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76B3D" w14:textId="77777777" w:rsidR="00873E43" w:rsidRDefault="00873E43">
    <w:pP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29F45" w14:textId="77777777" w:rsidR="00873E43" w:rsidRDefault="00873E43">
    <w:pPr>
      <w:jc w:val="center"/>
    </w:pPr>
    <w:r>
      <w:fldChar w:fldCharType="begin"/>
    </w:r>
    <w:r>
      <w:instrText xml:space="preserve"> PAGE </w:instrText>
    </w:r>
    <w:r>
      <w:fldChar w:fldCharType="separate"/>
    </w:r>
    <w:r>
      <w:rPr>
        <w:noProof/>
      </w:rPr>
      <w:t>3</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8752022"/>
      <w:docPartObj>
        <w:docPartGallery w:val="Page Numbers (Bottom of Page)"/>
        <w:docPartUnique/>
      </w:docPartObj>
    </w:sdtPr>
    <w:sdtEndPr>
      <w:rPr>
        <w:noProof/>
      </w:rPr>
    </w:sdtEndPr>
    <w:sdtContent>
      <w:p w14:paraId="559FD3E8" w14:textId="77777777" w:rsidR="00873E43" w:rsidRDefault="00873E43">
        <w:pPr>
          <w:pStyle w:val="Footer"/>
          <w:jc w:val="center"/>
        </w:pPr>
        <w:r>
          <w:fldChar w:fldCharType="begin"/>
        </w:r>
        <w:r>
          <w:instrText xml:space="preserve"> PAGE   \* MERGEFORMAT </w:instrText>
        </w:r>
        <w:r>
          <w:fldChar w:fldCharType="separate"/>
        </w:r>
        <w:r w:rsidR="0095427C">
          <w:rPr>
            <w:noProof/>
          </w:rPr>
          <w:t>1</w:t>
        </w:r>
        <w:r>
          <w:rPr>
            <w:noProof/>
          </w:rPr>
          <w:fldChar w:fldCharType="end"/>
        </w:r>
      </w:p>
    </w:sdtContent>
  </w:sdt>
  <w:p w14:paraId="6F913E86" w14:textId="77777777" w:rsidR="00873E43" w:rsidRDefault="00873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7F4D4" w14:textId="77777777" w:rsidR="009636A4" w:rsidRDefault="009636A4">
      <w:r>
        <w:separator/>
      </w:r>
    </w:p>
  </w:footnote>
  <w:footnote w:type="continuationSeparator" w:id="0">
    <w:p w14:paraId="160B4222" w14:textId="77777777" w:rsidR="009636A4" w:rsidRDefault="009636A4">
      <w:r>
        <w:continuationSeparator/>
      </w:r>
    </w:p>
  </w:footnote>
  <w:footnote w:id="1">
    <w:p w14:paraId="4C5AFB1A" w14:textId="77777777" w:rsidR="00873E43" w:rsidRDefault="00873E43" w:rsidP="00BC346D">
      <w:pPr>
        <w:pStyle w:val="FootnoteText"/>
        <w:bidi/>
        <w:rPr>
          <w:lang w:bidi="ar-EG"/>
        </w:rPr>
      </w:pPr>
      <w:r>
        <w:rPr>
          <w:rStyle w:val="FootnoteReference"/>
        </w:rPr>
        <w:footnoteRef/>
      </w:r>
      <w:r>
        <w:t xml:space="preserve"> </w:t>
      </w:r>
      <w:r>
        <w:rPr>
          <w:rFonts w:hint="cs"/>
          <w:rtl/>
          <w:lang w:bidi="ar-EG"/>
        </w:rPr>
        <w:t xml:space="preserve">  حسب الرسالة المؤرخة في 16 مارس/آذار 2020 من وزارة البيئة والتنوع البيولوجى لغينيا</w:t>
      </w:r>
      <w:r w:rsidR="007450E5">
        <w:rPr>
          <w:rFonts w:hint="cs"/>
          <w:rtl/>
          <w:lang w:bidi="ar-EG"/>
        </w:rPr>
        <w:t xml:space="preserve"> </w:t>
      </w:r>
      <w:r>
        <w:rPr>
          <w:rFonts w:hint="cs"/>
          <w:rtl/>
          <w:lang w:bidi="ar-EG"/>
        </w:rPr>
        <w:t>- بيساو إلى الأمانة.</w:t>
      </w:r>
    </w:p>
  </w:footnote>
  <w:footnote w:id="2">
    <w:p w14:paraId="59600177" w14:textId="77777777" w:rsidR="00873E43" w:rsidRDefault="00873E43" w:rsidP="00E83E5F">
      <w:pPr>
        <w:pStyle w:val="FootnoteText"/>
        <w:bidi/>
        <w:rPr>
          <w:rtl/>
          <w:lang w:bidi="ar-EG"/>
        </w:rPr>
      </w:pPr>
      <w:r>
        <w:rPr>
          <w:rStyle w:val="FootnoteReference"/>
        </w:rPr>
        <w:footnoteRef/>
      </w:r>
      <w:r>
        <w:t xml:space="preserve"> </w:t>
      </w:r>
      <w:r>
        <w:rPr>
          <w:rFonts w:hint="cs"/>
          <w:rtl/>
          <w:lang w:bidi="ar-EG"/>
        </w:rPr>
        <w:t xml:space="preserve">  </w:t>
      </w:r>
      <w:r w:rsidR="00E83E5F">
        <w:rPr>
          <w:rFonts w:hint="cs"/>
          <w:rtl/>
          <w:lang w:bidi="ar-EG"/>
        </w:rPr>
        <w:t>بنن وبوركينا فاسو</w:t>
      </w:r>
      <w:r>
        <w:rPr>
          <w:rFonts w:hint="cs"/>
          <w:rtl/>
          <w:lang w:bidi="ar-EG"/>
        </w:rPr>
        <w:t xml:space="preserve"> وكوت د</w:t>
      </w:r>
      <w:r w:rsidR="00E83E5F">
        <w:rPr>
          <w:rFonts w:hint="cs"/>
          <w:rtl/>
          <w:lang w:bidi="ar-EG"/>
        </w:rPr>
        <w:t>ي</w:t>
      </w:r>
      <w:r>
        <w:rPr>
          <w:rFonts w:hint="cs"/>
          <w:rtl/>
          <w:lang w:bidi="ar-EG"/>
        </w:rPr>
        <w:t>فوار وغينيا</w:t>
      </w:r>
      <w:r w:rsidR="00E83E5F">
        <w:rPr>
          <w:rFonts w:hint="cs"/>
          <w:rtl/>
          <w:lang w:bidi="ar-EG"/>
        </w:rPr>
        <w:t xml:space="preserve"> </w:t>
      </w:r>
      <w:r>
        <w:rPr>
          <w:rFonts w:hint="cs"/>
          <w:rtl/>
          <w:lang w:bidi="ar-EG"/>
        </w:rPr>
        <w:t>- بيساو ومالى والنيجر والسنغال وتوغو.</w:t>
      </w:r>
    </w:p>
  </w:footnote>
  <w:footnote w:id="3">
    <w:p w14:paraId="53251715" w14:textId="77777777" w:rsidR="00873E43" w:rsidRDefault="00873E43" w:rsidP="003B04E6">
      <w:pPr>
        <w:pStyle w:val="FootnoteText"/>
        <w:bidi/>
        <w:rPr>
          <w:rtl/>
          <w:lang w:bidi="ar-EG"/>
        </w:rPr>
      </w:pPr>
      <w:r>
        <w:rPr>
          <w:rStyle w:val="FootnoteReference"/>
        </w:rPr>
        <w:footnoteRef/>
      </w:r>
      <w:r>
        <w:t xml:space="preserve"> </w:t>
      </w:r>
      <w:r>
        <w:rPr>
          <w:rFonts w:hint="cs"/>
          <w:rtl/>
          <w:lang w:bidi="ar-EG"/>
        </w:rPr>
        <w:t xml:space="preserve">  طلب المقرر 84/92(د) من الوكالات الثنائية والمنفذة أن تطبق السياسة التشغيلية بشأن سيادة المنظور الجنسانى في جميع مراحل دورة المشروع.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BF090" w14:textId="77777777" w:rsidR="00873E43" w:rsidRDefault="00873E43" w:rsidP="009E0AF0">
    <w:pPr>
      <w:jc w:val="right"/>
    </w:pPr>
    <w:r>
      <w:fldChar w:fldCharType="begin"/>
    </w:r>
    <w:r>
      <w:instrText xml:space="preserve"> DOCPROPERTY "Document number"  \* MERGEFORMAT </w:instrText>
    </w:r>
    <w:r>
      <w:fldChar w:fldCharType="separate"/>
    </w:r>
    <w:r>
      <w:t>UNEP/</w:t>
    </w:r>
    <w:proofErr w:type="spellStart"/>
    <w:r>
      <w:t>OzL.Pro</w:t>
    </w:r>
    <w:proofErr w:type="spellEnd"/>
    <w:r>
      <w:t>/ExCom/85/</w:t>
    </w:r>
    <w:r>
      <w:fldChar w:fldCharType="end"/>
    </w:r>
    <w:r>
      <w:t>30</w:t>
    </w:r>
  </w:p>
  <w:p w14:paraId="41D86E46" w14:textId="77777777" w:rsidR="00873E43" w:rsidRDefault="00873E43"/>
  <w:p w14:paraId="270B427B" w14:textId="77777777" w:rsidR="00873E43" w:rsidRDefault="00873E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F98CB" w14:textId="77777777" w:rsidR="00873E43" w:rsidRDefault="00873E43" w:rsidP="009E0AF0">
    <w:pPr>
      <w:jc w:val="left"/>
    </w:pPr>
    <w:r>
      <w:fldChar w:fldCharType="begin"/>
    </w:r>
    <w:r>
      <w:instrText xml:space="preserve"> DOCPROPERTY "Document number"  \* MERGEFORMAT </w:instrText>
    </w:r>
    <w:r>
      <w:fldChar w:fldCharType="separate"/>
    </w:r>
    <w:r>
      <w:t>UNEP/</w:t>
    </w:r>
    <w:proofErr w:type="spellStart"/>
    <w:r>
      <w:t>OzL.Pro</w:t>
    </w:r>
    <w:proofErr w:type="spellEnd"/>
    <w:r>
      <w:t>/ExCom/85/</w:t>
    </w:r>
    <w:r>
      <w:fldChar w:fldCharType="end"/>
    </w:r>
    <w:r>
      <w:t>30</w:t>
    </w:r>
  </w:p>
  <w:p w14:paraId="7EB588D2" w14:textId="77777777" w:rsidR="00873E43" w:rsidRDefault="00873E43"/>
  <w:p w14:paraId="154EE1C5" w14:textId="77777777" w:rsidR="00873E43" w:rsidRDefault="00873E4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00160" w14:textId="77777777" w:rsidR="008662C4" w:rsidRDefault="008662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DE19E" w14:textId="77777777" w:rsidR="00873E43" w:rsidRDefault="00873E43">
    <w:r>
      <w:fldChar w:fldCharType="begin"/>
    </w:r>
    <w:r>
      <w:instrText xml:space="preserve"> DOCPROPERTY "Document number"  \* MERGEFORMAT </w:instrText>
    </w:r>
    <w:r>
      <w:fldChar w:fldCharType="separate"/>
    </w:r>
    <w:r>
      <w:t>UNEP/</w:t>
    </w:r>
    <w:proofErr w:type="spellStart"/>
    <w:r>
      <w:t>OzL.Pro</w:t>
    </w:r>
    <w:proofErr w:type="spellEnd"/>
    <w:r>
      <w:t>/ExCom/85/1</w:t>
    </w:r>
    <w:r>
      <w:fldChar w:fldCharType="end"/>
    </w:r>
  </w:p>
  <w:p w14:paraId="76D565F4" w14:textId="77777777" w:rsidR="00873E43" w:rsidRDefault="00873E43"/>
  <w:p w14:paraId="73B52FB5" w14:textId="77777777" w:rsidR="00873E43" w:rsidRDefault="00873E4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C7DE0" w14:textId="77777777" w:rsidR="00873E43" w:rsidRDefault="00873E43">
    <w:pPr>
      <w:jc w:val="right"/>
    </w:pPr>
    <w:r>
      <w:fldChar w:fldCharType="begin"/>
    </w:r>
    <w:r>
      <w:instrText xml:space="preserve"> DOCPROPERTY "Document number"  \* MERGEFORMAT </w:instrText>
    </w:r>
    <w:r>
      <w:fldChar w:fldCharType="separate"/>
    </w:r>
    <w:r>
      <w:t>UNEP/</w:t>
    </w:r>
    <w:proofErr w:type="spellStart"/>
    <w:r>
      <w:t>OzL.Pro</w:t>
    </w:r>
    <w:proofErr w:type="spellEnd"/>
    <w:r>
      <w:t>/ExCom/85/1</w:t>
    </w:r>
    <w:r>
      <w:fldChar w:fldCharType="end"/>
    </w:r>
  </w:p>
  <w:p w14:paraId="6955BD82" w14:textId="77777777" w:rsidR="00873E43" w:rsidRDefault="00873E43"/>
  <w:p w14:paraId="19541AD7" w14:textId="77777777" w:rsidR="00873E43" w:rsidRDefault="00873E4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9E35F" w14:textId="77777777" w:rsidR="00873E43" w:rsidRDefault="00873E43">
    <w:pPr>
      <w:jc w:val="left"/>
    </w:pPr>
    <w:r>
      <w:fldChar w:fldCharType="begin"/>
    </w:r>
    <w:r>
      <w:instrText xml:space="preserve"> DOCPROPERTY "Document number"  \* MERGEFORMAT </w:instrText>
    </w:r>
    <w:r>
      <w:fldChar w:fldCharType="separate"/>
    </w:r>
    <w:r>
      <w:t>UNEP/</w:t>
    </w:r>
    <w:proofErr w:type="spellStart"/>
    <w:r>
      <w:t>OzL.Pro</w:t>
    </w:r>
    <w:proofErr w:type="spellEnd"/>
    <w:r>
      <w:t>/ExCom/85/1</w:t>
    </w:r>
    <w:r>
      <w:fldChar w:fldCharType="end"/>
    </w:r>
  </w:p>
  <w:p w14:paraId="32446604" w14:textId="77777777" w:rsidR="00873E43" w:rsidRDefault="00873E43"/>
  <w:p w14:paraId="050A6B44" w14:textId="77777777" w:rsidR="00873E43" w:rsidRDefault="00873E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761E4C"/>
    <w:lvl w:ilvl="0">
      <w:start w:val="1"/>
      <w:numFmt w:val="decimal"/>
      <w:lvlText w:val="%1."/>
      <w:lvlJc w:val="left"/>
      <w:pPr>
        <w:tabs>
          <w:tab w:val="num" w:pos="1890"/>
        </w:tabs>
        <w:ind w:left="189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180"/>
        </w:tabs>
        <w:ind w:left="180" w:firstLine="0"/>
      </w:pPr>
    </w:lvl>
    <w:lvl w:ilvl="1">
      <w:start w:val="1"/>
      <w:numFmt w:val="lowerLetter"/>
      <w:pStyle w:val="Heading2"/>
      <w:lvlText w:val="(%2)"/>
      <w:lvlJc w:val="left"/>
      <w:pPr>
        <w:tabs>
          <w:tab w:val="num" w:pos="180"/>
        </w:tabs>
        <w:ind w:left="1620" w:hanging="720"/>
      </w:pPr>
    </w:lvl>
    <w:lvl w:ilvl="2">
      <w:start w:val="1"/>
      <w:numFmt w:val="lowerRoman"/>
      <w:pStyle w:val="Heading3"/>
      <w:lvlText w:val="(%3)"/>
      <w:lvlJc w:val="left"/>
      <w:pPr>
        <w:tabs>
          <w:tab w:val="num" w:pos="180"/>
        </w:tabs>
        <w:ind w:left="2340" w:hanging="720"/>
      </w:pPr>
    </w:lvl>
    <w:lvl w:ilvl="3">
      <w:start w:val="1"/>
      <w:numFmt w:val="lowerLetter"/>
      <w:pStyle w:val="Heading4"/>
      <w:lvlText w:val="%4)"/>
      <w:lvlJc w:val="left"/>
      <w:pPr>
        <w:tabs>
          <w:tab w:val="num" w:pos="90"/>
        </w:tabs>
        <w:ind w:left="2956" w:hanging="706"/>
      </w:pPr>
      <w:rPr>
        <w:b w:val="0"/>
        <w:i w:val="0"/>
      </w:rPr>
    </w:lvl>
    <w:lvl w:ilvl="4">
      <w:start w:val="1"/>
      <w:numFmt w:val="decimal"/>
      <w:lvlText w:val="(%5)"/>
      <w:lvlJc w:val="left"/>
      <w:pPr>
        <w:tabs>
          <w:tab w:val="num" w:pos="180"/>
        </w:tabs>
        <w:ind w:left="3751" w:hanging="705"/>
      </w:pPr>
    </w:lvl>
    <w:lvl w:ilvl="5">
      <w:start w:val="1"/>
      <w:numFmt w:val="lowerLetter"/>
      <w:pStyle w:val="Heading6"/>
      <w:lvlText w:val="(%6)"/>
      <w:lvlJc w:val="left"/>
      <w:pPr>
        <w:tabs>
          <w:tab w:val="num" w:pos="180"/>
        </w:tabs>
        <w:ind w:left="4471" w:hanging="720"/>
      </w:pPr>
    </w:lvl>
    <w:lvl w:ilvl="6">
      <w:start w:val="1"/>
      <w:numFmt w:val="lowerRoman"/>
      <w:pStyle w:val="Heading7"/>
      <w:lvlText w:val="(%7)"/>
      <w:lvlJc w:val="left"/>
      <w:pPr>
        <w:tabs>
          <w:tab w:val="num" w:pos="180"/>
        </w:tabs>
        <w:ind w:left="5177" w:hanging="706"/>
      </w:pPr>
    </w:lvl>
    <w:lvl w:ilvl="7">
      <w:start w:val="1"/>
      <w:numFmt w:val="lowerLetter"/>
      <w:lvlText w:val="(%8)"/>
      <w:lvlJc w:val="left"/>
      <w:pPr>
        <w:tabs>
          <w:tab w:val="num" w:pos="180"/>
        </w:tabs>
        <w:ind w:left="5882" w:hanging="705"/>
      </w:pPr>
    </w:lvl>
    <w:lvl w:ilvl="8">
      <w:start w:val="1"/>
      <w:numFmt w:val="lowerRoman"/>
      <w:pStyle w:val="Heading9"/>
      <w:lvlText w:val="(%9)"/>
      <w:lvlJc w:val="left"/>
      <w:pPr>
        <w:tabs>
          <w:tab w:val="num" w:pos="180"/>
        </w:tabs>
        <w:ind w:left="6588" w:hanging="706"/>
      </w:pPr>
    </w:lvl>
  </w:abstractNum>
  <w:abstractNum w:abstractNumId="11" w15:restartNumberingAfterBreak="0">
    <w:nsid w:val="06AF0FB0"/>
    <w:multiLevelType w:val="hybridMultilevel"/>
    <w:tmpl w:val="DEAAC410"/>
    <w:lvl w:ilvl="0" w:tplc="A9161CEC">
      <w:start w:val="1"/>
      <w:numFmt w:val="arabicAlpha"/>
      <w:lvlText w:val="(%1)"/>
      <w:lvlJc w:val="left"/>
      <w:pPr>
        <w:ind w:left="1080" w:hanging="360"/>
      </w:p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12" w15:restartNumberingAfterBreak="0">
    <w:nsid w:val="0EA91885"/>
    <w:multiLevelType w:val="hybridMultilevel"/>
    <w:tmpl w:val="DACA1944"/>
    <w:lvl w:ilvl="0" w:tplc="A914E8D6">
      <w:start w:val="1"/>
      <w:numFmt w:val="arabicAbjad"/>
      <w:lvlText w:val="(%1)"/>
      <w:lvlJc w:val="left"/>
      <w:pPr>
        <w:tabs>
          <w:tab w:val="num" w:pos="0"/>
        </w:tabs>
        <w:ind w:left="1440" w:hanging="720"/>
      </w:pPr>
      <w:rPr>
        <w:rFonts w:ascii="Times New Roman" w:hAnsi="Times New Roman" w:cs="Arabic Transparent" w:hint="default"/>
        <w:b w:val="0"/>
        <w:bCs w:val="0"/>
        <w:i w:val="0"/>
        <w:iCs w:val="0"/>
        <w:vanish w:val="0"/>
        <w:color w:val="auto"/>
        <w:sz w:val="24"/>
        <w:szCs w:val="26"/>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233367"/>
    <w:multiLevelType w:val="hybridMultilevel"/>
    <w:tmpl w:val="8266E51E"/>
    <w:lvl w:ilvl="0" w:tplc="55D438BA">
      <w:start w:val="8"/>
      <w:numFmt w:val="decimal"/>
      <w:lvlText w:val="%1"/>
      <w:lvlJc w:val="left"/>
      <w:pPr>
        <w:ind w:left="540" w:hanging="360"/>
      </w:pPr>
      <w:rPr>
        <w:rFonts w:hint="default"/>
      </w:rPr>
    </w:lvl>
    <w:lvl w:ilvl="1" w:tplc="240A0019" w:tentative="1">
      <w:start w:val="1"/>
      <w:numFmt w:val="lowerLetter"/>
      <w:lvlText w:val="%2."/>
      <w:lvlJc w:val="left"/>
      <w:pPr>
        <w:ind w:left="1260" w:hanging="360"/>
      </w:pPr>
    </w:lvl>
    <w:lvl w:ilvl="2" w:tplc="240A001B" w:tentative="1">
      <w:start w:val="1"/>
      <w:numFmt w:val="lowerRoman"/>
      <w:lvlText w:val="%3."/>
      <w:lvlJc w:val="right"/>
      <w:pPr>
        <w:ind w:left="1980" w:hanging="180"/>
      </w:pPr>
    </w:lvl>
    <w:lvl w:ilvl="3" w:tplc="240A000F" w:tentative="1">
      <w:start w:val="1"/>
      <w:numFmt w:val="decimal"/>
      <w:lvlText w:val="%4."/>
      <w:lvlJc w:val="left"/>
      <w:pPr>
        <w:ind w:left="2700" w:hanging="360"/>
      </w:pPr>
    </w:lvl>
    <w:lvl w:ilvl="4" w:tplc="240A0019" w:tentative="1">
      <w:start w:val="1"/>
      <w:numFmt w:val="lowerLetter"/>
      <w:lvlText w:val="%5."/>
      <w:lvlJc w:val="left"/>
      <w:pPr>
        <w:ind w:left="3420" w:hanging="360"/>
      </w:pPr>
    </w:lvl>
    <w:lvl w:ilvl="5" w:tplc="240A001B" w:tentative="1">
      <w:start w:val="1"/>
      <w:numFmt w:val="lowerRoman"/>
      <w:lvlText w:val="%6."/>
      <w:lvlJc w:val="right"/>
      <w:pPr>
        <w:ind w:left="4140" w:hanging="180"/>
      </w:pPr>
    </w:lvl>
    <w:lvl w:ilvl="6" w:tplc="240A000F" w:tentative="1">
      <w:start w:val="1"/>
      <w:numFmt w:val="decimal"/>
      <w:lvlText w:val="%7."/>
      <w:lvlJc w:val="left"/>
      <w:pPr>
        <w:ind w:left="4860" w:hanging="360"/>
      </w:pPr>
    </w:lvl>
    <w:lvl w:ilvl="7" w:tplc="240A0019" w:tentative="1">
      <w:start w:val="1"/>
      <w:numFmt w:val="lowerLetter"/>
      <w:lvlText w:val="%8."/>
      <w:lvlJc w:val="left"/>
      <w:pPr>
        <w:ind w:left="5580" w:hanging="360"/>
      </w:pPr>
    </w:lvl>
    <w:lvl w:ilvl="8" w:tplc="240A001B" w:tentative="1">
      <w:start w:val="1"/>
      <w:numFmt w:val="lowerRoman"/>
      <w:lvlText w:val="%9."/>
      <w:lvlJc w:val="right"/>
      <w:pPr>
        <w:ind w:left="6300" w:hanging="180"/>
      </w:pPr>
    </w:lvl>
  </w:abstractNum>
  <w:abstractNum w:abstractNumId="14"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F2D0A08"/>
    <w:multiLevelType w:val="hybridMultilevel"/>
    <w:tmpl w:val="14789E5C"/>
    <w:lvl w:ilvl="0" w:tplc="B136E804">
      <w:start w:val="1"/>
      <w:numFmt w:val="decimal"/>
      <w:lvlText w:val="(%1)"/>
      <w:lvlJc w:val="left"/>
      <w:pPr>
        <w:tabs>
          <w:tab w:val="num" w:pos="0"/>
        </w:tabs>
        <w:ind w:left="1814"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7" w15:restartNumberingAfterBreak="0">
    <w:nsid w:val="3E7A0BB4"/>
    <w:multiLevelType w:val="hybridMultilevel"/>
    <w:tmpl w:val="9D8A5F48"/>
    <w:lvl w:ilvl="0" w:tplc="73366A04">
      <w:start w:val="5"/>
      <w:numFmt w:val="arabicAlpha"/>
      <w:lvlText w:val="(%1)"/>
      <w:lvlJc w:val="left"/>
      <w:pPr>
        <w:ind w:left="1080" w:hanging="360"/>
      </w:p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18" w15:restartNumberingAfterBreak="0">
    <w:nsid w:val="469F77FA"/>
    <w:multiLevelType w:val="hybridMultilevel"/>
    <w:tmpl w:val="898642EC"/>
    <w:lvl w:ilvl="0" w:tplc="240A000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66C3E50"/>
    <w:multiLevelType w:val="hybridMultilevel"/>
    <w:tmpl w:val="9D9E614E"/>
    <w:lvl w:ilvl="0" w:tplc="A9C8EE90">
      <w:start w:val="1"/>
      <w:numFmt w:val="arabicAlpha"/>
      <w:lvlText w:val="(%1)"/>
      <w:lvlJc w:val="left"/>
      <w:pPr>
        <w:ind w:left="1080" w:hanging="360"/>
      </w:p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22" w15:restartNumberingAfterBreak="0">
    <w:nsid w:val="70BE74DB"/>
    <w:multiLevelType w:val="hybridMultilevel"/>
    <w:tmpl w:val="038438B6"/>
    <w:lvl w:ilvl="0" w:tplc="AFE44EA2">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9"/>
  </w:num>
  <w:num w:numId="18">
    <w:abstractNumId w:val="20"/>
  </w:num>
  <w:num w:numId="19">
    <w:abstractNumId w:val="23"/>
  </w:num>
  <w:num w:numId="20">
    <w:abstractNumId w:val="16"/>
  </w:num>
  <w:num w:numId="21">
    <w:abstractNumId w:val="12"/>
  </w:num>
  <w:num w:numId="22">
    <w:abstractNumId w:val="15"/>
  </w:num>
  <w:num w:numId="23">
    <w:abstractNumId w:val="22"/>
  </w:num>
  <w:num w:numId="24">
    <w:abstractNumId w:val="18"/>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67D8"/>
    <w:rsid w:val="00004D1A"/>
    <w:rsid w:val="00013372"/>
    <w:rsid w:val="0004254A"/>
    <w:rsid w:val="000474CE"/>
    <w:rsid w:val="0007211E"/>
    <w:rsid w:val="000861FE"/>
    <w:rsid w:val="00096BB4"/>
    <w:rsid w:val="000C2FE8"/>
    <w:rsid w:val="000F611B"/>
    <w:rsid w:val="001262AB"/>
    <w:rsid w:val="0013773E"/>
    <w:rsid w:val="00137A90"/>
    <w:rsid w:val="00146908"/>
    <w:rsid w:val="00166AB9"/>
    <w:rsid w:val="001D3057"/>
    <w:rsid w:val="0020072D"/>
    <w:rsid w:val="0024417C"/>
    <w:rsid w:val="002558D2"/>
    <w:rsid w:val="00272FB1"/>
    <w:rsid w:val="002E6824"/>
    <w:rsid w:val="002E7EF7"/>
    <w:rsid w:val="002F505F"/>
    <w:rsid w:val="00304DAB"/>
    <w:rsid w:val="003263B5"/>
    <w:rsid w:val="003821D1"/>
    <w:rsid w:val="003953E1"/>
    <w:rsid w:val="003B04E6"/>
    <w:rsid w:val="003D326B"/>
    <w:rsid w:val="003F2852"/>
    <w:rsid w:val="003F698F"/>
    <w:rsid w:val="00416342"/>
    <w:rsid w:val="004456FC"/>
    <w:rsid w:val="00477940"/>
    <w:rsid w:val="00480B2D"/>
    <w:rsid w:val="00495351"/>
    <w:rsid w:val="004C1183"/>
    <w:rsid w:val="004C33B4"/>
    <w:rsid w:val="004C5B74"/>
    <w:rsid w:val="004E5618"/>
    <w:rsid w:val="00532BD7"/>
    <w:rsid w:val="00553973"/>
    <w:rsid w:val="0058144C"/>
    <w:rsid w:val="00585F2D"/>
    <w:rsid w:val="005B6264"/>
    <w:rsid w:val="005C7D4A"/>
    <w:rsid w:val="005E4994"/>
    <w:rsid w:val="0061094C"/>
    <w:rsid w:val="00623825"/>
    <w:rsid w:val="00627BAE"/>
    <w:rsid w:val="00662A73"/>
    <w:rsid w:val="00667B4B"/>
    <w:rsid w:val="006E12B4"/>
    <w:rsid w:val="006F2A2C"/>
    <w:rsid w:val="006F4D44"/>
    <w:rsid w:val="006F67D8"/>
    <w:rsid w:val="006F7D78"/>
    <w:rsid w:val="00706E91"/>
    <w:rsid w:val="00742CF5"/>
    <w:rsid w:val="007450E5"/>
    <w:rsid w:val="00786775"/>
    <w:rsid w:val="007A7080"/>
    <w:rsid w:val="007C6E04"/>
    <w:rsid w:val="007E5D09"/>
    <w:rsid w:val="0084018D"/>
    <w:rsid w:val="008662C4"/>
    <w:rsid w:val="00871885"/>
    <w:rsid w:val="00873E43"/>
    <w:rsid w:val="00902124"/>
    <w:rsid w:val="009070AF"/>
    <w:rsid w:val="00910FE8"/>
    <w:rsid w:val="0093363C"/>
    <w:rsid w:val="0095427C"/>
    <w:rsid w:val="009636A4"/>
    <w:rsid w:val="009E0AF0"/>
    <w:rsid w:val="00A14442"/>
    <w:rsid w:val="00A1620C"/>
    <w:rsid w:val="00A31AE2"/>
    <w:rsid w:val="00A44778"/>
    <w:rsid w:val="00A54FC6"/>
    <w:rsid w:val="00A902CF"/>
    <w:rsid w:val="00AA0EBA"/>
    <w:rsid w:val="00AB4886"/>
    <w:rsid w:val="00AD7437"/>
    <w:rsid w:val="00AE7741"/>
    <w:rsid w:val="00B10365"/>
    <w:rsid w:val="00B11DB6"/>
    <w:rsid w:val="00B145D8"/>
    <w:rsid w:val="00B15552"/>
    <w:rsid w:val="00B40E87"/>
    <w:rsid w:val="00B65EAA"/>
    <w:rsid w:val="00B723AB"/>
    <w:rsid w:val="00B81E83"/>
    <w:rsid w:val="00BC346D"/>
    <w:rsid w:val="00C03A70"/>
    <w:rsid w:val="00C77EBF"/>
    <w:rsid w:val="00C90968"/>
    <w:rsid w:val="00C917CB"/>
    <w:rsid w:val="00CA33C1"/>
    <w:rsid w:val="00CD3E15"/>
    <w:rsid w:val="00CF641A"/>
    <w:rsid w:val="00D00A80"/>
    <w:rsid w:val="00D21CAC"/>
    <w:rsid w:val="00D542DD"/>
    <w:rsid w:val="00D57554"/>
    <w:rsid w:val="00D8766F"/>
    <w:rsid w:val="00DA1C69"/>
    <w:rsid w:val="00DD2366"/>
    <w:rsid w:val="00DE39EC"/>
    <w:rsid w:val="00DF1A86"/>
    <w:rsid w:val="00E110D2"/>
    <w:rsid w:val="00E1360E"/>
    <w:rsid w:val="00E721EF"/>
    <w:rsid w:val="00E83E5F"/>
    <w:rsid w:val="00E85387"/>
    <w:rsid w:val="00E9240E"/>
    <w:rsid w:val="00EC108E"/>
    <w:rsid w:val="00EC3A73"/>
    <w:rsid w:val="00F164FB"/>
    <w:rsid w:val="00F16F39"/>
    <w:rsid w:val="00F309D6"/>
    <w:rsid w:val="00F311C3"/>
    <w:rsid w:val="00F56EDC"/>
    <w:rsid w:val="00F870A0"/>
    <w:rsid w:val="00F97365"/>
    <w:rsid w:val="00FB01F0"/>
    <w:rsid w:val="00FD1C6C"/>
    <w:rsid w:val="00FD552B"/>
    <w:rsid w:val="00FE13A5"/>
    <w:rsid w:val="00FE46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FC95C3"/>
  <w15:docId w15:val="{D33562D5-58A0-4823-A54B-68E424B5B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lang w:val="en-GB" w:bidi="ar-DZ"/>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SubPara (أ),Heading 2 Char1"/>
    <w:basedOn w:val="Normal"/>
    <w:next w:val="Normal"/>
    <w:qFormat/>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
    <w:basedOn w:val="Normal"/>
    <w:next w:val="Normal"/>
    <w:qFormat/>
    <w:pPr>
      <w:widowControl w:val="0"/>
      <w:numPr>
        <w:ilvl w:val="2"/>
        <w:numId w:val="3"/>
      </w:numPr>
      <w:spacing w:after="240"/>
      <w:outlineLvl w:val="2"/>
    </w:pPr>
  </w:style>
  <w:style w:type="paragraph" w:styleId="Heading4">
    <w:name w:val="heading 4"/>
    <w:aliases w:val="Heading 11,para 4"/>
    <w:basedOn w:val="Normal"/>
    <w:next w:val="Heading9"/>
    <w:qFormat/>
    <w:pPr>
      <w:keepNext/>
      <w:numPr>
        <w:ilvl w:val="3"/>
        <w:numId w:val="4"/>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uiPriority w:val="99"/>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paragraph" w:styleId="Caption">
    <w:name w:val="caption"/>
    <w:basedOn w:val="Normal"/>
    <w:next w:val="Normal"/>
    <w:qFormat/>
    <w:pPr>
      <w:bidi/>
      <w:ind w:left="180" w:hanging="180"/>
      <w:jc w:val="lowKashida"/>
    </w:pPr>
    <w:rPr>
      <w:rFonts w:cs="Simplified Arabic"/>
      <w:szCs w:val="32"/>
      <w:lang w:val="en-US" w:eastAsia="en-CA"/>
    </w:rPr>
  </w:style>
  <w:style w:type="character" w:styleId="PageNumber">
    <w:name w:val="page number"/>
    <w:basedOn w:val="DefaultParagraphFont"/>
    <w:semiHidden/>
  </w:style>
  <w:style w:type="character" w:customStyle="1" w:styleId="FooterChar">
    <w:name w:val="Footer Char"/>
    <w:basedOn w:val="DefaultParagraphFont"/>
    <w:link w:val="Footer"/>
    <w:uiPriority w:val="99"/>
    <w:rPr>
      <w:sz w:val="24"/>
      <w:lang w:val="en-GB" w:bidi="ar-DZ"/>
    </w:rPr>
  </w:style>
  <w:style w:type="paragraph" w:styleId="ListParagraph">
    <w:name w:val="List Paragraph"/>
    <w:basedOn w:val="Normal"/>
    <w:qFormat/>
    <w:rsid w:val="003D326B"/>
    <w:pPr>
      <w:ind w:left="720"/>
      <w:contextualSpacing/>
    </w:pPr>
  </w:style>
  <w:style w:type="table" w:customStyle="1" w:styleId="TableGrid10">
    <w:name w:val="Table Grid1"/>
    <w:basedOn w:val="TableNormal"/>
    <w:rsid w:val="003953E1"/>
    <w:pPr>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BC346D"/>
    <w:rPr>
      <w:sz w:val="20"/>
    </w:rPr>
  </w:style>
  <w:style w:type="character" w:customStyle="1" w:styleId="FootnoteTextChar">
    <w:name w:val="Footnote Text Char"/>
    <w:basedOn w:val="DefaultParagraphFont"/>
    <w:link w:val="FootnoteText"/>
    <w:semiHidden/>
    <w:rsid w:val="00BC346D"/>
    <w:rPr>
      <w:lang w:val="en-GB" w:bidi="ar-DZ"/>
    </w:rPr>
  </w:style>
  <w:style w:type="paragraph" w:customStyle="1" w:styleId="StyleComplexArabicTransparent13ptAfter12pt">
    <w:name w:val="Style (Complex) Arabic Transparent 13 pt After:  12 pt"/>
    <w:basedOn w:val="Normal"/>
    <w:rsid w:val="00BC346D"/>
    <w:pPr>
      <w:spacing w:after="240"/>
    </w:pPr>
    <w:rPr>
      <w:rFonts w:cs="Arabic Transparent"/>
      <w:sz w:val="26"/>
      <w:szCs w:val="26"/>
    </w:rPr>
  </w:style>
  <w:style w:type="character" w:styleId="FootnoteReference">
    <w:name w:val="footnote reference"/>
    <w:semiHidden/>
    <w:unhideWhenUsed/>
    <w:rsid w:val="00BC34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1879">
      <w:bodyDiv w:val="1"/>
      <w:marLeft w:val="0"/>
      <w:marRight w:val="0"/>
      <w:marTop w:val="0"/>
      <w:marBottom w:val="0"/>
      <w:divBdr>
        <w:top w:val="none" w:sz="0" w:space="0" w:color="auto"/>
        <w:left w:val="none" w:sz="0" w:space="0" w:color="auto"/>
        <w:bottom w:val="none" w:sz="0" w:space="0" w:color="auto"/>
        <w:right w:val="none" w:sz="0" w:space="0" w:color="auto"/>
      </w:divBdr>
    </w:div>
    <w:div w:id="49039190">
      <w:bodyDiv w:val="1"/>
      <w:marLeft w:val="0"/>
      <w:marRight w:val="0"/>
      <w:marTop w:val="0"/>
      <w:marBottom w:val="0"/>
      <w:divBdr>
        <w:top w:val="none" w:sz="0" w:space="0" w:color="auto"/>
        <w:left w:val="none" w:sz="0" w:space="0" w:color="auto"/>
        <w:bottom w:val="none" w:sz="0" w:space="0" w:color="auto"/>
        <w:right w:val="none" w:sz="0" w:space="0" w:color="auto"/>
      </w:divBdr>
    </w:div>
    <w:div w:id="127866990">
      <w:bodyDiv w:val="1"/>
      <w:marLeft w:val="0"/>
      <w:marRight w:val="0"/>
      <w:marTop w:val="0"/>
      <w:marBottom w:val="0"/>
      <w:divBdr>
        <w:top w:val="none" w:sz="0" w:space="0" w:color="auto"/>
        <w:left w:val="none" w:sz="0" w:space="0" w:color="auto"/>
        <w:bottom w:val="none" w:sz="0" w:space="0" w:color="auto"/>
        <w:right w:val="none" w:sz="0" w:space="0" w:color="auto"/>
      </w:divBdr>
    </w:div>
    <w:div w:id="129175351">
      <w:bodyDiv w:val="1"/>
      <w:marLeft w:val="0"/>
      <w:marRight w:val="0"/>
      <w:marTop w:val="0"/>
      <w:marBottom w:val="0"/>
      <w:divBdr>
        <w:top w:val="none" w:sz="0" w:space="0" w:color="auto"/>
        <w:left w:val="none" w:sz="0" w:space="0" w:color="auto"/>
        <w:bottom w:val="none" w:sz="0" w:space="0" w:color="auto"/>
        <w:right w:val="none" w:sz="0" w:space="0" w:color="auto"/>
      </w:divBdr>
    </w:div>
    <w:div w:id="196966344">
      <w:bodyDiv w:val="1"/>
      <w:marLeft w:val="0"/>
      <w:marRight w:val="0"/>
      <w:marTop w:val="0"/>
      <w:marBottom w:val="0"/>
      <w:divBdr>
        <w:top w:val="none" w:sz="0" w:space="0" w:color="auto"/>
        <w:left w:val="none" w:sz="0" w:space="0" w:color="auto"/>
        <w:bottom w:val="none" w:sz="0" w:space="0" w:color="auto"/>
        <w:right w:val="none" w:sz="0" w:space="0" w:color="auto"/>
      </w:divBdr>
    </w:div>
    <w:div w:id="223103978">
      <w:bodyDiv w:val="1"/>
      <w:marLeft w:val="0"/>
      <w:marRight w:val="0"/>
      <w:marTop w:val="0"/>
      <w:marBottom w:val="0"/>
      <w:divBdr>
        <w:top w:val="none" w:sz="0" w:space="0" w:color="auto"/>
        <w:left w:val="none" w:sz="0" w:space="0" w:color="auto"/>
        <w:bottom w:val="none" w:sz="0" w:space="0" w:color="auto"/>
        <w:right w:val="none" w:sz="0" w:space="0" w:color="auto"/>
      </w:divBdr>
    </w:div>
    <w:div w:id="239099040">
      <w:bodyDiv w:val="1"/>
      <w:marLeft w:val="0"/>
      <w:marRight w:val="0"/>
      <w:marTop w:val="0"/>
      <w:marBottom w:val="0"/>
      <w:divBdr>
        <w:top w:val="none" w:sz="0" w:space="0" w:color="auto"/>
        <w:left w:val="none" w:sz="0" w:space="0" w:color="auto"/>
        <w:bottom w:val="none" w:sz="0" w:space="0" w:color="auto"/>
        <w:right w:val="none" w:sz="0" w:space="0" w:color="auto"/>
      </w:divBdr>
    </w:div>
    <w:div w:id="303242937">
      <w:bodyDiv w:val="1"/>
      <w:marLeft w:val="0"/>
      <w:marRight w:val="0"/>
      <w:marTop w:val="0"/>
      <w:marBottom w:val="0"/>
      <w:divBdr>
        <w:top w:val="none" w:sz="0" w:space="0" w:color="auto"/>
        <w:left w:val="none" w:sz="0" w:space="0" w:color="auto"/>
        <w:bottom w:val="none" w:sz="0" w:space="0" w:color="auto"/>
        <w:right w:val="none" w:sz="0" w:space="0" w:color="auto"/>
      </w:divBdr>
    </w:div>
    <w:div w:id="503864511">
      <w:bodyDiv w:val="1"/>
      <w:marLeft w:val="0"/>
      <w:marRight w:val="0"/>
      <w:marTop w:val="0"/>
      <w:marBottom w:val="0"/>
      <w:divBdr>
        <w:top w:val="none" w:sz="0" w:space="0" w:color="auto"/>
        <w:left w:val="none" w:sz="0" w:space="0" w:color="auto"/>
        <w:bottom w:val="none" w:sz="0" w:space="0" w:color="auto"/>
        <w:right w:val="none" w:sz="0" w:space="0" w:color="auto"/>
      </w:divBdr>
    </w:div>
    <w:div w:id="524490526">
      <w:bodyDiv w:val="1"/>
      <w:marLeft w:val="0"/>
      <w:marRight w:val="0"/>
      <w:marTop w:val="0"/>
      <w:marBottom w:val="0"/>
      <w:divBdr>
        <w:top w:val="none" w:sz="0" w:space="0" w:color="auto"/>
        <w:left w:val="none" w:sz="0" w:space="0" w:color="auto"/>
        <w:bottom w:val="none" w:sz="0" w:space="0" w:color="auto"/>
        <w:right w:val="none" w:sz="0" w:space="0" w:color="auto"/>
      </w:divBdr>
    </w:div>
    <w:div w:id="762340361">
      <w:bodyDiv w:val="1"/>
      <w:marLeft w:val="0"/>
      <w:marRight w:val="0"/>
      <w:marTop w:val="0"/>
      <w:marBottom w:val="0"/>
      <w:divBdr>
        <w:top w:val="none" w:sz="0" w:space="0" w:color="auto"/>
        <w:left w:val="none" w:sz="0" w:space="0" w:color="auto"/>
        <w:bottom w:val="none" w:sz="0" w:space="0" w:color="auto"/>
        <w:right w:val="none" w:sz="0" w:space="0" w:color="auto"/>
      </w:divBdr>
    </w:div>
    <w:div w:id="923143389">
      <w:bodyDiv w:val="1"/>
      <w:marLeft w:val="0"/>
      <w:marRight w:val="0"/>
      <w:marTop w:val="0"/>
      <w:marBottom w:val="0"/>
      <w:divBdr>
        <w:top w:val="none" w:sz="0" w:space="0" w:color="auto"/>
        <w:left w:val="none" w:sz="0" w:space="0" w:color="auto"/>
        <w:bottom w:val="none" w:sz="0" w:space="0" w:color="auto"/>
        <w:right w:val="none" w:sz="0" w:space="0" w:color="auto"/>
      </w:divBdr>
    </w:div>
    <w:div w:id="966203801">
      <w:bodyDiv w:val="1"/>
      <w:marLeft w:val="0"/>
      <w:marRight w:val="0"/>
      <w:marTop w:val="0"/>
      <w:marBottom w:val="0"/>
      <w:divBdr>
        <w:top w:val="none" w:sz="0" w:space="0" w:color="auto"/>
        <w:left w:val="none" w:sz="0" w:space="0" w:color="auto"/>
        <w:bottom w:val="none" w:sz="0" w:space="0" w:color="auto"/>
        <w:right w:val="none" w:sz="0" w:space="0" w:color="auto"/>
      </w:divBdr>
    </w:div>
    <w:div w:id="1033309975">
      <w:bodyDiv w:val="1"/>
      <w:marLeft w:val="0"/>
      <w:marRight w:val="0"/>
      <w:marTop w:val="0"/>
      <w:marBottom w:val="0"/>
      <w:divBdr>
        <w:top w:val="none" w:sz="0" w:space="0" w:color="auto"/>
        <w:left w:val="none" w:sz="0" w:space="0" w:color="auto"/>
        <w:bottom w:val="none" w:sz="0" w:space="0" w:color="auto"/>
        <w:right w:val="none" w:sz="0" w:space="0" w:color="auto"/>
      </w:divBdr>
    </w:div>
    <w:div w:id="1061246979">
      <w:bodyDiv w:val="1"/>
      <w:marLeft w:val="0"/>
      <w:marRight w:val="0"/>
      <w:marTop w:val="0"/>
      <w:marBottom w:val="0"/>
      <w:divBdr>
        <w:top w:val="none" w:sz="0" w:space="0" w:color="auto"/>
        <w:left w:val="none" w:sz="0" w:space="0" w:color="auto"/>
        <w:bottom w:val="none" w:sz="0" w:space="0" w:color="auto"/>
        <w:right w:val="none" w:sz="0" w:space="0" w:color="auto"/>
      </w:divBdr>
    </w:div>
    <w:div w:id="1063060523">
      <w:bodyDiv w:val="1"/>
      <w:marLeft w:val="0"/>
      <w:marRight w:val="0"/>
      <w:marTop w:val="0"/>
      <w:marBottom w:val="0"/>
      <w:divBdr>
        <w:top w:val="none" w:sz="0" w:space="0" w:color="auto"/>
        <w:left w:val="none" w:sz="0" w:space="0" w:color="auto"/>
        <w:bottom w:val="none" w:sz="0" w:space="0" w:color="auto"/>
        <w:right w:val="none" w:sz="0" w:space="0" w:color="auto"/>
      </w:divBdr>
    </w:div>
    <w:div w:id="1114249663">
      <w:bodyDiv w:val="1"/>
      <w:marLeft w:val="0"/>
      <w:marRight w:val="0"/>
      <w:marTop w:val="0"/>
      <w:marBottom w:val="0"/>
      <w:divBdr>
        <w:top w:val="none" w:sz="0" w:space="0" w:color="auto"/>
        <w:left w:val="none" w:sz="0" w:space="0" w:color="auto"/>
        <w:bottom w:val="none" w:sz="0" w:space="0" w:color="auto"/>
        <w:right w:val="none" w:sz="0" w:space="0" w:color="auto"/>
      </w:divBdr>
    </w:div>
    <w:div w:id="1115634598">
      <w:bodyDiv w:val="1"/>
      <w:marLeft w:val="0"/>
      <w:marRight w:val="0"/>
      <w:marTop w:val="0"/>
      <w:marBottom w:val="0"/>
      <w:divBdr>
        <w:top w:val="none" w:sz="0" w:space="0" w:color="auto"/>
        <w:left w:val="none" w:sz="0" w:space="0" w:color="auto"/>
        <w:bottom w:val="none" w:sz="0" w:space="0" w:color="auto"/>
        <w:right w:val="none" w:sz="0" w:space="0" w:color="auto"/>
      </w:divBdr>
    </w:div>
    <w:div w:id="1160391284">
      <w:bodyDiv w:val="1"/>
      <w:marLeft w:val="0"/>
      <w:marRight w:val="0"/>
      <w:marTop w:val="0"/>
      <w:marBottom w:val="0"/>
      <w:divBdr>
        <w:top w:val="none" w:sz="0" w:space="0" w:color="auto"/>
        <w:left w:val="none" w:sz="0" w:space="0" w:color="auto"/>
        <w:bottom w:val="none" w:sz="0" w:space="0" w:color="auto"/>
        <w:right w:val="none" w:sz="0" w:space="0" w:color="auto"/>
      </w:divBdr>
    </w:div>
    <w:div w:id="1279949127">
      <w:bodyDiv w:val="1"/>
      <w:marLeft w:val="0"/>
      <w:marRight w:val="0"/>
      <w:marTop w:val="0"/>
      <w:marBottom w:val="0"/>
      <w:divBdr>
        <w:top w:val="none" w:sz="0" w:space="0" w:color="auto"/>
        <w:left w:val="none" w:sz="0" w:space="0" w:color="auto"/>
        <w:bottom w:val="none" w:sz="0" w:space="0" w:color="auto"/>
        <w:right w:val="none" w:sz="0" w:space="0" w:color="auto"/>
      </w:divBdr>
    </w:div>
    <w:div w:id="1355380828">
      <w:bodyDiv w:val="1"/>
      <w:marLeft w:val="0"/>
      <w:marRight w:val="0"/>
      <w:marTop w:val="0"/>
      <w:marBottom w:val="0"/>
      <w:divBdr>
        <w:top w:val="none" w:sz="0" w:space="0" w:color="auto"/>
        <w:left w:val="none" w:sz="0" w:space="0" w:color="auto"/>
        <w:bottom w:val="none" w:sz="0" w:space="0" w:color="auto"/>
        <w:right w:val="none" w:sz="0" w:space="0" w:color="auto"/>
      </w:divBdr>
    </w:div>
    <w:div w:id="1431852011">
      <w:bodyDiv w:val="1"/>
      <w:marLeft w:val="0"/>
      <w:marRight w:val="0"/>
      <w:marTop w:val="0"/>
      <w:marBottom w:val="0"/>
      <w:divBdr>
        <w:top w:val="none" w:sz="0" w:space="0" w:color="auto"/>
        <w:left w:val="none" w:sz="0" w:space="0" w:color="auto"/>
        <w:bottom w:val="none" w:sz="0" w:space="0" w:color="auto"/>
        <w:right w:val="none" w:sz="0" w:space="0" w:color="auto"/>
      </w:divBdr>
    </w:div>
    <w:div w:id="1673600999">
      <w:bodyDiv w:val="1"/>
      <w:marLeft w:val="0"/>
      <w:marRight w:val="0"/>
      <w:marTop w:val="0"/>
      <w:marBottom w:val="0"/>
      <w:divBdr>
        <w:top w:val="none" w:sz="0" w:space="0" w:color="auto"/>
        <w:left w:val="none" w:sz="0" w:space="0" w:color="auto"/>
        <w:bottom w:val="none" w:sz="0" w:space="0" w:color="auto"/>
        <w:right w:val="none" w:sz="0" w:space="0" w:color="auto"/>
      </w:divBdr>
    </w:div>
    <w:div w:id="1675691219">
      <w:bodyDiv w:val="1"/>
      <w:marLeft w:val="0"/>
      <w:marRight w:val="0"/>
      <w:marTop w:val="0"/>
      <w:marBottom w:val="0"/>
      <w:divBdr>
        <w:top w:val="none" w:sz="0" w:space="0" w:color="auto"/>
        <w:left w:val="none" w:sz="0" w:space="0" w:color="auto"/>
        <w:bottom w:val="none" w:sz="0" w:space="0" w:color="auto"/>
        <w:right w:val="none" w:sz="0" w:space="0" w:color="auto"/>
      </w:divBdr>
    </w:div>
    <w:div w:id="1680234434">
      <w:bodyDiv w:val="1"/>
      <w:marLeft w:val="0"/>
      <w:marRight w:val="0"/>
      <w:marTop w:val="0"/>
      <w:marBottom w:val="0"/>
      <w:divBdr>
        <w:top w:val="none" w:sz="0" w:space="0" w:color="auto"/>
        <w:left w:val="none" w:sz="0" w:space="0" w:color="auto"/>
        <w:bottom w:val="none" w:sz="0" w:space="0" w:color="auto"/>
        <w:right w:val="none" w:sz="0" w:space="0" w:color="auto"/>
      </w:divBdr>
    </w:div>
    <w:div w:id="1782450499">
      <w:bodyDiv w:val="1"/>
      <w:marLeft w:val="0"/>
      <w:marRight w:val="0"/>
      <w:marTop w:val="0"/>
      <w:marBottom w:val="0"/>
      <w:divBdr>
        <w:top w:val="none" w:sz="0" w:space="0" w:color="auto"/>
        <w:left w:val="none" w:sz="0" w:space="0" w:color="auto"/>
        <w:bottom w:val="none" w:sz="0" w:space="0" w:color="auto"/>
        <w:right w:val="none" w:sz="0" w:space="0" w:color="auto"/>
      </w:divBdr>
    </w:div>
    <w:div w:id="1793792359">
      <w:bodyDiv w:val="1"/>
      <w:marLeft w:val="0"/>
      <w:marRight w:val="0"/>
      <w:marTop w:val="0"/>
      <w:marBottom w:val="0"/>
      <w:divBdr>
        <w:top w:val="none" w:sz="0" w:space="0" w:color="auto"/>
        <w:left w:val="none" w:sz="0" w:space="0" w:color="auto"/>
        <w:bottom w:val="none" w:sz="0" w:space="0" w:color="auto"/>
        <w:right w:val="none" w:sz="0" w:space="0" w:color="auto"/>
      </w:divBdr>
    </w:div>
    <w:div w:id="1830708699">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922374252">
      <w:bodyDiv w:val="1"/>
      <w:marLeft w:val="0"/>
      <w:marRight w:val="0"/>
      <w:marTop w:val="0"/>
      <w:marBottom w:val="0"/>
      <w:divBdr>
        <w:top w:val="none" w:sz="0" w:space="0" w:color="auto"/>
        <w:left w:val="none" w:sz="0" w:space="0" w:color="auto"/>
        <w:bottom w:val="none" w:sz="0" w:space="0" w:color="auto"/>
        <w:right w:val="none" w:sz="0" w:space="0" w:color="auto"/>
      </w:divBdr>
    </w:div>
    <w:div w:id="2039549422">
      <w:bodyDiv w:val="1"/>
      <w:marLeft w:val="0"/>
      <w:marRight w:val="0"/>
      <w:marTop w:val="0"/>
      <w:marBottom w:val="0"/>
      <w:divBdr>
        <w:top w:val="none" w:sz="0" w:space="0" w:color="auto"/>
        <w:left w:val="none" w:sz="0" w:space="0" w:color="auto"/>
        <w:bottom w:val="none" w:sz="0" w:space="0" w:color="auto"/>
        <w:right w:val="none" w:sz="0" w:space="0" w:color="auto"/>
      </w:divBdr>
    </w:div>
    <w:div w:id="2083485786">
      <w:bodyDiv w:val="1"/>
      <w:marLeft w:val="0"/>
      <w:marRight w:val="0"/>
      <w:marTop w:val="0"/>
      <w:marBottom w:val="0"/>
      <w:divBdr>
        <w:top w:val="none" w:sz="0" w:space="0" w:color="auto"/>
        <w:left w:val="none" w:sz="0" w:space="0" w:color="auto"/>
        <w:bottom w:val="none" w:sz="0" w:space="0" w:color="auto"/>
        <w:right w:val="none" w:sz="0" w:space="0" w:color="auto"/>
      </w:divBdr>
    </w:div>
    <w:div w:id="2090496685">
      <w:bodyDiv w:val="1"/>
      <w:marLeft w:val="0"/>
      <w:marRight w:val="0"/>
      <w:marTop w:val="0"/>
      <w:marBottom w:val="0"/>
      <w:divBdr>
        <w:top w:val="none" w:sz="0" w:space="0" w:color="auto"/>
        <w:left w:val="none" w:sz="0" w:space="0" w:color="auto"/>
        <w:bottom w:val="none" w:sz="0" w:space="0" w:color="auto"/>
        <w:right w:val="none" w:sz="0" w:space="0" w:color="auto"/>
      </w:divBdr>
    </w:div>
    <w:div w:id="2123845122">
      <w:bodyDiv w:val="1"/>
      <w:marLeft w:val="0"/>
      <w:marRight w:val="0"/>
      <w:marTop w:val="0"/>
      <w:marBottom w:val="0"/>
      <w:divBdr>
        <w:top w:val="none" w:sz="0" w:space="0" w:color="auto"/>
        <w:left w:val="none" w:sz="0" w:space="0" w:color="auto"/>
        <w:bottom w:val="none" w:sz="0" w:space="0" w:color="auto"/>
        <w:right w:val="none" w:sz="0" w:space="0" w:color="auto"/>
      </w:divBdr>
    </w:div>
    <w:div w:id="212942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hmoud%20bakr\AppData\Local\Microsoft\Windows\Temporary%20Internet%20Files\Content.IE5\1RI27DTB\A85-template%20-%20with%20foot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F92D74A04FAEF42BD852E17FDD6E5B6" ma:contentTypeVersion="2" ma:contentTypeDescription="Create a new document." ma:contentTypeScope="" ma:versionID="763c60a3cf4856423ea239dee8b042f3">
  <xsd:schema xmlns:xsd="http://www.w3.org/2001/XMLSchema" xmlns:p="http://schemas.microsoft.com/office/2006/metadata/properties" xmlns:ns2="ca155cdd-9bf1-4174-8a2d-8747f528ddda" xmlns:ns3="48d2d36d-b4e3-478b-a344-cdbeebaca89a" targetNamespace="http://schemas.microsoft.com/office/2006/metadata/properties" ma:root="true" ma:fieldsID="70dee48351559ab095463589c75cf11f" ns2:_="" ns3:_="">
    <xsd:import namespace="ca155cdd-9bf1-4174-8a2d-8747f528ddda"/>
    <xsd:import namespace="48d2d36d-b4e3-478b-a344-cdbeebaca89a"/>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5/"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ca155cdd-9bf1-4174-8a2d-8747f528ddda">UNEP/OzL.Pro/ExCom/85/30</Document_x0020_Number>
    <DocumentType xmlns="48d2d36d-b4e3-478b-a344-cdbeebaca89a">Pre-session</DocumentType>
  </documentManagement>
</p:properties>
</file>

<file path=customXml/itemProps1.xml><?xml version="1.0" encoding="utf-8"?>
<ds:datastoreItem xmlns:ds="http://schemas.openxmlformats.org/officeDocument/2006/customXml" ds:itemID="{1C3B3797-CFBF-4F19-8F49-F05981EC3989}"/>
</file>

<file path=customXml/itemProps2.xml><?xml version="1.0" encoding="utf-8"?>
<ds:datastoreItem xmlns:ds="http://schemas.openxmlformats.org/officeDocument/2006/customXml" ds:itemID="{4A5E2720-CD06-43DF-B379-1E968A6F9775}"/>
</file>

<file path=customXml/itemProps3.xml><?xml version="1.0" encoding="utf-8"?>
<ds:datastoreItem xmlns:ds="http://schemas.openxmlformats.org/officeDocument/2006/customXml" ds:itemID="{6669339D-FF32-4078-B567-56AE8BBB1FA7}"/>
</file>

<file path=customXml/itemProps4.xml><?xml version="1.0" encoding="utf-8"?>
<ds:datastoreItem xmlns:ds="http://schemas.openxmlformats.org/officeDocument/2006/customXml" ds:itemID="{C4E43B35-887A-478E-9996-0C19240387AF}"/>
</file>

<file path=docProps/app.xml><?xml version="1.0" encoding="utf-8"?>
<Properties xmlns="http://schemas.openxmlformats.org/officeDocument/2006/extended-properties" xmlns:vt="http://schemas.openxmlformats.org/officeDocument/2006/docPropsVTypes">
  <Template>A85-template - with footnote</Template>
  <TotalTime>299</TotalTime>
  <Pages>9</Pages>
  <Words>2178</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مقترح مشروع: غينيا - بيساو</vt:lpstr>
    </vt:vector>
  </TitlesOfParts>
  <Company>UNMFS</Company>
  <LinksUpToDate>false</LinksUpToDate>
  <CharactersWithSpaces>14564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مقترح مشروع: غينيا - بيساو</dc:title>
  <dc:creator>mahmoud bakr</dc:creator>
  <cp:lastModifiedBy>Lynda</cp:lastModifiedBy>
  <cp:revision>70</cp:revision>
  <cp:lastPrinted>2001-05-26T16:40:00Z</cp:lastPrinted>
  <dcterms:created xsi:type="dcterms:W3CDTF">2020-05-07T07:06:00Z</dcterms:created>
  <dcterms:modified xsi:type="dcterms:W3CDTF">2020-05-21T19:31:00Z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UNEP/OzL.Pro/ExCom/85/30</vt:lpwstr>
  </property>
  <property fmtid="{D5CDD505-2E9C-101B-9397-08002B2CF9AE}" pid="3" name="Revision date">
    <vt:lpwstr>5/3/2020</vt:lpwstr>
  </property>
  <property fmtid="{D5CDD505-2E9C-101B-9397-08002B2CF9AE}" pid="4" name="ContentTypeId">
    <vt:lpwstr>0x0101000F92D74A04FAEF42BD852E17FDD6E5B6</vt:lpwstr>
  </property>
</Properties>
</file>