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090422CB" w14:textId="77777777">
        <w:trPr>
          <w:trHeight w:val="720"/>
        </w:trPr>
        <w:tc>
          <w:tcPr>
            <w:tcW w:w="4410" w:type="dxa"/>
            <w:gridSpan w:val="2"/>
            <w:tcBorders>
              <w:bottom w:val="single" w:sz="18" w:space="0" w:color="auto"/>
            </w:tcBorders>
          </w:tcPr>
          <w:p w14:paraId="47D92110" w14:textId="77777777" w:rsidR="007E5D09" w:rsidRDefault="00113EE6">
            <w:pPr>
              <w:jc w:val="left"/>
              <w:rPr>
                <w:rFonts w:asciiTheme="minorBidi" w:hAnsiTheme="minorBidi" w:cstheme="minorBidi"/>
                <w:b/>
                <w:bCs/>
                <w:lang w:val="en-US"/>
              </w:rPr>
            </w:pPr>
            <w:r>
              <w:rPr>
                <w:rFonts w:asciiTheme="minorBidi" w:hAnsiTheme="minorBidi" w:cstheme="minorBidi"/>
                <w:b/>
                <w:bCs/>
                <w:sz w:val="72"/>
                <w:szCs w:val="72"/>
                <w:lang w:val="en-US"/>
              </w:rPr>
              <w:t xml:space="preserve"> </w:t>
            </w:r>
          </w:p>
        </w:tc>
        <w:tc>
          <w:tcPr>
            <w:tcW w:w="5130" w:type="dxa"/>
            <w:gridSpan w:val="2"/>
            <w:tcBorders>
              <w:bottom w:val="single" w:sz="18" w:space="0" w:color="auto"/>
            </w:tcBorders>
          </w:tcPr>
          <w:p w14:paraId="6FD63D8C"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4AA952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EB76DD4" w14:textId="77777777" w:rsidR="007E5D09" w:rsidRDefault="00E1360E">
            <w:pPr>
              <w:spacing w:before="120"/>
              <w:jc w:val="left"/>
              <w:rPr>
                <w:lang w:val="en-US"/>
              </w:rPr>
            </w:pPr>
            <w:r>
              <w:rPr>
                <w:noProof/>
                <w:lang w:val="fr-CA" w:eastAsia="fr-CA" w:bidi="ar-SA"/>
              </w:rPr>
              <w:drawing>
                <wp:anchor distT="0" distB="0" distL="114300" distR="114300" simplePos="0" relativeHeight="251660288" behindDoc="0" locked="0" layoutInCell="0" allowOverlap="1" wp14:anchorId="22910C98" wp14:editId="319CE7B4">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bidi="ar-SA"/>
              </w:rPr>
              <w:drawing>
                <wp:anchor distT="0" distB="0" distL="114300" distR="114300" simplePos="0" relativeHeight="251659264" behindDoc="1" locked="0" layoutInCell="0" allowOverlap="1" wp14:anchorId="6B71BEFA" wp14:editId="05B86DD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5DFD6509" w14:textId="77777777" w:rsidR="007E5D09" w:rsidRDefault="00E1360E">
            <w:pPr>
              <w:spacing w:before="120"/>
              <w:jc w:val="left"/>
              <w:rPr>
                <w:lang w:val="en-US"/>
              </w:rPr>
            </w:pPr>
            <w:r>
              <w:rPr>
                <w:lang w:val="en-US"/>
              </w:rPr>
              <w:t>GENERAL</w:t>
            </w:r>
          </w:p>
          <w:p w14:paraId="5D19F065" w14:textId="77777777" w:rsidR="007E5D09" w:rsidRDefault="007E5D09">
            <w:pPr>
              <w:spacing w:before="120"/>
              <w:jc w:val="left"/>
              <w:rPr>
                <w:lang w:val="en-US"/>
              </w:rPr>
            </w:pPr>
          </w:p>
          <w:p w14:paraId="472842A2" w14:textId="7B308246" w:rsidR="007E5D09" w:rsidRDefault="005473E1" w:rsidP="001F3090">
            <w:pPr>
              <w:rPr>
                <w:rtl/>
              </w:rPr>
            </w:pPr>
            <w:fldSimple w:instr=" DOCPROPERTY &quot;Document number&quot;  \* MERGEFORMAT ">
              <w:r w:rsidR="003C4983">
                <w:t>UNEP/OzL.Pro/ExCom/85/29</w:t>
              </w:r>
            </w:fldSimple>
          </w:p>
          <w:p w14:paraId="6E9128ED" w14:textId="5BCFBA09" w:rsidR="00662A73" w:rsidRPr="003F73BA" w:rsidRDefault="00662A73" w:rsidP="001F3090">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3C4983">
              <w:rPr>
                <w:lang w:val="en-US"/>
              </w:rPr>
              <w:t>4</w:t>
            </w:r>
            <w:r w:rsidR="003C4983" w:rsidRPr="003C4983">
              <w:t xml:space="preserve"> May 2020</w:t>
            </w:r>
            <w:r>
              <w:fldChar w:fldCharType="end"/>
            </w:r>
          </w:p>
          <w:p w14:paraId="51DBF166" w14:textId="77777777" w:rsidR="00662A73" w:rsidRDefault="00662A73">
            <w:pPr>
              <w:spacing w:before="120"/>
              <w:jc w:val="left"/>
              <w:rPr>
                <w:rtl/>
                <w:lang w:val="en-US" w:bidi="ar-AE"/>
              </w:rPr>
            </w:pPr>
          </w:p>
          <w:p w14:paraId="7DC8C612" w14:textId="77777777" w:rsidR="007E5D09" w:rsidRDefault="00E1360E">
            <w:pPr>
              <w:spacing w:before="120"/>
              <w:jc w:val="left"/>
              <w:rPr>
                <w:lang w:val="en-US"/>
              </w:rPr>
            </w:pPr>
            <w:r>
              <w:rPr>
                <w:lang w:val="en-US"/>
              </w:rPr>
              <w:t>ARABIC</w:t>
            </w:r>
          </w:p>
          <w:p w14:paraId="1A638F96"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78882875" w14:textId="77777777" w:rsidR="007E5D09" w:rsidRDefault="00CC4210" w:rsidP="00CC4210">
            <w:pPr>
              <w:pStyle w:val="Heading4"/>
              <w:numPr>
                <w:ilvl w:val="0"/>
                <w:numId w:val="0"/>
              </w:numPr>
              <w:tabs>
                <w:tab w:val="left" w:pos="204"/>
                <w:tab w:val="right" w:pos="2727"/>
              </w:tabs>
              <w:spacing w:before="0" w:after="0"/>
              <w:ind w:right="459"/>
              <w:jc w:val="left"/>
              <w:rPr>
                <w:rFonts w:cs="Arabic Transparent"/>
                <w:bCs/>
                <w:sz w:val="52"/>
                <w:szCs w:val="52"/>
                <w:rtl/>
              </w:rPr>
            </w:pPr>
            <w:r>
              <w:rPr>
                <w:rFonts w:cs="Arabic Transparent"/>
                <w:bCs/>
                <w:sz w:val="52"/>
                <w:szCs w:val="52"/>
                <w:rtl/>
              </w:rPr>
              <w:tab/>
            </w:r>
            <w:r>
              <w:rPr>
                <w:rFonts w:cs="Arabic Transparent"/>
                <w:bCs/>
                <w:sz w:val="52"/>
                <w:szCs w:val="52"/>
                <w:rtl/>
              </w:rPr>
              <w:tab/>
            </w:r>
            <w:r w:rsidR="00E1360E">
              <w:rPr>
                <w:rFonts w:cs="Arabic Transparent"/>
                <w:bCs/>
                <w:sz w:val="52"/>
                <w:szCs w:val="52"/>
                <w:rtl/>
              </w:rPr>
              <w:t>برنامج</w:t>
            </w:r>
          </w:p>
          <w:p w14:paraId="1A850ED6"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7D96E4CE"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0D4B477"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1B1BF600" w14:textId="77777777" w:rsidR="007E5D09" w:rsidRDefault="007E5D09">
            <w:pPr>
              <w:rPr>
                <w:caps/>
                <w:lang w:val="en-US"/>
              </w:rPr>
            </w:pPr>
          </w:p>
          <w:p w14:paraId="1AB91D64" w14:textId="77777777" w:rsidR="007E5D09" w:rsidRDefault="007E5D09">
            <w:pPr>
              <w:rPr>
                <w:lang w:val="en-US"/>
              </w:rPr>
            </w:pPr>
          </w:p>
        </w:tc>
      </w:tr>
    </w:tbl>
    <w:p w14:paraId="5CCC1C47" w14:textId="77777777" w:rsidR="007E5D09" w:rsidRDefault="007E5D09">
      <w:pPr>
        <w:pStyle w:val="Caption"/>
        <w:spacing w:line="200" w:lineRule="exact"/>
        <w:ind w:left="187" w:right="187" w:hanging="187"/>
        <w:jc w:val="both"/>
        <w:rPr>
          <w:rFonts w:cs="Akhbar MT"/>
          <w:b/>
          <w:bCs/>
          <w:sz w:val="28"/>
          <w:szCs w:val="28"/>
          <w:rtl/>
        </w:rPr>
      </w:pPr>
    </w:p>
    <w:p w14:paraId="1D65B33A"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61996CF8"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55F64913"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645E35B7"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0D3FA931" w14:textId="77777777" w:rsidR="007E5D09"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FE13A5">
        <w:rPr>
          <w:sz w:val="28"/>
          <w:szCs w:val="28"/>
        </w:rPr>
        <w:t>*</w:t>
      </w:r>
    </w:p>
    <w:p w14:paraId="5E4A6C01" w14:textId="77777777" w:rsidR="00452395" w:rsidRDefault="00452395" w:rsidP="00452395">
      <w:pPr>
        <w:pStyle w:val="0Heading0"/>
        <w:bidi/>
        <w:ind w:left="4"/>
        <w:rPr>
          <w:sz w:val="28"/>
          <w:szCs w:val="28"/>
        </w:rPr>
      </w:pPr>
    </w:p>
    <w:p w14:paraId="74B0504D" w14:textId="77777777" w:rsidR="003C4983" w:rsidRDefault="003C4983" w:rsidP="001F3090">
      <w:pPr>
        <w:pStyle w:val="0Heading0"/>
        <w:bidi/>
        <w:ind w:left="4"/>
        <w:jc w:val="center"/>
        <w:rPr>
          <w:rFonts w:asciiTheme="majorBidi" w:hAnsiTheme="majorBidi" w:cstheme="majorBidi"/>
          <w:b/>
          <w:bCs/>
          <w:sz w:val="32"/>
          <w:szCs w:val="32"/>
        </w:rPr>
      </w:pPr>
    </w:p>
    <w:p w14:paraId="681E4CD6" w14:textId="1A6375F1" w:rsidR="00452395" w:rsidRPr="003C4983" w:rsidRDefault="00452395" w:rsidP="003C4983">
      <w:pPr>
        <w:pStyle w:val="0Heading0"/>
        <w:bidi/>
        <w:ind w:left="4"/>
        <w:jc w:val="center"/>
        <w:rPr>
          <w:rFonts w:asciiTheme="majorBidi" w:hAnsiTheme="majorBidi" w:cstheme="majorBidi"/>
          <w:b/>
          <w:bCs/>
          <w:sz w:val="32"/>
          <w:szCs w:val="32"/>
          <w:rtl/>
        </w:rPr>
      </w:pPr>
      <w:r w:rsidRPr="003C4983">
        <w:rPr>
          <w:rFonts w:asciiTheme="majorBidi" w:hAnsiTheme="majorBidi" w:cstheme="majorBidi" w:hint="cs"/>
          <w:b/>
          <w:bCs/>
          <w:sz w:val="32"/>
          <w:szCs w:val="32"/>
          <w:rtl/>
        </w:rPr>
        <w:t xml:space="preserve">مقترح مشروع: </w:t>
      </w:r>
      <w:r w:rsidR="001F3090" w:rsidRPr="003C4983">
        <w:rPr>
          <w:rFonts w:asciiTheme="majorBidi" w:hAnsiTheme="majorBidi" w:cstheme="majorBidi" w:hint="cs"/>
          <w:b/>
          <w:bCs/>
          <w:sz w:val="32"/>
          <w:szCs w:val="32"/>
          <w:rtl/>
        </w:rPr>
        <w:t>غينيا</w:t>
      </w:r>
    </w:p>
    <w:p w14:paraId="6D768BDA" w14:textId="2B058B31" w:rsidR="00452395" w:rsidRDefault="00452395" w:rsidP="00452395">
      <w:pPr>
        <w:pStyle w:val="0Heading0"/>
        <w:bidi/>
        <w:ind w:left="4"/>
        <w:jc w:val="center"/>
        <w:rPr>
          <w:rFonts w:asciiTheme="majorBidi" w:hAnsiTheme="majorBidi" w:cstheme="majorBidi"/>
          <w:b/>
          <w:bCs/>
          <w:sz w:val="26"/>
          <w:szCs w:val="26"/>
        </w:rPr>
      </w:pPr>
    </w:p>
    <w:p w14:paraId="0EB99BF7" w14:textId="3B55A9AE" w:rsidR="003C4983" w:rsidRPr="003C4983" w:rsidRDefault="00FC5393" w:rsidP="003C4983">
      <w:pPr>
        <w:pStyle w:val="0Heading0"/>
        <w:bidi/>
        <w:ind w:left="4"/>
        <w:jc w:val="center"/>
        <w:rPr>
          <w:rFonts w:asciiTheme="majorBidi" w:hAnsiTheme="majorBidi" w:cstheme="majorBidi"/>
          <w:b/>
          <w:bCs/>
          <w:sz w:val="26"/>
          <w:szCs w:val="26"/>
          <w:rtl/>
        </w:rPr>
      </w:pPr>
      <w:r>
        <w:rPr>
          <w:rFonts w:asciiTheme="majorBidi" w:hAnsiTheme="majorBidi" w:cstheme="majorBidi"/>
          <w:b/>
          <w:bCs/>
          <w:sz w:val="26"/>
          <w:szCs w:val="26"/>
        </w:rPr>
        <w:tab/>
      </w:r>
    </w:p>
    <w:p w14:paraId="77E0096D" w14:textId="77777777" w:rsidR="00452395" w:rsidRPr="003C4983" w:rsidRDefault="0025495B" w:rsidP="00FC5393">
      <w:pPr>
        <w:pStyle w:val="0Heading0"/>
        <w:bidi/>
        <w:ind w:firstLine="720"/>
        <w:jc w:val="both"/>
        <w:rPr>
          <w:sz w:val="26"/>
          <w:szCs w:val="26"/>
          <w:rtl/>
        </w:rPr>
      </w:pPr>
      <w:r w:rsidRPr="003C4983">
        <w:rPr>
          <w:sz w:val="26"/>
          <w:szCs w:val="26"/>
          <w:rtl/>
        </w:rPr>
        <w:t xml:space="preserve">تتألف </w:t>
      </w:r>
      <w:r w:rsidRPr="003C4983">
        <w:rPr>
          <w:rFonts w:hint="cs"/>
          <w:sz w:val="26"/>
          <w:szCs w:val="26"/>
          <w:rtl/>
        </w:rPr>
        <w:t>هذه</w:t>
      </w:r>
      <w:r w:rsidR="00452395" w:rsidRPr="003C4983">
        <w:rPr>
          <w:sz w:val="26"/>
          <w:szCs w:val="26"/>
          <w:rtl/>
        </w:rPr>
        <w:t xml:space="preserve"> الوثيقة من تعليقات الأمانة وتوصي</w:t>
      </w:r>
      <w:r w:rsidR="00452395" w:rsidRPr="003C4983">
        <w:rPr>
          <w:rFonts w:hint="cs"/>
          <w:sz w:val="26"/>
          <w:szCs w:val="26"/>
          <w:rtl/>
        </w:rPr>
        <w:t>تها</w:t>
      </w:r>
      <w:r w:rsidR="00452395" w:rsidRPr="003C4983">
        <w:rPr>
          <w:sz w:val="26"/>
          <w:szCs w:val="26"/>
          <w:rtl/>
        </w:rPr>
        <w:t xml:space="preserve"> بشأن مقترح المشروع التالي</w:t>
      </w:r>
      <w:r w:rsidR="00452395" w:rsidRPr="003C4983">
        <w:rPr>
          <w:rFonts w:hint="cs"/>
          <w:sz w:val="26"/>
          <w:szCs w:val="26"/>
          <w:rtl/>
        </w:rPr>
        <w:t>:</w:t>
      </w:r>
    </w:p>
    <w:p w14:paraId="68D695B4" w14:textId="77777777" w:rsidR="00452395" w:rsidRPr="003C4983" w:rsidRDefault="00452395" w:rsidP="00452395">
      <w:pPr>
        <w:pStyle w:val="0Heading0"/>
        <w:bidi/>
        <w:jc w:val="both"/>
        <w:rPr>
          <w:sz w:val="26"/>
          <w:szCs w:val="26"/>
          <w:rtl/>
        </w:rPr>
      </w:pPr>
    </w:p>
    <w:p w14:paraId="0B3A0504" w14:textId="77777777" w:rsidR="00452395" w:rsidRPr="003C4983" w:rsidRDefault="00452395" w:rsidP="00452395">
      <w:pPr>
        <w:pStyle w:val="0Heading0"/>
        <w:bidi/>
        <w:ind w:left="4"/>
        <w:rPr>
          <w:sz w:val="26"/>
          <w:szCs w:val="26"/>
          <w:u w:val="single"/>
        </w:rPr>
      </w:pPr>
      <w:r w:rsidRPr="003C4983">
        <w:rPr>
          <w:sz w:val="26"/>
          <w:szCs w:val="26"/>
          <w:u w:val="single"/>
          <w:rtl/>
        </w:rPr>
        <w:t>الإزالة</w:t>
      </w:r>
    </w:p>
    <w:p w14:paraId="4BDF3023" w14:textId="77777777" w:rsidR="00452395" w:rsidRPr="003C4983" w:rsidRDefault="00452395" w:rsidP="00452395">
      <w:pPr>
        <w:pStyle w:val="0Heading0"/>
        <w:bidi/>
        <w:rPr>
          <w:sz w:val="26"/>
          <w:szCs w:val="26"/>
          <w:rtl/>
        </w:rPr>
      </w:pPr>
    </w:p>
    <w:p w14:paraId="4C4685B5" w14:textId="77777777" w:rsidR="00452395" w:rsidRPr="003C4983" w:rsidRDefault="00452395" w:rsidP="00452395">
      <w:pPr>
        <w:pStyle w:val="0Heading0"/>
        <w:numPr>
          <w:ilvl w:val="0"/>
          <w:numId w:val="24"/>
        </w:numPr>
        <w:bidi/>
        <w:rPr>
          <w:sz w:val="26"/>
          <w:szCs w:val="26"/>
        </w:rPr>
      </w:pPr>
      <w:r w:rsidRPr="003C4983">
        <w:rPr>
          <w:rFonts w:hint="cs"/>
          <w:sz w:val="26"/>
          <w:szCs w:val="26"/>
          <w:rtl/>
        </w:rPr>
        <w:t>خ</w:t>
      </w:r>
      <w:r w:rsidRPr="003C4983">
        <w:rPr>
          <w:sz w:val="26"/>
          <w:szCs w:val="26"/>
          <w:rtl/>
        </w:rPr>
        <w:t xml:space="preserve">طة </w:t>
      </w:r>
      <w:r w:rsidRPr="003C4983">
        <w:rPr>
          <w:rFonts w:hint="cs"/>
          <w:sz w:val="26"/>
          <w:szCs w:val="26"/>
          <w:rtl/>
        </w:rPr>
        <w:t xml:space="preserve">إدارة </w:t>
      </w:r>
      <w:r w:rsidRPr="003C4983">
        <w:rPr>
          <w:sz w:val="26"/>
          <w:szCs w:val="26"/>
          <w:rtl/>
        </w:rPr>
        <w:t xml:space="preserve">إزالة </w:t>
      </w:r>
      <w:r w:rsidRPr="003C4983">
        <w:rPr>
          <w:rFonts w:hint="cs"/>
          <w:sz w:val="26"/>
          <w:szCs w:val="26"/>
          <w:rtl/>
        </w:rPr>
        <w:t>الموا</w:t>
      </w:r>
      <w:r w:rsidRPr="003C4983">
        <w:rPr>
          <w:sz w:val="26"/>
          <w:szCs w:val="26"/>
          <w:rtl/>
        </w:rPr>
        <w:t xml:space="preserve">د </w:t>
      </w:r>
      <w:r w:rsidRPr="003C4983">
        <w:rPr>
          <w:rFonts w:hint="cs"/>
          <w:sz w:val="26"/>
          <w:szCs w:val="26"/>
          <w:rtl/>
        </w:rPr>
        <w:t>الهيدروكلوروفلوروكربونية</w:t>
      </w:r>
      <w:r w:rsidRPr="003C4983">
        <w:rPr>
          <w:sz w:val="26"/>
          <w:szCs w:val="26"/>
          <w:rtl/>
        </w:rPr>
        <w:tab/>
      </w:r>
      <w:r w:rsidRPr="003C4983">
        <w:rPr>
          <w:sz w:val="26"/>
          <w:szCs w:val="26"/>
          <w:rtl/>
        </w:rPr>
        <w:tab/>
      </w:r>
      <w:r w:rsidRPr="003C4983">
        <w:rPr>
          <w:rFonts w:hint="cs"/>
          <w:sz w:val="26"/>
          <w:szCs w:val="26"/>
          <w:rtl/>
        </w:rPr>
        <w:t>برنامج الأمم المتحدة للبيئة</w:t>
      </w:r>
    </w:p>
    <w:p w14:paraId="4884462C" w14:textId="77777777" w:rsidR="00452395" w:rsidRPr="003C4983" w:rsidRDefault="00452395" w:rsidP="001F3090">
      <w:pPr>
        <w:pStyle w:val="0Heading0"/>
        <w:bidi/>
        <w:ind w:left="724"/>
        <w:rPr>
          <w:sz w:val="26"/>
          <w:szCs w:val="26"/>
        </w:rPr>
      </w:pPr>
      <w:r w:rsidRPr="003C4983">
        <w:rPr>
          <w:sz w:val="26"/>
          <w:szCs w:val="26"/>
          <w:rtl/>
        </w:rPr>
        <w:t xml:space="preserve"> </w:t>
      </w:r>
      <w:r w:rsidRPr="003C4983">
        <w:rPr>
          <w:rFonts w:hint="cs"/>
          <w:sz w:val="26"/>
          <w:szCs w:val="26"/>
          <w:rtl/>
        </w:rPr>
        <w:t>(</w:t>
      </w:r>
      <w:r w:rsidRPr="003C4983">
        <w:rPr>
          <w:sz w:val="26"/>
          <w:szCs w:val="26"/>
          <w:rtl/>
        </w:rPr>
        <w:t>المرحلة</w:t>
      </w:r>
      <w:r w:rsidRPr="003C4983">
        <w:rPr>
          <w:rFonts w:hint="cs"/>
          <w:sz w:val="26"/>
          <w:szCs w:val="26"/>
          <w:rtl/>
        </w:rPr>
        <w:t xml:space="preserve"> </w:t>
      </w:r>
      <w:r w:rsidRPr="003C4983">
        <w:rPr>
          <w:sz w:val="26"/>
          <w:szCs w:val="26"/>
          <w:rtl/>
        </w:rPr>
        <w:t>ال</w:t>
      </w:r>
      <w:r w:rsidRPr="003C4983">
        <w:rPr>
          <w:rFonts w:hint="cs"/>
          <w:sz w:val="26"/>
          <w:szCs w:val="26"/>
          <w:rtl/>
        </w:rPr>
        <w:t>أولى، ا</w:t>
      </w:r>
      <w:r w:rsidR="001F3090" w:rsidRPr="003C4983">
        <w:rPr>
          <w:sz w:val="26"/>
          <w:szCs w:val="26"/>
          <w:rtl/>
        </w:rPr>
        <w:t>لشريح</w:t>
      </w:r>
      <w:r w:rsidR="001F3090" w:rsidRPr="003C4983">
        <w:rPr>
          <w:rFonts w:hint="cs"/>
          <w:sz w:val="26"/>
          <w:szCs w:val="26"/>
          <w:rtl/>
        </w:rPr>
        <w:t>تان</w:t>
      </w:r>
      <w:r w:rsidRPr="003C4983">
        <w:rPr>
          <w:rFonts w:hint="cs"/>
          <w:sz w:val="26"/>
          <w:szCs w:val="26"/>
          <w:rtl/>
        </w:rPr>
        <w:t xml:space="preserve"> ال</w:t>
      </w:r>
      <w:r w:rsidR="001F3090" w:rsidRPr="003C4983">
        <w:rPr>
          <w:rFonts w:hint="cs"/>
          <w:sz w:val="26"/>
          <w:szCs w:val="26"/>
          <w:rtl/>
        </w:rPr>
        <w:t>ثالثة والرابعة</w:t>
      </w:r>
      <w:r w:rsidRPr="003C4983">
        <w:rPr>
          <w:rFonts w:hint="cs"/>
          <w:sz w:val="26"/>
          <w:szCs w:val="26"/>
          <w:rtl/>
        </w:rPr>
        <w:t xml:space="preserve">) </w:t>
      </w:r>
      <w:r w:rsidRPr="003C4983">
        <w:rPr>
          <w:sz w:val="26"/>
          <w:szCs w:val="26"/>
          <w:rtl/>
        </w:rPr>
        <w:tab/>
      </w:r>
      <w:r w:rsidRPr="003C4983">
        <w:rPr>
          <w:sz w:val="26"/>
          <w:szCs w:val="26"/>
          <w:rtl/>
        </w:rPr>
        <w:tab/>
      </w:r>
      <w:r w:rsidRPr="003C4983">
        <w:rPr>
          <w:sz w:val="26"/>
          <w:szCs w:val="26"/>
          <w:rtl/>
        </w:rPr>
        <w:tab/>
      </w:r>
      <w:r w:rsidRPr="003C4983">
        <w:rPr>
          <w:rFonts w:hint="cs"/>
          <w:sz w:val="26"/>
          <w:szCs w:val="26"/>
          <w:rtl/>
        </w:rPr>
        <w:t>ومنظمة الأمم المتحدة للتنمية الصناعية</w:t>
      </w:r>
    </w:p>
    <w:p w14:paraId="1584E286" w14:textId="77777777" w:rsidR="00452395" w:rsidRPr="00452395" w:rsidRDefault="00452395" w:rsidP="00452395">
      <w:pPr>
        <w:pStyle w:val="0Heading0"/>
        <w:bidi/>
        <w:ind w:left="4"/>
        <w:rPr>
          <w:sz w:val="28"/>
          <w:szCs w:val="28"/>
        </w:rPr>
      </w:pPr>
    </w:p>
    <w:p w14:paraId="25F2EEAC" w14:textId="77777777" w:rsidR="00452395" w:rsidRPr="00532BD7" w:rsidRDefault="00452395" w:rsidP="00452395">
      <w:pPr>
        <w:pStyle w:val="0Heading0"/>
        <w:bidi/>
        <w:ind w:left="4"/>
        <w:jc w:val="center"/>
        <w:rPr>
          <w:sz w:val="28"/>
          <w:szCs w:val="28"/>
          <w:rtl/>
        </w:rPr>
      </w:pPr>
    </w:p>
    <w:p w14:paraId="73BAF49A" w14:textId="77777777" w:rsidR="00FE13A5" w:rsidRDefault="00FE13A5" w:rsidP="00FE13A5">
      <w:pPr>
        <w:pStyle w:val="StyleHeader4Para4Left0Firstline0"/>
        <w:numPr>
          <w:ilvl w:val="0"/>
          <w:numId w:val="0"/>
        </w:numPr>
      </w:pPr>
    </w:p>
    <w:p w14:paraId="6646BA05" w14:textId="77777777" w:rsidR="007E5D09" w:rsidRDefault="007E5D09">
      <w:pPr>
        <w:pStyle w:val="StyleHeader4Para4Left0Firstline0"/>
        <w:numPr>
          <w:ilvl w:val="0"/>
          <w:numId w:val="0"/>
        </w:numPr>
      </w:pPr>
    </w:p>
    <w:p w14:paraId="425B383E" w14:textId="77777777" w:rsidR="00FE13A5" w:rsidRDefault="00FE13A5">
      <w:pPr>
        <w:pStyle w:val="StyleHeader4Para4Left0Firstline0"/>
        <w:numPr>
          <w:ilvl w:val="0"/>
          <w:numId w:val="0"/>
        </w:numPr>
      </w:pPr>
    </w:p>
    <w:p w14:paraId="5DE0E0D8" w14:textId="01A0F8F3" w:rsidR="00FE13A5" w:rsidRDefault="00FE13A5">
      <w:pPr>
        <w:pStyle w:val="StyleHeader4Para4Left0Firstline0"/>
        <w:numPr>
          <w:ilvl w:val="0"/>
          <w:numId w:val="0"/>
        </w:numPr>
      </w:pPr>
    </w:p>
    <w:p w14:paraId="177B27D2" w14:textId="77777777" w:rsidR="003C4983" w:rsidRDefault="003C4983">
      <w:pPr>
        <w:pStyle w:val="StyleHeader4Para4Left0Firstline0"/>
        <w:numPr>
          <w:ilvl w:val="0"/>
          <w:numId w:val="0"/>
        </w:numPr>
      </w:pPr>
    </w:p>
    <w:p w14:paraId="171EA7D2" w14:textId="77777777" w:rsidR="00FE13A5" w:rsidRPr="00FE13A5" w:rsidRDefault="0025495B" w:rsidP="00FE13A5">
      <w:pPr>
        <w:pStyle w:val="StyleHeader4Para4Left0Firstline0"/>
        <w:numPr>
          <w:ilvl w:val="0"/>
          <w:numId w:val="0"/>
        </w:numPr>
        <w:ind w:left="720"/>
        <w:jc w:val="right"/>
        <w:rPr>
          <w:rtl/>
          <w:lang w:val="en-CA" w:bidi="ar-BH"/>
        </w:rPr>
      </w:pPr>
      <w:r>
        <w:rPr>
          <w:rFonts w:hint="cs"/>
          <w:rtl/>
          <w:lang w:val="en-CA" w:bidi="ar-BH"/>
        </w:rPr>
        <w:t>*</w:t>
      </w:r>
      <w:r w:rsidR="000F611B">
        <w:rPr>
          <w:rFonts w:hint="cs"/>
          <w:rtl/>
          <w:lang w:val="en-CA" w:bidi="ar-BH"/>
        </w:rPr>
        <w:t xml:space="preserve"> </w:t>
      </w:r>
      <w:r w:rsidR="000F611B">
        <w:rPr>
          <w:rFonts w:hint="cs"/>
          <w:rtl/>
          <w:lang w:bidi="ar-BH"/>
        </w:rPr>
        <w:t xml:space="preserve">بسبب </w:t>
      </w:r>
      <w:r w:rsidR="000F611B">
        <w:rPr>
          <w:rFonts w:hint="cs"/>
          <w:rtl/>
          <w:lang w:val="en-CA" w:bidi="ar-BH"/>
        </w:rPr>
        <w:t>فيروس كورونا (كوفيد-19)</w:t>
      </w:r>
    </w:p>
    <w:p w14:paraId="0E18E59B" w14:textId="77777777" w:rsidR="00452395" w:rsidRPr="00D2429B" w:rsidRDefault="00E1360E" w:rsidP="00452395">
      <w:pPr>
        <w:bidi/>
        <w:spacing w:after="80"/>
        <w:jc w:val="center"/>
        <w:rPr>
          <w:bCs/>
          <w:szCs w:val="24"/>
          <w:rtl/>
          <w:lang w:bidi="ar-EG"/>
        </w:rPr>
      </w:pPr>
      <w:r>
        <w:br w:type="page"/>
      </w:r>
      <w:r w:rsidR="00452395" w:rsidRPr="00D2429B">
        <w:rPr>
          <w:bCs/>
          <w:szCs w:val="24"/>
          <w:rtl/>
          <w:lang w:bidi="ar-AE"/>
        </w:rPr>
        <w:lastRenderedPageBreak/>
        <w:t>ورقة تقييم المشروع – مش</w:t>
      </w:r>
      <w:r w:rsidR="00452395">
        <w:rPr>
          <w:rFonts w:hint="cs"/>
          <w:bCs/>
          <w:szCs w:val="24"/>
          <w:rtl/>
          <w:lang w:bidi="ar-AE"/>
        </w:rPr>
        <w:t>ا</w:t>
      </w:r>
      <w:r w:rsidR="00452395">
        <w:rPr>
          <w:bCs/>
          <w:szCs w:val="24"/>
          <w:rtl/>
          <w:lang w:bidi="ar-AE"/>
        </w:rPr>
        <w:t>ر</w:t>
      </w:r>
      <w:r w:rsidR="00452395">
        <w:rPr>
          <w:rFonts w:hint="cs"/>
          <w:bCs/>
          <w:szCs w:val="24"/>
          <w:rtl/>
          <w:lang w:bidi="ar-AE"/>
        </w:rPr>
        <w:t>ي</w:t>
      </w:r>
      <w:r w:rsidR="00452395" w:rsidRPr="00D2429B">
        <w:rPr>
          <w:bCs/>
          <w:szCs w:val="24"/>
          <w:rtl/>
          <w:lang w:bidi="ar-AE"/>
        </w:rPr>
        <w:t>ع متعددة السنوات</w:t>
      </w:r>
    </w:p>
    <w:p w14:paraId="6C2D1544" w14:textId="77777777" w:rsidR="00452395" w:rsidRPr="00452395" w:rsidRDefault="001F3090" w:rsidP="00452395">
      <w:pPr>
        <w:pStyle w:val="0Heading0"/>
        <w:bidi/>
        <w:jc w:val="center"/>
        <w:rPr>
          <w:szCs w:val="24"/>
          <w:lang w:val="fr-CA"/>
        </w:rPr>
      </w:pPr>
      <w:r>
        <w:rPr>
          <w:rFonts w:hint="cs"/>
          <w:bCs/>
          <w:szCs w:val="24"/>
          <w:rtl/>
        </w:rPr>
        <w:t>غينيا</w:t>
      </w:r>
    </w:p>
    <w:p w14:paraId="1895C71E" w14:textId="77777777" w:rsidR="00452395" w:rsidRDefault="00452395" w:rsidP="00452395">
      <w:pPr>
        <w:pStyle w:val="0Heading0"/>
        <w:bidi/>
        <w:ind w:left="4"/>
        <w:rPr>
          <w:rFonts w:asciiTheme="majorBidi" w:hAnsiTheme="majorBidi" w:cstheme="majorBidi"/>
          <w:b/>
          <w:bCs/>
          <w:sz w:val="26"/>
          <w:szCs w:val="26"/>
          <w:rtl/>
          <w:lang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15"/>
        <w:gridCol w:w="2497"/>
        <w:gridCol w:w="2497"/>
        <w:gridCol w:w="2639"/>
      </w:tblGrid>
      <w:tr w:rsidR="00452395" w:rsidRPr="00D2429B" w14:paraId="0700DDA2" w14:textId="77777777" w:rsidTr="00F74C17">
        <w:trPr>
          <w:trHeight w:val="211"/>
          <w:jc w:val="center"/>
        </w:trPr>
        <w:tc>
          <w:tcPr>
            <w:tcW w:w="2715" w:type="dxa"/>
          </w:tcPr>
          <w:p w14:paraId="450495A7" w14:textId="77777777" w:rsidR="00452395" w:rsidRPr="00D2429B" w:rsidRDefault="00452395" w:rsidP="00F74C17">
            <w:pPr>
              <w:bidi/>
              <w:spacing w:after="80"/>
              <w:jc w:val="left"/>
              <w:rPr>
                <w:sz w:val="16"/>
                <w:szCs w:val="16"/>
                <w:rtl/>
                <w:lang w:bidi="ar-EG"/>
              </w:rPr>
            </w:pPr>
            <w:r w:rsidRPr="00D2429B">
              <w:rPr>
                <w:bCs/>
                <w:sz w:val="16"/>
                <w:szCs w:val="16"/>
                <w:rtl/>
                <w:lang w:bidi="ar-AE"/>
              </w:rPr>
              <w:t>(1) عنوان المشروع</w:t>
            </w:r>
          </w:p>
        </w:tc>
        <w:tc>
          <w:tcPr>
            <w:tcW w:w="2497" w:type="dxa"/>
          </w:tcPr>
          <w:p w14:paraId="5BEDF3A5" w14:textId="77777777" w:rsidR="00452395" w:rsidRPr="00D2429B" w:rsidRDefault="00452395" w:rsidP="00F74C17">
            <w:pPr>
              <w:bidi/>
              <w:spacing w:after="80"/>
              <w:jc w:val="center"/>
              <w:rPr>
                <w:sz w:val="16"/>
                <w:szCs w:val="16"/>
                <w:rtl/>
                <w:lang w:bidi="ar-EG"/>
              </w:rPr>
            </w:pPr>
            <w:r w:rsidRPr="00D2429B">
              <w:rPr>
                <w:bCs/>
                <w:sz w:val="16"/>
                <w:szCs w:val="16"/>
                <w:rtl/>
                <w:lang w:bidi="ar-AE"/>
              </w:rPr>
              <w:t>الوكالة</w:t>
            </w:r>
          </w:p>
        </w:tc>
        <w:tc>
          <w:tcPr>
            <w:tcW w:w="2497" w:type="dxa"/>
          </w:tcPr>
          <w:p w14:paraId="52A8E1D3" w14:textId="77777777" w:rsidR="00452395" w:rsidRPr="00DF49D4" w:rsidRDefault="00452395" w:rsidP="00F74C17">
            <w:pPr>
              <w:bidi/>
              <w:spacing w:after="80"/>
              <w:jc w:val="center"/>
              <w:rPr>
                <w:rFonts w:eastAsia="Batang"/>
                <w:bCs/>
                <w:snapToGrid w:val="0"/>
                <w:sz w:val="16"/>
                <w:szCs w:val="16"/>
                <w:rtl/>
                <w:lang w:eastAsia="ko-KR" w:bidi="ar-AE"/>
              </w:rPr>
            </w:pPr>
            <w:r>
              <w:rPr>
                <w:rFonts w:eastAsia="Batang" w:hint="cs"/>
                <w:bCs/>
                <w:snapToGrid w:val="0"/>
                <w:sz w:val="16"/>
                <w:szCs w:val="16"/>
                <w:rtl/>
                <w:lang w:eastAsia="ko-KR" w:bidi="ar-AE"/>
              </w:rPr>
              <w:t>الاجتماع الذي أقرّ المشروع</w:t>
            </w:r>
          </w:p>
        </w:tc>
        <w:tc>
          <w:tcPr>
            <w:tcW w:w="2639" w:type="dxa"/>
          </w:tcPr>
          <w:p w14:paraId="33EC302C" w14:textId="77777777" w:rsidR="00452395" w:rsidRPr="00DF49D4" w:rsidRDefault="00452395" w:rsidP="00F74C17">
            <w:pPr>
              <w:bidi/>
              <w:spacing w:after="80"/>
              <w:jc w:val="center"/>
              <w:rPr>
                <w:rFonts w:eastAsia="Batang"/>
                <w:bCs/>
                <w:snapToGrid w:val="0"/>
                <w:sz w:val="16"/>
                <w:szCs w:val="16"/>
                <w:rtl/>
                <w:lang w:eastAsia="ko-KR" w:bidi="ar-AE"/>
              </w:rPr>
            </w:pPr>
            <w:r>
              <w:rPr>
                <w:rFonts w:eastAsia="Batang" w:hint="cs"/>
                <w:bCs/>
                <w:snapToGrid w:val="0"/>
                <w:sz w:val="16"/>
                <w:szCs w:val="16"/>
                <w:rtl/>
                <w:lang w:eastAsia="ko-KR" w:bidi="ar-AE"/>
              </w:rPr>
              <w:t>تدبير الرقابة</w:t>
            </w:r>
          </w:p>
        </w:tc>
      </w:tr>
      <w:tr w:rsidR="00452395" w:rsidRPr="00D2429B" w14:paraId="390F56A9" w14:textId="77777777" w:rsidTr="00F74C17">
        <w:trPr>
          <w:trHeight w:val="211"/>
          <w:jc w:val="center"/>
        </w:trPr>
        <w:tc>
          <w:tcPr>
            <w:tcW w:w="2715" w:type="dxa"/>
          </w:tcPr>
          <w:p w14:paraId="47433491" w14:textId="77777777" w:rsidR="00452395" w:rsidRPr="00D2429B" w:rsidRDefault="00452395" w:rsidP="00F74C17">
            <w:pPr>
              <w:bidi/>
              <w:spacing w:after="80"/>
              <w:jc w:val="left"/>
              <w:rPr>
                <w:sz w:val="16"/>
                <w:szCs w:val="16"/>
                <w:rtl/>
                <w:lang w:bidi="ar-EG"/>
              </w:rPr>
            </w:pPr>
            <w:r w:rsidRPr="00D2429B">
              <w:rPr>
                <w:sz w:val="16"/>
                <w:szCs w:val="16"/>
                <w:rtl/>
                <w:lang w:bidi="ar-AE"/>
              </w:rPr>
              <w:t>خطة إدارة إزالة المواد الهيدروكلوروفلوروكربونية</w:t>
            </w:r>
            <w:r>
              <w:rPr>
                <w:sz w:val="16"/>
                <w:szCs w:val="16"/>
                <w:rtl/>
                <w:lang w:bidi="ar-AE"/>
              </w:rPr>
              <w:t xml:space="preserve"> (المرحلة الأولى</w:t>
            </w:r>
            <w:r w:rsidRPr="00D2429B">
              <w:rPr>
                <w:sz w:val="16"/>
                <w:szCs w:val="16"/>
                <w:rtl/>
                <w:lang w:bidi="ar-AE"/>
              </w:rPr>
              <w:t>)</w:t>
            </w:r>
          </w:p>
        </w:tc>
        <w:tc>
          <w:tcPr>
            <w:tcW w:w="2497" w:type="dxa"/>
          </w:tcPr>
          <w:p w14:paraId="784478A9" w14:textId="77777777" w:rsidR="00452395" w:rsidRPr="00D2429B" w:rsidRDefault="00452395" w:rsidP="004013C2">
            <w:pPr>
              <w:bidi/>
              <w:jc w:val="center"/>
              <w:rPr>
                <w:sz w:val="16"/>
                <w:szCs w:val="16"/>
                <w:rtl/>
                <w:lang w:bidi="ar-AE"/>
              </w:rPr>
            </w:pPr>
            <w:r>
              <w:rPr>
                <w:rFonts w:hint="cs"/>
                <w:sz w:val="16"/>
                <w:szCs w:val="16"/>
                <w:rtl/>
                <w:lang w:bidi="ar-EG"/>
              </w:rPr>
              <w:t>برنامج الأمم المتحدة</w:t>
            </w:r>
            <w:r w:rsidR="004013C2">
              <w:rPr>
                <w:rFonts w:hint="cs"/>
                <w:sz w:val="16"/>
                <w:szCs w:val="16"/>
                <w:rtl/>
                <w:lang w:bidi="ar-EG"/>
              </w:rPr>
              <w:t xml:space="preserve"> </w:t>
            </w:r>
            <w:r w:rsidR="004013C2">
              <w:rPr>
                <w:rFonts w:hint="cs"/>
                <w:sz w:val="16"/>
                <w:szCs w:val="16"/>
                <w:rtl/>
                <w:lang w:bidi="ar-SA"/>
              </w:rPr>
              <w:t>للبيئة</w:t>
            </w:r>
            <w:r>
              <w:rPr>
                <w:rFonts w:hint="cs"/>
                <w:sz w:val="16"/>
                <w:szCs w:val="16"/>
                <w:rtl/>
                <w:lang w:bidi="ar-EG"/>
              </w:rPr>
              <w:t xml:space="preserve"> (رئيسية)؛ </w:t>
            </w:r>
            <w:r w:rsidR="004013C2">
              <w:rPr>
                <w:rFonts w:hint="cs"/>
                <w:sz w:val="16"/>
                <w:szCs w:val="16"/>
                <w:rtl/>
                <w:lang w:bidi="ar-EG"/>
              </w:rPr>
              <w:t>منظمة الأمم المتحدة للتنمية الصناعية</w:t>
            </w:r>
          </w:p>
        </w:tc>
        <w:tc>
          <w:tcPr>
            <w:tcW w:w="2497" w:type="dxa"/>
          </w:tcPr>
          <w:p w14:paraId="75D5F15D" w14:textId="77777777" w:rsidR="00452395" w:rsidRDefault="001F3090" w:rsidP="00F74C17">
            <w:pPr>
              <w:bidi/>
              <w:spacing w:after="80"/>
              <w:jc w:val="center"/>
              <w:rPr>
                <w:sz w:val="16"/>
                <w:szCs w:val="16"/>
                <w:rtl/>
                <w:lang w:bidi="ar-EG"/>
              </w:rPr>
            </w:pPr>
            <w:r>
              <w:rPr>
                <w:rFonts w:hint="cs"/>
                <w:sz w:val="16"/>
                <w:szCs w:val="16"/>
                <w:rtl/>
                <w:lang w:bidi="ar-EG"/>
              </w:rPr>
              <w:t>66</w:t>
            </w:r>
          </w:p>
        </w:tc>
        <w:tc>
          <w:tcPr>
            <w:tcW w:w="2639" w:type="dxa"/>
          </w:tcPr>
          <w:p w14:paraId="2B99744C" w14:textId="77777777" w:rsidR="00452395" w:rsidRDefault="00452395" w:rsidP="00F74C17">
            <w:pPr>
              <w:bidi/>
              <w:spacing w:after="80"/>
              <w:jc w:val="center"/>
              <w:rPr>
                <w:sz w:val="16"/>
                <w:szCs w:val="16"/>
                <w:rtl/>
                <w:lang w:bidi="ar-EG"/>
              </w:rPr>
            </w:pPr>
            <w:r>
              <w:rPr>
                <w:rFonts w:hint="cs"/>
                <w:sz w:val="16"/>
                <w:szCs w:val="16"/>
                <w:rtl/>
                <w:lang w:bidi="ar-EG"/>
              </w:rPr>
              <w:t>35% بحلول عام 2020</w:t>
            </w:r>
          </w:p>
        </w:tc>
      </w:tr>
    </w:tbl>
    <w:p w14:paraId="1C7C5D13" w14:textId="77777777" w:rsidR="00452395" w:rsidRPr="00D2429B" w:rsidRDefault="00452395" w:rsidP="00452395">
      <w:pPr>
        <w:bidi/>
        <w:spacing w:after="60"/>
        <w:jc w:val="center"/>
        <w:rPr>
          <w:sz w:val="16"/>
          <w:szCs w:val="16"/>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40"/>
        <w:gridCol w:w="3333"/>
        <w:gridCol w:w="3475"/>
      </w:tblGrid>
      <w:tr w:rsidR="00452395" w:rsidRPr="00D2429B" w14:paraId="31CDFDF1" w14:textId="77777777" w:rsidTr="00F74C17">
        <w:trPr>
          <w:trHeight w:val="240"/>
          <w:jc w:val="center"/>
        </w:trPr>
        <w:tc>
          <w:tcPr>
            <w:tcW w:w="3540" w:type="dxa"/>
          </w:tcPr>
          <w:p w14:paraId="6A0B66E9" w14:textId="77777777" w:rsidR="00452395" w:rsidRPr="003F7F5D" w:rsidRDefault="00452395" w:rsidP="00F74C17">
            <w:pPr>
              <w:bidi/>
              <w:spacing w:after="60"/>
              <w:jc w:val="left"/>
              <w:rPr>
                <w:bCs/>
                <w:sz w:val="16"/>
                <w:szCs w:val="16"/>
                <w:rtl/>
                <w:lang w:bidi="ar-EG"/>
              </w:rPr>
            </w:pPr>
            <w:r w:rsidRPr="00D2429B">
              <w:rPr>
                <w:bCs/>
                <w:sz w:val="16"/>
                <w:szCs w:val="16"/>
                <w:rtl/>
                <w:lang w:bidi="ar-AE"/>
              </w:rPr>
              <w:t>(2) أحدث بيانات المادة 7</w:t>
            </w:r>
            <w:r w:rsidRPr="00D2429B">
              <w:rPr>
                <w:b/>
                <w:sz w:val="16"/>
                <w:szCs w:val="16"/>
              </w:rPr>
              <w:t xml:space="preserve"> </w:t>
            </w:r>
            <w:r>
              <w:rPr>
                <w:rFonts w:hint="cs"/>
                <w:bCs/>
                <w:sz w:val="16"/>
                <w:szCs w:val="16"/>
                <w:rtl/>
              </w:rPr>
              <w:t>(المرفق جيم، المجموعة 1)</w:t>
            </w:r>
          </w:p>
        </w:tc>
        <w:tc>
          <w:tcPr>
            <w:tcW w:w="3333" w:type="dxa"/>
          </w:tcPr>
          <w:p w14:paraId="5277DDA6" w14:textId="77777777" w:rsidR="00452395" w:rsidRPr="00D2429B" w:rsidRDefault="00452395" w:rsidP="001F3090">
            <w:pPr>
              <w:bidi/>
              <w:spacing w:after="60"/>
              <w:jc w:val="center"/>
              <w:rPr>
                <w:sz w:val="16"/>
                <w:szCs w:val="16"/>
                <w:rtl/>
                <w:lang w:bidi="ar-EG"/>
              </w:rPr>
            </w:pPr>
            <w:r w:rsidRPr="00D2429B">
              <w:rPr>
                <w:sz w:val="16"/>
                <w:szCs w:val="16"/>
                <w:rtl/>
                <w:lang w:bidi="ar-AE"/>
              </w:rPr>
              <w:t xml:space="preserve">السنة: </w:t>
            </w:r>
            <w:r w:rsidR="001F3090">
              <w:rPr>
                <w:rFonts w:hint="cs"/>
                <w:sz w:val="16"/>
                <w:szCs w:val="16"/>
                <w:rtl/>
                <w:lang w:bidi="ar-AE"/>
              </w:rPr>
              <w:t>2019</w:t>
            </w:r>
          </w:p>
        </w:tc>
        <w:tc>
          <w:tcPr>
            <w:tcW w:w="3475" w:type="dxa"/>
          </w:tcPr>
          <w:p w14:paraId="5B7EFD73" w14:textId="77777777" w:rsidR="00452395" w:rsidRPr="00D2429B" w:rsidRDefault="001F3090" w:rsidP="00F74C17">
            <w:pPr>
              <w:bidi/>
              <w:spacing w:after="60"/>
              <w:jc w:val="left"/>
              <w:rPr>
                <w:sz w:val="16"/>
                <w:szCs w:val="16"/>
                <w:rtl/>
                <w:lang w:bidi="ar-EG"/>
              </w:rPr>
            </w:pPr>
            <w:r>
              <w:rPr>
                <w:rFonts w:hint="cs"/>
                <w:sz w:val="16"/>
                <w:szCs w:val="16"/>
                <w:rtl/>
                <w:lang w:bidi="ar-AE"/>
              </w:rPr>
              <w:t>1.93</w:t>
            </w:r>
            <w:r w:rsidR="004013C2">
              <w:rPr>
                <w:rFonts w:hint="cs"/>
                <w:sz w:val="16"/>
                <w:szCs w:val="16"/>
                <w:rtl/>
                <w:lang w:bidi="ar-AE"/>
              </w:rPr>
              <w:t xml:space="preserve"> </w:t>
            </w:r>
            <w:r w:rsidR="00452395" w:rsidRPr="00D2429B">
              <w:rPr>
                <w:sz w:val="16"/>
                <w:szCs w:val="16"/>
                <w:rtl/>
                <w:lang w:bidi="ar-AE"/>
              </w:rPr>
              <w:t>(طن من قدرات استنفاد الأوزون)</w:t>
            </w:r>
          </w:p>
        </w:tc>
      </w:tr>
    </w:tbl>
    <w:p w14:paraId="4693E63C" w14:textId="77777777" w:rsidR="00452395" w:rsidRPr="003F7F5D" w:rsidRDefault="00452395" w:rsidP="00452395">
      <w:pPr>
        <w:bidi/>
        <w:spacing w:after="60"/>
        <w:jc w:val="center"/>
        <w:rPr>
          <w:sz w:val="16"/>
          <w:szCs w:val="16"/>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992"/>
        <w:gridCol w:w="834"/>
        <w:gridCol w:w="900"/>
        <w:gridCol w:w="720"/>
        <w:gridCol w:w="720"/>
        <w:gridCol w:w="630"/>
        <w:gridCol w:w="810"/>
        <w:gridCol w:w="990"/>
        <w:gridCol w:w="1484"/>
      </w:tblGrid>
      <w:tr w:rsidR="00452395" w:rsidRPr="00D2429B" w14:paraId="620B2D5E" w14:textId="77777777" w:rsidTr="00F74C17">
        <w:trPr>
          <w:trHeight w:hRule="exact" w:val="240"/>
          <w:jc w:val="center"/>
        </w:trPr>
        <w:tc>
          <w:tcPr>
            <w:tcW w:w="6434" w:type="dxa"/>
            <w:gridSpan w:val="6"/>
          </w:tcPr>
          <w:p w14:paraId="32F463EA" w14:textId="77777777" w:rsidR="00452395" w:rsidRPr="00D2429B" w:rsidRDefault="00452395" w:rsidP="00F74C17">
            <w:pPr>
              <w:bidi/>
              <w:spacing w:after="60"/>
              <w:jc w:val="left"/>
              <w:rPr>
                <w:sz w:val="16"/>
                <w:szCs w:val="16"/>
                <w:rtl/>
                <w:lang w:bidi="ar-EG"/>
              </w:rPr>
            </w:pPr>
            <w:r w:rsidRPr="00D2429B">
              <w:rPr>
                <w:bCs/>
                <w:sz w:val="16"/>
                <w:szCs w:val="16"/>
                <w:rtl/>
                <w:lang w:bidi="ar-AE"/>
              </w:rPr>
              <w:t xml:space="preserve">(3) أحدث البيانات القطاعية للبرنامج القطري (طن من قدرات </w:t>
            </w:r>
            <w:r>
              <w:rPr>
                <w:bCs/>
                <w:sz w:val="16"/>
                <w:szCs w:val="16"/>
                <w:rtl/>
                <w:lang w:bidi="ar-AE"/>
              </w:rPr>
              <w:t>استنفاد</w:t>
            </w:r>
            <w:r w:rsidRPr="00D2429B">
              <w:rPr>
                <w:bCs/>
                <w:sz w:val="16"/>
                <w:szCs w:val="16"/>
                <w:rtl/>
                <w:lang w:bidi="ar-AE"/>
              </w:rPr>
              <w:t xml:space="preserve"> الأوزون)</w:t>
            </w:r>
          </w:p>
        </w:tc>
        <w:tc>
          <w:tcPr>
            <w:tcW w:w="3914" w:type="dxa"/>
            <w:gridSpan w:val="4"/>
          </w:tcPr>
          <w:p w14:paraId="64A9D2DC" w14:textId="77777777" w:rsidR="00452395" w:rsidRPr="00D2429B" w:rsidRDefault="00452395" w:rsidP="00F74C17">
            <w:pPr>
              <w:bidi/>
              <w:spacing w:after="60"/>
              <w:jc w:val="left"/>
              <w:rPr>
                <w:sz w:val="16"/>
                <w:szCs w:val="16"/>
                <w:rtl/>
                <w:lang w:bidi="ar-SA"/>
              </w:rPr>
            </w:pPr>
            <w:r w:rsidRPr="00D2429B">
              <w:rPr>
                <w:bCs/>
                <w:sz w:val="16"/>
                <w:szCs w:val="16"/>
                <w:rtl/>
                <w:lang w:bidi="ar-AE"/>
              </w:rPr>
              <w:t>السنة:</w:t>
            </w:r>
            <w:r w:rsidRPr="00D2429B">
              <w:rPr>
                <w:b/>
                <w:sz w:val="16"/>
                <w:szCs w:val="16"/>
              </w:rPr>
              <w:t xml:space="preserve"> 20</w:t>
            </w:r>
            <w:r>
              <w:rPr>
                <w:b/>
                <w:sz w:val="16"/>
                <w:szCs w:val="16"/>
              </w:rPr>
              <w:t xml:space="preserve">18 </w:t>
            </w:r>
          </w:p>
        </w:tc>
      </w:tr>
      <w:tr w:rsidR="00452395" w:rsidRPr="00D2429B" w14:paraId="018D0568" w14:textId="77777777" w:rsidTr="00F74C17">
        <w:trPr>
          <w:trHeight w:hRule="exact" w:val="595"/>
          <w:jc w:val="center"/>
        </w:trPr>
        <w:tc>
          <w:tcPr>
            <w:tcW w:w="2268" w:type="dxa"/>
          </w:tcPr>
          <w:p w14:paraId="61D85B1E" w14:textId="77777777" w:rsidR="00452395" w:rsidRPr="00D2429B" w:rsidRDefault="00452395" w:rsidP="00F74C17">
            <w:pPr>
              <w:bidi/>
              <w:spacing w:after="60"/>
              <w:jc w:val="center"/>
              <w:rPr>
                <w:sz w:val="16"/>
                <w:szCs w:val="16"/>
                <w:rtl/>
                <w:lang w:bidi="ar-EG"/>
              </w:rPr>
            </w:pPr>
            <w:r w:rsidRPr="00D2429B">
              <w:rPr>
                <w:sz w:val="16"/>
                <w:szCs w:val="16"/>
                <w:rtl/>
                <w:lang w:bidi="ar-AE"/>
              </w:rPr>
              <w:t>كيميائي</w:t>
            </w:r>
          </w:p>
        </w:tc>
        <w:tc>
          <w:tcPr>
            <w:tcW w:w="992" w:type="dxa"/>
          </w:tcPr>
          <w:p w14:paraId="442C8449" w14:textId="77777777" w:rsidR="00452395" w:rsidRPr="00D2429B" w:rsidRDefault="00452395" w:rsidP="00F74C17">
            <w:pPr>
              <w:bidi/>
              <w:spacing w:after="60"/>
              <w:jc w:val="center"/>
              <w:rPr>
                <w:sz w:val="16"/>
                <w:szCs w:val="16"/>
                <w:rtl/>
                <w:lang w:bidi="ar-EG"/>
              </w:rPr>
            </w:pPr>
            <w:r w:rsidRPr="00D2429B">
              <w:rPr>
                <w:sz w:val="16"/>
                <w:szCs w:val="16"/>
                <w:rtl/>
                <w:lang w:bidi="ar-AE"/>
              </w:rPr>
              <w:t>الأيروصولات</w:t>
            </w:r>
          </w:p>
        </w:tc>
        <w:tc>
          <w:tcPr>
            <w:tcW w:w="834" w:type="dxa"/>
          </w:tcPr>
          <w:p w14:paraId="7ADBBE0E" w14:textId="77777777" w:rsidR="00452395" w:rsidRPr="00D2429B" w:rsidRDefault="00452395" w:rsidP="00F74C17">
            <w:pPr>
              <w:bidi/>
              <w:spacing w:after="60"/>
              <w:jc w:val="center"/>
              <w:rPr>
                <w:sz w:val="16"/>
                <w:szCs w:val="16"/>
                <w:rtl/>
                <w:lang w:bidi="ar-EG"/>
              </w:rPr>
            </w:pPr>
            <w:r w:rsidRPr="00D2429B">
              <w:rPr>
                <w:sz w:val="16"/>
                <w:szCs w:val="16"/>
                <w:rtl/>
                <w:lang w:bidi="ar-AE"/>
              </w:rPr>
              <w:t>الرغاوي</w:t>
            </w:r>
          </w:p>
        </w:tc>
        <w:tc>
          <w:tcPr>
            <w:tcW w:w="900" w:type="dxa"/>
          </w:tcPr>
          <w:p w14:paraId="5B17219C" w14:textId="77777777" w:rsidR="00452395" w:rsidRPr="00D2429B" w:rsidRDefault="00452395" w:rsidP="00F74C17">
            <w:pPr>
              <w:bidi/>
              <w:spacing w:after="60"/>
              <w:jc w:val="center"/>
              <w:rPr>
                <w:sz w:val="16"/>
                <w:szCs w:val="16"/>
                <w:rtl/>
                <w:lang w:bidi="ar-EG"/>
              </w:rPr>
            </w:pPr>
            <w:r w:rsidRPr="00D2429B">
              <w:rPr>
                <w:sz w:val="16"/>
                <w:szCs w:val="16"/>
                <w:rtl/>
                <w:lang w:bidi="ar-AE"/>
              </w:rPr>
              <w:t>مكافحة الحريق</w:t>
            </w:r>
          </w:p>
        </w:tc>
        <w:tc>
          <w:tcPr>
            <w:tcW w:w="1440" w:type="dxa"/>
            <w:gridSpan w:val="2"/>
          </w:tcPr>
          <w:p w14:paraId="217147B3" w14:textId="77777777" w:rsidR="00452395" w:rsidRPr="00D2429B" w:rsidRDefault="00452395" w:rsidP="00F74C17">
            <w:pPr>
              <w:bidi/>
              <w:spacing w:after="60"/>
              <w:jc w:val="center"/>
              <w:rPr>
                <w:sz w:val="16"/>
                <w:szCs w:val="16"/>
                <w:rtl/>
                <w:lang w:bidi="ar-EG"/>
              </w:rPr>
            </w:pPr>
            <w:r w:rsidRPr="00D2429B">
              <w:rPr>
                <w:sz w:val="16"/>
                <w:szCs w:val="16"/>
                <w:rtl/>
                <w:lang w:bidi="ar-AE"/>
              </w:rPr>
              <w:t>التبريد</w:t>
            </w:r>
          </w:p>
        </w:tc>
        <w:tc>
          <w:tcPr>
            <w:tcW w:w="630" w:type="dxa"/>
          </w:tcPr>
          <w:p w14:paraId="11D85255" w14:textId="77777777" w:rsidR="00452395" w:rsidRPr="00D2429B" w:rsidRDefault="00452395" w:rsidP="00F74C17">
            <w:pPr>
              <w:bidi/>
              <w:spacing w:after="60"/>
              <w:jc w:val="center"/>
              <w:rPr>
                <w:sz w:val="16"/>
                <w:szCs w:val="16"/>
                <w:rtl/>
                <w:lang w:bidi="ar-EG"/>
              </w:rPr>
            </w:pPr>
            <w:r w:rsidRPr="00D2429B">
              <w:rPr>
                <w:sz w:val="16"/>
                <w:szCs w:val="16"/>
                <w:rtl/>
                <w:lang w:bidi="ar-AE"/>
              </w:rPr>
              <w:t>المذيبات</w:t>
            </w:r>
          </w:p>
        </w:tc>
        <w:tc>
          <w:tcPr>
            <w:tcW w:w="810" w:type="dxa"/>
          </w:tcPr>
          <w:p w14:paraId="32DB321D" w14:textId="77777777" w:rsidR="00452395" w:rsidRPr="00D2429B" w:rsidRDefault="00452395" w:rsidP="00F74C17">
            <w:pPr>
              <w:bidi/>
              <w:spacing w:after="60"/>
              <w:jc w:val="center"/>
              <w:rPr>
                <w:sz w:val="16"/>
                <w:szCs w:val="16"/>
                <w:rtl/>
                <w:lang w:bidi="ar-EG"/>
              </w:rPr>
            </w:pPr>
            <w:r w:rsidRPr="00D2429B">
              <w:rPr>
                <w:sz w:val="16"/>
                <w:szCs w:val="16"/>
                <w:rtl/>
                <w:lang w:bidi="ar-AE"/>
              </w:rPr>
              <w:t>عامل تصنيع</w:t>
            </w:r>
          </w:p>
        </w:tc>
        <w:tc>
          <w:tcPr>
            <w:tcW w:w="990" w:type="dxa"/>
          </w:tcPr>
          <w:p w14:paraId="1E1E54F5" w14:textId="77777777" w:rsidR="00452395" w:rsidRPr="00D2429B" w:rsidRDefault="00452395" w:rsidP="00F74C17">
            <w:pPr>
              <w:bidi/>
              <w:spacing w:after="60"/>
              <w:jc w:val="center"/>
              <w:rPr>
                <w:sz w:val="16"/>
                <w:szCs w:val="16"/>
                <w:rtl/>
                <w:lang w:bidi="ar-EG"/>
              </w:rPr>
            </w:pPr>
            <w:r w:rsidRPr="00D2429B">
              <w:rPr>
                <w:sz w:val="16"/>
                <w:szCs w:val="16"/>
                <w:rtl/>
                <w:lang w:bidi="ar-AE"/>
              </w:rPr>
              <w:t>الاستخدامات المعملية</w:t>
            </w:r>
          </w:p>
        </w:tc>
        <w:tc>
          <w:tcPr>
            <w:tcW w:w="1484" w:type="dxa"/>
          </w:tcPr>
          <w:p w14:paraId="0CAE0D5B" w14:textId="77777777" w:rsidR="00452395" w:rsidRPr="00D2429B" w:rsidRDefault="00452395" w:rsidP="00F74C17">
            <w:pPr>
              <w:bidi/>
              <w:spacing w:after="60"/>
              <w:jc w:val="center"/>
              <w:rPr>
                <w:sz w:val="16"/>
                <w:szCs w:val="16"/>
                <w:rtl/>
                <w:lang w:bidi="ar-AE"/>
              </w:rPr>
            </w:pPr>
            <w:r w:rsidRPr="00D2429B">
              <w:rPr>
                <w:sz w:val="16"/>
                <w:szCs w:val="16"/>
                <w:rtl/>
                <w:lang w:bidi="ar-AE"/>
              </w:rPr>
              <w:t xml:space="preserve">إجمالي </w:t>
            </w:r>
          </w:p>
          <w:p w14:paraId="0C430114" w14:textId="77777777" w:rsidR="00452395" w:rsidRPr="00D2429B" w:rsidRDefault="00452395" w:rsidP="00F74C17">
            <w:pPr>
              <w:bidi/>
              <w:spacing w:after="60"/>
              <w:jc w:val="center"/>
              <w:rPr>
                <w:sz w:val="16"/>
                <w:szCs w:val="16"/>
                <w:rtl/>
                <w:lang w:bidi="ar-EG"/>
              </w:rPr>
            </w:pPr>
            <w:r w:rsidRPr="00D2429B">
              <w:rPr>
                <w:sz w:val="16"/>
                <w:szCs w:val="16"/>
                <w:rtl/>
                <w:lang w:bidi="ar-AE"/>
              </w:rPr>
              <w:t>الاستهلاك القطاعي</w:t>
            </w:r>
          </w:p>
        </w:tc>
      </w:tr>
      <w:tr w:rsidR="00452395" w:rsidRPr="00D2429B" w14:paraId="6DBF7D07" w14:textId="77777777" w:rsidTr="00F74C17">
        <w:trPr>
          <w:trHeight w:hRule="exact" w:val="240"/>
          <w:jc w:val="center"/>
        </w:trPr>
        <w:tc>
          <w:tcPr>
            <w:tcW w:w="4994" w:type="dxa"/>
            <w:gridSpan w:val="4"/>
          </w:tcPr>
          <w:p w14:paraId="1A150F8B" w14:textId="77777777" w:rsidR="00452395" w:rsidRPr="00D2429B" w:rsidRDefault="00452395" w:rsidP="00F74C17">
            <w:pPr>
              <w:bidi/>
              <w:spacing w:after="60"/>
              <w:jc w:val="center"/>
              <w:rPr>
                <w:sz w:val="16"/>
                <w:szCs w:val="16"/>
              </w:rPr>
            </w:pPr>
            <w:r w:rsidRPr="00D2429B">
              <w:rPr>
                <w:sz w:val="16"/>
                <w:szCs w:val="16"/>
              </w:rPr>
              <w:t xml:space="preserve"> </w:t>
            </w:r>
          </w:p>
        </w:tc>
        <w:tc>
          <w:tcPr>
            <w:tcW w:w="720" w:type="dxa"/>
          </w:tcPr>
          <w:p w14:paraId="35021A25" w14:textId="77777777" w:rsidR="00452395" w:rsidRPr="00D2429B" w:rsidRDefault="00452395" w:rsidP="00F74C17">
            <w:pPr>
              <w:bidi/>
              <w:spacing w:after="60"/>
              <w:jc w:val="center"/>
              <w:rPr>
                <w:sz w:val="16"/>
                <w:szCs w:val="16"/>
                <w:rtl/>
                <w:lang w:bidi="ar-EG"/>
              </w:rPr>
            </w:pPr>
            <w:r w:rsidRPr="00D2429B">
              <w:rPr>
                <w:sz w:val="16"/>
                <w:szCs w:val="16"/>
                <w:rtl/>
                <w:lang w:bidi="ar-AE"/>
              </w:rPr>
              <w:t>التصنيع</w:t>
            </w:r>
          </w:p>
        </w:tc>
        <w:tc>
          <w:tcPr>
            <w:tcW w:w="720" w:type="dxa"/>
          </w:tcPr>
          <w:p w14:paraId="2CB1C9D5" w14:textId="77777777" w:rsidR="00452395" w:rsidRPr="00D2429B" w:rsidRDefault="00452395" w:rsidP="00F74C17">
            <w:pPr>
              <w:bidi/>
              <w:spacing w:after="60"/>
              <w:jc w:val="center"/>
              <w:rPr>
                <w:sz w:val="16"/>
                <w:szCs w:val="16"/>
                <w:rtl/>
                <w:lang w:bidi="ar-EG"/>
              </w:rPr>
            </w:pPr>
            <w:r w:rsidRPr="00D2429B">
              <w:rPr>
                <w:sz w:val="16"/>
                <w:szCs w:val="16"/>
                <w:rtl/>
                <w:lang w:bidi="ar-AE"/>
              </w:rPr>
              <w:t>الخدمة</w:t>
            </w:r>
          </w:p>
        </w:tc>
        <w:tc>
          <w:tcPr>
            <w:tcW w:w="3914" w:type="dxa"/>
            <w:gridSpan w:val="4"/>
          </w:tcPr>
          <w:p w14:paraId="3B98BE0B" w14:textId="77777777" w:rsidR="00452395" w:rsidRPr="00D2429B" w:rsidRDefault="00452395" w:rsidP="00F74C17">
            <w:pPr>
              <w:bidi/>
              <w:spacing w:after="60"/>
              <w:jc w:val="center"/>
              <w:rPr>
                <w:sz w:val="16"/>
                <w:szCs w:val="16"/>
              </w:rPr>
            </w:pPr>
          </w:p>
        </w:tc>
      </w:tr>
      <w:tr w:rsidR="00452395" w:rsidRPr="00D2429B" w14:paraId="4053774E" w14:textId="77777777" w:rsidTr="00F74C17">
        <w:trPr>
          <w:trHeight w:hRule="exact" w:val="240"/>
          <w:jc w:val="center"/>
        </w:trPr>
        <w:tc>
          <w:tcPr>
            <w:tcW w:w="2268" w:type="dxa"/>
          </w:tcPr>
          <w:p w14:paraId="662C7392" w14:textId="77777777" w:rsidR="00452395" w:rsidRPr="00D2429B" w:rsidRDefault="00452395" w:rsidP="00F74C17">
            <w:pPr>
              <w:bidi/>
              <w:spacing w:after="60"/>
              <w:jc w:val="left"/>
              <w:rPr>
                <w:sz w:val="16"/>
                <w:szCs w:val="16"/>
                <w:rtl/>
                <w:lang w:bidi="ar-EG"/>
              </w:rPr>
            </w:pPr>
            <w:r w:rsidRPr="00D2429B">
              <w:rPr>
                <w:sz w:val="16"/>
                <w:szCs w:val="16"/>
                <w:rtl/>
                <w:lang w:bidi="ar-AE"/>
              </w:rPr>
              <w:t>الهيدروكلوروفلوروكربون 22</w:t>
            </w:r>
          </w:p>
        </w:tc>
        <w:tc>
          <w:tcPr>
            <w:tcW w:w="992" w:type="dxa"/>
          </w:tcPr>
          <w:p w14:paraId="525A95F5" w14:textId="77777777" w:rsidR="00452395" w:rsidRPr="00D2429B" w:rsidRDefault="00452395" w:rsidP="00F74C17">
            <w:pPr>
              <w:bidi/>
              <w:spacing w:after="60"/>
              <w:jc w:val="right"/>
              <w:rPr>
                <w:sz w:val="16"/>
                <w:szCs w:val="16"/>
              </w:rPr>
            </w:pPr>
          </w:p>
        </w:tc>
        <w:tc>
          <w:tcPr>
            <w:tcW w:w="834" w:type="dxa"/>
          </w:tcPr>
          <w:p w14:paraId="7837C3BF" w14:textId="77777777" w:rsidR="00452395" w:rsidRPr="00D2429B" w:rsidRDefault="00452395" w:rsidP="00F74C17">
            <w:pPr>
              <w:bidi/>
              <w:spacing w:after="60"/>
              <w:jc w:val="left"/>
              <w:rPr>
                <w:sz w:val="16"/>
                <w:szCs w:val="16"/>
              </w:rPr>
            </w:pPr>
          </w:p>
        </w:tc>
        <w:tc>
          <w:tcPr>
            <w:tcW w:w="900" w:type="dxa"/>
          </w:tcPr>
          <w:p w14:paraId="0E5D7E3C" w14:textId="77777777" w:rsidR="00452395" w:rsidRPr="00D2429B" w:rsidRDefault="00452395" w:rsidP="00F74C17">
            <w:pPr>
              <w:bidi/>
              <w:spacing w:after="60"/>
              <w:jc w:val="left"/>
              <w:rPr>
                <w:sz w:val="16"/>
                <w:szCs w:val="16"/>
              </w:rPr>
            </w:pPr>
          </w:p>
        </w:tc>
        <w:tc>
          <w:tcPr>
            <w:tcW w:w="720" w:type="dxa"/>
          </w:tcPr>
          <w:p w14:paraId="33C08369" w14:textId="77777777" w:rsidR="00452395" w:rsidRPr="00D2429B" w:rsidRDefault="00452395" w:rsidP="00F74C17">
            <w:pPr>
              <w:bidi/>
              <w:spacing w:after="60"/>
              <w:jc w:val="left"/>
              <w:rPr>
                <w:sz w:val="16"/>
                <w:szCs w:val="16"/>
              </w:rPr>
            </w:pPr>
          </w:p>
        </w:tc>
        <w:tc>
          <w:tcPr>
            <w:tcW w:w="720" w:type="dxa"/>
          </w:tcPr>
          <w:p w14:paraId="7B7E3526" w14:textId="77777777" w:rsidR="00452395" w:rsidRPr="00D2429B" w:rsidRDefault="001F3090" w:rsidP="00F74C17">
            <w:pPr>
              <w:bidi/>
              <w:spacing w:after="60"/>
              <w:jc w:val="left"/>
              <w:rPr>
                <w:sz w:val="16"/>
                <w:szCs w:val="16"/>
              </w:rPr>
            </w:pPr>
            <w:r>
              <w:rPr>
                <w:rFonts w:hint="cs"/>
                <w:sz w:val="16"/>
                <w:szCs w:val="16"/>
                <w:rtl/>
              </w:rPr>
              <w:t>1.93</w:t>
            </w:r>
          </w:p>
        </w:tc>
        <w:tc>
          <w:tcPr>
            <w:tcW w:w="630" w:type="dxa"/>
          </w:tcPr>
          <w:p w14:paraId="33C9E320" w14:textId="77777777" w:rsidR="00452395" w:rsidRPr="00D2429B" w:rsidRDefault="00452395" w:rsidP="00F74C17">
            <w:pPr>
              <w:bidi/>
              <w:spacing w:after="60"/>
              <w:jc w:val="left"/>
              <w:rPr>
                <w:sz w:val="16"/>
                <w:szCs w:val="16"/>
              </w:rPr>
            </w:pPr>
          </w:p>
        </w:tc>
        <w:tc>
          <w:tcPr>
            <w:tcW w:w="810" w:type="dxa"/>
          </w:tcPr>
          <w:p w14:paraId="631B00E3" w14:textId="77777777" w:rsidR="00452395" w:rsidRPr="00D2429B" w:rsidRDefault="00452395" w:rsidP="00F74C17">
            <w:pPr>
              <w:bidi/>
              <w:spacing w:after="60"/>
              <w:jc w:val="left"/>
              <w:rPr>
                <w:sz w:val="16"/>
                <w:szCs w:val="16"/>
              </w:rPr>
            </w:pPr>
          </w:p>
        </w:tc>
        <w:tc>
          <w:tcPr>
            <w:tcW w:w="990" w:type="dxa"/>
          </w:tcPr>
          <w:p w14:paraId="1DFE027F" w14:textId="77777777" w:rsidR="00452395" w:rsidRPr="00D2429B" w:rsidRDefault="00452395" w:rsidP="00F74C17">
            <w:pPr>
              <w:bidi/>
              <w:spacing w:after="60"/>
              <w:jc w:val="left"/>
              <w:rPr>
                <w:sz w:val="16"/>
                <w:szCs w:val="16"/>
              </w:rPr>
            </w:pPr>
          </w:p>
        </w:tc>
        <w:tc>
          <w:tcPr>
            <w:tcW w:w="1484" w:type="dxa"/>
          </w:tcPr>
          <w:p w14:paraId="34B2898B" w14:textId="77777777" w:rsidR="00452395" w:rsidRPr="00D2429B" w:rsidRDefault="001F3090" w:rsidP="00F74C17">
            <w:pPr>
              <w:bidi/>
              <w:spacing w:after="60"/>
              <w:jc w:val="left"/>
              <w:rPr>
                <w:sz w:val="16"/>
                <w:szCs w:val="16"/>
              </w:rPr>
            </w:pPr>
            <w:r>
              <w:rPr>
                <w:rFonts w:hint="cs"/>
                <w:sz w:val="16"/>
                <w:szCs w:val="16"/>
                <w:rtl/>
              </w:rPr>
              <w:t>1.93</w:t>
            </w:r>
          </w:p>
        </w:tc>
      </w:tr>
    </w:tbl>
    <w:p w14:paraId="5D14D50F" w14:textId="77777777" w:rsidR="00452395" w:rsidRPr="00D2429B" w:rsidRDefault="00452395" w:rsidP="00452395">
      <w:pPr>
        <w:bidi/>
        <w:spacing w:after="60"/>
        <w:jc w:val="center"/>
        <w:rPr>
          <w:sz w:val="16"/>
          <w:szCs w:val="16"/>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75"/>
        <w:gridCol w:w="728"/>
        <w:gridCol w:w="4253"/>
        <w:gridCol w:w="993"/>
      </w:tblGrid>
      <w:tr w:rsidR="00452395" w:rsidRPr="00D2429B" w14:paraId="10984708" w14:textId="77777777" w:rsidTr="00F74C17">
        <w:trPr>
          <w:trHeight w:val="240"/>
          <w:jc w:val="center"/>
        </w:trPr>
        <w:tc>
          <w:tcPr>
            <w:tcW w:w="10349" w:type="dxa"/>
            <w:gridSpan w:val="4"/>
          </w:tcPr>
          <w:p w14:paraId="033E859B" w14:textId="77777777" w:rsidR="00452395" w:rsidRPr="00D2429B" w:rsidRDefault="00452395" w:rsidP="00F74C17">
            <w:pPr>
              <w:bidi/>
              <w:spacing w:after="60"/>
              <w:jc w:val="left"/>
              <w:rPr>
                <w:sz w:val="16"/>
                <w:szCs w:val="16"/>
                <w:rtl/>
                <w:lang w:bidi="ar-EG"/>
              </w:rPr>
            </w:pPr>
            <w:r w:rsidRPr="00D2429B">
              <w:rPr>
                <w:bCs/>
                <w:sz w:val="16"/>
                <w:szCs w:val="16"/>
                <w:rtl/>
                <w:lang w:bidi="ar-AE"/>
              </w:rPr>
              <w:t xml:space="preserve">(4) بيانات الاستهلاك (طن من قدرات </w:t>
            </w:r>
            <w:r>
              <w:rPr>
                <w:bCs/>
                <w:sz w:val="16"/>
                <w:szCs w:val="16"/>
                <w:rtl/>
                <w:lang w:bidi="ar-AE"/>
              </w:rPr>
              <w:t>استنفاد</w:t>
            </w:r>
            <w:r w:rsidRPr="00D2429B">
              <w:rPr>
                <w:bCs/>
                <w:sz w:val="16"/>
                <w:szCs w:val="16"/>
                <w:rtl/>
                <w:lang w:bidi="ar-AE"/>
              </w:rPr>
              <w:t xml:space="preserve"> الأوزون)</w:t>
            </w:r>
          </w:p>
        </w:tc>
      </w:tr>
      <w:tr w:rsidR="00452395" w:rsidRPr="00D2429B" w14:paraId="4E7F7EEA" w14:textId="77777777" w:rsidTr="00F74C17">
        <w:trPr>
          <w:trHeight w:val="240"/>
          <w:jc w:val="center"/>
        </w:trPr>
        <w:tc>
          <w:tcPr>
            <w:tcW w:w="4375" w:type="dxa"/>
          </w:tcPr>
          <w:p w14:paraId="3CE9A878" w14:textId="77777777" w:rsidR="00452395" w:rsidRPr="00D2429B" w:rsidRDefault="00452395" w:rsidP="00F74C17">
            <w:pPr>
              <w:bidi/>
              <w:spacing w:after="60"/>
              <w:jc w:val="center"/>
              <w:rPr>
                <w:sz w:val="16"/>
                <w:szCs w:val="16"/>
                <w:rtl/>
                <w:lang w:bidi="ar-EG"/>
              </w:rPr>
            </w:pPr>
            <w:r w:rsidRPr="00D2429B">
              <w:rPr>
                <w:sz w:val="16"/>
                <w:szCs w:val="16"/>
                <w:rtl/>
                <w:lang w:bidi="ar-AE"/>
              </w:rPr>
              <w:t>خط الأساس لفترة 2009-</w:t>
            </w:r>
            <w:r w:rsidRPr="00D2429B">
              <w:rPr>
                <w:rFonts w:hint="cs"/>
                <w:sz w:val="16"/>
                <w:szCs w:val="16"/>
                <w:rtl/>
                <w:lang w:bidi="ar-AE"/>
              </w:rPr>
              <w:t>2010:</w:t>
            </w:r>
          </w:p>
        </w:tc>
        <w:tc>
          <w:tcPr>
            <w:tcW w:w="728" w:type="dxa"/>
          </w:tcPr>
          <w:p w14:paraId="6AF0D4AA" w14:textId="77777777" w:rsidR="00452395" w:rsidRPr="00D2429B" w:rsidRDefault="001F3090" w:rsidP="00F74C17">
            <w:pPr>
              <w:bidi/>
              <w:spacing w:after="60"/>
              <w:jc w:val="left"/>
              <w:rPr>
                <w:sz w:val="16"/>
                <w:szCs w:val="16"/>
              </w:rPr>
            </w:pPr>
            <w:r>
              <w:rPr>
                <w:rFonts w:hint="cs"/>
                <w:sz w:val="16"/>
                <w:szCs w:val="16"/>
                <w:rtl/>
              </w:rPr>
              <w:t>22.61</w:t>
            </w:r>
          </w:p>
        </w:tc>
        <w:tc>
          <w:tcPr>
            <w:tcW w:w="4253" w:type="dxa"/>
          </w:tcPr>
          <w:p w14:paraId="341B6C21" w14:textId="77777777" w:rsidR="00452395" w:rsidRPr="00D2429B" w:rsidRDefault="00452395" w:rsidP="00F74C17">
            <w:pPr>
              <w:bidi/>
              <w:spacing w:after="60"/>
              <w:jc w:val="center"/>
              <w:rPr>
                <w:sz w:val="16"/>
                <w:szCs w:val="16"/>
                <w:rtl/>
                <w:lang w:bidi="ar-EG"/>
              </w:rPr>
            </w:pPr>
            <w:r w:rsidRPr="00D2429B">
              <w:rPr>
                <w:sz w:val="16"/>
                <w:szCs w:val="16"/>
                <w:rtl/>
                <w:lang w:bidi="ar-AE"/>
              </w:rPr>
              <w:t>نقطة البداية للتخفيضات المجمعة المستدامة:</w:t>
            </w:r>
          </w:p>
        </w:tc>
        <w:tc>
          <w:tcPr>
            <w:tcW w:w="993" w:type="dxa"/>
          </w:tcPr>
          <w:p w14:paraId="1B0FF6E5" w14:textId="77777777" w:rsidR="00452395" w:rsidRPr="00D2429B" w:rsidRDefault="001F3090" w:rsidP="00F74C17">
            <w:pPr>
              <w:bidi/>
              <w:spacing w:after="60"/>
              <w:jc w:val="left"/>
              <w:rPr>
                <w:sz w:val="16"/>
                <w:szCs w:val="16"/>
              </w:rPr>
            </w:pPr>
            <w:r>
              <w:rPr>
                <w:rFonts w:hint="cs"/>
                <w:sz w:val="16"/>
                <w:szCs w:val="16"/>
                <w:rtl/>
              </w:rPr>
              <w:t>7.51</w:t>
            </w:r>
          </w:p>
        </w:tc>
      </w:tr>
      <w:tr w:rsidR="00452395" w:rsidRPr="00D2429B" w14:paraId="5DF834EA" w14:textId="77777777" w:rsidTr="00F74C17">
        <w:trPr>
          <w:trHeight w:val="240"/>
          <w:jc w:val="center"/>
        </w:trPr>
        <w:tc>
          <w:tcPr>
            <w:tcW w:w="10349" w:type="dxa"/>
            <w:gridSpan w:val="4"/>
          </w:tcPr>
          <w:p w14:paraId="0C34BB0A" w14:textId="77777777" w:rsidR="00452395" w:rsidRPr="00D2429B" w:rsidRDefault="00452395" w:rsidP="00F74C17">
            <w:pPr>
              <w:bidi/>
              <w:spacing w:after="60"/>
              <w:jc w:val="center"/>
              <w:rPr>
                <w:sz w:val="16"/>
                <w:szCs w:val="16"/>
                <w:rtl/>
                <w:lang w:bidi="ar-EG"/>
              </w:rPr>
            </w:pPr>
            <w:r w:rsidRPr="00D2429B">
              <w:rPr>
                <w:bCs/>
                <w:sz w:val="16"/>
                <w:szCs w:val="16"/>
                <w:rtl/>
                <w:lang w:bidi="ar-AE"/>
              </w:rPr>
              <w:t xml:space="preserve">الاستهلاك المؤهل للتمويل (طن من قدرات </w:t>
            </w:r>
            <w:r>
              <w:rPr>
                <w:bCs/>
                <w:sz w:val="16"/>
                <w:szCs w:val="16"/>
                <w:rtl/>
                <w:lang w:bidi="ar-AE"/>
              </w:rPr>
              <w:t>استنفاد</w:t>
            </w:r>
            <w:r w:rsidRPr="00D2429B">
              <w:rPr>
                <w:bCs/>
                <w:sz w:val="16"/>
                <w:szCs w:val="16"/>
                <w:rtl/>
                <w:lang w:bidi="ar-AE"/>
              </w:rPr>
              <w:t xml:space="preserve"> الأوزون)</w:t>
            </w:r>
          </w:p>
        </w:tc>
      </w:tr>
      <w:tr w:rsidR="00452395" w:rsidRPr="00D2429B" w14:paraId="5C6E9250" w14:textId="77777777" w:rsidTr="00F74C17">
        <w:trPr>
          <w:trHeight w:val="240"/>
          <w:jc w:val="center"/>
        </w:trPr>
        <w:tc>
          <w:tcPr>
            <w:tcW w:w="4375" w:type="dxa"/>
          </w:tcPr>
          <w:p w14:paraId="1612DD63" w14:textId="77777777" w:rsidR="00452395" w:rsidRPr="009F22CA" w:rsidRDefault="00452395" w:rsidP="00F74C17">
            <w:pPr>
              <w:bidi/>
              <w:spacing w:after="60"/>
              <w:jc w:val="center"/>
              <w:rPr>
                <w:sz w:val="16"/>
                <w:szCs w:val="16"/>
                <w:lang w:val="fr-CA" w:bidi="ar-EG"/>
              </w:rPr>
            </w:pPr>
            <w:r w:rsidRPr="00D2429B">
              <w:rPr>
                <w:sz w:val="16"/>
                <w:szCs w:val="16"/>
                <w:rtl/>
                <w:lang w:bidi="ar-AE"/>
              </w:rPr>
              <w:t>موافق عليه بالفعل:</w:t>
            </w:r>
          </w:p>
        </w:tc>
        <w:tc>
          <w:tcPr>
            <w:tcW w:w="728" w:type="dxa"/>
          </w:tcPr>
          <w:p w14:paraId="6CC3D36A" w14:textId="77777777" w:rsidR="00452395" w:rsidRPr="00D2429B" w:rsidRDefault="001F3090" w:rsidP="00F74C17">
            <w:pPr>
              <w:bidi/>
              <w:spacing w:after="60"/>
              <w:jc w:val="left"/>
              <w:rPr>
                <w:sz w:val="16"/>
                <w:szCs w:val="16"/>
              </w:rPr>
            </w:pPr>
            <w:r>
              <w:rPr>
                <w:rFonts w:hint="cs"/>
                <w:sz w:val="16"/>
                <w:szCs w:val="16"/>
                <w:rtl/>
              </w:rPr>
              <w:t>2.63</w:t>
            </w:r>
          </w:p>
        </w:tc>
        <w:tc>
          <w:tcPr>
            <w:tcW w:w="4253" w:type="dxa"/>
          </w:tcPr>
          <w:p w14:paraId="2F92690B" w14:textId="77777777" w:rsidR="00452395" w:rsidRPr="00D2429B" w:rsidRDefault="00452395" w:rsidP="00F74C17">
            <w:pPr>
              <w:bidi/>
              <w:spacing w:after="60"/>
              <w:jc w:val="center"/>
              <w:rPr>
                <w:sz w:val="16"/>
                <w:szCs w:val="16"/>
                <w:rtl/>
                <w:lang w:bidi="ar-EG"/>
              </w:rPr>
            </w:pPr>
            <w:r w:rsidRPr="00D2429B">
              <w:rPr>
                <w:sz w:val="16"/>
                <w:szCs w:val="16"/>
                <w:rtl/>
                <w:lang w:bidi="ar-AE"/>
              </w:rPr>
              <w:t>المتبقي:</w:t>
            </w:r>
          </w:p>
        </w:tc>
        <w:tc>
          <w:tcPr>
            <w:tcW w:w="993" w:type="dxa"/>
          </w:tcPr>
          <w:p w14:paraId="1ED49541" w14:textId="77777777" w:rsidR="00452395" w:rsidRPr="00D2429B" w:rsidRDefault="001F3090" w:rsidP="00F74C17">
            <w:pPr>
              <w:bidi/>
              <w:spacing w:after="60"/>
              <w:jc w:val="left"/>
              <w:rPr>
                <w:sz w:val="16"/>
                <w:szCs w:val="16"/>
              </w:rPr>
            </w:pPr>
            <w:r>
              <w:rPr>
                <w:rFonts w:hint="cs"/>
                <w:sz w:val="16"/>
                <w:szCs w:val="16"/>
                <w:rtl/>
              </w:rPr>
              <w:t>4.88</w:t>
            </w:r>
          </w:p>
        </w:tc>
      </w:tr>
    </w:tbl>
    <w:p w14:paraId="18EFEDA4" w14:textId="77777777" w:rsidR="00452395" w:rsidRPr="00D2429B" w:rsidRDefault="00452395" w:rsidP="00452395">
      <w:pPr>
        <w:bidi/>
        <w:spacing w:after="60"/>
        <w:jc w:val="center"/>
        <w:rPr>
          <w:sz w:val="16"/>
          <w:szCs w:val="16"/>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3544"/>
        <w:gridCol w:w="2126"/>
        <w:gridCol w:w="2411"/>
      </w:tblGrid>
      <w:tr w:rsidR="00452395" w:rsidRPr="00D2429B" w14:paraId="1ED6E105" w14:textId="77777777" w:rsidTr="00F74C17">
        <w:trPr>
          <w:trHeight w:val="240"/>
          <w:jc w:val="center"/>
        </w:trPr>
        <w:tc>
          <w:tcPr>
            <w:tcW w:w="5812" w:type="dxa"/>
            <w:gridSpan w:val="2"/>
          </w:tcPr>
          <w:p w14:paraId="477C799B" w14:textId="77777777" w:rsidR="00452395" w:rsidRPr="00D2429B" w:rsidRDefault="00452395" w:rsidP="00F74C17">
            <w:pPr>
              <w:bidi/>
              <w:spacing w:after="60"/>
              <w:jc w:val="left"/>
              <w:rPr>
                <w:sz w:val="16"/>
                <w:szCs w:val="16"/>
                <w:rtl/>
                <w:lang w:bidi="ar-EG"/>
              </w:rPr>
            </w:pPr>
            <w:r w:rsidRPr="00D2429B">
              <w:rPr>
                <w:bCs/>
                <w:sz w:val="16"/>
                <w:szCs w:val="16"/>
                <w:rtl/>
                <w:lang w:bidi="ar-AE"/>
              </w:rPr>
              <w:t>(5) خطة الأعمال</w:t>
            </w:r>
          </w:p>
        </w:tc>
        <w:tc>
          <w:tcPr>
            <w:tcW w:w="2126" w:type="dxa"/>
          </w:tcPr>
          <w:p w14:paraId="0D51FEA9" w14:textId="77777777" w:rsidR="00452395" w:rsidRPr="004013C2" w:rsidRDefault="004013C2" w:rsidP="00F74C17">
            <w:pPr>
              <w:bidi/>
              <w:spacing w:after="60"/>
              <w:jc w:val="center"/>
              <w:rPr>
                <w:bCs/>
                <w:sz w:val="16"/>
                <w:szCs w:val="16"/>
              </w:rPr>
            </w:pPr>
            <w:r w:rsidRPr="004013C2">
              <w:rPr>
                <w:rFonts w:hint="cs"/>
                <w:bCs/>
                <w:sz w:val="16"/>
                <w:szCs w:val="16"/>
                <w:rtl/>
              </w:rPr>
              <w:t>2020</w:t>
            </w:r>
          </w:p>
        </w:tc>
        <w:tc>
          <w:tcPr>
            <w:tcW w:w="2411" w:type="dxa"/>
          </w:tcPr>
          <w:p w14:paraId="1DA35A96" w14:textId="77777777" w:rsidR="00452395" w:rsidRPr="00D2429B" w:rsidRDefault="00452395" w:rsidP="00F74C17">
            <w:pPr>
              <w:bidi/>
              <w:spacing w:after="60"/>
              <w:jc w:val="center"/>
              <w:rPr>
                <w:sz w:val="16"/>
                <w:szCs w:val="16"/>
                <w:rtl/>
                <w:lang w:bidi="ar-EG"/>
              </w:rPr>
            </w:pPr>
            <w:r w:rsidRPr="00D2429B">
              <w:rPr>
                <w:bCs/>
                <w:sz w:val="16"/>
                <w:szCs w:val="16"/>
                <w:rtl/>
                <w:lang w:bidi="ar-AE"/>
              </w:rPr>
              <w:t>المجموع</w:t>
            </w:r>
          </w:p>
        </w:tc>
      </w:tr>
      <w:tr w:rsidR="00452395" w:rsidRPr="00D2429B" w14:paraId="5EEB1649" w14:textId="77777777" w:rsidTr="00F74C17">
        <w:trPr>
          <w:trHeight w:val="240"/>
          <w:jc w:val="center"/>
        </w:trPr>
        <w:tc>
          <w:tcPr>
            <w:tcW w:w="2268" w:type="dxa"/>
            <w:vMerge w:val="restart"/>
          </w:tcPr>
          <w:p w14:paraId="34833CF5" w14:textId="77777777" w:rsidR="00452395" w:rsidRPr="00D2429B" w:rsidRDefault="004013C2" w:rsidP="00F74C17">
            <w:pPr>
              <w:bidi/>
              <w:spacing w:after="60"/>
              <w:jc w:val="center"/>
              <w:rPr>
                <w:sz w:val="16"/>
                <w:szCs w:val="16"/>
                <w:rtl/>
                <w:lang w:bidi="ar-EG"/>
              </w:rPr>
            </w:pPr>
            <w:r>
              <w:rPr>
                <w:rFonts w:hint="cs"/>
                <w:sz w:val="16"/>
                <w:szCs w:val="16"/>
                <w:rtl/>
                <w:lang w:bidi="ar-AE"/>
              </w:rPr>
              <w:t>برنامج الأمم المتحدة للبيئة</w:t>
            </w:r>
            <w:r w:rsidR="00452395">
              <w:rPr>
                <w:rFonts w:hint="cs"/>
                <w:sz w:val="16"/>
                <w:szCs w:val="16"/>
                <w:rtl/>
                <w:lang w:bidi="ar-AE"/>
              </w:rPr>
              <w:t xml:space="preserve"> </w:t>
            </w:r>
          </w:p>
        </w:tc>
        <w:tc>
          <w:tcPr>
            <w:tcW w:w="3544" w:type="dxa"/>
          </w:tcPr>
          <w:p w14:paraId="29C64910" w14:textId="77777777" w:rsidR="00452395" w:rsidRPr="00D2429B" w:rsidRDefault="00452395" w:rsidP="00F74C17">
            <w:pPr>
              <w:bidi/>
              <w:spacing w:after="60"/>
              <w:jc w:val="left"/>
              <w:rPr>
                <w:sz w:val="16"/>
                <w:szCs w:val="16"/>
                <w:rtl/>
                <w:lang w:bidi="ar-EG"/>
              </w:rPr>
            </w:pPr>
            <w:r>
              <w:rPr>
                <w:sz w:val="16"/>
                <w:szCs w:val="16"/>
                <w:rtl/>
                <w:lang w:bidi="ar-AE"/>
              </w:rPr>
              <w:t>إزالة المواد المستنف</w:t>
            </w:r>
            <w:r>
              <w:rPr>
                <w:rFonts w:hint="cs"/>
                <w:sz w:val="16"/>
                <w:szCs w:val="16"/>
                <w:rtl/>
                <w:lang w:bidi="ar-AE"/>
              </w:rPr>
              <w:t>د</w:t>
            </w:r>
            <w:r w:rsidRPr="00D2429B">
              <w:rPr>
                <w:sz w:val="16"/>
                <w:szCs w:val="16"/>
                <w:rtl/>
                <w:lang w:bidi="ar-AE"/>
              </w:rPr>
              <w:t xml:space="preserve">ة للأوزون (طن من قدرات </w:t>
            </w:r>
            <w:r>
              <w:rPr>
                <w:sz w:val="16"/>
                <w:szCs w:val="16"/>
                <w:rtl/>
                <w:lang w:bidi="ar-AE"/>
              </w:rPr>
              <w:t>استنفاد</w:t>
            </w:r>
            <w:r w:rsidRPr="00D2429B">
              <w:rPr>
                <w:sz w:val="16"/>
                <w:szCs w:val="16"/>
                <w:rtl/>
                <w:lang w:bidi="ar-AE"/>
              </w:rPr>
              <w:t xml:space="preserve"> الأوزون)</w:t>
            </w:r>
          </w:p>
        </w:tc>
        <w:tc>
          <w:tcPr>
            <w:tcW w:w="2126" w:type="dxa"/>
          </w:tcPr>
          <w:p w14:paraId="36EDBE49" w14:textId="77777777" w:rsidR="00452395" w:rsidRPr="00D2429B" w:rsidRDefault="001F3090" w:rsidP="00F74C17">
            <w:pPr>
              <w:bidi/>
              <w:spacing w:after="60"/>
              <w:jc w:val="left"/>
              <w:rPr>
                <w:sz w:val="16"/>
                <w:szCs w:val="16"/>
              </w:rPr>
            </w:pPr>
            <w:r>
              <w:rPr>
                <w:rFonts w:hint="cs"/>
                <w:sz w:val="16"/>
                <w:szCs w:val="16"/>
                <w:rtl/>
              </w:rPr>
              <w:t>1.41</w:t>
            </w:r>
          </w:p>
        </w:tc>
        <w:tc>
          <w:tcPr>
            <w:tcW w:w="2411" w:type="dxa"/>
          </w:tcPr>
          <w:p w14:paraId="59A9B755" w14:textId="77777777" w:rsidR="00452395" w:rsidRPr="00D2429B" w:rsidRDefault="001F3090" w:rsidP="00CC4210">
            <w:pPr>
              <w:bidi/>
              <w:spacing w:after="60"/>
              <w:jc w:val="left"/>
              <w:rPr>
                <w:sz w:val="16"/>
                <w:szCs w:val="16"/>
              </w:rPr>
            </w:pPr>
            <w:r>
              <w:rPr>
                <w:rFonts w:hint="cs"/>
                <w:sz w:val="16"/>
                <w:szCs w:val="16"/>
                <w:rtl/>
              </w:rPr>
              <w:t>1.41</w:t>
            </w:r>
          </w:p>
        </w:tc>
      </w:tr>
      <w:tr w:rsidR="00452395" w:rsidRPr="00D2429B" w14:paraId="3DFC214B" w14:textId="77777777" w:rsidTr="00F74C17">
        <w:trPr>
          <w:trHeight w:val="240"/>
          <w:jc w:val="center"/>
        </w:trPr>
        <w:tc>
          <w:tcPr>
            <w:tcW w:w="2268" w:type="dxa"/>
            <w:vMerge/>
          </w:tcPr>
          <w:p w14:paraId="7BC2E9A0" w14:textId="77777777" w:rsidR="00452395" w:rsidRPr="00D2429B" w:rsidRDefault="00452395" w:rsidP="00F74C17">
            <w:pPr>
              <w:bidi/>
              <w:spacing w:after="60"/>
              <w:jc w:val="center"/>
              <w:rPr>
                <w:sz w:val="16"/>
                <w:szCs w:val="16"/>
              </w:rPr>
            </w:pPr>
          </w:p>
        </w:tc>
        <w:tc>
          <w:tcPr>
            <w:tcW w:w="3544" w:type="dxa"/>
          </w:tcPr>
          <w:p w14:paraId="7F8989AB" w14:textId="77777777" w:rsidR="00452395" w:rsidRPr="00D2429B" w:rsidRDefault="00452395" w:rsidP="00F74C17">
            <w:pPr>
              <w:bidi/>
              <w:spacing w:after="60"/>
              <w:jc w:val="left"/>
              <w:rPr>
                <w:sz w:val="16"/>
                <w:szCs w:val="16"/>
                <w:rtl/>
                <w:lang w:bidi="ar-EG"/>
              </w:rPr>
            </w:pPr>
            <w:r w:rsidRPr="00D2429B">
              <w:rPr>
                <w:sz w:val="16"/>
                <w:szCs w:val="16"/>
                <w:rtl/>
                <w:lang w:bidi="ar-AE"/>
              </w:rPr>
              <w:t>التمويل (دولار أمريكي)</w:t>
            </w:r>
          </w:p>
        </w:tc>
        <w:tc>
          <w:tcPr>
            <w:tcW w:w="2126" w:type="dxa"/>
          </w:tcPr>
          <w:p w14:paraId="5A7370B6" w14:textId="77777777" w:rsidR="00452395" w:rsidRPr="00D2429B" w:rsidRDefault="001F3090" w:rsidP="00F74C17">
            <w:pPr>
              <w:bidi/>
              <w:spacing w:after="60"/>
              <w:jc w:val="left"/>
              <w:rPr>
                <w:sz w:val="16"/>
                <w:szCs w:val="16"/>
              </w:rPr>
            </w:pPr>
            <w:r>
              <w:rPr>
                <w:rFonts w:hint="cs"/>
                <w:sz w:val="16"/>
                <w:szCs w:val="16"/>
                <w:rtl/>
              </w:rPr>
              <w:t>129,950</w:t>
            </w:r>
          </w:p>
        </w:tc>
        <w:tc>
          <w:tcPr>
            <w:tcW w:w="2411" w:type="dxa"/>
          </w:tcPr>
          <w:p w14:paraId="19B7DF3F" w14:textId="77777777" w:rsidR="00452395" w:rsidRPr="00D2429B" w:rsidRDefault="001F3090" w:rsidP="00F74C17">
            <w:pPr>
              <w:bidi/>
              <w:spacing w:after="60"/>
              <w:jc w:val="left"/>
              <w:rPr>
                <w:sz w:val="16"/>
                <w:szCs w:val="16"/>
              </w:rPr>
            </w:pPr>
            <w:r>
              <w:rPr>
                <w:rFonts w:hint="cs"/>
                <w:sz w:val="16"/>
                <w:szCs w:val="16"/>
                <w:rtl/>
              </w:rPr>
              <w:t>129,950</w:t>
            </w:r>
          </w:p>
        </w:tc>
      </w:tr>
      <w:tr w:rsidR="004013C2" w:rsidRPr="00D2429B" w14:paraId="6292668D" w14:textId="77777777" w:rsidTr="00F74C17">
        <w:trPr>
          <w:trHeight w:val="240"/>
          <w:jc w:val="center"/>
        </w:trPr>
        <w:tc>
          <w:tcPr>
            <w:tcW w:w="2268" w:type="dxa"/>
            <w:vMerge w:val="restart"/>
          </w:tcPr>
          <w:p w14:paraId="0C9616F0" w14:textId="77777777" w:rsidR="004013C2" w:rsidRPr="00D2429B" w:rsidRDefault="004013C2" w:rsidP="004013C2">
            <w:pPr>
              <w:bidi/>
              <w:spacing w:after="60"/>
              <w:jc w:val="center"/>
              <w:rPr>
                <w:sz w:val="16"/>
                <w:szCs w:val="16"/>
              </w:rPr>
            </w:pPr>
            <w:r>
              <w:rPr>
                <w:rFonts w:hint="cs"/>
                <w:sz w:val="16"/>
                <w:szCs w:val="16"/>
                <w:rtl/>
              </w:rPr>
              <w:t>منظمة الأمم المتحدة للتنمية الصناعية</w:t>
            </w:r>
          </w:p>
        </w:tc>
        <w:tc>
          <w:tcPr>
            <w:tcW w:w="3544" w:type="dxa"/>
          </w:tcPr>
          <w:p w14:paraId="74FA9CBF" w14:textId="77777777" w:rsidR="004013C2" w:rsidRPr="00D2429B" w:rsidRDefault="004013C2" w:rsidP="004013C2">
            <w:pPr>
              <w:bidi/>
              <w:spacing w:after="60"/>
              <w:jc w:val="left"/>
              <w:rPr>
                <w:sz w:val="16"/>
                <w:szCs w:val="16"/>
                <w:rtl/>
                <w:lang w:bidi="ar-EG"/>
              </w:rPr>
            </w:pPr>
            <w:r>
              <w:rPr>
                <w:sz w:val="16"/>
                <w:szCs w:val="16"/>
                <w:rtl/>
                <w:lang w:bidi="ar-AE"/>
              </w:rPr>
              <w:t>إزالة المواد المستنف</w:t>
            </w:r>
            <w:r>
              <w:rPr>
                <w:rFonts w:hint="cs"/>
                <w:sz w:val="16"/>
                <w:szCs w:val="16"/>
                <w:rtl/>
                <w:lang w:bidi="ar-AE"/>
              </w:rPr>
              <w:t>د</w:t>
            </w:r>
            <w:r w:rsidRPr="00D2429B">
              <w:rPr>
                <w:sz w:val="16"/>
                <w:szCs w:val="16"/>
                <w:rtl/>
                <w:lang w:bidi="ar-AE"/>
              </w:rPr>
              <w:t xml:space="preserve">ة للأوزون (طن من قدرات </w:t>
            </w:r>
            <w:r>
              <w:rPr>
                <w:sz w:val="16"/>
                <w:szCs w:val="16"/>
                <w:rtl/>
                <w:lang w:bidi="ar-AE"/>
              </w:rPr>
              <w:t>استنفاد</w:t>
            </w:r>
            <w:r w:rsidRPr="00D2429B">
              <w:rPr>
                <w:sz w:val="16"/>
                <w:szCs w:val="16"/>
                <w:rtl/>
                <w:lang w:bidi="ar-AE"/>
              </w:rPr>
              <w:t xml:space="preserve"> الأوزون)</w:t>
            </w:r>
          </w:p>
        </w:tc>
        <w:tc>
          <w:tcPr>
            <w:tcW w:w="2126" w:type="dxa"/>
          </w:tcPr>
          <w:p w14:paraId="4D5C47FE" w14:textId="77777777" w:rsidR="004013C2" w:rsidRDefault="001F3090" w:rsidP="004013C2">
            <w:pPr>
              <w:bidi/>
              <w:spacing w:after="60"/>
              <w:jc w:val="left"/>
              <w:rPr>
                <w:sz w:val="16"/>
                <w:szCs w:val="16"/>
                <w:rtl/>
              </w:rPr>
            </w:pPr>
            <w:r>
              <w:rPr>
                <w:rFonts w:hint="cs"/>
                <w:sz w:val="16"/>
                <w:szCs w:val="16"/>
                <w:rtl/>
              </w:rPr>
              <w:t>1.96</w:t>
            </w:r>
          </w:p>
        </w:tc>
        <w:tc>
          <w:tcPr>
            <w:tcW w:w="2411" w:type="dxa"/>
          </w:tcPr>
          <w:p w14:paraId="6842B7CF" w14:textId="77777777" w:rsidR="004013C2" w:rsidRDefault="001F3090" w:rsidP="004013C2">
            <w:pPr>
              <w:bidi/>
              <w:spacing w:after="60"/>
              <w:jc w:val="left"/>
              <w:rPr>
                <w:sz w:val="16"/>
                <w:szCs w:val="16"/>
                <w:rtl/>
              </w:rPr>
            </w:pPr>
            <w:r>
              <w:rPr>
                <w:rFonts w:hint="cs"/>
                <w:sz w:val="16"/>
                <w:szCs w:val="16"/>
                <w:rtl/>
              </w:rPr>
              <w:t>1.96</w:t>
            </w:r>
          </w:p>
        </w:tc>
      </w:tr>
      <w:tr w:rsidR="004013C2" w:rsidRPr="00D2429B" w14:paraId="107A4DCB" w14:textId="77777777" w:rsidTr="00F74C17">
        <w:trPr>
          <w:trHeight w:val="240"/>
          <w:jc w:val="center"/>
        </w:trPr>
        <w:tc>
          <w:tcPr>
            <w:tcW w:w="2268" w:type="dxa"/>
            <w:vMerge/>
          </w:tcPr>
          <w:p w14:paraId="25750DB6" w14:textId="77777777" w:rsidR="004013C2" w:rsidRPr="00D2429B" w:rsidRDefault="004013C2" w:rsidP="004013C2">
            <w:pPr>
              <w:bidi/>
              <w:spacing w:after="60"/>
              <w:jc w:val="center"/>
              <w:rPr>
                <w:sz w:val="16"/>
                <w:szCs w:val="16"/>
              </w:rPr>
            </w:pPr>
          </w:p>
        </w:tc>
        <w:tc>
          <w:tcPr>
            <w:tcW w:w="3544" w:type="dxa"/>
          </w:tcPr>
          <w:p w14:paraId="169BB478" w14:textId="77777777" w:rsidR="004013C2" w:rsidRPr="00D2429B" w:rsidRDefault="004013C2" w:rsidP="004013C2">
            <w:pPr>
              <w:bidi/>
              <w:spacing w:after="60"/>
              <w:jc w:val="left"/>
              <w:rPr>
                <w:sz w:val="16"/>
                <w:szCs w:val="16"/>
                <w:rtl/>
                <w:lang w:bidi="ar-EG"/>
              </w:rPr>
            </w:pPr>
            <w:r w:rsidRPr="00D2429B">
              <w:rPr>
                <w:sz w:val="16"/>
                <w:szCs w:val="16"/>
                <w:rtl/>
                <w:lang w:bidi="ar-AE"/>
              </w:rPr>
              <w:t>التمويل (دولار أمريكي)</w:t>
            </w:r>
          </w:p>
        </w:tc>
        <w:tc>
          <w:tcPr>
            <w:tcW w:w="2126" w:type="dxa"/>
          </w:tcPr>
          <w:p w14:paraId="6E671FA8" w14:textId="77777777" w:rsidR="004013C2" w:rsidRDefault="001F3090" w:rsidP="004013C2">
            <w:pPr>
              <w:bidi/>
              <w:spacing w:after="60"/>
              <w:jc w:val="left"/>
              <w:rPr>
                <w:sz w:val="16"/>
                <w:szCs w:val="16"/>
                <w:rtl/>
              </w:rPr>
            </w:pPr>
            <w:r>
              <w:rPr>
                <w:rFonts w:hint="cs"/>
                <w:sz w:val="16"/>
                <w:szCs w:val="16"/>
                <w:rtl/>
              </w:rPr>
              <w:t>172,000</w:t>
            </w:r>
          </w:p>
        </w:tc>
        <w:tc>
          <w:tcPr>
            <w:tcW w:w="2411" w:type="dxa"/>
          </w:tcPr>
          <w:p w14:paraId="0536557D" w14:textId="77777777" w:rsidR="004013C2" w:rsidRDefault="001F3090" w:rsidP="004013C2">
            <w:pPr>
              <w:bidi/>
              <w:spacing w:after="60"/>
              <w:jc w:val="left"/>
              <w:rPr>
                <w:sz w:val="16"/>
                <w:szCs w:val="16"/>
                <w:rtl/>
              </w:rPr>
            </w:pPr>
            <w:r>
              <w:rPr>
                <w:rFonts w:hint="cs"/>
                <w:sz w:val="16"/>
                <w:szCs w:val="16"/>
                <w:rtl/>
              </w:rPr>
              <w:t>172,000</w:t>
            </w:r>
          </w:p>
        </w:tc>
      </w:tr>
    </w:tbl>
    <w:p w14:paraId="3F070CC2" w14:textId="77777777" w:rsidR="00452395" w:rsidRDefault="00452395" w:rsidP="00452395">
      <w:pPr>
        <w:pStyle w:val="0Heading0"/>
        <w:bidi/>
        <w:rPr>
          <w:rFonts w:asciiTheme="majorBidi" w:hAnsiTheme="majorBidi" w:cstheme="majorBidi"/>
          <w:b/>
          <w:bCs/>
          <w:sz w:val="26"/>
          <w:szCs w:val="26"/>
          <w:rtl/>
          <w:lang w:val="fr-CA" w:bidi="ar-DZ"/>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990"/>
        <w:gridCol w:w="709"/>
        <w:gridCol w:w="994"/>
        <w:gridCol w:w="709"/>
        <w:gridCol w:w="567"/>
        <w:gridCol w:w="709"/>
        <w:gridCol w:w="567"/>
        <w:gridCol w:w="567"/>
        <w:gridCol w:w="567"/>
        <w:gridCol w:w="567"/>
        <w:gridCol w:w="567"/>
        <w:gridCol w:w="709"/>
        <w:gridCol w:w="567"/>
        <w:gridCol w:w="567"/>
        <w:gridCol w:w="993"/>
      </w:tblGrid>
      <w:tr w:rsidR="009E0330" w:rsidRPr="009E0330" w14:paraId="192E8E64" w14:textId="77777777" w:rsidTr="009E0330">
        <w:trPr>
          <w:trHeight w:val="428"/>
          <w:jc w:val="center"/>
        </w:trPr>
        <w:tc>
          <w:tcPr>
            <w:tcW w:w="2693" w:type="dxa"/>
            <w:gridSpan w:val="3"/>
          </w:tcPr>
          <w:p w14:paraId="0C81482B" w14:textId="77777777" w:rsidR="001F3090" w:rsidRPr="009E0330" w:rsidRDefault="001F3090" w:rsidP="00F74C17">
            <w:pPr>
              <w:bidi/>
              <w:spacing w:after="60"/>
              <w:jc w:val="left"/>
              <w:rPr>
                <w:sz w:val="15"/>
                <w:szCs w:val="15"/>
                <w:rtl/>
                <w:lang w:bidi="ar-EG"/>
              </w:rPr>
            </w:pPr>
            <w:r w:rsidRPr="009E0330">
              <w:rPr>
                <w:bCs/>
                <w:sz w:val="15"/>
                <w:szCs w:val="15"/>
                <w:rtl/>
                <w:lang w:bidi="ar-AE"/>
              </w:rPr>
              <w:t>(6) بيانات المشروع</w:t>
            </w:r>
            <w:r w:rsidRPr="009E0330">
              <w:rPr>
                <w:rFonts w:hint="cs"/>
                <w:bCs/>
                <w:sz w:val="15"/>
                <w:szCs w:val="15"/>
                <w:rtl/>
                <w:lang w:bidi="ar-AE"/>
              </w:rPr>
              <w:t>*</w:t>
            </w:r>
          </w:p>
        </w:tc>
        <w:tc>
          <w:tcPr>
            <w:tcW w:w="709" w:type="dxa"/>
          </w:tcPr>
          <w:p w14:paraId="56BA5D5B" w14:textId="77777777" w:rsidR="001F3090" w:rsidRPr="009E0330" w:rsidRDefault="001F3090" w:rsidP="00F74C17">
            <w:pPr>
              <w:bidi/>
              <w:spacing w:after="60"/>
              <w:jc w:val="center"/>
              <w:rPr>
                <w:bCs/>
                <w:sz w:val="15"/>
                <w:szCs w:val="15"/>
              </w:rPr>
            </w:pPr>
            <w:r w:rsidRPr="009E0330">
              <w:rPr>
                <w:rFonts w:hint="cs"/>
                <w:bCs/>
                <w:sz w:val="15"/>
                <w:szCs w:val="15"/>
                <w:rtl/>
              </w:rPr>
              <w:t>2012</w:t>
            </w:r>
          </w:p>
        </w:tc>
        <w:tc>
          <w:tcPr>
            <w:tcW w:w="567" w:type="dxa"/>
          </w:tcPr>
          <w:p w14:paraId="469C4DB1" w14:textId="77777777" w:rsidR="001F3090" w:rsidRPr="009E0330" w:rsidRDefault="001F3090" w:rsidP="004013C2">
            <w:pPr>
              <w:bidi/>
              <w:spacing w:after="60"/>
              <w:jc w:val="center"/>
              <w:rPr>
                <w:bCs/>
                <w:sz w:val="15"/>
                <w:szCs w:val="15"/>
              </w:rPr>
            </w:pPr>
            <w:r w:rsidRPr="009E0330">
              <w:rPr>
                <w:rFonts w:hint="cs"/>
                <w:bCs/>
                <w:sz w:val="15"/>
                <w:szCs w:val="15"/>
                <w:rtl/>
              </w:rPr>
              <w:t>2013</w:t>
            </w:r>
          </w:p>
        </w:tc>
        <w:tc>
          <w:tcPr>
            <w:tcW w:w="709" w:type="dxa"/>
          </w:tcPr>
          <w:p w14:paraId="755D4CC6" w14:textId="77777777" w:rsidR="001F3090" w:rsidRPr="009E0330" w:rsidRDefault="001F3090" w:rsidP="00F74C17">
            <w:pPr>
              <w:bidi/>
              <w:spacing w:after="60"/>
              <w:jc w:val="center"/>
              <w:rPr>
                <w:b/>
                <w:sz w:val="15"/>
                <w:szCs w:val="15"/>
              </w:rPr>
            </w:pPr>
            <w:r w:rsidRPr="009E0330">
              <w:rPr>
                <w:b/>
                <w:sz w:val="15"/>
                <w:szCs w:val="15"/>
              </w:rPr>
              <w:t>2014</w:t>
            </w:r>
          </w:p>
        </w:tc>
        <w:tc>
          <w:tcPr>
            <w:tcW w:w="567" w:type="dxa"/>
          </w:tcPr>
          <w:p w14:paraId="17574117" w14:textId="77777777" w:rsidR="001F3090" w:rsidRPr="009E0330" w:rsidRDefault="001F3090" w:rsidP="00F74C17">
            <w:pPr>
              <w:bidi/>
              <w:spacing w:after="60"/>
              <w:jc w:val="center"/>
              <w:rPr>
                <w:b/>
                <w:sz w:val="15"/>
                <w:szCs w:val="15"/>
              </w:rPr>
            </w:pPr>
            <w:r w:rsidRPr="009E0330">
              <w:rPr>
                <w:b/>
                <w:sz w:val="15"/>
                <w:szCs w:val="15"/>
              </w:rPr>
              <w:t>2015</w:t>
            </w:r>
          </w:p>
        </w:tc>
        <w:tc>
          <w:tcPr>
            <w:tcW w:w="567" w:type="dxa"/>
          </w:tcPr>
          <w:p w14:paraId="0968DE42" w14:textId="77777777" w:rsidR="001F3090" w:rsidRPr="009E0330" w:rsidRDefault="001F3090" w:rsidP="00F74C17">
            <w:pPr>
              <w:bidi/>
              <w:spacing w:after="60"/>
              <w:jc w:val="center"/>
              <w:rPr>
                <w:b/>
                <w:sz w:val="15"/>
                <w:szCs w:val="15"/>
              </w:rPr>
            </w:pPr>
            <w:r w:rsidRPr="009E0330">
              <w:rPr>
                <w:b/>
                <w:sz w:val="15"/>
                <w:szCs w:val="15"/>
              </w:rPr>
              <w:t>2016</w:t>
            </w:r>
          </w:p>
        </w:tc>
        <w:tc>
          <w:tcPr>
            <w:tcW w:w="567" w:type="dxa"/>
          </w:tcPr>
          <w:p w14:paraId="172347B8" w14:textId="77777777" w:rsidR="001F3090" w:rsidRPr="009E0330" w:rsidRDefault="001F3090" w:rsidP="00F74C17">
            <w:pPr>
              <w:bidi/>
              <w:spacing w:after="60"/>
              <w:jc w:val="center"/>
              <w:rPr>
                <w:b/>
                <w:sz w:val="15"/>
                <w:szCs w:val="15"/>
              </w:rPr>
            </w:pPr>
            <w:r w:rsidRPr="009E0330">
              <w:rPr>
                <w:b/>
                <w:sz w:val="15"/>
                <w:szCs w:val="15"/>
              </w:rPr>
              <w:t>2017</w:t>
            </w:r>
          </w:p>
        </w:tc>
        <w:tc>
          <w:tcPr>
            <w:tcW w:w="567" w:type="dxa"/>
          </w:tcPr>
          <w:p w14:paraId="3F832B18" w14:textId="77777777" w:rsidR="001F3090" w:rsidRPr="009E0330" w:rsidRDefault="001F3090" w:rsidP="00F74C17">
            <w:pPr>
              <w:bidi/>
              <w:spacing w:after="60"/>
              <w:jc w:val="center"/>
              <w:rPr>
                <w:b/>
                <w:sz w:val="15"/>
                <w:szCs w:val="15"/>
              </w:rPr>
            </w:pPr>
            <w:r w:rsidRPr="009E0330">
              <w:rPr>
                <w:b/>
                <w:sz w:val="15"/>
                <w:szCs w:val="15"/>
              </w:rPr>
              <w:t>2018</w:t>
            </w:r>
          </w:p>
        </w:tc>
        <w:tc>
          <w:tcPr>
            <w:tcW w:w="567" w:type="dxa"/>
          </w:tcPr>
          <w:p w14:paraId="26191BFA" w14:textId="77777777" w:rsidR="001F3090" w:rsidRPr="009E0330" w:rsidRDefault="001F3090" w:rsidP="00F74C17">
            <w:pPr>
              <w:bidi/>
              <w:spacing w:after="60"/>
              <w:jc w:val="center"/>
              <w:rPr>
                <w:b/>
                <w:sz w:val="15"/>
                <w:szCs w:val="15"/>
              </w:rPr>
            </w:pPr>
            <w:r w:rsidRPr="009E0330">
              <w:rPr>
                <w:b/>
                <w:sz w:val="15"/>
                <w:szCs w:val="15"/>
              </w:rPr>
              <w:t>2019</w:t>
            </w:r>
          </w:p>
        </w:tc>
        <w:tc>
          <w:tcPr>
            <w:tcW w:w="709" w:type="dxa"/>
          </w:tcPr>
          <w:p w14:paraId="2C52FAA5" w14:textId="77777777" w:rsidR="001F3090" w:rsidRPr="009E0330" w:rsidRDefault="001F3090" w:rsidP="00F74C17">
            <w:pPr>
              <w:bidi/>
              <w:spacing w:after="60"/>
              <w:jc w:val="center"/>
              <w:rPr>
                <w:b/>
                <w:sz w:val="15"/>
                <w:szCs w:val="15"/>
              </w:rPr>
            </w:pPr>
            <w:r w:rsidRPr="009E0330">
              <w:rPr>
                <w:b/>
                <w:sz w:val="15"/>
                <w:szCs w:val="15"/>
              </w:rPr>
              <w:t>2020</w:t>
            </w:r>
          </w:p>
        </w:tc>
        <w:tc>
          <w:tcPr>
            <w:tcW w:w="567" w:type="dxa"/>
          </w:tcPr>
          <w:p w14:paraId="066667F5" w14:textId="77777777" w:rsidR="001F3090" w:rsidRPr="009E0330" w:rsidRDefault="001F3090" w:rsidP="001F3090">
            <w:pPr>
              <w:bidi/>
              <w:spacing w:after="60"/>
              <w:jc w:val="center"/>
              <w:rPr>
                <w:bCs/>
                <w:sz w:val="15"/>
                <w:szCs w:val="15"/>
                <w:rtl/>
                <w:lang w:bidi="ar-AE"/>
              </w:rPr>
            </w:pPr>
            <w:r w:rsidRPr="009E0330">
              <w:rPr>
                <w:rFonts w:hint="cs"/>
                <w:bCs/>
                <w:sz w:val="15"/>
                <w:szCs w:val="15"/>
                <w:rtl/>
                <w:lang w:bidi="ar-AE"/>
              </w:rPr>
              <w:t>2021</w:t>
            </w:r>
          </w:p>
        </w:tc>
        <w:tc>
          <w:tcPr>
            <w:tcW w:w="567" w:type="dxa"/>
          </w:tcPr>
          <w:p w14:paraId="21AED794" w14:textId="77777777" w:rsidR="001F3090" w:rsidRPr="009E0330" w:rsidRDefault="001F3090" w:rsidP="001F3090">
            <w:pPr>
              <w:bidi/>
              <w:spacing w:after="60"/>
              <w:jc w:val="center"/>
              <w:rPr>
                <w:bCs/>
                <w:sz w:val="15"/>
                <w:szCs w:val="15"/>
                <w:rtl/>
                <w:lang w:bidi="ar-AE"/>
              </w:rPr>
            </w:pPr>
            <w:r w:rsidRPr="009E0330">
              <w:rPr>
                <w:rFonts w:hint="cs"/>
                <w:bCs/>
                <w:sz w:val="15"/>
                <w:szCs w:val="15"/>
                <w:rtl/>
                <w:lang w:bidi="ar-AE"/>
              </w:rPr>
              <w:t>2022</w:t>
            </w:r>
          </w:p>
        </w:tc>
        <w:tc>
          <w:tcPr>
            <w:tcW w:w="993" w:type="dxa"/>
          </w:tcPr>
          <w:p w14:paraId="4B911DBC" w14:textId="77777777" w:rsidR="001F3090" w:rsidRPr="009E0330" w:rsidRDefault="001F3090" w:rsidP="00F74C17">
            <w:pPr>
              <w:bidi/>
              <w:spacing w:after="60"/>
              <w:jc w:val="left"/>
              <w:rPr>
                <w:sz w:val="15"/>
                <w:szCs w:val="15"/>
                <w:rtl/>
                <w:lang w:bidi="ar-EG"/>
              </w:rPr>
            </w:pPr>
            <w:r w:rsidRPr="009E0330">
              <w:rPr>
                <w:bCs/>
                <w:sz w:val="15"/>
                <w:szCs w:val="15"/>
                <w:rtl/>
                <w:lang w:bidi="ar-AE"/>
              </w:rPr>
              <w:t>المجموع</w:t>
            </w:r>
          </w:p>
        </w:tc>
      </w:tr>
      <w:tr w:rsidR="009E0330" w:rsidRPr="009E0330" w14:paraId="3E9D6226" w14:textId="77777777" w:rsidTr="009E0330">
        <w:trPr>
          <w:trHeight w:val="428"/>
          <w:jc w:val="center"/>
        </w:trPr>
        <w:tc>
          <w:tcPr>
            <w:tcW w:w="2693" w:type="dxa"/>
            <w:gridSpan w:val="3"/>
          </w:tcPr>
          <w:p w14:paraId="2A1944AE" w14:textId="77777777" w:rsidR="001F3090" w:rsidRPr="009E0330" w:rsidRDefault="001F3090" w:rsidP="009E0330">
            <w:pPr>
              <w:bidi/>
              <w:spacing w:after="60"/>
              <w:jc w:val="left"/>
              <w:rPr>
                <w:sz w:val="15"/>
                <w:szCs w:val="15"/>
                <w:rtl/>
                <w:lang w:bidi="ar-EG"/>
              </w:rPr>
            </w:pPr>
            <w:r w:rsidRPr="009E0330">
              <w:rPr>
                <w:sz w:val="15"/>
                <w:szCs w:val="15"/>
                <w:rtl/>
                <w:lang w:bidi="ar-AE"/>
              </w:rPr>
              <w:t xml:space="preserve">حدود الاستهلاك </w:t>
            </w:r>
            <w:r w:rsidRPr="009E0330">
              <w:rPr>
                <w:rFonts w:hint="cs"/>
                <w:sz w:val="15"/>
                <w:szCs w:val="15"/>
                <w:rtl/>
                <w:lang w:bidi="ar-AE"/>
              </w:rPr>
              <w:t xml:space="preserve">بموجب </w:t>
            </w:r>
            <w:r w:rsidRPr="009E0330">
              <w:rPr>
                <w:sz w:val="15"/>
                <w:szCs w:val="15"/>
                <w:rtl/>
                <w:lang w:bidi="ar-AE"/>
              </w:rPr>
              <w:t>بروتوكول مونتريال</w:t>
            </w:r>
          </w:p>
        </w:tc>
        <w:tc>
          <w:tcPr>
            <w:tcW w:w="709" w:type="dxa"/>
          </w:tcPr>
          <w:p w14:paraId="266CA373" w14:textId="77777777" w:rsidR="001F3090" w:rsidRPr="009E0330" w:rsidRDefault="001F3090" w:rsidP="00F74C17">
            <w:pPr>
              <w:bidi/>
              <w:spacing w:after="60"/>
              <w:jc w:val="left"/>
              <w:rPr>
                <w:sz w:val="15"/>
                <w:szCs w:val="15"/>
                <w:rtl/>
                <w:lang w:bidi="ar-SA"/>
              </w:rPr>
            </w:pPr>
            <w:r w:rsidRPr="009E0330">
              <w:rPr>
                <w:rFonts w:hint="cs"/>
                <w:sz w:val="15"/>
                <w:szCs w:val="15"/>
                <w:rtl/>
                <w:lang w:bidi="ar-SA"/>
              </w:rPr>
              <w:t>لا ينطبق</w:t>
            </w:r>
          </w:p>
        </w:tc>
        <w:tc>
          <w:tcPr>
            <w:tcW w:w="567" w:type="dxa"/>
          </w:tcPr>
          <w:p w14:paraId="30C73D42" w14:textId="77777777" w:rsidR="001F3090" w:rsidRPr="009E0330" w:rsidRDefault="001F3090" w:rsidP="00F74C17">
            <w:pPr>
              <w:bidi/>
              <w:spacing w:after="60"/>
              <w:jc w:val="left"/>
              <w:rPr>
                <w:sz w:val="15"/>
                <w:szCs w:val="15"/>
                <w:rtl/>
                <w:lang w:bidi="ar-EG"/>
              </w:rPr>
            </w:pPr>
            <w:r w:rsidRPr="009E0330">
              <w:rPr>
                <w:rFonts w:hint="cs"/>
                <w:sz w:val="15"/>
                <w:szCs w:val="15"/>
                <w:rtl/>
                <w:lang w:bidi="ar-EG"/>
              </w:rPr>
              <w:t>22.61</w:t>
            </w:r>
          </w:p>
        </w:tc>
        <w:tc>
          <w:tcPr>
            <w:tcW w:w="709" w:type="dxa"/>
          </w:tcPr>
          <w:p w14:paraId="6685D594" w14:textId="77777777" w:rsidR="001F3090" w:rsidRPr="009E0330" w:rsidRDefault="001F3090" w:rsidP="00F74C17">
            <w:pPr>
              <w:bidi/>
              <w:spacing w:after="60"/>
              <w:jc w:val="left"/>
              <w:rPr>
                <w:sz w:val="15"/>
                <w:szCs w:val="15"/>
              </w:rPr>
            </w:pPr>
            <w:r w:rsidRPr="009E0330">
              <w:rPr>
                <w:rFonts w:hint="cs"/>
                <w:sz w:val="15"/>
                <w:szCs w:val="15"/>
                <w:rtl/>
              </w:rPr>
              <w:t>22.61</w:t>
            </w:r>
          </w:p>
        </w:tc>
        <w:tc>
          <w:tcPr>
            <w:tcW w:w="567" w:type="dxa"/>
          </w:tcPr>
          <w:p w14:paraId="375F8F58" w14:textId="77777777" w:rsidR="001F3090" w:rsidRPr="009E0330" w:rsidRDefault="001F3090" w:rsidP="00F74C17">
            <w:pPr>
              <w:bidi/>
              <w:spacing w:after="60"/>
              <w:jc w:val="left"/>
              <w:rPr>
                <w:sz w:val="15"/>
                <w:szCs w:val="15"/>
              </w:rPr>
            </w:pPr>
            <w:r w:rsidRPr="009E0330">
              <w:rPr>
                <w:rFonts w:hint="cs"/>
                <w:sz w:val="15"/>
                <w:szCs w:val="15"/>
                <w:rtl/>
              </w:rPr>
              <w:t>20.35</w:t>
            </w:r>
          </w:p>
        </w:tc>
        <w:tc>
          <w:tcPr>
            <w:tcW w:w="567" w:type="dxa"/>
          </w:tcPr>
          <w:p w14:paraId="680AF11E" w14:textId="77777777" w:rsidR="001F3090" w:rsidRPr="009E0330" w:rsidRDefault="001F3090" w:rsidP="00F74C17">
            <w:pPr>
              <w:bidi/>
              <w:spacing w:after="60"/>
              <w:jc w:val="left"/>
              <w:rPr>
                <w:sz w:val="15"/>
                <w:szCs w:val="15"/>
              </w:rPr>
            </w:pPr>
            <w:r w:rsidRPr="009E0330">
              <w:rPr>
                <w:rFonts w:hint="cs"/>
                <w:sz w:val="15"/>
                <w:szCs w:val="15"/>
                <w:rtl/>
              </w:rPr>
              <w:t>20.35</w:t>
            </w:r>
          </w:p>
        </w:tc>
        <w:tc>
          <w:tcPr>
            <w:tcW w:w="567" w:type="dxa"/>
          </w:tcPr>
          <w:p w14:paraId="06D0F70D" w14:textId="77777777" w:rsidR="001F3090" w:rsidRPr="009E0330" w:rsidRDefault="001F3090" w:rsidP="00F74C17">
            <w:pPr>
              <w:bidi/>
              <w:spacing w:after="60"/>
              <w:jc w:val="left"/>
              <w:rPr>
                <w:sz w:val="15"/>
                <w:szCs w:val="15"/>
              </w:rPr>
            </w:pPr>
            <w:r w:rsidRPr="009E0330">
              <w:rPr>
                <w:rFonts w:hint="cs"/>
                <w:sz w:val="15"/>
                <w:szCs w:val="15"/>
                <w:rtl/>
              </w:rPr>
              <w:t>20.35</w:t>
            </w:r>
          </w:p>
        </w:tc>
        <w:tc>
          <w:tcPr>
            <w:tcW w:w="567" w:type="dxa"/>
          </w:tcPr>
          <w:p w14:paraId="19A25776" w14:textId="77777777" w:rsidR="001F3090" w:rsidRPr="009E0330" w:rsidRDefault="001F3090" w:rsidP="00F74C17">
            <w:pPr>
              <w:bidi/>
              <w:spacing w:after="60"/>
              <w:jc w:val="left"/>
              <w:rPr>
                <w:sz w:val="15"/>
                <w:szCs w:val="15"/>
              </w:rPr>
            </w:pPr>
            <w:r w:rsidRPr="009E0330">
              <w:rPr>
                <w:rFonts w:hint="cs"/>
                <w:sz w:val="15"/>
                <w:szCs w:val="15"/>
                <w:rtl/>
              </w:rPr>
              <w:t>20.35</w:t>
            </w:r>
          </w:p>
        </w:tc>
        <w:tc>
          <w:tcPr>
            <w:tcW w:w="567" w:type="dxa"/>
          </w:tcPr>
          <w:p w14:paraId="04020404" w14:textId="77777777" w:rsidR="001F3090" w:rsidRPr="009E0330" w:rsidRDefault="001F3090" w:rsidP="00F74C17">
            <w:pPr>
              <w:bidi/>
              <w:spacing w:after="60"/>
              <w:jc w:val="left"/>
              <w:rPr>
                <w:sz w:val="15"/>
                <w:szCs w:val="15"/>
              </w:rPr>
            </w:pPr>
            <w:r w:rsidRPr="009E0330">
              <w:rPr>
                <w:rFonts w:hint="cs"/>
                <w:sz w:val="15"/>
                <w:szCs w:val="15"/>
                <w:rtl/>
              </w:rPr>
              <w:t>20.35</w:t>
            </w:r>
          </w:p>
        </w:tc>
        <w:tc>
          <w:tcPr>
            <w:tcW w:w="709" w:type="dxa"/>
          </w:tcPr>
          <w:p w14:paraId="5C60BF21" w14:textId="77777777" w:rsidR="001F3090" w:rsidRPr="009E0330" w:rsidRDefault="001F3090" w:rsidP="00F74C17">
            <w:pPr>
              <w:bidi/>
              <w:spacing w:after="60"/>
              <w:jc w:val="left"/>
              <w:rPr>
                <w:sz w:val="15"/>
                <w:szCs w:val="15"/>
              </w:rPr>
            </w:pPr>
            <w:r w:rsidRPr="009E0330">
              <w:rPr>
                <w:rFonts w:hint="cs"/>
                <w:sz w:val="15"/>
                <w:szCs w:val="15"/>
                <w:rtl/>
              </w:rPr>
              <w:t>14.70</w:t>
            </w:r>
          </w:p>
        </w:tc>
        <w:tc>
          <w:tcPr>
            <w:tcW w:w="567" w:type="dxa"/>
          </w:tcPr>
          <w:p w14:paraId="06913F3E" w14:textId="77777777" w:rsidR="001F3090" w:rsidRPr="009E0330" w:rsidRDefault="001F3090" w:rsidP="004013C2">
            <w:pPr>
              <w:bidi/>
              <w:spacing w:after="60"/>
              <w:jc w:val="left"/>
              <w:rPr>
                <w:sz w:val="15"/>
                <w:szCs w:val="15"/>
                <w:rtl/>
              </w:rPr>
            </w:pPr>
            <w:r w:rsidRPr="009E0330">
              <w:rPr>
                <w:rFonts w:hint="cs"/>
                <w:sz w:val="15"/>
                <w:szCs w:val="15"/>
                <w:rtl/>
              </w:rPr>
              <w:t>14.70</w:t>
            </w:r>
          </w:p>
        </w:tc>
        <w:tc>
          <w:tcPr>
            <w:tcW w:w="567" w:type="dxa"/>
          </w:tcPr>
          <w:p w14:paraId="0D33D05E" w14:textId="77777777" w:rsidR="001F3090" w:rsidRPr="009E0330" w:rsidRDefault="001F3090" w:rsidP="004013C2">
            <w:pPr>
              <w:bidi/>
              <w:spacing w:after="60"/>
              <w:jc w:val="left"/>
              <w:rPr>
                <w:sz w:val="15"/>
                <w:szCs w:val="15"/>
                <w:rtl/>
              </w:rPr>
            </w:pPr>
            <w:r w:rsidRPr="009E0330">
              <w:rPr>
                <w:rFonts w:hint="cs"/>
                <w:sz w:val="15"/>
                <w:szCs w:val="15"/>
                <w:rtl/>
              </w:rPr>
              <w:t>14.70</w:t>
            </w:r>
          </w:p>
        </w:tc>
        <w:tc>
          <w:tcPr>
            <w:tcW w:w="993" w:type="dxa"/>
          </w:tcPr>
          <w:p w14:paraId="17CD6B63" w14:textId="77777777" w:rsidR="001F3090" w:rsidRPr="009E0330" w:rsidRDefault="001F3090" w:rsidP="004013C2">
            <w:pPr>
              <w:bidi/>
              <w:spacing w:after="60"/>
              <w:jc w:val="left"/>
              <w:rPr>
                <w:sz w:val="15"/>
                <w:szCs w:val="15"/>
              </w:rPr>
            </w:pPr>
            <w:r w:rsidRPr="009E0330">
              <w:rPr>
                <w:rFonts w:hint="cs"/>
                <w:sz w:val="15"/>
                <w:szCs w:val="15"/>
                <w:rtl/>
              </w:rPr>
              <w:t>لا ينطبق</w:t>
            </w:r>
          </w:p>
        </w:tc>
      </w:tr>
      <w:tr w:rsidR="009E0330" w:rsidRPr="009E0330" w14:paraId="673154EB" w14:textId="77777777" w:rsidTr="009E0330">
        <w:trPr>
          <w:trHeight w:val="428"/>
          <w:jc w:val="center"/>
        </w:trPr>
        <w:tc>
          <w:tcPr>
            <w:tcW w:w="2693" w:type="dxa"/>
            <w:gridSpan w:val="3"/>
          </w:tcPr>
          <w:p w14:paraId="36CB1396" w14:textId="77777777" w:rsidR="001F3090" w:rsidRPr="009E0330" w:rsidRDefault="001F3090" w:rsidP="009E0330">
            <w:pPr>
              <w:bidi/>
              <w:spacing w:after="60"/>
              <w:jc w:val="left"/>
              <w:rPr>
                <w:sz w:val="15"/>
                <w:szCs w:val="15"/>
                <w:rtl/>
                <w:lang w:bidi="ar-EG"/>
              </w:rPr>
            </w:pPr>
            <w:r w:rsidRPr="009E0330">
              <w:rPr>
                <w:sz w:val="15"/>
                <w:szCs w:val="15"/>
                <w:rtl/>
                <w:lang w:bidi="ar-AE"/>
              </w:rPr>
              <w:t>الحد الأقصى للاستهلاك المسموح به (طن من قدرات استنفاد الأوزون)</w:t>
            </w:r>
          </w:p>
        </w:tc>
        <w:tc>
          <w:tcPr>
            <w:tcW w:w="709" w:type="dxa"/>
          </w:tcPr>
          <w:p w14:paraId="27BB3BC8" w14:textId="77777777" w:rsidR="001F3090" w:rsidRPr="009E0330" w:rsidRDefault="001F3090" w:rsidP="00F74C17">
            <w:pPr>
              <w:bidi/>
              <w:spacing w:after="60"/>
              <w:jc w:val="left"/>
              <w:rPr>
                <w:sz w:val="15"/>
                <w:szCs w:val="15"/>
                <w:rtl/>
                <w:lang w:bidi="ar-EG"/>
              </w:rPr>
            </w:pPr>
            <w:r w:rsidRPr="009E0330">
              <w:rPr>
                <w:rFonts w:hint="cs"/>
                <w:sz w:val="15"/>
                <w:szCs w:val="15"/>
                <w:rtl/>
                <w:lang w:bidi="ar-EG"/>
              </w:rPr>
              <w:t>لا ينطبق</w:t>
            </w:r>
          </w:p>
        </w:tc>
        <w:tc>
          <w:tcPr>
            <w:tcW w:w="567" w:type="dxa"/>
          </w:tcPr>
          <w:p w14:paraId="54F13CC6" w14:textId="77777777" w:rsidR="001F3090" w:rsidRPr="009E0330" w:rsidRDefault="001F3090" w:rsidP="00F74C17">
            <w:pPr>
              <w:bidi/>
              <w:spacing w:after="60"/>
              <w:jc w:val="left"/>
              <w:rPr>
                <w:sz w:val="15"/>
                <w:szCs w:val="15"/>
                <w:rtl/>
                <w:lang w:bidi="ar-EG"/>
              </w:rPr>
            </w:pPr>
            <w:r w:rsidRPr="009E0330">
              <w:rPr>
                <w:rFonts w:hint="cs"/>
                <w:sz w:val="15"/>
                <w:szCs w:val="15"/>
                <w:rtl/>
                <w:lang w:bidi="ar-EG"/>
              </w:rPr>
              <w:t>7.51</w:t>
            </w:r>
          </w:p>
        </w:tc>
        <w:tc>
          <w:tcPr>
            <w:tcW w:w="709" w:type="dxa"/>
          </w:tcPr>
          <w:p w14:paraId="45B55EF5" w14:textId="77777777" w:rsidR="001F3090" w:rsidRPr="009E0330" w:rsidRDefault="001F3090" w:rsidP="00F74C17">
            <w:pPr>
              <w:bidi/>
              <w:spacing w:after="60"/>
              <w:jc w:val="left"/>
              <w:rPr>
                <w:sz w:val="15"/>
                <w:szCs w:val="15"/>
              </w:rPr>
            </w:pPr>
            <w:r w:rsidRPr="009E0330">
              <w:rPr>
                <w:rFonts w:hint="cs"/>
                <w:sz w:val="15"/>
                <w:szCs w:val="15"/>
                <w:rtl/>
              </w:rPr>
              <w:t>7.51</w:t>
            </w:r>
          </w:p>
        </w:tc>
        <w:tc>
          <w:tcPr>
            <w:tcW w:w="567" w:type="dxa"/>
          </w:tcPr>
          <w:p w14:paraId="5A08AD7A" w14:textId="77777777" w:rsidR="001F3090" w:rsidRPr="009E0330" w:rsidRDefault="001F3090" w:rsidP="00F74C17">
            <w:pPr>
              <w:bidi/>
              <w:spacing w:after="60"/>
              <w:jc w:val="left"/>
              <w:rPr>
                <w:sz w:val="15"/>
                <w:szCs w:val="15"/>
              </w:rPr>
            </w:pPr>
            <w:r w:rsidRPr="009E0330">
              <w:rPr>
                <w:rFonts w:hint="cs"/>
                <w:sz w:val="15"/>
                <w:szCs w:val="15"/>
                <w:rtl/>
              </w:rPr>
              <w:t>6.75</w:t>
            </w:r>
          </w:p>
        </w:tc>
        <w:tc>
          <w:tcPr>
            <w:tcW w:w="567" w:type="dxa"/>
          </w:tcPr>
          <w:p w14:paraId="19F3FE4F" w14:textId="77777777" w:rsidR="001F3090" w:rsidRPr="009E0330" w:rsidRDefault="001F3090" w:rsidP="00F74C17">
            <w:pPr>
              <w:bidi/>
              <w:spacing w:after="60"/>
              <w:jc w:val="left"/>
              <w:rPr>
                <w:sz w:val="15"/>
                <w:szCs w:val="15"/>
              </w:rPr>
            </w:pPr>
            <w:r w:rsidRPr="009E0330">
              <w:rPr>
                <w:rFonts w:hint="cs"/>
                <w:sz w:val="15"/>
                <w:szCs w:val="15"/>
                <w:rtl/>
              </w:rPr>
              <w:t>6.75</w:t>
            </w:r>
          </w:p>
        </w:tc>
        <w:tc>
          <w:tcPr>
            <w:tcW w:w="567" w:type="dxa"/>
          </w:tcPr>
          <w:p w14:paraId="406FE023" w14:textId="77777777" w:rsidR="001F3090" w:rsidRPr="009E0330" w:rsidRDefault="001F3090" w:rsidP="00F74C17">
            <w:pPr>
              <w:bidi/>
              <w:spacing w:after="60"/>
              <w:jc w:val="left"/>
              <w:rPr>
                <w:sz w:val="15"/>
                <w:szCs w:val="15"/>
              </w:rPr>
            </w:pPr>
            <w:r w:rsidRPr="009E0330">
              <w:rPr>
                <w:rFonts w:hint="cs"/>
                <w:sz w:val="15"/>
                <w:szCs w:val="15"/>
                <w:rtl/>
              </w:rPr>
              <w:t>6.75</w:t>
            </w:r>
          </w:p>
        </w:tc>
        <w:tc>
          <w:tcPr>
            <w:tcW w:w="567" w:type="dxa"/>
          </w:tcPr>
          <w:p w14:paraId="1EF6647A" w14:textId="77777777" w:rsidR="001F3090" w:rsidRPr="009E0330" w:rsidRDefault="001F3090" w:rsidP="00F74C17">
            <w:pPr>
              <w:bidi/>
              <w:spacing w:after="60"/>
              <w:jc w:val="left"/>
              <w:rPr>
                <w:sz w:val="15"/>
                <w:szCs w:val="15"/>
              </w:rPr>
            </w:pPr>
            <w:r w:rsidRPr="009E0330">
              <w:rPr>
                <w:rFonts w:hint="cs"/>
                <w:sz w:val="15"/>
                <w:szCs w:val="15"/>
                <w:rtl/>
              </w:rPr>
              <w:t>6.75</w:t>
            </w:r>
          </w:p>
        </w:tc>
        <w:tc>
          <w:tcPr>
            <w:tcW w:w="567" w:type="dxa"/>
          </w:tcPr>
          <w:p w14:paraId="6D7953EA" w14:textId="77777777" w:rsidR="001F3090" w:rsidRPr="009E0330" w:rsidRDefault="001F3090" w:rsidP="00F74C17">
            <w:pPr>
              <w:bidi/>
              <w:spacing w:after="60"/>
              <w:jc w:val="left"/>
              <w:rPr>
                <w:sz w:val="15"/>
                <w:szCs w:val="15"/>
              </w:rPr>
            </w:pPr>
            <w:r w:rsidRPr="009E0330">
              <w:rPr>
                <w:rFonts w:hint="cs"/>
                <w:sz w:val="15"/>
                <w:szCs w:val="15"/>
                <w:rtl/>
              </w:rPr>
              <w:t>6.75</w:t>
            </w:r>
          </w:p>
        </w:tc>
        <w:tc>
          <w:tcPr>
            <w:tcW w:w="709" w:type="dxa"/>
          </w:tcPr>
          <w:p w14:paraId="62952FAB" w14:textId="77777777" w:rsidR="001F3090" w:rsidRPr="009E0330" w:rsidRDefault="001F3090" w:rsidP="00F74C17">
            <w:pPr>
              <w:bidi/>
              <w:spacing w:after="60"/>
              <w:jc w:val="left"/>
              <w:rPr>
                <w:sz w:val="15"/>
                <w:szCs w:val="15"/>
              </w:rPr>
            </w:pPr>
            <w:r w:rsidRPr="009E0330">
              <w:rPr>
                <w:rFonts w:hint="cs"/>
                <w:sz w:val="15"/>
                <w:szCs w:val="15"/>
                <w:rtl/>
              </w:rPr>
              <w:t>4.87</w:t>
            </w:r>
          </w:p>
        </w:tc>
        <w:tc>
          <w:tcPr>
            <w:tcW w:w="567" w:type="dxa"/>
          </w:tcPr>
          <w:p w14:paraId="1052901C" w14:textId="77777777" w:rsidR="001F3090" w:rsidRPr="009E0330" w:rsidRDefault="001F3090" w:rsidP="00F74C17">
            <w:pPr>
              <w:bidi/>
              <w:spacing w:after="60"/>
              <w:jc w:val="left"/>
              <w:rPr>
                <w:sz w:val="15"/>
                <w:szCs w:val="15"/>
                <w:rtl/>
              </w:rPr>
            </w:pPr>
            <w:r w:rsidRPr="009E0330">
              <w:rPr>
                <w:rFonts w:hint="cs"/>
                <w:sz w:val="15"/>
                <w:szCs w:val="15"/>
                <w:rtl/>
              </w:rPr>
              <w:t>4.87</w:t>
            </w:r>
          </w:p>
        </w:tc>
        <w:tc>
          <w:tcPr>
            <w:tcW w:w="567" w:type="dxa"/>
          </w:tcPr>
          <w:p w14:paraId="4A6F459B" w14:textId="77777777" w:rsidR="001F3090" w:rsidRPr="009E0330" w:rsidRDefault="001F3090" w:rsidP="00F74C17">
            <w:pPr>
              <w:bidi/>
              <w:spacing w:after="60"/>
              <w:jc w:val="left"/>
              <w:rPr>
                <w:sz w:val="15"/>
                <w:szCs w:val="15"/>
                <w:rtl/>
              </w:rPr>
            </w:pPr>
            <w:r w:rsidRPr="009E0330">
              <w:rPr>
                <w:rFonts w:hint="cs"/>
                <w:sz w:val="15"/>
                <w:szCs w:val="15"/>
                <w:rtl/>
              </w:rPr>
              <w:t>4.87</w:t>
            </w:r>
          </w:p>
        </w:tc>
        <w:tc>
          <w:tcPr>
            <w:tcW w:w="993" w:type="dxa"/>
          </w:tcPr>
          <w:p w14:paraId="29CE376F" w14:textId="77777777" w:rsidR="001F3090" w:rsidRPr="009E0330" w:rsidRDefault="001F3090" w:rsidP="00F74C17">
            <w:pPr>
              <w:bidi/>
              <w:spacing w:after="60"/>
              <w:jc w:val="left"/>
              <w:rPr>
                <w:sz w:val="15"/>
                <w:szCs w:val="15"/>
              </w:rPr>
            </w:pPr>
            <w:r w:rsidRPr="009E0330">
              <w:rPr>
                <w:rFonts w:hint="cs"/>
                <w:sz w:val="15"/>
                <w:szCs w:val="15"/>
                <w:rtl/>
              </w:rPr>
              <w:t>لا ينطبق</w:t>
            </w:r>
          </w:p>
        </w:tc>
      </w:tr>
      <w:tr w:rsidR="009E0330" w:rsidRPr="009E0330" w14:paraId="5FAE8FE8" w14:textId="77777777" w:rsidTr="009E0330">
        <w:trPr>
          <w:trHeight w:val="428"/>
          <w:jc w:val="center"/>
        </w:trPr>
        <w:tc>
          <w:tcPr>
            <w:tcW w:w="990" w:type="dxa"/>
            <w:vMerge w:val="restart"/>
          </w:tcPr>
          <w:p w14:paraId="6A93B308" w14:textId="77777777" w:rsidR="009E0330" w:rsidRDefault="001F3090" w:rsidP="009E0330">
            <w:pPr>
              <w:bidi/>
              <w:spacing w:after="60"/>
              <w:jc w:val="left"/>
              <w:rPr>
                <w:rFonts w:eastAsia="Batang"/>
                <w:snapToGrid w:val="0"/>
                <w:sz w:val="15"/>
                <w:szCs w:val="15"/>
                <w:lang w:eastAsia="ko-KR" w:bidi="ar-AE"/>
              </w:rPr>
            </w:pPr>
            <w:r w:rsidRPr="009E0330">
              <w:rPr>
                <w:rFonts w:eastAsia="Batang" w:hint="cs"/>
                <w:snapToGrid w:val="0"/>
                <w:sz w:val="15"/>
                <w:szCs w:val="15"/>
                <w:rtl/>
                <w:lang w:eastAsia="ko-KR" w:bidi="ar-AE"/>
              </w:rPr>
              <w:t>التمويل المتفق عليه</w:t>
            </w:r>
            <w:r w:rsidRPr="009E0330">
              <w:rPr>
                <w:rFonts w:eastAsia="Batang"/>
                <w:snapToGrid w:val="0"/>
                <w:sz w:val="15"/>
                <w:szCs w:val="15"/>
                <w:rtl/>
                <w:lang w:eastAsia="ko-KR" w:bidi="ar-AE"/>
              </w:rPr>
              <w:t xml:space="preserve"> </w:t>
            </w:r>
          </w:p>
          <w:p w14:paraId="3F4816D1" w14:textId="77777777" w:rsidR="001F3090" w:rsidRPr="009E0330" w:rsidRDefault="001F3090" w:rsidP="009E0330">
            <w:pPr>
              <w:bidi/>
              <w:spacing w:after="60"/>
              <w:jc w:val="left"/>
              <w:rPr>
                <w:sz w:val="15"/>
                <w:szCs w:val="15"/>
                <w:rtl/>
                <w:lang w:bidi="ar-AE"/>
              </w:rPr>
            </w:pPr>
            <w:r w:rsidRPr="009E0330">
              <w:rPr>
                <w:rFonts w:eastAsia="Batang"/>
                <w:snapToGrid w:val="0"/>
                <w:sz w:val="15"/>
                <w:szCs w:val="15"/>
                <w:rtl/>
                <w:lang w:eastAsia="ko-KR" w:bidi="ar-AE"/>
              </w:rPr>
              <w:t>(دولار أمريكي)</w:t>
            </w:r>
          </w:p>
        </w:tc>
        <w:tc>
          <w:tcPr>
            <w:tcW w:w="709" w:type="dxa"/>
            <w:vMerge w:val="restart"/>
          </w:tcPr>
          <w:p w14:paraId="4BA032C1" w14:textId="77777777" w:rsidR="001F3090" w:rsidRPr="009E0330" w:rsidRDefault="001F3090" w:rsidP="009E0330">
            <w:pPr>
              <w:bidi/>
              <w:spacing w:after="60"/>
              <w:jc w:val="left"/>
              <w:rPr>
                <w:sz w:val="15"/>
                <w:szCs w:val="15"/>
                <w:rtl/>
                <w:lang w:bidi="ar-AE"/>
              </w:rPr>
            </w:pPr>
            <w:r w:rsidRPr="009E0330">
              <w:rPr>
                <w:rFonts w:hint="cs"/>
                <w:sz w:val="15"/>
                <w:szCs w:val="15"/>
                <w:rtl/>
                <w:lang w:bidi="ar-AE"/>
              </w:rPr>
              <w:t>برنامج الأمم المتحدة الإنمائي</w:t>
            </w:r>
          </w:p>
        </w:tc>
        <w:tc>
          <w:tcPr>
            <w:tcW w:w="994" w:type="dxa"/>
            <w:vMerge w:val="restart"/>
          </w:tcPr>
          <w:p w14:paraId="5BC8065B"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المشروع</w:t>
            </w:r>
          </w:p>
        </w:tc>
        <w:tc>
          <w:tcPr>
            <w:tcW w:w="709" w:type="dxa"/>
          </w:tcPr>
          <w:p w14:paraId="23A8AEA5" w14:textId="77777777" w:rsidR="001F3090" w:rsidRPr="009E0330" w:rsidRDefault="001F3090" w:rsidP="001F3090">
            <w:pPr>
              <w:bidi/>
              <w:spacing w:after="60"/>
              <w:jc w:val="left"/>
              <w:rPr>
                <w:sz w:val="15"/>
                <w:szCs w:val="15"/>
                <w:rtl/>
              </w:rPr>
            </w:pPr>
            <w:r w:rsidRPr="009E0330">
              <w:rPr>
                <w:rFonts w:hint="cs"/>
                <w:sz w:val="15"/>
                <w:szCs w:val="15"/>
                <w:rtl/>
              </w:rPr>
              <w:t>85,000</w:t>
            </w:r>
          </w:p>
        </w:tc>
        <w:tc>
          <w:tcPr>
            <w:tcW w:w="567" w:type="dxa"/>
          </w:tcPr>
          <w:p w14:paraId="1940C4C3"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64C937FE" w14:textId="77777777" w:rsidR="001F3090" w:rsidRPr="009E0330" w:rsidRDefault="001F3090" w:rsidP="001F3090">
            <w:pPr>
              <w:bidi/>
              <w:spacing w:after="60"/>
              <w:jc w:val="left"/>
              <w:rPr>
                <w:sz w:val="15"/>
                <w:szCs w:val="15"/>
              </w:rPr>
            </w:pPr>
            <w:r w:rsidRPr="009E0330">
              <w:rPr>
                <w:rFonts w:hint="cs"/>
                <w:sz w:val="15"/>
                <w:szCs w:val="15"/>
                <w:rtl/>
              </w:rPr>
              <w:t>60,000</w:t>
            </w:r>
          </w:p>
        </w:tc>
        <w:tc>
          <w:tcPr>
            <w:tcW w:w="567" w:type="dxa"/>
          </w:tcPr>
          <w:p w14:paraId="1675EC3C"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4F46EEC"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0502541"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DB2206E"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592F281"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316E10D6" w14:textId="77777777" w:rsidR="001F3090" w:rsidRPr="009E0330" w:rsidRDefault="001F3090" w:rsidP="001F3090">
            <w:pPr>
              <w:bidi/>
              <w:spacing w:after="60"/>
              <w:jc w:val="left"/>
              <w:rPr>
                <w:sz w:val="15"/>
                <w:szCs w:val="15"/>
                <w:lang w:val="fr-CA"/>
              </w:rPr>
            </w:pPr>
            <w:r w:rsidRPr="009E0330">
              <w:rPr>
                <w:rFonts w:hint="cs"/>
                <w:sz w:val="15"/>
                <w:szCs w:val="15"/>
                <w:rtl/>
                <w:lang w:val="fr-CA"/>
              </w:rPr>
              <w:t>100,000</w:t>
            </w:r>
          </w:p>
        </w:tc>
        <w:tc>
          <w:tcPr>
            <w:tcW w:w="567" w:type="dxa"/>
          </w:tcPr>
          <w:p w14:paraId="6688B0A4" w14:textId="77777777" w:rsidR="001F3090" w:rsidRPr="009E0330" w:rsidRDefault="001F3090" w:rsidP="001F3090">
            <w:pPr>
              <w:bidi/>
              <w:spacing w:after="60"/>
              <w:jc w:val="left"/>
              <w:rPr>
                <w:sz w:val="15"/>
                <w:szCs w:val="15"/>
                <w:rtl/>
              </w:rPr>
            </w:pPr>
          </w:p>
        </w:tc>
        <w:tc>
          <w:tcPr>
            <w:tcW w:w="567" w:type="dxa"/>
          </w:tcPr>
          <w:p w14:paraId="24ED67AF" w14:textId="77777777" w:rsidR="001F3090" w:rsidRPr="009E0330" w:rsidRDefault="001F3090" w:rsidP="001F3090">
            <w:pPr>
              <w:bidi/>
              <w:spacing w:after="60"/>
              <w:jc w:val="left"/>
              <w:rPr>
                <w:sz w:val="15"/>
                <w:szCs w:val="15"/>
                <w:rtl/>
              </w:rPr>
            </w:pPr>
          </w:p>
        </w:tc>
        <w:tc>
          <w:tcPr>
            <w:tcW w:w="993" w:type="dxa"/>
          </w:tcPr>
          <w:p w14:paraId="42AF71D3" w14:textId="77777777" w:rsidR="001F3090" w:rsidRPr="009E0330" w:rsidRDefault="001F3090" w:rsidP="001F3090">
            <w:pPr>
              <w:bidi/>
              <w:spacing w:after="60"/>
              <w:jc w:val="left"/>
              <w:rPr>
                <w:sz w:val="15"/>
                <w:szCs w:val="15"/>
              </w:rPr>
            </w:pPr>
            <w:r w:rsidRPr="009E0330">
              <w:rPr>
                <w:rFonts w:hint="cs"/>
                <w:sz w:val="15"/>
                <w:szCs w:val="15"/>
                <w:rtl/>
              </w:rPr>
              <w:t>245,000</w:t>
            </w:r>
          </w:p>
        </w:tc>
      </w:tr>
      <w:tr w:rsidR="009E0330" w:rsidRPr="009E0330" w14:paraId="14ED93AF" w14:textId="77777777" w:rsidTr="009E0330">
        <w:trPr>
          <w:trHeight w:val="428"/>
          <w:jc w:val="center"/>
        </w:trPr>
        <w:tc>
          <w:tcPr>
            <w:tcW w:w="990" w:type="dxa"/>
            <w:vMerge/>
          </w:tcPr>
          <w:p w14:paraId="46D39278" w14:textId="77777777" w:rsidR="001F3090" w:rsidRPr="009E0330" w:rsidRDefault="001F3090" w:rsidP="009E0330">
            <w:pPr>
              <w:bidi/>
              <w:spacing w:after="60"/>
              <w:jc w:val="left"/>
              <w:rPr>
                <w:sz w:val="15"/>
                <w:szCs w:val="15"/>
                <w:rtl/>
                <w:lang w:bidi="ar-AE"/>
              </w:rPr>
            </w:pPr>
          </w:p>
        </w:tc>
        <w:tc>
          <w:tcPr>
            <w:tcW w:w="709" w:type="dxa"/>
            <w:vMerge/>
          </w:tcPr>
          <w:p w14:paraId="3DA6E19B" w14:textId="77777777" w:rsidR="001F3090" w:rsidRPr="009E0330" w:rsidRDefault="001F3090" w:rsidP="009E0330">
            <w:pPr>
              <w:bidi/>
              <w:spacing w:after="60"/>
              <w:jc w:val="left"/>
              <w:rPr>
                <w:sz w:val="15"/>
                <w:szCs w:val="15"/>
                <w:rtl/>
                <w:lang w:bidi="ar-AE"/>
              </w:rPr>
            </w:pPr>
          </w:p>
        </w:tc>
        <w:tc>
          <w:tcPr>
            <w:tcW w:w="994" w:type="dxa"/>
            <w:vMerge/>
          </w:tcPr>
          <w:p w14:paraId="4629D33F" w14:textId="77777777" w:rsidR="001F3090" w:rsidRPr="009E0330" w:rsidRDefault="001F3090" w:rsidP="009E0330">
            <w:pPr>
              <w:bidi/>
              <w:spacing w:after="60"/>
              <w:jc w:val="left"/>
              <w:rPr>
                <w:sz w:val="15"/>
                <w:szCs w:val="15"/>
                <w:rtl/>
                <w:lang w:bidi="ar-EG"/>
              </w:rPr>
            </w:pPr>
          </w:p>
        </w:tc>
        <w:tc>
          <w:tcPr>
            <w:tcW w:w="709" w:type="dxa"/>
          </w:tcPr>
          <w:p w14:paraId="4D99ECDB" w14:textId="77777777" w:rsidR="001F3090" w:rsidRPr="009E0330" w:rsidRDefault="001F3090" w:rsidP="001F3090">
            <w:pPr>
              <w:bidi/>
              <w:spacing w:after="60"/>
              <w:jc w:val="left"/>
              <w:rPr>
                <w:sz w:val="15"/>
                <w:szCs w:val="15"/>
                <w:rtl/>
              </w:rPr>
            </w:pPr>
            <w:r w:rsidRPr="009E0330">
              <w:rPr>
                <w:rFonts w:hint="cs"/>
                <w:sz w:val="15"/>
                <w:szCs w:val="15"/>
                <w:rtl/>
              </w:rPr>
              <w:t>11,050</w:t>
            </w:r>
          </w:p>
        </w:tc>
        <w:tc>
          <w:tcPr>
            <w:tcW w:w="567" w:type="dxa"/>
          </w:tcPr>
          <w:p w14:paraId="252066A6"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670EC705" w14:textId="77777777" w:rsidR="001F3090" w:rsidRPr="009E0330" w:rsidRDefault="001F3090" w:rsidP="001F3090">
            <w:pPr>
              <w:bidi/>
              <w:spacing w:after="60"/>
              <w:jc w:val="left"/>
              <w:rPr>
                <w:sz w:val="15"/>
                <w:szCs w:val="15"/>
              </w:rPr>
            </w:pPr>
            <w:r w:rsidRPr="009E0330">
              <w:rPr>
                <w:rFonts w:hint="cs"/>
                <w:sz w:val="15"/>
                <w:szCs w:val="15"/>
                <w:rtl/>
              </w:rPr>
              <w:t>7,800</w:t>
            </w:r>
          </w:p>
        </w:tc>
        <w:tc>
          <w:tcPr>
            <w:tcW w:w="567" w:type="dxa"/>
          </w:tcPr>
          <w:p w14:paraId="3CF5E70E"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0ADCE91"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66DA5947"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619FF95E"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512E7FA9"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7FE4618A" w14:textId="77777777" w:rsidR="001F3090" w:rsidRPr="009E0330" w:rsidRDefault="001F3090" w:rsidP="001F3090">
            <w:pPr>
              <w:bidi/>
              <w:spacing w:after="60"/>
              <w:jc w:val="left"/>
              <w:rPr>
                <w:sz w:val="15"/>
                <w:szCs w:val="15"/>
              </w:rPr>
            </w:pPr>
            <w:r w:rsidRPr="009E0330">
              <w:rPr>
                <w:rFonts w:hint="cs"/>
                <w:sz w:val="15"/>
                <w:szCs w:val="15"/>
                <w:rtl/>
              </w:rPr>
              <w:t>13,000</w:t>
            </w:r>
          </w:p>
        </w:tc>
        <w:tc>
          <w:tcPr>
            <w:tcW w:w="567" w:type="dxa"/>
          </w:tcPr>
          <w:p w14:paraId="777EE197" w14:textId="77777777" w:rsidR="001F3090" w:rsidRPr="009E0330" w:rsidRDefault="001F3090" w:rsidP="001F3090">
            <w:pPr>
              <w:bidi/>
              <w:spacing w:after="60"/>
              <w:jc w:val="left"/>
              <w:rPr>
                <w:sz w:val="15"/>
                <w:szCs w:val="15"/>
                <w:rtl/>
              </w:rPr>
            </w:pPr>
          </w:p>
        </w:tc>
        <w:tc>
          <w:tcPr>
            <w:tcW w:w="567" w:type="dxa"/>
          </w:tcPr>
          <w:p w14:paraId="59A164CD" w14:textId="77777777" w:rsidR="001F3090" w:rsidRPr="009E0330" w:rsidRDefault="001F3090" w:rsidP="001F3090">
            <w:pPr>
              <w:bidi/>
              <w:spacing w:after="60"/>
              <w:jc w:val="left"/>
              <w:rPr>
                <w:sz w:val="15"/>
                <w:szCs w:val="15"/>
                <w:rtl/>
              </w:rPr>
            </w:pPr>
          </w:p>
        </w:tc>
        <w:tc>
          <w:tcPr>
            <w:tcW w:w="993" w:type="dxa"/>
          </w:tcPr>
          <w:p w14:paraId="1FA4EB8F" w14:textId="77777777" w:rsidR="001F3090" w:rsidRPr="009E0330" w:rsidRDefault="001F3090" w:rsidP="001F3090">
            <w:pPr>
              <w:bidi/>
              <w:spacing w:after="60"/>
              <w:jc w:val="left"/>
              <w:rPr>
                <w:sz w:val="15"/>
                <w:szCs w:val="15"/>
              </w:rPr>
            </w:pPr>
            <w:r w:rsidRPr="009E0330">
              <w:rPr>
                <w:rFonts w:hint="cs"/>
                <w:sz w:val="15"/>
                <w:szCs w:val="15"/>
                <w:rtl/>
              </w:rPr>
              <w:t>31,850</w:t>
            </w:r>
          </w:p>
        </w:tc>
      </w:tr>
      <w:tr w:rsidR="009E0330" w:rsidRPr="009E0330" w14:paraId="056B4969" w14:textId="77777777" w:rsidTr="009E0330">
        <w:trPr>
          <w:trHeight w:val="428"/>
          <w:jc w:val="center"/>
        </w:trPr>
        <w:tc>
          <w:tcPr>
            <w:tcW w:w="990" w:type="dxa"/>
            <w:vMerge/>
          </w:tcPr>
          <w:p w14:paraId="79476608" w14:textId="77777777" w:rsidR="001F3090" w:rsidRPr="009E0330" w:rsidRDefault="001F3090" w:rsidP="009E0330">
            <w:pPr>
              <w:bidi/>
              <w:spacing w:after="60"/>
              <w:jc w:val="left"/>
              <w:rPr>
                <w:sz w:val="15"/>
                <w:szCs w:val="15"/>
                <w:rtl/>
                <w:lang w:bidi="ar-AE"/>
              </w:rPr>
            </w:pPr>
          </w:p>
        </w:tc>
        <w:tc>
          <w:tcPr>
            <w:tcW w:w="709" w:type="dxa"/>
            <w:vMerge w:val="restart"/>
          </w:tcPr>
          <w:p w14:paraId="4322295B" w14:textId="77777777" w:rsidR="001F3090" w:rsidRPr="009E0330" w:rsidRDefault="001F3090" w:rsidP="009E0330">
            <w:pPr>
              <w:bidi/>
              <w:spacing w:after="60"/>
              <w:jc w:val="left"/>
              <w:rPr>
                <w:sz w:val="15"/>
                <w:szCs w:val="15"/>
                <w:rtl/>
                <w:lang w:bidi="ar-AE"/>
              </w:rPr>
            </w:pPr>
            <w:r w:rsidRPr="009E0330">
              <w:rPr>
                <w:rFonts w:hint="cs"/>
                <w:sz w:val="15"/>
                <w:szCs w:val="15"/>
                <w:rtl/>
                <w:lang w:bidi="ar-AE"/>
              </w:rPr>
              <w:t>منظمة الأمم المتحدة للتنمية الصناعية</w:t>
            </w:r>
          </w:p>
        </w:tc>
        <w:tc>
          <w:tcPr>
            <w:tcW w:w="994" w:type="dxa"/>
            <w:vMerge w:val="restart"/>
          </w:tcPr>
          <w:p w14:paraId="109969FE"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المشروع</w:t>
            </w:r>
          </w:p>
        </w:tc>
        <w:tc>
          <w:tcPr>
            <w:tcW w:w="709" w:type="dxa"/>
          </w:tcPr>
          <w:p w14:paraId="6883F842" w14:textId="77777777" w:rsidR="001F3090" w:rsidRPr="009E0330" w:rsidRDefault="001F3090" w:rsidP="001F3090">
            <w:pPr>
              <w:bidi/>
              <w:spacing w:after="60"/>
              <w:jc w:val="left"/>
              <w:rPr>
                <w:sz w:val="15"/>
                <w:szCs w:val="15"/>
                <w:rtl/>
              </w:rPr>
            </w:pPr>
            <w:r w:rsidRPr="009E0330">
              <w:rPr>
                <w:rFonts w:hint="cs"/>
                <w:sz w:val="15"/>
                <w:szCs w:val="15"/>
                <w:rtl/>
              </w:rPr>
              <w:t>160,000</w:t>
            </w:r>
          </w:p>
        </w:tc>
        <w:tc>
          <w:tcPr>
            <w:tcW w:w="567" w:type="dxa"/>
          </w:tcPr>
          <w:p w14:paraId="29D7E4A7"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5A6BAAF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6F8BA152"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5AB8B8D4"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B978889"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F5DE2B5"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FCF2C2B"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59DE558C" w14:textId="77777777" w:rsidR="001F3090" w:rsidRPr="009E0330" w:rsidRDefault="001F3090" w:rsidP="001F3090">
            <w:pPr>
              <w:bidi/>
              <w:spacing w:after="60"/>
              <w:jc w:val="left"/>
              <w:rPr>
                <w:sz w:val="15"/>
                <w:szCs w:val="15"/>
              </w:rPr>
            </w:pPr>
            <w:r w:rsidRPr="009E0330">
              <w:rPr>
                <w:rFonts w:hint="cs"/>
                <w:sz w:val="15"/>
                <w:szCs w:val="15"/>
                <w:rtl/>
              </w:rPr>
              <w:t>125,000</w:t>
            </w:r>
          </w:p>
        </w:tc>
        <w:tc>
          <w:tcPr>
            <w:tcW w:w="567" w:type="dxa"/>
          </w:tcPr>
          <w:p w14:paraId="4184B33A" w14:textId="77777777" w:rsidR="001F3090" w:rsidRPr="009E0330" w:rsidRDefault="001F3090" w:rsidP="001F3090">
            <w:pPr>
              <w:bidi/>
              <w:spacing w:after="60"/>
              <w:jc w:val="left"/>
              <w:rPr>
                <w:sz w:val="15"/>
                <w:szCs w:val="15"/>
                <w:rtl/>
              </w:rPr>
            </w:pPr>
          </w:p>
        </w:tc>
        <w:tc>
          <w:tcPr>
            <w:tcW w:w="567" w:type="dxa"/>
          </w:tcPr>
          <w:p w14:paraId="1ADC89F8" w14:textId="77777777" w:rsidR="001F3090" w:rsidRPr="009E0330" w:rsidRDefault="001F3090" w:rsidP="001F3090">
            <w:pPr>
              <w:bidi/>
              <w:spacing w:after="60"/>
              <w:jc w:val="left"/>
              <w:rPr>
                <w:sz w:val="15"/>
                <w:szCs w:val="15"/>
                <w:rtl/>
              </w:rPr>
            </w:pPr>
          </w:p>
        </w:tc>
        <w:tc>
          <w:tcPr>
            <w:tcW w:w="993" w:type="dxa"/>
          </w:tcPr>
          <w:p w14:paraId="19A5B707" w14:textId="77777777" w:rsidR="001F3090" w:rsidRPr="009E0330" w:rsidRDefault="001F3090" w:rsidP="001F3090">
            <w:pPr>
              <w:bidi/>
              <w:spacing w:after="60"/>
              <w:jc w:val="left"/>
              <w:rPr>
                <w:sz w:val="15"/>
                <w:szCs w:val="15"/>
              </w:rPr>
            </w:pPr>
            <w:r w:rsidRPr="009E0330">
              <w:rPr>
                <w:rFonts w:hint="cs"/>
                <w:sz w:val="15"/>
                <w:szCs w:val="15"/>
                <w:rtl/>
              </w:rPr>
              <w:t>285,000</w:t>
            </w:r>
          </w:p>
        </w:tc>
      </w:tr>
      <w:tr w:rsidR="009E0330" w:rsidRPr="009E0330" w14:paraId="1C3A6FC8" w14:textId="77777777" w:rsidTr="009E0330">
        <w:trPr>
          <w:trHeight w:val="428"/>
          <w:jc w:val="center"/>
        </w:trPr>
        <w:tc>
          <w:tcPr>
            <w:tcW w:w="990" w:type="dxa"/>
            <w:vMerge/>
          </w:tcPr>
          <w:p w14:paraId="7FEBE7A7" w14:textId="77777777" w:rsidR="001F3090" w:rsidRPr="009E0330" w:rsidRDefault="001F3090" w:rsidP="009E0330">
            <w:pPr>
              <w:bidi/>
              <w:spacing w:after="60"/>
              <w:jc w:val="left"/>
              <w:rPr>
                <w:sz w:val="15"/>
                <w:szCs w:val="15"/>
                <w:rtl/>
                <w:lang w:bidi="ar-AE"/>
              </w:rPr>
            </w:pPr>
          </w:p>
        </w:tc>
        <w:tc>
          <w:tcPr>
            <w:tcW w:w="709" w:type="dxa"/>
            <w:vMerge/>
          </w:tcPr>
          <w:p w14:paraId="1822FFCF" w14:textId="77777777" w:rsidR="001F3090" w:rsidRPr="009E0330" w:rsidRDefault="001F3090" w:rsidP="009E0330">
            <w:pPr>
              <w:bidi/>
              <w:spacing w:after="60"/>
              <w:jc w:val="left"/>
              <w:rPr>
                <w:sz w:val="15"/>
                <w:szCs w:val="15"/>
                <w:rtl/>
                <w:lang w:bidi="ar-AE"/>
              </w:rPr>
            </w:pPr>
          </w:p>
        </w:tc>
        <w:tc>
          <w:tcPr>
            <w:tcW w:w="994" w:type="dxa"/>
            <w:vMerge/>
          </w:tcPr>
          <w:p w14:paraId="11BC71B5" w14:textId="77777777" w:rsidR="001F3090" w:rsidRPr="009E0330" w:rsidRDefault="001F3090" w:rsidP="009E0330">
            <w:pPr>
              <w:bidi/>
              <w:spacing w:after="60"/>
              <w:jc w:val="left"/>
              <w:rPr>
                <w:sz w:val="15"/>
                <w:szCs w:val="15"/>
                <w:rtl/>
                <w:lang w:bidi="ar-EG"/>
              </w:rPr>
            </w:pPr>
          </w:p>
        </w:tc>
        <w:tc>
          <w:tcPr>
            <w:tcW w:w="709" w:type="dxa"/>
          </w:tcPr>
          <w:p w14:paraId="0562E780" w14:textId="77777777" w:rsidR="001F3090" w:rsidRPr="009E0330" w:rsidRDefault="001F3090" w:rsidP="001F3090">
            <w:pPr>
              <w:bidi/>
              <w:spacing w:after="60"/>
              <w:jc w:val="left"/>
              <w:rPr>
                <w:sz w:val="15"/>
                <w:szCs w:val="15"/>
                <w:rtl/>
              </w:rPr>
            </w:pPr>
            <w:r w:rsidRPr="009E0330">
              <w:rPr>
                <w:rFonts w:hint="cs"/>
                <w:sz w:val="15"/>
                <w:szCs w:val="15"/>
                <w:rtl/>
              </w:rPr>
              <w:t>12,000</w:t>
            </w:r>
          </w:p>
        </w:tc>
        <w:tc>
          <w:tcPr>
            <w:tcW w:w="567" w:type="dxa"/>
          </w:tcPr>
          <w:p w14:paraId="3E57DC90"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4BB54998"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04D5186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E16B6A8"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86A398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2E2EAD11"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FB22CA8"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01680DD0" w14:textId="77777777" w:rsidR="001F3090" w:rsidRPr="009E0330" w:rsidRDefault="001F3090" w:rsidP="001F3090">
            <w:pPr>
              <w:bidi/>
              <w:spacing w:after="60"/>
              <w:jc w:val="left"/>
              <w:rPr>
                <w:sz w:val="15"/>
                <w:szCs w:val="15"/>
              </w:rPr>
            </w:pPr>
            <w:r w:rsidRPr="009E0330">
              <w:rPr>
                <w:rFonts w:hint="cs"/>
                <w:sz w:val="15"/>
                <w:szCs w:val="15"/>
                <w:rtl/>
              </w:rPr>
              <w:t>8,750</w:t>
            </w:r>
          </w:p>
        </w:tc>
        <w:tc>
          <w:tcPr>
            <w:tcW w:w="567" w:type="dxa"/>
          </w:tcPr>
          <w:p w14:paraId="0FE6A3CE" w14:textId="77777777" w:rsidR="001F3090" w:rsidRPr="009E0330" w:rsidRDefault="001F3090" w:rsidP="001F3090">
            <w:pPr>
              <w:bidi/>
              <w:spacing w:after="60"/>
              <w:jc w:val="left"/>
              <w:rPr>
                <w:sz w:val="15"/>
                <w:szCs w:val="15"/>
                <w:rtl/>
              </w:rPr>
            </w:pPr>
          </w:p>
        </w:tc>
        <w:tc>
          <w:tcPr>
            <w:tcW w:w="567" w:type="dxa"/>
          </w:tcPr>
          <w:p w14:paraId="1E26D501" w14:textId="77777777" w:rsidR="001F3090" w:rsidRPr="009E0330" w:rsidRDefault="001F3090" w:rsidP="001F3090">
            <w:pPr>
              <w:bidi/>
              <w:spacing w:after="60"/>
              <w:jc w:val="left"/>
              <w:rPr>
                <w:sz w:val="15"/>
                <w:szCs w:val="15"/>
                <w:rtl/>
              </w:rPr>
            </w:pPr>
          </w:p>
        </w:tc>
        <w:tc>
          <w:tcPr>
            <w:tcW w:w="993" w:type="dxa"/>
          </w:tcPr>
          <w:p w14:paraId="52C64B0F" w14:textId="77777777" w:rsidR="001F3090" w:rsidRPr="009E0330" w:rsidRDefault="001F3090" w:rsidP="001F3090">
            <w:pPr>
              <w:bidi/>
              <w:spacing w:after="60"/>
              <w:jc w:val="left"/>
              <w:rPr>
                <w:sz w:val="15"/>
                <w:szCs w:val="15"/>
              </w:rPr>
            </w:pPr>
            <w:r w:rsidRPr="009E0330">
              <w:rPr>
                <w:rFonts w:hint="cs"/>
                <w:sz w:val="15"/>
                <w:szCs w:val="15"/>
                <w:rtl/>
              </w:rPr>
              <w:t>20,750</w:t>
            </w:r>
          </w:p>
        </w:tc>
      </w:tr>
      <w:tr w:rsidR="009E0330" w:rsidRPr="009E0330" w14:paraId="7BE15F2A" w14:textId="77777777" w:rsidTr="009E0330">
        <w:trPr>
          <w:trHeight w:val="428"/>
          <w:jc w:val="center"/>
        </w:trPr>
        <w:tc>
          <w:tcPr>
            <w:tcW w:w="1699" w:type="dxa"/>
            <w:gridSpan w:val="2"/>
            <w:vMerge w:val="restart"/>
          </w:tcPr>
          <w:p w14:paraId="08DF080D" w14:textId="77777777" w:rsidR="001F3090" w:rsidRPr="009E0330" w:rsidRDefault="001F3090" w:rsidP="009E0330">
            <w:pPr>
              <w:bidi/>
              <w:spacing w:after="60"/>
              <w:jc w:val="left"/>
              <w:rPr>
                <w:sz w:val="15"/>
                <w:szCs w:val="15"/>
                <w:rtl/>
                <w:lang w:bidi="ar-EG"/>
              </w:rPr>
            </w:pPr>
            <w:r w:rsidRPr="009E0330">
              <w:rPr>
                <w:rFonts w:hint="cs"/>
                <w:sz w:val="15"/>
                <w:szCs w:val="15"/>
                <w:rtl/>
                <w:lang w:bidi="ar-AE"/>
              </w:rPr>
              <w:t>التمويل الذي أقرته اللجنة التنفيذية</w:t>
            </w:r>
            <w:r w:rsidRPr="009E0330">
              <w:rPr>
                <w:sz w:val="15"/>
                <w:szCs w:val="15"/>
                <w:rtl/>
                <w:lang w:bidi="ar-AE"/>
              </w:rPr>
              <w:t xml:space="preserve"> (دولار أمريكي)</w:t>
            </w:r>
          </w:p>
        </w:tc>
        <w:tc>
          <w:tcPr>
            <w:tcW w:w="994" w:type="dxa"/>
          </w:tcPr>
          <w:p w14:paraId="6F449DA2"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المشروع</w:t>
            </w:r>
          </w:p>
        </w:tc>
        <w:tc>
          <w:tcPr>
            <w:tcW w:w="709" w:type="dxa"/>
          </w:tcPr>
          <w:p w14:paraId="3660318F" w14:textId="77777777" w:rsidR="001F3090" w:rsidRPr="009E0330" w:rsidRDefault="001F3090" w:rsidP="001F3090">
            <w:pPr>
              <w:bidi/>
              <w:spacing w:after="60"/>
              <w:jc w:val="left"/>
              <w:rPr>
                <w:sz w:val="15"/>
                <w:szCs w:val="15"/>
                <w:rtl/>
              </w:rPr>
            </w:pPr>
            <w:r w:rsidRPr="009E0330">
              <w:rPr>
                <w:rFonts w:hint="cs"/>
                <w:sz w:val="15"/>
                <w:szCs w:val="15"/>
                <w:rtl/>
              </w:rPr>
              <w:t>245,000</w:t>
            </w:r>
          </w:p>
        </w:tc>
        <w:tc>
          <w:tcPr>
            <w:tcW w:w="567" w:type="dxa"/>
          </w:tcPr>
          <w:p w14:paraId="235A0F65"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510D645E" w14:textId="77777777" w:rsidR="001F3090" w:rsidRPr="009E0330" w:rsidRDefault="001F3090" w:rsidP="001F3090">
            <w:pPr>
              <w:bidi/>
              <w:spacing w:after="60"/>
              <w:jc w:val="left"/>
              <w:rPr>
                <w:sz w:val="15"/>
                <w:szCs w:val="15"/>
              </w:rPr>
            </w:pPr>
            <w:r w:rsidRPr="009E0330">
              <w:rPr>
                <w:rFonts w:hint="cs"/>
                <w:sz w:val="15"/>
                <w:szCs w:val="15"/>
                <w:rtl/>
              </w:rPr>
              <w:t>60,000</w:t>
            </w:r>
          </w:p>
        </w:tc>
        <w:tc>
          <w:tcPr>
            <w:tcW w:w="567" w:type="dxa"/>
          </w:tcPr>
          <w:p w14:paraId="09D0395A" w14:textId="77777777" w:rsidR="001F3090" w:rsidRPr="009E0330" w:rsidRDefault="00CC4210" w:rsidP="001F3090">
            <w:pPr>
              <w:bidi/>
              <w:spacing w:after="60"/>
              <w:jc w:val="left"/>
              <w:rPr>
                <w:sz w:val="15"/>
                <w:szCs w:val="15"/>
                <w:lang w:bidi="ar-SA"/>
              </w:rPr>
            </w:pPr>
            <w:r w:rsidRPr="009E0330">
              <w:rPr>
                <w:rFonts w:hint="cs"/>
                <w:sz w:val="15"/>
                <w:szCs w:val="15"/>
                <w:rtl/>
                <w:lang w:bidi="ar-SA"/>
              </w:rPr>
              <w:t>0</w:t>
            </w:r>
          </w:p>
        </w:tc>
        <w:tc>
          <w:tcPr>
            <w:tcW w:w="567" w:type="dxa"/>
          </w:tcPr>
          <w:p w14:paraId="1434E4F3"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C3FFB0B"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D8EBAC0"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79F24D9"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2F559584"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0155A606" w14:textId="77777777" w:rsidR="001F3090" w:rsidRPr="009E0330" w:rsidRDefault="001F3090" w:rsidP="001F3090">
            <w:pPr>
              <w:bidi/>
              <w:spacing w:after="60"/>
              <w:jc w:val="left"/>
              <w:rPr>
                <w:sz w:val="15"/>
                <w:szCs w:val="15"/>
                <w:rtl/>
              </w:rPr>
            </w:pPr>
          </w:p>
        </w:tc>
        <w:tc>
          <w:tcPr>
            <w:tcW w:w="567" w:type="dxa"/>
          </w:tcPr>
          <w:p w14:paraId="4DCEE914" w14:textId="77777777" w:rsidR="001F3090" w:rsidRPr="009E0330" w:rsidRDefault="001F3090" w:rsidP="001F3090">
            <w:pPr>
              <w:bidi/>
              <w:spacing w:after="60"/>
              <w:jc w:val="left"/>
              <w:rPr>
                <w:sz w:val="15"/>
                <w:szCs w:val="15"/>
                <w:rtl/>
              </w:rPr>
            </w:pPr>
          </w:p>
        </w:tc>
        <w:tc>
          <w:tcPr>
            <w:tcW w:w="993" w:type="dxa"/>
          </w:tcPr>
          <w:p w14:paraId="15D08740" w14:textId="77777777" w:rsidR="001F3090" w:rsidRPr="009E0330" w:rsidRDefault="001F3090" w:rsidP="001F3090">
            <w:pPr>
              <w:bidi/>
              <w:spacing w:after="60"/>
              <w:jc w:val="left"/>
              <w:rPr>
                <w:sz w:val="15"/>
                <w:szCs w:val="15"/>
              </w:rPr>
            </w:pPr>
            <w:r w:rsidRPr="009E0330">
              <w:rPr>
                <w:rFonts w:hint="cs"/>
                <w:sz w:val="15"/>
                <w:szCs w:val="15"/>
                <w:rtl/>
              </w:rPr>
              <w:t>305,000</w:t>
            </w:r>
          </w:p>
        </w:tc>
      </w:tr>
      <w:tr w:rsidR="009E0330" w:rsidRPr="009E0330" w14:paraId="4F23CD2B" w14:textId="77777777" w:rsidTr="009E0330">
        <w:trPr>
          <w:trHeight w:val="428"/>
          <w:jc w:val="center"/>
        </w:trPr>
        <w:tc>
          <w:tcPr>
            <w:tcW w:w="1699" w:type="dxa"/>
            <w:gridSpan w:val="2"/>
            <w:vMerge/>
          </w:tcPr>
          <w:p w14:paraId="100CC1F3" w14:textId="77777777" w:rsidR="001F3090" w:rsidRPr="009E0330" w:rsidRDefault="001F3090" w:rsidP="009E0330">
            <w:pPr>
              <w:bidi/>
              <w:spacing w:after="60"/>
              <w:jc w:val="left"/>
              <w:rPr>
                <w:sz w:val="15"/>
                <w:szCs w:val="15"/>
                <w:rtl/>
                <w:lang w:bidi="ar-AE"/>
              </w:rPr>
            </w:pPr>
          </w:p>
        </w:tc>
        <w:tc>
          <w:tcPr>
            <w:tcW w:w="994" w:type="dxa"/>
          </w:tcPr>
          <w:p w14:paraId="54794C23"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الدعم</w:t>
            </w:r>
          </w:p>
        </w:tc>
        <w:tc>
          <w:tcPr>
            <w:tcW w:w="709" w:type="dxa"/>
          </w:tcPr>
          <w:p w14:paraId="4C6AB1C8" w14:textId="77777777" w:rsidR="001F3090" w:rsidRPr="009E0330" w:rsidRDefault="001F3090" w:rsidP="001F3090">
            <w:pPr>
              <w:bidi/>
              <w:spacing w:after="60"/>
              <w:jc w:val="left"/>
              <w:rPr>
                <w:sz w:val="15"/>
                <w:szCs w:val="15"/>
                <w:rtl/>
              </w:rPr>
            </w:pPr>
            <w:r w:rsidRPr="009E0330">
              <w:rPr>
                <w:rFonts w:hint="cs"/>
                <w:sz w:val="15"/>
                <w:szCs w:val="15"/>
                <w:rtl/>
              </w:rPr>
              <w:t>23,050</w:t>
            </w:r>
          </w:p>
        </w:tc>
        <w:tc>
          <w:tcPr>
            <w:tcW w:w="567" w:type="dxa"/>
          </w:tcPr>
          <w:p w14:paraId="3433220B"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28ADD86A" w14:textId="77777777" w:rsidR="001F3090" w:rsidRPr="009E0330" w:rsidRDefault="001F3090" w:rsidP="001F3090">
            <w:pPr>
              <w:bidi/>
              <w:spacing w:after="60"/>
              <w:jc w:val="left"/>
              <w:rPr>
                <w:sz w:val="15"/>
                <w:szCs w:val="15"/>
              </w:rPr>
            </w:pPr>
            <w:r w:rsidRPr="009E0330">
              <w:rPr>
                <w:rFonts w:hint="cs"/>
                <w:sz w:val="15"/>
                <w:szCs w:val="15"/>
                <w:rtl/>
              </w:rPr>
              <w:t>7,800</w:t>
            </w:r>
          </w:p>
        </w:tc>
        <w:tc>
          <w:tcPr>
            <w:tcW w:w="567" w:type="dxa"/>
          </w:tcPr>
          <w:p w14:paraId="30541ADF" w14:textId="77777777" w:rsidR="001F3090" w:rsidRPr="009E0330" w:rsidRDefault="00CC4210" w:rsidP="001F3090">
            <w:pPr>
              <w:bidi/>
              <w:spacing w:after="60"/>
              <w:jc w:val="left"/>
              <w:rPr>
                <w:sz w:val="15"/>
                <w:szCs w:val="15"/>
              </w:rPr>
            </w:pPr>
            <w:r w:rsidRPr="009E0330">
              <w:rPr>
                <w:rFonts w:hint="cs"/>
                <w:sz w:val="15"/>
                <w:szCs w:val="15"/>
                <w:rtl/>
              </w:rPr>
              <w:t>0</w:t>
            </w:r>
          </w:p>
        </w:tc>
        <w:tc>
          <w:tcPr>
            <w:tcW w:w="567" w:type="dxa"/>
          </w:tcPr>
          <w:p w14:paraId="2597B7FA"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879B8E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00B84467"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3824D0E6"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776EEB35"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5424BE2" w14:textId="77777777" w:rsidR="001F3090" w:rsidRPr="009E0330" w:rsidRDefault="001F3090" w:rsidP="001F3090">
            <w:pPr>
              <w:bidi/>
              <w:spacing w:after="60"/>
              <w:jc w:val="left"/>
              <w:rPr>
                <w:sz w:val="15"/>
                <w:szCs w:val="15"/>
                <w:rtl/>
              </w:rPr>
            </w:pPr>
          </w:p>
        </w:tc>
        <w:tc>
          <w:tcPr>
            <w:tcW w:w="567" w:type="dxa"/>
          </w:tcPr>
          <w:p w14:paraId="0B661238" w14:textId="77777777" w:rsidR="001F3090" w:rsidRPr="009E0330" w:rsidRDefault="001F3090" w:rsidP="001F3090">
            <w:pPr>
              <w:bidi/>
              <w:spacing w:after="60"/>
              <w:jc w:val="left"/>
              <w:rPr>
                <w:sz w:val="15"/>
                <w:szCs w:val="15"/>
                <w:rtl/>
              </w:rPr>
            </w:pPr>
          </w:p>
        </w:tc>
        <w:tc>
          <w:tcPr>
            <w:tcW w:w="993" w:type="dxa"/>
          </w:tcPr>
          <w:p w14:paraId="65D59E39" w14:textId="77777777" w:rsidR="001F3090" w:rsidRPr="009E0330" w:rsidRDefault="001F3090" w:rsidP="001F3090">
            <w:pPr>
              <w:bidi/>
              <w:spacing w:after="60"/>
              <w:jc w:val="left"/>
              <w:rPr>
                <w:sz w:val="15"/>
                <w:szCs w:val="15"/>
              </w:rPr>
            </w:pPr>
            <w:r w:rsidRPr="009E0330">
              <w:rPr>
                <w:rFonts w:hint="cs"/>
                <w:sz w:val="15"/>
                <w:szCs w:val="15"/>
                <w:rtl/>
              </w:rPr>
              <w:t>30,850</w:t>
            </w:r>
          </w:p>
        </w:tc>
      </w:tr>
      <w:tr w:rsidR="009E0330" w:rsidRPr="009E0330" w14:paraId="343E9365" w14:textId="77777777" w:rsidTr="009E0330">
        <w:trPr>
          <w:trHeight w:val="428"/>
          <w:jc w:val="center"/>
        </w:trPr>
        <w:tc>
          <w:tcPr>
            <w:tcW w:w="1699" w:type="dxa"/>
            <w:gridSpan w:val="2"/>
            <w:vMerge w:val="restart"/>
          </w:tcPr>
          <w:p w14:paraId="2B82CA02" w14:textId="77777777" w:rsidR="001F3090" w:rsidRPr="009E0330" w:rsidRDefault="001F3090" w:rsidP="009E0330">
            <w:pPr>
              <w:bidi/>
              <w:spacing w:after="60"/>
              <w:jc w:val="left"/>
              <w:rPr>
                <w:sz w:val="15"/>
                <w:szCs w:val="15"/>
                <w:rtl/>
                <w:lang w:bidi="ar-EG"/>
              </w:rPr>
            </w:pPr>
            <w:r w:rsidRPr="009E0330">
              <w:rPr>
                <w:rFonts w:eastAsia="Batang" w:hint="cs"/>
                <w:snapToGrid w:val="0"/>
                <w:sz w:val="15"/>
                <w:szCs w:val="15"/>
                <w:rtl/>
                <w:lang w:eastAsia="ko-KR" w:bidi="ar-SA"/>
              </w:rPr>
              <w:t>إجمالي التمويل المطلوب إقراره في هذا الاجتماع (دولار أمريكي)</w:t>
            </w:r>
          </w:p>
        </w:tc>
        <w:tc>
          <w:tcPr>
            <w:tcW w:w="994" w:type="dxa"/>
          </w:tcPr>
          <w:p w14:paraId="538C6AF8"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المشروع</w:t>
            </w:r>
          </w:p>
        </w:tc>
        <w:tc>
          <w:tcPr>
            <w:tcW w:w="709" w:type="dxa"/>
          </w:tcPr>
          <w:p w14:paraId="4CF0876E"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28870E9"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07606E58"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1975D553" w14:textId="77777777" w:rsidR="001F3090" w:rsidRPr="009E0330" w:rsidRDefault="00CC4210" w:rsidP="001F3090">
            <w:pPr>
              <w:bidi/>
              <w:spacing w:after="60"/>
              <w:jc w:val="left"/>
              <w:rPr>
                <w:sz w:val="15"/>
                <w:szCs w:val="15"/>
              </w:rPr>
            </w:pPr>
            <w:r w:rsidRPr="009E0330">
              <w:rPr>
                <w:rFonts w:hint="cs"/>
                <w:sz w:val="15"/>
                <w:szCs w:val="15"/>
                <w:rtl/>
              </w:rPr>
              <w:t>0</w:t>
            </w:r>
          </w:p>
        </w:tc>
        <w:tc>
          <w:tcPr>
            <w:tcW w:w="567" w:type="dxa"/>
          </w:tcPr>
          <w:p w14:paraId="5885A333"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19D2B166"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42EC4FA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EB96D78"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2AA99BB1" w14:textId="77777777" w:rsidR="001F3090" w:rsidRPr="009E0330" w:rsidRDefault="001F3090" w:rsidP="001F3090">
            <w:pPr>
              <w:bidi/>
              <w:spacing w:after="60"/>
              <w:jc w:val="left"/>
              <w:rPr>
                <w:sz w:val="15"/>
                <w:szCs w:val="15"/>
              </w:rPr>
            </w:pPr>
            <w:r w:rsidRPr="009E0330">
              <w:rPr>
                <w:rFonts w:hint="cs"/>
                <w:sz w:val="15"/>
                <w:szCs w:val="15"/>
                <w:rtl/>
              </w:rPr>
              <w:t>225,000</w:t>
            </w:r>
          </w:p>
        </w:tc>
        <w:tc>
          <w:tcPr>
            <w:tcW w:w="567" w:type="dxa"/>
          </w:tcPr>
          <w:p w14:paraId="47C69BF5" w14:textId="77777777" w:rsidR="001F3090" w:rsidRPr="009E0330" w:rsidRDefault="001F3090" w:rsidP="001F3090">
            <w:pPr>
              <w:bidi/>
              <w:spacing w:after="60"/>
              <w:jc w:val="left"/>
              <w:rPr>
                <w:sz w:val="15"/>
                <w:szCs w:val="15"/>
                <w:rtl/>
              </w:rPr>
            </w:pPr>
          </w:p>
        </w:tc>
        <w:tc>
          <w:tcPr>
            <w:tcW w:w="567" w:type="dxa"/>
          </w:tcPr>
          <w:p w14:paraId="2959EADC" w14:textId="77777777" w:rsidR="001F3090" w:rsidRPr="009E0330" w:rsidRDefault="001F3090" w:rsidP="001F3090">
            <w:pPr>
              <w:bidi/>
              <w:spacing w:after="60"/>
              <w:jc w:val="left"/>
              <w:rPr>
                <w:sz w:val="15"/>
                <w:szCs w:val="15"/>
                <w:rtl/>
              </w:rPr>
            </w:pPr>
          </w:p>
        </w:tc>
        <w:tc>
          <w:tcPr>
            <w:tcW w:w="993" w:type="dxa"/>
          </w:tcPr>
          <w:p w14:paraId="7993C020" w14:textId="77777777" w:rsidR="001F3090" w:rsidRPr="009E0330" w:rsidRDefault="001F3090" w:rsidP="001F3090">
            <w:pPr>
              <w:bidi/>
              <w:spacing w:after="60"/>
              <w:jc w:val="left"/>
              <w:rPr>
                <w:sz w:val="15"/>
                <w:szCs w:val="15"/>
              </w:rPr>
            </w:pPr>
            <w:r w:rsidRPr="009E0330">
              <w:rPr>
                <w:rFonts w:hint="cs"/>
                <w:sz w:val="15"/>
                <w:szCs w:val="15"/>
                <w:rtl/>
              </w:rPr>
              <w:t>225,000</w:t>
            </w:r>
          </w:p>
        </w:tc>
      </w:tr>
      <w:tr w:rsidR="009E0330" w:rsidRPr="009E0330" w14:paraId="1D173E30" w14:textId="77777777" w:rsidTr="009E0330">
        <w:trPr>
          <w:trHeight w:val="428"/>
          <w:jc w:val="center"/>
        </w:trPr>
        <w:tc>
          <w:tcPr>
            <w:tcW w:w="1699" w:type="dxa"/>
            <w:gridSpan w:val="2"/>
            <w:vMerge/>
          </w:tcPr>
          <w:p w14:paraId="5FA968A0" w14:textId="77777777" w:rsidR="001F3090" w:rsidRPr="009E0330" w:rsidRDefault="001F3090" w:rsidP="009E0330">
            <w:pPr>
              <w:bidi/>
              <w:spacing w:after="60"/>
              <w:jc w:val="left"/>
              <w:rPr>
                <w:rFonts w:eastAsia="Batang"/>
                <w:snapToGrid w:val="0"/>
                <w:sz w:val="15"/>
                <w:szCs w:val="15"/>
                <w:rtl/>
                <w:lang w:eastAsia="ko-KR" w:bidi="ar-SA"/>
              </w:rPr>
            </w:pPr>
          </w:p>
        </w:tc>
        <w:tc>
          <w:tcPr>
            <w:tcW w:w="994" w:type="dxa"/>
          </w:tcPr>
          <w:p w14:paraId="011FA14A" w14:textId="77777777" w:rsidR="001F3090" w:rsidRPr="009E0330" w:rsidRDefault="001F3090" w:rsidP="009E0330">
            <w:pPr>
              <w:bidi/>
              <w:spacing w:after="60"/>
              <w:jc w:val="left"/>
              <w:rPr>
                <w:sz w:val="15"/>
                <w:szCs w:val="15"/>
                <w:rtl/>
                <w:lang w:bidi="ar-EG"/>
              </w:rPr>
            </w:pPr>
            <w:r w:rsidRPr="009E0330">
              <w:rPr>
                <w:sz w:val="15"/>
                <w:szCs w:val="15"/>
                <w:rtl/>
                <w:lang w:bidi="ar-AE"/>
              </w:rPr>
              <w:t>تكاليف الدعم</w:t>
            </w:r>
          </w:p>
        </w:tc>
        <w:tc>
          <w:tcPr>
            <w:tcW w:w="709" w:type="dxa"/>
          </w:tcPr>
          <w:p w14:paraId="357B3B39"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539BBB0B"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1863894A"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3D968BC3" w14:textId="77777777" w:rsidR="001F3090" w:rsidRPr="009E0330" w:rsidRDefault="00CC4210" w:rsidP="001F3090">
            <w:pPr>
              <w:bidi/>
              <w:spacing w:after="60"/>
              <w:jc w:val="left"/>
              <w:rPr>
                <w:sz w:val="15"/>
                <w:szCs w:val="15"/>
              </w:rPr>
            </w:pPr>
            <w:r w:rsidRPr="009E0330">
              <w:rPr>
                <w:rFonts w:hint="cs"/>
                <w:sz w:val="15"/>
                <w:szCs w:val="15"/>
                <w:rtl/>
              </w:rPr>
              <w:t>0</w:t>
            </w:r>
          </w:p>
        </w:tc>
        <w:tc>
          <w:tcPr>
            <w:tcW w:w="567" w:type="dxa"/>
          </w:tcPr>
          <w:p w14:paraId="537C944D"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6D522D5B"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04A2DEAB" w14:textId="77777777" w:rsidR="001F3090" w:rsidRPr="009E0330" w:rsidRDefault="001F3090" w:rsidP="001F3090">
            <w:pPr>
              <w:bidi/>
              <w:spacing w:after="60"/>
              <w:jc w:val="left"/>
              <w:rPr>
                <w:sz w:val="15"/>
                <w:szCs w:val="15"/>
              </w:rPr>
            </w:pPr>
            <w:r w:rsidRPr="009E0330">
              <w:rPr>
                <w:rFonts w:hint="cs"/>
                <w:sz w:val="15"/>
                <w:szCs w:val="15"/>
                <w:rtl/>
              </w:rPr>
              <w:t>0</w:t>
            </w:r>
          </w:p>
        </w:tc>
        <w:tc>
          <w:tcPr>
            <w:tcW w:w="567" w:type="dxa"/>
          </w:tcPr>
          <w:p w14:paraId="7744FB18" w14:textId="77777777" w:rsidR="001F3090" w:rsidRPr="009E0330" w:rsidRDefault="001F3090" w:rsidP="001F3090">
            <w:pPr>
              <w:bidi/>
              <w:spacing w:after="60"/>
              <w:jc w:val="left"/>
              <w:rPr>
                <w:sz w:val="15"/>
                <w:szCs w:val="15"/>
              </w:rPr>
            </w:pPr>
            <w:r w:rsidRPr="009E0330">
              <w:rPr>
                <w:rFonts w:hint="cs"/>
                <w:sz w:val="15"/>
                <w:szCs w:val="15"/>
                <w:rtl/>
              </w:rPr>
              <w:t>0</w:t>
            </w:r>
          </w:p>
        </w:tc>
        <w:tc>
          <w:tcPr>
            <w:tcW w:w="709" w:type="dxa"/>
          </w:tcPr>
          <w:p w14:paraId="2C61B1AB" w14:textId="77777777" w:rsidR="001F3090" w:rsidRPr="009E0330" w:rsidRDefault="001F3090" w:rsidP="001F3090">
            <w:pPr>
              <w:bidi/>
              <w:spacing w:after="60"/>
              <w:jc w:val="left"/>
              <w:rPr>
                <w:sz w:val="15"/>
                <w:szCs w:val="15"/>
              </w:rPr>
            </w:pPr>
            <w:r w:rsidRPr="009E0330">
              <w:rPr>
                <w:rFonts w:hint="cs"/>
                <w:sz w:val="15"/>
                <w:szCs w:val="15"/>
                <w:rtl/>
              </w:rPr>
              <w:t>21,750</w:t>
            </w:r>
          </w:p>
        </w:tc>
        <w:tc>
          <w:tcPr>
            <w:tcW w:w="567" w:type="dxa"/>
          </w:tcPr>
          <w:p w14:paraId="3AE9C0F7" w14:textId="77777777" w:rsidR="001F3090" w:rsidRPr="009E0330" w:rsidRDefault="001F3090" w:rsidP="001F3090">
            <w:pPr>
              <w:bidi/>
              <w:spacing w:after="60"/>
              <w:jc w:val="left"/>
              <w:rPr>
                <w:sz w:val="15"/>
                <w:szCs w:val="15"/>
                <w:rtl/>
              </w:rPr>
            </w:pPr>
          </w:p>
        </w:tc>
        <w:tc>
          <w:tcPr>
            <w:tcW w:w="567" w:type="dxa"/>
          </w:tcPr>
          <w:p w14:paraId="349CA763" w14:textId="77777777" w:rsidR="001F3090" w:rsidRPr="009E0330" w:rsidRDefault="001F3090" w:rsidP="001F3090">
            <w:pPr>
              <w:bidi/>
              <w:spacing w:after="60"/>
              <w:jc w:val="left"/>
              <w:rPr>
                <w:sz w:val="15"/>
                <w:szCs w:val="15"/>
                <w:rtl/>
              </w:rPr>
            </w:pPr>
          </w:p>
        </w:tc>
        <w:tc>
          <w:tcPr>
            <w:tcW w:w="993" w:type="dxa"/>
          </w:tcPr>
          <w:p w14:paraId="78CE4AC4" w14:textId="77777777" w:rsidR="001F3090" w:rsidRPr="009E0330" w:rsidRDefault="001F3090" w:rsidP="001F3090">
            <w:pPr>
              <w:bidi/>
              <w:spacing w:after="60"/>
              <w:jc w:val="left"/>
              <w:rPr>
                <w:sz w:val="15"/>
                <w:szCs w:val="15"/>
              </w:rPr>
            </w:pPr>
            <w:r w:rsidRPr="009E0330">
              <w:rPr>
                <w:rFonts w:hint="cs"/>
                <w:sz w:val="15"/>
                <w:szCs w:val="15"/>
                <w:rtl/>
              </w:rPr>
              <w:t>21,750</w:t>
            </w:r>
          </w:p>
        </w:tc>
      </w:tr>
    </w:tbl>
    <w:p w14:paraId="1FB96A04" w14:textId="77777777" w:rsidR="00452395" w:rsidRPr="009E0330" w:rsidRDefault="001F3090" w:rsidP="00CC4210">
      <w:pPr>
        <w:pStyle w:val="0Heading0"/>
        <w:bidi/>
        <w:ind w:left="-421"/>
        <w:rPr>
          <w:rFonts w:asciiTheme="majorBidi" w:hAnsiTheme="majorBidi" w:cstheme="majorBidi"/>
          <w:sz w:val="16"/>
          <w:szCs w:val="16"/>
          <w:rtl/>
          <w:lang w:val="fr-CA" w:bidi="ar-DZ"/>
        </w:rPr>
      </w:pPr>
      <w:r w:rsidRPr="009E0330">
        <w:rPr>
          <w:rFonts w:asciiTheme="majorBidi" w:hAnsiTheme="majorBidi" w:cstheme="majorBidi" w:hint="cs"/>
          <w:b/>
          <w:bCs/>
          <w:sz w:val="16"/>
          <w:szCs w:val="16"/>
          <w:rtl/>
          <w:lang w:val="fr-CA" w:bidi="ar-DZ"/>
        </w:rPr>
        <w:t>*</w:t>
      </w:r>
      <w:r w:rsidRPr="009E0330">
        <w:rPr>
          <w:rFonts w:asciiTheme="majorBidi" w:hAnsiTheme="majorBidi" w:cstheme="majorBidi" w:hint="cs"/>
          <w:sz w:val="16"/>
          <w:szCs w:val="16"/>
          <w:rtl/>
          <w:lang w:val="fr-CA" w:bidi="ar-DZ"/>
        </w:rPr>
        <w:t xml:space="preserve"> الاتفاق المحيّن المرفوع إلى الاجتماع الخامس والثمانين.</w:t>
      </w:r>
    </w:p>
    <w:p w14:paraId="2724E63C" w14:textId="77777777" w:rsidR="00CC4210" w:rsidRDefault="00CC4210" w:rsidP="00CC4210">
      <w:pPr>
        <w:pStyle w:val="0Heading0"/>
        <w:bidi/>
        <w:ind w:left="-421"/>
        <w:rPr>
          <w:rFonts w:asciiTheme="majorBidi" w:hAnsiTheme="majorBidi" w:cstheme="majorBidi"/>
          <w:sz w:val="20"/>
          <w:szCs w:val="20"/>
          <w:rtl/>
          <w:lang w:val="fr-CA"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410"/>
        <w:gridCol w:w="7938"/>
      </w:tblGrid>
      <w:tr w:rsidR="00452395" w:rsidRPr="00D2429B" w14:paraId="136EA550" w14:textId="77777777" w:rsidTr="00F74C17">
        <w:trPr>
          <w:trHeight w:val="251"/>
          <w:jc w:val="center"/>
        </w:trPr>
        <w:tc>
          <w:tcPr>
            <w:tcW w:w="2410" w:type="dxa"/>
          </w:tcPr>
          <w:p w14:paraId="4DA149E9" w14:textId="77777777" w:rsidR="00452395" w:rsidRPr="00D2429B" w:rsidRDefault="00452395" w:rsidP="00F74C17">
            <w:pPr>
              <w:bidi/>
              <w:spacing w:after="60"/>
              <w:jc w:val="left"/>
              <w:rPr>
                <w:sz w:val="16"/>
                <w:szCs w:val="16"/>
                <w:rtl/>
                <w:lang w:bidi="ar-EG"/>
              </w:rPr>
            </w:pPr>
            <w:r w:rsidRPr="00D2429B">
              <w:rPr>
                <w:bCs/>
                <w:sz w:val="16"/>
                <w:szCs w:val="16"/>
                <w:rtl/>
                <w:lang w:bidi="ar-AE"/>
              </w:rPr>
              <w:t>توصيات الأمانة:</w:t>
            </w:r>
          </w:p>
        </w:tc>
        <w:tc>
          <w:tcPr>
            <w:tcW w:w="7938" w:type="dxa"/>
          </w:tcPr>
          <w:p w14:paraId="3F9D5FBD" w14:textId="77777777" w:rsidR="00452395" w:rsidRPr="00D2429B" w:rsidRDefault="00A1451E" w:rsidP="00F74C17">
            <w:pPr>
              <w:bidi/>
              <w:spacing w:after="60"/>
              <w:jc w:val="center"/>
              <w:rPr>
                <w:sz w:val="16"/>
                <w:szCs w:val="16"/>
                <w:rtl/>
                <w:lang w:bidi="ar-EG"/>
              </w:rPr>
            </w:pPr>
            <w:r>
              <w:rPr>
                <w:rFonts w:hint="cs"/>
                <w:sz w:val="16"/>
                <w:szCs w:val="16"/>
                <w:rtl/>
                <w:lang w:bidi="ar-AE"/>
              </w:rPr>
              <w:t>الموافقة ال</w:t>
            </w:r>
            <w:r w:rsidR="001F3090">
              <w:rPr>
                <w:rFonts w:hint="cs"/>
                <w:sz w:val="16"/>
                <w:szCs w:val="16"/>
                <w:rtl/>
                <w:lang w:bidi="ar-AE"/>
              </w:rPr>
              <w:t>فردية</w:t>
            </w:r>
          </w:p>
        </w:tc>
      </w:tr>
    </w:tbl>
    <w:p w14:paraId="16C8A4C3" w14:textId="77777777" w:rsidR="00452395" w:rsidRPr="00346E37" w:rsidRDefault="00452395" w:rsidP="00452395">
      <w:pPr>
        <w:pStyle w:val="0Heading0"/>
        <w:bidi/>
        <w:rPr>
          <w:rFonts w:asciiTheme="majorBidi" w:hAnsiTheme="majorBidi" w:cstheme="majorBidi"/>
          <w:b/>
          <w:bCs/>
          <w:sz w:val="26"/>
          <w:szCs w:val="26"/>
          <w:lang w:val="fr-CA" w:bidi="ar-DZ"/>
        </w:rPr>
      </w:pPr>
    </w:p>
    <w:p w14:paraId="2A65973F" w14:textId="77777777" w:rsidR="004013C2" w:rsidRPr="003C4983" w:rsidRDefault="004013C2" w:rsidP="004013C2">
      <w:pPr>
        <w:pStyle w:val="0Heading0"/>
        <w:ind w:left="4"/>
        <w:jc w:val="center"/>
        <w:rPr>
          <w:b/>
          <w:bCs/>
          <w:sz w:val="26"/>
          <w:szCs w:val="26"/>
          <w:rtl/>
        </w:rPr>
      </w:pPr>
      <w:r>
        <w:rPr>
          <w:rFonts w:hint="cs"/>
          <w:b/>
          <w:bCs/>
          <w:sz w:val="26"/>
          <w:szCs w:val="26"/>
          <w:rtl/>
        </w:rPr>
        <w:lastRenderedPageBreak/>
        <w:t>وصف المشروع</w:t>
      </w:r>
    </w:p>
    <w:p w14:paraId="16680D87" w14:textId="77777777" w:rsidR="00DE6C5C" w:rsidRPr="003C4983" w:rsidRDefault="00DE6C5C" w:rsidP="00DE6C5C">
      <w:pPr>
        <w:pStyle w:val="0Heading0"/>
        <w:ind w:left="4"/>
        <w:jc w:val="right"/>
        <w:rPr>
          <w:b/>
          <w:bCs/>
          <w:sz w:val="26"/>
          <w:szCs w:val="26"/>
          <w:rtl/>
        </w:rPr>
      </w:pPr>
    </w:p>
    <w:p w14:paraId="30DBAC04" w14:textId="77777777" w:rsidR="00DE6C5C" w:rsidRPr="003C4983" w:rsidRDefault="00DE6C5C" w:rsidP="00DE6C5C">
      <w:pPr>
        <w:pStyle w:val="0Heading0"/>
        <w:ind w:left="4"/>
        <w:jc w:val="right"/>
        <w:rPr>
          <w:b/>
          <w:bCs/>
          <w:sz w:val="26"/>
          <w:szCs w:val="26"/>
          <w:rtl/>
        </w:rPr>
      </w:pPr>
      <w:r w:rsidRPr="003C4983">
        <w:rPr>
          <w:rFonts w:hint="cs"/>
          <w:b/>
          <w:bCs/>
          <w:sz w:val="26"/>
          <w:szCs w:val="26"/>
          <w:rtl/>
        </w:rPr>
        <w:t>الخلفية</w:t>
      </w:r>
    </w:p>
    <w:p w14:paraId="7662E33A" w14:textId="77777777" w:rsidR="004013C2" w:rsidRPr="003C4983" w:rsidRDefault="004013C2" w:rsidP="004013C2">
      <w:pPr>
        <w:pStyle w:val="0Heading0"/>
        <w:ind w:left="4"/>
        <w:jc w:val="right"/>
        <w:rPr>
          <w:sz w:val="26"/>
          <w:szCs w:val="26"/>
          <w:rtl/>
          <w:lang w:bidi="ar-DZ"/>
        </w:rPr>
      </w:pPr>
    </w:p>
    <w:p w14:paraId="4AB416BD" w14:textId="77777777" w:rsidR="004013C2" w:rsidRPr="003C4983" w:rsidRDefault="004013C2" w:rsidP="00DE6C5C">
      <w:pPr>
        <w:pStyle w:val="0Heading0"/>
        <w:bidi/>
        <w:ind w:left="4"/>
        <w:jc w:val="both"/>
        <w:rPr>
          <w:sz w:val="26"/>
          <w:szCs w:val="26"/>
          <w:rtl/>
          <w:lang w:bidi="ar-DZ"/>
        </w:rPr>
      </w:pPr>
      <w:r w:rsidRPr="003C4983">
        <w:rPr>
          <w:sz w:val="26"/>
          <w:szCs w:val="26"/>
          <w:rtl/>
          <w:lang w:bidi="ar-DZ"/>
        </w:rPr>
        <w:t>1.</w:t>
      </w:r>
      <w:r w:rsidRPr="003C4983">
        <w:rPr>
          <w:sz w:val="26"/>
          <w:szCs w:val="26"/>
          <w:rtl/>
          <w:lang w:bidi="ar-DZ"/>
        </w:rPr>
        <w:tab/>
        <w:t xml:space="preserve">بالنيابة عن </w:t>
      </w:r>
      <w:r w:rsidR="00DE6C5C" w:rsidRPr="003C4983">
        <w:rPr>
          <w:rFonts w:hint="cs"/>
          <w:sz w:val="26"/>
          <w:szCs w:val="26"/>
          <w:rtl/>
        </w:rPr>
        <w:t>غينيا</w:t>
      </w:r>
      <w:r w:rsidRPr="003C4983">
        <w:rPr>
          <w:rFonts w:hint="cs"/>
          <w:sz w:val="26"/>
          <w:szCs w:val="26"/>
          <w:rtl/>
          <w:lang w:bidi="ar-DZ"/>
        </w:rPr>
        <w:t>، ي</w:t>
      </w:r>
      <w:r w:rsidRPr="003C4983">
        <w:rPr>
          <w:sz w:val="26"/>
          <w:szCs w:val="26"/>
          <w:rtl/>
          <w:lang w:bidi="ar-DZ"/>
        </w:rPr>
        <w:t xml:space="preserve">قدم </w:t>
      </w:r>
      <w:r w:rsidRPr="003C4983">
        <w:rPr>
          <w:rFonts w:hint="cs"/>
          <w:sz w:val="26"/>
          <w:szCs w:val="26"/>
          <w:rtl/>
          <w:lang w:bidi="ar-DZ"/>
        </w:rPr>
        <w:t xml:space="preserve">برنامج الأمم المتحدة للبيئة، </w:t>
      </w:r>
      <w:r w:rsidRPr="003C4983">
        <w:rPr>
          <w:sz w:val="26"/>
          <w:szCs w:val="26"/>
          <w:rtl/>
          <w:lang w:bidi="ar-DZ"/>
        </w:rPr>
        <w:t>بوصفه الوكالة المنفذة الرئي</w:t>
      </w:r>
      <w:r w:rsidR="00DE6C5C" w:rsidRPr="003C4983">
        <w:rPr>
          <w:sz w:val="26"/>
          <w:szCs w:val="26"/>
          <w:rtl/>
          <w:lang w:bidi="ar-DZ"/>
        </w:rPr>
        <w:t>سية، طلبا لتمويل الشريح</w:t>
      </w:r>
      <w:r w:rsidR="00DE6C5C" w:rsidRPr="003C4983">
        <w:rPr>
          <w:rFonts w:hint="cs"/>
          <w:sz w:val="26"/>
          <w:szCs w:val="26"/>
          <w:rtl/>
          <w:lang w:bidi="ar-DZ"/>
        </w:rPr>
        <w:t>تين الثالثة والرابعة</w:t>
      </w:r>
      <w:r w:rsidRPr="003C4983">
        <w:rPr>
          <w:rFonts w:hint="cs"/>
          <w:sz w:val="26"/>
          <w:szCs w:val="26"/>
          <w:rtl/>
          <w:lang w:bidi="ar-DZ"/>
        </w:rPr>
        <w:t xml:space="preserve"> </w:t>
      </w:r>
      <w:r w:rsidRPr="003C4983">
        <w:rPr>
          <w:sz w:val="26"/>
          <w:szCs w:val="26"/>
          <w:rtl/>
          <w:lang w:bidi="ar-DZ"/>
        </w:rPr>
        <w:t>من المرحلة ال</w:t>
      </w:r>
      <w:r w:rsidRPr="003C4983">
        <w:rPr>
          <w:rFonts w:hint="cs"/>
          <w:sz w:val="26"/>
          <w:szCs w:val="26"/>
          <w:rtl/>
          <w:lang w:bidi="ar-DZ"/>
        </w:rPr>
        <w:t xml:space="preserve">أولى من </w:t>
      </w:r>
      <w:r w:rsidRPr="003C4983">
        <w:rPr>
          <w:sz w:val="26"/>
          <w:szCs w:val="26"/>
          <w:rtl/>
          <w:lang w:bidi="ar-DZ"/>
        </w:rPr>
        <w:t xml:space="preserve">خطة إدارة إزالة المواد الهيدروكلوروفلوروكربونية </w:t>
      </w:r>
      <w:r w:rsidR="00DE6C5C" w:rsidRPr="003C4983">
        <w:rPr>
          <w:rFonts w:hint="cs"/>
          <w:sz w:val="26"/>
          <w:szCs w:val="26"/>
          <w:rtl/>
          <w:lang w:bidi="ar-DZ"/>
        </w:rPr>
        <w:t>بكلفة إجمالية تساوي</w:t>
      </w:r>
      <w:r w:rsidRPr="003C4983">
        <w:rPr>
          <w:sz w:val="26"/>
          <w:szCs w:val="26"/>
          <w:rtl/>
          <w:lang w:bidi="ar-DZ"/>
        </w:rPr>
        <w:t xml:space="preserve"> </w:t>
      </w:r>
      <w:r w:rsidR="00DE6C5C" w:rsidRPr="003C4983">
        <w:rPr>
          <w:rFonts w:hint="cs"/>
          <w:sz w:val="26"/>
          <w:szCs w:val="26"/>
          <w:rtl/>
          <w:lang w:bidi="ar-DZ"/>
        </w:rPr>
        <w:t>302,450</w:t>
      </w:r>
      <w:r w:rsidRPr="003C4983">
        <w:rPr>
          <w:rFonts w:hint="cs"/>
          <w:sz w:val="26"/>
          <w:szCs w:val="26"/>
          <w:rtl/>
          <w:lang w:bidi="ar-DZ"/>
        </w:rPr>
        <w:t xml:space="preserve"> </w:t>
      </w:r>
      <w:r w:rsidRPr="003C4983">
        <w:rPr>
          <w:sz w:val="26"/>
          <w:szCs w:val="26"/>
          <w:rtl/>
          <w:lang w:bidi="ar-DZ"/>
        </w:rPr>
        <w:t>دولار</w:t>
      </w:r>
      <w:r w:rsidR="00DE6C5C" w:rsidRPr="003C4983">
        <w:rPr>
          <w:rFonts w:hint="cs"/>
          <w:sz w:val="26"/>
          <w:szCs w:val="26"/>
          <w:rtl/>
          <w:lang w:bidi="ar-DZ"/>
        </w:rPr>
        <w:t>ا</w:t>
      </w:r>
      <w:r w:rsidRPr="003C4983">
        <w:rPr>
          <w:sz w:val="26"/>
          <w:szCs w:val="26"/>
          <w:rtl/>
          <w:lang w:bidi="ar-DZ"/>
        </w:rPr>
        <w:t xml:space="preserve"> أمريكي</w:t>
      </w:r>
      <w:r w:rsidR="00DE6C5C" w:rsidRPr="003C4983">
        <w:rPr>
          <w:rFonts w:hint="cs"/>
          <w:sz w:val="26"/>
          <w:szCs w:val="26"/>
          <w:rtl/>
          <w:lang w:bidi="ar-DZ"/>
        </w:rPr>
        <w:t>ا</w:t>
      </w:r>
      <w:r w:rsidRPr="003C4983">
        <w:rPr>
          <w:rFonts w:hint="cs"/>
          <w:sz w:val="26"/>
          <w:szCs w:val="26"/>
          <w:rtl/>
          <w:lang w:bidi="ar-DZ"/>
        </w:rPr>
        <w:t xml:space="preserve">، </w:t>
      </w:r>
      <w:r w:rsidR="00DE6C5C" w:rsidRPr="003C4983">
        <w:rPr>
          <w:rFonts w:hint="cs"/>
          <w:sz w:val="26"/>
          <w:szCs w:val="26"/>
          <w:rtl/>
          <w:lang w:bidi="ar-DZ"/>
        </w:rPr>
        <w:t xml:space="preserve">أي 115,000 دولار أمريكي </w:t>
      </w:r>
      <w:r w:rsidRPr="003C4983">
        <w:rPr>
          <w:rFonts w:hint="cs"/>
          <w:sz w:val="26"/>
          <w:szCs w:val="26"/>
          <w:rtl/>
          <w:lang w:bidi="ar-DZ"/>
        </w:rPr>
        <w:t xml:space="preserve">زائد </w:t>
      </w:r>
      <w:r w:rsidR="00DE6C5C" w:rsidRPr="003C4983">
        <w:rPr>
          <w:rFonts w:hint="cs"/>
          <w:sz w:val="26"/>
          <w:szCs w:val="26"/>
          <w:rtl/>
          <w:lang w:bidi="ar-DZ"/>
        </w:rPr>
        <w:t>14,950</w:t>
      </w:r>
      <w:r w:rsidRPr="003C4983">
        <w:rPr>
          <w:rFonts w:hint="cs"/>
          <w:sz w:val="26"/>
          <w:szCs w:val="26"/>
          <w:rtl/>
          <w:lang w:bidi="ar-DZ"/>
        </w:rPr>
        <w:t xml:space="preserve"> دولارا أمريكيا لتكاليف الدعم لبرنامج الأمم المتحدة للبيئة</w:t>
      </w:r>
      <w:r w:rsidR="00B04671" w:rsidRPr="003C4983">
        <w:rPr>
          <w:rFonts w:hint="cs"/>
          <w:sz w:val="26"/>
          <w:szCs w:val="26"/>
          <w:rtl/>
          <w:lang w:bidi="ar-DZ"/>
        </w:rPr>
        <w:t>،</w:t>
      </w:r>
      <w:r w:rsidR="00DE6C5C" w:rsidRPr="003C4983">
        <w:rPr>
          <w:rFonts w:hint="cs"/>
          <w:sz w:val="26"/>
          <w:szCs w:val="26"/>
          <w:rtl/>
          <w:lang w:bidi="ar-DZ"/>
        </w:rPr>
        <w:t xml:space="preserve"> و160,000 دولار أمريكي زائد 12,000 دولار أمريكي لتكاليف الدعم لمنظمة الأمم المتحدة للتنمية الصناعية، على النحو المطلوب أصلا.</w:t>
      </w:r>
      <w:r w:rsidRPr="003C4983">
        <w:rPr>
          <w:rFonts w:hint="cs"/>
          <w:sz w:val="26"/>
          <w:szCs w:val="26"/>
          <w:rtl/>
          <w:lang w:bidi="ar-DZ"/>
        </w:rPr>
        <w:t xml:space="preserve"> </w:t>
      </w:r>
      <w:r w:rsidRPr="003C4983">
        <w:rPr>
          <w:sz w:val="26"/>
          <w:szCs w:val="26"/>
          <w:rtl/>
          <w:lang w:bidi="ar-DZ"/>
        </w:rPr>
        <w:t>ويشتمل الطلب على تقرير مرحلي عن تنفيذ الشر</w:t>
      </w:r>
      <w:r w:rsidRPr="003C4983">
        <w:rPr>
          <w:rFonts w:hint="cs"/>
          <w:sz w:val="26"/>
          <w:szCs w:val="26"/>
          <w:rtl/>
          <w:lang w:bidi="ar-DZ"/>
        </w:rPr>
        <w:t>يح</w:t>
      </w:r>
      <w:r w:rsidRPr="003C4983">
        <w:rPr>
          <w:sz w:val="26"/>
          <w:szCs w:val="26"/>
          <w:rtl/>
          <w:lang w:bidi="ar-DZ"/>
        </w:rPr>
        <w:t>ة ال</w:t>
      </w:r>
      <w:r w:rsidR="00DE6C5C" w:rsidRPr="003C4983">
        <w:rPr>
          <w:rFonts w:hint="cs"/>
          <w:sz w:val="26"/>
          <w:szCs w:val="26"/>
          <w:rtl/>
          <w:lang w:bidi="ar-DZ"/>
        </w:rPr>
        <w:t>ثاني</w:t>
      </w:r>
      <w:r w:rsidRPr="003C4983">
        <w:rPr>
          <w:rFonts w:hint="cs"/>
          <w:sz w:val="26"/>
          <w:szCs w:val="26"/>
          <w:rtl/>
          <w:lang w:bidi="ar-DZ"/>
        </w:rPr>
        <w:t>ة</w:t>
      </w:r>
      <w:r w:rsidRPr="003C4983">
        <w:rPr>
          <w:sz w:val="26"/>
          <w:szCs w:val="26"/>
          <w:rtl/>
          <w:lang w:bidi="ar-DZ"/>
        </w:rPr>
        <w:t xml:space="preserve"> وتقرير التحقق من استهلاك المواد الهيدروكلوروفلوروكربونية </w:t>
      </w:r>
      <w:r w:rsidR="00CA50B5" w:rsidRPr="003C4983">
        <w:rPr>
          <w:rFonts w:hint="cs"/>
          <w:sz w:val="26"/>
          <w:szCs w:val="26"/>
          <w:rtl/>
          <w:lang w:bidi="ar-DZ"/>
        </w:rPr>
        <w:t xml:space="preserve">في </w:t>
      </w:r>
      <w:r w:rsidR="00A1451E" w:rsidRPr="003C4983">
        <w:rPr>
          <w:rFonts w:hint="cs"/>
          <w:sz w:val="26"/>
          <w:szCs w:val="26"/>
          <w:rtl/>
          <w:lang w:bidi="ar-DZ"/>
        </w:rPr>
        <w:t xml:space="preserve">خلال الفترة </w:t>
      </w:r>
      <w:r w:rsidR="00DE6C5C" w:rsidRPr="003C4983">
        <w:rPr>
          <w:rFonts w:hint="cs"/>
          <w:sz w:val="26"/>
          <w:szCs w:val="26"/>
          <w:rtl/>
          <w:lang w:bidi="ar-DZ"/>
        </w:rPr>
        <w:t xml:space="preserve">2014 </w:t>
      </w:r>
      <w:r w:rsidR="00DE6C5C" w:rsidRPr="003C4983">
        <w:rPr>
          <w:sz w:val="26"/>
          <w:szCs w:val="26"/>
          <w:rtl/>
          <w:lang w:bidi="ar-DZ"/>
        </w:rPr>
        <w:t>–</w:t>
      </w:r>
      <w:r w:rsidR="00DE6C5C" w:rsidRPr="003C4983">
        <w:rPr>
          <w:rFonts w:hint="cs"/>
          <w:sz w:val="26"/>
          <w:szCs w:val="26"/>
          <w:rtl/>
          <w:lang w:bidi="ar-DZ"/>
        </w:rPr>
        <w:t xml:space="preserve"> 2019 </w:t>
      </w:r>
      <w:r w:rsidRPr="003C4983">
        <w:rPr>
          <w:sz w:val="26"/>
          <w:szCs w:val="26"/>
          <w:rtl/>
          <w:lang w:bidi="ar-DZ"/>
        </w:rPr>
        <w:t xml:space="preserve">وخطة </w:t>
      </w:r>
      <w:r w:rsidR="00DE6C5C" w:rsidRPr="003C4983">
        <w:rPr>
          <w:rFonts w:hint="cs"/>
          <w:sz w:val="26"/>
          <w:szCs w:val="26"/>
          <w:rtl/>
          <w:lang w:bidi="ar-DZ"/>
        </w:rPr>
        <w:t>ال</w:t>
      </w:r>
      <w:r w:rsidRPr="003C4983">
        <w:rPr>
          <w:sz w:val="26"/>
          <w:szCs w:val="26"/>
          <w:rtl/>
          <w:lang w:bidi="ar-DZ"/>
        </w:rPr>
        <w:t>تنفيذ ال</w:t>
      </w:r>
      <w:r w:rsidR="00DE6C5C" w:rsidRPr="003C4983">
        <w:rPr>
          <w:rFonts w:hint="cs"/>
          <w:sz w:val="26"/>
          <w:szCs w:val="26"/>
          <w:rtl/>
          <w:lang w:bidi="ar-DZ"/>
        </w:rPr>
        <w:t xml:space="preserve">سنوية </w:t>
      </w:r>
      <w:r w:rsidRPr="003C4983">
        <w:rPr>
          <w:sz w:val="26"/>
          <w:szCs w:val="26"/>
          <w:rtl/>
          <w:lang w:bidi="ar-DZ"/>
        </w:rPr>
        <w:t xml:space="preserve">في خلال </w:t>
      </w:r>
      <w:r w:rsidRPr="003C4983">
        <w:rPr>
          <w:rFonts w:hint="cs"/>
          <w:sz w:val="26"/>
          <w:szCs w:val="26"/>
          <w:rtl/>
          <w:lang w:bidi="ar-DZ"/>
        </w:rPr>
        <w:t xml:space="preserve">الفترة 2020 </w:t>
      </w:r>
      <w:r w:rsidRPr="003C4983">
        <w:rPr>
          <w:sz w:val="26"/>
          <w:szCs w:val="26"/>
          <w:rtl/>
          <w:lang w:bidi="ar-DZ"/>
        </w:rPr>
        <w:t>–</w:t>
      </w:r>
      <w:r w:rsidRPr="003C4983">
        <w:rPr>
          <w:rFonts w:hint="cs"/>
          <w:sz w:val="26"/>
          <w:szCs w:val="26"/>
          <w:rtl/>
          <w:lang w:bidi="ar-DZ"/>
        </w:rPr>
        <w:t xml:space="preserve"> 202</w:t>
      </w:r>
      <w:r w:rsidR="00DE6C5C" w:rsidRPr="003C4983">
        <w:rPr>
          <w:rFonts w:hint="cs"/>
          <w:sz w:val="26"/>
          <w:szCs w:val="26"/>
          <w:rtl/>
          <w:lang w:bidi="ar-DZ"/>
        </w:rPr>
        <w:t>2</w:t>
      </w:r>
      <w:r w:rsidRPr="003C4983">
        <w:rPr>
          <w:rFonts w:hint="cs"/>
          <w:sz w:val="26"/>
          <w:szCs w:val="26"/>
          <w:rtl/>
          <w:lang w:bidi="ar-DZ"/>
        </w:rPr>
        <w:t xml:space="preserve">. </w:t>
      </w:r>
    </w:p>
    <w:p w14:paraId="79D9356F" w14:textId="77777777" w:rsidR="00DE6C5C" w:rsidRPr="003C4983" w:rsidRDefault="00DE6C5C" w:rsidP="00DE6C5C">
      <w:pPr>
        <w:pStyle w:val="0Heading0"/>
        <w:bidi/>
        <w:ind w:left="4"/>
        <w:jc w:val="both"/>
        <w:rPr>
          <w:sz w:val="26"/>
          <w:szCs w:val="26"/>
          <w:rtl/>
          <w:lang w:bidi="ar-DZ"/>
        </w:rPr>
      </w:pPr>
    </w:p>
    <w:p w14:paraId="1CE3EF4B" w14:textId="77777777" w:rsidR="00DE6C5C" w:rsidRPr="003C4983" w:rsidRDefault="00DE6C5C" w:rsidP="00DE6C5C">
      <w:pPr>
        <w:pStyle w:val="0Heading0"/>
        <w:bidi/>
        <w:ind w:left="4"/>
        <w:jc w:val="both"/>
        <w:rPr>
          <w:b/>
          <w:bCs/>
          <w:sz w:val="26"/>
          <w:szCs w:val="26"/>
          <w:rtl/>
          <w:lang w:bidi="ar-DZ"/>
        </w:rPr>
      </w:pPr>
      <w:r w:rsidRPr="003C4983">
        <w:rPr>
          <w:rFonts w:hint="cs"/>
          <w:b/>
          <w:bCs/>
          <w:sz w:val="26"/>
          <w:szCs w:val="26"/>
          <w:rtl/>
          <w:lang w:bidi="ar-DZ"/>
        </w:rPr>
        <w:t>المقدمة</w:t>
      </w:r>
    </w:p>
    <w:p w14:paraId="6F5FCF68" w14:textId="77777777" w:rsidR="00DE6C5C" w:rsidRPr="003C4983" w:rsidRDefault="00DE6C5C" w:rsidP="00DE6C5C">
      <w:pPr>
        <w:pStyle w:val="0Heading0"/>
        <w:bidi/>
        <w:ind w:left="4"/>
        <w:jc w:val="both"/>
        <w:rPr>
          <w:b/>
          <w:bCs/>
          <w:sz w:val="26"/>
          <w:szCs w:val="26"/>
          <w:rtl/>
          <w:lang w:bidi="ar-DZ"/>
        </w:rPr>
      </w:pPr>
    </w:p>
    <w:p w14:paraId="49A4CDB4" w14:textId="77777777" w:rsidR="00DE6C5C" w:rsidRPr="003C4983" w:rsidRDefault="00DE6C5C" w:rsidP="00B04671">
      <w:pPr>
        <w:pStyle w:val="0Heading0"/>
        <w:bidi/>
        <w:ind w:left="4"/>
        <w:jc w:val="both"/>
        <w:rPr>
          <w:sz w:val="26"/>
          <w:szCs w:val="26"/>
          <w:rtl/>
        </w:rPr>
      </w:pPr>
      <w:r w:rsidRPr="003C4983">
        <w:rPr>
          <w:rFonts w:hint="cs"/>
          <w:sz w:val="26"/>
          <w:szCs w:val="26"/>
          <w:rtl/>
          <w:lang w:bidi="ar-DZ"/>
        </w:rPr>
        <w:t>2.</w:t>
      </w:r>
      <w:r w:rsidRPr="003C4983">
        <w:rPr>
          <w:rFonts w:hint="cs"/>
          <w:sz w:val="26"/>
          <w:szCs w:val="26"/>
          <w:rtl/>
          <w:lang w:bidi="ar-DZ"/>
        </w:rPr>
        <w:tab/>
        <w:t>في الاجتماع السادس والستين، رفعت غينيا إلى عناية اللجنة التنفيذية</w:t>
      </w:r>
      <w:r w:rsidR="00B04671" w:rsidRPr="003C4983">
        <w:rPr>
          <w:rFonts w:hint="cs"/>
          <w:sz w:val="26"/>
          <w:szCs w:val="26"/>
          <w:rtl/>
          <w:lang w:bidi="ar-DZ"/>
        </w:rPr>
        <w:t xml:space="preserve"> </w:t>
      </w:r>
      <w:r w:rsidR="00B04671" w:rsidRPr="003C4983">
        <w:rPr>
          <w:sz w:val="26"/>
          <w:szCs w:val="26"/>
          <w:rtl/>
          <w:lang w:bidi="ar-DZ"/>
        </w:rPr>
        <w:t>مقترح</w:t>
      </w:r>
      <w:r w:rsidRPr="003C4983">
        <w:rPr>
          <w:rFonts w:hint="cs"/>
          <w:sz w:val="26"/>
          <w:szCs w:val="26"/>
          <w:rtl/>
          <w:lang w:bidi="ar-DZ"/>
        </w:rPr>
        <w:t xml:space="preserve"> المرحلة الأولى من خطة إدارة إزالة المواد الهيدروكلوروفلوروكربونية</w:t>
      </w:r>
      <w:r w:rsidRPr="003C4983">
        <w:rPr>
          <w:rStyle w:val="FootnoteReference"/>
          <w:sz w:val="26"/>
          <w:szCs w:val="26"/>
          <w:rtl/>
          <w:lang w:bidi="ar-DZ"/>
        </w:rPr>
        <w:footnoteReference w:id="1"/>
      </w:r>
      <w:r w:rsidRPr="003C4983">
        <w:rPr>
          <w:rFonts w:hint="cs"/>
          <w:sz w:val="26"/>
          <w:szCs w:val="26"/>
          <w:rtl/>
          <w:lang w:bidi="ar-DZ"/>
        </w:rPr>
        <w:t xml:space="preserve">. واستنادا إلى المعلومات المجمعة أثناء وضع الخطة، حددت غينيا </w:t>
      </w:r>
      <w:r w:rsidRPr="003C4983">
        <w:rPr>
          <w:sz w:val="26"/>
          <w:szCs w:val="26"/>
          <w:rtl/>
          <w:lang w:bidi="ar-DZ"/>
        </w:rPr>
        <w:t>نقطة البداية للتخفيضات المجمعة المستدامة</w:t>
      </w:r>
      <w:r w:rsidR="00CC4210" w:rsidRPr="003C4983">
        <w:rPr>
          <w:rFonts w:hint="cs"/>
          <w:sz w:val="26"/>
          <w:szCs w:val="26"/>
          <w:rtl/>
          <w:lang w:bidi="ar-DZ"/>
        </w:rPr>
        <w:t xml:space="preserve"> </w:t>
      </w:r>
      <w:r w:rsidRPr="003C4983">
        <w:rPr>
          <w:rFonts w:hint="cs"/>
          <w:sz w:val="26"/>
          <w:szCs w:val="26"/>
          <w:rtl/>
          <w:lang w:bidi="ar-DZ"/>
        </w:rPr>
        <w:t xml:space="preserve">لاستهلاك المواد الهيدروكلوروفلوروكربونية وخط الأساس للامتثال (أي 22.6 طن من قدرات استنفاد الأوزون) </w:t>
      </w:r>
      <w:r w:rsidR="005F3511" w:rsidRPr="003C4983">
        <w:rPr>
          <w:rFonts w:hint="cs"/>
          <w:sz w:val="26"/>
          <w:szCs w:val="26"/>
          <w:rtl/>
          <w:lang w:bidi="ar-DZ"/>
        </w:rPr>
        <w:t>معتمدة في ذلك ع</w:t>
      </w:r>
      <w:r w:rsidR="00CC4210" w:rsidRPr="003C4983">
        <w:rPr>
          <w:rFonts w:hint="cs"/>
          <w:sz w:val="26"/>
          <w:szCs w:val="26"/>
          <w:rtl/>
          <w:lang w:bidi="ar-DZ"/>
        </w:rPr>
        <w:t>لى بيانات الاستهلاك ال</w:t>
      </w:r>
      <w:r w:rsidR="005F3511" w:rsidRPr="003C4983">
        <w:rPr>
          <w:rFonts w:hint="cs"/>
          <w:sz w:val="26"/>
          <w:szCs w:val="26"/>
          <w:rtl/>
          <w:lang w:bidi="ar-DZ"/>
        </w:rPr>
        <w:t>م</w:t>
      </w:r>
      <w:r w:rsidR="00CC4210" w:rsidRPr="003C4983">
        <w:rPr>
          <w:rFonts w:hint="cs"/>
          <w:sz w:val="26"/>
          <w:szCs w:val="26"/>
          <w:rtl/>
          <w:lang w:bidi="ar-DZ"/>
        </w:rPr>
        <w:t>بلغ عنه لعامي 2009 و2010، عملا بالمادة ال</w:t>
      </w:r>
      <w:r w:rsidR="005F3511" w:rsidRPr="003C4983">
        <w:rPr>
          <w:rFonts w:hint="cs"/>
          <w:sz w:val="26"/>
          <w:szCs w:val="26"/>
          <w:rtl/>
          <w:lang w:bidi="ar-DZ"/>
        </w:rPr>
        <w:t>سابعة من بروتوكول مونتريال، والت</w:t>
      </w:r>
      <w:r w:rsidR="00CC4210" w:rsidRPr="003C4983">
        <w:rPr>
          <w:rFonts w:hint="cs"/>
          <w:sz w:val="26"/>
          <w:szCs w:val="26"/>
          <w:rtl/>
          <w:lang w:bidi="ar-DZ"/>
        </w:rPr>
        <w:t>ي</w:t>
      </w:r>
      <w:r w:rsidR="005F3511" w:rsidRPr="003C4983">
        <w:rPr>
          <w:rFonts w:hint="cs"/>
          <w:sz w:val="26"/>
          <w:szCs w:val="26"/>
          <w:rtl/>
          <w:lang w:bidi="ar-DZ"/>
        </w:rPr>
        <w:t xml:space="preserve"> كانت تمثّل </w:t>
      </w:r>
      <w:r w:rsidRPr="003C4983">
        <w:rPr>
          <w:rFonts w:hint="cs"/>
          <w:sz w:val="26"/>
          <w:szCs w:val="26"/>
          <w:rtl/>
          <w:lang w:bidi="ar-DZ"/>
        </w:rPr>
        <w:t>21.80 و23.40 طن من قدرات استنفاد الأوزون</w:t>
      </w:r>
      <w:r w:rsidR="005F3511" w:rsidRPr="003C4983">
        <w:rPr>
          <w:rFonts w:hint="cs"/>
          <w:sz w:val="26"/>
          <w:szCs w:val="26"/>
          <w:rtl/>
          <w:lang w:bidi="ar-DZ"/>
        </w:rPr>
        <w:t>،</w:t>
      </w:r>
      <w:r w:rsidRPr="003C4983">
        <w:rPr>
          <w:rFonts w:hint="cs"/>
          <w:sz w:val="26"/>
          <w:szCs w:val="26"/>
          <w:rtl/>
          <w:lang w:bidi="ar-DZ"/>
        </w:rPr>
        <w:t xml:space="preserve"> </w:t>
      </w:r>
      <w:r w:rsidR="00CC4210" w:rsidRPr="003C4983">
        <w:rPr>
          <w:rFonts w:hint="cs"/>
          <w:sz w:val="26"/>
          <w:szCs w:val="26"/>
          <w:rtl/>
          <w:lang w:bidi="ar-DZ"/>
        </w:rPr>
        <w:t>على التوالي</w:t>
      </w:r>
      <w:r w:rsidRPr="003C4983">
        <w:rPr>
          <w:rFonts w:hint="cs"/>
          <w:sz w:val="26"/>
          <w:szCs w:val="26"/>
          <w:rtl/>
          <w:lang w:bidi="ar-DZ"/>
        </w:rPr>
        <w:t>.</w:t>
      </w:r>
    </w:p>
    <w:p w14:paraId="52745538" w14:textId="77777777" w:rsidR="00DE6C5C" w:rsidRPr="003C4983" w:rsidRDefault="00DE6C5C" w:rsidP="00DE6C5C">
      <w:pPr>
        <w:pStyle w:val="0Heading0"/>
        <w:bidi/>
        <w:ind w:left="4"/>
        <w:jc w:val="both"/>
        <w:rPr>
          <w:sz w:val="26"/>
          <w:szCs w:val="26"/>
          <w:rtl/>
        </w:rPr>
      </w:pPr>
    </w:p>
    <w:p w14:paraId="53F63596" w14:textId="77777777" w:rsidR="00DE6C5C" w:rsidRPr="003C4983" w:rsidRDefault="00DE6C5C" w:rsidP="00CC4210">
      <w:pPr>
        <w:pStyle w:val="Heading1"/>
        <w:numPr>
          <w:ilvl w:val="0"/>
          <w:numId w:val="30"/>
        </w:numPr>
        <w:bidi/>
        <w:rPr>
          <w:sz w:val="26"/>
          <w:szCs w:val="26"/>
          <w:rtl/>
        </w:rPr>
      </w:pPr>
      <w:r w:rsidRPr="003C4983">
        <w:rPr>
          <w:rFonts w:hint="cs"/>
          <w:sz w:val="26"/>
          <w:szCs w:val="26"/>
          <w:rtl/>
        </w:rPr>
        <w:t>ثم</w:t>
      </w:r>
      <w:r w:rsidR="00CC4210" w:rsidRPr="003C4983">
        <w:rPr>
          <w:rFonts w:hint="cs"/>
          <w:sz w:val="26"/>
          <w:szCs w:val="26"/>
          <w:rtl/>
        </w:rPr>
        <w:t xml:space="preserve"> قدمت غينيا،</w:t>
      </w:r>
      <w:r w:rsidRPr="003C4983">
        <w:rPr>
          <w:rFonts w:hint="cs"/>
          <w:sz w:val="26"/>
          <w:szCs w:val="26"/>
          <w:rtl/>
        </w:rPr>
        <w:t xml:space="preserve"> في الاجتماع الثاني والسبعين، طلب تمويل الشريحة الثانية</w:t>
      </w:r>
      <w:r w:rsidRPr="003C4983">
        <w:rPr>
          <w:rStyle w:val="FootnoteReference"/>
          <w:sz w:val="26"/>
          <w:szCs w:val="26"/>
          <w:rtl/>
        </w:rPr>
        <w:footnoteReference w:id="2"/>
      </w:r>
      <w:r w:rsidRPr="003C4983">
        <w:rPr>
          <w:rFonts w:hint="cs"/>
          <w:sz w:val="26"/>
          <w:szCs w:val="26"/>
          <w:rtl/>
        </w:rPr>
        <w:t>. وكان من المفروض أن يرفع الطلب آنذاك مشفوعا بتقرير التحقق من استهلاك المواد الهيدروكلوروفلوروكربونية في عام 2013 إلا أنّ التحقق لم يكن مكتملا. وعليه قدّر استهلاك المواد الهيدروكلوروفلوروكربوني</w:t>
      </w:r>
      <w:r w:rsidRPr="003C4983">
        <w:rPr>
          <w:rFonts w:hint="eastAsia"/>
          <w:sz w:val="26"/>
          <w:szCs w:val="26"/>
          <w:rtl/>
        </w:rPr>
        <w:t>ة</w:t>
      </w:r>
      <w:r w:rsidRPr="003C4983">
        <w:rPr>
          <w:rFonts w:hint="cs"/>
          <w:sz w:val="26"/>
          <w:szCs w:val="26"/>
          <w:rtl/>
        </w:rPr>
        <w:t xml:space="preserve"> لعام 2013 بـ 22.6 طن من قدرات استنفاد الأوزون (</w:t>
      </w:r>
      <w:r w:rsidR="00CC4210" w:rsidRPr="003C4983">
        <w:rPr>
          <w:rFonts w:hint="cs"/>
          <w:sz w:val="26"/>
          <w:szCs w:val="26"/>
          <w:rtl/>
        </w:rPr>
        <w:t xml:space="preserve">وهي القيمة المعتمدة في </w:t>
      </w:r>
      <w:r w:rsidRPr="003C4983">
        <w:rPr>
          <w:rFonts w:hint="cs"/>
          <w:sz w:val="26"/>
          <w:szCs w:val="26"/>
          <w:rtl/>
        </w:rPr>
        <w:t>خط الأساس للامتثال). وتعليلا لعدم رفع تقرير التحقق في حينه، شرح برنامج الأمم المتحدة للبيئة أنّه لم يتمّ استكمال جمع البيانات عن الاستهلاك وأنّها لن تكون متوفرة إلا في شهر مايو/أيار 2014؛ إلا أن المعلومات الأولية كانت تشير إلى أنّ الاستهلاك الفعلي قد يقلّ عن الاست</w:t>
      </w:r>
      <w:r w:rsidR="00AD626E" w:rsidRPr="003C4983">
        <w:rPr>
          <w:rFonts w:hint="cs"/>
          <w:sz w:val="26"/>
          <w:szCs w:val="26"/>
          <w:rtl/>
        </w:rPr>
        <w:t>هلاك المقدر بـ 22.6 طن من قدرات استنفاد الأوزون</w:t>
      </w:r>
      <w:r w:rsidR="00AD626E" w:rsidRPr="003C4983">
        <w:rPr>
          <w:rStyle w:val="FootnoteReference"/>
          <w:sz w:val="26"/>
          <w:szCs w:val="26"/>
          <w:rtl/>
        </w:rPr>
        <w:footnoteReference w:id="3"/>
      </w:r>
      <w:r w:rsidR="00AD626E" w:rsidRPr="003C4983">
        <w:rPr>
          <w:rFonts w:hint="cs"/>
          <w:sz w:val="26"/>
          <w:szCs w:val="26"/>
          <w:rtl/>
        </w:rPr>
        <w:t>. وبعد أن أقرّت اللجنة التنفيذية الشريحة الثانية، قدم برنامج الأمم المتحدة للبيئة تقرير التحقق المستقل حيث تبيّن أنّ استهلاك المواد الهيدروكلوروفلوروكربونية بلغ، في عام 2013، 7.32 طن من قدرات استنفاد الأوزون أي بما يزيد بـ 0.24 طن من قدرات استنفاد الأوزون على استهلاك 7.</w:t>
      </w:r>
      <w:r w:rsidR="00196973" w:rsidRPr="003C4983">
        <w:rPr>
          <w:rFonts w:hint="cs"/>
          <w:sz w:val="26"/>
          <w:szCs w:val="26"/>
          <w:rtl/>
        </w:rPr>
        <w:t xml:space="preserve">08 طن من قدرات استنفاد الأوزون </w:t>
      </w:r>
      <w:r w:rsidR="00AD626E" w:rsidRPr="003C4983">
        <w:rPr>
          <w:rFonts w:hint="cs"/>
          <w:sz w:val="26"/>
          <w:szCs w:val="26"/>
          <w:rtl/>
        </w:rPr>
        <w:t>المبلغ عنه في عام 2013</w:t>
      </w:r>
      <w:r w:rsidR="00AD626E" w:rsidRPr="003C4983">
        <w:rPr>
          <w:rStyle w:val="FootnoteReference"/>
          <w:sz w:val="26"/>
          <w:szCs w:val="26"/>
          <w:rtl/>
        </w:rPr>
        <w:footnoteReference w:id="4"/>
      </w:r>
      <w:r w:rsidR="00AD626E" w:rsidRPr="003C4983">
        <w:rPr>
          <w:rFonts w:hint="cs"/>
          <w:sz w:val="26"/>
          <w:szCs w:val="26"/>
          <w:rtl/>
        </w:rPr>
        <w:t xml:space="preserve"> كما تبيّن أنّ هذا الرقم ثلاث مرات أكثر انخفاضا من استهلاك 22.19 طن من قدرات استنفاد الأوزون المبلغ عنه في عام 2012.</w:t>
      </w:r>
    </w:p>
    <w:p w14:paraId="27729914" w14:textId="77777777" w:rsidR="009B2F57" w:rsidRPr="003C4983" w:rsidRDefault="00AD626E" w:rsidP="005F3511">
      <w:pPr>
        <w:pStyle w:val="Heading1"/>
        <w:bidi/>
        <w:rPr>
          <w:sz w:val="26"/>
          <w:szCs w:val="26"/>
          <w:rtl/>
          <w:lang w:val="fr-CA"/>
        </w:rPr>
      </w:pPr>
      <w:r w:rsidRPr="003C4983">
        <w:rPr>
          <w:rFonts w:hint="cs"/>
          <w:sz w:val="26"/>
          <w:szCs w:val="26"/>
          <w:rtl/>
        </w:rPr>
        <w:t>وقد تراجع استهلاك الهيدروكلوروفلوروكربون بصورة تدريجية بين عامي 2013 و2016 و</w:t>
      </w:r>
      <w:r w:rsidR="00196973" w:rsidRPr="003C4983">
        <w:rPr>
          <w:rFonts w:hint="cs"/>
          <w:sz w:val="26"/>
          <w:szCs w:val="26"/>
          <w:rtl/>
        </w:rPr>
        <w:t xml:space="preserve">ذلك </w:t>
      </w:r>
      <w:r w:rsidRPr="003C4983">
        <w:rPr>
          <w:rFonts w:hint="cs"/>
          <w:sz w:val="26"/>
          <w:szCs w:val="26"/>
          <w:rtl/>
        </w:rPr>
        <w:t xml:space="preserve">لغاية سنة 2017 حيث سجل </w:t>
      </w:r>
      <w:r w:rsidR="005F3511" w:rsidRPr="003C4983">
        <w:rPr>
          <w:rFonts w:hint="cs"/>
          <w:sz w:val="26"/>
          <w:szCs w:val="26"/>
          <w:rtl/>
        </w:rPr>
        <w:t>انخفاضا</w:t>
      </w:r>
      <w:r w:rsidRPr="003C4983">
        <w:rPr>
          <w:rFonts w:hint="cs"/>
          <w:sz w:val="26"/>
          <w:szCs w:val="26"/>
          <w:rtl/>
        </w:rPr>
        <w:t xml:space="preserve"> ي</w:t>
      </w:r>
      <w:r w:rsidR="00196973" w:rsidRPr="003C4983">
        <w:rPr>
          <w:rFonts w:hint="cs"/>
          <w:sz w:val="26"/>
          <w:szCs w:val="26"/>
          <w:rtl/>
        </w:rPr>
        <w:t xml:space="preserve">مثل </w:t>
      </w:r>
      <w:r w:rsidRPr="003C4983">
        <w:rPr>
          <w:rFonts w:hint="cs"/>
          <w:sz w:val="26"/>
          <w:szCs w:val="26"/>
          <w:rtl/>
        </w:rPr>
        <w:t xml:space="preserve">50 في المائة </w:t>
      </w:r>
      <w:r w:rsidR="00196973" w:rsidRPr="003C4983">
        <w:rPr>
          <w:rFonts w:hint="cs"/>
          <w:sz w:val="26"/>
          <w:szCs w:val="26"/>
          <w:rtl/>
        </w:rPr>
        <w:t xml:space="preserve">تقريبا </w:t>
      </w:r>
      <w:r w:rsidRPr="003C4983">
        <w:rPr>
          <w:rFonts w:hint="cs"/>
          <w:sz w:val="26"/>
          <w:szCs w:val="26"/>
          <w:rtl/>
        </w:rPr>
        <w:t>من استهلاك العام السابق</w:t>
      </w:r>
      <w:r w:rsidR="009B2F57" w:rsidRPr="003C4983">
        <w:rPr>
          <w:rFonts w:hint="cs"/>
          <w:sz w:val="26"/>
          <w:szCs w:val="26"/>
          <w:rtl/>
          <w:lang w:val="fr-CA" w:bidi="ar-SA"/>
        </w:rPr>
        <w:t xml:space="preserve">؛ ومنذ ذلك الحين، يتراجع الاستهلاك بصورة تدريجية. </w:t>
      </w:r>
      <w:r w:rsidR="009B2F57" w:rsidRPr="003C4983">
        <w:rPr>
          <w:sz w:val="26"/>
          <w:szCs w:val="26"/>
          <w:rtl/>
        </w:rPr>
        <w:t xml:space="preserve">ويرد استهلاك المواد الهيدروكلوروفلوروكربونية في </w:t>
      </w:r>
      <w:r w:rsidR="009B2F57" w:rsidRPr="003C4983">
        <w:rPr>
          <w:rFonts w:hint="cs"/>
          <w:sz w:val="26"/>
          <w:szCs w:val="26"/>
          <w:rtl/>
        </w:rPr>
        <w:t xml:space="preserve">خلال </w:t>
      </w:r>
      <w:r w:rsidR="009B2F57" w:rsidRPr="003C4983">
        <w:rPr>
          <w:sz w:val="26"/>
          <w:szCs w:val="26"/>
          <w:rtl/>
        </w:rPr>
        <w:t xml:space="preserve">الفترة </w:t>
      </w:r>
      <w:r w:rsidR="009B2F57" w:rsidRPr="003C4983">
        <w:rPr>
          <w:rFonts w:hint="cs"/>
          <w:sz w:val="26"/>
          <w:szCs w:val="26"/>
          <w:rtl/>
        </w:rPr>
        <w:t xml:space="preserve">2011 </w:t>
      </w:r>
      <w:r w:rsidR="009B2F57" w:rsidRPr="003C4983">
        <w:rPr>
          <w:sz w:val="26"/>
          <w:szCs w:val="26"/>
          <w:rtl/>
        </w:rPr>
        <w:t>–</w:t>
      </w:r>
      <w:r w:rsidR="009B2F57" w:rsidRPr="003C4983">
        <w:rPr>
          <w:rFonts w:hint="cs"/>
          <w:sz w:val="26"/>
          <w:szCs w:val="26"/>
          <w:rtl/>
        </w:rPr>
        <w:t xml:space="preserve"> 2019 </w:t>
      </w:r>
      <w:r w:rsidR="009B2F57" w:rsidRPr="003C4983">
        <w:rPr>
          <w:sz w:val="26"/>
          <w:szCs w:val="26"/>
          <w:rtl/>
        </w:rPr>
        <w:t>في الجدول 1.</w:t>
      </w:r>
      <w:r w:rsidR="009B2F57" w:rsidRPr="003C4983">
        <w:rPr>
          <w:sz w:val="26"/>
          <w:szCs w:val="26"/>
          <w:rtl/>
          <w:lang w:val="fr-CA"/>
        </w:rPr>
        <w:t xml:space="preserve"> </w:t>
      </w:r>
    </w:p>
    <w:p w14:paraId="72676915" w14:textId="77777777" w:rsidR="009B2F57" w:rsidRPr="003C4983" w:rsidRDefault="009B2F57" w:rsidP="00196973">
      <w:pPr>
        <w:bidi/>
        <w:rPr>
          <w:b/>
          <w:bCs/>
          <w:szCs w:val="24"/>
          <w:rtl/>
          <w:lang w:val="fr-CA"/>
        </w:rPr>
      </w:pPr>
      <w:r w:rsidRPr="003C4983">
        <w:rPr>
          <w:rFonts w:hint="cs"/>
          <w:b/>
          <w:bCs/>
          <w:szCs w:val="24"/>
          <w:rtl/>
          <w:lang w:val="fr-CA"/>
        </w:rPr>
        <w:t>الجدول 1. استهلاك ال</w:t>
      </w:r>
      <w:r w:rsidRPr="003C4983">
        <w:rPr>
          <w:b/>
          <w:bCs/>
          <w:szCs w:val="24"/>
          <w:rtl/>
          <w:lang w:val="fr-CA"/>
        </w:rPr>
        <w:t>م</w:t>
      </w:r>
      <w:r w:rsidRPr="003C4983">
        <w:rPr>
          <w:rFonts w:hint="cs"/>
          <w:b/>
          <w:bCs/>
          <w:szCs w:val="24"/>
          <w:rtl/>
          <w:lang w:val="fr-CA"/>
        </w:rPr>
        <w:t>و</w:t>
      </w:r>
      <w:r w:rsidRPr="003C4983">
        <w:rPr>
          <w:b/>
          <w:bCs/>
          <w:szCs w:val="24"/>
          <w:rtl/>
          <w:lang w:val="fr-CA"/>
        </w:rPr>
        <w:t>اد الهيدروكلوروفلوروكربون</w:t>
      </w:r>
      <w:r w:rsidRPr="003C4983">
        <w:rPr>
          <w:rFonts w:hint="cs"/>
          <w:b/>
          <w:bCs/>
          <w:szCs w:val="24"/>
          <w:rtl/>
          <w:lang w:val="fr-CA"/>
        </w:rPr>
        <w:t>ية في</w:t>
      </w:r>
      <w:r w:rsidR="00196973" w:rsidRPr="003C4983">
        <w:rPr>
          <w:rFonts w:hint="cs"/>
          <w:b/>
          <w:bCs/>
          <w:szCs w:val="24"/>
          <w:rtl/>
          <w:lang w:val="fr-CA"/>
        </w:rPr>
        <w:t xml:space="preserve"> غينيا</w:t>
      </w:r>
      <w:r w:rsidRPr="003C4983">
        <w:rPr>
          <w:rFonts w:hint="cs"/>
          <w:b/>
          <w:bCs/>
          <w:szCs w:val="24"/>
          <w:rtl/>
          <w:lang w:val="fr-CA"/>
        </w:rPr>
        <w:t xml:space="preserve"> (بيانات الفترة 201</w:t>
      </w:r>
      <w:r w:rsidR="00196973" w:rsidRPr="003C4983">
        <w:rPr>
          <w:rFonts w:hint="cs"/>
          <w:b/>
          <w:bCs/>
          <w:szCs w:val="24"/>
          <w:rtl/>
          <w:lang w:val="fr-CA"/>
        </w:rPr>
        <w:t>1</w:t>
      </w:r>
      <w:r w:rsidRPr="003C4983">
        <w:rPr>
          <w:rFonts w:hint="cs"/>
          <w:b/>
          <w:bCs/>
          <w:szCs w:val="24"/>
          <w:rtl/>
          <w:lang w:val="fr-CA"/>
        </w:rPr>
        <w:t xml:space="preserve"> </w:t>
      </w:r>
      <w:r w:rsidRPr="003C4983">
        <w:rPr>
          <w:b/>
          <w:bCs/>
          <w:szCs w:val="24"/>
          <w:rtl/>
          <w:lang w:val="fr-CA"/>
        </w:rPr>
        <w:t>–</w:t>
      </w:r>
      <w:r w:rsidRPr="003C4983">
        <w:rPr>
          <w:rFonts w:hint="cs"/>
          <w:b/>
          <w:bCs/>
          <w:szCs w:val="24"/>
          <w:rtl/>
          <w:lang w:val="fr-CA"/>
        </w:rPr>
        <w:t xml:space="preserve"> 2019 المقدّمة عملا بالمادة 7)</w:t>
      </w:r>
    </w:p>
    <w:tbl>
      <w:tblPr>
        <w:tblStyle w:val="TableGrid"/>
        <w:bidiVisual/>
        <w:tblW w:w="5010" w:type="pct"/>
        <w:tblInd w:w="-6" w:type="dxa"/>
        <w:tblLook w:val="04A0" w:firstRow="1" w:lastRow="0" w:firstColumn="1" w:lastColumn="0" w:noHBand="0" w:noVBand="1"/>
      </w:tblPr>
      <w:tblGrid>
        <w:gridCol w:w="2086"/>
        <w:gridCol w:w="715"/>
        <w:gridCol w:w="718"/>
        <w:gridCol w:w="716"/>
        <w:gridCol w:w="718"/>
        <w:gridCol w:w="716"/>
        <w:gridCol w:w="718"/>
        <w:gridCol w:w="716"/>
        <w:gridCol w:w="718"/>
        <w:gridCol w:w="718"/>
        <w:gridCol w:w="830"/>
      </w:tblGrid>
      <w:tr w:rsidR="009B2F57" w14:paraId="7D697CEF" w14:textId="77777777" w:rsidTr="009B2F57">
        <w:trPr>
          <w:trHeight w:val="184"/>
        </w:trPr>
        <w:tc>
          <w:tcPr>
            <w:tcW w:w="1114" w:type="pct"/>
          </w:tcPr>
          <w:p w14:paraId="04373C26" w14:textId="77777777" w:rsidR="009B2F57" w:rsidRPr="008C1C70" w:rsidRDefault="009B2F57" w:rsidP="00A12E76">
            <w:pPr>
              <w:bidi/>
              <w:rPr>
                <w:b/>
                <w:bCs/>
                <w:sz w:val="16"/>
                <w:szCs w:val="16"/>
                <w:rtl/>
                <w:lang w:val="fr-CA"/>
              </w:rPr>
            </w:pPr>
            <w:r>
              <w:rPr>
                <w:rFonts w:hint="cs"/>
                <w:b/>
                <w:bCs/>
                <w:sz w:val="16"/>
                <w:szCs w:val="16"/>
                <w:rtl/>
                <w:lang w:val="fr-CA"/>
              </w:rPr>
              <w:t>الهيدروكلوروفلوروكربون-22</w:t>
            </w:r>
          </w:p>
        </w:tc>
        <w:tc>
          <w:tcPr>
            <w:tcW w:w="382" w:type="pct"/>
          </w:tcPr>
          <w:p w14:paraId="560B3879" w14:textId="77777777" w:rsidR="009B2F57" w:rsidRDefault="009B2F57" w:rsidP="00A12E76">
            <w:pPr>
              <w:bidi/>
              <w:jc w:val="center"/>
              <w:rPr>
                <w:b/>
                <w:bCs/>
                <w:sz w:val="16"/>
                <w:szCs w:val="16"/>
                <w:rtl/>
                <w:lang w:val="fr-CA"/>
              </w:rPr>
            </w:pPr>
            <w:r>
              <w:rPr>
                <w:rFonts w:hint="cs"/>
                <w:b/>
                <w:bCs/>
                <w:sz w:val="16"/>
                <w:szCs w:val="16"/>
                <w:rtl/>
                <w:lang w:val="fr-CA"/>
              </w:rPr>
              <w:t>2011</w:t>
            </w:r>
          </w:p>
        </w:tc>
        <w:tc>
          <w:tcPr>
            <w:tcW w:w="383" w:type="pct"/>
          </w:tcPr>
          <w:p w14:paraId="07825C6B" w14:textId="77777777" w:rsidR="009B2F57" w:rsidRDefault="009B2F57" w:rsidP="00A12E76">
            <w:pPr>
              <w:bidi/>
              <w:jc w:val="center"/>
              <w:rPr>
                <w:b/>
                <w:bCs/>
                <w:sz w:val="16"/>
                <w:szCs w:val="16"/>
                <w:rtl/>
                <w:lang w:val="fr-CA"/>
              </w:rPr>
            </w:pPr>
            <w:r>
              <w:rPr>
                <w:rFonts w:hint="cs"/>
                <w:b/>
                <w:bCs/>
                <w:sz w:val="16"/>
                <w:szCs w:val="16"/>
                <w:rtl/>
                <w:lang w:val="fr-CA"/>
              </w:rPr>
              <w:t>2012</w:t>
            </w:r>
          </w:p>
        </w:tc>
        <w:tc>
          <w:tcPr>
            <w:tcW w:w="382" w:type="pct"/>
          </w:tcPr>
          <w:p w14:paraId="2F201BE9" w14:textId="77777777" w:rsidR="009B2F57" w:rsidRDefault="009B2F57" w:rsidP="00A12E76">
            <w:pPr>
              <w:bidi/>
              <w:jc w:val="center"/>
              <w:rPr>
                <w:b/>
                <w:bCs/>
                <w:sz w:val="16"/>
                <w:szCs w:val="16"/>
                <w:rtl/>
                <w:lang w:val="fr-CA"/>
              </w:rPr>
            </w:pPr>
            <w:r>
              <w:rPr>
                <w:rFonts w:hint="cs"/>
                <w:b/>
                <w:bCs/>
                <w:sz w:val="16"/>
                <w:szCs w:val="16"/>
                <w:rtl/>
                <w:lang w:val="fr-CA"/>
              </w:rPr>
              <w:t>2013</w:t>
            </w:r>
          </w:p>
        </w:tc>
        <w:tc>
          <w:tcPr>
            <w:tcW w:w="383" w:type="pct"/>
          </w:tcPr>
          <w:p w14:paraId="7DDB8578" w14:textId="77777777" w:rsidR="009B2F57" w:rsidRDefault="009B2F57" w:rsidP="00A12E76">
            <w:pPr>
              <w:bidi/>
              <w:jc w:val="center"/>
              <w:rPr>
                <w:b/>
                <w:bCs/>
                <w:sz w:val="16"/>
                <w:szCs w:val="16"/>
                <w:rtl/>
                <w:lang w:val="fr-CA"/>
              </w:rPr>
            </w:pPr>
            <w:r>
              <w:rPr>
                <w:rFonts w:hint="cs"/>
                <w:b/>
                <w:bCs/>
                <w:sz w:val="16"/>
                <w:szCs w:val="16"/>
                <w:rtl/>
                <w:lang w:val="fr-CA"/>
              </w:rPr>
              <w:t>2014</w:t>
            </w:r>
          </w:p>
        </w:tc>
        <w:tc>
          <w:tcPr>
            <w:tcW w:w="382" w:type="pct"/>
          </w:tcPr>
          <w:p w14:paraId="699C45E7" w14:textId="77777777" w:rsidR="009B2F57" w:rsidRPr="008C1C70" w:rsidRDefault="009B2F57" w:rsidP="00A12E76">
            <w:pPr>
              <w:bidi/>
              <w:jc w:val="center"/>
              <w:rPr>
                <w:b/>
                <w:bCs/>
                <w:sz w:val="16"/>
                <w:szCs w:val="16"/>
                <w:rtl/>
                <w:lang w:val="fr-CA"/>
              </w:rPr>
            </w:pPr>
            <w:r>
              <w:rPr>
                <w:rFonts w:hint="cs"/>
                <w:b/>
                <w:bCs/>
                <w:sz w:val="16"/>
                <w:szCs w:val="16"/>
                <w:rtl/>
                <w:lang w:val="fr-CA"/>
              </w:rPr>
              <w:t>2015</w:t>
            </w:r>
          </w:p>
        </w:tc>
        <w:tc>
          <w:tcPr>
            <w:tcW w:w="383" w:type="pct"/>
          </w:tcPr>
          <w:p w14:paraId="2B328BC1" w14:textId="77777777" w:rsidR="009B2F57" w:rsidRPr="008C1C70" w:rsidRDefault="009B2F57" w:rsidP="00A12E76">
            <w:pPr>
              <w:bidi/>
              <w:jc w:val="center"/>
              <w:rPr>
                <w:b/>
                <w:bCs/>
                <w:sz w:val="16"/>
                <w:szCs w:val="16"/>
                <w:rtl/>
                <w:lang w:val="fr-CA"/>
              </w:rPr>
            </w:pPr>
            <w:r>
              <w:rPr>
                <w:rFonts w:hint="cs"/>
                <w:b/>
                <w:bCs/>
                <w:sz w:val="16"/>
                <w:szCs w:val="16"/>
                <w:rtl/>
                <w:lang w:val="fr-CA"/>
              </w:rPr>
              <w:t>2016</w:t>
            </w:r>
          </w:p>
        </w:tc>
        <w:tc>
          <w:tcPr>
            <w:tcW w:w="382" w:type="pct"/>
          </w:tcPr>
          <w:p w14:paraId="4D2846FA" w14:textId="77777777" w:rsidR="009B2F57" w:rsidRPr="008C1C70" w:rsidRDefault="009B2F57" w:rsidP="00A12E76">
            <w:pPr>
              <w:bidi/>
              <w:jc w:val="center"/>
              <w:rPr>
                <w:b/>
                <w:bCs/>
                <w:sz w:val="16"/>
                <w:szCs w:val="16"/>
                <w:rtl/>
                <w:lang w:val="fr-CA"/>
              </w:rPr>
            </w:pPr>
            <w:r>
              <w:rPr>
                <w:rFonts w:hint="cs"/>
                <w:b/>
                <w:bCs/>
                <w:sz w:val="16"/>
                <w:szCs w:val="16"/>
                <w:rtl/>
                <w:lang w:val="fr-CA"/>
              </w:rPr>
              <w:t>2017</w:t>
            </w:r>
          </w:p>
        </w:tc>
        <w:tc>
          <w:tcPr>
            <w:tcW w:w="383" w:type="pct"/>
          </w:tcPr>
          <w:p w14:paraId="1D37B2D3" w14:textId="77777777" w:rsidR="009B2F57" w:rsidRPr="008C1C70" w:rsidRDefault="009B2F57" w:rsidP="00A12E76">
            <w:pPr>
              <w:bidi/>
              <w:jc w:val="center"/>
              <w:rPr>
                <w:b/>
                <w:bCs/>
                <w:sz w:val="16"/>
                <w:szCs w:val="16"/>
                <w:rtl/>
                <w:lang w:val="fr-CA"/>
              </w:rPr>
            </w:pPr>
            <w:r>
              <w:rPr>
                <w:rFonts w:hint="cs"/>
                <w:b/>
                <w:bCs/>
                <w:sz w:val="16"/>
                <w:szCs w:val="16"/>
                <w:rtl/>
                <w:lang w:val="fr-CA"/>
              </w:rPr>
              <w:t>2018</w:t>
            </w:r>
          </w:p>
        </w:tc>
        <w:tc>
          <w:tcPr>
            <w:tcW w:w="383" w:type="pct"/>
          </w:tcPr>
          <w:p w14:paraId="7CD3FF7F" w14:textId="77777777" w:rsidR="009B2F57" w:rsidRPr="008C1C70" w:rsidRDefault="009B2F57" w:rsidP="00A12E76">
            <w:pPr>
              <w:bidi/>
              <w:jc w:val="center"/>
              <w:rPr>
                <w:b/>
                <w:bCs/>
                <w:sz w:val="16"/>
                <w:szCs w:val="16"/>
                <w:rtl/>
                <w:lang w:val="fr-CA"/>
              </w:rPr>
            </w:pPr>
            <w:r>
              <w:rPr>
                <w:rFonts w:hint="cs"/>
                <w:b/>
                <w:bCs/>
                <w:sz w:val="16"/>
                <w:szCs w:val="16"/>
                <w:rtl/>
                <w:lang w:val="fr-CA"/>
              </w:rPr>
              <w:t>2019</w:t>
            </w:r>
          </w:p>
        </w:tc>
        <w:tc>
          <w:tcPr>
            <w:tcW w:w="444" w:type="pct"/>
          </w:tcPr>
          <w:p w14:paraId="6BFDA9D7" w14:textId="77777777" w:rsidR="009B2F57" w:rsidRPr="008C1C70" w:rsidRDefault="009B2F57" w:rsidP="00A12E76">
            <w:pPr>
              <w:bidi/>
              <w:jc w:val="center"/>
              <w:rPr>
                <w:b/>
                <w:bCs/>
                <w:sz w:val="16"/>
                <w:szCs w:val="16"/>
                <w:rtl/>
                <w:lang w:val="fr-CA"/>
              </w:rPr>
            </w:pPr>
            <w:r>
              <w:rPr>
                <w:rFonts w:hint="cs"/>
                <w:b/>
                <w:bCs/>
                <w:sz w:val="16"/>
                <w:szCs w:val="16"/>
                <w:rtl/>
                <w:lang w:val="fr-CA"/>
              </w:rPr>
              <w:t>خط الأساس</w:t>
            </w:r>
          </w:p>
        </w:tc>
      </w:tr>
      <w:tr w:rsidR="009B2F57" w14:paraId="5A064B67" w14:textId="77777777" w:rsidTr="009B2F57">
        <w:trPr>
          <w:trHeight w:val="184"/>
        </w:trPr>
        <w:tc>
          <w:tcPr>
            <w:tcW w:w="1114" w:type="pct"/>
          </w:tcPr>
          <w:p w14:paraId="52EAE950" w14:textId="77777777" w:rsidR="009B2F57" w:rsidRPr="00BB51D2" w:rsidRDefault="009B2F57" w:rsidP="00A12E76">
            <w:pPr>
              <w:bidi/>
              <w:rPr>
                <w:sz w:val="16"/>
                <w:szCs w:val="16"/>
                <w:rtl/>
                <w:lang w:val="fr-CA"/>
              </w:rPr>
            </w:pPr>
            <w:r w:rsidRPr="00BB51D2">
              <w:rPr>
                <w:rFonts w:hint="cs"/>
                <w:sz w:val="16"/>
                <w:szCs w:val="16"/>
                <w:rtl/>
                <w:lang w:val="fr-CA"/>
              </w:rPr>
              <w:t>بالأطنان المترية</w:t>
            </w:r>
          </w:p>
        </w:tc>
        <w:tc>
          <w:tcPr>
            <w:tcW w:w="382" w:type="pct"/>
          </w:tcPr>
          <w:p w14:paraId="19059215" w14:textId="77777777" w:rsidR="009B2F57" w:rsidRPr="00BB51D2" w:rsidRDefault="009B2F57" w:rsidP="00A12E76">
            <w:pPr>
              <w:bidi/>
              <w:rPr>
                <w:sz w:val="16"/>
                <w:szCs w:val="16"/>
                <w:rtl/>
                <w:lang w:val="fr-CA"/>
              </w:rPr>
            </w:pPr>
            <w:r>
              <w:rPr>
                <w:rFonts w:hint="cs"/>
                <w:sz w:val="16"/>
                <w:szCs w:val="16"/>
                <w:rtl/>
                <w:lang w:val="fr-CA"/>
              </w:rPr>
              <w:t>446.00</w:t>
            </w:r>
          </w:p>
        </w:tc>
        <w:tc>
          <w:tcPr>
            <w:tcW w:w="383" w:type="pct"/>
          </w:tcPr>
          <w:p w14:paraId="05C1F850" w14:textId="77777777" w:rsidR="009B2F57" w:rsidRPr="00BB51D2" w:rsidRDefault="009B2F57" w:rsidP="00A12E76">
            <w:pPr>
              <w:bidi/>
              <w:rPr>
                <w:sz w:val="16"/>
                <w:szCs w:val="16"/>
                <w:rtl/>
                <w:lang w:val="fr-CA"/>
              </w:rPr>
            </w:pPr>
            <w:r>
              <w:rPr>
                <w:rFonts w:hint="cs"/>
                <w:sz w:val="16"/>
                <w:szCs w:val="16"/>
                <w:rtl/>
                <w:lang w:val="fr-CA"/>
              </w:rPr>
              <w:t>403.56</w:t>
            </w:r>
          </w:p>
        </w:tc>
        <w:tc>
          <w:tcPr>
            <w:tcW w:w="382" w:type="pct"/>
          </w:tcPr>
          <w:p w14:paraId="7D5FCFE1" w14:textId="77777777" w:rsidR="009B2F57" w:rsidRPr="00BB51D2" w:rsidRDefault="009B2F57" w:rsidP="00A12E76">
            <w:pPr>
              <w:bidi/>
              <w:rPr>
                <w:sz w:val="16"/>
                <w:szCs w:val="16"/>
                <w:rtl/>
                <w:lang w:val="fr-CA"/>
              </w:rPr>
            </w:pPr>
            <w:r>
              <w:rPr>
                <w:rFonts w:hint="cs"/>
                <w:sz w:val="16"/>
                <w:szCs w:val="16"/>
                <w:rtl/>
                <w:lang w:val="fr-CA"/>
              </w:rPr>
              <w:t>128.72</w:t>
            </w:r>
          </w:p>
        </w:tc>
        <w:tc>
          <w:tcPr>
            <w:tcW w:w="383" w:type="pct"/>
          </w:tcPr>
          <w:p w14:paraId="5FB6DB21" w14:textId="77777777" w:rsidR="009B2F57" w:rsidRPr="00BB51D2" w:rsidRDefault="009B2F57" w:rsidP="00A12E76">
            <w:pPr>
              <w:bidi/>
              <w:rPr>
                <w:sz w:val="16"/>
                <w:szCs w:val="16"/>
                <w:rtl/>
                <w:lang w:val="fr-CA"/>
              </w:rPr>
            </w:pPr>
            <w:r>
              <w:rPr>
                <w:rFonts w:hint="cs"/>
                <w:sz w:val="16"/>
                <w:szCs w:val="16"/>
                <w:rtl/>
                <w:lang w:val="fr-CA"/>
              </w:rPr>
              <w:t>124.0</w:t>
            </w:r>
          </w:p>
        </w:tc>
        <w:tc>
          <w:tcPr>
            <w:tcW w:w="382" w:type="pct"/>
          </w:tcPr>
          <w:p w14:paraId="05016C84" w14:textId="77777777" w:rsidR="009B2F57" w:rsidRPr="00BB51D2" w:rsidRDefault="009B2F57" w:rsidP="00A12E76">
            <w:pPr>
              <w:bidi/>
              <w:rPr>
                <w:sz w:val="16"/>
                <w:szCs w:val="16"/>
                <w:rtl/>
                <w:lang w:val="fr-CA"/>
              </w:rPr>
            </w:pPr>
            <w:r>
              <w:rPr>
                <w:rFonts w:hint="cs"/>
                <w:sz w:val="16"/>
                <w:szCs w:val="16"/>
                <w:rtl/>
                <w:lang w:val="fr-CA"/>
              </w:rPr>
              <w:t>102.72</w:t>
            </w:r>
          </w:p>
        </w:tc>
        <w:tc>
          <w:tcPr>
            <w:tcW w:w="383" w:type="pct"/>
          </w:tcPr>
          <w:p w14:paraId="22ACAA2B" w14:textId="77777777" w:rsidR="009B2F57" w:rsidRPr="00BB51D2" w:rsidRDefault="009B2F57" w:rsidP="00A12E76">
            <w:pPr>
              <w:bidi/>
              <w:rPr>
                <w:sz w:val="16"/>
                <w:szCs w:val="16"/>
                <w:rtl/>
                <w:lang w:val="fr-CA"/>
              </w:rPr>
            </w:pPr>
            <w:r>
              <w:rPr>
                <w:rFonts w:hint="cs"/>
                <w:sz w:val="16"/>
                <w:szCs w:val="16"/>
                <w:rtl/>
                <w:lang w:val="fr-CA"/>
              </w:rPr>
              <w:t>85.45</w:t>
            </w:r>
          </w:p>
        </w:tc>
        <w:tc>
          <w:tcPr>
            <w:tcW w:w="382" w:type="pct"/>
          </w:tcPr>
          <w:p w14:paraId="5508FF86" w14:textId="77777777" w:rsidR="009B2F57" w:rsidRPr="00BB51D2" w:rsidRDefault="009B2F57" w:rsidP="00A12E76">
            <w:pPr>
              <w:bidi/>
              <w:rPr>
                <w:sz w:val="16"/>
                <w:szCs w:val="16"/>
                <w:rtl/>
                <w:lang w:val="fr-CA"/>
              </w:rPr>
            </w:pPr>
            <w:r>
              <w:rPr>
                <w:rFonts w:hint="cs"/>
                <w:sz w:val="16"/>
                <w:szCs w:val="16"/>
                <w:rtl/>
                <w:lang w:val="fr-CA"/>
              </w:rPr>
              <w:t>43.63</w:t>
            </w:r>
          </w:p>
        </w:tc>
        <w:tc>
          <w:tcPr>
            <w:tcW w:w="383" w:type="pct"/>
          </w:tcPr>
          <w:p w14:paraId="553F9198" w14:textId="77777777" w:rsidR="009B2F57" w:rsidRPr="00BB51D2" w:rsidRDefault="009B2F57" w:rsidP="00A12E76">
            <w:pPr>
              <w:bidi/>
              <w:rPr>
                <w:sz w:val="16"/>
                <w:szCs w:val="16"/>
                <w:rtl/>
                <w:lang w:val="fr-CA"/>
              </w:rPr>
            </w:pPr>
            <w:r>
              <w:rPr>
                <w:rFonts w:hint="cs"/>
                <w:sz w:val="16"/>
                <w:szCs w:val="16"/>
                <w:rtl/>
                <w:lang w:val="fr-CA"/>
              </w:rPr>
              <w:t>40.00</w:t>
            </w:r>
          </w:p>
        </w:tc>
        <w:tc>
          <w:tcPr>
            <w:tcW w:w="383" w:type="pct"/>
          </w:tcPr>
          <w:p w14:paraId="02C14CDD" w14:textId="77777777" w:rsidR="009B2F57" w:rsidRPr="00BB51D2" w:rsidRDefault="009B2F57" w:rsidP="00A12E76">
            <w:pPr>
              <w:bidi/>
              <w:rPr>
                <w:sz w:val="16"/>
                <w:szCs w:val="16"/>
                <w:rtl/>
                <w:lang w:val="fr-CA"/>
              </w:rPr>
            </w:pPr>
            <w:r>
              <w:rPr>
                <w:rFonts w:hint="cs"/>
                <w:sz w:val="16"/>
                <w:szCs w:val="16"/>
                <w:rtl/>
                <w:lang w:val="fr-CA"/>
              </w:rPr>
              <w:t>35.00</w:t>
            </w:r>
          </w:p>
        </w:tc>
        <w:tc>
          <w:tcPr>
            <w:tcW w:w="444" w:type="pct"/>
          </w:tcPr>
          <w:p w14:paraId="4CAE6931" w14:textId="77777777" w:rsidR="009B2F57" w:rsidRPr="009B2F57" w:rsidRDefault="009B2F57" w:rsidP="00A12E76">
            <w:pPr>
              <w:bidi/>
              <w:rPr>
                <w:sz w:val="16"/>
                <w:szCs w:val="16"/>
                <w:rtl/>
                <w:lang w:val="fr-CA"/>
              </w:rPr>
            </w:pPr>
            <w:r w:rsidRPr="009B2F57">
              <w:rPr>
                <w:rFonts w:hint="cs"/>
                <w:sz w:val="16"/>
                <w:szCs w:val="16"/>
                <w:rtl/>
                <w:lang w:val="fr-CA"/>
              </w:rPr>
              <w:t>411.09</w:t>
            </w:r>
          </w:p>
        </w:tc>
      </w:tr>
      <w:tr w:rsidR="009B2F57" w14:paraId="31EC93D3" w14:textId="77777777" w:rsidTr="009B2F57">
        <w:trPr>
          <w:trHeight w:val="184"/>
        </w:trPr>
        <w:tc>
          <w:tcPr>
            <w:tcW w:w="1114" w:type="pct"/>
          </w:tcPr>
          <w:p w14:paraId="3E878DA7" w14:textId="77777777" w:rsidR="009B2F57" w:rsidRPr="00BB51D2" w:rsidRDefault="009B2F57" w:rsidP="00A12E76">
            <w:pPr>
              <w:bidi/>
              <w:rPr>
                <w:sz w:val="16"/>
                <w:szCs w:val="16"/>
                <w:rtl/>
                <w:lang w:val="fr-CA"/>
              </w:rPr>
            </w:pPr>
            <w:r w:rsidRPr="00BB51D2">
              <w:rPr>
                <w:rFonts w:hint="cs"/>
                <w:sz w:val="16"/>
                <w:szCs w:val="16"/>
                <w:rtl/>
                <w:lang w:val="fr-CA"/>
              </w:rPr>
              <w:t xml:space="preserve">بالأطنان </w:t>
            </w:r>
            <w:r w:rsidRPr="00BB51D2">
              <w:rPr>
                <w:sz w:val="16"/>
                <w:szCs w:val="16"/>
                <w:rtl/>
                <w:lang w:val="fr-CA"/>
              </w:rPr>
              <w:t>من قدرات استنفاد الأوزون</w:t>
            </w:r>
          </w:p>
        </w:tc>
        <w:tc>
          <w:tcPr>
            <w:tcW w:w="382" w:type="pct"/>
          </w:tcPr>
          <w:p w14:paraId="71521456" w14:textId="77777777" w:rsidR="009B2F57" w:rsidRDefault="009B2F57" w:rsidP="00A12E76">
            <w:pPr>
              <w:bidi/>
              <w:jc w:val="left"/>
              <w:rPr>
                <w:sz w:val="16"/>
                <w:szCs w:val="16"/>
                <w:rtl/>
                <w:lang w:val="fr-CA"/>
              </w:rPr>
            </w:pPr>
            <w:r>
              <w:rPr>
                <w:rFonts w:hint="cs"/>
                <w:sz w:val="16"/>
                <w:szCs w:val="16"/>
                <w:rtl/>
                <w:lang w:val="fr-CA"/>
              </w:rPr>
              <w:t>24.53</w:t>
            </w:r>
          </w:p>
        </w:tc>
        <w:tc>
          <w:tcPr>
            <w:tcW w:w="383" w:type="pct"/>
          </w:tcPr>
          <w:p w14:paraId="74E30AD2" w14:textId="77777777" w:rsidR="009B2F57" w:rsidRDefault="009B2F57" w:rsidP="00A12E76">
            <w:pPr>
              <w:bidi/>
              <w:jc w:val="left"/>
              <w:rPr>
                <w:sz w:val="16"/>
                <w:szCs w:val="16"/>
                <w:rtl/>
                <w:lang w:val="fr-CA"/>
              </w:rPr>
            </w:pPr>
            <w:r>
              <w:rPr>
                <w:rFonts w:hint="cs"/>
                <w:sz w:val="16"/>
                <w:szCs w:val="16"/>
                <w:rtl/>
                <w:lang w:val="fr-CA"/>
              </w:rPr>
              <w:t>22.19</w:t>
            </w:r>
          </w:p>
        </w:tc>
        <w:tc>
          <w:tcPr>
            <w:tcW w:w="382" w:type="pct"/>
          </w:tcPr>
          <w:p w14:paraId="45230390" w14:textId="77777777" w:rsidR="009B2F57" w:rsidRDefault="009B2F57" w:rsidP="00A12E76">
            <w:pPr>
              <w:bidi/>
              <w:jc w:val="left"/>
              <w:rPr>
                <w:sz w:val="16"/>
                <w:szCs w:val="16"/>
                <w:rtl/>
                <w:lang w:val="fr-CA"/>
              </w:rPr>
            </w:pPr>
            <w:r>
              <w:rPr>
                <w:rFonts w:hint="cs"/>
                <w:sz w:val="16"/>
                <w:szCs w:val="16"/>
                <w:rtl/>
                <w:lang w:val="fr-CA"/>
              </w:rPr>
              <w:t>7.08</w:t>
            </w:r>
          </w:p>
        </w:tc>
        <w:tc>
          <w:tcPr>
            <w:tcW w:w="383" w:type="pct"/>
          </w:tcPr>
          <w:p w14:paraId="6B4C8D17" w14:textId="77777777" w:rsidR="009B2F57" w:rsidRDefault="009B2F57" w:rsidP="00A12E76">
            <w:pPr>
              <w:bidi/>
              <w:jc w:val="left"/>
              <w:rPr>
                <w:sz w:val="16"/>
                <w:szCs w:val="16"/>
                <w:rtl/>
                <w:lang w:val="fr-CA"/>
              </w:rPr>
            </w:pPr>
            <w:r>
              <w:rPr>
                <w:rFonts w:hint="cs"/>
                <w:sz w:val="16"/>
                <w:szCs w:val="16"/>
                <w:rtl/>
                <w:lang w:val="fr-CA"/>
              </w:rPr>
              <w:t>6.89</w:t>
            </w:r>
          </w:p>
        </w:tc>
        <w:tc>
          <w:tcPr>
            <w:tcW w:w="382" w:type="pct"/>
            <w:vAlign w:val="center"/>
          </w:tcPr>
          <w:p w14:paraId="72CDAD21" w14:textId="77777777" w:rsidR="009B2F57" w:rsidRPr="00BB51D2" w:rsidRDefault="009B2F57" w:rsidP="00A12E76">
            <w:pPr>
              <w:bidi/>
              <w:jc w:val="left"/>
              <w:rPr>
                <w:sz w:val="16"/>
                <w:szCs w:val="16"/>
                <w:rtl/>
                <w:lang w:val="fr-CA"/>
              </w:rPr>
            </w:pPr>
            <w:r>
              <w:rPr>
                <w:rFonts w:hint="cs"/>
                <w:sz w:val="16"/>
                <w:szCs w:val="16"/>
                <w:rtl/>
                <w:lang w:val="fr-CA"/>
              </w:rPr>
              <w:t>5.65</w:t>
            </w:r>
          </w:p>
        </w:tc>
        <w:tc>
          <w:tcPr>
            <w:tcW w:w="383" w:type="pct"/>
            <w:vAlign w:val="center"/>
          </w:tcPr>
          <w:p w14:paraId="5777BBE7" w14:textId="77777777" w:rsidR="009B2F57" w:rsidRPr="00BB51D2" w:rsidRDefault="009B2F57" w:rsidP="00A12E76">
            <w:pPr>
              <w:bidi/>
              <w:jc w:val="left"/>
              <w:rPr>
                <w:sz w:val="16"/>
                <w:szCs w:val="16"/>
                <w:rtl/>
                <w:lang w:val="fr-CA"/>
              </w:rPr>
            </w:pPr>
            <w:r>
              <w:rPr>
                <w:rFonts w:hint="cs"/>
                <w:sz w:val="16"/>
                <w:szCs w:val="16"/>
                <w:rtl/>
                <w:lang w:val="fr-CA"/>
              </w:rPr>
              <w:t>4.70</w:t>
            </w:r>
          </w:p>
        </w:tc>
        <w:tc>
          <w:tcPr>
            <w:tcW w:w="382" w:type="pct"/>
            <w:vAlign w:val="center"/>
          </w:tcPr>
          <w:p w14:paraId="277082EF" w14:textId="77777777" w:rsidR="009B2F57" w:rsidRPr="00BB51D2" w:rsidRDefault="009B2F57" w:rsidP="00A12E76">
            <w:pPr>
              <w:bidi/>
              <w:jc w:val="left"/>
              <w:rPr>
                <w:sz w:val="16"/>
                <w:szCs w:val="16"/>
                <w:rtl/>
                <w:lang w:val="fr-CA"/>
              </w:rPr>
            </w:pPr>
            <w:r>
              <w:rPr>
                <w:rFonts w:hint="cs"/>
                <w:sz w:val="16"/>
                <w:szCs w:val="16"/>
                <w:rtl/>
                <w:lang w:val="fr-CA"/>
              </w:rPr>
              <w:t>2.54</w:t>
            </w:r>
          </w:p>
        </w:tc>
        <w:tc>
          <w:tcPr>
            <w:tcW w:w="383" w:type="pct"/>
            <w:vAlign w:val="center"/>
          </w:tcPr>
          <w:p w14:paraId="225BC186" w14:textId="77777777" w:rsidR="009B2F57" w:rsidRPr="00BB51D2" w:rsidRDefault="009B2F57" w:rsidP="00A12E76">
            <w:pPr>
              <w:bidi/>
              <w:jc w:val="left"/>
              <w:rPr>
                <w:sz w:val="16"/>
                <w:szCs w:val="16"/>
                <w:rtl/>
                <w:lang w:val="fr-CA"/>
              </w:rPr>
            </w:pPr>
            <w:r>
              <w:rPr>
                <w:rFonts w:hint="cs"/>
                <w:sz w:val="16"/>
                <w:szCs w:val="16"/>
                <w:rtl/>
                <w:lang w:val="fr-CA"/>
              </w:rPr>
              <w:t>2.20</w:t>
            </w:r>
          </w:p>
        </w:tc>
        <w:tc>
          <w:tcPr>
            <w:tcW w:w="383" w:type="pct"/>
            <w:vAlign w:val="center"/>
          </w:tcPr>
          <w:p w14:paraId="351BFC16" w14:textId="77777777" w:rsidR="009B2F57" w:rsidRPr="00BB51D2" w:rsidRDefault="009B2F57" w:rsidP="00A12E76">
            <w:pPr>
              <w:bidi/>
              <w:jc w:val="left"/>
              <w:rPr>
                <w:sz w:val="16"/>
                <w:szCs w:val="16"/>
                <w:rtl/>
                <w:lang w:val="fr-CA"/>
              </w:rPr>
            </w:pPr>
            <w:r>
              <w:rPr>
                <w:rFonts w:hint="cs"/>
                <w:sz w:val="16"/>
                <w:szCs w:val="16"/>
                <w:rtl/>
                <w:lang w:val="fr-CA"/>
              </w:rPr>
              <w:t>1.93</w:t>
            </w:r>
          </w:p>
        </w:tc>
        <w:tc>
          <w:tcPr>
            <w:tcW w:w="444" w:type="pct"/>
            <w:vAlign w:val="center"/>
          </w:tcPr>
          <w:p w14:paraId="0DA299A2" w14:textId="77777777" w:rsidR="009B2F57" w:rsidRPr="009B2F57" w:rsidRDefault="009B2F57" w:rsidP="00A12E76">
            <w:pPr>
              <w:bidi/>
              <w:jc w:val="left"/>
              <w:rPr>
                <w:sz w:val="16"/>
                <w:szCs w:val="16"/>
                <w:rtl/>
                <w:lang w:val="fr-CA"/>
              </w:rPr>
            </w:pPr>
            <w:r w:rsidRPr="009B2F57">
              <w:rPr>
                <w:rFonts w:hint="cs"/>
                <w:sz w:val="16"/>
                <w:szCs w:val="16"/>
                <w:rtl/>
                <w:lang w:val="fr-CA"/>
              </w:rPr>
              <w:t>22.61</w:t>
            </w:r>
          </w:p>
        </w:tc>
      </w:tr>
    </w:tbl>
    <w:p w14:paraId="5BEFD36D" w14:textId="77777777" w:rsidR="009B2F57" w:rsidRDefault="009B2F57" w:rsidP="009B2F57">
      <w:pPr>
        <w:bidi/>
        <w:rPr>
          <w:b/>
          <w:bCs/>
          <w:sz w:val="20"/>
          <w:rtl/>
          <w:lang w:val="fr-CA"/>
        </w:rPr>
      </w:pPr>
    </w:p>
    <w:p w14:paraId="1A8EEB45" w14:textId="77777777" w:rsidR="009B2F57" w:rsidRPr="009B2F57" w:rsidRDefault="009B2F57" w:rsidP="009B2F57">
      <w:pPr>
        <w:bidi/>
        <w:rPr>
          <w:rtl/>
          <w:lang w:val="fr-CA"/>
        </w:rPr>
      </w:pPr>
    </w:p>
    <w:p w14:paraId="77E47467" w14:textId="77777777" w:rsidR="00AD626E" w:rsidRPr="003C4983" w:rsidRDefault="005F3511" w:rsidP="005F3511">
      <w:pPr>
        <w:pStyle w:val="Heading1"/>
        <w:numPr>
          <w:ilvl w:val="0"/>
          <w:numId w:val="30"/>
        </w:numPr>
        <w:bidi/>
        <w:ind w:left="4"/>
        <w:rPr>
          <w:sz w:val="26"/>
          <w:szCs w:val="26"/>
          <w:rtl/>
        </w:rPr>
      </w:pPr>
      <w:r w:rsidRPr="003C4983">
        <w:rPr>
          <w:rFonts w:hint="cs"/>
          <w:sz w:val="26"/>
          <w:szCs w:val="26"/>
          <w:rtl/>
        </w:rPr>
        <w:t xml:space="preserve">وفي بداية عام 2020 واستعدادا لتقديم طلب تمويل الشرائح التالية من المرحلة الأولى من خطة إدارة إزالة المواد الهيدروكلوروفلوروكربونية، تمّت عملية تحقق مستقلة من </w:t>
      </w:r>
      <w:r w:rsidR="009B2F57" w:rsidRPr="003C4983">
        <w:rPr>
          <w:rFonts w:hint="cs"/>
          <w:sz w:val="26"/>
          <w:szCs w:val="26"/>
          <w:rtl/>
        </w:rPr>
        <w:t>استهلاك المواد الهيدروكلوروفلوروكربونية في ا</w:t>
      </w:r>
      <w:r w:rsidR="00122811" w:rsidRPr="003C4983">
        <w:rPr>
          <w:rFonts w:hint="cs"/>
          <w:sz w:val="26"/>
          <w:szCs w:val="26"/>
          <w:rtl/>
        </w:rPr>
        <w:t xml:space="preserve">لفترة 2014 </w:t>
      </w:r>
      <w:r w:rsidR="00122811" w:rsidRPr="003C4983">
        <w:rPr>
          <w:sz w:val="26"/>
          <w:szCs w:val="26"/>
          <w:rtl/>
        </w:rPr>
        <w:t>–</w:t>
      </w:r>
      <w:r w:rsidR="00122811" w:rsidRPr="003C4983">
        <w:rPr>
          <w:rFonts w:hint="cs"/>
          <w:sz w:val="26"/>
          <w:szCs w:val="26"/>
          <w:rtl/>
        </w:rPr>
        <w:t xml:space="preserve"> 2019</w:t>
      </w:r>
      <w:r w:rsidRPr="003C4983">
        <w:rPr>
          <w:rFonts w:hint="cs"/>
          <w:sz w:val="26"/>
          <w:szCs w:val="26"/>
          <w:rtl/>
        </w:rPr>
        <w:t>. و</w:t>
      </w:r>
      <w:r w:rsidR="00122811" w:rsidRPr="003C4983">
        <w:rPr>
          <w:rFonts w:hint="cs"/>
          <w:sz w:val="26"/>
          <w:szCs w:val="26"/>
          <w:rtl/>
        </w:rPr>
        <w:t xml:space="preserve">خلص المحقق إلى </w:t>
      </w:r>
      <w:r w:rsidRPr="003C4983">
        <w:rPr>
          <w:rFonts w:hint="cs"/>
          <w:sz w:val="26"/>
          <w:szCs w:val="26"/>
          <w:rtl/>
        </w:rPr>
        <w:t>أنّ بيانات الاستهلاك المبلغ عنه</w:t>
      </w:r>
      <w:r w:rsidR="00B04671" w:rsidRPr="003C4983">
        <w:rPr>
          <w:rFonts w:hint="cs"/>
          <w:sz w:val="26"/>
          <w:szCs w:val="26"/>
          <w:rtl/>
        </w:rPr>
        <w:t>،</w:t>
      </w:r>
      <w:r w:rsidR="00122811" w:rsidRPr="003C4983">
        <w:rPr>
          <w:rFonts w:hint="cs"/>
          <w:sz w:val="26"/>
          <w:szCs w:val="26"/>
          <w:rtl/>
        </w:rPr>
        <w:t xml:space="preserve"> عملا بالمادة 7 من بروتوكول مونتريال وفي إطار التقرير عن تنفيذ البرنامج القطري في تلك السنوات</w:t>
      </w:r>
      <w:r w:rsidR="00B04671" w:rsidRPr="003C4983">
        <w:rPr>
          <w:rFonts w:hint="cs"/>
          <w:sz w:val="26"/>
          <w:szCs w:val="26"/>
          <w:rtl/>
        </w:rPr>
        <w:t>،</w:t>
      </w:r>
      <w:r w:rsidR="00122811" w:rsidRPr="003C4983">
        <w:rPr>
          <w:rFonts w:hint="cs"/>
          <w:sz w:val="26"/>
          <w:szCs w:val="26"/>
          <w:rtl/>
        </w:rPr>
        <w:t xml:space="preserve"> صحيحة (على النحو الوارد في الجدول 1).</w:t>
      </w:r>
    </w:p>
    <w:p w14:paraId="1252986B" w14:textId="77777777" w:rsidR="00122811" w:rsidRPr="003C4983" w:rsidRDefault="004013C2" w:rsidP="004013C2">
      <w:pPr>
        <w:pStyle w:val="StyleHeader4Para4Left0Firstline0"/>
        <w:numPr>
          <w:ilvl w:val="0"/>
          <w:numId w:val="0"/>
        </w:numPr>
        <w:tabs>
          <w:tab w:val="left" w:pos="4"/>
        </w:tabs>
        <w:bidi/>
        <w:spacing w:after="0"/>
        <w:ind w:left="6"/>
        <w:jc w:val="left"/>
        <w:rPr>
          <w:sz w:val="26"/>
          <w:szCs w:val="26"/>
          <w:u w:val="single"/>
          <w:rtl/>
        </w:rPr>
      </w:pPr>
      <w:r w:rsidRPr="003C4983">
        <w:rPr>
          <w:sz w:val="26"/>
          <w:szCs w:val="26"/>
          <w:u w:val="single"/>
          <w:rtl/>
        </w:rPr>
        <w:t>ا</w:t>
      </w:r>
      <w:r w:rsidR="00122811" w:rsidRPr="003C4983">
        <w:rPr>
          <w:rFonts w:hint="cs"/>
          <w:sz w:val="26"/>
          <w:szCs w:val="26"/>
          <w:u w:val="single"/>
          <w:rtl/>
        </w:rPr>
        <w:t>لتأخر في تنفيذ المرحلة الأولى من خطة إدارة المواد الهيدروكلوروفلوروكربوني</w:t>
      </w:r>
      <w:r w:rsidR="00122811" w:rsidRPr="003C4983">
        <w:rPr>
          <w:rFonts w:hint="eastAsia"/>
          <w:sz w:val="26"/>
          <w:szCs w:val="26"/>
          <w:u w:val="single"/>
          <w:rtl/>
        </w:rPr>
        <w:t>ة</w:t>
      </w:r>
    </w:p>
    <w:p w14:paraId="05AE043C" w14:textId="77777777" w:rsidR="00122811" w:rsidRPr="003C4983" w:rsidRDefault="00122811" w:rsidP="00122811">
      <w:pPr>
        <w:pStyle w:val="StyleHeader4Para4Left0Firstline0"/>
        <w:numPr>
          <w:ilvl w:val="0"/>
          <w:numId w:val="0"/>
        </w:numPr>
        <w:tabs>
          <w:tab w:val="left" w:pos="4"/>
        </w:tabs>
        <w:bidi/>
        <w:spacing w:after="0"/>
        <w:ind w:left="6"/>
        <w:jc w:val="left"/>
        <w:rPr>
          <w:sz w:val="26"/>
          <w:szCs w:val="26"/>
          <w:u w:val="single"/>
          <w:rtl/>
        </w:rPr>
      </w:pPr>
    </w:p>
    <w:p w14:paraId="7FE53095" w14:textId="77777777" w:rsidR="00122811" w:rsidRPr="003C4983" w:rsidRDefault="00122811" w:rsidP="00122811">
      <w:pPr>
        <w:pStyle w:val="Heading1"/>
        <w:numPr>
          <w:ilvl w:val="0"/>
          <w:numId w:val="30"/>
        </w:numPr>
        <w:tabs>
          <w:tab w:val="clear" w:pos="0"/>
          <w:tab w:val="left" w:pos="4"/>
        </w:tabs>
        <w:bidi/>
        <w:spacing w:after="0"/>
        <w:rPr>
          <w:sz w:val="26"/>
          <w:szCs w:val="26"/>
          <w:rtl/>
        </w:rPr>
      </w:pPr>
      <w:r w:rsidRPr="003C4983">
        <w:rPr>
          <w:rFonts w:hint="cs"/>
          <w:sz w:val="26"/>
          <w:szCs w:val="26"/>
          <w:rtl/>
        </w:rPr>
        <w:t>منذ أن أقرّت الشريحة الثاني</w:t>
      </w:r>
      <w:r w:rsidR="00196973" w:rsidRPr="003C4983">
        <w:rPr>
          <w:rFonts w:hint="cs"/>
          <w:sz w:val="26"/>
          <w:szCs w:val="26"/>
          <w:rtl/>
        </w:rPr>
        <w:t>ة، لم تتمكن غينيا من تقديم طلبي</w:t>
      </w:r>
      <w:r w:rsidRPr="003C4983">
        <w:rPr>
          <w:rFonts w:hint="cs"/>
          <w:sz w:val="26"/>
          <w:szCs w:val="26"/>
          <w:rtl/>
        </w:rPr>
        <w:t xml:space="preserve"> تمويل الشريحة الثالثة (المستحقة في عام 2016) والشريحة الرابعة (المستحقة في عام 2018) بسب</w:t>
      </w:r>
      <w:r w:rsidR="00196973" w:rsidRPr="003C4983">
        <w:rPr>
          <w:rFonts w:hint="cs"/>
          <w:sz w:val="26"/>
          <w:szCs w:val="26"/>
          <w:rtl/>
        </w:rPr>
        <w:t>ب</w:t>
      </w:r>
      <w:r w:rsidRPr="003C4983">
        <w:rPr>
          <w:rFonts w:hint="cs"/>
          <w:sz w:val="26"/>
          <w:szCs w:val="26"/>
          <w:rtl/>
        </w:rPr>
        <w:t xml:space="preserve"> الوضع السياسي المرتبط بالانتخابات الرئاسية في عام 2015 والتغييرات في وحدة الأوزون الوطنية والآثار الاجتماعية والاقتصاد</w:t>
      </w:r>
      <w:r w:rsidR="00196973" w:rsidRPr="003C4983">
        <w:rPr>
          <w:rFonts w:hint="cs"/>
          <w:sz w:val="26"/>
          <w:szCs w:val="26"/>
          <w:rtl/>
        </w:rPr>
        <w:t>ية الواسعة النطاق ل</w:t>
      </w:r>
      <w:r w:rsidRPr="003C4983">
        <w:rPr>
          <w:rFonts w:hint="cs"/>
          <w:sz w:val="26"/>
          <w:szCs w:val="26"/>
          <w:rtl/>
        </w:rPr>
        <w:t>وباء إيبولا</w:t>
      </w:r>
      <w:r w:rsidRPr="003C4983">
        <w:rPr>
          <w:rStyle w:val="FootnoteReference"/>
          <w:sz w:val="26"/>
          <w:szCs w:val="26"/>
          <w:rtl/>
        </w:rPr>
        <w:footnoteReference w:id="5"/>
      </w:r>
      <w:r w:rsidRPr="003C4983">
        <w:rPr>
          <w:rFonts w:hint="cs"/>
          <w:sz w:val="26"/>
          <w:szCs w:val="26"/>
          <w:rtl/>
        </w:rPr>
        <w:t>.</w:t>
      </w:r>
    </w:p>
    <w:p w14:paraId="1685CC94" w14:textId="77777777" w:rsidR="00122811" w:rsidRPr="003C4983" w:rsidRDefault="00122811" w:rsidP="00122811">
      <w:pPr>
        <w:bidi/>
        <w:rPr>
          <w:sz w:val="26"/>
          <w:szCs w:val="26"/>
          <w:rtl/>
        </w:rPr>
      </w:pPr>
    </w:p>
    <w:p w14:paraId="2605F467" w14:textId="77777777" w:rsidR="00122811" w:rsidRPr="003C4983" w:rsidRDefault="00B04671" w:rsidP="00B04671">
      <w:pPr>
        <w:pStyle w:val="Heading1"/>
        <w:numPr>
          <w:ilvl w:val="0"/>
          <w:numId w:val="30"/>
        </w:numPr>
        <w:bidi/>
        <w:rPr>
          <w:sz w:val="26"/>
          <w:szCs w:val="26"/>
          <w:rtl/>
        </w:rPr>
      </w:pPr>
      <w:r w:rsidRPr="003C4983">
        <w:rPr>
          <w:rFonts w:hint="cs"/>
          <w:sz w:val="26"/>
          <w:szCs w:val="26"/>
          <w:rtl/>
        </w:rPr>
        <w:t>وفي ضوء هذا</w:t>
      </w:r>
      <w:r w:rsidR="00122811" w:rsidRPr="003C4983">
        <w:rPr>
          <w:rFonts w:hint="cs"/>
          <w:sz w:val="26"/>
          <w:szCs w:val="26"/>
          <w:rtl/>
        </w:rPr>
        <w:t xml:space="preserve"> الو</w:t>
      </w:r>
      <w:r w:rsidRPr="003C4983">
        <w:rPr>
          <w:rFonts w:hint="cs"/>
          <w:sz w:val="26"/>
          <w:szCs w:val="26"/>
          <w:rtl/>
        </w:rPr>
        <w:t>اق</w:t>
      </w:r>
      <w:r w:rsidR="00122811" w:rsidRPr="003C4983">
        <w:rPr>
          <w:rFonts w:hint="cs"/>
          <w:sz w:val="26"/>
          <w:szCs w:val="26"/>
          <w:rtl/>
        </w:rPr>
        <w:t xml:space="preserve">ع، </w:t>
      </w:r>
      <w:r w:rsidRPr="003C4983">
        <w:rPr>
          <w:rFonts w:hint="cs"/>
          <w:sz w:val="26"/>
          <w:szCs w:val="26"/>
          <w:rtl/>
        </w:rPr>
        <w:t xml:space="preserve">عجزت غينيا </w:t>
      </w:r>
      <w:r w:rsidR="00122811" w:rsidRPr="003C4983">
        <w:rPr>
          <w:rFonts w:hint="cs"/>
          <w:sz w:val="26"/>
          <w:szCs w:val="26"/>
          <w:rtl/>
        </w:rPr>
        <w:t>ع</w:t>
      </w:r>
      <w:r w:rsidRPr="003C4983">
        <w:rPr>
          <w:rFonts w:hint="cs"/>
          <w:sz w:val="26"/>
          <w:szCs w:val="26"/>
          <w:rtl/>
        </w:rPr>
        <w:t xml:space="preserve">ن </w:t>
      </w:r>
      <w:r w:rsidR="00122811" w:rsidRPr="003C4983">
        <w:rPr>
          <w:rFonts w:hint="cs"/>
          <w:sz w:val="26"/>
          <w:szCs w:val="26"/>
          <w:rtl/>
        </w:rPr>
        <w:t xml:space="preserve">تقديم طلب تمويل الشريحتين الثالثة والرابعة </w:t>
      </w:r>
      <w:r w:rsidR="005F3511" w:rsidRPr="003C4983">
        <w:rPr>
          <w:rFonts w:hint="cs"/>
          <w:sz w:val="26"/>
          <w:szCs w:val="26"/>
          <w:rtl/>
        </w:rPr>
        <w:t>قبل</w:t>
      </w:r>
      <w:r w:rsidR="00122811" w:rsidRPr="003C4983">
        <w:rPr>
          <w:rFonts w:hint="cs"/>
          <w:sz w:val="26"/>
          <w:szCs w:val="26"/>
          <w:rtl/>
        </w:rPr>
        <w:t xml:space="preserve"> الاجتماع الخامس والثمانين. وفي منا</w:t>
      </w:r>
      <w:r w:rsidR="005F3511" w:rsidRPr="003C4983">
        <w:rPr>
          <w:rFonts w:hint="cs"/>
          <w:sz w:val="26"/>
          <w:szCs w:val="26"/>
          <w:rtl/>
        </w:rPr>
        <w:t>قشة الوضع الراهن في البلاد، أعطى</w:t>
      </w:r>
      <w:r w:rsidR="00122811" w:rsidRPr="003C4983">
        <w:rPr>
          <w:rFonts w:hint="cs"/>
          <w:sz w:val="26"/>
          <w:szCs w:val="26"/>
          <w:rtl/>
        </w:rPr>
        <w:t xml:space="preserve"> برنامج الأمم المتحدة</w:t>
      </w:r>
      <w:r w:rsidR="00196973" w:rsidRPr="003C4983">
        <w:rPr>
          <w:rFonts w:hint="cs"/>
          <w:sz w:val="26"/>
          <w:szCs w:val="26"/>
          <w:rtl/>
        </w:rPr>
        <w:t xml:space="preserve"> للبيئة</w:t>
      </w:r>
      <w:r w:rsidR="005F3511" w:rsidRPr="003C4983">
        <w:rPr>
          <w:rFonts w:hint="cs"/>
          <w:sz w:val="26"/>
          <w:szCs w:val="26"/>
          <w:rtl/>
        </w:rPr>
        <w:t xml:space="preserve"> </w:t>
      </w:r>
      <w:r w:rsidR="00122811" w:rsidRPr="003C4983">
        <w:rPr>
          <w:rFonts w:hint="cs"/>
          <w:sz w:val="26"/>
          <w:szCs w:val="26"/>
          <w:rtl/>
        </w:rPr>
        <w:t xml:space="preserve">تأكيدات بأنّ وحدة الأوزون الوطنية أصبحت عملية وأنّ موظفيها قد تلقوا </w:t>
      </w:r>
      <w:r w:rsidR="00196973" w:rsidRPr="003C4983">
        <w:rPr>
          <w:rFonts w:hint="cs"/>
          <w:sz w:val="26"/>
          <w:szCs w:val="26"/>
          <w:rtl/>
        </w:rPr>
        <w:t>التدريب، بما في ذلك عن طريق بعثات</w:t>
      </w:r>
      <w:r w:rsidR="005F3511" w:rsidRPr="003C4983">
        <w:rPr>
          <w:rFonts w:hint="cs"/>
          <w:sz w:val="26"/>
          <w:szCs w:val="26"/>
          <w:rtl/>
        </w:rPr>
        <w:t xml:space="preserve"> قام بها</w:t>
      </w:r>
      <w:r w:rsidR="00F832D4" w:rsidRPr="003C4983">
        <w:rPr>
          <w:rFonts w:hint="cs"/>
          <w:sz w:val="26"/>
          <w:szCs w:val="26"/>
          <w:rtl/>
        </w:rPr>
        <w:t xml:space="preserve"> </w:t>
      </w:r>
      <w:r w:rsidR="00122811" w:rsidRPr="003C4983">
        <w:rPr>
          <w:rFonts w:hint="cs"/>
          <w:sz w:val="26"/>
          <w:szCs w:val="26"/>
          <w:rtl/>
        </w:rPr>
        <w:t>برنامج المساعدة على الامتثال التابع لبرنامج</w:t>
      </w:r>
      <w:r w:rsidR="00F832D4" w:rsidRPr="003C4983">
        <w:rPr>
          <w:rFonts w:hint="cs"/>
          <w:sz w:val="26"/>
          <w:szCs w:val="26"/>
          <w:rtl/>
        </w:rPr>
        <w:t xml:space="preserve"> الأمم المتحدة للبيئة، وأنّه تمّ حلّ المسائ</w:t>
      </w:r>
      <w:r w:rsidR="00122811" w:rsidRPr="003C4983">
        <w:rPr>
          <w:rFonts w:hint="cs"/>
          <w:sz w:val="26"/>
          <w:szCs w:val="26"/>
          <w:rtl/>
        </w:rPr>
        <w:t xml:space="preserve">ل الخارجية التي تسببت في التأخير في تقديم </w:t>
      </w:r>
      <w:r w:rsidR="00F832D4" w:rsidRPr="003C4983">
        <w:rPr>
          <w:rFonts w:hint="cs"/>
          <w:sz w:val="26"/>
          <w:szCs w:val="26"/>
          <w:rtl/>
        </w:rPr>
        <w:t>طلب التمويل. وعليه فإ</w:t>
      </w:r>
      <w:r w:rsidR="00122811" w:rsidRPr="003C4983">
        <w:rPr>
          <w:rFonts w:hint="cs"/>
          <w:sz w:val="26"/>
          <w:szCs w:val="26"/>
          <w:rtl/>
        </w:rPr>
        <w:t>نّ برنامج الأمم المتحدة للبيئة مطمئن إلى أنّ غ</w:t>
      </w:r>
      <w:r w:rsidR="00F832D4" w:rsidRPr="003C4983">
        <w:rPr>
          <w:rFonts w:hint="cs"/>
          <w:sz w:val="26"/>
          <w:szCs w:val="26"/>
          <w:rtl/>
        </w:rPr>
        <w:t>ينيا ست</w:t>
      </w:r>
      <w:r w:rsidRPr="003C4983">
        <w:rPr>
          <w:rFonts w:hint="cs"/>
          <w:sz w:val="26"/>
          <w:szCs w:val="26"/>
          <w:rtl/>
        </w:rPr>
        <w:t xml:space="preserve">كون قادرة على </w:t>
      </w:r>
      <w:r w:rsidR="00F832D4" w:rsidRPr="003C4983">
        <w:rPr>
          <w:rFonts w:hint="cs"/>
          <w:sz w:val="26"/>
          <w:szCs w:val="26"/>
          <w:rtl/>
        </w:rPr>
        <w:t>تنفيذ الأنشطة الجاري</w:t>
      </w:r>
      <w:r w:rsidR="00122811" w:rsidRPr="003C4983">
        <w:rPr>
          <w:rFonts w:hint="cs"/>
          <w:sz w:val="26"/>
          <w:szCs w:val="26"/>
          <w:rtl/>
        </w:rPr>
        <w:t>ة وتلك التي تتعلق بالشريحتين المطلوب تمويلهما في الاجتماع الخامس والثمانين.</w:t>
      </w:r>
    </w:p>
    <w:p w14:paraId="4D7DD475" w14:textId="77777777" w:rsidR="00122811" w:rsidRPr="003C4983" w:rsidRDefault="00122811" w:rsidP="00122811">
      <w:pPr>
        <w:bidi/>
        <w:rPr>
          <w:sz w:val="26"/>
          <w:szCs w:val="26"/>
          <w:u w:val="single"/>
          <w:rtl/>
        </w:rPr>
      </w:pPr>
      <w:r w:rsidRPr="003C4983">
        <w:rPr>
          <w:rFonts w:hint="cs"/>
          <w:sz w:val="26"/>
          <w:szCs w:val="26"/>
          <w:u w:val="single"/>
          <w:rtl/>
        </w:rPr>
        <w:t>مناقشة طلب تمويل الشريحتين الثالثة والرابعة</w:t>
      </w:r>
    </w:p>
    <w:p w14:paraId="6F4C5974" w14:textId="77777777" w:rsidR="00122811" w:rsidRPr="003C4983" w:rsidRDefault="00122811" w:rsidP="00122811">
      <w:pPr>
        <w:pStyle w:val="StyleHeader4Para4Left0Firstline0"/>
        <w:numPr>
          <w:ilvl w:val="0"/>
          <w:numId w:val="0"/>
        </w:numPr>
        <w:tabs>
          <w:tab w:val="left" w:pos="4"/>
        </w:tabs>
        <w:bidi/>
        <w:spacing w:after="0"/>
        <w:ind w:left="6"/>
        <w:jc w:val="left"/>
        <w:rPr>
          <w:sz w:val="26"/>
          <w:szCs w:val="26"/>
          <w:u w:val="single"/>
          <w:rtl/>
        </w:rPr>
      </w:pPr>
    </w:p>
    <w:p w14:paraId="5F10A5E2" w14:textId="77777777" w:rsidR="00122811" w:rsidRPr="003C4983" w:rsidRDefault="00604995" w:rsidP="00F832D4">
      <w:pPr>
        <w:pStyle w:val="Heading1"/>
        <w:numPr>
          <w:ilvl w:val="0"/>
          <w:numId w:val="30"/>
        </w:numPr>
        <w:tabs>
          <w:tab w:val="clear" w:pos="0"/>
          <w:tab w:val="left" w:pos="4"/>
        </w:tabs>
        <w:bidi/>
        <w:spacing w:after="0"/>
        <w:rPr>
          <w:sz w:val="26"/>
          <w:szCs w:val="26"/>
          <w:rtl/>
          <w:lang w:bidi="ar-SA"/>
        </w:rPr>
      </w:pPr>
      <w:r w:rsidRPr="003C4983">
        <w:rPr>
          <w:rFonts w:hint="cs"/>
          <w:sz w:val="26"/>
          <w:szCs w:val="26"/>
          <w:rtl/>
          <w:lang w:bidi="ar-SA"/>
        </w:rPr>
        <w:t xml:space="preserve">عندما استعرضت الأمانة </w:t>
      </w:r>
      <w:r w:rsidR="00A37602" w:rsidRPr="003C4983">
        <w:rPr>
          <w:rFonts w:hint="cs"/>
          <w:sz w:val="26"/>
          <w:szCs w:val="26"/>
          <w:rtl/>
          <w:lang w:bidi="ar-SA"/>
        </w:rPr>
        <w:t xml:space="preserve">طلب تمويل الشريحتين المقدم إلى الاجتماع الخامس والثمانين، اتضح لها أنّ </w:t>
      </w:r>
      <w:r w:rsidR="00F832D4" w:rsidRPr="003C4983">
        <w:rPr>
          <w:rFonts w:hint="cs"/>
          <w:sz w:val="26"/>
          <w:szCs w:val="26"/>
          <w:rtl/>
          <w:lang w:bidi="ar-SA"/>
        </w:rPr>
        <w:t>القيمة التي حددتها غينيا ل</w:t>
      </w:r>
      <w:r w:rsidR="00A37602" w:rsidRPr="003C4983">
        <w:rPr>
          <w:rFonts w:hint="cs"/>
          <w:sz w:val="26"/>
          <w:szCs w:val="26"/>
          <w:rtl/>
          <w:lang w:bidi="ar-SA"/>
        </w:rPr>
        <w:t xml:space="preserve">خط </w:t>
      </w:r>
      <w:r w:rsidR="00F832D4" w:rsidRPr="003C4983">
        <w:rPr>
          <w:rFonts w:hint="cs"/>
          <w:sz w:val="26"/>
          <w:szCs w:val="26"/>
          <w:rtl/>
          <w:lang w:bidi="ar-SA"/>
        </w:rPr>
        <w:t>ال</w:t>
      </w:r>
      <w:r w:rsidR="00A37602" w:rsidRPr="003C4983">
        <w:rPr>
          <w:rFonts w:hint="cs"/>
          <w:sz w:val="26"/>
          <w:szCs w:val="26"/>
          <w:rtl/>
          <w:lang w:bidi="ar-SA"/>
        </w:rPr>
        <w:t>أساس</w:t>
      </w:r>
      <w:r w:rsidR="00F832D4" w:rsidRPr="003C4983">
        <w:rPr>
          <w:rFonts w:hint="cs"/>
          <w:sz w:val="26"/>
          <w:szCs w:val="26"/>
          <w:rtl/>
          <w:lang w:bidi="ar-SA"/>
        </w:rPr>
        <w:t xml:space="preserve"> للامتثال بالنسبة إلى</w:t>
      </w:r>
      <w:r w:rsidR="00B04671" w:rsidRPr="003C4983">
        <w:rPr>
          <w:rFonts w:hint="cs"/>
          <w:sz w:val="26"/>
          <w:szCs w:val="26"/>
          <w:rtl/>
          <w:lang w:bidi="ar-SA"/>
        </w:rPr>
        <w:t xml:space="preserve"> استهلاك</w:t>
      </w:r>
      <w:r w:rsidR="00A37602" w:rsidRPr="003C4983">
        <w:rPr>
          <w:rFonts w:hint="cs"/>
          <w:sz w:val="26"/>
          <w:szCs w:val="26"/>
          <w:rtl/>
          <w:lang w:bidi="ar-SA"/>
        </w:rPr>
        <w:t xml:space="preserve"> المواد الهيدروكلوروفلوروكربوني</w:t>
      </w:r>
      <w:r w:rsidR="00A37602" w:rsidRPr="003C4983">
        <w:rPr>
          <w:rFonts w:hint="eastAsia"/>
          <w:sz w:val="26"/>
          <w:szCs w:val="26"/>
          <w:rtl/>
          <w:lang w:bidi="ar-SA"/>
        </w:rPr>
        <w:t>ة</w:t>
      </w:r>
      <w:r w:rsidR="00A37602" w:rsidRPr="003C4983">
        <w:rPr>
          <w:rFonts w:hint="cs"/>
          <w:sz w:val="26"/>
          <w:szCs w:val="26"/>
          <w:rtl/>
          <w:lang w:bidi="ar-SA"/>
        </w:rPr>
        <w:t xml:space="preserve"> مبالغ به</w:t>
      </w:r>
      <w:r w:rsidR="00F832D4" w:rsidRPr="003C4983">
        <w:rPr>
          <w:rFonts w:hint="cs"/>
          <w:sz w:val="26"/>
          <w:szCs w:val="26"/>
          <w:rtl/>
          <w:lang w:bidi="ar-SA"/>
        </w:rPr>
        <w:t>ا</w:t>
      </w:r>
      <w:r w:rsidR="00A37602" w:rsidRPr="003C4983">
        <w:rPr>
          <w:rFonts w:hint="cs"/>
          <w:sz w:val="26"/>
          <w:szCs w:val="26"/>
          <w:rtl/>
          <w:lang w:bidi="ar-SA"/>
        </w:rPr>
        <w:t xml:space="preserve"> وذلك بالاستناد إلى </w:t>
      </w:r>
      <w:r w:rsidR="00F832D4" w:rsidRPr="003C4983">
        <w:rPr>
          <w:rFonts w:hint="cs"/>
          <w:sz w:val="26"/>
          <w:szCs w:val="26"/>
          <w:rtl/>
          <w:lang w:bidi="ar-SA"/>
        </w:rPr>
        <w:t>حجم ال</w:t>
      </w:r>
      <w:r w:rsidR="00A37602" w:rsidRPr="003C4983">
        <w:rPr>
          <w:rFonts w:hint="cs"/>
          <w:sz w:val="26"/>
          <w:szCs w:val="26"/>
          <w:rtl/>
          <w:lang w:bidi="ar-SA"/>
        </w:rPr>
        <w:t>استهل</w:t>
      </w:r>
      <w:r w:rsidR="00F832D4" w:rsidRPr="003C4983">
        <w:rPr>
          <w:rFonts w:hint="cs"/>
          <w:sz w:val="26"/>
          <w:szCs w:val="26"/>
          <w:rtl/>
          <w:lang w:bidi="ar-SA"/>
        </w:rPr>
        <w:t>اك</w:t>
      </w:r>
      <w:r w:rsidR="00A37602" w:rsidRPr="003C4983">
        <w:rPr>
          <w:rFonts w:hint="cs"/>
          <w:sz w:val="26"/>
          <w:szCs w:val="26"/>
          <w:rtl/>
          <w:lang w:bidi="ar-SA"/>
        </w:rPr>
        <w:t xml:space="preserve"> المحقق منه للفترة 2013 </w:t>
      </w:r>
      <w:r w:rsidR="00A37602" w:rsidRPr="003C4983">
        <w:rPr>
          <w:sz w:val="26"/>
          <w:szCs w:val="26"/>
          <w:rtl/>
          <w:lang w:bidi="ar-SA"/>
        </w:rPr>
        <w:t>–</w:t>
      </w:r>
      <w:r w:rsidR="00A37602" w:rsidRPr="003C4983">
        <w:rPr>
          <w:rFonts w:hint="cs"/>
          <w:sz w:val="26"/>
          <w:szCs w:val="26"/>
          <w:rtl/>
          <w:lang w:bidi="ar-SA"/>
        </w:rPr>
        <w:t xml:space="preserve"> 2019 والذي كان أقل بكثير من </w:t>
      </w:r>
      <w:r w:rsidR="00A37602" w:rsidRPr="003C4983">
        <w:rPr>
          <w:sz w:val="26"/>
          <w:szCs w:val="26"/>
          <w:rtl/>
          <w:lang w:bidi="ar-SA"/>
        </w:rPr>
        <w:t>الحد الأقصى للاستهلاك المسموح به</w:t>
      </w:r>
      <w:r w:rsidR="00A37602" w:rsidRPr="003C4983">
        <w:rPr>
          <w:rFonts w:hint="cs"/>
          <w:sz w:val="26"/>
          <w:szCs w:val="26"/>
          <w:rtl/>
          <w:lang w:bidi="ar-SA"/>
        </w:rPr>
        <w:t xml:space="preserve"> </w:t>
      </w:r>
      <w:r w:rsidR="005F3511" w:rsidRPr="003C4983">
        <w:rPr>
          <w:rFonts w:hint="cs"/>
          <w:sz w:val="26"/>
          <w:szCs w:val="26"/>
          <w:rtl/>
          <w:lang w:bidi="ar-SA"/>
        </w:rPr>
        <w:t>ل</w:t>
      </w:r>
      <w:r w:rsidR="00A37602" w:rsidRPr="003C4983">
        <w:rPr>
          <w:rFonts w:hint="cs"/>
          <w:sz w:val="26"/>
          <w:szCs w:val="26"/>
          <w:rtl/>
          <w:lang w:bidi="ar-SA"/>
        </w:rPr>
        <w:t>لفترة عينها. وبعد تحليل معمّق لبيانات استهلاك المواد الهيدروكلوروفلوروكربوني</w:t>
      </w:r>
      <w:r w:rsidR="00A37602" w:rsidRPr="003C4983">
        <w:rPr>
          <w:rFonts w:hint="eastAsia"/>
          <w:sz w:val="26"/>
          <w:szCs w:val="26"/>
          <w:rtl/>
          <w:lang w:bidi="ar-SA"/>
        </w:rPr>
        <w:t>ة</w:t>
      </w:r>
      <w:r w:rsidR="00A37602" w:rsidRPr="003C4983">
        <w:rPr>
          <w:rFonts w:hint="cs"/>
          <w:sz w:val="26"/>
          <w:szCs w:val="26"/>
          <w:rtl/>
          <w:lang w:bidi="ar-SA"/>
        </w:rPr>
        <w:t xml:space="preserve"> والعوام</w:t>
      </w:r>
      <w:r w:rsidR="00F832D4" w:rsidRPr="003C4983">
        <w:rPr>
          <w:rFonts w:hint="cs"/>
          <w:sz w:val="26"/>
          <w:szCs w:val="26"/>
          <w:rtl/>
          <w:lang w:bidi="ar-SA"/>
        </w:rPr>
        <w:t xml:space="preserve">ل الاجتماعية والاقتصادية وبعد </w:t>
      </w:r>
      <w:r w:rsidR="00A37602" w:rsidRPr="003C4983">
        <w:rPr>
          <w:rFonts w:hint="cs"/>
          <w:sz w:val="26"/>
          <w:szCs w:val="26"/>
          <w:rtl/>
          <w:lang w:bidi="ar-SA"/>
        </w:rPr>
        <w:t>مزيد من البحث مع برنامج الأمم المتحدة للبيئة، خ</w:t>
      </w:r>
      <w:r w:rsidR="00B04671" w:rsidRPr="003C4983">
        <w:rPr>
          <w:rFonts w:hint="cs"/>
          <w:sz w:val="26"/>
          <w:szCs w:val="26"/>
          <w:rtl/>
          <w:lang w:bidi="ar-SA"/>
        </w:rPr>
        <w:t>لصت الأمانة إلى أنّه لا بدّ من تخفي</w:t>
      </w:r>
      <w:r w:rsidR="00A37602" w:rsidRPr="003C4983">
        <w:rPr>
          <w:rFonts w:hint="cs"/>
          <w:sz w:val="26"/>
          <w:szCs w:val="26"/>
          <w:rtl/>
          <w:lang w:bidi="ar-SA"/>
        </w:rPr>
        <w:t xml:space="preserve">ض </w:t>
      </w:r>
      <w:r w:rsidR="00A37602" w:rsidRPr="003C4983">
        <w:rPr>
          <w:sz w:val="26"/>
          <w:szCs w:val="26"/>
          <w:rtl/>
          <w:lang w:bidi="ar-SA"/>
        </w:rPr>
        <w:t>نقطة البداية للتخفيضات المجمعة المستدامة</w:t>
      </w:r>
      <w:r w:rsidR="00A37602" w:rsidRPr="003C4983">
        <w:rPr>
          <w:rFonts w:hint="cs"/>
          <w:sz w:val="26"/>
          <w:szCs w:val="26"/>
          <w:rtl/>
          <w:lang w:bidi="ar-SA"/>
        </w:rPr>
        <w:t xml:space="preserve"> لاستهلاك المواد الهيدروكلوروفلوروكربونية إلى 136.50 طن متري (7.51 طن من قدرات الأوزون) أي ما يزيد بنسبة 10 في المائة تقريبا على معدل الاستهلاك المحقق منه لعامي 2013 و2014.</w:t>
      </w:r>
    </w:p>
    <w:p w14:paraId="1CB8BAED" w14:textId="77777777" w:rsidR="00A37602" w:rsidRPr="003C4983" w:rsidRDefault="00A37602" w:rsidP="00A37602">
      <w:pPr>
        <w:bidi/>
        <w:rPr>
          <w:sz w:val="26"/>
          <w:szCs w:val="26"/>
          <w:rtl/>
          <w:lang w:bidi="ar-SA"/>
        </w:rPr>
      </w:pPr>
    </w:p>
    <w:p w14:paraId="75E7D82E" w14:textId="77777777" w:rsidR="00A37602" w:rsidRPr="003C4983" w:rsidRDefault="00A37602" w:rsidP="00F832D4">
      <w:pPr>
        <w:pStyle w:val="Heading1"/>
        <w:numPr>
          <w:ilvl w:val="0"/>
          <w:numId w:val="30"/>
        </w:numPr>
        <w:bidi/>
        <w:rPr>
          <w:sz w:val="26"/>
          <w:szCs w:val="26"/>
          <w:rtl/>
          <w:lang w:bidi="ar-SA"/>
        </w:rPr>
      </w:pPr>
      <w:r w:rsidRPr="003C4983">
        <w:rPr>
          <w:rFonts w:hint="cs"/>
          <w:sz w:val="26"/>
          <w:szCs w:val="26"/>
          <w:rtl/>
          <w:lang w:bidi="ar-SA"/>
        </w:rPr>
        <w:t>وتماشيا مع المبادئ التوجيهية ل</w:t>
      </w:r>
      <w:r w:rsidR="00B04671" w:rsidRPr="003C4983">
        <w:rPr>
          <w:rFonts w:hint="cs"/>
          <w:sz w:val="26"/>
          <w:szCs w:val="26"/>
          <w:rtl/>
          <w:lang w:bidi="ar-SA"/>
        </w:rPr>
        <w:t xml:space="preserve">احتساب </w:t>
      </w:r>
      <w:r w:rsidRPr="003C4983">
        <w:rPr>
          <w:rFonts w:hint="cs"/>
          <w:sz w:val="26"/>
          <w:szCs w:val="26"/>
          <w:rtl/>
          <w:lang w:bidi="ar-SA"/>
        </w:rPr>
        <w:t>كلفة الإزالة في المرحلة الأولى من خطة إدارة إزالة المواد الهيدروكلوروفلوروكربونية (أي المقرر 60/44(</w:t>
      </w:r>
      <w:r w:rsidR="00F832D4" w:rsidRPr="003C4983">
        <w:rPr>
          <w:rFonts w:hint="cs"/>
          <w:sz w:val="26"/>
          <w:szCs w:val="26"/>
          <w:rtl/>
          <w:lang w:bidi="ar-SA"/>
        </w:rPr>
        <w:t>و</w:t>
      </w:r>
      <w:r w:rsidRPr="003C4983">
        <w:rPr>
          <w:rFonts w:hint="cs"/>
          <w:sz w:val="26"/>
          <w:szCs w:val="26"/>
          <w:rtl/>
          <w:lang w:bidi="ar-SA"/>
        </w:rPr>
        <w:t>)(1</w:t>
      </w:r>
      <w:r w:rsidR="00F832D4" w:rsidRPr="003C4983">
        <w:rPr>
          <w:rFonts w:hint="cs"/>
          <w:sz w:val="26"/>
          <w:szCs w:val="26"/>
          <w:rtl/>
          <w:lang w:bidi="ar-SA"/>
        </w:rPr>
        <w:t>2))، فإنّه يتعيّن تعديل مستوى تمويل ا</w:t>
      </w:r>
      <w:r w:rsidRPr="003C4983">
        <w:rPr>
          <w:rFonts w:hint="cs"/>
          <w:sz w:val="26"/>
          <w:szCs w:val="26"/>
          <w:rtl/>
          <w:lang w:bidi="ar-SA"/>
        </w:rPr>
        <w:t xml:space="preserve">لمرحلة الأولى من خطة إدارة إزالة المواد الهيدروكلوروفلوروكربونية في غينيا </w:t>
      </w:r>
      <w:r w:rsidR="00F832D4" w:rsidRPr="003C4983">
        <w:rPr>
          <w:rFonts w:hint="cs"/>
          <w:sz w:val="26"/>
          <w:szCs w:val="26"/>
          <w:rtl/>
          <w:lang w:bidi="ar-SA"/>
        </w:rPr>
        <w:t xml:space="preserve">والرامية إلى </w:t>
      </w:r>
      <w:r w:rsidR="005F3511" w:rsidRPr="003C4983">
        <w:rPr>
          <w:rFonts w:hint="cs"/>
          <w:sz w:val="26"/>
          <w:szCs w:val="26"/>
          <w:rtl/>
          <w:lang w:bidi="ar-SA"/>
        </w:rPr>
        <w:t>ت</w:t>
      </w:r>
      <w:r w:rsidR="00F832D4" w:rsidRPr="003C4983">
        <w:rPr>
          <w:rFonts w:hint="cs"/>
          <w:sz w:val="26"/>
          <w:szCs w:val="26"/>
          <w:rtl/>
          <w:lang w:bidi="ar-SA"/>
        </w:rPr>
        <w:t>خف</w:t>
      </w:r>
      <w:r w:rsidR="005F3511" w:rsidRPr="003C4983">
        <w:rPr>
          <w:rFonts w:hint="cs"/>
          <w:sz w:val="26"/>
          <w:szCs w:val="26"/>
          <w:rtl/>
          <w:lang w:bidi="ar-SA"/>
        </w:rPr>
        <w:t>ي</w:t>
      </w:r>
      <w:r w:rsidRPr="003C4983">
        <w:rPr>
          <w:rFonts w:hint="cs"/>
          <w:sz w:val="26"/>
          <w:szCs w:val="26"/>
          <w:rtl/>
          <w:lang w:bidi="ar-SA"/>
        </w:rPr>
        <w:t xml:space="preserve">ض استهلاك المواد الهيدروكلوروفلوروكربونية </w:t>
      </w:r>
      <w:r w:rsidR="00F832D4" w:rsidRPr="003C4983">
        <w:rPr>
          <w:rFonts w:hint="cs"/>
          <w:sz w:val="26"/>
          <w:szCs w:val="26"/>
          <w:rtl/>
          <w:lang w:bidi="ar-SA"/>
        </w:rPr>
        <w:t xml:space="preserve">بنسبة 35 في المائة </w:t>
      </w:r>
      <w:r w:rsidRPr="003C4983">
        <w:rPr>
          <w:rFonts w:hint="cs"/>
          <w:sz w:val="26"/>
          <w:szCs w:val="26"/>
          <w:rtl/>
          <w:lang w:bidi="ar-SA"/>
        </w:rPr>
        <w:t>بحلول عام 2020</w:t>
      </w:r>
      <w:r w:rsidR="00F832D4" w:rsidRPr="003C4983">
        <w:rPr>
          <w:rFonts w:hint="cs"/>
          <w:sz w:val="26"/>
          <w:szCs w:val="26"/>
          <w:rtl/>
          <w:lang w:bidi="ar-SA"/>
        </w:rPr>
        <w:t>،</w:t>
      </w:r>
      <w:r w:rsidRPr="003C4983">
        <w:rPr>
          <w:rFonts w:hint="cs"/>
          <w:sz w:val="26"/>
          <w:szCs w:val="26"/>
          <w:rtl/>
          <w:lang w:bidi="ar-SA"/>
        </w:rPr>
        <w:t xml:space="preserve"> من 647,000</w:t>
      </w:r>
      <w:r w:rsidR="00F832D4" w:rsidRPr="003C4983">
        <w:rPr>
          <w:rFonts w:hint="cs"/>
          <w:sz w:val="26"/>
          <w:szCs w:val="26"/>
          <w:rtl/>
          <w:lang w:bidi="ar-SA"/>
        </w:rPr>
        <w:t xml:space="preserve"> دولار أمريكي، وهو المبلغ المقرر</w:t>
      </w:r>
      <w:r w:rsidRPr="003C4983">
        <w:rPr>
          <w:rFonts w:hint="cs"/>
          <w:sz w:val="26"/>
          <w:szCs w:val="26"/>
          <w:rtl/>
          <w:lang w:bidi="ar-SA"/>
        </w:rPr>
        <w:t xml:space="preserve"> أصلا، إلى 332,500 دولار أمريكي (أي</w:t>
      </w:r>
      <w:r w:rsidR="00F832D4" w:rsidRPr="003C4983">
        <w:rPr>
          <w:rFonts w:hint="cs"/>
          <w:sz w:val="26"/>
          <w:szCs w:val="26"/>
          <w:rtl/>
          <w:lang w:bidi="ar-SA"/>
        </w:rPr>
        <w:t xml:space="preserve"> تصحيح</w:t>
      </w:r>
      <w:r w:rsidRPr="003C4983">
        <w:rPr>
          <w:rFonts w:hint="cs"/>
          <w:sz w:val="26"/>
          <w:szCs w:val="26"/>
          <w:rtl/>
          <w:lang w:bidi="ar-SA"/>
        </w:rPr>
        <w:t xml:space="preserve"> بقيمة 314,500 دولار أمريكي). وعلما بأنّه سبق وأقرّ مبلغ 305,000 دولار أمريكي للشريحتين الأولى والثانية، لا يبقى لتمويل الشرائح التالية من المرحلة الأولى سوى مبلغ 27,500 دولار أمريكي.</w:t>
      </w:r>
    </w:p>
    <w:p w14:paraId="5A5D64DB" w14:textId="77777777" w:rsidR="00A37602" w:rsidRPr="003C4983" w:rsidRDefault="00F832D4" w:rsidP="00724941">
      <w:pPr>
        <w:pStyle w:val="Heading1"/>
        <w:numPr>
          <w:ilvl w:val="0"/>
          <w:numId w:val="30"/>
        </w:numPr>
        <w:bidi/>
        <w:rPr>
          <w:sz w:val="26"/>
          <w:szCs w:val="26"/>
          <w:rtl/>
          <w:lang w:bidi="ar-SA"/>
        </w:rPr>
      </w:pPr>
      <w:r w:rsidRPr="003C4983">
        <w:rPr>
          <w:rFonts w:hint="cs"/>
          <w:sz w:val="26"/>
          <w:szCs w:val="26"/>
          <w:rtl/>
          <w:lang w:bidi="ar-SA"/>
        </w:rPr>
        <w:t>في خلال</w:t>
      </w:r>
      <w:r w:rsidR="00A37602" w:rsidRPr="003C4983">
        <w:rPr>
          <w:rFonts w:hint="cs"/>
          <w:sz w:val="26"/>
          <w:szCs w:val="26"/>
          <w:rtl/>
          <w:lang w:bidi="ar-SA"/>
        </w:rPr>
        <w:t xml:space="preserve"> استعراض المشروع، شرح برنامج الأمم المتحدة للبيئة أنّ مبل</w:t>
      </w:r>
      <w:r w:rsidRPr="003C4983">
        <w:rPr>
          <w:rFonts w:hint="cs"/>
          <w:sz w:val="26"/>
          <w:szCs w:val="26"/>
          <w:rtl/>
          <w:lang w:bidi="ar-SA"/>
        </w:rPr>
        <w:t>غ 305,000 دولار أمريكي المقرر</w:t>
      </w:r>
      <w:r w:rsidR="00A37602" w:rsidRPr="003C4983">
        <w:rPr>
          <w:rFonts w:hint="cs"/>
          <w:sz w:val="26"/>
          <w:szCs w:val="26"/>
          <w:rtl/>
          <w:lang w:bidi="ar-SA"/>
        </w:rPr>
        <w:t xml:space="preserve"> للشريحتين الأولى والثاني</w:t>
      </w:r>
      <w:r w:rsidRPr="003C4983">
        <w:rPr>
          <w:rFonts w:hint="cs"/>
          <w:sz w:val="26"/>
          <w:szCs w:val="26"/>
          <w:rtl/>
          <w:lang w:bidi="ar-SA"/>
        </w:rPr>
        <w:t>ة</w:t>
      </w:r>
      <w:r w:rsidR="00A37602" w:rsidRPr="003C4983">
        <w:rPr>
          <w:rFonts w:hint="cs"/>
          <w:sz w:val="26"/>
          <w:szCs w:val="26"/>
          <w:rtl/>
          <w:lang w:bidi="ar-SA"/>
        </w:rPr>
        <w:t xml:space="preserve"> قد صرف بالكامل وأنّ</w:t>
      </w:r>
      <w:r w:rsidR="000F02EE" w:rsidRPr="003C4983">
        <w:rPr>
          <w:rFonts w:hint="cs"/>
          <w:sz w:val="26"/>
          <w:szCs w:val="26"/>
          <w:rtl/>
          <w:lang w:bidi="ar-SA"/>
        </w:rPr>
        <w:t>ه تمّ التخطيط لتنفيذ</w:t>
      </w:r>
      <w:r w:rsidR="00A37602" w:rsidRPr="003C4983">
        <w:rPr>
          <w:rFonts w:hint="cs"/>
          <w:sz w:val="26"/>
          <w:szCs w:val="26"/>
          <w:rtl/>
          <w:lang w:bidi="ar-SA"/>
        </w:rPr>
        <w:t xml:space="preserve"> عدد من الأنشطة</w:t>
      </w:r>
      <w:r w:rsidR="000F02EE" w:rsidRPr="003C4983">
        <w:rPr>
          <w:rFonts w:hint="cs"/>
          <w:sz w:val="26"/>
          <w:szCs w:val="26"/>
          <w:rtl/>
          <w:lang w:bidi="ar-SA"/>
        </w:rPr>
        <w:t xml:space="preserve"> المشمولة في المرحلة الأولى من خطة إدارة إزالة المواد الهيدروكلوروفلوروكربونية فور الموافقة على التمويل. وبالتالي من شأن حصر الرصيد بمبلغ 27,500 دولار أمر</w:t>
      </w:r>
      <w:r w:rsidR="00724941" w:rsidRPr="003C4983">
        <w:rPr>
          <w:rFonts w:hint="cs"/>
          <w:sz w:val="26"/>
          <w:szCs w:val="26"/>
          <w:rtl/>
          <w:lang w:bidi="ar-SA"/>
        </w:rPr>
        <w:t>يكي أن يمسّ غيني</w:t>
      </w:r>
      <w:r w:rsidR="005F3511" w:rsidRPr="003C4983">
        <w:rPr>
          <w:rFonts w:hint="cs"/>
          <w:sz w:val="26"/>
          <w:szCs w:val="26"/>
          <w:rtl/>
          <w:lang w:bidi="ar-SA"/>
        </w:rPr>
        <w:t xml:space="preserve">ا سوءا لأنه يكبح الزخم الذي </w:t>
      </w:r>
      <w:r w:rsidR="00724941" w:rsidRPr="003C4983">
        <w:rPr>
          <w:rFonts w:hint="cs"/>
          <w:sz w:val="26"/>
          <w:szCs w:val="26"/>
          <w:rtl/>
          <w:lang w:bidi="ar-SA"/>
        </w:rPr>
        <w:t>اكتس</w:t>
      </w:r>
      <w:r w:rsidR="000F02EE" w:rsidRPr="003C4983">
        <w:rPr>
          <w:rFonts w:hint="cs"/>
          <w:sz w:val="26"/>
          <w:szCs w:val="26"/>
          <w:rtl/>
          <w:lang w:bidi="ar-SA"/>
        </w:rPr>
        <w:t>ب</w:t>
      </w:r>
      <w:r w:rsidR="00724941" w:rsidRPr="003C4983">
        <w:rPr>
          <w:rFonts w:hint="cs"/>
          <w:sz w:val="26"/>
          <w:szCs w:val="26"/>
          <w:rtl/>
          <w:lang w:bidi="ar-SA"/>
        </w:rPr>
        <w:t>ت</w:t>
      </w:r>
      <w:r w:rsidR="000F02EE" w:rsidRPr="003C4983">
        <w:rPr>
          <w:rFonts w:hint="cs"/>
          <w:sz w:val="26"/>
          <w:szCs w:val="26"/>
          <w:rtl/>
          <w:lang w:bidi="ar-SA"/>
        </w:rPr>
        <w:t xml:space="preserve">ه مؤخرا في تنفيذ </w:t>
      </w:r>
      <w:r w:rsidR="00B04671" w:rsidRPr="003C4983">
        <w:rPr>
          <w:rFonts w:hint="cs"/>
          <w:sz w:val="26"/>
          <w:szCs w:val="26"/>
          <w:rtl/>
          <w:lang w:bidi="ar-SA"/>
        </w:rPr>
        <w:t xml:space="preserve">أنشطة </w:t>
      </w:r>
      <w:r w:rsidR="000F02EE" w:rsidRPr="003C4983">
        <w:rPr>
          <w:rFonts w:hint="cs"/>
          <w:sz w:val="26"/>
          <w:szCs w:val="26"/>
          <w:rtl/>
          <w:lang w:bidi="ar-SA"/>
        </w:rPr>
        <w:t xml:space="preserve">المرحلة الأولى. </w:t>
      </w:r>
      <w:r w:rsidR="000F02EE" w:rsidRPr="003C4983">
        <w:rPr>
          <w:rFonts w:hint="cs"/>
          <w:sz w:val="26"/>
          <w:szCs w:val="26"/>
          <w:rtl/>
          <w:lang w:bidi="ar-SA"/>
        </w:rPr>
        <w:lastRenderedPageBreak/>
        <w:t>وف</w:t>
      </w:r>
      <w:r w:rsidR="00724941" w:rsidRPr="003C4983">
        <w:rPr>
          <w:rFonts w:hint="cs"/>
          <w:sz w:val="26"/>
          <w:szCs w:val="26"/>
          <w:rtl/>
          <w:lang w:bidi="ar-SA"/>
        </w:rPr>
        <w:t xml:space="preserve">ضلا عن ذلك، من غير المتوقع عرض </w:t>
      </w:r>
      <w:r w:rsidR="000F02EE" w:rsidRPr="003C4983">
        <w:rPr>
          <w:rFonts w:hint="cs"/>
          <w:sz w:val="26"/>
          <w:szCs w:val="26"/>
          <w:rtl/>
          <w:lang w:bidi="ar-SA"/>
        </w:rPr>
        <w:t>المرحلة الثانية قبل عام 2022 على اعتبار أن تمويل الأنشطة التحضيرية لن يطلب قبل الاجتماع السادس والثمانين.</w:t>
      </w:r>
    </w:p>
    <w:p w14:paraId="4BF3010C" w14:textId="77777777" w:rsidR="000F02EE" w:rsidRPr="003C4983" w:rsidRDefault="000F02EE" w:rsidP="000F02EE">
      <w:pPr>
        <w:pStyle w:val="Heading1"/>
        <w:numPr>
          <w:ilvl w:val="0"/>
          <w:numId w:val="30"/>
        </w:numPr>
        <w:bidi/>
        <w:rPr>
          <w:sz w:val="26"/>
          <w:szCs w:val="26"/>
          <w:lang w:bidi="ar-SA"/>
        </w:rPr>
      </w:pPr>
      <w:r w:rsidRPr="003C4983">
        <w:rPr>
          <w:rFonts w:hint="cs"/>
          <w:sz w:val="26"/>
          <w:szCs w:val="26"/>
          <w:rtl/>
          <w:lang w:bidi="ar-SA"/>
        </w:rPr>
        <w:t xml:space="preserve">في ضوء هذه المعلومات وتماشيا مع الحالات السابقة، وقع الاتفاق على </w:t>
      </w:r>
      <w:r w:rsidR="00B04671" w:rsidRPr="003C4983">
        <w:rPr>
          <w:rFonts w:hint="cs"/>
          <w:sz w:val="26"/>
          <w:szCs w:val="26"/>
          <w:rtl/>
          <w:lang w:bidi="ar-SA"/>
        </w:rPr>
        <w:t>أن يقوم الاجتماع الخامس والثمانو</w:t>
      </w:r>
      <w:r w:rsidRPr="003C4983">
        <w:rPr>
          <w:rFonts w:hint="cs"/>
          <w:sz w:val="26"/>
          <w:szCs w:val="26"/>
          <w:rtl/>
          <w:lang w:bidi="ar-SA"/>
        </w:rPr>
        <w:t>ن بالنظر في الشريحة الثالثة، حسب القيمة التي أقرّت لها من حيث المبدأ أي 225,000 دولار أمريكي، على أن تمثّل الشريحة الأخيرة من المرحلة الأولى من خطة إدارة إزالة المواد الهيدرو</w:t>
      </w:r>
      <w:r w:rsidR="00B04671" w:rsidRPr="003C4983">
        <w:rPr>
          <w:rFonts w:hint="cs"/>
          <w:sz w:val="26"/>
          <w:szCs w:val="26"/>
          <w:rtl/>
          <w:lang w:bidi="ar-SA"/>
        </w:rPr>
        <w:t>كلوروفلوروكربونية، لا</w:t>
      </w:r>
      <w:r w:rsidRPr="003C4983">
        <w:rPr>
          <w:rFonts w:hint="cs"/>
          <w:sz w:val="26"/>
          <w:szCs w:val="26"/>
          <w:rtl/>
          <w:lang w:bidi="ar-SA"/>
        </w:rPr>
        <w:t>ستكمال الأنشطة الجارية. أمّا التخفيض المتوجب أي 314,500 دولار أمريكي فيتمّ عن طريق إلغاء الشريحتين الرابعة (50,000 دولار أمريكي) والخامسة (67,000 دولار أمريكي) وحسم مبلغ 197,500 دولار أمريكي من تمويل المرحلة الثانية من الخطة، متى قدّمت.</w:t>
      </w:r>
    </w:p>
    <w:p w14:paraId="447BFAE2" w14:textId="77777777" w:rsidR="000F02EE" w:rsidRPr="003C4983" w:rsidRDefault="000F02EE" w:rsidP="000F02EE">
      <w:pPr>
        <w:pStyle w:val="Heading1"/>
        <w:numPr>
          <w:ilvl w:val="0"/>
          <w:numId w:val="30"/>
        </w:numPr>
        <w:bidi/>
        <w:rPr>
          <w:sz w:val="26"/>
          <w:szCs w:val="26"/>
          <w:rtl/>
        </w:rPr>
      </w:pPr>
      <w:r w:rsidRPr="003C4983">
        <w:rPr>
          <w:rFonts w:hint="cs"/>
          <w:sz w:val="26"/>
          <w:szCs w:val="26"/>
          <w:rtl/>
          <w:lang w:bidi="ar-SA"/>
        </w:rPr>
        <w:t>وعلى هذا الأساس و</w:t>
      </w:r>
      <w:r w:rsidRPr="003C4983">
        <w:rPr>
          <w:sz w:val="26"/>
          <w:szCs w:val="26"/>
          <w:rtl/>
        </w:rPr>
        <w:t xml:space="preserve">بالنيابة عن </w:t>
      </w:r>
      <w:r w:rsidRPr="003C4983">
        <w:rPr>
          <w:rFonts w:hint="cs"/>
          <w:sz w:val="26"/>
          <w:szCs w:val="26"/>
          <w:rtl/>
        </w:rPr>
        <w:t xml:space="preserve">غينيا، أعاد برنامج الأمم المتحدة للبيئة تقديم </w:t>
      </w:r>
      <w:r w:rsidRPr="003C4983">
        <w:rPr>
          <w:sz w:val="26"/>
          <w:szCs w:val="26"/>
          <w:rtl/>
        </w:rPr>
        <w:t>طلب تمويل الشريح</w:t>
      </w:r>
      <w:r w:rsidRPr="003C4983">
        <w:rPr>
          <w:rFonts w:hint="cs"/>
          <w:sz w:val="26"/>
          <w:szCs w:val="26"/>
          <w:rtl/>
        </w:rPr>
        <w:t xml:space="preserve">تين الثالثة والرابعة </w:t>
      </w:r>
      <w:r w:rsidRPr="003C4983">
        <w:rPr>
          <w:sz w:val="26"/>
          <w:szCs w:val="26"/>
          <w:rtl/>
        </w:rPr>
        <w:t>من المرحلة ال</w:t>
      </w:r>
      <w:r w:rsidRPr="003C4983">
        <w:rPr>
          <w:rFonts w:hint="cs"/>
          <w:sz w:val="26"/>
          <w:szCs w:val="26"/>
          <w:rtl/>
        </w:rPr>
        <w:t xml:space="preserve">أولى من </w:t>
      </w:r>
      <w:r w:rsidRPr="003C4983">
        <w:rPr>
          <w:sz w:val="26"/>
          <w:szCs w:val="26"/>
          <w:rtl/>
        </w:rPr>
        <w:t xml:space="preserve">خطة إدارة إزالة المواد الهيدروكلوروفلوروكربونية </w:t>
      </w:r>
      <w:r w:rsidRPr="003C4983">
        <w:rPr>
          <w:rFonts w:hint="cs"/>
          <w:sz w:val="26"/>
          <w:szCs w:val="26"/>
          <w:rtl/>
        </w:rPr>
        <w:t>بكلفة إجمالية تساوي</w:t>
      </w:r>
      <w:r w:rsidRPr="003C4983">
        <w:rPr>
          <w:sz w:val="26"/>
          <w:szCs w:val="26"/>
          <w:rtl/>
        </w:rPr>
        <w:t xml:space="preserve"> </w:t>
      </w:r>
      <w:r w:rsidRPr="003C4983">
        <w:rPr>
          <w:rFonts w:hint="cs"/>
          <w:sz w:val="26"/>
          <w:szCs w:val="26"/>
          <w:rtl/>
        </w:rPr>
        <w:t xml:space="preserve">246,750 </w:t>
      </w:r>
      <w:r w:rsidRPr="003C4983">
        <w:rPr>
          <w:sz w:val="26"/>
          <w:szCs w:val="26"/>
          <w:rtl/>
        </w:rPr>
        <w:t>دولار</w:t>
      </w:r>
      <w:r w:rsidRPr="003C4983">
        <w:rPr>
          <w:rFonts w:hint="cs"/>
          <w:sz w:val="26"/>
          <w:szCs w:val="26"/>
          <w:rtl/>
        </w:rPr>
        <w:t>ا</w:t>
      </w:r>
      <w:r w:rsidRPr="003C4983">
        <w:rPr>
          <w:sz w:val="26"/>
          <w:szCs w:val="26"/>
          <w:rtl/>
        </w:rPr>
        <w:t xml:space="preserve"> أمريكي</w:t>
      </w:r>
      <w:r w:rsidRPr="003C4983">
        <w:rPr>
          <w:rFonts w:hint="cs"/>
          <w:sz w:val="26"/>
          <w:szCs w:val="26"/>
          <w:rtl/>
        </w:rPr>
        <w:t xml:space="preserve">ا، أي 100,000 دولار أمريكي زائد 13,000 دولار أمريكي لتكاليف الدعم لبرنامج الأمم المتحدة للبيئة و125,000 دولار أمريكي زائد 8,750 دولارا أمريكيا لتكاليف الدعم لمنظمة الأمم المتحدة للتنمية الصناعية. </w:t>
      </w:r>
      <w:r w:rsidRPr="003C4983">
        <w:rPr>
          <w:sz w:val="26"/>
          <w:szCs w:val="26"/>
          <w:rtl/>
        </w:rPr>
        <w:t>ويشتمل الطلب على تقرير مرحلي عن تنفيذ الشر</w:t>
      </w:r>
      <w:r w:rsidRPr="003C4983">
        <w:rPr>
          <w:rFonts w:hint="cs"/>
          <w:sz w:val="26"/>
          <w:szCs w:val="26"/>
          <w:rtl/>
        </w:rPr>
        <w:t>يح</w:t>
      </w:r>
      <w:r w:rsidRPr="003C4983">
        <w:rPr>
          <w:sz w:val="26"/>
          <w:szCs w:val="26"/>
          <w:rtl/>
        </w:rPr>
        <w:t>ة ال</w:t>
      </w:r>
      <w:r w:rsidRPr="003C4983">
        <w:rPr>
          <w:rFonts w:hint="cs"/>
          <w:sz w:val="26"/>
          <w:szCs w:val="26"/>
          <w:rtl/>
        </w:rPr>
        <w:t>ثانية</w:t>
      </w:r>
      <w:r w:rsidRPr="003C4983">
        <w:rPr>
          <w:sz w:val="26"/>
          <w:szCs w:val="26"/>
          <w:rtl/>
        </w:rPr>
        <w:t xml:space="preserve"> وتقرير التحقق وخطة </w:t>
      </w:r>
      <w:r w:rsidRPr="003C4983">
        <w:rPr>
          <w:rFonts w:hint="cs"/>
          <w:sz w:val="26"/>
          <w:szCs w:val="26"/>
          <w:rtl/>
        </w:rPr>
        <w:t>ال</w:t>
      </w:r>
      <w:r w:rsidRPr="003C4983">
        <w:rPr>
          <w:sz w:val="26"/>
          <w:szCs w:val="26"/>
          <w:rtl/>
        </w:rPr>
        <w:t>تنفيذ ال</w:t>
      </w:r>
      <w:r w:rsidRPr="003C4983">
        <w:rPr>
          <w:rFonts w:hint="cs"/>
          <w:sz w:val="26"/>
          <w:szCs w:val="26"/>
          <w:rtl/>
        </w:rPr>
        <w:t xml:space="preserve">سنوية </w:t>
      </w:r>
      <w:r w:rsidRPr="003C4983">
        <w:rPr>
          <w:sz w:val="26"/>
          <w:szCs w:val="26"/>
          <w:rtl/>
        </w:rPr>
        <w:t xml:space="preserve">في خلال </w:t>
      </w:r>
      <w:r w:rsidRPr="003C4983">
        <w:rPr>
          <w:rFonts w:hint="cs"/>
          <w:sz w:val="26"/>
          <w:szCs w:val="26"/>
          <w:rtl/>
        </w:rPr>
        <w:t xml:space="preserve">الفترة 2020 </w:t>
      </w:r>
      <w:r w:rsidRPr="003C4983">
        <w:rPr>
          <w:sz w:val="26"/>
          <w:szCs w:val="26"/>
          <w:rtl/>
        </w:rPr>
        <w:t>–</w:t>
      </w:r>
      <w:r w:rsidRPr="003C4983">
        <w:rPr>
          <w:rFonts w:hint="cs"/>
          <w:sz w:val="26"/>
          <w:szCs w:val="26"/>
          <w:rtl/>
        </w:rPr>
        <w:t xml:space="preserve"> 2022. </w:t>
      </w:r>
    </w:p>
    <w:p w14:paraId="63547B8D" w14:textId="77777777" w:rsidR="004013C2" w:rsidRPr="003C4983" w:rsidRDefault="00122811" w:rsidP="00122811">
      <w:pPr>
        <w:pStyle w:val="StyleHeader4Para4Left0Firstline0"/>
        <w:numPr>
          <w:ilvl w:val="0"/>
          <w:numId w:val="0"/>
        </w:numPr>
        <w:tabs>
          <w:tab w:val="left" w:pos="4"/>
        </w:tabs>
        <w:bidi/>
        <w:spacing w:after="0"/>
        <w:ind w:left="6"/>
        <w:jc w:val="left"/>
        <w:rPr>
          <w:sz w:val="26"/>
          <w:szCs w:val="26"/>
          <w:u w:val="single"/>
          <w:rtl/>
        </w:rPr>
      </w:pPr>
      <w:r w:rsidRPr="003C4983">
        <w:rPr>
          <w:rFonts w:hint="cs"/>
          <w:sz w:val="26"/>
          <w:szCs w:val="26"/>
          <w:u w:val="single"/>
          <w:rtl/>
        </w:rPr>
        <w:t>ا</w:t>
      </w:r>
      <w:r w:rsidR="004013C2" w:rsidRPr="003C4983">
        <w:rPr>
          <w:sz w:val="26"/>
          <w:szCs w:val="26"/>
          <w:u w:val="single"/>
          <w:rtl/>
        </w:rPr>
        <w:t>لإفادة عن استهلاك المواد الهيدروكلوروفلوروكربونية</w:t>
      </w:r>
    </w:p>
    <w:p w14:paraId="3B14CD0E" w14:textId="77777777" w:rsidR="004013C2" w:rsidRPr="003C4983" w:rsidRDefault="004013C2" w:rsidP="004013C2">
      <w:pPr>
        <w:pStyle w:val="Heading1"/>
        <w:numPr>
          <w:ilvl w:val="0"/>
          <w:numId w:val="0"/>
        </w:numPr>
        <w:bidi/>
        <w:spacing w:after="0"/>
        <w:rPr>
          <w:sz w:val="26"/>
          <w:szCs w:val="26"/>
          <w:lang w:val="fr-CA"/>
        </w:rPr>
      </w:pPr>
    </w:p>
    <w:p w14:paraId="280B5D17" w14:textId="77777777" w:rsidR="00BB51D2" w:rsidRPr="003C4983" w:rsidRDefault="000F02EE" w:rsidP="00381E90">
      <w:pPr>
        <w:pStyle w:val="Heading1"/>
        <w:numPr>
          <w:ilvl w:val="0"/>
          <w:numId w:val="0"/>
        </w:numPr>
        <w:bidi/>
        <w:rPr>
          <w:b/>
          <w:bCs/>
          <w:sz w:val="26"/>
          <w:szCs w:val="26"/>
          <w:rtl/>
          <w:lang w:val="fr-CA"/>
        </w:rPr>
      </w:pPr>
      <w:r w:rsidRPr="003C4983">
        <w:rPr>
          <w:rFonts w:hint="cs"/>
          <w:sz w:val="26"/>
          <w:szCs w:val="26"/>
          <w:rtl/>
        </w:rPr>
        <w:t>13.</w:t>
      </w:r>
      <w:r w:rsidRPr="003C4983">
        <w:rPr>
          <w:rFonts w:hint="cs"/>
          <w:sz w:val="26"/>
          <w:szCs w:val="26"/>
          <w:rtl/>
        </w:rPr>
        <w:tab/>
      </w:r>
      <w:r w:rsidR="001A1043" w:rsidRPr="003C4983">
        <w:rPr>
          <w:rFonts w:hint="cs"/>
          <w:sz w:val="26"/>
          <w:szCs w:val="26"/>
          <w:rtl/>
          <w:lang w:bidi="ar-SA"/>
        </w:rPr>
        <w:t xml:space="preserve">يعزا التراجع في استهلاك المواد الهيدروكلوروفلوروكربونية في </w:t>
      </w:r>
      <w:r w:rsidRPr="003C4983">
        <w:rPr>
          <w:rFonts w:hint="cs"/>
          <w:sz w:val="26"/>
          <w:szCs w:val="26"/>
          <w:rtl/>
        </w:rPr>
        <w:t>غينيا</w:t>
      </w:r>
      <w:r w:rsidR="001A1043" w:rsidRPr="003C4983">
        <w:rPr>
          <w:rFonts w:hint="cs"/>
          <w:sz w:val="26"/>
          <w:szCs w:val="26"/>
          <w:rtl/>
        </w:rPr>
        <w:t xml:space="preserve"> منذ عام 2013 إلى أكثر من سبب. إن الأزمة السياسية وجائحة إيبولا التي ضربت الب</w:t>
      </w:r>
      <w:r w:rsidR="005F3511" w:rsidRPr="003C4983">
        <w:rPr>
          <w:rFonts w:hint="cs"/>
          <w:sz w:val="26"/>
          <w:szCs w:val="26"/>
          <w:rtl/>
        </w:rPr>
        <w:t xml:space="preserve">لاد </w:t>
      </w:r>
      <w:r w:rsidR="00381E90" w:rsidRPr="003C4983">
        <w:rPr>
          <w:rFonts w:hint="cs"/>
          <w:sz w:val="26"/>
          <w:szCs w:val="26"/>
          <w:rtl/>
        </w:rPr>
        <w:t xml:space="preserve">على مدى </w:t>
      </w:r>
      <w:r w:rsidR="005F3511" w:rsidRPr="003C4983">
        <w:rPr>
          <w:rFonts w:hint="cs"/>
          <w:sz w:val="26"/>
          <w:szCs w:val="26"/>
          <w:rtl/>
        </w:rPr>
        <w:t xml:space="preserve">سنوات </w:t>
      </w:r>
      <w:r w:rsidR="00381E90" w:rsidRPr="003C4983">
        <w:rPr>
          <w:rFonts w:hint="cs"/>
          <w:sz w:val="26"/>
          <w:szCs w:val="26"/>
          <w:rtl/>
        </w:rPr>
        <w:t xml:space="preserve">عدّة </w:t>
      </w:r>
      <w:r w:rsidR="005F3511" w:rsidRPr="003C4983">
        <w:rPr>
          <w:rFonts w:hint="cs"/>
          <w:sz w:val="26"/>
          <w:szCs w:val="26"/>
          <w:rtl/>
        </w:rPr>
        <w:t>أدّتا إلى انحسار ا</w:t>
      </w:r>
      <w:r w:rsidR="001A1043" w:rsidRPr="003C4983">
        <w:rPr>
          <w:rFonts w:hint="cs"/>
          <w:sz w:val="26"/>
          <w:szCs w:val="26"/>
          <w:rtl/>
        </w:rPr>
        <w:t xml:space="preserve">لطلب على المواد الهيدروكلوروفلوروكربونية. </w:t>
      </w:r>
      <w:r w:rsidR="00873072" w:rsidRPr="003C4983">
        <w:rPr>
          <w:rFonts w:hint="cs"/>
          <w:sz w:val="26"/>
          <w:szCs w:val="26"/>
          <w:rtl/>
        </w:rPr>
        <w:t>ك</w:t>
      </w:r>
      <w:r w:rsidR="001A1043" w:rsidRPr="003C4983">
        <w:rPr>
          <w:rFonts w:hint="cs"/>
          <w:sz w:val="26"/>
          <w:szCs w:val="26"/>
          <w:rtl/>
        </w:rPr>
        <w:t>ما أنّ تفعيل نظام الحصص والتراخيص لاستيرادها وتصديرها فضلا عن تدريب فنيي قطاع التبريد</w:t>
      </w:r>
      <w:r w:rsidR="004013C2" w:rsidRPr="003C4983">
        <w:rPr>
          <w:rFonts w:hint="cs"/>
          <w:sz w:val="26"/>
          <w:szCs w:val="26"/>
          <w:rtl/>
        </w:rPr>
        <w:t xml:space="preserve"> </w:t>
      </w:r>
      <w:r w:rsidR="001A1043" w:rsidRPr="003C4983">
        <w:rPr>
          <w:rFonts w:hint="cs"/>
          <w:sz w:val="26"/>
          <w:szCs w:val="26"/>
          <w:rtl/>
        </w:rPr>
        <w:t>واستيراد معدات تبريد وتكييف هواء لا تعتمد على الهيدروكلوروفلوروكربون-22</w:t>
      </w:r>
      <w:r w:rsidR="00724941" w:rsidRPr="003C4983">
        <w:rPr>
          <w:rFonts w:hint="cs"/>
          <w:sz w:val="26"/>
          <w:szCs w:val="26"/>
          <w:rtl/>
        </w:rPr>
        <w:t>،</w:t>
      </w:r>
      <w:r w:rsidR="005F3511" w:rsidRPr="003C4983">
        <w:rPr>
          <w:rFonts w:hint="cs"/>
          <w:sz w:val="26"/>
          <w:szCs w:val="26"/>
          <w:rtl/>
        </w:rPr>
        <w:t xml:space="preserve"> كلها عوامل ساهمت بدورها في الحدّ من</w:t>
      </w:r>
      <w:r w:rsidR="001A1043" w:rsidRPr="003C4983">
        <w:rPr>
          <w:rFonts w:hint="cs"/>
          <w:sz w:val="26"/>
          <w:szCs w:val="26"/>
          <w:rtl/>
        </w:rPr>
        <w:t xml:space="preserve"> استهلاك </w:t>
      </w:r>
      <w:r w:rsidR="004013C2" w:rsidRPr="003C4983">
        <w:rPr>
          <w:rFonts w:hint="cs"/>
          <w:sz w:val="26"/>
          <w:szCs w:val="26"/>
          <w:rtl/>
        </w:rPr>
        <w:t>ال</w:t>
      </w:r>
      <w:r w:rsidR="004013C2" w:rsidRPr="003C4983">
        <w:rPr>
          <w:sz w:val="26"/>
          <w:szCs w:val="26"/>
          <w:rtl/>
        </w:rPr>
        <w:t>م</w:t>
      </w:r>
      <w:r w:rsidR="004013C2" w:rsidRPr="003C4983">
        <w:rPr>
          <w:rFonts w:hint="cs"/>
          <w:sz w:val="26"/>
          <w:szCs w:val="26"/>
          <w:rtl/>
        </w:rPr>
        <w:t xml:space="preserve">واد </w:t>
      </w:r>
      <w:r w:rsidR="004013C2" w:rsidRPr="003C4983">
        <w:rPr>
          <w:sz w:val="26"/>
          <w:szCs w:val="26"/>
          <w:rtl/>
        </w:rPr>
        <w:t>الهيدروكلوروفلوروكربون</w:t>
      </w:r>
      <w:r w:rsidR="004013C2" w:rsidRPr="003C4983">
        <w:rPr>
          <w:rFonts w:hint="cs"/>
          <w:sz w:val="26"/>
          <w:szCs w:val="26"/>
          <w:rtl/>
        </w:rPr>
        <w:t>ية</w:t>
      </w:r>
      <w:r w:rsidR="004013C2" w:rsidRPr="003C4983">
        <w:rPr>
          <w:sz w:val="26"/>
          <w:szCs w:val="26"/>
          <w:rtl/>
        </w:rPr>
        <w:t xml:space="preserve">. </w:t>
      </w:r>
    </w:p>
    <w:p w14:paraId="56FF0E60" w14:textId="77777777" w:rsidR="004B70E3" w:rsidRPr="003C4983" w:rsidRDefault="004B70E3" w:rsidP="004B70E3">
      <w:pPr>
        <w:pStyle w:val="StyleHeader4Para4Left0Firstline0"/>
        <w:numPr>
          <w:ilvl w:val="0"/>
          <w:numId w:val="0"/>
        </w:numPr>
        <w:tabs>
          <w:tab w:val="clear" w:pos="2880"/>
          <w:tab w:val="clear" w:pos="5760"/>
          <w:tab w:val="left" w:pos="4"/>
        </w:tabs>
        <w:bidi/>
        <w:jc w:val="left"/>
        <w:rPr>
          <w:i/>
          <w:iCs/>
          <w:sz w:val="26"/>
          <w:szCs w:val="26"/>
          <w:rtl/>
        </w:rPr>
      </w:pPr>
      <w:r w:rsidRPr="003C4983">
        <w:rPr>
          <w:i/>
          <w:iCs/>
          <w:sz w:val="26"/>
          <w:szCs w:val="26"/>
          <w:rtl/>
        </w:rPr>
        <w:t>التقرير عن تنفيذ البرنامج القطري</w:t>
      </w:r>
    </w:p>
    <w:p w14:paraId="11D75C9C" w14:textId="77777777" w:rsidR="004B70E3" w:rsidRPr="003C4983" w:rsidRDefault="001A1043" w:rsidP="001A1043">
      <w:pPr>
        <w:pStyle w:val="Heading1"/>
        <w:numPr>
          <w:ilvl w:val="0"/>
          <w:numId w:val="0"/>
        </w:numPr>
        <w:bidi/>
        <w:rPr>
          <w:sz w:val="26"/>
          <w:szCs w:val="26"/>
          <w:rtl/>
          <w:lang w:val="fr-CA"/>
        </w:rPr>
      </w:pPr>
      <w:r w:rsidRPr="003C4983">
        <w:rPr>
          <w:rFonts w:hint="cs"/>
          <w:sz w:val="26"/>
          <w:szCs w:val="26"/>
          <w:rtl/>
          <w:lang w:val="fr-CA"/>
        </w:rPr>
        <w:t>14.</w:t>
      </w:r>
      <w:r w:rsidRPr="003C4983">
        <w:rPr>
          <w:rFonts w:hint="cs"/>
          <w:sz w:val="26"/>
          <w:szCs w:val="26"/>
          <w:rtl/>
          <w:lang w:val="fr-CA"/>
        </w:rPr>
        <w:tab/>
      </w:r>
      <w:r w:rsidR="004B70E3" w:rsidRPr="003C4983">
        <w:rPr>
          <w:sz w:val="26"/>
          <w:szCs w:val="26"/>
          <w:rtl/>
          <w:lang w:val="fr-CA"/>
        </w:rPr>
        <w:t xml:space="preserve">بلّغت </w:t>
      </w:r>
      <w:r w:rsidRPr="003C4983">
        <w:rPr>
          <w:rFonts w:hint="cs"/>
          <w:sz w:val="26"/>
          <w:szCs w:val="26"/>
          <w:rtl/>
          <w:lang w:val="fr-CA"/>
        </w:rPr>
        <w:t>غينيا</w:t>
      </w:r>
      <w:r w:rsidR="004B70E3" w:rsidRPr="003C4983">
        <w:rPr>
          <w:rFonts w:hint="cs"/>
          <w:sz w:val="26"/>
          <w:szCs w:val="26"/>
          <w:rtl/>
          <w:lang w:val="fr-CA"/>
        </w:rPr>
        <w:t xml:space="preserve"> </w:t>
      </w:r>
      <w:r w:rsidR="00A1451E" w:rsidRPr="003C4983">
        <w:rPr>
          <w:rFonts w:hint="cs"/>
          <w:sz w:val="26"/>
          <w:szCs w:val="26"/>
          <w:rtl/>
          <w:lang w:val="fr-CA"/>
        </w:rPr>
        <w:t xml:space="preserve">عن </w:t>
      </w:r>
      <w:r w:rsidR="004B70E3" w:rsidRPr="003C4983">
        <w:rPr>
          <w:sz w:val="26"/>
          <w:szCs w:val="26"/>
          <w:rtl/>
          <w:lang w:val="fr-CA"/>
        </w:rPr>
        <w:t xml:space="preserve">بيانات استهلاك قطاع المواد الهيدروكلوروفلوروكربونية في التقرير عن تنفيذ البرنامج القطري </w:t>
      </w:r>
      <w:r w:rsidR="004B70E3" w:rsidRPr="003C4983">
        <w:rPr>
          <w:rFonts w:hint="cs"/>
          <w:sz w:val="26"/>
          <w:szCs w:val="26"/>
          <w:rtl/>
          <w:lang w:val="fr-CA"/>
        </w:rPr>
        <w:t xml:space="preserve">في </w:t>
      </w:r>
      <w:r w:rsidR="004B70E3" w:rsidRPr="003C4983">
        <w:rPr>
          <w:sz w:val="26"/>
          <w:szCs w:val="26"/>
          <w:rtl/>
          <w:lang w:val="fr-CA"/>
        </w:rPr>
        <w:t>عام 201</w:t>
      </w:r>
      <w:r w:rsidRPr="003C4983">
        <w:rPr>
          <w:rFonts w:hint="cs"/>
          <w:sz w:val="26"/>
          <w:szCs w:val="26"/>
          <w:rtl/>
          <w:lang w:val="fr-CA"/>
        </w:rPr>
        <w:t>9</w:t>
      </w:r>
      <w:r w:rsidR="004B70E3" w:rsidRPr="003C4983">
        <w:rPr>
          <w:sz w:val="26"/>
          <w:szCs w:val="26"/>
          <w:rtl/>
          <w:lang w:val="fr-CA"/>
        </w:rPr>
        <w:t xml:space="preserve"> و</w:t>
      </w:r>
      <w:r w:rsidR="005F3511" w:rsidRPr="003C4983">
        <w:rPr>
          <w:sz w:val="26"/>
          <w:szCs w:val="26"/>
          <w:rtl/>
          <w:lang w:val="fr-CA"/>
        </w:rPr>
        <w:t xml:space="preserve">هي متماشية مع </w:t>
      </w:r>
      <w:r w:rsidR="004B70E3" w:rsidRPr="003C4983">
        <w:rPr>
          <w:sz w:val="26"/>
          <w:szCs w:val="26"/>
          <w:rtl/>
          <w:lang w:val="fr-CA"/>
        </w:rPr>
        <w:t xml:space="preserve">بيانات </w:t>
      </w:r>
      <w:r w:rsidR="005F3511" w:rsidRPr="003C4983">
        <w:rPr>
          <w:rFonts w:hint="cs"/>
          <w:sz w:val="26"/>
          <w:szCs w:val="26"/>
          <w:rtl/>
          <w:lang w:val="fr-CA"/>
        </w:rPr>
        <w:t xml:space="preserve">الاستهلاك </w:t>
      </w:r>
      <w:r w:rsidR="005F3511" w:rsidRPr="003C4983">
        <w:rPr>
          <w:sz w:val="26"/>
          <w:szCs w:val="26"/>
          <w:rtl/>
          <w:lang w:val="fr-CA"/>
        </w:rPr>
        <w:t>المبلغ عنه</w:t>
      </w:r>
      <w:r w:rsidR="004B70E3" w:rsidRPr="003C4983">
        <w:rPr>
          <w:sz w:val="26"/>
          <w:szCs w:val="26"/>
          <w:rtl/>
          <w:lang w:val="fr-CA"/>
        </w:rPr>
        <w:t xml:space="preserve"> عملا بالمادة 7 من بروتوكول مونتريال. </w:t>
      </w:r>
    </w:p>
    <w:p w14:paraId="0E087716" w14:textId="77777777" w:rsidR="004B70E3" w:rsidRPr="003C4983" w:rsidRDefault="004B70E3" w:rsidP="004B70E3">
      <w:pPr>
        <w:pStyle w:val="StyleHeader4Para4Left0Firstline0"/>
        <w:numPr>
          <w:ilvl w:val="0"/>
          <w:numId w:val="0"/>
        </w:numPr>
        <w:tabs>
          <w:tab w:val="clear" w:pos="2880"/>
          <w:tab w:val="clear" w:pos="5760"/>
          <w:tab w:val="left" w:pos="4"/>
        </w:tabs>
        <w:bidi/>
        <w:rPr>
          <w:i/>
          <w:iCs/>
          <w:sz w:val="26"/>
          <w:szCs w:val="26"/>
          <w:rtl/>
        </w:rPr>
      </w:pPr>
      <w:r w:rsidRPr="003C4983">
        <w:rPr>
          <w:rFonts w:hint="cs"/>
          <w:i/>
          <w:iCs/>
          <w:sz w:val="26"/>
          <w:szCs w:val="26"/>
          <w:rtl/>
        </w:rPr>
        <w:t>تقرير التحقق</w:t>
      </w:r>
    </w:p>
    <w:p w14:paraId="75CD331F" w14:textId="77777777" w:rsidR="004B70E3" w:rsidRPr="003C4983" w:rsidRDefault="004B70E3" w:rsidP="00724941">
      <w:pPr>
        <w:pStyle w:val="Heading1"/>
        <w:numPr>
          <w:ilvl w:val="0"/>
          <w:numId w:val="31"/>
        </w:numPr>
        <w:bidi/>
        <w:rPr>
          <w:sz w:val="26"/>
          <w:szCs w:val="26"/>
          <w:lang w:val="fr-CA"/>
        </w:rPr>
      </w:pPr>
      <w:r w:rsidRPr="003C4983">
        <w:rPr>
          <w:sz w:val="26"/>
          <w:szCs w:val="26"/>
          <w:rtl/>
          <w:lang w:val="fr-CA"/>
        </w:rPr>
        <w:t>أكّد تقرير التحقق أن</w:t>
      </w:r>
      <w:r w:rsidR="00873072" w:rsidRPr="003C4983">
        <w:rPr>
          <w:rFonts w:hint="cs"/>
          <w:sz w:val="26"/>
          <w:szCs w:val="26"/>
          <w:rtl/>
          <w:lang w:val="fr-CA"/>
        </w:rPr>
        <w:t>ّ غينيا</w:t>
      </w:r>
      <w:r w:rsidRPr="003C4983">
        <w:rPr>
          <w:rFonts w:hint="cs"/>
          <w:sz w:val="26"/>
          <w:szCs w:val="26"/>
          <w:rtl/>
          <w:lang w:val="fr-CA"/>
        </w:rPr>
        <w:t xml:space="preserve"> </w:t>
      </w:r>
      <w:r w:rsidR="00724941" w:rsidRPr="003C4983">
        <w:rPr>
          <w:sz w:val="26"/>
          <w:szCs w:val="26"/>
          <w:rtl/>
          <w:lang w:val="fr-CA"/>
        </w:rPr>
        <w:t>ت</w:t>
      </w:r>
      <w:r w:rsidR="00724941" w:rsidRPr="003C4983">
        <w:rPr>
          <w:rFonts w:hint="cs"/>
          <w:sz w:val="26"/>
          <w:szCs w:val="26"/>
          <w:rtl/>
          <w:lang w:val="fr-CA"/>
        </w:rPr>
        <w:t>طبق</w:t>
      </w:r>
      <w:r w:rsidRPr="003C4983">
        <w:rPr>
          <w:sz w:val="26"/>
          <w:szCs w:val="26"/>
          <w:rtl/>
          <w:lang w:val="fr-CA"/>
        </w:rPr>
        <w:t xml:space="preserve"> نظام</w:t>
      </w:r>
      <w:r w:rsidR="00873072" w:rsidRPr="003C4983">
        <w:rPr>
          <w:rFonts w:hint="cs"/>
          <w:sz w:val="26"/>
          <w:szCs w:val="26"/>
          <w:rtl/>
          <w:lang w:val="fr-CA"/>
        </w:rPr>
        <w:t>ا</w:t>
      </w:r>
      <w:r w:rsidRPr="003C4983">
        <w:rPr>
          <w:rFonts w:hint="cs"/>
          <w:sz w:val="26"/>
          <w:szCs w:val="26"/>
          <w:rtl/>
          <w:lang w:val="fr-CA"/>
        </w:rPr>
        <w:t xml:space="preserve"> ل</w:t>
      </w:r>
      <w:r w:rsidRPr="003C4983">
        <w:rPr>
          <w:sz w:val="26"/>
          <w:szCs w:val="26"/>
          <w:rtl/>
          <w:lang w:val="fr-CA"/>
        </w:rPr>
        <w:t>لتر</w:t>
      </w:r>
      <w:r w:rsidR="005F3511" w:rsidRPr="003C4983">
        <w:rPr>
          <w:rFonts w:hint="cs"/>
          <w:sz w:val="26"/>
          <w:szCs w:val="26"/>
          <w:rtl/>
          <w:lang w:val="fr-CA"/>
        </w:rPr>
        <w:t>ا</w:t>
      </w:r>
      <w:r w:rsidRPr="003C4983">
        <w:rPr>
          <w:sz w:val="26"/>
          <w:szCs w:val="26"/>
          <w:rtl/>
          <w:lang w:val="fr-CA"/>
        </w:rPr>
        <w:t>خيص والحصص لاستيراد المواد الهيدروكلوروفلوروكربونية وتصديرها</w:t>
      </w:r>
      <w:r w:rsidR="00873072" w:rsidRPr="003C4983">
        <w:rPr>
          <w:rFonts w:hint="cs"/>
          <w:sz w:val="26"/>
          <w:szCs w:val="26"/>
          <w:rtl/>
          <w:lang w:val="fr-CA"/>
        </w:rPr>
        <w:t xml:space="preserve"> وأوصى ببناء قدرات ضباط الجمارك عن طريق </w:t>
      </w:r>
      <w:r w:rsidR="00724941" w:rsidRPr="003C4983">
        <w:rPr>
          <w:rFonts w:hint="cs"/>
          <w:sz w:val="26"/>
          <w:szCs w:val="26"/>
          <w:rtl/>
          <w:lang w:val="fr-CA"/>
        </w:rPr>
        <w:t xml:space="preserve">مضاعفة </w:t>
      </w:r>
      <w:r w:rsidR="00873072" w:rsidRPr="003C4983">
        <w:rPr>
          <w:rFonts w:hint="cs"/>
          <w:sz w:val="26"/>
          <w:szCs w:val="26"/>
          <w:rtl/>
          <w:lang w:val="fr-CA"/>
        </w:rPr>
        <w:t>التدريب على تطبيق اللوائح الوطنية ودون الإقليمية المتعلقة بالمواد المستنفدة للأوزون وتزويد إدارة الجمارك بأ</w:t>
      </w:r>
      <w:r w:rsidR="00873072" w:rsidRPr="003C4983">
        <w:rPr>
          <w:sz w:val="26"/>
          <w:szCs w:val="26"/>
          <w:rtl/>
          <w:lang w:val="fr-CA"/>
        </w:rPr>
        <w:t>جهزة التعرف على غازات التبريد</w:t>
      </w:r>
      <w:r w:rsidRPr="003C4983">
        <w:rPr>
          <w:sz w:val="26"/>
          <w:szCs w:val="26"/>
          <w:rtl/>
          <w:lang w:val="fr-CA"/>
        </w:rPr>
        <w:t xml:space="preserve"> </w:t>
      </w:r>
      <w:r w:rsidR="00724941" w:rsidRPr="003C4983">
        <w:rPr>
          <w:rFonts w:hint="cs"/>
          <w:sz w:val="26"/>
          <w:szCs w:val="26"/>
          <w:rtl/>
          <w:lang w:val="fr-CA"/>
        </w:rPr>
        <w:t xml:space="preserve">وتدريب الموردين على استخدام </w:t>
      </w:r>
      <w:r w:rsidR="00873072" w:rsidRPr="003C4983">
        <w:rPr>
          <w:rFonts w:hint="cs"/>
          <w:sz w:val="26"/>
          <w:szCs w:val="26"/>
          <w:rtl/>
          <w:lang w:val="fr-CA"/>
        </w:rPr>
        <w:t>حصص</w:t>
      </w:r>
      <w:r w:rsidR="00724941" w:rsidRPr="003C4983">
        <w:rPr>
          <w:rFonts w:hint="cs"/>
          <w:sz w:val="26"/>
          <w:szCs w:val="26"/>
          <w:rtl/>
          <w:lang w:val="fr-CA"/>
        </w:rPr>
        <w:t>هم</w:t>
      </w:r>
      <w:r w:rsidR="00873072" w:rsidRPr="003C4983">
        <w:rPr>
          <w:rFonts w:hint="cs"/>
          <w:sz w:val="26"/>
          <w:szCs w:val="26"/>
          <w:rtl/>
          <w:lang w:val="fr-CA"/>
        </w:rPr>
        <w:t xml:space="preserve"> لتجنب الخلل بين الحصص المرخص لها والكميات المستوردة فعلا.</w:t>
      </w:r>
      <w:r w:rsidRPr="003C4983">
        <w:rPr>
          <w:rFonts w:hint="cs"/>
          <w:sz w:val="26"/>
          <w:szCs w:val="26"/>
          <w:rtl/>
          <w:lang w:val="fr-CA"/>
        </w:rPr>
        <w:t xml:space="preserve"> </w:t>
      </w:r>
    </w:p>
    <w:p w14:paraId="5C2F2BF0" w14:textId="77777777" w:rsidR="004B70E3" w:rsidRPr="003C4983" w:rsidRDefault="00873072" w:rsidP="00724941">
      <w:pPr>
        <w:pStyle w:val="Heading1"/>
        <w:bidi/>
        <w:rPr>
          <w:sz w:val="26"/>
          <w:szCs w:val="26"/>
          <w:rtl/>
          <w:lang w:val="fr-CA"/>
        </w:rPr>
      </w:pPr>
      <w:r w:rsidRPr="003C4983">
        <w:rPr>
          <w:rFonts w:hint="cs"/>
          <w:sz w:val="26"/>
          <w:szCs w:val="26"/>
          <w:rtl/>
          <w:lang w:val="fr-CA"/>
        </w:rPr>
        <w:t>وأ</w:t>
      </w:r>
      <w:r w:rsidR="004B70E3" w:rsidRPr="003C4983">
        <w:rPr>
          <w:rFonts w:hint="cs"/>
          <w:sz w:val="26"/>
          <w:szCs w:val="26"/>
          <w:rtl/>
          <w:lang w:val="fr-CA"/>
        </w:rPr>
        <w:t>ك</w:t>
      </w:r>
      <w:r w:rsidRPr="003C4983">
        <w:rPr>
          <w:rFonts w:hint="cs"/>
          <w:sz w:val="26"/>
          <w:szCs w:val="26"/>
          <w:rtl/>
          <w:lang w:val="fr-CA"/>
        </w:rPr>
        <w:t>ّد برنامج الأمم المتحدة للبيئة أنّ غينيا ستأخذ توصيات المحقق في</w:t>
      </w:r>
      <w:r w:rsidR="00724941" w:rsidRPr="003C4983">
        <w:rPr>
          <w:rFonts w:hint="cs"/>
          <w:sz w:val="26"/>
          <w:szCs w:val="26"/>
          <w:rtl/>
          <w:lang w:val="fr-CA"/>
        </w:rPr>
        <w:t xml:space="preserve"> عين الاعتبار عند</w:t>
      </w:r>
      <w:r w:rsidRPr="003C4983">
        <w:rPr>
          <w:rFonts w:hint="cs"/>
          <w:sz w:val="26"/>
          <w:szCs w:val="26"/>
          <w:rtl/>
          <w:lang w:val="fr-CA"/>
        </w:rPr>
        <w:t xml:space="preserve"> تنفيذ الشريحة الثالثة من خطة إدارة إزالة المواد الهيدروكلوروفلوروكربونية. </w:t>
      </w:r>
      <w:r w:rsidR="00724941" w:rsidRPr="003C4983">
        <w:rPr>
          <w:rFonts w:hint="cs"/>
          <w:sz w:val="26"/>
          <w:szCs w:val="26"/>
          <w:rtl/>
          <w:lang w:val="fr-CA"/>
        </w:rPr>
        <w:t xml:space="preserve">وقد </w:t>
      </w:r>
      <w:r w:rsidRPr="003C4983">
        <w:rPr>
          <w:rFonts w:hint="cs"/>
          <w:sz w:val="26"/>
          <w:szCs w:val="26"/>
          <w:rtl/>
          <w:lang w:val="fr-CA"/>
        </w:rPr>
        <w:t xml:space="preserve">تمّ تدريب ضباط الجمارك وسيتواصل </w:t>
      </w:r>
      <w:r w:rsidR="00724941" w:rsidRPr="003C4983">
        <w:rPr>
          <w:rFonts w:hint="cs"/>
          <w:sz w:val="26"/>
          <w:szCs w:val="26"/>
          <w:rtl/>
          <w:lang w:val="fr-CA"/>
        </w:rPr>
        <w:t>هذا النشاط من 2020 إلى 2022 وس</w:t>
      </w:r>
      <w:r w:rsidR="005F3511" w:rsidRPr="003C4983">
        <w:rPr>
          <w:rFonts w:hint="cs"/>
          <w:sz w:val="26"/>
          <w:szCs w:val="26"/>
          <w:rtl/>
          <w:lang w:val="fr-CA"/>
        </w:rPr>
        <w:t>ت</w:t>
      </w:r>
      <w:r w:rsidR="00724941" w:rsidRPr="003C4983">
        <w:rPr>
          <w:rFonts w:hint="cs"/>
          <w:sz w:val="26"/>
          <w:szCs w:val="26"/>
          <w:rtl/>
          <w:lang w:val="fr-CA"/>
        </w:rPr>
        <w:t>تضمن</w:t>
      </w:r>
      <w:r w:rsidRPr="003C4983">
        <w:rPr>
          <w:rFonts w:hint="cs"/>
          <w:sz w:val="26"/>
          <w:szCs w:val="26"/>
          <w:rtl/>
          <w:lang w:val="fr-CA"/>
        </w:rPr>
        <w:t xml:space="preserve"> الشريحة الثالثة </w:t>
      </w:r>
      <w:r w:rsidR="00724941" w:rsidRPr="003C4983">
        <w:rPr>
          <w:rFonts w:hint="cs"/>
          <w:sz w:val="26"/>
          <w:szCs w:val="26"/>
          <w:rtl/>
          <w:lang w:val="fr-CA"/>
        </w:rPr>
        <w:t>بند</w:t>
      </w:r>
      <w:r w:rsidR="005F3511" w:rsidRPr="003C4983">
        <w:rPr>
          <w:rFonts w:hint="cs"/>
          <w:sz w:val="26"/>
          <w:szCs w:val="26"/>
          <w:rtl/>
          <w:lang w:val="fr-CA"/>
        </w:rPr>
        <w:t>ا</w:t>
      </w:r>
      <w:r w:rsidR="00724941" w:rsidRPr="003C4983">
        <w:rPr>
          <w:rFonts w:hint="cs"/>
          <w:sz w:val="26"/>
          <w:szCs w:val="26"/>
          <w:rtl/>
          <w:lang w:val="fr-CA"/>
        </w:rPr>
        <w:t xml:space="preserve"> لتوفير</w:t>
      </w:r>
      <w:r w:rsidRPr="003C4983">
        <w:rPr>
          <w:rFonts w:hint="cs"/>
          <w:sz w:val="26"/>
          <w:szCs w:val="26"/>
          <w:rtl/>
          <w:lang w:val="fr-CA"/>
        </w:rPr>
        <w:t xml:space="preserve"> المزيد من </w:t>
      </w:r>
      <w:r w:rsidRPr="003C4983">
        <w:rPr>
          <w:sz w:val="26"/>
          <w:szCs w:val="26"/>
          <w:rtl/>
          <w:lang w:val="fr-CA"/>
        </w:rPr>
        <w:t>أجهزة التعرف على غازات</w:t>
      </w:r>
      <w:r w:rsidR="004B70E3" w:rsidRPr="003C4983">
        <w:rPr>
          <w:rFonts w:hint="cs"/>
          <w:sz w:val="26"/>
          <w:szCs w:val="26"/>
          <w:rtl/>
          <w:lang w:val="fr-CA"/>
        </w:rPr>
        <w:t>.</w:t>
      </w:r>
    </w:p>
    <w:p w14:paraId="4915F958" w14:textId="77777777" w:rsidR="003C4983" w:rsidRDefault="003C4983">
      <w:pPr>
        <w:jc w:val="left"/>
        <w:rPr>
          <w:sz w:val="26"/>
          <w:szCs w:val="26"/>
          <w:u w:val="single"/>
          <w:rtl/>
          <w:lang w:val="fr-CA"/>
        </w:rPr>
      </w:pPr>
      <w:r>
        <w:rPr>
          <w:sz w:val="26"/>
          <w:szCs w:val="26"/>
          <w:u w:val="single"/>
          <w:rtl/>
          <w:lang w:val="fr-CA"/>
        </w:rPr>
        <w:br w:type="page"/>
      </w:r>
    </w:p>
    <w:p w14:paraId="18B583CF" w14:textId="1F2427C2" w:rsidR="004B70E3" w:rsidRPr="003C4983" w:rsidRDefault="004B70E3" w:rsidP="004B70E3">
      <w:pPr>
        <w:pStyle w:val="StyleHeader4Para4Left0Firstline0"/>
        <w:numPr>
          <w:ilvl w:val="0"/>
          <w:numId w:val="0"/>
        </w:numPr>
        <w:tabs>
          <w:tab w:val="clear" w:pos="2880"/>
          <w:tab w:val="clear" w:pos="5760"/>
          <w:tab w:val="left" w:pos="4"/>
        </w:tabs>
        <w:bidi/>
        <w:ind w:left="4"/>
        <w:jc w:val="left"/>
        <w:rPr>
          <w:sz w:val="26"/>
          <w:szCs w:val="26"/>
          <w:u w:val="single"/>
          <w:rtl/>
          <w:lang w:val="fr-CA"/>
        </w:rPr>
      </w:pPr>
      <w:r w:rsidRPr="003C4983">
        <w:rPr>
          <w:sz w:val="26"/>
          <w:szCs w:val="26"/>
          <w:u w:val="single"/>
          <w:rtl/>
          <w:lang w:val="fr-CA"/>
        </w:rPr>
        <w:lastRenderedPageBreak/>
        <w:t>التقرير المرحلي عن تنفيذ الشريحة ال</w:t>
      </w:r>
      <w:r w:rsidR="005F3511" w:rsidRPr="003C4983">
        <w:rPr>
          <w:rFonts w:hint="cs"/>
          <w:sz w:val="26"/>
          <w:szCs w:val="26"/>
          <w:u w:val="single"/>
          <w:rtl/>
          <w:lang w:val="fr-CA"/>
        </w:rPr>
        <w:t>ثاني</w:t>
      </w:r>
      <w:r w:rsidRPr="003C4983">
        <w:rPr>
          <w:rFonts w:hint="cs"/>
          <w:sz w:val="26"/>
          <w:szCs w:val="26"/>
          <w:u w:val="single"/>
          <w:rtl/>
          <w:lang w:val="fr-CA"/>
        </w:rPr>
        <w:t xml:space="preserve">ة من خطة إدارة </w:t>
      </w:r>
      <w:r w:rsidRPr="003C4983">
        <w:rPr>
          <w:sz w:val="26"/>
          <w:szCs w:val="26"/>
          <w:u w:val="single"/>
          <w:rtl/>
          <w:lang w:val="fr-CA"/>
        </w:rPr>
        <w:t>إزالة المواد الهيدروكلوروفلوروكربونية</w:t>
      </w:r>
    </w:p>
    <w:p w14:paraId="068E6C14" w14:textId="77777777" w:rsidR="004B70E3" w:rsidRPr="003C4983" w:rsidRDefault="004B70E3" w:rsidP="004B70E3">
      <w:pPr>
        <w:bidi/>
        <w:rPr>
          <w:i/>
          <w:iCs/>
          <w:sz w:val="26"/>
          <w:szCs w:val="26"/>
          <w:rtl/>
          <w:lang w:val="fr-CA"/>
        </w:rPr>
      </w:pPr>
      <w:r w:rsidRPr="003C4983">
        <w:rPr>
          <w:rFonts w:hint="cs"/>
          <w:i/>
          <w:iCs/>
          <w:sz w:val="26"/>
          <w:szCs w:val="26"/>
          <w:rtl/>
          <w:lang w:val="fr-CA"/>
        </w:rPr>
        <w:t>الإطار القانوني</w:t>
      </w:r>
    </w:p>
    <w:p w14:paraId="20D4E082" w14:textId="77777777" w:rsidR="004B70E3" w:rsidRPr="003C4983" w:rsidRDefault="004B70E3" w:rsidP="004B70E3">
      <w:pPr>
        <w:bidi/>
        <w:rPr>
          <w:sz w:val="26"/>
          <w:szCs w:val="26"/>
          <w:lang w:val="fr-CA"/>
        </w:rPr>
      </w:pPr>
    </w:p>
    <w:p w14:paraId="21B59945" w14:textId="77777777" w:rsidR="003B2456" w:rsidRPr="003C4983" w:rsidRDefault="003B2456" w:rsidP="00381E90">
      <w:pPr>
        <w:pStyle w:val="Heading1"/>
        <w:bidi/>
        <w:rPr>
          <w:sz w:val="26"/>
          <w:szCs w:val="26"/>
          <w:lang w:val="fr-CA"/>
        </w:rPr>
      </w:pPr>
      <w:r w:rsidRPr="003C4983">
        <w:rPr>
          <w:rFonts w:hint="cs"/>
          <w:sz w:val="26"/>
          <w:szCs w:val="26"/>
          <w:rtl/>
          <w:lang w:val="fr-CA" w:bidi="ar-SA"/>
        </w:rPr>
        <w:t xml:space="preserve">إلى جانب نظام التراخيص والحصص لاستيراد المواد الهيدروكلوروفلوروكربونية، فرضت </w:t>
      </w:r>
      <w:r w:rsidR="00381E90" w:rsidRPr="003C4983">
        <w:rPr>
          <w:rFonts w:hint="cs"/>
          <w:sz w:val="26"/>
          <w:szCs w:val="26"/>
          <w:rtl/>
          <w:lang w:val="fr-CA" w:bidi="ar-SA"/>
        </w:rPr>
        <w:t xml:space="preserve">وحدة الأوزون الوطنية </w:t>
      </w:r>
      <w:r w:rsidR="005F3511" w:rsidRPr="003C4983">
        <w:rPr>
          <w:rFonts w:hint="cs"/>
          <w:sz w:val="26"/>
          <w:szCs w:val="26"/>
          <w:rtl/>
          <w:lang w:val="fr-CA" w:bidi="ar-SA"/>
        </w:rPr>
        <w:t>الاستحصال على</w:t>
      </w:r>
      <w:r w:rsidRPr="003C4983">
        <w:rPr>
          <w:rFonts w:hint="cs"/>
          <w:sz w:val="26"/>
          <w:szCs w:val="26"/>
          <w:rtl/>
          <w:lang w:val="fr-CA" w:bidi="ar-SA"/>
        </w:rPr>
        <w:t xml:space="preserve"> موافقتها </w:t>
      </w:r>
      <w:r w:rsidR="00724941" w:rsidRPr="003C4983">
        <w:rPr>
          <w:rFonts w:hint="cs"/>
          <w:sz w:val="26"/>
          <w:szCs w:val="26"/>
          <w:rtl/>
          <w:lang w:val="fr-CA" w:bidi="ar-SA"/>
        </w:rPr>
        <w:t xml:space="preserve">قبل </w:t>
      </w:r>
      <w:r w:rsidR="005F3511" w:rsidRPr="003C4983">
        <w:rPr>
          <w:rFonts w:hint="cs"/>
          <w:sz w:val="26"/>
          <w:szCs w:val="26"/>
          <w:rtl/>
          <w:lang w:val="fr-CA" w:bidi="ar-SA"/>
        </w:rPr>
        <w:t>استيراد المعدات القائمة على تلك المواد</w:t>
      </w:r>
      <w:r w:rsidRPr="003C4983">
        <w:rPr>
          <w:rFonts w:hint="cs"/>
          <w:sz w:val="26"/>
          <w:szCs w:val="26"/>
          <w:rtl/>
          <w:lang w:val="fr-CA" w:bidi="ar-SA"/>
        </w:rPr>
        <w:t xml:space="preserve"> لكفالة الامتثال للتشريعات الإقليمية التي وضعها </w:t>
      </w:r>
      <w:r w:rsidRPr="003C4983">
        <w:rPr>
          <w:sz w:val="26"/>
          <w:szCs w:val="26"/>
          <w:rtl/>
          <w:lang w:val="fr-CA" w:bidi="ar-SA"/>
        </w:rPr>
        <w:t>الاتحاد الاقتصادي والنقدي لغرب أفريقيا</w:t>
      </w:r>
      <w:r w:rsidRPr="003C4983">
        <w:rPr>
          <w:rFonts w:hint="cs"/>
          <w:sz w:val="26"/>
          <w:szCs w:val="26"/>
          <w:rtl/>
          <w:lang w:val="fr-CA" w:bidi="ar-SA"/>
        </w:rPr>
        <w:t xml:space="preserve">. ووضعت غينيا مدونة للممارسات السليمة لمنع تنفيس غازات التبريد في أثناء خدمة أجهزة التبريد وتكييف الهواء وصيانتها. </w:t>
      </w:r>
    </w:p>
    <w:p w14:paraId="4EC5AED4" w14:textId="77777777" w:rsidR="00EF4C5D" w:rsidRPr="003C4983" w:rsidRDefault="003C28F9" w:rsidP="005F3511">
      <w:pPr>
        <w:pStyle w:val="Heading1"/>
        <w:bidi/>
        <w:rPr>
          <w:sz w:val="26"/>
          <w:szCs w:val="26"/>
          <w:lang w:val="fr-CA"/>
        </w:rPr>
      </w:pPr>
      <w:r w:rsidRPr="003C4983">
        <w:rPr>
          <w:rFonts w:hint="cs"/>
          <w:sz w:val="26"/>
          <w:szCs w:val="26"/>
          <w:rtl/>
          <w:lang w:val="fr-CA" w:bidi="ar-SA"/>
        </w:rPr>
        <w:t>و</w:t>
      </w:r>
      <w:r w:rsidR="002E0A5C" w:rsidRPr="003C4983">
        <w:rPr>
          <w:rFonts w:hint="cs"/>
          <w:sz w:val="26"/>
          <w:szCs w:val="26"/>
          <w:rtl/>
          <w:lang w:val="fr-CA" w:bidi="ar-SA"/>
        </w:rPr>
        <w:t xml:space="preserve">أكّدت غينيا </w:t>
      </w:r>
      <w:r w:rsidR="005F3511" w:rsidRPr="003C4983">
        <w:rPr>
          <w:rFonts w:hint="cs"/>
          <w:sz w:val="26"/>
          <w:szCs w:val="26"/>
          <w:rtl/>
          <w:lang w:val="fr-CA" w:bidi="ar-SA"/>
        </w:rPr>
        <w:t>على</w:t>
      </w:r>
      <w:r w:rsidR="002E0A5C" w:rsidRPr="003C4983">
        <w:rPr>
          <w:rFonts w:hint="cs"/>
          <w:sz w:val="26"/>
          <w:szCs w:val="26"/>
          <w:rtl/>
          <w:lang w:val="fr-CA" w:bidi="ar-SA"/>
        </w:rPr>
        <w:t xml:space="preserve"> حظر استيراد جميع المواد الخاضعة للرقابة والمدرجة على المرافق أ وب وهـ من بروتوكول مونتريال (في ما عدا اس</w:t>
      </w:r>
      <w:r w:rsidRPr="003C4983">
        <w:rPr>
          <w:rFonts w:hint="cs"/>
          <w:sz w:val="26"/>
          <w:szCs w:val="26"/>
          <w:rtl/>
          <w:lang w:val="fr-CA" w:bidi="ar-SA"/>
        </w:rPr>
        <w:t>تخدامات الحجر الصحي والسابقة للش</w:t>
      </w:r>
      <w:r w:rsidR="002E0A5C" w:rsidRPr="003C4983">
        <w:rPr>
          <w:rFonts w:hint="cs"/>
          <w:sz w:val="26"/>
          <w:szCs w:val="26"/>
          <w:rtl/>
          <w:lang w:val="fr-CA" w:bidi="ar-SA"/>
        </w:rPr>
        <w:t xml:space="preserve">حن). </w:t>
      </w:r>
      <w:r w:rsidRPr="003C4983">
        <w:rPr>
          <w:rFonts w:hint="cs"/>
          <w:sz w:val="26"/>
          <w:szCs w:val="26"/>
          <w:rtl/>
          <w:lang w:val="fr-CA" w:bidi="ar-SA"/>
        </w:rPr>
        <w:t>و</w:t>
      </w:r>
      <w:r w:rsidR="002E0A5C" w:rsidRPr="003C4983">
        <w:rPr>
          <w:rFonts w:hint="cs"/>
          <w:sz w:val="26"/>
          <w:szCs w:val="26"/>
          <w:rtl/>
          <w:lang w:val="fr-CA" w:bidi="ar-SA"/>
        </w:rPr>
        <w:t xml:space="preserve">لا بدّ من موافقة مسبقة لاستيراد كل المواد المستنفدة للأوزون والمعدات القائمة عليها؛ وقد أدرجت المواد المستنفدة للأوزون على قائمة السلع التي تخضع لعمليات التفتيش البيئي. وفضلا عن ذلك، فإنّه لوحدة الأوزون الوطنية </w:t>
      </w:r>
      <w:r w:rsidR="00EF4C5D" w:rsidRPr="003C4983">
        <w:rPr>
          <w:rFonts w:hint="cs"/>
          <w:sz w:val="26"/>
          <w:szCs w:val="26"/>
          <w:rtl/>
          <w:lang w:val="fr-CA" w:bidi="ar-SA"/>
        </w:rPr>
        <w:t>مركز تنسيق في ميناء كوناكري لمساعدة ضباط الجمارك على التعرف على غازات التبريد والمعدات القائمة على المواد المستنفدة للأوزون، عند الحاجة. وإنّ السلطات العامة على غير بينة بأي</w:t>
      </w:r>
      <w:r w:rsidR="005F3511" w:rsidRPr="003C4983">
        <w:rPr>
          <w:rFonts w:hint="cs"/>
          <w:sz w:val="26"/>
          <w:szCs w:val="26"/>
          <w:rtl/>
          <w:lang w:val="fr-CA" w:bidi="ar-SA"/>
        </w:rPr>
        <w:t>ّ</w:t>
      </w:r>
      <w:r w:rsidR="00EF4C5D" w:rsidRPr="003C4983">
        <w:rPr>
          <w:rFonts w:hint="cs"/>
          <w:sz w:val="26"/>
          <w:szCs w:val="26"/>
          <w:rtl/>
          <w:lang w:val="fr-CA" w:bidi="ar-SA"/>
        </w:rPr>
        <w:t xml:space="preserve"> عم</w:t>
      </w:r>
      <w:r w:rsidR="00381E90" w:rsidRPr="003C4983">
        <w:rPr>
          <w:rFonts w:hint="cs"/>
          <w:sz w:val="26"/>
          <w:szCs w:val="26"/>
          <w:rtl/>
          <w:lang w:val="fr-CA" w:bidi="ar-SA"/>
        </w:rPr>
        <w:t>لية</w:t>
      </w:r>
      <w:r w:rsidR="00EF4C5D" w:rsidRPr="003C4983">
        <w:rPr>
          <w:rFonts w:hint="cs"/>
          <w:sz w:val="26"/>
          <w:szCs w:val="26"/>
          <w:rtl/>
          <w:lang w:val="fr-CA" w:bidi="ar-SA"/>
        </w:rPr>
        <w:t xml:space="preserve"> استيراد غير قانونية ولا باستخدام المواد المستنفدة للأوزون المحظورة ولا بوجودها في الأسواق المحلية ولا بتخزينها.</w:t>
      </w:r>
    </w:p>
    <w:p w14:paraId="10D0CECA" w14:textId="77777777" w:rsidR="003B2456" w:rsidRPr="003C4983" w:rsidRDefault="00EF4C5D" w:rsidP="00EF4C5D">
      <w:pPr>
        <w:pStyle w:val="Heading1"/>
        <w:bidi/>
        <w:rPr>
          <w:sz w:val="26"/>
          <w:szCs w:val="26"/>
          <w:lang w:val="fr-CA"/>
        </w:rPr>
      </w:pPr>
      <w:r w:rsidRPr="003C4983">
        <w:rPr>
          <w:rFonts w:hint="cs"/>
          <w:sz w:val="26"/>
          <w:szCs w:val="26"/>
          <w:rtl/>
          <w:lang w:val="fr-CA" w:bidi="ar-SA"/>
        </w:rPr>
        <w:t xml:space="preserve">صدقت غينيا على تعديل كيغالي لبروتوكول مونتريال في 5 ديسمبر/كانون الأول 2019. </w:t>
      </w:r>
    </w:p>
    <w:p w14:paraId="3599D1B5" w14:textId="77777777" w:rsidR="004B70E3" w:rsidRPr="003C4983" w:rsidRDefault="004B70E3" w:rsidP="004B70E3">
      <w:pPr>
        <w:bidi/>
        <w:rPr>
          <w:i/>
          <w:iCs/>
          <w:sz w:val="26"/>
          <w:szCs w:val="26"/>
          <w:rtl/>
          <w:lang w:val="fr-CA" w:bidi="ar-SA"/>
        </w:rPr>
      </w:pPr>
      <w:r w:rsidRPr="003C4983">
        <w:rPr>
          <w:rFonts w:hint="cs"/>
          <w:i/>
          <w:iCs/>
          <w:sz w:val="26"/>
          <w:szCs w:val="26"/>
          <w:rtl/>
          <w:lang w:val="fr-CA"/>
        </w:rPr>
        <w:t>قطاع خدمة التبريد</w:t>
      </w:r>
    </w:p>
    <w:p w14:paraId="690EDAAD" w14:textId="77777777" w:rsidR="004B70E3" w:rsidRPr="003C4983" w:rsidRDefault="004B70E3" w:rsidP="004B70E3">
      <w:pPr>
        <w:bidi/>
        <w:rPr>
          <w:sz w:val="26"/>
          <w:szCs w:val="26"/>
          <w:lang w:val="fr-CA"/>
        </w:rPr>
      </w:pPr>
    </w:p>
    <w:p w14:paraId="79E81B73" w14:textId="77777777" w:rsidR="004B70E3" w:rsidRPr="003C4983" w:rsidRDefault="004B70E3" w:rsidP="004B70E3">
      <w:pPr>
        <w:pStyle w:val="Heading1"/>
        <w:bidi/>
        <w:ind w:left="4"/>
        <w:rPr>
          <w:sz w:val="26"/>
          <w:szCs w:val="26"/>
          <w:rtl/>
          <w:lang w:val="fr-CA"/>
        </w:rPr>
      </w:pPr>
      <w:r w:rsidRPr="003C4983">
        <w:rPr>
          <w:rFonts w:hint="cs"/>
          <w:sz w:val="26"/>
          <w:szCs w:val="26"/>
          <w:rtl/>
          <w:lang w:val="fr-CA"/>
        </w:rPr>
        <w:t>تمّ تنفيذ الأنشطة التالية</w:t>
      </w:r>
      <w:r w:rsidR="00EF4C5D" w:rsidRPr="003C4983">
        <w:rPr>
          <w:rFonts w:hint="cs"/>
          <w:sz w:val="26"/>
          <w:szCs w:val="26"/>
          <w:rtl/>
          <w:lang w:val="fr-CA"/>
        </w:rPr>
        <w:t xml:space="preserve"> في إطار الشريحة الثانية</w:t>
      </w:r>
      <w:r w:rsidRPr="003C4983">
        <w:rPr>
          <w:rFonts w:hint="cs"/>
          <w:sz w:val="26"/>
          <w:szCs w:val="26"/>
          <w:rtl/>
          <w:lang w:val="fr-CA"/>
        </w:rPr>
        <w:t>:</w:t>
      </w:r>
    </w:p>
    <w:p w14:paraId="58720D9A" w14:textId="77777777" w:rsidR="00381E90" w:rsidRPr="003C4983" w:rsidRDefault="00EF4C5D" w:rsidP="00381E90">
      <w:pPr>
        <w:pStyle w:val="ListParagraph"/>
        <w:numPr>
          <w:ilvl w:val="0"/>
          <w:numId w:val="26"/>
        </w:numPr>
        <w:bidi/>
        <w:ind w:left="1422" w:hanging="425"/>
        <w:rPr>
          <w:sz w:val="26"/>
          <w:szCs w:val="26"/>
          <w:lang w:val="fr-CA"/>
        </w:rPr>
      </w:pPr>
      <w:r w:rsidRPr="003C4983">
        <w:rPr>
          <w:rFonts w:hint="cs"/>
          <w:sz w:val="26"/>
          <w:szCs w:val="26"/>
          <w:rtl/>
          <w:lang w:val="fr-CA"/>
        </w:rPr>
        <w:t xml:space="preserve">تدريب 165 ضابط جمارك على التعرف على المواد المستنفدة للأوزون والمعدات القائمة عليها وضبطها وعلى استخدام </w:t>
      </w:r>
      <w:r w:rsidRPr="003C4983">
        <w:rPr>
          <w:sz w:val="26"/>
          <w:szCs w:val="26"/>
          <w:rtl/>
          <w:lang w:val="fr-CA"/>
        </w:rPr>
        <w:t>أجهزة التعرف على غازات التبريد</w:t>
      </w:r>
      <w:r w:rsidRPr="003C4983">
        <w:rPr>
          <w:rFonts w:hint="cs"/>
          <w:sz w:val="26"/>
          <w:szCs w:val="26"/>
          <w:rtl/>
          <w:lang w:val="fr-CA"/>
        </w:rPr>
        <w:t xml:space="preserve">؛ وقد ساهم التدريب في بناء قدرات عناصر الشرطة على رصد الإتجار غير المشروع </w:t>
      </w:r>
      <w:r w:rsidR="003C28F9" w:rsidRPr="003C4983">
        <w:rPr>
          <w:rFonts w:hint="cs"/>
          <w:sz w:val="26"/>
          <w:szCs w:val="26"/>
          <w:rtl/>
          <w:lang w:val="fr-CA"/>
        </w:rPr>
        <w:t>بالمواد المستنفدة للأوزون ومنعه</w:t>
      </w:r>
      <w:r w:rsidRPr="003C4983">
        <w:rPr>
          <w:rFonts w:hint="cs"/>
          <w:sz w:val="26"/>
          <w:szCs w:val="26"/>
          <w:rtl/>
          <w:lang w:val="fr-CA"/>
        </w:rPr>
        <w:t>؛</w:t>
      </w:r>
    </w:p>
    <w:p w14:paraId="2A80AC7B" w14:textId="77777777" w:rsidR="00381E90" w:rsidRPr="003C4983" w:rsidRDefault="00381E90" w:rsidP="00381E90">
      <w:pPr>
        <w:pStyle w:val="ListParagraph"/>
        <w:bidi/>
        <w:ind w:left="1422"/>
        <w:rPr>
          <w:sz w:val="26"/>
          <w:szCs w:val="26"/>
          <w:lang w:val="fr-CA"/>
        </w:rPr>
      </w:pPr>
    </w:p>
    <w:p w14:paraId="2565B4DD" w14:textId="77777777" w:rsidR="00EF4C5D" w:rsidRPr="003C4983" w:rsidRDefault="005849BB" w:rsidP="00381E90">
      <w:pPr>
        <w:pStyle w:val="ListParagraph"/>
        <w:numPr>
          <w:ilvl w:val="0"/>
          <w:numId w:val="26"/>
        </w:numPr>
        <w:bidi/>
        <w:ind w:left="1422" w:hanging="425"/>
        <w:rPr>
          <w:sz w:val="26"/>
          <w:szCs w:val="26"/>
          <w:lang w:val="fr-CA"/>
        </w:rPr>
      </w:pPr>
      <w:r w:rsidRPr="003C4983">
        <w:rPr>
          <w:rFonts w:hint="cs"/>
          <w:sz w:val="26"/>
          <w:szCs w:val="26"/>
          <w:rtl/>
          <w:lang w:val="fr-CA"/>
        </w:rPr>
        <w:t>و</w:t>
      </w:r>
      <w:r w:rsidR="00EF4C5D" w:rsidRPr="003C4983">
        <w:rPr>
          <w:rFonts w:hint="cs"/>
          <w:sz w:val="26"/>
          <w:szCs w:val="26"/>
          <w:rtl/>
          <w:lang w:val="fr-CA"/>
        </w:rPr>
        <w:t>تدريب 177 فني</w:t>
      </w:r>
      <w:r w:rsidR="00381E90" w:rsidRPr="003C4983">
        <w:rPr>
          <w:rFonts w:hint="cs"/>
          <w:sz w:val="26"/>
          <w:szCs w:val="26"/>
          <w:rtl/>
          <w:lang w:val="fr-CA"/>
        </w:rPr>
        <w:t>ـ</w:t>
      </w:r>
      <w:r w:rsidR="00EF4C5D" w:rsidRPr="003C4983">
        <w:rPr>
          <w:rFonts w:hint="cs"/>
          <w:sz w:val="26"/>
          <w:szCs w:val="26"/>
          <w:rtl/>
          <w:lang w:val="fr-CA"/>
        </w:rPr>
        <w:t>ا في مدن س</w:t>
      </w:r>
      <w:r w:rsidR="00381E90" w:rsidRPr="003C4983">
        <w:rPr>
          <w:rFonts w:hint="cs"/>
          <w:sz w:val="26"/>
          <w:szCs w:val="26"/>
          <w:rtl/>
          <w:lang w:val="fr-CA"/>
        </w:rPr>
        <w:t>ـ</w:t>
      </w:r>
      <w:r w:rsidR="00EF4C5D" w:rsidRPr="003C4983">
        <w:rPr>
          <w:rFonts w:hint="cs"/>
          <w:sz w:val="26"/>
          <w:szCs w:val="26"/>
          <w:rtl/>
          <w:lang w:val="fr-CA"/>
        </w:rPr>
        <w:t xml:space="preserve">ت على </w:t>
      </w:r>
      <w:r w:rsidR="003C28F9" w:rsidRPr="003C4983">
        <w:rPr>
          <w:rFonts w:hint="cs"/>
          <w:sz w:val="26"/>
          <w:szCs w:val="26"/>
          <w:rtl/>
          <w:lang w:val="fr-CA"/>
        </w:rPr>
        <w:t>ال</w:t>
      </w:r>
      <w:r w:rsidR="00EF4C5D" w:rsidRPr="003C4983">
        <w:rPr>
          <w:rFonts w:hint="cs"/>
          <w:sz w:val="26"/>
          <w:szCs w:val="26"/>
          <w:rtl/>
          <w:lang w:val="fr-CA"/>
        </w:rPr>
        <w:t>ممارسات الجيدة في قط</w:t>
      </w:r>
      <w:r w:rsidR="00381E90" w:rsidRPr="003C4983">
        <w:rPr>
          <w:rFonts w:hint="cs"/>
          <w:sz w:val="26"/>
          <w:szCs w:val="26"/>
          <w:rtl/>
          <w:lang w:val="fr-CA"/>
        </w:rPr>
        <w:t>ـ</w:t>
      </w:r>
      <w:r w:rsidR="00EF4C5D" w:rsidRPr="003C4983">
        <w:rPr>
          <w:rFonts w:hint="cs"/>
          <w:sz w:val="26"/>
          <w:szCs w:val="26"/>
          <w:rtl/>
          <w:lang w:val="fr-CA"/>
        </w:rPr>
        <w:t>اع التبريد وعلى المناولة المأمونة ل</w:t>
      </w:r>
      <w:r w:rsidR="00381E90" w:rsidRPr="003C4983">
        <w:rPr>
          <w:rFonts w:hint="cs"/>
          <w:sz w:val="26"/>
          <w:szCs w:val="26"/>
          <w:rtl/>
          <w:lang w:val="fr-CA"/>
        </w:rPr>
        <w:t>ـ</w:t>
      </w:r>
      <w:r w:rsidR="00EF4C5D" w:rsidRPr="003C4983">
        <w:rPr>
          <w:rFonts w:hint="cs"/>
          <w:sz w:val="26"/>
          <w:szCs w:val="26"/>
          <w:rtl/>
          <w:lang w:val="fr-CA"/>
        </w:rPr>
        <w:t>غازات التبريد القابلة للاشتعال</w:t>
      </w:r>
      <w:r w:rsidR="003C28F9" w:rsidRPr="003C4983">
        <w:rPr>
          <w:rFonts w:hint="cs"/>
          <w:sz w:val="26"/>
          <w:szCs w:val="26"/>
          <w:rtl/>
          <w:lang w:val="fr-CA"/>
        </w:rPr>
        <w:t>،</w:t>
      </w:r>
      <w:r w:rsidR="00EF4C5D" w:rsidRPr="003C4983">
        <w:rPr>
          <w:rFonts w:hint="cs"/>
          <w:sz w:val="26"/>
          <w:szCs w:val="26"/>
          <w:rtl/>
          <w:lang w:val="fr-CA"/>
        </w:rPr>
        <w:t xml:space="preserve"> بين عامي 2016 و2018.</w:t>
      </w:r>
    </w:p>
    <w:p w14:paraId="49D85561" w14:textId="77777777" w:rsidR="005849BB" w:rsidRPr="003C4983" w:rsidRDefault="005849BB" w:rsidP="005849BB">
      <w:pPr>
        <w:pStyle w:val="ListParagraph"/>
        <w:bidi/>
        <w:ind w:left="1440"/>
        <w:rPr>
          <w:sz w:val="26"/>
          <w:szCs w:val="26"/>
          <w:rtl/>
          <w:lang w:val="fr-CA"/>
        </w:rPr>
      </w:pPr>
    </w:p>
    <w:p w14:paraId="0B5054F1" w14:textId="77777777" w:rsidR="005849BB" w:rsidRPr="003C4983" w:rsidRDefault="005849BB" w:rsidP="005849BB">
      <w:pPr>
        <w:bidi/>
        <w:rPr>
          <w:i/>
          <w:iCs/>
          <w:sz w:val="26"/>
          <w:szCs w:val="26"/>
          <w:lang w:bidi="ar-SA"/>
        </w:rPr>
      </w:pPr>
      <w:r w:rsidRPr="003C4983">
        <w:rPr>
          <w:rFonts w:hint="cs"/>
          <w:i/>
          <w:iCs/>
          <w:sz w:val="26"/>
          <w:szCs w:val="26"/>
          <w:rtl/>
          <w:lang w:bidi="ar-SA"/>
        </w:rPr>
        <w:t>وحدة تنفيذ المشروع والرصد</w:t>
      </w:r>
      <w:r w:rsidR="00EF4C5D" w:rsidRPr="003C4983">
        <w:rPr>
          <w:rFonts w:hint="cs"/>
          <w:i/>
          <w:iCs/>
          <w:sz w:val="26"/>
          <w:szCs w:val="26"/>
          <w:rtl/>
          <w:lang w:bidi="ar-SA"/>
        </w:rPr>
        <w:t xml:space="preserve"> وإعداد التقارير</w:t>
      </w:r>
    </w:p>
    <w:p w14:paraId="23D747D7" w14:textId="77777777" w:rsidR="005849BB" w:rsidRPr="003C4983" w:rsidRDefault="005849BB" w:rsidP="005849BB">
      <w:pPr>
        <w:bidi/>
        <w:rPr>
          <w:sz w:val="26"/>
          <w:szCs w:val="26"/>
          <w:lang w:val="fr-CA" w:bidi="ar-SA"/>
        </w:rPr>
      </w:pPr>
    </w:p>
    <w:p w14:paraId="14EBD5FB" w14:textId="77777777" w:rsidR="00EF4C5D" w:rsidRPr="003C4983" w:rsidRDefault="00F74C17" w:rsidP="00CD5A71">
      <w:pPr>
        <w:pStyle w:val="Heading1"/>
        <w:bidi/>
        <w:rPr>
          <w:sz w:val="26"/>
          <w:szCs w:val="26"/>
          <w:lang w:val="fr-CA" w:bidi="ar-SA"/>
        </w:rPr>
      </w:pPr>
      <w:r w:rsidRPr="003C4983">
        <w:rPr>
          <w:rFonts w:hint="cs"/>
          <w:sz w:val="26"/>
          <w:szCs w:val="26"/>
          <w:rtl/>
          <w:lang w:val="fr-CA" w:bidi="ar-SA"/>
        </w:rPr>
        <w:t xml:space="preserve">إنّ وحدة الأوزون الوطنية مسؤولة عن </w:t>
      </w:r>
      <w:r w:rsidR="00CD5A71" w:rsidRPr="003C4983">
        <w:rPr>
          <w:rFonts w:hint="cs"/>
          <w:sz w:val="26"/>
          <w:szCs w:val="26"/>
          <w:rtl/>
          <w:lang w:val="fr-CA" w:bidi="ar-SA"/>
        </w:rPr>
        <w:t>إدارة المشاريع. وتشارك</w:t>
      </w:r>
      <w:r w:rsidR="00EF4C5D" w:rsidRPr="003C4983">
        <w:rPr>
          <w:rFonts w:hint="cs"/>
          <w:sz w:val="26"/>
          <w:szCs w:val="26"/>
          <w:rtl/>
          <w:lang w:val="fr-CA" w:bidi="ar-SA"/>
        </w:rPr>
        <w:t xml:space="preserve"> مؤسسات أخرى في تنفيذ</w:t>
      </w:r>
      <w:r w:rsidR="00CD5A71" w:rsidRPr="003C4983">
        <w:rPr>
          <w:rFonts w:hint="cs"/>
          <w:sz w:val="26"/>
          <w:szCs w:val="26"/>
          <w:rtl/>
          <w:lang w:val="fr-CA" w:bidi="ar-SA"/>
        </w:rPr>
        <w:t>ها</w:t>
      </w:r>
      <w:r w:rsidR="00EF4C5D" w:rsidRPr="003C4983">
        <w:rPr>
          <w:rFonts w:hint="cs"/>
          <w:sz w:val="26"/>
          <w:szCs w:val="26"/>
          <w:rtl/>
          <w:lang w:val="fr-CA" w:bidi="ar-SA"/>
        </w:rPr>
        <w:t xml:space="preserve"> وهي لجنة الأوزون الوطنية ومراكز </w:t>
      </w:r>
      <w:r w:rsidR="00524FF0" w:rsidRPr="003C4983">
        <w:rPr>
          <w:rFonts w:hint="cs"/>
          <w:sz w:val="26"/>
          <w:szCs w:val="26"/>
          <w:rtl/>
          <w:lang w:val="fr-CA" w:bidi="ar-SA"/>
        </w:rPr>
        <w:t>الامتياز</w:t>
      </w:r>
      <w:r w:rsidR="00EF4C5D" w:rsidRPr="003C4983">
        <w:rPr>
          <w:rStyle w:val="FootnoteReference"/>
          <w:sz w:val="26"/>
          <w:szCs w:val="26"/>
          <w:rtl/>
          <w:lang w:val="fr-CA" w:bidi="ar-SA"/>
        </w:rPr>
        <w:footnoteReference w:id="6"/>
      </w:r>
      <w:r w:rsidR="00EF4C5D" w:rsidRPr="003C4983">
        <w:rPr>
          <w:rFonts w:hint="cs"/>
          <w:sz w:val="26"/>
          <w:szCs w:val="26"/>
          <w:rtl/>
          <w:lang w:val="fr-CA" w:bidi="ar-SA"/>
        </w:rPr>
        <w:t xml:space="preserve"> وإد</w:t>
      </w:r>
      <w:r w:rsidR="003C28F9" w:rsidRPr="003C4983">
        <w:rPr>
          <w:rFonts w:hint="cs"/>
          <w:sz w:val="26"/>
          <w:szCs w:val="26"/>
          <w:rtl/>
          <w:lang w:val="fr-CA" w:bidi="ar-SA"/>
        </w:rPr>
        <w:t>ارة الجمارك ووزارة التجارة. و</w:t>
      </w:r>
      <w:r w:rsidR="00CD5A71" w:rsidRPr="003C4983">
        <w:rPr>
          <w:rFonts w:hint="cs"/>
          <w:sz w:val="26"/>
          <w:szCs w:val="26"/>
          <w:rtl/>
          <w:lang w:val="fr-CA" w:bidi="ar-SA"/>
        </w:rPr>
        <w:t xml:space="preserve">قد </w:t>
      </w:r>
      <w:r w:rsidR="00EF4C5D" w:rsidRPr="003C4983">
        <w:rPr>
          <w:rFonts w:hint="cs"/>
          <w:sz w:val="26"/>
          <w:szCs w:val="26"/>
          <w:rtl/>
          <w:lang w:val="fr-CA" w:bidi="ar-SA"/>
        </w:rPr>
        <w:t>تمّ رصد تنفيذ المشاريع وجمع البيان</w:t>
      </w:r>
      <w:r w:rsidR="003C28F9" w:rsidRPr="003C4983">
        <w:rPr>
          <w:rFonts w:hint="cs"/>
          <w:sz w:val="26"/>
          <w:szCs w:val="26"/>
          <w:rtl/>
          <w:lang w:val="fr-CA" w:bidi="ar-SA"/>
        </w:rPr>
        <w:t>ات في إطار الشريحة الثانية. و</w:t>
      </w:r>
      <w:r w:rsidR="00EF4C5D" w:rsidRPr="003C4983">
        <w:rPr>
          <w:rFonts w:hint="cs"/>
          <w:sz w:val="26"/>
          <w:szCs w:val="26"/>
          <w:rtl/>
          <w:lang w:val="fr-CA" w:bidi="ar-SA"/>
        </w:rPr>
        <w:t xml:space="preserve">استعانت وحدة الأوزون الوطنية باستشاريين (خبير في التبريد وآخر في الجمارك) للمساعدة على رصد تنفيذ كل أنشطة خطة إدارة إزالة المواد الهيدروكلوروفلوروكربونية. ولتاريخه، صرف 30,000 دولار أمريكي على تنفيذ المشاريع والرصد وإعداد التقارير، بما في ذلك 20,000 دولار أمريكي </w:t>
      </w:r>
      <w:r w:rsidR="00A66EE5" w:rsidRPr="003C4983">
        <w:rPr>
          <w:rFonts w:hint="cs"/>
          <w:sz w:val="26"/>
          <w:szCs w:val="26"/>
          <w:rtl/>
          <w:lang w:val="fr-CA" w:bidi="ar-SA"/>
        </w:rPr>
        <w:t xml:space="preserve">على </w:t>
      </w:r>
      <w:r w:rsidR="00EF4C5D" w:rsidRPr="003C4983">
        <w:rPr>
          <w:rFonts w:hint="cs"/>
          <w:sz w:val="26"/>
          <w:szCs w:val="26"/>
          <w:rtl/>
          <w:lang w:val="fr-CA" w:bidi="ar-SA"/>
        </w:rPr>
        <w:t xml:space="preserve">رواتب الموظفين وأتعاب الاستشاريين </w:t>
      </w:r>
      <w:r w:rsidR="00A66EE5" w:rsidRPr="003C4983">
        <w:rPr>
          <w:rFonts w:hint="cs"/>
          <w:sz w:val="26"/>
          <w:szCs w:val="26"/>
          <w:rtl/>
          <w:lang w:val="fr-CA" w:bidi="ar-SA"/>
        </w:rPr>
        <w:t>و10,000 دولار أمريكي على رحلات السفر لرصد التنفيذ.</w:t>
      </w:r>
    </w:p>
    <w:p w14:paraId="33CD3435" w14:textId="77777777" w:rsidR="003C4983" w:rsidRDefault="003C4983">
      <w:pPr>
        <w:jc w:val="left"/>
        <w:rPr>
          <w:sz w:val="26"/>
          <w:szCs w:val="26"/>
          <w:u w:val="single"/>
          <w:rtl/>
          <w:lang w:val="fr-CA" w:bidi="ar-SA"/>
        </w:rPr>
      </w:pPr>
      <w:r>
        <w:rPr>
          <w:sz w:val="26"/>
          <w:szCs w:val="26"/>
          <w:u w:val="single"/>
          <w:rtl/>
          <w:lang w:val="fr-CA" w:bidi="ar-SA"/>
        </w:rPr>
        <w:br w:type="page"/>
      </w:r>
    </w:p>
    <w:p w14:paraId="367CAD9D" w14:textId="6B0B83D3" w:rsidR="00F74C17" w:rsidRPr="003C4983" w:rsidRDefault="00F74C17" w:rsidP="00F74C17">
      <w:pPr>
        <w:bidi/>
        <w:rPr>
          <w:sz w:val="26"/>
          <w:szCs w:val="26"/>
          <w:u w:val="single"/>
          <w:rtl/>
          <w:lang w:val="fr-CA" w:bidi="ar-SA"/>
        </w:rPr>
      </w:pPr>
      <w:r w:rsidRPr="003C4983">
        <w:rPr>
          <w:rFonts w:hint="cs"/>
          <w:sz w:val="26"/>
          <w:szCs w:val="26"/>
          <w:u w:val="single"/>
          <w:rtl/>
          <w:lang w:val="fr-CA" w:bidi="ar-SA"/>
        </w:rPr>
        <w:lastRenderedPageBreak/>
        <w:t>مستوى صرف الأموال</w:t>
      </w:r>
    </w:p>
    <w:p w14:paraId="681D390C" w14:textId="77777777" w:rsidR="00F74C17" w:rsidRPr="003C4983" w:rsidRDefault="00F74C17" w:rsidP="00F74C17">
      <w:pPr>
        <w:bidi/>
        <w:rPr>
          <w:sz w:val="26"/>
          <w:szCs w:val="26"/>
          <w:u w:val="single"/>
          <w:rtl/>
          <w:lang w:val="fr-CA" w:bidi="ar-SA"/>
        </w:rPr>
      </w:pPr>
    </w:p>
    <w:p w14:paraId="44227978" w14:textId="77777777" w:rsidR="003C28F9" w:rsidRPr="003C4983" w:rsidRDefault="00F74C17" w:rsidP="00B45BA5">
      <w:pPr>
        <w:pStyle w:val="Heading1"/>
        <w:bidi/>
        <w:rPr>
          <w:sz w:val="26"/>
          <w:szCs w:val="26"/>
          <w:lang w:val="fr-CA"/>
        </w:rPr>
      </w:pPr>
      <w:r w:rsidRPr="003C4983">
        <w:rPr>
          <w:rFonts w:hint="cs"/>
          <w:sz w:val="26"/>
          <w:szCs w:val="26"/>
          <w:rtl/>
          <w:lang w:val="fr-CA"/>
        </w:rPr>
        <w:t xml:space="preserve">بتاريخ </w:t>
      </w:r>
      <w:r w:rsidR="00A66EE5" w:rsidRPr="003C4983">
        <w:rPr>
          <w:rFonts w:hint="cs"/>
          <w:sz w:val="26"/>
          <w:szCs w:val="26"/>
          <w:rtl/>
          <w:lang w:val="fr-CA"/>
        </w:rPr>
        <w:t xml:space="preserve">مارس/آذار </w:t>
      </w:r>
      <w:r w:rsidRPr="003C4983">
        <w:rPr>
          <w:rFonts w:hint="cs"/>
          <w:sz w:val="26"/>
          <w:szCs w:val="26"/>
          <w:rtl/>
          <w:lang w:val="fr-CA"/>
        </w:rPr>
        <w:t xml:space="preserve">2020، </w:t>
      </w:r>
      <w:r w:rsidR="00A66EE5" w:rsidRPr="003C4983">
        <w:rPr>
          <w:rFonts w:hint="cs"/>
          <w:sz w:val="26"/>
          <w:szCs w:val="26"/>
          <w:rtl/>
          <w:lang w:val="fr-CA"/>
        </w:rPr>
        <w:t>كان قد صرف إجمالي مبلغ 305</w:t>
      </w:r>
      <w:r w:rsidRPr="003C4983">
        <w:rPr>
          <w:rFonts w:hint="cs"/>
          <w:sz w:val="26"/>
          <w:szCs w:val="26"/>
          <w:rtl/>
          <w:lang w:val="fr-CA"/>
        </w:rPr>
        <w:t xml:space="preserve">,000 دولار أمريكي </w:t>
      </w:r>
      <w:r w:rsidR="003C28F9" w:rsidRPr="003C4983">
        <w:rPr>
          <w:rFonts w:hint="cs"/>
          <w:sz w:val="26"/>
          <w:szCs w:val="26"/>
          <w:rtl/>
          <w:lang w:val="fr-CA"/>
        </w:rPr>
        <w:t>المقرر</w:t>
      </w:r>
      <w:r w:rsidRPr="003C4983">
        <w:rPr>
          <w:rFonts w:hint="cs"/>
          <w:sz w:val="26"/>
          <w:szCs w:val="26"/>
          <w:rtl/>
          <w:lang w:val="fr-CA"/>
        </w:rPr>
        <w:t xml:space="preserve"> (أي </w:t>
      </w:r>
      <w:r w:rsidR="00A66EE5" w:rsidRPr="003C4983">
        <w:rPr>
          <w:rFonts w:hint="cs"/>
          <w:sz w:val="26"/>
          <w:szCs w:val="26"/>
          <w:rtl/>
          <w:lang w:val="fr-CA"/>
        </w:rPr>
        <w:t>145,000</w:t>
      </w:r>
      <w:r w:rsidRPr="003C4983">
        <w:rPr>
          <w:rFonts w:hint="cs"/>
          <w:sz w:val="26"/>
          <w:szCs w:val="26"/>
          <w:rtl/>
          <w:lang w:val="fr-CA"/>
        </w:rPr>
        <w:t xml:space="preserve"> دولار أمريكي على برنامج الأمم المتحدة للبيئة </w:t>
      </w:r>
      <w:r w:rsidR="00A66EE5" w:rsidRPr="003C4983">
        <w:rPr>
          <w:rFonts w:hint="cs"/>
          <w:sz w:val="26"/>
          <w:szCs w:val="26"/>
          <w:rtl/>
          <w:lang w:val="fr-CA"/>
        </w:rPr>
        <w:t>و160,000 دولار أمريكي</w:t>
      </w:r>
      <w:r w:rsidRPr="003C4983">
        <w:rPr>
          <w:rFonts w:hint="cs"/>
          <w:sz w:val="26"/>
          <w:szCs w:val="26"/>
          <w:rtl/>
          <w:lang w:val="fr-CA"/>
        </w:rPr>
        <w:t xml:space="preserve"> على منظمة الأمم المتحدة للتنمية الصناعية) على النحو الوارد في الجدول 2. </w:t>
      </w:r>
    </w:p>
    <w:p w14:paraId="799AD0F3" w14:textId="77777777" w:rsidR="00F74C17" w:rsidRPr="003C4983" w:rsidRDefault="00F74C17" w:rsidP="003C28F9">
      <w:pPr>
        <w:pStyle w:val="Heading1"/>
        <w:numPr>
          <w:ilvl w:val="0"/>
          <w:numId w:val="0"/>
        </w:numPr>
        <w:bidi/>
        <w:spacing w:after="0"/>
        <w:rPr>
          <w:b/>
          <w:bCs/>
          <w:sz w:val="26"/>
          <w:szCs w:val="26"/>
          <w:rtl/>
          <w:lang w:val="fr-CA"/>
        </w:rPr>
      </w:pPr>
      <w:r w:rsidRPr="003C4983">
        <w:rPr>
          <w:rFonts w:hint="cs"/>
          <w:b/>
          <w:bCs/>
          <w:sz w:val="26"/>
          <w:szCs w:val="26"/>
          <w:rtl/>
          <w:lang w:val="fr-CA"/>
        </w:rPr>
        <w:t xml:space="preserve">الجدول 2. التقرير المالي عن المرحلة الأولى من خطة إدارة إزالة المواد الهيدروكلوروفلوروكربونية في </w:t>
      </w:r>
      <w:r w:rsidR="003C28F9" w:rsidRPr="003C4983">
        <w:rPr>
          <w:rFonts w:hint="cs"/>
          <w:b/>
          <w:bCs/>
          <w:sz w:val="26"/>
          <w:szCs w:val="26"/>
          <w:rtl/>
          <w:lang w:val="fr-CA"/>
        </w:rPr>
        <w:t>غينيا</w:t>
      </w:r>
      <w:r w:rsidRPr="003C4983">
        <w:rPr>
          <w:rFonts w:hint="cs"/>
          <w:b/>
          <w:bCs/>
          <w:sz w:val="26"/>
          <w:szCs w:val="26"/>
          <w:rtl/>
          <w:lang w:val="fr-CA"/>
        </w:rPr>
        <w:t xml:space="preserve"> (دولار أمريكي)</w:t>
      </w:r>
    </w:p>
    <w:tbl>
      <w:tblPr>
        <w:tblStyle w:val="TableGrid"/>
        <w:bidiVisual/>
        <w:tblW w:w="9321" w:type="dxa"/>
        <w:tblInd w:w="4" w:type="dxa"/>
        <w:tblLook w:val="04A0" w:firstRow="1" w:lastRow="0" w:firstColumn="1" w:lastColumn="0" w:noHBand="0" w:noVBand="1"/>
      </w:tblPr>
      <w:tblGrid>
        <w:gridCol w:w="2726"/>
        <w:gridCol w:w="1099"/>
        <w:gridCol w:w="1100"/>
        <w:gridCol w:w="1099"/>
        <w:gridCol w:w="1099"/>
        <w:gridCol w:w="1099"/>
        <w:gridCol w:w="1099"/>
      </w:tblGrid>
      <w:tr w:rsidR="00A66EE5" w:rsidRPr="00885E08" w14:paraId="02D1EED5" w14:textId="77777777" w:rsidTr="00B45BA5">
        <w:tc>
          <w:tcPr>
            <w:tcW w:w="2727" w:type="dxa"/>
            <w:vMerge w:val="restart"/>
            <w:vAlign w:val="center"/>
          </w:tcPr>
          <w:p w14:paraId="434EEABF" w14:textId="77777777" w:rsidR="00A66EE5" w:rsidRPr="00A66EE5" w:rsidRDefault="00A66EE5" w:rsidP="00F74C17">
            <w:pPr>
              <w:pStyle w:val="Heading1"/>
              <w:numPr>
                <w:ilvl w:val="0"/>
                <w:numId w:val="0"/>
              </w:numPr>
              <w:bidi/>
              <w:spacing w:after="0"/>
              <w:jc w:val="left"/>
              <w:outlineLvl w:val="0"/>
              <w:rPr>
                <w:b/>
                <w:bCs/>
                <w:sz w:val="20"/>
                <w:rtl/>
                <w:lang w:val="fr-CA" w:bidi="ar-SA"/>
              </w:rPr>
            </w:pPr>
            <w:r w:rsidRPr="00A66EE5">
              <w:rPr>
                <w:rFonts w:hint="cs"/>
                <w:b/>
                <w:bCs/>
                <w:sz w:val="20"/>
                <w:rtl/>
                <w:lang w:val="fr-CA" w:bidi="ar-SA"/>
              </w:rPr>
              <w:t>الوكالة</w:t>
            </w:r>
          </w:p>
        </w:tc>
        <w:tc>
          <w:tcPr>
            <w:tcW w:w="2198" w:type="dxa"/>
            <w:gridSpan w:val="2"/>
            <w:vAlign w:val="center"/>
          </w:tcPr>
          <w:p w14:paraId="45906D97" w14:textId="77777777" w:rsidR="00A66EE5" w:rsidRPr="00A66EE5" w:rsidRDefault="00A66EE5" w:rsidP="00F74C17">
            <w:pPr>
              <w:pStyle w:val="Heading1"/>
              <w:numPr>
                <w:ilvl w:val="0"/>
                <w:numId w:val="0"/>
              </w:numPr>
              <w:bidi/>
              <w:spacing w:after="0"/>
              <w:jc w:val="center"/>
              <w:outlineLvl w:val="0"/>
              <w:rPr>
                <w:b/>
                <w:bCs/>
                <w:sz w:val="20"/>
                <w:rtl/>
                <w:lang w:val="fr-CA"/>
              </w:rPr>
            </w:pPr>
            <w:r w:rsidRPr="00A66EE5">
              <w:rPr>
                <w:rFonts w:hint="cs"/>
                <w:b/>
                <w:bCs/>
                <w:sz w:val="20"/>
                <w:rtl/>
                <w:lang w:val="fr-CA"/>
              </w:rPr>
              <w:t>الشريحة الأولى</w:t>
            </w:r>
          </w:p>
        </w:tc>
        <w:tc>
          <w:tcPr>
            <w:tcW w:w="2198" w:type="dxa"/>
            <w:gridSpan w:val="2"/>
            <w:vAlign w:val="center"/>
          </w:tcPr>
          <w:p w14:paraId="50C90947" w14:textId="77777777" w:rsidR="00A66EE5" w:rsidRPr="00A66EE5" w:rsidRDefault="00A66EE5" w:rsidP="00F74C17">
            <w:pPr>
              <w:pStyle w:val="Heading1"/>
              <w:numPr>
                <w:ilvl w:val="0"/>
                <w:numId w:val="0"/>
              </w:numPr>
              <w:bidi/>
              <w:spacing w:after="0"/>
              <w:jc w:val="center"/>
              <w:outlineLvl w:val="0"/>
              <w:rPr>
                <w:b/>
                <w:bCs/>
                <w:sz w:val="20"/>
                <w:rtl/>
                <w:lang w:val="fr-CA"/>
              </w:rPr>
            </w:pPr>
            <w:r w:rsidRPr="00A66EE5">
              <w:rPr>
                <w:rFonts w:hint="cs"/>
                <w:b/>
                <w:bCs/>
                <w:sz w:val="20"/>
                <w:rtl/>
                <w:lang w:val="fr-CA"/>
              </w:rPr>
              <w:t>الشريحة الثانية</w:t>
            </w:r>
          </w:p>
        </w:tc>
        <w:tc>
          <w:tcPr>
            <w:tcW w:w="2198" w:type="dxa"/>
            <w:gridSpan w:val="2"/>
            <w:vAlign w:val="center"/>
          </w:tcPr>
          <w:p w14:paraId="4B75D750" w14:textId="77777777" w:rsidR="00A66EE5" w:rsidRPr="00A66EE5" w:rsidRDefault="00A66EE5" w:rsidP="00F74C17">
            <w:pPr>
              <w:pStyle w:val="Heading1"/>
              <w:numPr>
                <w:ilvl w:val="0"/>
                <w:numId w:val="0"/>
              </w:numPr>
              <w:bidi/>
              <w:spacing w:after="0"/>
              <w:jc w:val="center"/>
              <w:outlineLvl w:val="0"/>
              <w:rPr>
                <w:b/>
                <w:bCs/>
                <w:sz w:val="20"/>
                <w:rtl/>
                <w:lang w:val="fr-CA"/>
              </w:rPr>
            </w:pPr>
            <w:r w:rsidRPr="00A66EE5">
              <w:rPr>
                <w:rFonts w:hint="cs"/>
                <w:b/>
                <w:bCs/>
                <w:sz w:val="20"/>
                <w:rtl/>
                <w:lang w:val="fr-CA"/>
              </w:rPr>
              <w:t>المجموع</w:t>
            </w:r>
          </w:p>
        </w:tc>
      </w:tr>
      <w:tr w:rsidR="00B45BA5" w:rsidRPr="00885E08" w14:paraId="563F3D44" w14:textId="77777777" w:rsidTr="00B45BA5">
        <w:tc>
          <w:tcPr>
            <w:tcW w:w="2727" w:type="dxa"/>
            <w:vMerge/>
            <w:vAlign w:val="center"/>
          </w:tcPr>
          <w:p w14:paraId="4AC421E4" w14:textId="77777777" w:rsidR="00A66EE5" w:rsidRPr="00A66EE5" w:rsidRDefault="00A66EE5" w:rsidP="00A66EE5">
            <w:pPr>
              <w:pStyle w:val="Heading1"/>
              <w:numPr>
                <w:ilvl w:val="0"/>
                <w:numId w:val="0"/>
              </w:numPr>
              <w:bidi/>
              <w:spacing w:after="0"/>
              <w:jc w:val="left"/>
              <w:outlineLvl w:val="0"/>
              <w:rPr>
                <w:b/>
                <w:bCs/>
                <w:sz w:val="20"/>
                <w:rtl/>
                <w:lang w:val="fr-CA"/>
              </w:rPr>
            </w:pPr>
          </w:p>
        </w:tc>
        <w:tc>
          <w:tcPr>
            <w:tcW w:w="1099" w:type="dxa"/>
          </w:tcPr>
          <w:p w14:paraId="615510BA"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مقرر</w:t>
            </w:r>
          </w:p>
        </w:tc>
        <w:tc>
          <w:tcPr>
            <w:tcW w:w="1099" w:type="dxa"/>
          </w:tcPr>
          <w:p w14:paraId="176FABCE"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مصروف</w:t>
            </w:r>
          </w:p>
        </w:tc>
        <w:tc>
          <w:tcPr>
            <w:tcW w:w="1099" w:type="dxa"/>
          </w:tcPr>
          <w:p w14:paraId="321EB775"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مقرر</w:t>
            </w:r>
          </w:p>
        </w:tc>
        <w:tc>
          <w:tcPr>
            <w:tcW w:w="1099" w:type="dxa"/>
          </w:tcPr>
          <w:p w14:paraId="5F70D121"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مصروف</w:t>
            </w:r>
          </w:p>
        </w:tc>
        <w:tc>
          <w:tcPr>
            <w:tcW w:w="1099" w:type="dxa"/>
          </w:tcPr>
          <w:p w14:paraId="0613BFB9"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مقرر</w:t>
            </w:r>
          </w:p>
        </w:tc>
        <w:tc>
          <w:tcPr>
            <w:tcW w:w="1099" w:type="dxa"/>
          </w:tcPr>
          <w:p w14:paraId="3EAEE2CA" w14:textId="77777777" w:rsidR="00A66EE5" w:rsidRPr="00A66EE5" w:rsidRDefault="00A66EE5" w:rsidP="00A66EE5">
            <w:pPr>
              <w:pStyle w:val="Heading1"/>
              <w:numPr>
                <w:ilvl w:val="0"/>
                <w:numId w:val="0"/>
              </w:numPr>
              <w:bidi/>
              <w:spacing w:after="0"/>
              <w:jc w:val="center"/>
              <w:outlineLvl w:val="0"/>
              <w:rPr>
                <w:b/>
                <w:bCs/>
                <w:sz w:val="20"/>
                <w:rtl/>
                <w:lang w:val="fr-CA"/>
              </w:rPr>
            </w:pPr>
            <w:r w:rsidRPr="00A66EE5">
              <w:rPr>
                <w:rFonts w:hint="cs"/>
                <w:b/>
                <w:bCs/>
                <w:sz w:val="20"/>
                <w:rtl/>
                <w:lang w:val="fr-CA"/>
              </w:rPr>
              <w:t>مصروف</w:t>
            </w:r>
          </w:p>
        </w:tc>
      </w:tr>
      <w:tr w:rsidR="00A66EE5" w:rsidRPr="00885E08" w14:paraId="65120C72" w14:textId="77777777" w:rsidTr="00B45BA5">
        <w:trPr>
          <w:trHeight w:val="187"/>
        </w:trPr>
        <w:tc>
          <w:tcPr>
            <w:tcW w:w="2727" w:type="dxa"/>
            <w:vAlign w:val="center"/>
          </w:tcPr>
          <w:p w14:paraId="531E4A65" w14:textId="77777777" w:rsidR="00A66EE5" w:rsidRPr="00A66EE5" w:rsidRDefault="00A66EE5" w:rsidP="00A66EE5">
            <w:pPr>
              <w:pStyle w:val="Heading1"/>
              <w:numPr>
                <w:ilvl w:val="0"/>
                <w:numId w:val="0"/>
              </w:numPr>
              <w:bidi/>
              <w:spacing w:after="0"/>
              <w:jc w:val="left"/>
              <w:outlineLvl w:val="0"/>
              <w:rPr>
                <w:sz w:val="20"/>
                <w:rtl/>
                <w:lang w:val="fr-CA"/>
              </w:rPr>
            </w:pPr>
            <w:r w:rsidRPr="00A66EE5">
              <w:rPr>
                <w:rFonts w:hint="cs"/>
                <w:sz w:val="20"/>
                <w:rtl/>
                <w:lang w:val="fr-CA"/>
              </w:rPr>
              <w:t xml:space="preserve">برنامج الأمم المتحدة للبيئة </w:t>
            </w:r>
          </w:p>
        </w:tc>
        <w:tc>
          <w:tcPr>
            <w:tcW w:w="1099" w:type="dxa"/>
          </w:tcPr>
          <w:p w14:paraId="4C18E5B9"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85,000</w:t>
            </w:r>
          </w:p>
        </w:tc>
        <w:tc>
          <w:tcPr>
            <w:tcW w:w="1099" w:type="dxa"/>
          </w:tcPr>
          <w:p w14:paraId="7231CCA9"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85,000</w:t>
            </w:r>
          </w:p>
        </w:tc>
        <w:tc>
          <w:tcPr>
            <w:tcW w:w="1099" w:type="dxa"/>
          </w:tcPr>
          <w:p w14:paraId="7B856328"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60,000</w:t>
            </w:r>
          </w:p>
        </w:tc>
        <w:tc>
          <w:tcPr>
            <w:tcW w:w="1099" w:type="dxa"/>
          </w:tcPr>
          <w:p w14:paraId="4739E7CC"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60,000</w:t>
            </w:r>
          </w:p>
        </w:tc>
        <w:tc>
          <w:tcPr>
            <w:tcW w:w="1099" w:type="dxa"/>
          </w:tcPr>
          <w:p w14:paraId="137E571A"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145,000</w:t>
            </w:r>
          </w:p>
        </w:tc>
        <w:tc>
          <w:tcPr>
            <w:tcW w:w="1099" w:type="dxa"/>
          </w:tcPr>
          <w:p w14:paraId="70E039B0"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145,000</w:t>
            </w:r>
          </w:p>
        </w:tc>
      </w:tr>
      <w:tr w:rsidR="00A66EE5" w:rsidRPr="00885E08" w14:paraId="71D9076C" w14:textId="77777777" w:rsidTr="00B45BA5">
        <w:trPr>
          <w:trHeight w:val="187"/>
        </w:trPr>
        <w:tc>
          <w:tcPr>
            <w:tcW w:w="2727" w:type="dxa"/>
            <w:vAlign w:val="center"/>
          </w:tcPr>
          <w:p w14:paraId="007466D5" w14:textId="77777777" w:rsidR="00A66EE5" w:rsidRPr="00A66EE5" w:rsidRDefault="00A66EE5" w:rsidP="00A66EE5">
            <w:pPr>
              <w:pStyle w:val="Heading1"/>
              <w:numPr>
                <w:ilvl w:val="0"/>
                <w:numId w:val="0"/>
              </w:numPr>
              <w:bidi/>
              <w:spacing w:after="0"/>
              <w:jc w:val="left"/>
              <w:outlineLvl w:val="0"/>
              <w:rPr>
                <w:sz w:val="20"/>
                <w:rtl/>
                <w:lang w:val="fr-CA"/>
              </w:rPr>
            </w:pPr>
            <w:r w:rsidRPr="00A66EE5">
              <w:rPr>
                <w:rFonts w:hint="cs"/>
                <w:sz w:val="20"/>
                <w:rtl/>
                <w:lang w:val="fr-CA"/>
              </w:rPr>
              <w:t xml:space="preserve">منظمة الأمم المتحدة للتنمية الصناعية </w:t>
            </w:r>
          </w:p>
        </w:tc>
        <w:tc>
          <w:tcPr>
            <w:tcW w:w="1099" w:type="dxa"/>
          </w:tcPr>
          <w:p w14:paraId="0C999EB2"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160,000</w:t>
            </w:r>
          </w:p>
        </w:tc>
        <w:tc>
          <w:tcPr>
            <w:tcW w:w="1099" w:type="dxa"/>
          </w:tcPr>
          <w:p w14:paraId="7C69D7AC"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160,000(*)</w:t>
            </w:r>
          </w:p>
        </w:tc>
        <w:tc>
          <w:tcPr>
            <w:tcW w:w="1099" w:type="dxa"/>
          </w:tcPr>
          <w:p w14:paraId="0383D1FE"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0</w:t>
            </w:r>
          </w:p>
        </w:tc>
        <w:tc>
          <w:tcPr>
            <w:tcW w:w="1099" w:type="dxa"/>
          </w:tcPr>
          <w:p w14:paraId="731BB9BD"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0</w:t>
            </w:r>
          </w:p>
        </w:tc>
        <w:tc>
          <w:tcPr>
            <w:tcW w:w="1099" w:type="dxa"/>
          </w:tcPr>
          <w:p w14:paraId="09B177E8"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160,000</w:t>
            </w:r>
          </w:p>
        </w:tc>
        <w:tc>
          <w:tcPr>
            <w:tcW w:w="1099" w:type="dxa"/>
          </w:tcPr>
          <w:p w14:paraId="7851B6A6" w14:textId="77777777" w:rsidR="00A66EE5" w:rsidRPr="00885E08" w:rsidRDefault="00A66EE5" w:rsidP="00F74C17">
            <w:pPr>
              <w:pStyle w:val="Heading1"/>
              <w:numPr>
                <w:ilvl w:val="0"/>
                <w:numId w:val="0"/>
              </w:numPr>
              <w:bidi/>
              <w:spacing w:after="0"/>
              <w:jc w:val="left"/>
              <w:outlineLvl w:val="0"/>
              <w:rPr>
                <w:sz w:val="20"/>
                <w:rtl/>
                <w:lang w:val="fr-CA"/>
              </w:rPr>
            </w:pPr>
            <w:r>
              <w:rPr>
                <w:rFonts w:hint="cs"/>
                <w:sz w:val="20"/>
                <w:rtl/>
                <w:lang w:val="fr-CA"/>
              </w:rPr>
              <w:t>160,000</w:t>
            </w:r>
          </w:p>
        </w:tc>
      </w:tr>
      <w:tr w:rsidR="00A66EE5" w:rsidRPr="00885E08" w14:paraId="3BD57020" w14:textId="77777777" w:rsidTr="00B45BA5">
        <w:trPr>
          <w:trHeight w:val="187"/>
        </w:trPr>
        <w:tc>
          <w:tcPr>
            <w:tcW w:w="2727" w:type="dxa"/>
            <w:vAlign w:val="center"/>
          </w:tcPr>
          <w:p w14:paraId="2DFEA3A9" w14:textId="77777777" w:rsidR="00A66EE5" w:rsidRPr="00885E08" w:rsidRDefault="00A66EE5" w:rsidP="00F74C17">
            <w:pPr>
              <w:pStyle w:val="Heading1"/>
              <w:numPr>
                <w:ilvl w:val="0"/>
                <w:numId w:val="0"/>
              </w:numPr>
              <w:bidi/>
              <w:spacing w:after="0"/>
              <w:jc w:val="left"/>
              <w:outlineLvl w:val="0"/>
              <w:rPr>
                <w:sz w:val="20"/>
                <w:rtl/>
                <w:lang w:val="fr-CA"/>
              </w:rPr>
            </w:pPr>
            <w:r w:rsidRPr="00F74C17">
              <w:rPr>
                <w:rFonts w:hint="cs"/>
                <w:b/>
                <w:bCs/>
                <w:sz w:val="20"/>
                <w:rtl/>
                <w:lang w:val="fr-CA"/>
              </w:rPr>
              <w:t>المجموع</w:t>
            </w:r>
          </w:p>
        </w:tc>
        <w:tc>
          <w:tcPr>
            <w:tcW w:w="1099" w:type="dxa"/>
          </w:tcPr>
          <w:p w14:paraId="1CD953C0"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245,000</w:t>
            </w:r>
          </w:p>
        </w:tc>
        <w:tc>
          <w:tcPr>
            <w:tcW w:w="1099" w:type="dxa"/>
          </w:tcPr>
          <w:p w14:paraId="586EBFEB"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243,981</w:t>
            </w:r>
          </w:p>
        </w:tc>
        <w:tc>
          <w:tcPr>
            <w:tcW w:w="1099" w:type="dxa"/>
          </w:tcPr>
          <w:p w14:paraId="2BC58C0A"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60,000</w:t>
            </w:r>
          </w:p>
        </w:tc>
        <w:tc>
          <w:tcPr>
            <w:tcW w:w="1099" w:type="dxa"/>
          </w:tcPr>
          <w:p w14:paraId="549A242A"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60,000</w:t>
            </w:r>
          </w:p>
        </w:tc>
        <w:tc>
          <w:tcPr>
            <w:tcW w:w="1099" w:type="dxa"/>
          </w:tcPr>
          <w:p w14:paraId="386A3281"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305,000</w:t>
            </w:r>
          </w:p>
        </w:tc>
        <w:tc>
          <w:tcPr>
            <w:tcW w:w="1099" w:type="dxa"/>
          </w:tcPr>
          <w:p w14:paraId="5D205122" w14:textId="77777777" w:rsidR="00A66EE5" w:rsidRPr="00A66EE5"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305,000</w:t>
            </w:r>
          </w:p>
        </w:tc>
      </w:tr>
      <w:tr w:rsidR="00A66EE5" w:rsidRPr="00885E08" w14:paraId="0262223A" w14:textId="77777777" w:rsidTr="00B45BA5">
        <w:trPr>
          <w:trHeight w:val="187"/>
        </w:trPr>
        <w:tc>
          <w:tcPr>
            <w:tcW w:w="2727" w:type="dxa"/>
            <w:vAlign w:val="center"/>
          </w:tcPr>
          <w:p w14:paraId="063B4F40" w14:textId="77777777" w:rsidR="00A66EE5" w:rsidRPr="00F74C17" w:rsidRDefault="00A66EE5" w:rsidP="00F74C17">
            <w:pPr>
              <w:pStyle w:val="Heading1"/>
              <w:numPr>
                <w:ilvl w:val="0"/>
                <w:numId w:val="0"/>
              </w:numPr>
              <w:bidi/>
              <w:spacing w:after="0"/>
              <w:jc w:val="left"/>
              <w:outlineLvl w:val="0"/>
              <w:rPr>
                <w:b/>
                <w:bCs/>
                <w:sz w:val="20"/>
                <w:rtl/>
                <w:lang w:val="fr-CA"/>
              </w:rPr>
            </w:pPr>
            <w:r>
              <w:rPr>
                <w:rFonts w:hint="cs"/>
                <w:b/>
                <w:bCs/>
                <w:sz w:val="20"/>
                <w:rtl/>
                <w:lang w:val="fr-CA"/>
              </w:rPr>
              <w:t>نسبة الصرف (%)</w:t>
            </w:r>
          </w:p>
        </w:tc>
        <w:tc>
          <w:tcPr>
            <w:tcW w:w="2198" w:type="dxa"/>
            <w:gridSpan w:val="2"/>
          </w:tcPr>
          <w:p w14:paraId="2C5BF2A3" w14:textId="77777777" w:rsidR="00A66EE5" w:rsidRPr="00A66EE5" w:rsidRDefault="00A66EE5" w:rsidP="00A66EE5">
            <w:pPr>
              <w:pStyle w:val="Heading1"/>
              <w:numPr>
                <w:ilvl w:val="0"/>
                <w:numId w:val="0"/>
              </w:numPr>
              <w:bidi/>
              <w:spacing w:after="0"/>
              <w:jc w:val="center"/>
              <w:outlineLvl w:val="0"/>
              <w:rPr>
                <w:b/>
                <w:bCs/>
                <w:sz w:val="20"/>
                <w:rtl/>
                <w:lang w:val="fr-CA"/>
              </w:rPr>
            </w:pPr>
            <w:r>
              <w:rPr>
                <w:rFonts w:hint="cs"/>
                <w:b/>
                <w:bCs/>
                <w:sz w:val="20"/>
                <w:rtl/>
                <w:lang w:val="fr-CA"/>
              </w:rPr>
              <w:t>100</w:t>
            </w:r>
          </w:p>
        </w:tc>
        <w:tc>
          <w:tcPr>
            <w:tcW w:w="2198" w:type="dxa"/>
            <w:gridSpan w:val="2"/>
          </w:tcPr>
          <w:p w14:paraId="5E782D61" w14:textId="77777777" w:rsidR="00A66EE5" w:rsidRPr="00A66EE5" w:rsidRDefault="00A66EE5" w:rsidP="00A66EE5">
            <w:pPr>
              <w:pStyle w:val="Heading1"/>
              <w:numPr>
                <w:ilvl w:val="0"/>
                <w:numId w:val="0"/>
              </w:numPr>
              <w:bidi/>
              <w:spacing w:after="0"/>
              <w:jc w:val="center"/>
              <w:outlineLvl w:val="0"/>
              <w:rPr>
                <w:b/>
                <w:bCs/>
                <w:sz w:val="20"/>
                <w:rtl/>
                <w:lang w:val="fr-CA"/>
              </w:rPr>
            </w:pPr>
            <w:r>
              <w:rPr>
                <w:rFonts w:hint="cs"/>
                <w:b/>
                <w:bCs/>
                <w:sz w:val="20"/>
                <w:rtl/>
                <w:lang w:val="fr-CA"/>
              </w:rPr>
              <w:t>100</w:t>
            </w:r>
          </w:p>
        </w:tc>
        <w:tc>
          <w:tcPr>
            <w:tcW w:w="2198" w:type="dxa"/>
            <w:gridSpan w:val="2"/>
          </w:tcPr>
          <w:p w14:paraId="4371DE18" w14:textId="77777777" w:rsidR="00A66EE5" w:rsidRPr="00A66EE5" w:rsidRDefault="00A66EE5" w:rsidP="00A66EE5">
            <w:pPr>
              <w:pStyle w:val="Heading1"/>
              <w:numPr>
                <w:ilvl w:val="0"/>
                <w:numId w:val="0"/>
              </w:numPr>
              <w:bidi/>
              <w:spacing w:after="0"/>
              <w:jc w:val="center"/>
              <w:outlineLvl w:val="0"/>
              <w:rPr>
                <w:b/>
                <w:bCs/>
                <w:sz w:val="20"/>
                <w:rtl/>
                <w:lang w:val="fr-CA"/>
              </w:rPr>
            </w:pPr>
            <w:r>
              <w:rPr>
                <w:rFonts w:hint="cs"/>
                <w:b/>
                <w:bCs/>
                <w:sz w:val="20"/>
                <w:rtl/>
                <w:lang w:val="fr-CA"/>
              </w:rPr>
              <w:t>100</w:t>
            </w:r>
          </w:p>
        </w:tc>
      </w:tr>
    </w:tbl>
    <w:p w14:paraId="09C7C6F1" w14:textId="77777777" w:rsidR="00F74C17" w:rsidRPr="00F74C17" w:rsidRDefault="00A66EE5" w:rsidP="00A66EE5">
      <w:pPr>
        <w:pStyle w:val="Heading1"/>
        <w:numPr>
          <w:ilvl w:val="0"/>
          <w:numId w:val="0"/>
        </w:numPr>
        <w:bidi/>
        <w:ind w:left="4"/>
        <w:rPr>
          <w:sz w:val="20"/>
          <w:rtl/>
          <w:lang w:val="fr-CA"/>
        </w:rPr>
      </w:pPr>
      <w:r>
        <w:rPr>
          <w:rFonts w:hint="cs"/>
          <w:sz w:val="20"/>
          <w:rtl/>
          <w:lang w:val="fr-CA"/>
        </w:rPr>
        <w:t>* أعا</w:t>
      </w:r>
      <w:r w:rsidR="00F74C17">
        <w:rPr>
          <w:rFonts w:hint="cs"/>
          <w:sz w:val="20"/>
          <w:rtl/>
          <w:lang w:val="fr-CA"/>
        </w:rPr>
        <w:t>د</w:t>
      </w:r>
      <w:r>
        <w:rPr>
          <w:rFonts w:hint="cs"/>
          <w:sz w:val="20"/>
          <w:rtl/>
          <w:lang w:val="fr-CA"/>
        </w:rPr>
        <w:t xml:space="preserve">ت منظمة الأمم المتحدة للتنمية الصناعية مبلغ 1,019 دولار </w:t>
      </w:r>
      <w:r w:rsidR="005F3511">
        <w:rPr>
          <w:rFonts w:hint="cs"/>
          <w:sz w:val="20"/>
          <w:rtl/>
          <w:lang w:val="fr-CA"/>
        </w:rPr>
        <w:t xml:space="preserve">أمريكي في الاجتماع الثمانين </w:t>
      </w:r>
      <w:r>
        <w:rPr>
          <w:rFonts w:hint="cs"/>
          <w:sz w:val="20"/>
          <w:rtl/>
          <w:lang w:val="fr-CA"/>
        </w:rPr>
        <w:t>للجنة التنفيذية</w:t>
      </w:r>
      <w:r w:rsidR="00F74C17">
        <w:rPr>
          <w:rFonts w:hint="cs"/>
          <w:sz w:val="20"/>
          <w:rtl/>
          <w:lang w:val="fr-CA"/>
        </w:rPr>
        <w:t>.</w:t>
      </w:r>
    </w:p>
    <w:p w14:paraId="5027C40C" w14:textId="77777777" w:rsidR="00F74C17" w:rsidRPr="003C4983" w:rsidRDefault="00A66EE5" w:rsidP="00F74C17">
      <w:pPr>
        <w:pStyle w:val="Heading1"/>
        <w:numPr>
          <w:ilvl w:val="0"/>
          <w:numId w:val="0"/>
        </w:numPr>
        <w:bidi/>
        <w:ind w:left="4"/>
        <w:rPr>
          <w:sz w:val="26"/>
          <w:szCs w:val="26"/>
          <w:u w:val="single"/>
          <w:lang w:val="fr-CA"/>
        </w:rPr>
      </w:pPr>
      <w:r w:rsidRPr="003C4983">
        <w:rPr>
          <w:rFonts w:hint="cs"/>
          <w:sz w:val="26"/>
          <w:szCs w:val="26"/>
          <w:u w:val="single"/>
          <w:rtl/>
          <w:lang w:val="fr-CA"/>
        </w:rPr>
        <w:t>خطة تنفيذ الشريحة الثالث</w:t>
      </w:r>
      <w:r w:rsidR="00F74C17" w:rsidRPr="003C4983">
        <w:rPr>
          <w:rFonts w:hint="cs"/>
          <w:sz w:val="26"/>
          <w:szCs w:val="26"/>
          <w:u w:val="single"/>
          <w:rtl/>
          <w:lang w:val="fr-CA"/>
        </w:rPr>
        <w:t>ة والأخيرة من خطة إدارة إزالة المواد الهيدروكلوروفلوروكربونية</w:t>
      </w:r>
    </w:p>
    <w:p w14:paraId="2098EF8C" w14:textId="77777777" w:rsidR="00F74C17" w:rsidRPr="003C4983" w:rsidRDefault="00F74C17" w:rsidP="001D2B38">
      <w:pPr>
        <w:pStyle w:val="Heading1"/>
        <w:bidi/>
        <w:ind w:left="4"/>
        <w:rPr>
          <w:sz w:val="26"/>
          <w:szCs w:val="26"/>
          <w:rtl/>
          <w:lang w:val="fr-CA"/>
        </w:rPr>
      </w:pPr>
      <w:r w:rsidRPr="003C4983">
        <w:rPr>
          <w:rFonts w:hint="cs"/>
          <w:sz w:val="26"/>
          <w:szCs w:val="26"/>
          <w:rtl/>
          <w:lang w:val="fr-CA"/>
        </w:rPr>
        <w:t>ستنفّذ الأنشطة ا</w:t>
      </w:r>
      <w:r w:rsidR="001D2B38" w:rsidRPr="003C4983">
        <w:rPr>
          <w:rFonts w:hint="cs"/>
          <w:sz w:val="26"/>
          <w:szCs w:val="26"/>
          <w:rtl/>
          <w:lang w:val="fr-CA"/>
        </w:rPr>
        <w:t>لتالية في الفترة الواقعة بين يون</w:t>
      </w:r>
      <w:r w:rsidRPr="003C4983">
        <w:rPr>
          <w:rFonts w:hint="cs"/>
          <w:sz w:val="26"/>
          <w:szCs w:val="26"/>
          <w:rtl/>
          <w:lang w:val="fr-CA"/>
        </w:rPr>
        <w:t>يو/</w:t>
      </w:r>
      <w:r w:rsidR="001D2B38" w:rsidRPr="003C4983">
        <w:rPr>
          <w:rFonts w:hint="cs"/>
          <w:sz w:val="26"/>
          <w:szCs w:val="26"/>
          <w:rtl/>
          <w:lang w:val="fr-CA"/>
        </w:rPr>
        <w:t>حزيران</w:t>
      </w:r>
      <w:r w:rsidRPr="003C4983">
        <w:rPr>
          <w:rFonts w:hint="cs"/>
          <w:sz w:val="26"/>
          <w:szCs w:val="26"/>
          <w:rtl/>
          <w:lang w:val="fr-CA"/>
        </w:rPr>
        <w:t xml:space="preserve"> 2020 و</w:t>
      </w:r>
      <w:r w:rsidR="001D2B38" w:rsidRPr="003C4983">
        <w:rPr>
          <w:rFonts w:hint="cs"/>
          <w:sz w:val="26"/>
          <w:szCs w:val="26"/>
          <w:rtl/>
          <w:lang w:val="fr-CA"/>
        </w:rPr>
        <w:t>يوليو</w:t>
      </w:r>
      <w:r w:rsidRPr="003C4983">
        <w:rPr>
          <w:rFonts w:hint="cs"/>
          <w:sz w:val="26"/>
          <w:szCs w:val="26"/>
          <w:rtl/>
          <w:lang w:val="fr-CA"/>
        </w:rPr>
        <w:t>/</w:t>
      </w:r>
      <w:r w:rsidR="001D2B38" w:rsidRPr="003C4983">
        <w:rPr>
          <w:rFonts w:hint="cs"/>
          <w:sz w:val="26"/>
          <w:szCs w:val="26"/>
          <w:rtl/>
          <w:lang w:val="fr-CA"/>
        </w:rPr>
        <w:t>تموز 2022</w:t>
      </w:r>
      <w:r w:rsidRPr="003C4983">
        <w:rPr>
          <w:rFonts w:hint="cs"/>
          <w:sz w:val="26"/>
          <w:szCs w:val="26"/>
          <w:rtl/>
          <w:lang w:val="fr-CA"/>
        </w:rPr>
        <w:t>:</w:t>
      </w:r>
    </w:p>
    <w:p w14:paraId="262A8755" w14:textId="77777777" w:rsidR="00F74C17" w:rsidRPr="003C4983" w:rsidRDefault="001D2B38" w:rsidP="00524FF0">
      <w:pPr>
        <w:pStyle w:val="ListParagraph"/>
        <w:numPr>
          <w:ilvl w:val="0"/>
          <w:numId w:val="28"/>
        </w:numPr>
        <w:bidi/>
        <w:rPr>
          <w:sz w:val="26"/>
          <w:szCs w:val="26"/>
          <w:lang w:val="fr-CA"/>
        </w:rPr>
      </w:pPr>
      <w:r w:rsidRPr="003C4983">
        <w:rPr>
          <w:rFonts w:hint="cs"/>
          <w:sz w:val="26"/>
          <w:szCs w:val="26"/>
          <w:rtl/>
          <w:lang w:val="fr-CA"/>
        </w:rPr>
        <w:t xml:space="preserve">ست </w:t>
      </w:r>
      <w:r w:rsidR="00A1451E" w:rsidRPr="003C4983">
        <w:rPr>
          <w:rFonts w:hint="cs"/>
          <w:sz w:val="26"/>
          <w:szCs w:val="26"/>
          <w:rtl/>
          <w:lang w:val="fr-CA"/>
        </w:rPr>
        <w:t xml:space="preserve">ورش عمل لتدريب </w:t>
      </w:r>
      <w:r w:rsidR="00524FF0" w:rsidRPr="003C4983">
        <w:rPr>
          <w:rFonts w:hint="cs"/>
          <w:sz w:val="26"/>
          <w:szCs w:val="26"/>
          <w:rtl/>
          <w:lang w:val="fr-CA"/>
        </w:rPr>
        <w:t>120</w:t>
      </w:r>
      <w:r w:rsidR="00B4539D" w:rsidRPr="003C4983">
        <w:rPr>
          <w:rFonts w:hint="cs"/>
          <w:sz w:val="26"/>
          <w:szCs w:val="26"/>
          <w:rtl/>
          <w:lang w:val="fr-CA"/>
        </w:rPr>
        <w:t xml:space="preserve"> </w:t>
      </w:r>
      <w:r w:rsidR="00A1451E" w:rsidRPr="003C4983">
        <w:rPr>
          <w:rFonts w:hint="cs"/>
          <w:sz w:val="26"/>
          <w:szCs w:val="26"/>
          <w:rtl/>
          <w:lang w:val="fr-CA"/>
        </w:rPr>
        <w:t>ضاب</w:t>
      </w:r>
      <w:r w:rsidR="00B4539D" w:rsidRPr="003C4983">
        <w:rPr>
          <w:rFonts w:hint="cs"/>
          <w:sz w:val="26"/>
          <w:szCs w:val="26"/>
          <w:rtl/>
          <w:lang w:val="fr-CA"/>
        </w:rPr>
        <w:t>ط</w:t>
      </w:r>
      <w:r w:rsidR="00A1451E" w:rsidRPr="003C4983">
        <w:rPr>
          <w:rFonts w:hint="cs"/>
          <w:sz w:val="26"/>
          <w:szCs w:val="26"/>
          <w:rtl/>
          <w:lang w:val="fr-CA"/>
        </w:rPr>
        <w:t xml:space="preserve"> </w:t>
      </w:r>
      <w:r w:rsidRPr="003C4983">
        <w:rPr>
          <w:rFonts w:hint="cs"/>
          <w:sz w:val="26"/>
          <w:szCs w:val="26"/>
          <w:rtl/>
          <w:lang w:val="fr-CA"/>
        </w:rPr>
        <w:t>جمارك وشرطة على التعرف على المواد الهيدروكلوروفلوروكربونية والمعدات ا</w:t>
      </w:r>
      <w:r w:rsidR="00524FF0" w:rsidRPr="003C4983">
        <w:rPr>
          <w:rFonts w:hint="cs"/>
          <w:sz w:val="26"/>
          <w:szCs w:val="26"/>
          <w:rtl/>
          <w:lang w:val="fr-CA"/>
        </w:rPr>
        <w:t xml:space="preserve">لقائمة عليها وضبطها؛ ووضع دليل </w:t>
      </w:r>
      <w:r w:rsidRPr="003C4983">
        <w:rPr>
          <w:rFonts w:hint="cs"/>
          <w:sz w:val="26"/>
          <w:szCs w:val="26"/>
          <w:rtl/>
          <w:lang w:val="fr-CA"/>
        </w:rPr>
        <w:t xml:space="preserve">تدريب لتسهيل تدريب ضباط الجمارك وكتيب مبسط لتسهيل التخليص الجمركي لغازات التبريد وأجهزة التبريد وتكييف الهواء المستوردة؛ والتوقيع على مذكرة تفاهم مع هيئة الجمارك لكفالة استدامة برنامج تدريب ضباط الجمارك </w:t>
      </w:r>
      <w:r w:rsidR="00F74C17" w:rsidRPr="003C4983">
        <w:rPr>
          <w:rFonts w:hint="cs"/>
          <w:sz w:val="26"/>
          <w:szCs w:val="26"/>
          <w:rtl/>
          <w:lang w:val="fr-CA"/>
        </w:rPr>
        <w:t>(برنامج الأمم المتحدة للبيئة) (</w:t>
      </w:r>
      <w:r w:rsidRPr="003C4983">
        <w:rPr>
          <w:rFonts w:hint="cs"/>
          <w:sz w:val="26"/>
          <w:szCs w:val="26"/>
          <w:rtl/>
          <w:lang w:val="fr-CA"/>
        </w:rPr>
        <w:t>50</w:t>
      </w:r>
      <w:r w:rsidR="00F74C17" w:rsidRPr="003C4983">
        <w:rPr>
          <w:rFonts w:hint="cs"/>
          <w:sz w:val="26"/>
          <w:szCs w:val="26"/>
          <w:rtl/>
          <w:lang w:val="fr-CA"/>
        </w:rPr>
        <w:t>,000 دولار أمريكي)؛</w:t>
      </w:r>
    </w:p>
    <w:p w14:paraId="48968791" w14:textId="77777777" w:rsidR="00F74C17" w:rsidRPr="003C4983" w:rsidRDefault="00F74C17" w:rsidP="00F74C17">
      <w:pPr>
        <w:pStyle w:val="ListParagraph"/>
        <w:bidi/>
        <w:ind w:left="1080"/>
        <w:rPr>
          <w:sz w:val="26"/>
          <w:szCs w:val="26"/>
          <w:lang w:val="fr-CA"/>
        </w:rPr>
      </w:pPr>
    </w:p>
    <w:p w14:paraId="51DBAEA6" w14:textId="77777777" w:rsidR="00F74C17" w:rsidRPr="003C4983" w:rsidRDefault="001D2B38" w:rsidP="00524FF0">
      <w:pPr>
        <w:pStyle w:val="ListParagraph"/>
        <w:numPr>
          <w:ilvl w:val="0"/>
          <w:numId w:val="28"/>
        </w:numPr>
        <w:bidi/>
        <w:rPr>
          <w:sz w:val="26"/>
          <w:szCs w:val="26"/>
          <w:lang w:val="fr-CA"/>
        </w:rPr>
      </w:pPr>
      <w:r w:rsidRPr="003C4983">
        <w:rPr>
          <w:rFonts w:hint="cs"/>
          <w:sz w:val="26"/>
          <w:szCs w:val="26"/>
          <w:rtl/>
          <w:lang w:val="fr-CA"/>
        </w:rPr>
        <w:t>وسبع</w:t>
      </w:r>
      <w:r w:rsidR="00A1451E" w:rsidRPr="003C4983">
        <w:rPr>
          <w:rFonts w:hint="cs"/>
          <w:sz w:val="26"/>
          <w:szCs w:val="26"/>
          <w:rtl/>
          <w:lang w:val="fr-CA"/>
        </w:rPr>
        <w:t xml:space="preserve"> </w:t>
      </w:r>
      <w:r w:rsidRPr="003C4983">
        <w:rPr>
          <w:rFonts w:hint="cs"/>
          <w:sz w:val="26"/>
          <w:szCs w:val="26"/>
          <w:rtl/>
          <w:lang w:val="fr-CA"/>
        </w:rPr>
        <w:t>دورات لتدريب 175 فنيا إضافيا في قطاع التبريد وتكييف ا</w:t>
      </w:r>
      <w:r w:rsidR="00524FF0" w:rsidRPr="003C4983">
        <w:rPr>
          <w:rFonts w:hint="cs"/>
          <w:sz w:val="26"/>
          <w:szCs w:val="26"/>
          <w:rtl/>
          <w:lang w:val="fr-CA"/>
        </w:rPr>
        <w:t>لهواء على ممارسات الخدمة الجيدة</w:t>
      </w:r>
      <w:r w:rsidRPr="003C4983">
        <w:rPr>
          <w:rFonts w:hint="cs"/>
          <w:sz w:val="26"/>
          <w:szCs w:val="26"/>
          <w:rtl/>
          <w:lang w:val="fr-CA"/>
        </w:rPr>
        <w:t>؛ وتضمين مناهج المدارس الأساسية المعنية بالتدريب في قطاع التبريد وتكييف الهواء الممارسات الجيدة في قطاع التبريد والاستخدام المأمون لغازات التبريد الق</w:t>
      </w:r>
      <w:r w:rsidR="004C1829" w:rsidRPr="003C4983">
        <w:rPr>
          <w:rFonts w:hint="cs"/>
          <w:sz w:val="26"/>
          <w:szCs w:val="26"/>
          <w:rtl/>
          <w:lang w:val="fr-CA"/>
        </w:rPr>
        <w:t>ابلة للاشتعال أو السامة؛ و</w:t>
      </w:r>
      <w:r w:rsidRPr="003C4983">
        <w:rPr>
          <w:rFonts w:hint="cs"/>
          <w:sz w:val="26"/>
          <w:szCs w:val="26"/>
          <w:rtl/>
          <w:lang w:val="fr-CA"/>
        </w:rPr>
        <w:t>تكييف المواد التدريبية التي وضعها برنامج الأمم المتحدة للبيئة بالتعاون مع جمعية التبريد وتكييف الهواء</w:t>
      </w:r>
      <w:r w:rsidR="00F74C17" w:rsidRPr="003C4983">
        <w:rPr>
          <w:rFonts w:hint="cs"/>
          <w:sz w:val="26"/>
          <w:szCs w:val="26"/>
          <w:rtl/>
          <w:lang w:val="fr-CA"/>
        </w:rPr>
        <w:t xml:space="preserve"> (برنامج الأمم المتحدة للبيئة) (5</w:t>
      </w:r>
      <w:r w:rsidRPr="003C4983">
        <w:rPr>
          <w:rFonts w:hint="cs"/>
          <w:sz w:val="26"/>
          <w:szCs w:val="26"/>
          <w:rtl/>
          <w:lang w:val="fr-CA"/>
        </w:rPr>
        <w:t>0</w:t>
      </w:r>
      <w:r w:rsidR="00F74C17" w:rsidRPr="003C4983">
        <w:rPr>
          <w:rFonts w:hint="cs"/>
          <w:sz w:val="26"/>
          <w:szCs w:val="26"/>
          <w:rtl/>
          <w:lang w:val="fr-CA"/>
        </w:rPr>
        <w:t>,000 دولار أمريكي)؛</w:t>
      </w:r>
    </w:p>
    <w:p w14:paraId="73C80280" w14:textId="77777777" w:rsidR="00F74C17" w:rsidRPr="003C4983" w:rsidRDefault="00F74C17" w:rsidP="00F74C17">
      <w:pPr>
        <w:pStyle w:val="ListParagraph"/>
        <w:rPr>
          <w:sz w:val="26"/>
          <w:szCs w:val="26"/>
          <w:rtl/>
          <w:lang w:val="fr-CA"/>
        </w:rPr>
      </w:pPr>
    </w:p>
    <w:p w14:paraId="5B14CD6D" w14:textId="77777777" w:rsidR="00F74C17" w:rsidRPr="003C4983" w:rsidRDefault="001D2B38" w:rsidP="00524FF0">
      <w:pPr>
        <w:pStyle w:val="ListParagraph"/>
        <w:numPr>
          <w:ilvl w:val="0"/>
          <w:numId w:val="28"/>
        </w:numPr>
        <w:bidi/>
        <w:rPr>
          <w:sz w:val="26"/>
          <w:szCs w:val="26"/>
          <w:lang w:val="fr-CA"/>
        </w:rPr>
      </w:pPr>
      <w:r w:rsidRPr="003C4983">
        <w:rPr>
          <w:rFonts w:hint="cs"/>
          <w:sz w:val="26"/>
          <w:szCs w:val="26"/>
          <w:rtl/>
          <w:lang w:val="fr-CA"/>
        </w:rPr>
        <w:t>وشراء معدات وأدوات إضافية لتزويد مراكز التدريب وورش عمل قطاع التبريد بها (</w:t>
      </w:r>
      <w:r w:rsidR="00524FF0" w:rsidRPr="003C4983">
        <w:rPr>
          <w:rFonts w:hint="cs"/>
          <w:sz w:val="26"/>
          <w:szCs w:val="26"/>
          <w:rtl/>
          <w:lang w:val="fr-CA"/>
        </w:rPr>
        <w:t>أي 15 آلة</w:t>
      </w:r>
      <w:r w:rsidRPr="003C4983">
        <w:rPr>
          <w:rFonts w:hint="cs"/>
          <w:sz w:val="26"/>
          <w:szCs w:val="26"/>
          <w:rtl/>
          <w:lang w:val="fr-CA"/>
        </w:rPr>
        <w:t xml:space="preserve"> استرداد </w:t>
      </w:r>
      <w:r w:rsidRPr="003C4983">
        <w:rPr>
          <w:rFonts w:hint="cs"/>
          <w:sz w:val="26"/>
          <w:szCs w:val="26"/>
          <w:rtl/>
          <w:lang w:val="fr-CA" w:bidi="ar-SA"/>
        </w:rPr>
        <w:t>محمول</w:t>
      </w:r>
      <w:r w:rsidR="00524FF0" w:rsidRPr="003C4983">
        <w:rPr>
          <w:rFonts w:hint="cs"/>
          <w:sz w:val="26"/>
          <w:szCs w:val="26"/>
          <w:rtl/>
          <w:lang w:val="fr-CA" w:bidi="ar-SA"/>
        </w:rPr>
        <w:t>ة</w:t>
      </w:r>
      <w:r w:rsidRPr="003C4983">
        <w:rPr>
          <w:rFonts w:hint="cs"/>
          <w:sz w:val="26"/>
          <w:szCs w:val="26"/>
          <w:rtl/>
          <w:lang w:val="fr-CA" w:bidi="ar-SA"/>
        </w:rPr>
        <w:t xml:space="preserve"> وأجهزة التعرف على عدة غازات تبريد ومضخات التفريغ ووحدات شحن غازات التبريد المحمولة </w:t>
      </w:r>
      <w:r w:rsidR="00B45BA5" w:rsidRPr="003C4983">
        <w:rPr>
          <w:rFonts w:hint="cs"/>
          <w:sz w:val="26"/>
          <w:szCs w:val="26"/>
          <w:rtl/>
          <w:lang w:val="fr-CA" w:bidi="ar-SA"/>
        </w:rPr>
        <w:t xml:space="preserve">ومقياس تفريغ ومقياس شحن وأجهزة كشف التسرب وأسطوانات غاز التبريد وعدّة اللحام وعدّة اختبار الزيت ووحدة استصلاح) وتدريب المنتفعين على استخدام الأجهزة في مراكز </w:t>
      </w:r>
      <w:r w:rsidR="00524FF0" w:rsidRPr="003C4983">
        <w:rPr>
          <w:rFonts w:hint="cs"/>
          <w:sz w:val="26"/>
          <w:szCs w:val="26"/>
          <w:rtl/>
          <w:lang w:val="fr-CA" w:bidi="ar-SA"/>
        </w:rPr>
        <w:t>الامتياز</w:t>
      </w:r>
      <w:r w:rsidR="00B45BA5" w:rsidRPr="003C4983">
        <w:rPr>
          <w:rFonts w:hint="cs"/>
          <w:sz w:val="26"/>
          <w:szCs w:val="26"/>
          <w:rtl/>
          <w:lang w:val="fr-CA" w:bidi="ar-SA"/>
        </w:rPr>
        <w:t xml:space="preserve"> </w:t>
      </w:r>
      <w:r w:rsidR="00F74C17" w:rsidRPr="003C4983">
        <w:rPr>
          <w:rFonts w:hint="cs"/>
          <w:sz w:val="26"/>
          <w:szCs w:val="26"/>
          <w:rtl/>
          <w:lang w:val="fr-CA"/>
        </w:rPr>
        <w:t>(</w:t>
      </w:r>
      <w:r w:rsidR="00B45BA5" w:rsidRPr="003C4983">
        <w:rPr>
          <w:rFonts w:hint="cs"/>
          <w:sz w:val="26"/>
          <w:szCs w:val="26"/>
          <w:rtl/>
          <w:lang w:val="fr-CA"/>
        </w:rPr>
        <w:t xml:space="preserve">منظمة </w:t>
      </w:r>
      <w:r w:rsidR="00F74C17" w:rsidRPr="003C4983">
        <w:rPr>
          <w:rFonts w:hint="cs"/>
          <w:sz w:val="26"/>
          <w:szCs w:val="26"/>
          <w:rtl/>
          <w:lang w:val="fr-CA"/>
        </w:rPr>
        <w:t>الأمم المتحدة لل</w:t>
      </w:r>
      <w:r w:rsidR="00B45BA5" w:rsidRPr="003C4983">
        <w:rPr>
          <w:rFonts w:hint="cs"/>
          <w:sz w:val="26"/>
          <w:szCs w:val="26"/>
          <w:rtl/>
          <w:lang w:val="fr-CA"/>
        </w:rPr>
        <w:t>تنمية الصناعية</w:t>
      </w:r>
      <w:r w:rsidR="00F74C17" w:rsidRPr="003C4983">
        <w:rPr>
          <w:rFonts w:hint="cs"/>
          <w:sz w:val="26"/>
          <w:szCs w:val="26"/>
          <w:rtl/>
          <w:lang w:val="fr-CA"/>
        </w:rPr>
        <w:t>) (</w:t>
      </w:r>
      <w:r w:rsidR="00B45BA5" w:rsidRPr="003C4983">
        <w:rPr>
          <w:rFonts w:hint="cs"/>
          <w:sz w:val="26"/>
          <w:szCs w:val="26"/>
          <w:rtl/>
          <w:lang w:val="fr-CA"/>
        </w:rPr>
        <w:t>125</w:t>
      </w:r>
      <w:r w:rsidR="00F74C17" w:rsidRPr="003C4983">
        <w:rPr>
          <w:rFonts w:hint="cs"/>
          <w:sz w:val="26"/>
          <w:szCs w:val="26"/>
          <w:rtl/>
          <w:lang w:val="fr-CA"/>
        </w:rPr>
        <w:t>,000 دولار أمريكي</w:t>
      </w:r>
      <w:r w:rsidR="00B45BA5" w:rsidRPr="003C4983">
        <w:rPr>
          <w:rFonts w:hint="cs"/>
          <w:sz w:val="26"/>
          <w:szCs w:val="26"/>
          <w:rtl/>
          <w:lang w:val="fr-CA"/>
        </w:rPr>
        <w:t>)</w:t>
      </w:r>
      <w:r w:rsidR="00F74C17" w:rsidRPr="003C4983">
        <w:rPr>
          <w:rFonts w:hint="cs"/>
          <w:sz w:val="26"/>
          <w:szCs w:val="26"/>
          <w:rtl/>
          <w:lang w:val="fr-CA"/>
        </w:rPr>
        <w:t>.</w:t>
      </w:r>
    </w:p>
    <w:p w14:paraId="4819C236" w14:textId="77777777" w:rsidR="00F74C17" w:rsidRPr="003C4983" w:rsidRDefault="00F74C17" w:rsidP="00F74C17">
      <w:pPr>
        <w:pStyle w:val="ListParagraph"/>
        <w:rPr>
          <w:sz w:val="26"/>
          <w:szCs w:val="26"/>
          <w:rtl/>
          <w:lang w:val="fr-CA"/>
        </w:rPr>
      </w:pPr>
    </w:p>
    <w:p w14:paraId="50C4AA62" w14:textId="77777777" w:rsidR="003C4983" w:rsidRDefault="003C4983">
      <w:pPr>
        <w:jc w:val="left"/>
        <w:rPr>
          <w:b/>
          <w:bCs/>
          <w:sz w:val="26"/>
          <w:szCs w:val="26"/>
          <w:rtl/>
        </w:rPr>
      </w:pPr>
      <w:r>
        <w:rPr>
          <w:b/>
          <w:bCs/>
          <w:sz w:val="26"/>
          <w:szCs w:val="26"/>
          <w:rtl/>
        </w:rPr>
        <w:br w:type="page"/>
      </w:r>
    </w:p>
    <w:p w14:paraId="1F3C75E0" w14:textId="392B64BE" w:rsidR="00F74C17" w:rsidRPr="003C4983" w:rsidRDefault="00F74C17" w:rsidP="00F74C17">
      <w:pPr>
        <w:pStyle w:val="StyleHeader4Para4Left0Firstline0"/>
        <w:numPr>
          <w:ilvl w:val="0"/>
          <w:numId w:val="0"/>
        </w:numPr>
        <w:tabs>
          <w:tab w:val="clear" w:pos="2880"/>
          <w:tab w:val="clear" w:pos="5760"/>
        </w:tabs>
        <w:bidi/>
        <w:spacing w:after="0"/>
        <w:jc w:val="center"/>
        <w:rPr>
          <w:b/>
          <w:bCs/>
          <w:sz w:val="26"/>
          <w:szCs w:val="26"/>
          <w:rtl/>
        </w:rPr>
      </w:pPr>
      <w:r w:rsidRPr="003C4983">
        <w:rPr>
          <w:rFonts w:hint="cs"/>
          <w:b/>
          <w:bCs/>
          <w:sz w:val="26"/>
          <w:szCs w:val="26"/>
          <w:rtl/>
        </w:rPr>
        <w:lastRenderedPageBreak/>
        <w:t>تعليقات الأمانة وتوصيتها</w:t>
      </w:r>
    </w:p>
    <w:p w14:paraId="6D82C732" w14:textId="77777777" w:rsidR="00F74C17" w:rsidRPr="003C4983" w:rsidRDefault="00F74C17" w:rsidP="00F74C17">
      <w:pPr>
        <w:pStyle w:val="StyleHeader4Para4Left0Firstline0"/>
        <w:numPr>
          <w:ilvl w:val="0"/>
          <w:numId w:val="0"/>
        </w:numPr>
        <w:tabs>
          <w:tab w:val="clear" w:pos="2880"/>
          <w:tab w:val="clear" w:pos="5760"/>
        </w:tabs>
        <w:bidi/>
        <w:spacing w:after="0"/>
        <w:jc w:val="left"/>
        <w:rPr>
          <w:b/>
          <w:bCs/>
          <w:sz w:val="26"/>
          <w:szCs w:val="26"/>
          <w:rtl/>
        </w:rPr>
      </w:pPr>
      <w:r w:rsidRPr="003C4983">
        <w:rPr>
          <w:rFonts w:hint="cs"/>
          <w:b/>
          <w:bCs/>
          <w:sz w:val="26"/>
          <w:szCs w:val="26"/>
          <w:rtl/>
        </w:rPr>
        <w:t>التعليقات</w:t>
      </w:r>
    </w:p>
    <w:p w14:paraId="4D20CB8A" w14:textId="77777777" w:rsidR="00F74C17" w:rsidRPr="003C4983" w:rsidRDefault="00F74C17" w:rsidP="00F74C17">
      <w:pPr>
        <w:pStyle w:val="StyleHeader4Para4Left0Firstline0"/>
        <w:numPr>
          <w:ilvl w:val="0"/>
          <w:numId w:val="0"/>
        </w:numPr>
        <w:tabs>
          <w:tab w:val="clear" w:pos="2880"/>
          <w:tab w:val="clear" w:pos="5760"/>
        </w:tabs>
        <w:bidi/>
        <w:spacing w:after="0"/>
        <w:jc w:val="left"/>
        <w:rPr>
          <w:sz w:val="26"/>
          <w:szCs w:val="26"/>
          <w:u w:val="single"/>
          <w:rtl/>
        </w:rPr>
      </w:pPr>
    </w:p>
    <w:p w14:paraId="7E2D4911" w14:textId="77777777" w:rsidR="00F74C17" w:rsidRPr="003C4983" w:rsidRDefault="00F74C17" w:rsidP="00B45BA5">
      <w:pPr>
        <w:pStyle w:val="StyleHeader4Para4Left0Firstline0"/>
        <w:numPr>
          <w:ilvl w:val="0"/>
          <w:numId w:val="0"/>
        </w:numPr>
        <w:tabs>
          <w:tab w:val="clear" w:pos="2880"/>
          <w:tab w:val="clear" w:pos="5760"/>
        </w:tabs>
        <w:bidi/>
        <w:spacing w:after="0"/>
        <w:ind w:left="4"/>
        <w:jc w:val="left"/>
        <w:rPr>
          <w:i/>
          <w:iCs/>
          <w:sz w:val="26"/>
          <w:szCs w:val="26"/>
          <w:rtl/>
          <w:lang w:val="fr-CA"/>
        </w:rPr>
      </w:pPr>
      <w:r w:rsidRPr="003C4983">
        <w:rPr>
          <w:sz w:val="26"/>
          <w:szCs w:val="26"/>
          <w:u w:val="single"/>
          <w:rtl/>
          <w:lang w:val="fr-CA"/>
        </w:rPr>
        <w:t>ال</w:t>
      </w:r>
      <w:r w:rsidR="00B45BA5" w:rsidRPr="003C4983">
        <w:rPr>
          <w:rFonts w:hint="cs"/>
          <w:sz w:val="26"/>
          <w:szCs w:val="26"/>
          <w:u w:val="single"/>
          <w:rtl/>
          <w:lang w:val="fr-CA"/>
        </w:rPr>
        <w:t xml:space="preserve">إطار القانوني </w:t>
      </w:r>
    </w:p>
    <w:p w14:paraId="2A590C82" w14:textId="77777777" w:rsidR="00F74C17" w:rsidRPr="003C4983" w:rsidRDefault="00F74C17" w:rsidP="00F74C17">
      <w:pPr>
        <w:pStyle w:val="Heading1"/>
        <w:numPr>
          <w:ilvl w:val="0"/>
          <w:numId w:val="0"/>
        </w:numPr>
        <w:bidi/>
        <w:spacing w:after="0"/>
        <w:rPr>
          <w:sz w:val="26"/>
          <w:szCs w:val="26"/>
          <w:lang w:val="fr-CA" w:bidi="ar-SA"/>
        </w:rPr>
      </w:pPr>
    </w:p>
    <w:p w14:paraId="3541B078" w14:textId="77777777" w:rsidR="00F74C17" w:rsidRPr="003C4983" w:rsidRDefault="00B45BA5" w:rsidP="004C1829">
      <w:pPr>
        <w:pStyle w:val="Heading1"/>
        <w:bidi/>
        <w:ind w:left="4"/>
        <w:rPr>
          <w:sz w:val="26"/>
          <w:szCs w:val="26"/>
          <w:rtl/>
          <w:lang w:val="fr-CA"/>
        </w:rPr>
      </w:pPr>
      <w:r w:rsidRPr="003C4983">
        <w:rPr>
          <w:rFonts w:hint="cs"/>
          <w:sz w:val="26"/>
          <w:szCs w:val="26"/>
          <w:rtl/>
          <w:lang w:val="fr-CA" w:bidi="ar-SA"/>
        </w:rPr>
        <w:t>أصدرت غينيا</w:t>
      </w:r>
      <w:r w:rsidR="000D6A4F" w:rsidRPr="003C4983">
        <w:rPr>
          <w:rFonts w:hint="cs"/>
          <w:sz w:val="26"/>
          <w:szCs w:val="26"/>
          <w:rtl/>
          <w:lang w:val="fr-CA" w:bidi="ar-SA"/>
        </w:rPr>
        <w:t xml:space="preserve"> حصص استيراد المواد الهيدروكلوروفلوروكربونية لعام 2020 وتبلغ </w:t>
      </w:r>
      <w:r w:rsidRPr="003C4983">
        <w:rPr>
          <w:rFonts w:hint="cs"/>
          <w:sz w:val="26"/>
          <w:szCs w:val="26"/>
          <w:rtl/>
          <w:lang w:val="fr-CA" w:bidi="ar-SA"/>
        </w:rPr>
        <w:t xml:space="preserve">1.65 </w:t>
      </w:r>
      <w:r w:rsidR="000D6A4F" w:rsidRPr="003C4983">
        <w:rPr>
          <w:rFonts w:hint="cs"/>
          <w:sz w:val="26"/>
          <w:szCs w:val="26"/>
          <w:rtl/>
          <w:lang w:val="fr-CA" w:bidi="ar-SA"/>
        </w:rPr>
        <w:t xml:space="preserve">طن من قدرات استنفاد الأوزون </w:t>
      </w:r>
      <w:r w:rsidR="004C1829" w:rsidRPr="003C4983">
        <w:rPr>
          <w:rFonts w:hint="cs"/>
          <w:sz w:val="26"/>
          <w:szCs w:val="26"/>
          <w:rtl/>
          <w:lang w:val="fr-CA" w:bidi="ar-SA"/>
        </w:rPr>
        <w:t>أي</w:t>
      </w:r>
      <w:r w:rsidRPr="003C4983">
        <w:rPr>
          <w:rFonts w:hint="cs"/>
          <w:sz w:val="26"/>
          <w:szCs w:val="26"/>
          <w:rtl/>
          <w:lang w:val="fr-CA" w:bidi="ar-SA"/>
        </w:rPr>
        <w:t xml:space="preserve"> </w:t>
      </w:r>
      <w:r w:rsidR="004C1829" w:rsidRPr="003C4983">
        <w:rPr>
          <w:rFonts w:hint="cs"/>
          <w:sz w:val="26"/>
          <w:szCs w:val="26"/>
          <w:rtl/>
          <w:lang w:val="fr-CA" w:bidi="ar-SA"/>
        </w:rPr>
        <w:t>أقلّ من</w:t>
      </w:r>
      <w:r w:rsidR="000D6A4F" w:rsidRPr="003C4983">
        <w:rPr>
          <w:rFonts w:hint="cs"/>
          <w:sz w:val="26"/>
          <w:szCs w:val="26"/>
          <w:rtl/>
          <w:lang w:val="fr-CA"/>
        </w:rPr>
        <w:t xml:space="preserve"> </w:t>
      </w:r>
      <w:r w:rsidR="00B4539D" w:rsidRPr="003C4983">
        <w:rPr>
          <w:rFonts w:hint="cs"/>
          <w:sz w:val="26"/>
          <w:szCs w:val="26"/>
          <w:rtl/>
          <w:lang w:val="fr-CA"/>
        </w:rPr>
        <w:t>الحدّ الأقصى للا</w:t>
      </w:r>
      <w:r w:rsidR="000D6A4F" w:rsidRPr="003C4983">
        <w:rPr>
          <w:rFonts w:hint="cs"/>
          <w:sz w:val="26"/>
          <w:szCs w:val="26"/>
          <w:rtl/>
          <w:lang w:val="fr-CA"/>
        </w:rPr>
        <w:t>ستهلاك المسموح به</w:t>
      </w:r>
      <w:r w:rsidRPr="003C4983">
        <w:rPr>
          <w:rFonts w:hint="cs"/>
          <w:sz w:val="26"/>
          <w:szCs w:val="26"/>
          <w:rtl/>
          <w:lang w:val="fr-CA"/>
        </w:rPr>
        <w:t xml:space="preserve"> لعام 2020</w:t>
      </w:r>
      <w:r w:rsidR="000D6A4F" w:rsidRPr="003C4983">
        <w:rPr>
          <w:rFonts w:hint="cs"/>
          <w:sz w:val="26"/>
          <w:szCs w:val="26"/>
          <w:rtl/>
          <w:lang w:val="fr-CA"/>
        </w:rPr>
        <w:t xml:space="preserve"> </w:t>
      </w:r>
      <w:r w:rsidRPr="003C4983">
        <w:rPr>
          <w:rFonts w:hint="cs"/>
          <w:sz w:val="26"/>
          <w:szCs w:val="26"/>
          <w:rtl/>
          <w:lang w:val="fr-CA"/>
        </w:rPr>
        <w:t xml:space="preserve">والأهداف المنصوص عليها في </w:t>
      </w:r>
      <w:r w:rsidR="000D6A4F" w:rsidRPr="003C4983">
        <w:rPr>
          <w:rFonts w:hint="cs"/>
          <w:sz w:val="26"/>
          <w:szCs w:val="26"/>
          <w:rtl/>
          <w:lang w:val="fr-CA"/>
        </w:rPr>
        <w:t>بروتوكول مونتريال.</w:t>
      </w:r>
    </w:p>
    <w:p w14:paraId="341BABE2" w14:textId="77777777" w:rsidR="000D6A4F" w:rsidRPr="003C4983" w:rsidRDefault="00B45BA5" w:rsidP="000D6A4F">
      <w:pPr>
        <w:bidi/>
        <w:rPr>
          <w:sz w:val="26"/>
          <w:szCs w:val="26"/>
          <w:u w:val="single"/>
          <w:lang w:val="fr-CA" w:bidi="ar-SA"/>
        </w:rPr>
      </w:pPr>
      <w:r w:rsidRPr="003C4983">
        <w:rPr>
          <w:rFonts w:hint="cs"/>
          <w:sz w:val="26"/>
          <w:szCs w:val="26"/>
          <w:u w:val="single"/>
          <w:rtl/>
          <w:lang w:val="fr-CA" w:bidi="ar-SA"/>
        </w:rPr>
        <w:t>تعديل الاتفاق</w:t>
      </w:r>
    </w:p>
    <w:p w14:paraId="249DD119" w14:textId="77777777" w:rsidR="000D6A4F" w:rsidRPr="003C4983" w:rsidRDefault="000D6A4F" w:rsidP="000D6A4F">
      <w:pPr>
        <w:pStyle w:val="Heading1"/>
        <w:numPr>
          <w:ilvl w:val="0"/>
          <w:numId w:val="0"/>
        </w:numPr>
        <w:bidi/>
        <w:spacing w:after="0"/>
        <w:rPr>
          <w:sz w:val="26"/>
          <w:szCs w:val="26"/>
          <w:lang w:val="fr-CA" w:bidi="ar-SA"/>
        </w:rPr>
      </w:pPr>
      <w:r w:rsidRPr="003C4983">
        <w:rPr>
          <w:rFonts w:hint="cs"/>
          <w:sz w:val="26"/>
          <w:szCs w:val="26"/>
          <w:rtl/>
          <w:lang w:val="fr-CA" w:bidi="ar-SA"/>
        </w:rPr>
        <w:t xml:space="preserve"> </w:t>
      </w:r>
    </w:p>
    <w:p w14:paraId="556B774F" w14:textId="77777777" w:rsidR="00B45BA5" w:rsidRPr="003C4983" w:rsidRDefault="00B45BA5" w:rsidP="00B45BA5">
      <w:pPr>
        <w:pStyle w:val="Heading1"/>
        <w:bidi/>
        <w:rPr>
          <w:sz w:val="26"/>
          <w:szCs w:val="26"/>
          <w:rtl/>
          <w:lang w:val="fr-CA"/>
        </w:rPr>
      </w:pPr>
      <w:r w:rsidRPr="003C4983">
        <w:rPr>
          <w:rFonts w:hint="cs"/>
          <w:sz w:val="26"/>
          <w:szCs w:val="26"/>
          <w:rtl/>
          <w:lang w:val="fr-CA"/>
        </w:rPr>
        <w:t xml:space="preserve">أثناء استعراض المشروع، أشار برنامج الأمم المتحدة للبيئة إلى أنّ غينيا وافقت على تعديل </w:t>
      </w:r>
      <w:r w:rsidRPr="003C4983">
        <w:rPr>
          <w:sz w:val="26"/>
          <w:szCs w:val="26"/>
          <w:rtl/>
          <w:lang w:val="fr-CA"/>
        </w:rPr>
        <w:t>نقطة البداية للتخفيضات المجمعة المستدامة</w:t>
      </w:r>
      <w:r w:rsidRPr="003C4983">
        <w:rPr>
          <w:rFonts w:hint="cs"/>
          <w:sz w:val="26"/>
          <w:szCs w:val="26"/>
          <w:rtl/>
          <w:lang w:val="fr-CA"/>
        </w:rPr>
        <w:t xml:space="preserve"> لاستهلاك المواد الهيدروكلوروفلوروكربونية من 22.6 إلى 7.5 طن من قدرات استنفاد الأوزون على أن يساوي </w:t>
      </w:r>
      <w:r w:rsidRPr="003C4983">
        <w:rPr>
          <w:sz w:val="26"/>
          <w:szCs w:val="26"/>
          <w:rtl/>
          <w:lang w:val="fr-CA"/>
        </w:rPr>
        <w:t xml:space="preserve">الاستهلاك </w:t>
      </w:r>
      <w:r w:rsidRPr="003C4983">
        <w:rPr>
          <w:rFonts w:hint="cs"/>
          <w:sz w:val="26"/>
          <w:szCs w:val="26"/>
          <w:rtl/>
          <w:lang w:val="fr-CA"/>
        </w:rPr>
        <w:t xml:space="preserve">المتبقي </w:t>
      </w:r>
      <w:r w:rsidRPr="003C4983">
        <w:rPr>
          <w:sz w:val="26"/>
          <w:szCs w:val="26"/>
          <w:rtl/>
          <w:lang w:val="fr-CA"/>
        </w:rPr>
        <w:t>المؤهل للتمويل</w:t>
      </w:r>
      <w:r w:rsidRPr="003C4983">
        <w:rPr>
          <w:rFonts w:hint="cs"/>
          <w:sz w:val="26"/>
          <w:szCs w:val="26"/>
          <w:rtl/>
          <w:lang w:val="fr-CA"/>
        </w:rPr>
        <w:t xml:space="preserve"> 4.87 طن من قدرات استنفاد الأوزون. وعليه يعدّل الحد الأقصى للاستهلاك المسموح به لعامي 2015 و2020</w:t>
      </w:r>
      <w:r w:rsidR="00524FF0" w:rsidRPr="003C4983">
        <w:rPr>
          <w:rFonts w:hint="cs"/>
          <w:sz w:val="26"/>
          <w:szCs w:val="26"/>
          <w:rtl/>
          <w:lang w:val="fr-CA"/>
        </w:rPr>
        <w:t xml:space="preserve"> حتى يكون</w:t>
      </w:r>
      <w:r w:rsidRPr="003C4983">
        <w:rPr>
          <w:rFonts w:hint="cs"/>
          <w:sz w:val="26"/>
          <w:szCs w:val="26"/>
          <w:rtl/>
          <w:lang w:val="fr-CA"/>
        </w:rPr>
        <w:t xml:space="preserve"> 6.75 و4.87 طن من قدرات استنفاد الأوزون</w:t>
      </w:r>
      <w:r w:rsidR="004C1829" w:rsidRPr="003C4983">
        <w:rPr>
          <w:rFonts w:hint="cs"/>
          <w:sz w:val="26"/>
          <w:szCs w:val="26"/>
          <w:rtl/>
          <w:lang w:val="fr-CA"/>
        </w:rPr>
        <w:t>،</w:t>
      </w:r>
      <w:r w:rsidRPr="003C4983">
        <w:rPr>
          <w:rFonts w:hint="cs"/>
          <w:sz w:val="26"/>
          <w:szCs w:val="26"/>
          <w:rtl/>
          <w:lang w:val="fr-CA"/>
        </w:rPr>
        <w:t xml:space="preserve"> على التوالي.</w:t>
      </w:r>
    </w:p>
    <w:p w14:paraId="16CCF9A1" w14:textId="77777777" w:rsidR="00B45BA5" w:rsidRPr="003C4983" w:rsidRDefault="00B45BA5" w:rsidP="00524FF0">
      <w:pPr>
        <w:pStyle w:val="Heading1"/>
        <w:bidi/>
        <w:rPr>
          <w:sz w:val="26"/>
          <w:szCs w:val="26"/>
          <w:rtl/>
          <w:lang w:val="fr-CA"/>
        </w:rPr>
      </w:pPr>
      <w:r w:rsidRPr="003C4983">
        <w:rPr>
          <w:rFonts w:hint="cs"/>
          <w:sz w:val="26"/>
          <w:szCs w:val="26"/>
          <w:rtl/>
          <w:lang w:val="fr-CA"/>
        </w:rPr>
        <w:t>وتم</w:t>
      </w:r>
      <w:r w:rsidR="00524FF0" w:rsidRPr="003C4983">
        <w:rPr>
          <w:rFonts w:hint="cs"/>
          <w:sz w:val="26"/>
          <w:szCs w:val="26"/>
          <w:rtl/>
          <w:lang w:val="fr-CA"/>
        </w:rPr>
        <w:t>اشيا مع المبادئ التوجيهية ل</w:t>
      </w:r>
      <w:r w:rsidR="004C1829" w:rsidRPr="003C4983">
        <w:rPr>
          <w:rFonts w:hint="cs"/>
          <w:sz w:val="26"/>
          <w:szCs w:val="26"/>
          <w:rtl/>
          <w:lang w:val="fr-CA"/>
        </w:rPr>
        <w:t xml:space="preserve">احتساب </w:t>
      </w:r>
      <w:r w:rsidR="00524FF0" w:rsidRPr="003C4983">
        <w:rPr>
          <w:rFonts w:hint="cs"/>
          <w:sz w:val="26"/>
          <w:szCs w:val="26"/>
          <w:rtl/>
          <w:lang w:val="fr-CA"/>
        </w:rPr>
        <w:t>كلف</w:t>
      </w:r>
      <w:r w:rsidRPr="003C4983">
        <w:rPr>
          <w:rFonts w:hint="cs"/>
          <w:sz w:val="26"/>
          <w:szCs w:val="26"/>
          <w:rtl/>
          <w:lang w:val="fr-CA"/>
        </w:rPr>
        <w:t>ة المرحلة الثانية من خطط إدارة إزالة المواد الهيدروكلوروفلوروكربون</w:t>
      </w:r>
      <w:r w:rsidR="005F3511" w:rsidRPr="003C4983">
        <w:rPr>
          <w:rFonts w:hint="cs"/>
          <w:sz w:val="26"/>
          <w:szCs w:val="26"/>
          <w:rtl/>
          <w:lang w:val="fr-CA"/>
        </w:rPr>
        <w:t>ية (أي المقرر 74/50(ج)(12))، فإ</w:t>
      </w:r>
      <w:r w:rsidR="00524FF0" w:rsidRPr="003C4983">
        <w:rPr>
          <w:rFonts w:hint="cs"/>
          <w:sz w:val="26"/>
          <w:szCs w:val="26"/>
          <w:rtl/>
          <w:lang w:val="fr-CA"/>
        </w:rPr>
        <w:t xml:space="preserve">نّ </w:t>
      </w:r>
      <w:r w:rsidRPr="003C4983">
        <w:rPr>
          <w:rFonts w:hint="cs"/>
          <w:sz w:val="26"/>
          <w:szCs w:val="26"/>
          <w:rtl/>
          <w:lang w:val="fr-CA"/>
        </w:rPr>
        <w:t>الحد الأقصى للتمويل</w:t>
      </w:r>
      <w:r w:rsidR="00524FF0" w:rsidRPr="003C4983">
        <w:rPr>
          <w:rFonts w:hint="cs"/>
          <w:sz w:val="26"/>
          <w:szCs w:val="26"/>
          <w:rtl/>
          <w:lang w:val="fr-CA"/>
        </w:rPr>
        <w:t xml:space="preserve"> المتبقي</w:t>
      </w:r>
      <w:r w:rsidRPr="003C4983">
        <w:rPr>
          <w:rFonts w:hint="cs"/>
          <w:sz w:val="26"/>
          <w:szCs w:val="26"/>
          <w:rtl/>
          <w:lang w:val="fr-CA"/>
        </w:rPr>
        <w:t xml:space="preserve"> المؤهل لتحقيق الإزالة التدريجية التامة للمواد الهيدروكلوروفلوروكربونية </w:t>
      </w:r>
      <w:r w:rsidR="00524FF0" w:rsidRPr="003C4983">
        <w:rPr>
          <w:rFonts w:hint="cs"/>
          <w:sz w:val="26"/>
          <w:szCs w:val="26"/>
          <w:rtl/>
          <w:lang w:val="fr-CA"/>
        </w:rPr>
        <w:t xml:space="preserve">هو </w:t>
      </w:r>
      <w:r w:rsidRPr="003C4983">
        <w:rPr>
          <w:rFonts w:hint="cs"/>
          <w:sz w:val="26"/>
          <w:szCs w:val="26"/>
          <w:rtl/>
          <w:lang w:val="fr-CA"/>
        </w:rPr>
        <w:t>420,000 دولار أمريكي مع العلم أنّه سبق وتمّ إقرار مبلغ 530,000 دولار أمريكي للمرحلة الأولى من خطة إدارة إزالة المواد الهيدروكلوروفلوروكربونية.</w:t>
      </w:r>
    </w:p>
    <w:p w14:paraId="5091467E" w14:textId="77777777" w:rsidR="00B45BA5" w:rsidRPr="003C4983" w:rsidRDefault="00B45BA5" w:rsidP="00B45BA5">
      <w:pPr>
        <w:pStyle w:val="Heading1"/>
        <w:bidi/>
        <w:rPr>
          <w:sz w:val="26"/>
          <w:szCs w:val="26"/>
          <w:lang w:val="fr-CA"/>
        </w:rPr>
      </w:pPr>
      <w:r w:rsidRPr="003C4983">
        <w:rPr>
          <w:rFonts w:hint="cs"/>
          <w:sz w:val="26"/>
          <w:szCs w:val="26"/>
          <w:rtl/>
          <w:lang w:val="fr-CA"/>
        </w:rPr>
        <w:t>وعلى هذا الأساس، يتمّ تحيين الاتفاق المبرم بين غينيا واللجنة التنفيذية على النحو التالي:</w:t>
      </w:r>
    </w:p>
    <w:p w14:paraId="704A21AB" w14:textId="77777777" w:rsidR="00F1212F" w:rsidRPr="003C4983" w:rsidRDefault="00B45BA5" w:rsidP="00F1212F">
      <w:pPr>
        <w:pStyle w:val="Heading1"/>
        <w:numPr>
          <w:ilvl w:val="0"/>
          <w:numId w:val="33"/>
        </w:numPr>
        <w:bidi/>
        <w:rPr>
          <w:sz w:val="26"/>
          <w:szCs w:val="26"/>
          <w:lang w:val="fr-CA"/>
        </w:rPr>
      </w:pPr>
      <w:r w:rsidRPr="003C4983">
        <w:rPr>
          <w:rFonts w:hint="cs"/>
          <w:sz w:val="26"/>
          <w:szCs w:val="26"/>
          <w:rtl/>
          <w:lang w:val="fr-CA"/>
        </w:rPr>
        <w:t>في الفقرة 1، هدف الحد الأقصى للاستهلاك المسموح به بحلول عام 2020؛</w:t>
      </w:r>
    </w:p>
    <w:p w14:paraId="66FA8B6A" w14:textId="77777777" w:rsidR="00F1212F" w:rsidRPr="003C4983" w:rsidRDefault="00B45BA5" w:rsidP="00F1212F">
      <w:pPr>
        <w:pStyle w:val="Heading1"/>
        <w:numPr>
          <w:ilvl w:val="0"/>
          <w:numId w:val="33"/>
        </w:numPr>
        <w:bidi/>
        <w:rPr>
          <w:sz w:val="26"/>
          <w:szCs w:val="26"/>
          <w:rtl/>
          <w:lang w:val="fr-CA"/>
        </w:rPr>
      </w:pPr>
      <w:r w:rsidRPr="003C4983">
        <w:rPr>
          <w:rFonts w:hint="cs"/>
          <w:sz w:val="26"/>
          <w:szCs w:val="26"/>
          <w:rtl/>
          <w:lang w:val="fr-CA"/>
        </w:rPr>
        <w:t xml:space="preserve">في التذييل 1-أ، </w:t>
      </w:r>
      <w:r w:rsidR="00F1212F" w:rsidRPr="003C4983">
        <w:rPr>
          <w:rFonts w:hint="cs"/>
          <w:sz w:val="26"/>
          <w:szCs w:val="26"/>
          <w:rtl/>
          <w:lang w:val="fr-CA"/>
        </w:rPr>
        <w:t xml:space="preserve">نقطة البداية المعدلة؛ </w:t>
      </w:r>
    </w:p>
    <w:p w14:paraId="34C349BC" w14:textId="77777777" w:rsidR="00F1212F" w:rsidRPr="003C4983" w:rsidRDefault="00B45BA5" w:rsidP="00D7415D">
      <w:pPr>
        <w:pStyle w:val="Heading1"/>
        <w:numPr>
          <w:ilvl w:val="0"/>
          <w:numId w:val="33"/>
        </w:numPr>
        <w:bidi/>
        <w:rPr>
          <w:sz w:val="26"/>
          <w:szCs w:val="26"/>
          <w:rtl/>
          <w:lang w:val="fr-CA"/>
        </w:rPr>
      </w:pPr>
      <w:r w:rsidRPr="003C4983">
        <w:rPr>
          <w:rFonts w:hint="cs"/>
          <w:sz w:val="26"/>
          <w:szCs w:val="26"/>
          <w:rtl/>
          <w:lang w:val="fr-CA"/>
        </w:rPr>
        <w:t>في التذييل 2-أ</w:t>
      </w:r>
      <w:r w:rsidR="00F1212F" w:rsidRPr="003C4983">
        <w:rPr>
          <w:rFonts w:hint="cs"/>
          <w:sz w:val="26"/>
          <w:szCs w:val="26"/>
          <w:rtl/>
          <w:lang w:val="fr-CA"/>
        </w:rPr>
        <w:t xml:space="preserve">، الأهداف المعدلة للحد الأقصى للاستهلاك المسموح به للمرحلة الأولى والشريحة الثالثة المعدلة وإلغاء الشريحتين الرابعة والخامسة والتمديد إلى 31 يوليو/تموز 2022 والاستهلاك </w:t>
      </w:r>
      <w:r w:rsidR="00D7415D" w:rsidRPr="003C4983">
        <w:rPr>
          <w:rFonts w:hint="cs"/>
          <w:sz w:val="26"/>
          <w:szCs w:val="26"/>
          <w:rtl/>
          <w:lang w:val="fr-CA"/>
        </w:rPr>
        <w:t>المتبقي المحيّن المؤهل</w:t>
      </w:r>
      <w:r w:rsidR="005F3511" w:rsidRPr="003C4983">
        <w:rPr>
          <w:rFonts w:hint="cs"/>
          <w:sz w:val="26"/>
          <w:szCs w:val="26"/>
          <w:rtl/>
          <w:lang w:val="fr-CA"/>
        </w:rPr>
        <w:t xml:space="preserve"> للتمويل</w:t>
      </w:r>
      <w:r w:rsidR="00F1212F" w:rsidRPr="003C4983">
        <w:rPr>
          <w:rFonts w:hint="cs"/>
          <w:sz w:val="26"/>
          <w:szCs w:val="26"/>
          <w:rtl/>
          <w:lang w:val="fr-CA"/>
        </w:rPr>
        <w:t>؛</w:t>
      </w:r>
    </w:p>
    <w:p w14:paraId="42F07E2C" w14:textId="77777777" w:rsidR="00F1212F" w:rsidRPr="003C4983" w:rsidRDefault="00F1212F" w:rsidP="005F3511">
      <w:pPr>
        <w:pStyle w:val="ListParagraph"/>
        <w:numPr>
          <w:ilvl w:val="0"/>
          <w:numId w:val="33"/>
        </w:numPr>
        <w:bidi/>
        <w:rPr>
          <w:sz w:val="26"/>
          <w:szCs w:val="26"/>
          <w:lang w:val="fr-CA"/>
        </w:rPr>
      </w:pPr>
      <w:r w:rsidRPr="003C4983">
        <w:rPr>
          <w:rFonts w:hint="cs"/>
          <w:sz w:val="26"/>
          <w:szCs w:val="26"/>
          <w:rtl/>
          <w:lang w:val="fr-CA"/>
        </w:rPr>
        <w:t>في التذييل 2-أ وزيادة على التعديلات أعلاه وتماشيا مع المقررين 66/</w:t>
      </w:r>
      <w:r w:rsidR="004C1829" w:rsidRPr="003C4983">
        <w:rPr>
          <w:rFonts w:hint="cs"/>
          <w:sz w:val="26"/>
          <w:szCs w:val="26"/>
          <w:rtl/>
          <w:lang w:val="fr-CA"/>
        </w:rPr>
        <w:t xml:space="preserve">17(ج) و67/15(ب)(1)، </w:t>
      </w:r>
      <w:r w:rsidR="00D7415D" w:rsidRPr="003C4983">
        <w:rPr>
          <w:rFonts w:hint="cs"/>
          <w:sz w:val="26"/>
          <w:szCs w:val="26"/>
          <w:rtl/>
          <w:lang w:val="fr-CA"/>
        </w:rPr>
        <w:t xml:space="preserve">تصحيح </w:t>
      </w:r>
      <w:r w:rsidRPr="003C4983">
        <w:rPr>
          <w:rFonts w:hint="cs"/>
          <w:sz w:val="26"/>
          <w:szCs w:val="26"/>
          <w:rtl/>
          <w:lang w:val="fr-CA"/>
        </w:rPr>
        <w:t>رسوم الوكالة ل</w:t>
      </w:r>
      <w:r w:rsidR="005F3511" w:rsidRPr="003C4983">
        <w:rPr>
          <w:rFonts w:hint="cs"/>
          <w:sz w:val="26"/>
          <w:szCs w:val="26"/>
          <w:rtl/>
          <w:lang w:val="fr-CA"/>
        </w:rPr>
        <w:t>حصة</w:t>
      </w:r>
      <w:r w:rsidRPr="003C4983">
        <w:rPr>
          <w:rFonts w:hint="cs"/>
          <w:sz w:val="26"/>
          <w:szCs w:val="26"/>
          <w:rtl/>
          <w:lang w:val="fr-CA"/>
        </w:rPr>
        <w:t xml:space="preserve"> منظمة الأمم المتحدة للتنمية الصناعية من خطة إدارة إزالة المواد الهيدروكلوروفلوروكربونية في غينيا إلى 7 في المائة حتى تكون مطابقة لجدول التكاليف الإدارية التي اعتمدها الاجتماع السادس والستون</w:t>
      </w:r>
      <w:r w:rsidRPr="003C4983">
        <w:rPr>
          <w:rStyle w:val="FootnoteReference"/>
          <w:sz w:val="26"/>
          <w:szCs w:val="26"/>
          <w:rtl/>
          <w:lang w:val="fr-CA"/>
        </w:rPr>
        <w:footnoteReference w:id="7"/>
      </w:r>
      <w:r w:rsidRPr="003C4983">
        <w:rPr>
          <w:rFonts w:hint="cs"/>
          <w:sz w:val="26"/>
          <w:szCs w:val="26"/>
          <w:rtl/>
          <w:lang w:val="fr-CA"/>
        </w:rPr>
        <w:t>؛</w:t>
      </w:r>
    </w:p>
    <w:p w14:paraId="1F2545C3" w14:textId="77777777" w:rsidR="00F1212F" w:rsidRPr="003C4983" w:rsidRDefault="00F1212F" w:rsidP="00F1212F">
      <w:pPr>
        <w:pStyle w:val="ListParagraph"/>
        <w:bidi/>
        <w:ind w:left="1073"/>
        <w:rPr>
          <w:sz w:val="26"/>
          <w:szCs w:val="26"/>
          <w:lang w:val="fr-CA"/>
        </w:rPr>
      </w:pPr>
    </w:p>
    <w:p w14:paraId="73F21344" w14:textId="77777777" w:rsidR="00F1212F" w:rsidRPr="003C4983" w:rsidRDefault="004C1829" w:rsidP="005F3511">
      <w:pPr>
        <w:pStyle w:val="ListParagraph"/>
        <w:numPr>
          <w:ilvl w:val="0"/>
          <w:numId w:val="33"/>
        </w:numPr>
        <w:bidi/>
        <w:rPr>
          <w:sz w:val="26"/>
          <w:szCs w:val="26"/>
          <w:lang w:val="fr-CA"/>
        </w:rPr>
      </w:pPr>
      <w:r w:rsidRPr="003C4983">
        <w:rPr>
          <w:rFonts w:hint="cs"/>
          <w:sz w:val="26"/>
          <w:szCs w:val="26"/>
          <w:rtl/>
          <w:lang w:val="fr-CA"/>
        </w:rPr>
        <w:t xml:space="preserve">في التذييل 7-أ، </w:t>
      </w:r>
      <w:r w:rsidR="00D7415D" w:rsidRPr="003C4983">
        <w:rPr>
          <w:rFonts w:hint="cs"/>
          <w:sz w:val="26"/>
          <w:szCs w:val="26"/>
          <w:rtl/>
          <w:lang w:val="fr-CA"/>
        </w:rPr>
        <w:t xml:space="preserve">تصحيح </w:t>
      </w:r>
      <w:r w:rsidR="005F3511" w:rsidRPr="003C4983">
        <w:rPr>
          <w:rFonts w:hint="cs"/>
          <w:sz w:val="26"/>
          <w:szCs w:val="26"/>
          <w:rtl/>
          <w:lang w:val="fr-CA"/>
        </w:rPr>
        <w:t>أسلوب ت</w:t>
      </w:r>
      <w:r w:rsidR="00F1212F" w:rsidRPr="003C4983">
        <w:rPr>
          <w:rFonts w:hint="cs"/>
          <w:sz w:val="26"/>
          <w:szCs w:val="26"/>
          <w:rtl/>
          <w:lang w:val="fr-CA"/>
        </w:rPr>
        <w:t>خف</w:t>
      </w:r>
      <w:r w:rsidR="005F3511" w:rsidRPr="003C4983">
        <w:rPr>
          <w:rFonts w:hint="cs"/>
          <w:sz w:val="26"/>
          <w:szCs w:val="26"/>
          <w:rtl/>
          <w:lang w:val="fr-CA"/>
        </w:rPr>
        <w:t>ي</w:t>
      </w:r>
      <w:r w:rsidR="00F1212F" w:rsidRPr="003C4983">
        <w:rPr>
          <w:rFonts w:hint="cs"/>
          <w:sz w:val="26"/>
          <w:szCs w:val="26"/>
          <w:rtl/>
          <w:lang w:val="fr-CA"/>
        </w:rPr>
        <w:t xml:space="preserve">ض التمويل </w:t>
      </w:r>
      <w:r w:rsidR="00D7415D" w:rsidRPr="003C4983">
        <w:rPr>
          <w:rFonts w:hint="cs"/>
          <w:sz w:val="26"/>
          <w:szCs w:val="26"/>
          <w:rtl/>
          <w:lang w:val="fr-CA"/>
        </w:rPr>
        <w:t xml:space="preserve">في حال </w:t>
      </w:r>
      <w:r w:rsidR="00F1212F" w:rsidRPr="003C4983">
        <w:rPr>
          <w:rFonts w:hint="cs"/>
          <w:sz w:val="26"/>
          <w:szCs w:val="26"/>
          <w:rtl/>
          <w:lang w:val="fr-CA"/>
        </w:rPr>
        <w:t>الفشل في الامتثال ليعادل القيمة ال</w:t>
      </w:r>
      <w:r w:rsidR="00D7415D" w:rsidRPr="003C4983">
        <w:rPr>
          <w:rFonts w:hint="cs"/>
          <w:sz w:val="26"/>
          <w:szCs w:val="26"/>
          <w:rtl/>
          <w:lang w:val="fr-CA"/>
        </w:rPr>
        <w:t>تي تنسحب على البلدان ذات حجم الاستهلاك المنخفض</w:t>
      </w:r>
      <w:r w:rsidR="00F1212F" w:rsidRPr="003C4983">
        <w:rPr>
          <w:rFonts w:hint="cs"/>
          <w:sz w:val="26"/>
          <w:szCs w:val="26"/>
          <w:rtl/>
          <w:lang w:val="fr-CA"/>
        </w:rPr>
        <w:t xml:space="preserve"> أي 180 دولار أمريكي للكيلو</w:t>
      </w:r>
      <w:r w:rsidR="00D7415D" w:rsidRPr="003C4983">
        <w:rPr>
          <w:rFonts w:hint="cs"/>
          <w:sz w:val="26"/>
          <w:szCs w:val="26"/>
          <w:rtl/>
          <w:lang w:val="fr-CA"/>
        </w:rPr>
        <w:t>غرام</w:t>
      </w:r>
      <w:r w:rsidR="00F1212F" w:rsidRPr="003C4983">
        <w:rPr>
          <w:rFonts w:hint="cs"/>
          <w:sz w:val="26"/>
          <w:szCs w:val="26"/>
          <w:rtl/>
          <w:lang w:val="fr-CA"/>
        </w:rPr>
        <w:t>.</w:t>
      </w:r>
    </w:p>
    <w:p w14:paraId="28DA1835" w14:textId="77777777" w:rsidR="004C1829" w:rsidRPr="003C4983" w:rsidRDefault="004C1829" w:rsidP="004C1829">
      <w:pPr>
        <w:pStyle w:val="ListParagraph"/>
        <w:rPr>
          <w:sz w:val="26"/>
          <w:szCs w:val="26"/>
          <w:rtl/>
          <w:lang w:val="fr-CA"/>
        </w:rPr>
      </w:pPr>
    </w:p>
    <w:p w14:paraId="51DF7083" w14:textId="77777777" w:rsidR="00F1212F" w:rsidRPr="003C4983" w:rsidRDefault="00F1212F" w:rsidP="004C1829">
      <w:pPr>
        <w:pStyle w:val="Heading1"/>
        <w:bidi/>
        <w:rPr>
          <w:sz w:val="26"/>
          <w:szCs w:val="26"/>
          <w:lang w:val="fr-CA"/>
        </w:rPr>
      </w:pPr>
      <w:r w:rsidRPr="003C4983">
        <w:rPr>
          <w:rFonts w:hint="cs"/>
          <w:sz w:val="26"/>
          <w:szCs w:val="26"/>
          <w:rtl/>
          <w:lang w:val="fr-CA"/>
        </w:rPr>
        <w:lastRenderedPageBreak/>
        <w:t xml:space="preserve">في المرفق الأول من هذه المذكرة التعديلات </w:t>
      </w:r>
      <w:r w:rsidR="004C1829" w:rsidRPr="003C4983">
        <w:rPr>
          <w:rFonts w:hint="cs"/>
          <w:sz w:val="26"/>
          <w:szCs w:val="26"/>
          <w:rtl/>
          <w:lang w:val="fr-CA"/>
        </w:rPr>
        <w:t>المشار إليها في الفقرة 27. كما ت</w:t>
      </w:r>
      <w:r w:rsidRPr="003C4983">
        <w:rPr>
          <w:rFonts w:hint="cs"/>
          <w:sz w:val="26"/>
          <w:szCs w:val="26"/>
          <w:rtl/>
          <w:lang w:val="fr-CA"/>
        </w:rPr>
        <w:t xml:space="preserve">رد فيه </w:t>
      </w:r>
      <w:r w:rsidR="004C1829" w:rsidRPr="003C4983">
        <w:rPr>
          <w:rFonts w:hint="cs"/>
          <w:sz w:val="26"/>
          <w:szCs w:val="26"/>
          <w:rtl/>
          <w:lang w:val="fr-CA"/>
        </w:rPr>
        <w:t>ال</w:t>
      </w:r>
      <w:r w:rsidRPr="003C4983">
        <w:rPr>
          <w:rFonts w:hint="cs"/>
          <w:sz w:val="26"/>
          <w:szCs w:val="26"/>
          <w:rtl/>
          <w:lang w:val="fr-CA"/>
        </w:rPr>
        <w:t xml:space="preserve">فقرة 16 </w:t>
      </w:r>
      <w:r w:rsidR="004C1829" w:rsidRPr="003C4983">
        <w:rPr>
          <w:rFonts w:hint="cs"/>
          <w:sz w:val="26"/>
          <w:szCs w:val="26"/>
          <w:rtl/>
          <w:lang w:val="fr-CA"/>
        </w:rPr>
        <w:t>ال</w:t>
      </w:r>
      <w:r w:rsidRPr="003C4983">
        <w:rPr>
          <w:rFonts w:hint="cs"/>
          <w:sz w:val="26"/>
          <w:szCs w:val="26"/>
          <w:rtl/>
          <w:lang w:val="fr-CA"/>
        </w:rPr>
        <w:t xml:space="preserve">مستحدثة </w:t>
      </w:r>
      <w:r w:rsidR="004C1829" w:rsidRPr="003C4983">
        <w:rPr>
          <w:rFonts w:hint="cs"/>
          <w:sz w:val="26"/>
          <w:szCs w:val="26"/>
          <w:rtl/>
          <w:lang w:val="fr-CA"/>
        </w:rPr>
        <w:t xml:space="preserve">والتي </w:t>
      </w:r>
      <w:r w:rsidRPr="003C4983">
        <w:rPr>
          <w:rFonts w:hint="cs"/>
          <w:sz w:val="26"/>
          <w:szCs w:val="26"/>
          <w:rtl/>
          <w:lang w:val="fr-CA"/>
        </w:rPr>
        <w:t xml:space="preserve">تنصّ على </w:t>
      </w:r>
      <w:r w:rsidR="00D7415D" w:rsidRPr="003C4983">
        <w:rPr>
          <w:rFonts w:hint="cs"/>
          <w:sz w:val="26"/>
          <w:szCs w:val="26"/>
          <w:rtl/>
          <w:lang w:val="fr-CA"/>
        </w:rPr>
        <w:t xml:space="preserve">أنّ </w:t>
      </w:r>
      <w:r w:rsidRPr="003C4983">
        <w:rPr>
          <w:rFonts w:hint="cs"/>
          <w:sz w:val="26"/>
          <w:szCs w:val="26"/>
          <w:rtl/>
          <w:lang w:val="fr-CA"/>
        </w:rPr>
        <w:t>الاتفاق الجديد يحلّ محل ذاك الذي توصلت إليه غينيا واللجنة التنفيذية في الاجتماع السادس والستين. ويرف</w:t>
      </w:r>
      <w:r w:rsidR="00D7415D" w:rsidRPr="003C4983">
        <w:rPr>
          <w:rFonts w:hint="cs"/>
          <w:sz w:val="26"/>
          <w:szCs w:val="26"/>
          <w:rtl/>
          <w:lang w:val="fr-CA"/>
        </w:rPr>
        <w:t>ق نص الاتفاق الجديد بالكامل ب</w:t>
      </w:r>
      <w:r w:rsidRPr="003C4983">
        <w:rPr>
          <w:rFonts w:hint="cs"/>
          <w:sz w:val="26"/>
          <w:szCs w:val="26"/>
          <w:rtl/>
          <w:lang w:val="fr-CA"/>
        </w:rPr>
        <w:t>التقرير النهائي عن الاجتماع الخامس والثمانين.</w:t>
      </w:r>
    </w:p>
    <w:p w14:paraId="03EC2178" w14:textId="77777777" w:rsidR="00F1212F" w:rsidRPr="003C4983" w:rsidRDefault="00F1212F" w:rsidP="00F1212F">
      <w:pPr>
        <w:pStyle w:val="Heading1"/>
        <w:numPr>
          <w:ilvl w:val="0"/>
          <w:numId w:val="0"/>
        </w:numPr>
        <w:bidi/>
        <w:rPr>
          <w:sz w:val="26"/>
          <w:szCs w:val="26"/>
          <w:u w:val="single"/>
          <w:rtl/>
          <w:lang w:val="fr-CA" w:bidi="ar-SA"/>
        </w:rPr>
      </w:pPr>
      <w:r w:rsidRPr="003C4983">
        <w:rPr>
          <w:rFonts w:hint="cs"/>
          <w:sz w:val="26"/>
          <w:szCs w:val="26"/>
          <w:u w:val="single"/>
          <w:rtl/>
          <w:lang w:val="fr-CA" w:bidi="ar-SA"/>
        </w:rPr>
        <w:t>استدامة الإزالة التدريجية للمواد الهيدروكلوروفلوروكربونية</w:t>
      </w:r>
    </w:p>
    <w:p w14:paraId="14CC9DD6" w14:textId="77777777" w:rsidR="00F1212F" w:rsidRPr="003C4983" w:rsidRDefault="009940D1" w:rsidP="004C1829">
      <w:pPr>
        <w:pStyle w:val="Heading1"/>
        <w:bidi/>
        <w:rPr>
          <w:sz w:val="26"/>
          <w:szCs w:val="26"/>
          <w:rtl/>
          <w:lang w:val="fr-CA" w:bidi="ar-SA"/>
        </w:rPr>
      </w:pPr>
      <w:r w:rsidRPr="003C4983">
        <w:rPr>
          <w:rFonts w:hint="cs"/>
          <w:sz w:val="26"/>
          <w:szCs w:val="26"/>
          <w:rtl/>
          <w:lang w:val="fr-CA" w:bidi="ar-SA"/>
        </w:rPr>
        <w:t>لكفالة استدامة أنشطة خطة إدار</w:t>
      </w:r>
      <w:r w:rsidR="00D7415D" w:rsidRPr="003C4983">
        <w:rPr>
          <w:rFonts w:hint="cs"/>
          <w:sz w:val="26"/>
          <w:szCs w:val="26"/>
          <w:rtl/>
          <w:lang w:val="fr-CA" w:bidi="ar-SA"/>
        </w:rPr>
        <w:t>ة إزالة المواد الهيدروكلوروفلوروكربونية</w:t>
      </w:r>
      <w:r w:rsidRPr="003C4983">
        <w:rPr>
          <w:rFonts w:hint="cs"/>
          <w:sz w:val="26"/>
          <w:szCs w:val="26"/>
          <w:rtl/>
          <w:lang w:val="fr-CA" w:bidi="ar-SA"/>
        </w:rPr>
        <w:t>، ستتعاون وحدة الأوزون الوطنية مع مدرسة التدريب الرئيسية في قطاع التبريد وتكييف الهواء على تضمين المنا</w:t>
      </w:r>
      <w:r w:rsidR="00D7415D" w:rsidRPr="003C4983">
        <w:rPr>
          <w:rFonts w:hint="cs"/>
          <w:sz w:val="26"/>
          <w:szCs w:val="26"/>
          <w:rtl/>
          <w:lang w:val="fr-CA" w:bidi="ar-SA"/>
        </w:rPr>
        <w:t>ه</w:t>
      </w:r>
      <w:r w:rsidRPr="003C4983">
        <w:rPr>
          <w:rFonts w:hint="cs"/>
          <w:sz w:val="26"/>
          <w:szCs w:val="26"/>
          <w:rtl/>
          <w:lang w:val="fr-CA" w:bidi="ar-SA"/>
        </w:rPr>
        <w:t xml:space="preserve">ج التعليمية المواد المتصلة بالممارسات الجيدة في قطاع التبريد والاستخدام المأمون لغازات التبريد القابلة للاشتعال أو السامة. </w:t>
      </w:r>
      <w:r w:rsidR="004C1829" w:rsidRPr="003C4983">
        <w:rPr>
          <w:rFonts w:hint="cs"/>
          <w:sz w:val="26"/>
          <w:szCs w:val="26"/>
          <w:rtl/>
          <w:lang w:val="fr-CA" w:bidi="ar-SA"/>
        </w:rPr>
        <w:t>سيساعد</w:t>
      </w:r>
      <w:r w:rsidRPr="003C4983">
        <w:rPr>
          <w:rFonts w:hint="cs"/>
          <w:sz w:val="26"/>
          <w:szCs w:val="26"/>
          <w:rtl/>
          <w:lang w:val="fr-CA" w:bidi="ar-SA"/>
        </w:rPr>
        <w:t xml:space="preserve"> تدريب فنيي قطاع التبريد</w:t>
      </w:r>
      <w:r w:rsidR="004C1829" w:rsidRPr="003C4983">
        <w:rPr>
          <w:rFonts w:hint="cs"/>
          <w:sz w:val="26"/>
          <w:szCs w:val="26"/>
          <w:rtl/>
          <w:lang w:val="fr-CA" w:bidi="ar-SA"/>
        </w:rPr>
        <w:t>،</w:t>
      </w:r>
      <w:r w:rsidRPr="003C4983">
        <w:rPr>
          <w:rFonts w:hint="cs"/>
          <w:sz w:val="26"/>
          <w:szCs w:val="26"/>
          <w:rtl/>
          <w:lang w:val="fr-CA" w:bidi="ar-SA"/>
        </w:rPr>
        <w:t xml:space="preserve"> لا سيما على</w:t>
      </w:r>
      <w:r w:rsidR="004C1829" w:rsidRPr="003C4983">
        <w:rPr>
          <w:rFonts w:hint="cs"/>
          <w:sz w:val="26"/>
          <w:szCs w:val="26"/>
          <w:rtl/>
          <w:lang w:val="fr-CA" w:bidi="ar-SA"/>
        </w:rPr>
        <w:t xml:space="preserve"> استخدام المعدات والأدوات التي </w:t>
      </w:r>
      <w:r w:rsidRPr="003C4983">
        <w:rPr>
          <w:rFonts w:hint="cs"/>
          <w:sz w:val="26"/>
          <w:szCs w:val="26"/>
          <w:rtl/>
          <w:lang w:val="fr-CA" w:bidi="ar-SA"/>
        </w:rPr>
        <w:t>يتم</w:t>
      </w:r>
      <w:r w:rsidR="00D7415D" w:rsidRPr="003C4983">
        <w:rPr>
          <w:rFonts w:hint="cs"/>
          <w:sz w:val="26"/>
          <w:szCs w:val="26"/>
          <w:rtl/>
          <w:lang w:val="fr-CA" w:bidi="ar-SA"/>
        </w:rPr>
        <w:t>ّ شراؤها</w:t>
      </w:r>
      <w:r w:rsidR="004C1829" w:rsidRPr="003C4983">
        <w:rPr>
          <w:rFonts w:hint="cs"/>
          <w:sz w:val="26"/>
          <w:szCs w:val="26"/>
          <w:rtl/>
          <w:lang w:val="fr-CA" w:bidi="ar-SA"/>
        </w:rPr>
        <w:t xml:space="preserve">، </w:t>
      </w:r>
      <w:r w:rsidR="00D7415D" w:rsidRPr="003C4983">
        <w:rPr>
          <w:rFonts w:hint="cs"/>
          <w:sz w:val="26"/>
          <w:szCs w:val="26"/>
          <w:rtl/>
          <w:lang w:val="fr-CA" w:bidi="ar-SA"/>
        </w:rPr>
        <w:t xml:space="preserve">على </w:t>
      </w:r>
      <w:r w:rsidRPr="003C4983">
        <w:rPr>
          <w:rFonts w:hint="cs"/>
          <w:sz w:val="26"/>
          <w:szCs w:val="26"/>
          <w:rtl/>
          <w:lang w:val="fr-CA" w:bidi="ar-SA"/>
        </w:rPr>
        <w:t xml:space="preserve">استرداد غازات التبريد وإعادة استخدامها والحدّ من تسرب غازات التبريد في خلال صيانة أجهزة التبريد وتكييف الهواء وإصلاحها والحدّ من استهلاك الهيدروكلوروفلوروكربون-22 والإدارة المأمونة لغازات التبريد البديلة. وبما أنّ الوضع الراهن لقطاع التبريد وتكييف الهواء في البلاد لا يسمح </w:t>
      </w:r>
      <w:r w:rsidR="005F3511" w:rsidRPr="003C4983">
        <w:rPr>
          <w:rFonts w:hint="cs"/>
          <w:sz w:val="26"/>
          <w:szCs w:val="26"/>
          <w:rtl/>
          <w:lang w:val="fr-CA" w:bidi="ar-SA"/>
        </w:rPr>
        <w:t xml:space="preserve">باتخاذ </w:t>
      </w:r>
      <w:r w:rsidRPr="003C4983">
        <w:rPr>
          <w:rFonts w:hint="cs"/>
          <w:sz w:val="26"/>
          <w:szCs w:val="26"/>
          <w:rtl/>
          <w:lang w:val="fr-CA" w:bidi="ar-SA"/>
        </w:rPr>
        <w:t xml:space="preserve">إجراءات لمنح الشهادات، إلا أنّ السلطات العامة ستواصل بناء قدرات معاهد التدريب ومراكز </w:t>
      </w:r>
      <w:r w:rsidR="00524FF0" w:rsidRPr="003C4983">
        <w:rPr>
          <w:rFonts w:hint="cs"/>
          <w:sz w:val="26"/>
          <w:szCs w:val="26"/>
          <w:rtl/>
          <w:lang w:val="fr-CA" w:bidi="ar-SA"/>
        </w:rPr>
        <w:t>الامتياز</w:t>
      </w:r>
      <w:r w:rsidRPr="003C4983">
        <w:rPr>
          <w:rFonts w:hint="cs"/>
          <w:sz w:val="26"/>
          <w:szCs w:val="26"/>
          <w:rtl/>
          <w:lang w:val="fr-CA" w:bidi="ar-SA"/>
        </w:rPr>
        <w:t xml:space="preserve"> وجمعية فنيي تكييف الهواء.</w:t>
      </w:r>
    </w:p>
    <w:p w14:paraId="08CFD8C9" w14:textId="77777777" w:rsidR="00CB5489" w:rsidRPr="003C4983" w:rsidRDefault="00CB5489" w:rsidP="00F1212F">
      <w:pPr>
        <w:bidi/>
        <w:rPr>
          <w:sz w:val="26"/>
          <w:szCs w:val="26"/>
          <w:u w:val="single"/>
          <w:rtl/>
          <w:lang w:val="fr-CA" w:bidi="ar-SA"/>
        </w:rPr>
      </w:pPr>
      <w:r w:rsidRPr="003C4983">
        <w:rPr>
          <w:rFonts w:hint="cs"/>
          <w:sz w:val="26"/>
          <w:szCs w:val="26"/>
          <w:u w:val="single"/>
          <w:rtl/>
          <w:lang w:val="fr-CA" w:bidi="ar-SA"/>
        </w:rPr>
        <w:t>تنفيذ السياسة الجنسانية</w:t>
      </w:r>
      <w:r w:rsidRPr="003C4983">
        <w:rPr>
          <w:rStyle w:val="FootnoteReference"/>
          <w:sz w:val="26"/>
          <w:szCs w:val="26"/>
          <w:rtl/>
          <w:lang w:val="fr-CA" w:bidi="ar-SA"/>
        </w:rPr>
        <w:footnoteReference w:id="8"/>
      </w:r>
    </w:p>
    <w:p w14:paraId="28BC59C8" w14:textId="77777777" w:rsidR="00CB5489" w:rsidRPr="003C4983" w:rsidRDefault="00CB5489" w:rsidP="00CB5489">
      <w:pPr>
        <w:bidi/>
        <w:rPr>
          <w:sz w:val="26"/>
          <w:szCs w:val="26"/>
          <w:lang w:val="fr-CA" w:bidi="ar-SA"/>
        </w:rPr>
      </w:pPr>
    </w:p>
    <w:p w14:paraId="5CCD216D" w14:textId="77777777" w:rsidR="00CB5489" w:rsidRPr="003C4983" w:rsidRDefault="009940D1" w:rsidP="00E6329D">
      <w:pPr>
        <w:pStyle w:val="Heading1"/>
        <w:bidi/>
        <w:rPr>
          <w:sz w:val="26"/>
          <w:szCs w:val="26"/>
          <w:u w:val="single"/>
          <w:lang w:val="fr-CA" w:bidi="ar-SA"/>
        </w:rPr>
      </w:pPr>
      <w:r w:rsidRPr="003C4983">
        <w:rPr>
          <w:rFonts w:hint="cs"/>
          <w:sz w:val="26"/>
          <w:szCs w:val="26"/>
          <w:rtl/>
          <w:lang w:val="fr-CA" w:bidi="ar-SA"/>
        </w:rPr>
        <w:t xml:space="preserve">في ما يتعلق بمراعاة المنظور الجنساني، </w:t>
      </w:r>
      <w:r w:rsidR="00E6329D" w:rsidRPr="003C4983">
        <w:rPr>
          <w:rFonts w:hint="cs"/>
          <w:sz w:val="26"/>
          <w:szCs w:val="26"/>
          <w:rtl/>
          <w:lang w:val="fr-CA" w:bidi="ar-SA"/>
        </w:rPr>
        <w:t xml:space="preserve">ستسعى وحدة الأوزون الوطنية في إطار المرحلة الأولى إلى النهوض بمشاركة النساء في ورش العمل التدريبية وإلى التوعية على أهمية بيئة عمل تراعي البعد الجنساني. سيستمر هذا النشاط في إطار المرحلة الثانية من خطة إدارة إزالة المواد الهيدروكلوروفلوروكربونية. </w:t>
      </w:r>
    </w:p>
    <w:p w14:paraId="44882F49" w14:textId="77777777" w:rsidR="00CB5489" w:rsidRPr="003C4983" w:rsidRDefault="00CB5489" w:rsidP="00CB5489">
      <w:pPr>
        <w:bidi/>
        <w:rPr>
          <w:sz w:val="26"/>
          <w:szCs w:val="26"/>
          <w:u w:val="single"/>
          <w:rtl/>
          <w:lang w:val="fr-CA" w:bidi="ar-SA"/>
        </w:rPr>
      </w:pPr>
      <w:r w:rsidRPr="003C4983">
        <w:rPr>
          <w:sz w:val="26"/>
          <w:szCs w:val="26"/>
          <w:u w:val="single"/>
          <w:rtl/>
          <w:lang w:val="fr-CA" w:bidi="ar-SA"/>
        </w:rPr>
        <w:t>الخلاصة</w:t>
      </w:r>
    </w:p>
    <w:p w14:paraId="378AD172" w14:textId="77777777" w:rsidR="00CB5489" w:rsidRPr="003C4983" w:rsidRDefault="00CB5489" w:rsidP="00CB5489">
      <w:pPr>
        <w:bidi/>
        <w:rPr>
          <w:sz w:val="26"/>
          <w:szCs w:val="26"/>
          <w:u w:val="single"/>
          <w:rtl/>
          <w:lang w:val="fr-CA" w:bidi="ar-SA"/>
        </w:rPr>
      </w:pPr>
    </w:p>
    <w:p w14:paraId="6391D8A8" w14:textId="77777777" w:rsidR="000B7AAB" w:rsidRPr="003C4983" w:rsidRDefault="000B7AAB" w:rsidP="004C1829">
      <w:pPr>
        <w:pStyle w:val="Heading1"/>
        <w:bidi/>
        <w:rPr>
          <w:sz w:val="26"/>
          <w:szCs w:val="26"/>
          <w:rtl/>
          <w:lang w:val="fr-CA" w:bidi="ar-SA"/>
        </w:rPr>
      </w:pPr>
      <w:r w:rsidRPr="003C4983">
        <w:rPr>
          <w:rFonts w:hint="cs"/>
          <w:sz w:val="26"/>
          <w:szCs w:val="26"/>
          <w:rtl/>
          <w:lang w:val="fr-CA" w:bidi="ar-SA"/>
        </w:rPr>
        <w:t xml:space="preserve">في عام 2019، </w:t>
      </w:r>
      <w:r w:rsidR="00E6329D" w:rsidRPr="003C4983">
        <w:rPr>
          <w:rFonts w:hint="cs"/>
          <w:sz w:val="26"/>
          <w:szCs w:val="26"/>
          <w:rtl/>
          <w:lang w:val="fr-CA" w:bidi="ar-SA"/>
        </w:rPr>
        <w:t xml:space="preserve">بلغ استهلاك غينيا </w:t>
      </w:r>
      <w:r w:rsidRPr="003C4983">
        <w:rPr>
          <w:rFonts w:hint="cs"/>
          <w:sz w:val="26"/>
          <w:szCs w:val="26"/>
          <w:rtl/>
          <w:lang w:val="fr-CA" w:bidi="ar-SA"/>
        </w:rPr>
        <w:t>من المواد الهيدروكلوروفلوروكربونية 1.92 طن من قدرات استنفاد الأوزون أي أقل بنسبة 72 في المائة من الاستهلاك المسموح به والمحدد بـ 6.75 طن من قدرات استنفاد الأوزون. لغينيا نظام حصص وتراخيص لضبط استيراد الهيدروكلوروفلوروكربون وتصديره وكان عاملا فاعلا في رقابة واردات هذه المواد إلى البلاد. وقد تمّ تصحيح مستوى التمويل وتعديل استراتيجية المرحلة الأولى من خطة إدارة إزالة المواد الهيدروكلوروفلوروكربونية بما يتماشى مع نقطة البداية المحيّنة</w:t>
      </w:r>
      <w:r w:rsidR="00224EE8" w:rsidRPr="003C4983">
        <w:rPr>
          <w:rFonts w:hint="cs"/>
          <w:sz w:val="26"/>
          <w:szCs w:val="26"/>
          <w:rtl/>
          <w:lang w:val="fr-CA" w:bidi="ar-SA"/>
        </w:rPr>
        <w:t xml:space="preserve"> والتي تعبر بصورة دقيقة عن</w:t>
      </w:r>
      <w:r w:rsidRPr="003C4983">
        <w:rPr>
          <w:rFonts w:hint="cs"/>
          <w:sz w:val="26"/>
          <w:szCs w:val="26"/>
          <w:rtl/>
          <w:lang w:val="fr-CA" w:bidi="ar-SA"/>
        </w:rPr>
        <w:t xml:space="preserve"> </w:t>
      </w:r>
      <w:r w:rsidR="00224EE8" w:rsidRPr="003C4983">
        <w:rPr>
          <w:rFonts w:hint="cs"/>
          <w:sz w:val="26"/>
          <w:szCs w:val="26"/>
          <w:rtl/>
          <w:lang w:val="fr-CA" w:bidi="ar-SA"/>
        </w:rPr>
        <w:t>ال</w:t>
      </w:r>
      <w:r w:rsidRPr="003C4983">
        <w:rPr>
          <w:rFonts w:hint="cs"/>
          <w:sz w:val="26"/>
          <w:szCs w:val="26"/>
          <w:rtl/>
          <w:lang w:val="fr-CA" w:bidi="ar-SA"/>
        </w:rPr>
        <w:t xml:space="preserve">استهلاك </w:t>
      </w:r>
      <w:r w:rsidR="00224EE8" w:rsidRPr="003C4983">
        <w:rPr>
          <w:rFonts w:hint="cs"/>
          <w:sz w:val="26"/>
          <w:szCs w:val="26"/>
          <w:rtl/>
          <w:lang w:val="fr-CA" w:bidi="ar-SA"/>
        </w:rPr>
        <w:t>الوطني الفعلي ل</w:t>
      </w:r>
      <w:r w:rsidRPr="003C4983">
        <w:rPr>
          <w:rFonts w:hint="cs"/>
          <w:sz w:val="26"/>
          <w:szCs w:val="26"/>
          <w:rtl/>
          <w:lang w:val="fr-CA" w:bidi="ar-SA"/>
        </w:rPr>
        <w:t xml:space="preserve">لمواد الهيدروكلوروفلوروكربونية. وبعد تأخير في التنفيذ يعزا إلى أكثر من سبب خارجي، </w:t>
      </w:r>
      <w:r w:rsidR="004C1829" w:rsidRPr="003C4983">
        <w:rPr>
          <w:rFonts w:hint="cs"/>
          <w:sz w:val="26"/>
          <w:szCs w:val="26"/>
          <w:rtl/>
          <w:lang w:val="fr-CA" w:bidi="ar-SA"/>
        </w:rPr>
        <w:t>لا سيما</w:t>
      </w:r>
      <w:r w:rsidRPr="003C4983">
        <w:rPr>
          <w:rFonts w:hint="cs"/>
          <w:sz w:val="26"/>
          <w:szCs w:val="26"/>
          <w:rtl/>
          <w:lang w:val="fr-CA" w:bidi="ar-SA"/>
        </w:rPr>
        <w:t xml:space="preserve"> </w:t>
      </w:r>
      <w:r w:rsidR="00224EE8" w:rsidRPr="003C4983">
        <w:rPr>
          <w:rFonts w:hint="cs"/>
          <w:sz w:val="26"/>
          <w:szCs w:val="26"/>
          <w:rtl/>
          <w:lang w:val="fr-CA" w:bidi="ar-SA"/>
        </w:rPr>
        <w:t>ال</w:t>
      </w:r>
      <w:r w:rsidRPr="003C4983">
        <w:rPr>
          <w:rFonts w:hint="cs"/>
          <w:sz w:val="26"/>
          <w:szCs w:val="26"/>
          <w:rtl/>
          <w:lang w:val="fr-CA" w:bidi="ar-SA"/>
        </w:rPr>
        <w:t xml:space="preserve">اضطراب في الوضع السياسي وجائحة إيبولا </w:t>
      </w:r>
      <w:r w:rsidR="005F3511" w:rsidRPr="003C4983">
        <w:rPr>
          <w:rFonts w:hint="cs"/>
          <w:sz w:val="26"/>
          <w:szCs w:val="26"/>
          <w:rtl/>
          <w:lang w:val="fr-CA" w:bidi="ar-SA"/>
        </w:rPr>
        <w:t>على مدى</w:t>
      </w:r>
      <w:r w:rsidRPr="003C4983">
        <w:rPr>
          <w:rFonts w:hint="cs"/>
          <w:sz w:val="26"/>
          <w:szCs w:val="26"/>
          <w:rtl/>
          <w:lang w:val="fr-CA" w:bidi="ar-SA"/>
        </w:rPr>
        <w:t xml:space="preserve"> سنوات</w:t>
      </w:r>
      <w:r w:rsidR="005F3511" w:rsidRPr="003C4983">
        <w:rPr>
          <w:rFonts w:hint="cs"/>
          <w:sz w:val="26"/>
          <w:szCs w:val="26"/>
          <w:rtl/>
          <w:lang w:val="fr-CA" w:bidi="ar-SA"/>
        </w:rPr>
        <w:t xml:space="preserve"> عدّة</w:t>
      </w:r>
      <w:r w:rsidR="00224EE8" w:rsidRPr="003C4983">
        <w:rPr>
          <w:rFonts w:hint="cs"/>
          <w:sz w:val="26"/>
          <w:szCs w:val="26"/>
          <w:rtl/>
          <w:lang w:val="fr-CA" w:bidi="ar-SA"/>
        </w:rPr>
        <w:t>،</w:t>
      </w:r>
      <w:r w:rsidRPr="003C4983">
        <w:rPr>
          <w:rFonts w:hint="cs"/>
          <w:sz w:val="26"/>
          <w:szCs w:val="26"/>
          <w:rtl/>
          <w:lang w:val="fr-CA" w:bidi="ar-SA"/>
        </w:rPr>
        <w:t xml:space="preserve"> والتغييرات في وحدة الأوزون الوطنية، عادت هذه الأخير</w:t>
      </w:r>
      <w:r w:rsidR="004C1829" w:rsidRPr="003C4983">
        <w:rPr>
          <w:rFonts w:hint="cs"/>
          <w:sz w:val="26"/>
          <w:szCs w:val="26"/>
          <w:rtl/>
          <w:lang w:val="fr-CA" w:bidi="ar-SA"/>
        </w:rPr>
        <w:t>ة إلى حالة التشغيل الكامل؛ كما ا</w:t>
      </w:r>
      <w:r w:rsidRPr="003C4983">
        <w:rPr>
          <w:rFonts w:hint="cs"/>
          <w:sz w:val="26"/>
          <w:szCs w:val="26"/>
          <w:rtl/>
          <w:lang w:val="fr-CA" w:bidi="ar-SA"/>
        </w:rPr>
        <w:t xml:space="preserve">ستمر تدريب ضباط الجمارك والشرطة فضلا عن فنيي الخدمة وكذلك بناء قدرات معاهد التدريب الرئيسية في قطاع التبريد وتكييف الهواء ومراكز </w:t>
      </w:r>
      <w:r w:rsidR="00524FF0" w:rsidRPr="003C4983">
        <w:rPr>
          <w:rFonts w:hint="cs"/>
          <w:sz w:val="26"/>
          <w:szCs w:val="26"/>
          <w:rtl/>
          <w:lang w:val="fr-CA" w:bidi="ar-SA"/>
        </w:rPr>
        <w:t>الامتياز</w:t>
      </w:r>
      <w:r w:rsidRPr="003C4983">
        <w:rPr>
          <w:rFonts w:hint="cs"/>
          <w:sz w:val="26"/>
          <w:szCs w:val="26"/>
          <w:rtl/>
          <w:lang w:val="fr-CA" w:bidi="ar-SA"/>
        </w:rPr>
        <w:t xml:space="preserve">. </w:t>
      </w:r>
      <w:r w:rsidR="004C1829" w:rsidRPr="003C4983">
        <w:rPr>
          <w:rFonts w:hint="cs"/>
          <w:sz w:val="26"/>
          <w:szCs w:val="26"/>
          <w:rtl/>
          <w:lang w:val="fr-CA" w:bidi="ar-SA"/>
        </w:rPr>
        <w:t>و</w:t>
      </w:r>
      <w:r w:rsidRPr="003C4983">
        <w:rPr>
          <w:rFonts w:hint="cs"/>
          <w:sz w:val="26"/>
          <w:szCs w:val="26"/>
          <w:rtl/>
          <w:lang w:val="fr-CA" w:bidi="ar-SA"/>
        </w:rPr>
        <w:t>تمّ صرف كل المبالغ المخصصة للشريحتين الأوليين بنسبة 100 في المائة</w:t>
      </w:r>
      <w:r w:rsidR="004C1829" w:rsidRPr="003C4983">
        <w:rPr>
          <w:rFonts w:hint="cs"/>
          <w:sz w:val="26"/>
          <w:szCs w:val="26"/>
          <w:rtl/>
          <w:lang w:val="fr-CA" w:bidi="ar-SA"/>
        </w:rPr>
        <w:t>. وإنّ أ</w:t>
      </w:r>
      <w:r w:rsidRPr="003C4983">
        <w:rPr>
          <w:rFonts w:hint="cs"/>
          <w:sz w:val="26"/>
          <w:szCs w:val="26"/>
          <w:rtl/>
          <w:lang w:val="fr-CA" w:bidi="ar-SA"/>
        </w:rPr>
        <w:t>قر</w:t>
      </w:r>
      <w:r w:rsidR="004C1829" w:rsidRPr="003C4983">
        <w:rPr>
          <w:rFonts w:hint="cs"/>
          <w:sz w:val="26"/>
          <w:szCs w:val="26"/>
          <w:rtl/>
          <w:lang w:val="fr-CA" w:bidi="ar-SA"/>
        </w:rPr>
        <w:t xml:space="preserve">ت </w:t>
      </w:r>
      <w:r w:rsidRPr="003C4983">
        <w:rPr>
          <w:rFonts w:hint="cs"/>
          <w:sz w:val="26"/>
          <w:szCs w:val="26"/>
          <w:rtl/>
          <w:lang w:val="fr-CA" w:bidi="ar-SA"/>
        </w:rPr>
        <w:t>الشريحة الثالثة</w:t>
      </w:r>
      <w:r w:rsidR="004C1829" w:rsidRPr="003C4983">
        <w:rPr>
          <w:rFonts w:hint="cs"/>
          <w:sz w:val="26"/>
          <w:szCs w:val="26"/>
          <w:rtl/>
          <w:lang w:val="fr-CA" w:bidi="ar-SA"/>
        </w:rPr>
        <w:t>، سي</w:t>
      </w:r>
      <w:r w:rsidR="00224EE8" w:rsidRPr="003C4983">
        <w:rPr>
          <w:rFonts w:hint="cs"/>
          <w:sz w:val="26"/>
          <w:szCs w:val="26"/>
          <w:rtl/>
          <w:lang w:val="fr-CA" w:bidi="ar-SA"/>
        </w:rPr>
        <w:t>ح</w:t>
      </w:r>
      <w:r w:rsidR="004C1829" w:rsidRPr="003C4983">
        <w:rPr>
          <w:rFonts w:hint="cs"/>
          <w:sz w:val="26"/>
          <w:szCs w:val="26"/>
          <w:rtl/>
          <w:lang w:val="fr-CA" w:bidi="ar-SA"/>
        </w:rPr>
        <w:t>ا</w:t>
      </w:r>
      <w:r w:rsidRPr="003C4983">
        <w:rPr>
          <w:rFonts w:hint="cs"/>
          <w:sz w:val="26"/>
          <w:szCs w:val="26"/>
          <w:rtl/>
          <w:lang w:val="fr-CA" w:bidi="ar-SA"/>
        </w:rPr>
        <w:t>ف</w:t>
      </w:r>
      <w:r w:rsidR="00224EE8" w:rsidRPr="003C4983">
        <w:rPr>
          <w:rFonts w:hint="cs"/>
          <w:sz w:val="26"/>
          <w:szCs w:val="26"/>
          <w:rtl/>
          <w:lang w:val="fr-CA" w:bidi="ar-SA"/>
        </w:rPr>
        <w:t>ظ على الزخم المكتسب في</w:t>
      </w:r>
      <w:r w:rsidRPr="003C4983">
        <w:rPr>
          <w:rFonts w:hint="cs"/>
          <w:sz w:val="26"/>
          <w:szCs w:val="26"/>
          <w:rtl/>
          <w:lang w:val="fr-CA" w:bidi="ar-SA"/>
        </w:rPr>
        <w:t xml:space="preserve"> تنفيذ جميع الأنشطة</w:t>
      </w:r>
      <w:r w:rsidR="00224EE8" w:rsidRPr="003C4983">
        <w:rPr>
          <w:rFonts w:hint="cs"/>
          <w:sz w:val="26"/>
          <w:szCs w:val="26"/>
          <w:rtl/>
          <w:lang w:val="fr-CA" w:bidi="ar-SA"/>
        </w:rPr>
        <w:t xml:space="preserve"> الجارية</w:t>
      </w:r>
      <w:r w:rsidR="005F3511" w:rsidRPr="003C4983">
        <w:rPr>
          <w:rFonts w:hint="cs"/>
          <w:sz w:val="26"/>
          <w:szCs w:val="26"/>
          <w:rtl/>
          <w:lang w:val="fr-CA" w:bidi="ar-SA"/>
        </w:rPr>
        <w:t xml:space="preserve">. وقد </w:t>
      </w:r>
      <w:r w:rsidR="004C1829" w:rsidRPr="003C4983">
        <w:rPr>
          <w:rFonts w:hint="cs"/>
          <w:sz w:val="26"/>
          <w:szCs w:val="26"/>
          <w:rtl/>
          <w:lang w:val="fr-CA" w:bidi="ar-SA"/>
        </w:rPr>
        <w:t>يتمّ ت</w:t>
      </w:r>
      <w:r w:rsidR="005F3511" w:rsidRPr="003C4983">
        <w:rPr>
          <w:rFonts w:hint="cs"/>
          <w:sz w:val="26"/>
          <w:szCs w:val="26"/>
          <w:rtl/>
          <w:lang w:val="fr-CA" w:bidi="ar-SA"/>
        </w:rPr>
        <w:t>مد</w:t>
      </w:r>
      <w:r w:rsidR="004C1829" w:rsidRPr="003C4983">
        <w:rPr>
          <w:rFonts w:hint="cs"/>
          <w:sz w:val="26"/>
          <w:szCs w:val="26"/>
          <w:rtl/>
          <w:lang w:val="fr-CA" w:bidi="ar-SA"/>
        </w:rPr>
        <w:t>ي</w:t>
      </w:r>
      <w:r w:rsidRPr="003C4983">
        <w:rPr>
          <w:rFonts w:hint="cs"/>
          <w:sz w:val="26"/>
          <w:szCs w:val="26"/>
          <w:rtl/>
          <w:lang w:val="fr-CA" w:bidi="ar-SA"/>
        </w:rPr>
        <w:t>د تنفيذ المرحلة الأولى من خطة إدارة إزالة المواد الهيدروكلوروفلوروكربونية لسبعة أشهر إضافية لغاية يوليو/تموز 2022 على اعتبار أنّه لن تعرض المرحلة الثانية من الخطة قبل عام 2022.</w:t>
      </w:r>
    </w:p>
    <w:p w14:paraId="6D31817E" w14:textId="77777777" w:rsidR="00CB5489" w:rsidRPr="003C4983" w:rsidRDefault="000B7AAB" w:rsidP="000B7AAB">
      <w:pPr>
        <w:bidi/>
        <w:rPr>
          <w:sz w:val="26"/>
          <w:szCs w:val="26"/>
          <w:rtl/>
          <w:lang w:val="fr-CA" w:bidi="ar-SA"/>
        </w:rPr>
      </w:pPr>
      <w:r w:rsidRPr="003C4983">
        <w:rPr>
          <w:rFonts w:hint="cs"/>
          <w:sz w:val="26"/>
          <w:szCs w:val="26"/>
          <w:rtl/>
          <w:lang w:val="fr-CA" w:bidi="ar-SA"/>
        </w:rPr>
        <w:t>32.</w:t>
      </w:r>
      <w:r w:rsidRPr="003C4983">
        <w:rPr>
          <w:rFonts w:hint="cs"/>
          <w:sz w:val="26"/>
          <w:szCs w:val="26"/>
          <w:rtl/>
          <w:lang w:val="fr-CA" w:bidi="ar-SA"/>
        </w:rPr>
        <w:tab/>
        <w:t>تاليا، فإنّ الأمانة ترفع طلب تمويل الشريحة الثالثة والأخيرة من خطة إدارة إزالة المواد الهيدروكلوروفلوروكربونية في غينيا للدراسة الفردية نظرا للتعديلات المدخلة على نص الاتفاق المبرم بين غينيا واللجنة التنفيذية أي تصحيح نقطة البداية للتخفيضات المجمعة المستدامة لاستهلاك الهيدروكلوروفلوروكربون</w:t>
      </w:r>
      <w:r w:rsidR="00224EE8" w:rsidRPr="003C4983">
        <w:rPr>
          <w:rFonts w:hint="cs"/>
          <w:sz w:val="26"/>
          <w:szCs w:val="26"/>
          <w:rtl/>
          <w:lang w:val="fr-CA" w:bidi="ar-SA"/>
        </w:rPr>
        <w:t xml:space="preserve"> وتصحيح مستوى التمويل الإجمالي</w:t>
      </w:r>
      <w:r w:rsidRPr="003C4983">
        <w:rPr>
          <w:rFonts w:hint="cs"/>
          <w:sz w:val="26"/>
          <w:szCs w:val="26"/>
          <w:rtl/>
          <w:lang w:val="fr-CA" w:bidi="ar-SA"/>
        </w:rPr>
        <w:t xml:space="preserve"> وإلغاء الشريحتين الرابعة والخامسة وتمديد فترة الإنجاز إلى يوليو/تموز 2022. وتشير الأمانة إلى أنّ برنامج الأمم المتحدة للبيئة، وهو الوكالة المنفذة الرئيسية، قد أبدى موافقته التامة على التغييرات المقترحة على المرحلة الأولى من خطة إدارة إزالة المواد الهيدروكلوروفلوروكربونية وأنّه تمّت معالجة كل المسائل الفنية </w:t>
      </w:r>
      <w:r w:rsidRPr="003C4983">
        <w:rPr>
          <w:rFonts w:hint="cs"/>
          <w:sz w:val="26"/>
          <w:szCs w:val="26"/>
          <w:rtl/>
          <w:lang w:val="fr-CA" w:bidi="ar-SA"/>
        </w:rPr>
        <w:lastRenderedPageBreak/>
        <w:t>والمالية بصورة مرضية. إنّ تنفيذ الشريحة الثالثة من خطة إدارة إزالة المواد الهيدروكلوروفلوروكربون</w:t>
      </w:r>
      <w:r w:rsidR="00224EE8" w:rsidRPr="003C4983">
        <w:rPr>
          <w:rFonts w:hint="cs"/>
          <w:sz w:val="26"/>
          <w:szCs w:val="26"/>
          <w:rtl/>
          <w:lang w:val="fr-CA" w:bidi="ar-SA"/>
        </w:rPr>
        <w:t>ية، كما عدّلت، ستسمح لغينيا ا</w:t>
      </w:r>
      <w:r w:rsidRPr="003C4983">
        <w:rPr>
          <w:rFonts w:hint="cs"/>
          <w:sz w:val="26"/>
          <w:szCs w:val="26"/>
          <w:rtl/>
          <w:lang w:val="fr-CA" w:bidi="ar-SA"/>
        </w:rPr>
        <w:t>ستكم</w:t>
      </w:r>
      <w:r w:rsidR="00224EE8" w:rsidRPr="003C4983">
        <w:rPr>
          <w:rFonts w:hint="cs"/>
          <w:sz w:val="26"/>
          <w:szCs w:val="26"/>
          <w:rtl/>
          <w:lang w:val="fr-CA" w:bidi="ar-SA"/>
        </w:rPr>
        <w:t>ا</w:t>
      </w:r>
      <w:r w:rsidRPr="003C4983">
        <w:rPr>
          <w:rFonts w:hint="cs"/>
          <w:sz w:val="26"/>
          <w:szCs w:val="26"/>
          <w:rtl/>
          <w:lang w:val="fr-CA" w:bidi="ar-SA"/>
        </w:rPr>
        <w:t xml:space="preserve">ل الأنشطة المخطط لها في المرحلة الأولى. </w:t>
      </w:r>
    </w:p>
    <w:p w14:paraId="7F335CC0" w14:textId="77777777" w:rsidR="003C4983" w:rsidRDefault="003C4983" w:rsidP="00CB5489">
      <w:pPr>
        <w:bidi/>
        <w:rPr>
          <w:b/>
          <w:bCs/>
          <w:sz w:val="26"/>
          <w:szCs w:val="26"/>
          <w:lang w:val="fr-CA" w:bidi="ar-SA"/>
        </w:rPr>
      </w:pPr>
    </w:p>
    <w:p w14:paraId="335D4737" w14:textId="707A2044" w:rsidR="00CB5489" w:rsidRPr="003C4983" w:rsidRDefault="00CB5489" w:rsidP="003C4983">
      <w:pPr>
        <w:bidi/>
        <w:rPr>
          <w:b/>
          <w:bCs/>
          <w:sz w:val="26"/>
          <w:szCs w:val="26"/>
          <w:rtl/>
          <w:lang w:val="fr-CA" w:bidi="ar-SA"/>
        </w:rPr>
      </w:pPr>
      <w:r w:rsidRPr="003C4983">
        <w:rPr>
          <w:rFonts w:hint="cs"/>
          <w:b/>
          <w:bCs/>
          <w:sz w:val="26"/>
          <w:szCs w:val="26"/>
          <w:rtl/>
          <w:lang w:val="fr-CA" w:bidi="ar-SA"/>
        </w:rPr>
        <w:t>التوصية</w:t>
      </w:r>
    </w:p>
    <w:p w14:paraId="1C81C4ED" w14:textId="77777777" w:rsidR="00CB5489" w:rsidRPr="003C4983" w:rsidRDefault="00CB5489" w:rsidP="00CB5489">
      <w:pPr>
        <w:bidi/>
        <w:rPr>
          <w:sz w:val="26"/>
          <w:szCs w:val="26"/>
          <w:lang w:val="fr-CA" w:bidi="ar-SA"/>
        </w:rPr>
      </w:pPr>
    </w:p>
    <w:p w14:paraId="396C7790" w14:textId="77777777" w:rsidR="000B7AAB" w:rsidRPr="003C4983" w:rsidRDefault="000B7AAB" w:rsidP="00A12E76">
      <w:pPr>
        <w:pStyle w:val="Heading1"/>
        <w:numPr>
          <w:ilvl w:val="0"/>
          <w:numId w:val="0"/>
        </w:numPr>
        <w:bidi/>
        <w:rPr>
          <w:sz w:val="26"/>
          <w:szCs w:val="26"/>
          <w:rtl/>
          <w:lang w:val="fr-CA"/>
        </w:rPr>
      </w:pPr>
      <w:r w:rsidRPr="003C4983">
        <w:rPr>
          <w:rFonts w:hint="cs"/>
          <w:sz w:val="26"/>
          <w:szCs w:val="26"/>
          <w:rtl/>
          <w:lang w:val="fr-CA"/>
        </w:rPr>
        <w:t>33.</w:t>
      </w:r>
      <w:r w:rsidRPr="003C4983">
        <w:rPr>
          <w:sz w:val="26"/>
          <w:szCs w:val="26"/>
          <w:rtl/>
          <w:lang w:val="fr-CA"/>
        </w:rPr>
        <w:tab/>
      </w:r>
      <w:r w:rsidRPr="003C4983">
        <w:rPr>
          <w:rFonts w:hint="cs"/>
          <w:sz w:val="26"/>
          <w:szCs w:val="26"/>
          <w:rtl/>
          <w:lang w:val="fr-CA"/>
        </w:rPr>
        <w:t>قد ترغب اللجنة التنفيذية في:</w:t>
      </w:r>
    </w:p>
    <w:p w14:paraId="1133A363" w14:textId="77777777" w:rsidR="000B7AAB" w:rsidRPr="003C4983" w:rsidRDefault="000B7AAB" w:rsidP="000B7AAB">
      <w:pPr>
        <w:pStyle w:val="Heading1"/>
        <w:numPr>
          <w:ilvl w:val="0"/>
          <w:numId w:val="0"/>
        </w:numPr>
        <w:bidi/>
        <w:rPr>
          <w:sz w:val="26"/>
          <w:szCs w:val="26"/>
          <w:rtl/>
          <w:lang w:val="fr-CA"/>
        </w:rPr>
      </w:pPr>
      <w:r w:rsidRPr="003C4983">
        <w:rPr>
          <w:rFonts w:hint="cs"/>
          <w:sz w:val="26"/>
          <w:szCs w:val="26"/>
          <w:rtl/>
          <w:lang w:val="fr-CA"/>
        </w:rPr>
        <w:tab/>
        <w:t>(أ)</w:t>
      </w:r>
      <w:r w:rsidRPr="003C4983">
        <w:rPr>
          <w:rFonts w:hint="cs"/>
          <w:sz w:val="26"/>
          <w:szCs w:val="26"/>
          <w:rtl/>
          <w:lang w:val="fr-CA"/>
        </w:rPr>
        <w:tab/>
      </w:r>
      <w:r w:rsidR="00224EE8" w:rsidRPr="003C4983">
        <w:rPr>
          <w:rFonts w:hint="cs"/>
          <w:sz w:val="26"/>
          <w:szCs w:val="26"/>
          <w:rtl/>
          <w:lang w:val="fr-CA"/>
        </w:rPr>
        <w:t>الأخذ</w:t>
      </w:r>
      <w:r w:rsidRPr="003C4983">
        <w:rPr>
          <w:rFonts w:hint="cs"/>
          <w:sz w:val="26"/>
          <w:szCs w:val="26"/>
          <w:rtl/>
          <w:lang w:val="fr-CA"/>
        </w:rPr>
        <w:t xml:space="preserve"> علما:</w:t>
      </w:r>
    </w:p>
    <w:p w14:paraId="050FB8CD" w14:textId="77777777" w:rsidR="000B7AAB" w:rsidRPr="003C4983" w:rsidRDefault="000B7AAB" w:rsidP="000B7AAB">
      <w:pPr>
        <w:pStyle w:val="Heading1"/>
        <w:numPr>
          <w:ilvl w:val="0"/>
          <w:numId w:val="0"/>
        </w:numPr>
        <w:bidi/>
        <w:ind w:left="2160" w:hanging="720"/>
        <w:rPr>
          <w:sz w:val="26"/>
          <w:szCs w:val="26"/>
          <w:rtl/>
          <w:lang w:val="fr-CA"/>
        </w:rPr>
      </w:pPr>
      <w:r w:rsidRPr="003C4983">
        <w:rPr>
          <w:rFonts w:hint="cs"/>
          <w:sz w:val="26"/>
          <w:szCs w:val="26"/>
          <w:rtl/>
          <w:lang w:val="fr-CA"/>
        </w:rPr>
        <w:t>(1)</w:t>
      </w:r>
      <w:r w:rsidRPr="003C4983">
        <w:rPr>
          <w:rFonts w:hint="cs"/>
          <w:sz w:val="26"/>
          <w:szCs w:val="26"/>
          <w:rtl/>
          <w:lang w:val="fr-CA"/>
        </w:rPr>
        <w:tab/>
        <w:t>بالتقرير المرحلي عن تنفيذ الشريحة الثانية من خطة إدارة إزالة المواد الهيدروكلوروفلوروكربونية في غينيا؛</w:t>
      </w:r>
    </w:p>
    <w:p w14:paraId="47314DEA" w14:textId="77777777" w:rsidR="000B7AAB" w:rsidRPr="003C4983" w:rsidRDefault="000B7AAB" w:rsidP="003E688D">
      <w:pPr>
        <w:pStyle w:val="Heading1"/>
        <w:numPr>
          <w:ilvl w:val="0"/>
          <w:numId w:val="0"/>
        </w:numPr>
        <w:bidi/>
        <w:ind w:left="2160" w:hanging="720"/>
        <w:rPr>
          <w:sz w:val="26"/>
          <w:szCs w:val="26"/>
          <w:rtl/>
          <w:lang w:val="fr-CA"/>
        </w:rPr>
      </w:pPr>
      <w:r w:rsidRPr="003C4983">
        <w:rPr>
          <w:rFonts w:hint="cs"/>
          <w:sz w:val="26"/>
          <w:szCs w:val="26"/>
          <w:rtl/>
          <w:lang w:val="fr-CA"/>
        </w:rPr>
        <w:t>(2)</w:t>
      </w:r>
      <w:r w:rsidRPr="003C4983">
        <w:rPr>
          <w:rFonts w:hint="cs"/>
          <w:sz w:val="26"/>
          <w:szCs w:val="26"/>
          <w:rtl/>
          <w:lang w:val="fr-CA"/>
        </w:rPr>
        <w:tab/>
        <w:t>وبأنّ الأمانة قد حيّنت الفقرة 1 والتذييل 1-أ و2-أ و7-أ من الاتفاق المبرم بين غينيا واللجنة التنفيذية لمراعاة نقطة الب</w:t>
      </w:r>
      <w:r w:rsidR="00224EE8" w:rsidRPr="003C4983">
        <w:rPr>
          <w:rFonts w:hint="cs"/>
          <w:sz w:val="26"/>
          <w:szCs w:val="26"/>
          <w:rtl/>
          <w:lang w:val="fr-CA"/>
        </w:rPr>
        <w:t>داية ومستوى التمويل المعدل</w:t>
      </w:r>
      <w:r w:rsidRPr="003C4983">
        <w:rPr>
          <w:rFonts w:hint="cs"/>
          <w:sz w:val="26"/>
          <w:szCs w:val="26"/>
          <w:rtl/>
          <w:lang w:val="fr-CA"/>
        </w:rPr>
        <w:t>ين</w:t>
      </w:r>
      <w:r w:rsidR="005F3511" w:rsidRPr="003C4983">
        <w:rPr>
          <w:rFonts w:hint="cs"/>
          <w:sz w:val="26"/>
          <w:szCs w:val="26"/>
          <w:rtl/>
          <w:lang w:val="fr-CA"/>
        </w:rPr>
        <w:t>؛</w:t>
      </w:r>
      <w:r w:rsidRPr="003C4983">
        <w:rPr>
          <w:rFonts w:hint="cs"/>
          <w:sz w:val="26"/>
          <w:szCs w:val="26"/>
          <w:rtl/>
          <w:lang w:val="fr-CA"/>
        </w:rPr>
        <w:t xml:space="preserve"> وأنّها أضافت فقرة جديدة تحمل الرقم 16 </w:t>
      </w:r>
      <w:r w:rsidR="003E688D" w:rsidRPr="003C4983">
        <w:rPr>
          <w:rFonts w:hint="cs"/>
          <w:sz w:val="26"/>
          <w:szCs w:val="26"/>
          <w:rtl/>
          <w:lang w:val="fr-CA"/>
        </w:rPr>
        <w:t xml:space="preserve">تنصّ على </w:t>
      </w:r>
      <w:r w:rsidRPr="003C4983">
        <w:rPr>
          <w:rFonts w:hint="cs"/>
          <w:sz w:val="26"/>
          <w:szCs w:val="26"/>
          <w:rtl/>
          <w:lang w:val="fr-CA"/>
        </w:rPr>
        <w:t>أنّ الاتفاق المحيّن يحلّ محل ذاك الذي أبرم في الاجتماع السادس والستين، عل</w:t>
      </w:r>
      <w:r w:rsidR="00224EE8" w:rsidRPr="003C4983">
        <w:rPr>
          <w:rFonts w:hint="cs"/>
          <w:sz w:val="26"/>
          <w:szCs w:val="26"/>
          <w:rtl/>
          <w:lang w:val="fr-CA"/>
        </w:rPr>
        <w:t>ى النحو الوارد في المرفق الأول ب</w:t>
      </w:r>
      <w:r w:rsidRPr="003C4983">
        <w:rPr>
          <w:rFonts w:hint="cs"/>
          <w:sz w:val="26"/>
          <w:szCs w:val="26"/>
          <w:rtl/>
          <w:lang w:val="fr-CA"/>
        </w:rPr>
        <w:t>هذه المذكرة؛</w:t>
      </w:r>
    </w:p>
    <w:p w14:paraId="4986E1C0" w14:textId="77777777" w:rsidR="00A12E76" w:rsidRPr="003C4983" w:rsidRDefault="000B7AAB" w:rsidP="00224EE8">
      <w:pPr>
        <w:pStyle w:val="Heading1"/>
        <w:numPr>
          <w:ilvl w:val="0"/>
          <w:numId w:val="0"/>
        </w:numPr>
        <w:bidi/>
        <w:ind w:left="2160" w:hanging="720"/>
        <w:rPr>
          <w:sz w:val="26"/>
          <w:szCs w:val="26"/>
          <w:rtl/>
          <w:lang w:val="fr-CA"/>
        </w:rPr>
      </w:pPr>
      <w:r w:rsidRPr="003C4983">
        <w:rPr>
          <w:rFonts w:hint="cs"/>
          <w:sz w:val="26"/>
          <w:szCs w:val="26"/>
          <w:rtl/>
          <w:lang w:val="fr-CA"/>
        </w:rPr>
        <w:t>(3)</w:t>
      </w:r>
      <w:r w:rsidRPr="003C4983">
        <w:rPr>
          <w:rFonts w:hint="cs"/>
          <w:sz w:val="26"/>
          <w:szCs w:val="26"/>
          <w:rtl/>
          <w:lang w:val="fr-CA"/>
        </w:rPr>
        <w:tab/>
      </w:r>
      <w:r w:rsidR="00A12E76" w:rsidRPr="003C4983">
        <w:rPr>
          <w:rFonts w:hint="cs"/>
          <w:sz w:val="26"/>
          <w:szCs w:val="26"/>
          <w:rtl/>
          <w:lang w:val="fr-CA"/>
        </w:rPr>
        <w:t xml:space="preserve">وبأنّ نقطة البداية المعدلة </w:t>
      </w:r>
      <w:r w:rsidR="00A12E76" w:rsidRPr="003C4983">
        <w:rPr>
          <w:sz w:val="26"/>
          <w:szCs w:val="26"/>
          <w:rtl/>
          <w:lang w:val="fr-CA"/>
        </w:rPr>
        <w:t>للتخفيضات المجمعة المستدامة</w:t>
      </w:r>
      <w:r w:rsidR="00A12E76" w:rsidRPr="003C4983">
        <w:rPr>
          <w:rFonts w:hint="cs"/>
          <w:sz w:val="26"/>
          <w:szCs w:val="26"/>
          <w:rtl/>
          <w:lang w:val="fr-CA"/>
        </w:rPr>
        <w:t xml:space="preserve"> من استهلاك المواد الهيدروكلوروفلوروكربونية تبلغ 7.51 طن من قدرات استنفاد الأوزون وقد تمّ احتسابها بالاستناد إلى بيانات الاستهلاك السابق الواردة في تقرير التحقق المقدّم إلى الاجتماع الخامس والثمانين؛ وأنّ مستوى التمويل المعدّل للمرحلة الأولى من خطة إدارة إزالة المواد الهيدروكلوروفلوروكربونية في غينيا هو 332,</w:t>
      </w:r>
      <w:r w:rsidR="00224EE8" w:rsidRPr="003C4983">
        <w:rPr>
          <w:rFonts w:hint="cs"/>
          <w:sz w:val="26"/>
          <w:szCs w:val="26"/>
          <w:rtl/>
          <w:lang w:val="fr-CA"/>
        </w:rPr>
        <w:t>5</w:t>
      </w:r>
      <w:r w:rsidR="00A12E76" w:rsidRPr="003C4983">
        <w:rPr>
          <w:rFonts w:hint="cs"/>
          <w:sz w:val="26"/>
          <w:szCs w:val="26"/>
          <w:rtl/>
          <w:lang w:val="fr-CA"/>
        </w:rPr>
        <w:t>00 دولار أمريكي زائد تكاليف دعم الوكالة المحتسبة وفقا لأحكام المقرر 60/44(و)(12)؛ وأنّه حسم مبلغ 117,000 دولار أمريكي مقابل إلغاء الشريحتين الرابعة والخامسة من المرحلة الأولى؛ وأنّ مبلغ 197,500 دولار أمريكي سيحسم بدوره عند إقرار المرحلة الثانية من خطة إدارة إزالة المواد الهيدروكلوروفلوروكربونية؛</w:t>
      </w:r>
    </w:p>
    <w:p w14:paraId="568F5120" w14:textId="77777777" w:rsidR="000B7AAB" w:rsidRPr="003C4983" w:rsidRDefault="00A12E76" w:rsidP="00A12E76">
      <w:pPr>
        <w:pStyle w:val="Heading1"/>
        <w:numPr>
          <w:ilvl w:val="0"/>
          <w:numId w:val="0"/>
        </w:numPr>
        <w:bidi/>
        <w:rPr>
          <w:sz w:val="26"/>
          <w:szCs w:val="26"/>
          <w:rtl/>
          <w:lang w:val="fr-CA"/>
        </w:rPr>
      </w:pPr>
      <w:r w:rsidRPr="003C4983">
        <w:rPr>
          <w:rFonts w:hint="cs"/>
          <w:sz w:val="26"/>
          <w:szCs w:val="26"/>
          <w:rtl/>
          <w:lang w:val="fr-CA"/>
        </w:rPr>
        <w:tab/>
        <w:t>(ب)</w:t>
      </w:r>
      <w:r w:rsidR="000B7AAB" w:rsidRPr="003C4983">
        <w:rPr>
          <w:rFonts w:hint="cs"/>
          <w:sz w:val="26"/>
          <w:szCs w:val="26"/>
          <w:rtl/>
          <w:lang w:val="fr-CA"/>
        </w:rPr>
        <w:t xml:space="preserve"> </w:t>
      </w:r>
      <w:r w:rsidR="000B7AAB" w:rsidRPr="003C4983">
        <w:rPr>
          <w:sz w:val="26"/>
          <w:szCs w:val="26"/>
          <w:rtl/>
          <w:lang w:val="fr-CA"/>
        </w:rPr>
        <w:tab/>
      </w:r>
      <w:r w:rsidR="00224EE8" w:rsidRPr="003C4983">
        <w:rPr>
          <w:rFonts w:hint="cs"/>
          <w:sz w:val="26"/>
          <w:szCs w:val="26"/>
          <w:rtl/>
          <w:lang w:val="fr-CA"/>
        </w:rPr>
        <w:t>والموافقة</w:t>
      </w:r>
      <w:r w:rsidRPr="003C4983">
        <w:rPr>
          <w:rFonts w:hint="cs"/>
          <w:sz w:val="26"/>
          <w:szCs w:val="26"/>
          <w:rtl/>
          <w:lang w:val="fr-CA"/>
        </w:rPr>
        <w:t>:</w:t>
      </w:r>
    </w:p>
    <w:p w14:paraId="53281250" w14:textId="77777777" w:rsidR="00A12E76" w:rsidRPr="003C4983" w:rsidRDefault="00A12E76" w:rsidP="00A12E76">
      <w:pPr>
        <w:bidi/>
        <w:ind w:left="2160" w:hanging="720"/>
        <w:rPr>
          <w:sz w:val="26"/>
          <w:szCs w:val="26"/>
          <w:rtl/>
          <w:lang w:val="fr-CA" w:bidi="ar-SA"/>
        </w:rPr>
      </w:pPr>
      <w:r w:rsidRPr="003C4983">
        <w:rPr>
          <w:rFonts w:hint="cs"/>
          <w:sz w:val="26"/>
          <w:szCs w:val="26"/>
          <w:rtl/>
          <w:lang w:val="fr-CA"/>
        </w:rPr>
        <w:t>(1)</w:t>
      </w:r>
      <w:r w:rsidRPr="003C4983">
        <w:rPr>
          <w:sz w:val="26"/>
          <w:szCs w:val="26"/>
          <w:rtl/>
          <w:lang w:val="fr-CA"/>
        </w:rPr>
        <w:tab/>
      </w:r>
      <w:r w:rsidRPr="003C4983">
        <w:rPr>
          <w:rFonts w:hint="cs"/>
          <w:sz w:val="26"/>
          <w:szCs w:val="26"/>
          <w:rtl/>
          <w:lang w:val="fr-CA"/>
        </w:rPr>
        <w:t xml:space="preserve">على تمديد المرحلة الأولى من خطة إدارة إزالة المواد الهيدروكلوروفلوروكربونية إلى 31 يوليو/تموز 2022 على اعتبار </w:t>
      </w:r>
      <w:r w:rsidRPr="003C4983">
        <w:rPr>
          <w:rFonts w:hint="cs"/>
          <w:sz w:val="26"/>
          <w:szCs w:val="26"/>
          <w:rtl/>
          <w:lang w:val="fr-CA" w:bidi="ar-SA"/>
        </w:rPr>
        <w:t>أنّه لن تعرض المرحلة الثانية من الخطة قبل عام 2022؛</w:t>
      </w:r>
    </w:p>
    <w:p w14:paraId="43537129" w14:textId="77777777" w:rsidR="00A12E76" w:rsidRPr="003C4983" w:rsidRDefault="00A12E76" w:rsidP="00A12E76">
      <w:pPr>
        <w:bidi/>
        <w:rPr>
          <w:sz w:val="26"/>
          <w:szCs w:val="26"/>
          <w:rtl/>
          <w:lang w:val="fr-CA" w:bidi="ar-SA"/>
        </w:rPr>
      </w:pPr>
    </w:p>
    <w:p w14:paraId="73291386" w14:textId="77777777" w:rsidR="00A12E76" w:rsidRDefault="00A12E76" w:rsidP="00A12E76">
      <w:pPr>
        <w:bidi/>
        <w:ind w:left="2160" w:hanging="720"/>
        <w:rPr>
          <w:rtl/>
          <w:lang w:val="fr-CA"/>
        </w:rPr>
        <w:sectPr w:rsidR="00A12E76" w:rsidSect="00E84683">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docGrid w:linePitch="326"/>
        </w:sectPr>
      </w:pPr>
      <w:r w:rsidRPr="003C4983">
        <w:rPr>
          <w:rFonts w:hint="cs"/>
          <w:sz w:val="26"/>
          <w:szCs w:val="26"/>
          <w:rtl/>
          <w:lang w:val="fr-CA" w:bidi="ar-SA"/>
        </w:rPr>
        <w:t>(2)</w:t>
      </w:r>
      <w:r w:rsidRPr="003C4983">
        <w:rPr>
          <w:rFonts w:hint="cs"/>
          <w:sz w:val="26"/>
          <w:szCs w:val="26"/>
          <w:rtl/>
          <w:lang w:val="fr-CA" w:bidi="ar-SA"/>
        </w:rPr>
        <w:tab/>
        <w:t xml:space="preserve">وعلى الشريحة الثالثة من المرحلة الأولى من خطة إدارة إزالة المواد الهيدروكلوروفلوروكربونية في غينيا وخطة التنفيذ المتصلة بها </w:t>
      </w:r>
      <w:r w:rsidRPr="003C4983">
        <w:rPr>
          <w:rFonts w:hint="cs"/>
          <w:sz w:val="26"/>
          <w:szCs w:val="26"/>
          <w:rtl/>
          <w:lang w:val="fr-CA"/>
        </w:rPr>
        <w:t xml:space="preserve">للفترة 2020 </w:t>
      </w:r>
      <w:r w:rsidRPr="003C4983">
        <w:rPr>
          <w:sz w:val="26"/>
          <w:szCs w:val="26"/>
          <w:rtl/>
          <w:lang w:val="fr-CA"/>
        </w:rPr>
        <w:t>–</w:t>
      </w:r>
      <w:r w:rsidRPr="003C4983">
        <w:rPr>
          <w:rFonts w:hint="cs"/>
          <w:sz w:val="26"/>
          <w:szCs w:val="26"/>
          <w:rtl/>
          <w:lang w:val="fr-CA"/>
        </w:rPr>
        <w:t xml:space="preserve"> 2022 بقيمة 246,750 دولارا أمريكي موزعة على برنامج الأمم المتحدة للبيئة أي 100,000 دولار أمريكي، زائد تكاليف الدعم بقيمة 13,000 دولار أمريكي، ومنظمة الأمم المتحدة للتنمية الصناعية أي 125,000 دولار أمريكي، زائد تكاليف الدعم بقيمة 8,750</w:t>
      </w:r>
      <w:r w:rsidR="00224EE8" w:rsidRPr="003C4983">
        <w:rPr>
          <w:rFonts w:hint="cs"/>
          <w:sz w:val="26"/>
          <w:szCs w:val="26"/>
          <w:rtl/>
          <w:lang w:val="fr-CA"/>
        </w:rPr>
        <w:t xml:space="preserve"> دولارا أمريكيا.</w:t>
      </w:r>
      <w:r w:rsidRPr="003C4983">
        <w:rPr>
          <w:sz w:val="26"/>
          <w:szCs w:val="26"/>
          <w:rtl/>
          <w:lang w:val="fr-CA"/>
        </w:rPr>
        <w:t xml:space="preserve"> </w:t>
      </w:r>
    </w:p>
    <w:p w14:paraId="09DEEF86" w14:textId="77777777" w:rsidR="00CB5489" w:rsidRDefault="00B85029" w:rsidP="00B85029">
      <w:pPr>
        <w:bidi/>
        <w:ind w:left="2160" w:hanging="720"/>
        <w:jc w:val="center"/>
        <w:rPr>
          <w:b/>
          <w:bCs/>
          <w:szCs w:val="24"/>
          <w:rtl/>
          <w:lang w:val="fr-CA"/>
        </w:rPr>
      </w:pPr>
      <w:r>
        <w:rPr>
          <w:rFonts w:hint="cs"/>
          <w:b/>
          <w:bCs/>
          <w:szCs w:val="24"/>
          <w:rtl/>
          <w:lang w:val="fr-CA"/>
        </w:rPr>
        <w:lastRenderedPageBreak/>
        <w:t>المرفق الأول</w:t>
      </w:r>
    </w:p>
    <w:p w14:paraId="48979443" w14:textId="77777777" w:rsidR="00B85029" w:rsidRDefault="00B85029" w:rsidP="00B85029">
      <w:pPr>
        <w:bidi/>
        <w:ind w:left="2160" w:hanging="720"/>
        <w:jc w:val="center"/>
        <w:rPr>
          <w:b/>
          <w:bCs/>
          <w:szCs w:val="24"/>
          <w:rtl/>
          <w:lang w:val="fr-CA"/>
        </w:rPr>
      </w:pPr>
    </w:p>
    <w:p w14:paraId="7A1FAB19" w14:textId="77777777" w:rsidR="00B85029" w:rsidRPr="00112687" w:rsidRDefault="00B85029" w:rsidP="00224EE8">
      <w:pPr>
        <w:tabs>
          <w:tab w:val="left" w:pos="4095"/>
          <w:tab w:val="center" w:pos="4680"/>
        </w:tabs>
        <w:bidi/>
        <w:jc w:val="center"/>
        <w:rPr>
          <w:b/>
          <w:bCs/>
          <w:sz w:val="26"/>
          <w:szCs w:val="26"/>
          <w:rtl/>
          <w:lang w:bidi="ar-EG"/>
        </w:rPr>
      </w:pPr>
      <w:r w:rsidRPr="00112687">
        <w:rPr>
          <w:b/>
          <w:bCs/>
          <w:sz w:val="26"/>
          <w:szCs w:val="26"/>
          <w:rtl/>
          <w:lang w:bidi="ar-EG"/>
        </w:rPr>
        <w:t>نص ا</w:t>
      </w:r>
      <w:r>
        <w:rPr>
          <w:b/>
          <w:bCs/>
          <w:sz w:val="26"/>
          <w:szCs w:val="26"/>
          <w:rtl/>
          <w:lang w:bidi="ar-EG"/>
        </w:rPr>
        <w:t>لتعديل الذي يضمّن الاتفاق الم</w:t>
      </w:r>
      <w:r>
        <w:rPr>
          <w:rFonts w:hint="cs"/>
          <w:b/>
          <w:bCs/>
          <w:sz w:val="26"/>
          <w:szCs w:val="26"/>
          <w:rtl/>
          <w:lang w:bidi="ar-EG"/>
        </w:rPr>
        <w:t>حيّن</w:t>
      </w:r>
      <w:r>
        <w:rPr>
          <w:b/>
          <w:bCs/>
          <w:sz w:val="26"/>
          <w:szCs w:val="26"/>
          <w:rtl/>
          <w:lang w:bidi="ar-EG"/>
        </w:rPr>
        <w:t xml:space="preserve"> بين </w:t>
      </w:r>
      <w:r>
        <w:rPr>
          <w:rFonts w:hint="cs"/>
          <w:b/>
          <w:bCs/>
          <w:sz w:val="26"/>
          <w:szCs w:val="26"/>
          <w:rtl/>
          <w:lang w:bidi="ar-EG"/>
        </w:rPr>
        <w:t>غينيا</w:t>
      </w:r>
      <w:r w:rsidRPr="00112687">
        <w:rPr>
          <w:b/>
          <w:bCs/>
          <w:sz w:val="26"/>
          <w:szCs w:val="26"/>
          <w:rtl/>
          <w:lang w:bidi="ar-EG"/>
        </w:rPr>
        <w:t xml:space="preserve"> واللجنة التنفيذية للصندوق المتعدد الأطراف من أجل خفض استهلاك المواد الهيدروكلوروفلوروكربونية</w:t>
      </w:r>
    </w:p>
    <w:p w14:paraId="2BF3D957" w14:textId="77777777" w:rsidR="00B85029" w:rsidRPr="00B85029" w:rsidRDefault="00B85029" w:rsidP="00B85029">
      <w:pPr>
        <w:tabs>
          <w:tab w:val="left" w:pos="4095"/>
          <w:tab w:val="center" w:pos="4680"/>
        </w:tabs>
        <w:bidi/>
        <w:jc w:val="center"/>
        <w:rPr>
          <w:szCs w:val="24"/>
          <w:rtl/>
          <w:lang w:bidi="ar-EG"/>
        </w:rPr>
      </w:pPr>
      <w:r w:rsidRPr="00B85029">
        <w:rPr>
          <w:rFonts w:hint="cs"/>
          <w:szCs w:val="24"/>
          <w:rtl/>
          <w:lang w:bidi="ar-EG"/>
        </w:rPr>
        <w:t>(ترد التعديلات في الخط العريض لتسهيل القراءة)</w:t>
      </w:r>
    </w:p>
    <w:p w14:paraId="44E5B0CD" w14:textId="77777777" w:rsidR="00B85029" w:rsidRDefault="00B85029" w:rsidP="00B85029">
      <w:pPr>
        <w:tabs>
          <w:tab w:val="left" w:pos="4095"/>
          <w:tab w:val="center" w:pos="4680"/>
        </w:tabs>
        <w:bidi/>
        <w:rPr>
          <w:b/>
          <w:bCs/>
          <w:szCs w:val="24"/>
          <w:rtl/>
          <w:lang w:bidi="ar-EG"/>
        </w:rPr>
      </w:pPr>
    </w:p>
    <w:p w14:paraId="3ABC8C47" w14:textId="77777777" w:rsidR="00B85029" w:rsidRPr="0054050A" w:rsidRDefault="00B85029" w:rsidP="00224EE8">
      <w:pPr>
        <w:pStyle w:val="ListParagraph"/>
        <w:numPr>
          <w:ilvl w:val="0"/>
          <w:numId w:val="34"/>
        </w:numPr>
        <w:tabs>
          <w:tab w:val="left" w:pos="4095"/>
          <w:tab w:val="center" w:pos="4680"/>
        </w:tabs>
        <w:bidi/>
        <w:ind w:hanging="716"/>
        <w:rPr>
          <w:szCs w:val="24"/>
          <w:lang w:bidi="ar-EG"/>
        </w:rPr>
      </w:pPr>
      <w:r>
        <w:rPr>
          <w:rFonts w:hint="cs"/>
          <w:szCs w:val="24"/>
          <w:rtl/>
          <w:lang w:bidi="ar-EG"/>
        </w:rPr>
        <w:t>يجسد هذا الاتفاق التفاهم الذي توصلت إليه كلّ من غينيا</w:t>
      </w:r>
      <w:r>
        <w:rPr>
          <w:rFonts w:hint="cs"/>
          <w:szCs w:val="24"/>
          <w:rtl/>
          <w:lang w:val="fr-CA" w:bidi="ar-EG"/>
        </w:rPr>
        <w:t xml:space="preserve"> </w:t>
      </w:r>
      <w:r w:rsidR="00224EE8">
        <w:rPr>
          <w:rFonts w:hint="cs"/>
          <w:szCs w:val="24"/>
          <w:rtl/>
          <w:lang w:val="fr-CA" w:bidi="ar-EG"/>
        </w:rPr>
        <w:t xml:space="preserve">("البلد") </w:t>
      </w:r>
      <w:r>
        <w:rPr>
          <w:rFonts w:hint="cs"/>
          <w:szCs w:val="24"/>
          <w:rtl/>
          <w:lang w:val="fr-CA" w:bidi="ar-EG"/>
        </w:rPr>
        <w:t xml:space="preserve">واللجنة التنفيذية بشأن خفض الاستخدام الخاضع للرقابة من المواد المستنفدة للأوزون كما هو </w:t>
      </w:r>
      <w:r w:rsidRPr="00033B0F">
        <w:rPr>
          <w:rFonts w:hint="cs"/>
          <w:szCs w:val="24"/>
          <w:rtl/>
          <w:lang w:val="fr-CA" w:bidi="ar-EG"/>
        </w:rPr>
        <w:t>وارد في التذييل 1-أ ("المواد"</w:t>
      </w:r>
      <w:r w:rsidRPr="00033B0F">
        <w:rPr>
          <w:rFonts w:hint="cs"/>
          <w:szCs w:val="24"/>
          <w:rtl/>
          <w:lang w:val="fr-CA" w:bidi="ar-SA"/>
        </w:rPr>
        <w:t xml:space="preserve">) </w:t>
      </w:r>
      <w:r w:rsidR="00224EE8">
        <w:rPr>
          <w:rFonts w:hint="cs"/>
          <w:szCs w:val="24"/>
          <w:rtl/>
          <w:lang w:val="fr-CA" w:bidi="ar-SA"/>
        </w:rPr>
        <w:t>إلى المستوى المنتظم المتم</w:t>
      </w:r>
      <w:r>
        <w:rPr>
          <w:rFonts w:hint="cs"/>
          <w:szCs w:val="24"/>
          <w:rtl/>
          <w:lang w:val="fr-CA" w:bidi="ar-SA"/>
        </w:rPr>
        <w:t xml:space="preserve">ثل بـ </w:t>
      </w:r>
      <w:r>
        <w:rPr>
          <w:rFonts w:hint="cs"/>
          <w:b/>
          <w:bCs/>
          <w:szCs w:val="24"/>
          <w:rtl/>
          <w:lang w:val="fr-CA" w:bidi="ar-SA"/>
        </w:rPr>
        <w:t xml:space="preserve">4.87 </w:t>
      </w:r>
      <w:r>
        <w:rPr>
          <w:rFonts w:hint="cs"/>
          <w:szCs w:val="24"/>
          <w:rtl/>
          <w:lang w:val="fr-CA" w:bidi="ar-SA"/>
        </w:rPr>
        <w:t xml:space="preserve">طن من قدرات استنفاد الأوزون بحلول 1 يناير/كانون الثاني 2022 </w:t>
      </w:r>
      <w:r w:rsidR="00224EE8">
        <w:rPr>
          <w:rFonts w:hint="cs"/>
          <w:szCs w:val="24"/>
          <w:rtl/>
          <w:lang w:val="fr-CA" w:bidi="ar-SA"/>
        </w:rPr>
        <w:t xml:space="preserve">امتثالا </w:t>
      </w:r>
      <w:r>
        <w:rPr>
          <w:rFonts w:hint="cs"/>
          <w:szCs w:val="24"/>
          <w:rtl/>
          <w:lang w:val="fr-CA" w:bidi="ar-SA"/>
        </w:rPr>
        <w:t>لجداول بروتوكول مونتريال.</w:t>
      </w:r>
    </w:p>
    <w:p w14:paraId="6E5E5788" w14:textId="77777777" w:rsidR="00B85029" w:rsidRPr="00224EE8" w:rsidRDefault="00B85029" w:rsidP="00B85029">
      <w:pPr>
        <w:tabs>
          <w:tab w:val="left" w:pos="4095"/>
          <w:tab w:val="center" w:pos="4680"/>
        </w:tabs>
        <w:bidi/>
        <w:rPr>
          <w:szCs w:val="24"/>
          <w:rtl/>
          <w:lang w:bidi="ar-EG"/>
        </w:rPr>
      </w:pPr>
    </w:p>
    <w:p w14:paraId="3450F125" w14:textId="77777777" w:rsidR="00B85029" w:rsidRDefault="00B85029" w:rsidP="00B85029">
      <w:pPr>
        <w:tabs>
          <w:tab w:val="center" w:pos="4"/>
        </w:tabs>
        <w:bidi/>
        <w:rPr>
          <w:b/>
          <w:bCs/>
          <w:szCs w:val="24"/>
          <w:rtl/>
          <w:lang w:bidi="ar-EG"/>
        </w:rPr>
      </w:pPr>
      <w:r>
        <w:rPr>
          <w:rFonts w:hint="cs"/>
          <w:b/>
          <w:bCs/>
          <w:szCs w:val="24"/>
          <w:rtl/>
          <w:lang w:bidi="ar-EG"/>
        </w:rPr>
        <w:t>16.</w:t>
      </w:r>
      <w:r>
        <w:rPr>
          <w:rFonts w:hint="cs"/>
          <w:b/>
          <w:bCs/>
          <w:szCs w:val="24"/>
          <w:rtl/>
          <w:lang w:bidi="ar-EG"/>
        </w:rPr>
        <w:tab/>
        <w:t>يحلّ هذا الاتفاق المحيّن محلّ الاتفاق المبرم بين غينيا واللجنة التنفيذية في اجتماعها السادس والستين.</w:t>
      </w:r>
    </w:p>
    <w:p w14:paraId="203FF248" w14:textId="77777777" w:rsidR="00B85029" w:rsidRDefault="00B85029" w:rsidP="00B85029">
      <w:pPr>
        <w:bidi/>
        <w:rPr>
          <w:b/>
          <w:bCs/>
          <w:szCs w:val="24"/>
          <w:rtl/>
          <w:lang w:val="fr-CA" w:bidi="ar-EG"/>
        </w:rPr>
      </w:pPr>
    </w:p>
    <w:p w14:paraId="503E85D4" w14:textId="77777777" w:rsidR="00B85029" w:rsidRDefault="00B85029" w:rsidP="00B85029">
      <w:pPr>
        <w:bidi/>
        <w:rPr>
          <w:b/>
          <w:bCs/>
          <w:sz w:val="26"/>
          <w:szCs w:val="26"/>
          <w:rtl/>
          <w:lang w:val="fr-CA" w:bidi="ar-EG"/>
        </w:rPr>
      </w:pPr>
      <w:r>
        <w:rPr>
          <w:rFonts w:hint="cs"/>
          <w:b/>
          <w:bCs/>
          <w:sz w:val="26"/>
          <w:szCs w:val="26"/>
          <w:rtl/>
          <w:lang w:val="fr-CA" w:bidi="ar-EG"/>
        </w:rPr>
        <w:t>التذييل 1-أ: المواد</w:t>
      </w:r>
    </w:p>
    <w:p w14:paraId="09A0EF69" w14:textId="77777777" w:rsidR="00B85029" w:rsidRDefault="00B85029" w:rsidP="00B85029">
      <w:pPr>
        <w:bidi/>
        <w:rPr>
          <w:b/>
          <w:bCs/>
          <w:szCs w:val="24"/>
          <w:rtl/>
          <w:lang w:val="fr-CA" w:bidi="ar-EG"/>
        </w:rPr>
      </w:pPr>
    </w:p>
    <w:tbl>
      <w:tblPr>
        <w:tblStyle w:val="TableGrid"/>
        <w:bidiVisual/>
        <w:tblW w:w="5021" w:type="pct"/>
        <w:tblLook w:val="04A0" w:firstRow="1" w:lastRow="0" w:firstColumn="1" w:lastColumn="0" w:noHBand="0" w:noVBand="1"/>
      </w:tblPr>
      <w:tblGrid>
        <w:gridCol w:w="3376"/>
        <w:gridCol w:w="2750"/>
        <w:gridCol w:w="2758"/>
        <w:gridCol w:w="4713"/>
      </w:tblGrid>
      <w:tr w:rsidR="00B85029" w:rsidRPr="00B85029" w14:paraId="210333E9" w14:textId="77777777" w:rsidTr="00B85029">
        <w:trPr>
          <w:trHeight w:val="187"/>
        </w:trPr>
        <w:tc>
          <w:tcPr>
            <w:tcW w:w="1241" w:type="pct"/>
          </w:tcPr>
          <w:p w14:paraId="7E0D3701" w14:textId="77777777" w:rsidR="00B85029" w:rsidRPr="00B85029" w:rsidRDefault="00B85029" w:rsidP="00B85029">
            <w:pPr>
              <w:bidi/>
              <w:rPr>
                <w:sz w:val="20"/>
                <w:rtl/>
                <w:lang w:val="fr-CA" w:bidi="ar-EG"/>
              </w:rPr>
            </w:pPr>
            <w:r w:rsidRPr="00B85029">
              <w:rPr>
                <w:rFonts w:hint="cs"/>
                <w:sz w:val="20"/>
                <w:rtl/>
                <w:lang w:val="fr-CA" w:bidi="ar-EG"/>
              </w:rPr>
              <w:t>المواد</w:t>
            </w:r>
          </w:p>
        </w:tc>
        <w:tc>
          <w:tcPr>
            <w:tcW w:w="1011" w:type="pct"/>
          </w:tcPr>
          <w:p w14:paraId="5C04137A" w14:textId="77777777" w:rsidR="00B85029" w:rsidRPr="00B85029" w:rsidRDefault="00B85029" w:rsidP="00B85029">
            <w:pPr>
              <w:bidi/>
              <w:jc w:val="center"/>
              <w:rPr>
                <w:sz w:val="20"/>
                <w:rtl/>
                <w:lang w:val="fr-CA" w:bidi="ar-EG"/>
              </w:rPr>
            </w:pPr>
            <w:r>
              <w:rPr>
                <w:rFonts w:hint="cs"/>
                <w:sz w:val="20"/>
                <w:rtl/>
                <w:lang w:val="fr-CA" w:bidi="ar-EG"/>
              </w:rPr>
              <w:t>المرفق</w:t>
            </w:r>
          </w:p>
        </w:tc>
        <w:tc>
          <w:tcPr>
            <w:tcW w:w="1014" w:type="pct"/>
          </w:tcPr>
          <w:p w14:paraId="236C21BD" w14:textId="77777777" w:rsidR="00B85029" w:rsidRPr="00B85029" w:rsidRDefault="00B85029" w:rsidP="00B85029">
            <w:pPr>
              <w:bidi/>
              <w:jc w:val="center"/>
              <w:rPr>
                <w:sz w:val="20"/>
                <w:rtl/>
                <w:lang w:val="fr-CA" w:bidi="ar-EG"/>
              </w:rPr>
            </w:pPr>
            <w:r>
              <w:rPr>
                <w:rFonts w:hint="cs"/>
                <w:sz w:val="20"/>
                <w:rtl/>
                <w:lang w:val="fr-CA" w:bidi="ar-EG"/>
              </w:rPr>
              <w:t>المجموعة</w:t>
            </w:r>
          </w:p>
        </w:tc>
        <w:tc>
          <w:tcPr>
            <w:tcW w:w="1733" w:type="pct"/>
          </w:tcPr>
          <w:p w14:paraId="06571127" w14:textId="77777777" w:rsidR="00B85029" w:rsidRDefault="00B85029" w:rsidP="00B85029">
            <w:pPr>
              <w:bidi/>
              <w:jc w:val="center"/>
              <w:rPr>
                <w:sz w:val="20"/>
                <w:rtl/>
                <w:lang w:val="fr-CA" w:bidi="ar-EG"/>
              </w:rPr>
            </w:pPr>
            <w:r>
              <w:rPr>
                <w:rFonts w:hint="cs"/>
                <w:sz w:val="20"/>
                <w:rtl/>
                <w:lang w:val="fr-CA" w:bidi="ar-EG"/>
              </w:rPr>
              <w:t xml:space="preserve">نقطة البداية للتخفيضات المجمعة للاستهلاك </w:t>
            </w:r>
          </w:p>
          <w:p w14:paraId="5539AF34" w14:textId="77777777" w:rsidR="00B85029" w:rsidRPr="00B85029" w:rsidRDefault="00B85029" w:rsidP="00B85029">
            <w:pPr>
              <w:bidi/>
              <w:jc w:val="center"/>
              <w:rPr>
                <w:sz w:val="20"/>
                <w:rtl/>
                <w:lang w:val="fr-CA" w:bidi="ar-EG"/>
              </w:rPr>
            </w:pPr>
            <w:r>
              <w:rPr>
                <w:rFonts w:hint="cs"/>
                <w:sz w:val="20"/>
                <w:rtl/>
                <w:lang w:val="fr-CA" w:bidi="ar-EG"/>
              </w:rPr>
              <w:t>(طن من قدرات الأوزون)</w:t>
            </w:r>
          </w:p>
        </w:tc>
      </w:tr>
      <w:tr w:rsidR="00B85029" w:rsidRPr="00B85029" w14:paraId="39FE8CE6" w14:textId="77777777" w:rsidTr="00B85029">
        <w:trPr>
          <w:trHeight w:val="187"/>
        </w:trPr>
        <w:tc>
          <w:tcPr>
            <w:tcW w:w="1241" w:type="pct"/>
          </w:tcPr>
          <w:p w14:paraId="12EB3934" w14:textId="77777777" w:rsidR="00B85029" w:rsidRPr="00B85029" w:rsidRDefault="00B85029" w:rsidP="00B85029">
            <w:pPr>
              <w:bidi/>
              <w:rPr>
                <w:sz w:val="20"/>
                <w:rtl/>
                <w:lang w:val="fr-CA" w:bidi="ar-EG"/>
              </w:rPr>
            </w:pPr>
            <w:r>
              <w:rPr>
                <w:rFonts w:hint="cs"/>
                <w:sz w:val="20"/>
                <w:rtl/>
                <w:lang w:val="fr-CA" w:bidi="ar-EG"/>
              </w:rPr>
              <w:t>الهيدروكلوروفلوروكربون-22</w:t>
            </w:r>
          </w:p>
        </w:tc>
        <w:tc>
          <w:tcPr>
            <w:tcW w:w="1011" w:type="pct"/>
          </w:tcPr>
          <w:p w14:paraId="64FE4546" w14:textId="77777777" w:rsidR="00B85029" w:rsidRPr="00B85029" w:rsidRDefault="00B85029" w:rsidP="00B85029">
            <w:pPr>
              <w:bidi/>
              <w:rPr>
                <w:sz w:val="20"/>
                <w:rtl/>
                <w:lang w:val="fr-CA" w:bidi="ar-EG"/>
              </w:rPr>
            </w:pPr>
            <w:r>
              <w:rPr>
                <w:rFonts w:hint="cs"/>
                <w:sz w:val="20"/>
                <w:rtl/>
                <w:lang w:val="fr-CA" w:bidi="ar-EG"/>
              </w:rPr>
              <w:t>ج</w:t>
            </w:r>
          </w:p>
        </w:tc>
        <w:tc>
          <w:tcPr>
            <w:tcW w:w="1014" w:type="pct"/>
          </w:tcPr>
          <w:p w14:paraId="09B46FEA" w14:textId="77777777" w:rsidR="00B85029" w:rsidRPr="00B85029" w:rsidRDefault="00B85029" w:rsidP="00B85029">
            <w:pPr>
              <w:bidi/>
              <w:rPr>
                <w:sz w:val="20"/>
                <w:rtl/>
                <w:lang w:val="fr-CA" w:bidi="ar-EG"/>
              </w:rPr>
            </w:pPr>
            <w:r>
              <w:rPr>
                <w:rFonts w:hint="cs"/>
                <w:sz w:val="20"/>
                <w:rtl/>
                <w:lang w:val="fr-CA" w:bidi="ar-EG"/>
              </w:rPr>
              <w:t>1</w:t>
            </w:r>
          </w:p>
        </w:tc>
        <w:tc>
          <w:tcPr>
            <w:tcW w:w="1733" w:type="pct"/>
          </w:tcPr>
          <w:p w14:paraId="6A36238B" w14:textId="77777777" w:rsidR="00B85029" w:rsidRPr="00B85029" w:rsidRDefault="00B85029" w:rsidP="00B85029">
            <w:pPr>
              <w:bidi/>
              <w:rPr>
                <w:b/>
                <w:bCs/>
                <w:sz w:val="20"/>
                <w:rtl/>
                <w:lang w:val="fr-CA" w:bidi="ar-EG"/>
              </w:rPr>
            </w:pPr>
            <w:r w:rsidRPr="00B85029">
              <w:rPr>
                <w:rFonts w:hint="cs"/>
                <w:b/>
                <w:bCs/>
                <w:sz w:val="20"/>
                <w:rtl/>
                <w:lang w:val="fr-CA" w:bidi="ar-EG"/>
              </w:rPr>
              <w:t>7.51</w:t>
            </w:r>
          </w:p>
        </w:tc>
      </w:tr>
    </w:tbl>
    <w:p w14:paraId="757021A1" w14:textId="77777777" w:rsidR="00B85029" w:rsidRPr="00B85029" w:rsidRDefault="00B85029" w:rsidP="00B85029">
      <w:pPr>
        <w:bidi/>
        <w:rPr>
          <w:b/>
          <w:bCs/>
          <w:szCs w:val="24"/>
          <w:rtl/>
          <w:lang w:val="fr-CA" w:bidi="ar-EG"/>
        </w:rPr>
      </w:pPr>
    </w:p>
    <w:p w14:paraId="7FA22F45" w14:textId="77777777" w:rsidR="003C4983" w:rsidRDefault="003C4983">
      <w:pPr>
        <w:jc w:val="left"/>
        <w:rPr>
          <w:b/>
          <w:bCs/>
          <w:sz w:val="26"/>
          <w:szCs w:val="26"/>
          <w:rtl/>
          <w:lang w:val="fr-CA"/>
        </w:rPr>
      </w:pPr>
      <w:r>
        <w:rPr>
          <w:b/>
          <w:bCs/>
          <w:sz w:val="26"/>
          <w:szCs w:val="26"/>
          <w:rtl/>
          <w:lang w:val="fr-CA"/>
        </w:rPr>
        <w:br w:type="page"/>
      </w:r>
    </w:p>
    <w:p w14:paraId="69C701AA" w14:textId="3CCC2B34" w:rsidR="00B85029" w:rsidRDefault="00B85029" w:rsidP="00B85029">
      <w:pPr>
        <w:bidi/>
        <w:rPr>
          <w:b/>
          <w:bCs/>
          <w:sz w:val="26"/>
          <w:szCs w:val="26"/>
          <w:rtl/>
          <w:lang w:val="fr-CA"/>
        </w:rPr>
      </w:pPr>
      <w:r>
        <w:rPr>
          <w:rFonts w:hint="cs"/>
          <w:b/>
          <w:bCs/>
          <w:sz w:val="26"/>
          <w:szCs w:val="26"/>
          <w:rtl/>
          <w:lang w:val="fr-CA"/>
        </w:rPr>
        <w:lastRenderedPageBreak/>
        <w:t>التذييل 2-أ: الأهداف والتمويل</w:t>
      </w:r>
    </w:p>
    <w:p w14:paraId="1297D16B" w14:textId="77777777" w:rsidR="00B85029" w:rsidRPr="00B85029" w:rsidRDefault="00B85029" w:rsidP="00B85029">
      <w:pPr>
        <w:bidi/>
        <w:rPr>
          <w:b/>
          <w:bCs/>
          <w:szCs w:val="24"/>
          <w:rtl/>
          <w:lang w:val="fr-CA"/>
        </w:rPr>
      </w:pPr>
    </w:p>
    <w:tbl>
      <w:tblPr>
        <w:tblStyle w:val="TableGrid"/>
        <w:bidiVisual/>
        <w:tblW w:w="13577" w:type="dxa"/>
        <w:tblLayout w:type="fixed"/>
        <w:tblLook w:val="04A0" w:firstRow="1" w:lastRow="0" w:firstColumn="1" w:lastColumn="0" w:noHBand="0" w:noVBand="1"/>
      </w:tblPr>
      <w:tblGrid>
        <w:gridCol w:w="607"/>
        <w:gridCol w:w="3190"/>
        <w:gridCol w:w="815"/>
        <w:gridCol w:w="815"/>
        <w:gridCol w:w="815"/>
        <w:gridCol w:w="815"/>
        <w:gridCol w:w="815"/>
        <w:gridCol w:w="815"/>
        <w:gridCol w:w="815"/>
        <w:gridCol w:w="815"/>
        <w:gridCol w:w="815"/>
        <w:gridCol w:w="815"/>
        <w:gridCol w:w="802"/>
        <w:gridCol w:w="13"/>
        <w:gridCol w:w="815"/>
      </w:tblGrid>
      <w:tr w:rsidR="00DC5BE1" w:rsidRPr="00EF63B6" w14:paraId="18476534" w14:textId="77777777" w:rsidTr="00DC5BE1">
        <w:tc>
          <w:tcPr>
            <w:tcW w:w="607" w:type="dxa"/>
          </w:tcPr>
          <w:p w14:paraId="6549B69B"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السطر</w:t>
            </w:r>
          </w:p>
        </w:tc>
        <w:tc>
          <w:tcPr>
            <w:tcW w:w="3190" w:type="dxa"/>
          </w:tcPr>
          <w:p w14:paraId="57EF561D"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التفاصيل</w:t>
            </w:r>
          </w:p>
        </w:tc>
        <w:tc>
          <w:tcPr>
            <w:tcW w:w="815" w:type="dxa"/>
          </w:tcPr>
          <w:p w14:paraId="13C76F67" w14:textId="77777777" w:rsidR="00DC5BE1" w:rsidRPr="00EF63B6" w:rsidRDefault="00DC5BE1" w:rsidP="00DC5BE1">
            <w:pPr>
              <w:tabs>
                <w:tab w:val="center" w:pos="4"/>
              </w:tabs>
              <w:bidi/>
              <w:jc w:val="center"/>
              <w:rPr>
                <w:b/>
                <w:bCs/>
                <w:sz w:val="16"/>
                <w:szCs w:val="16"/>
                <w:rtl/>
                <w:lang w:bidi="ar-EG"/>
              </w:rPr>
            </w:pPr>
            <w:r>
              <w:rPr>
                <w:rFonts w:hint="cs"/>
                <w:b/>
                <w:bCs/>
                <w:sz w:val="16"/>
                <w:szCs w:val="16"/>
                <w:rtl/>
                <w:lang w:bidi="ar-EG"/>
              </w:rPr>
              <w:t>2012</w:t>
            </w:r>
          </w:p>
        </w:tc>
        <w:tc>
          <w:tcPr>
            <w:tcW w:w="815" w:type="dxa"/>
          </w:tcPr>
          <w:p w14:paraId="6509863A" w14:textId="77777777" w:rsidR="00DC5BE1" w:rsidRDefault="00DC5BE1" w:rsidP="00CC4210">
            <w:pPr>
              <w:tabs>
                <w:tab w:val="center" w:pos="4"/>
              </w:tabs>
              <w:bidi/>
              <w:jc w:val="center"/>
              <w:rPr>
                <w:b/>
                <w:bCs/>
                <w:sz w:val="16"/>
                <w:szCs w:val="16"/>
                <w:rtl/>
                <w:lang w:bidi="ar-EG"/>
              </w:rPr>
            </w:pPr>
            <w:r>
              <w:rPr>
                <w:rFonts w:hint="cs"/>
                <w:b/>
                <w:bCs/>
                <w:sz w:val="16"/>
                <w:szCs w:val="16"/>
                <w:rtl/>
                <w:lang w:bidi="ar-EG"/>
              </w:rPr>
              <w:t>2013</w:t>
            </w:r>
          </w:p>
        </w:tc>
        <w:tc>
          <w:tcPr>
            <w:tcW w:w="815" w:type="dxa"/>
          </w:tcPr>
          <w:p w14:paraId="396F47AC" w14:textId="77777777" w:rsidR="00DC5BE1" w:rsidRDefault="00DC5BE1" w:rsidP="00CC4210">
            <w:pPr>
              <w:tabs>
                <w:tab w:val="center" w:pos="4"/>
              </w:tabs>
              <w:bidi/>
              <w:jc w:val="center"/>
              <w:rPr>
                <w:b/>
                <w:bCs/>
                <w:sz w:val="16"/>
                <w:szCs w:val="16"/>
                <w:rtl/>
                <w:lang w:bidi="ar-EG"/>
              </w:rPr>
            </w:pPr>
            <w:r>
              <w:rPr>
                <w:rFonts w:hint="cs"/>
                <w:b/>
                <w:bCs/>
                <w:sz w:val="16"/>
                <w:szCs w:val="16"/>
                <w:rtl/>
                <w:lang w:bidi="ar-EG"/>
              </w:rPr>
              <w:t>2014</w:t>
            </w:r>
          </w:p>
        </w:tc>
        <w:tc>
          <w:tcPr>
            <w:tcW w:w="815" w:type="dxa"/>
          </w:tcPr>
          <w:p w14:paraId="7D1D5AD6" w14:textId="77777777" w:rsidR="00DC5BE1" w:rsidRDefault="00DC5BE1" w:rsidP="00CC4210">
            <w:pPr>
              <w:tabs>
                <w:tab w:val="center" w:pos="4"/>
              </w:tabs>
              <w:bidi/>
              <w:jc w:val="center"/>
              <w:rPr>
                <w:b/>
                <w:bCs/>
                <w:sz w:val="16"/>
                <w:szCs w:val="16"/>
                <w:rtl/>
                <w:lang w:bidi="ar-EG"/>
              </w:rPr>
            </w:pPr>
            <w:r>
              <w:rPr>
                <w:rFonts w:hint="cs"/>
                <w:b/>
                <w:bCs/>
                <w:sz w:val="16"/>
                <w:szCs w:val="16"/>
                <w:rtl/>
                <w:lang w:bidi="ar-EG"/>
              </w:rPr>
              <w:t>2015</w:t>
            </w:r>
          </w:p>
        </w:tc>
        <w:tc>
          <w:tcPr>
            <w:tcW w:w="815" w:type="dxa"/>
          </w:tcPr>
          <w:p w14:paraId="6A32BD46" w14:textId="77777777" w:rsidR="00DC5BE1" w:rsidRDefault="00DC5BE1" w:rsidP="00CC4210">
            <w:pPr>
              <w:tabs>
                <w:tab w:val="center" w:pos="4"/>
              </w:tabs>
              <w:bidi/>
              <w:jc w:val="center"/>
              <w:rPr>
                <w:b/>
                <w:bCs/>
                <w:sz w:val="16"/>
                <w:szCs w:val="16"/>
                <w:rtl/>
                <w:lang w:bidi="ar-EG"/>
              </w:rPr>
            </w:pPr>
            <w:r>
              <w:rPr>
                <w:rFonts w:hint="cs"/>
                <w:b/>
                <w:bCs/>
                <w:sz w:val="16"/>
                <w:szCs w:val="16"/>
                <w:rtl/>
                <w:lang w:bidi="ar-EG"/>
              </w:rPr>
              <w:t>2016</w:t>
            </w:r>
          </w:p>
        </w:tc>
        <w:tc>
          <w:tcPr>
            <w:tcW w:w="815" w:type="dxa"/>
          </w:tcPr>
          <w:p w14:paraId="3794183F"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2017</w:t>
            </w:r>
          </w:p>
        </w:tc>
        <w:tc>
          <w:tcPr>
            <w:tcW w:w="815" w:type="dxa"/>
          </w:tcPr>
          <w:p w14:paraId="4772FF5B"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2018</w:t>
            </w:r>
          </w:p>
        </w:tc>
        <w:tc>
          <w:tcPr>
            <w:tcW w:w="815" w:type="dxa"/>
          </w:tcPr>
          <w:p w14:paraId="21BB1110"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2019</w:t>
            </w:r>
          </w:p>
        </w:tc>
        <w:tc>
          <w:tcPr>
            <w:tcW w:w="815" w:type="dxa"/>
          </w:tcPr>
          <w:p w14:paraId="208A65D6"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2020</w:t>
            </w:r>
          </w:p>
        </w:tc>
        <w:tc>
          <w:tcPr>
            <w:tcW w:w="815" w:type="dxa"/>
          </w:tcPr>
          <w:p w14:paraId="7871801B"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2021</w:t>
            </w:r>
          </w:p>
        </w:tc>
        <w:tc>
          <w:tcPr>
            <w:tcW w:w="815" w:type="dxa"/>
            <w:gridSpan w:val="2"/>
          </w:tcPr>
          <w:p w14:paraId="354C82F2" w14:textId="77777777" w:rsidR="00DC5BE1" w:rsidRDefault="00DC5BE1" w:rsidP="00CC4210">
            <w:pPr>
              <w:tabs>
                <w:tab w:val="center" w:pos="4"/>
              </w:tabs>
              <w:bidi/>
              <w:jc w:val="center"/>
              <w:rPr>
                <w:b/>
                <w:bCs/>
                <w:sz w:val="16"/>
                <w:szCs w:val="16"/>
                <w:rtl/>
                <w:lang w:bidi="ar-EG"/>
              </w:rPr>
            </w:pPr>
            <w:r>
              <w:rPr>
                <w:rFonts w:hint="cs"/>
                <w:b/>
                <w:bCs/>
                <w:sz w:val="16"/>
                <w:szCs w:val="16"/>
                <w:rtl/>
                <w:lang w:bidi="ar-EG"/>
              </w:rPr>
              <w:t>2022</w:t>
            </w:r>
          </w:p>
        </w:tc>
        <w:tc>
          <w:tcPr>
            <w:tcW w:w="815" w:type="dxa"/>
          </w:tcPr>
          <w:p w14:paraId="5348508F" w14:textId="77777777" w:rsidR="00DC5BE1" w:rsidRPr="00EF63B6" w:rsidRDefault="00DC5BE1" w:rsidP="00CC4210">
            <w:pPr>
              <w:tabs>
                <w:tab w:val="center" w:pos="4"/>
              </w:tabs>
              <w:bidi/>
              <w:jc w:val="center"/>
              <w:rPr>
                <w:b/>
                <w:bCs/>
                <w:sz w:val="16"/>
                <w:szCs w:val="16"/>
                <w:rtl/>
                <w:lang w:bidi="ar-EG"/>
              </w:rPr>
            </w:pPr>
            <w:r>
              <w:rPr>
                <w:rFonts w:hint="cs"/>
                <w:b/>
                <w:bCs/>
                <w:sz w:val="16"/>
                <w:szCs w:val="16"/>
                <w:rtl/>
                <w:lang w:bidi="ar-EG"/>
              </w:rPr>
              <w:t>المجموع</w:t>
            </w:r>
          </w:p>
        </w:tc>
      </w:tr>
      <w:tr w:rsidR="00DC5BE1" w:rsidRPr="00EF63B6" w14:paraId="1F257F49" w14:textId="77777777" w:rsidTr="00DC5BE1">
        <w:tc>
          <w:tcPr>
            <w:tcW w:w="607" w:type="dxa"/>
          </w:tcPr>
          <w:p w14:paraId="06023AE9"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1.1</w:t>
            </w:r>
          </w:p>
        </w:tc>
        <w:tc>
          <w:tcPr>
            <w:tcW w:w="3190" w:type="dxa"/>
          </w:tcPr>
          <w:p w14:paraId="1E9AA6E8" w14:textId="77777777" w:rsidR="00DC5BE1" w:rsidRPr="00EF63B6" w:rsidRDefault="00DC5BE1" w:rsidP="00DC5BE1">
            <w:pPr>
              <w:tabs>
                <w:tab w:val="center" w:pos="4"/>
              </w:tabs>
              <w:bidi/>
              <w:jc w:val="left"/>
              <w:rPr>
                <w:b/>
                <w:bCs/>
                <w:sz w:val="16"/>
                <w:szCs w:val="16"/>
                <w:rtl/>
                <w:lang w:bidi="ar-EG"/>
              </w:rPr>
            </w:pPr>
            <w:r>
              <w:rPr>
                <w:rFonts w:hint="cs"/>
                <w:sz w:val="16"/>
                <w:szCs w:val="16"/>
                <w:rtl/>
                <w:lang w:bidi="ar-EG"/>
              </w:rPr>
              <w:t>جدول التخفيض الخاص بمواد المجموعة الأولى من المرفق ج لبروتوكول مونتريال (طن من قدرات استنفاد الأوزون)</w:t>
            </w:r>
          </w:p>
        </w:tc>
        <w:tc>
          <w:tcPr>
            <w:tcW w:w="815" w:type="dxa"/>
          </w:tcPr>
          <w:p w14:paraId="2E01D6D8"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لا ينطبق</w:t>
            </w:r>
          </w:p>
        </w:tc>
        <w:tc>
          <w:tcPr>
            <w:tcW w:w="815" w:type="dxa"/>
          </w:tcPr>
          <w:p w14:paraId="179BD7AA" w14:textId="77777777" w:rsidR="00DC5BE1" w:rsidRDefault="00DC5BE1" w:rsidP="00DC5BE1">
            <w:pPr>
              <w:tabs>
                <w:tab w:val="center" w:pos="4"/>
              </w:tabs>
              <w:bidi/>
              <w:jc w:val="left"/>
              <w:rPr>
                <w:sz w:val="16"/>
                <w:szCs w:val="16"/>
                <w:rtl/>
                <w:lang w:bidi="ar-EG"/>
              </w:rPr>
            </w:pPr>
            <w:r>
              <w:rPr>
                <w:rFonts w:hint="cs"/>
                <w:sz w:val="16"/>
                <w:szCs w:val="16"/>
                <w:rtl/>
                <w:lang w:bidi="ar-EG"/>
              </w:rPr>
              <w:t>22.61</w:t>
            </w:r>
          </w:p>
        </w:tc>
        <w:tc>
          <w:tcPr>
            <w:tcW w:w="815" w:type="dxa"/>
          </w:tcPr>
          <w:p w14:paraId="50AD5B44" w14:textId="77777777" w:rsidR="00DC5BE1" w:rsidRDefault="00DC5BE1" w:rsidP="00DC5BE1">
            <w:pPr>
              <w:tabs>
                <w:tab w:val="center" w:pos="4"/>
              </w:tabs>
              <w:bidi/>
              <w:jc w:val="left"/>
              <w:rPr>
                <w:sz w:val="16"/>
                <w:szCs w:val="16"/>
                <w:rtl/>
                <w:lang w:bidi="ar-EG"/>
              </w:rPr>
            </w:pPr>
            <w:r>
              <w:rPr>
                <w:rFonts w:hint="cs"/>
                <w:sz w:val="16"/>
                <w:szCs w:val="16"/>
                <w:rtl/>
                <w:lang w:bidi="ar-EG"/>
              </w:rPr>
              <w:t>22.61</w:t>
            </w:r>
          </w:p>
        </w:tc>
        <w:tc>
          <w:tcPr>
            <w:tcW w:w="815" w:type="dxa"/>
          </w:tcPr>
          <w:p w14:paraId="2593169F" w14:textId="77777777" w:rsidR="00DC5BE1" w:rsidRDefault="00DC5BE1" w:rsidP="00DC5BE1">
            <w:pPr>
              <w:tabs>
                <w:tab w:val="center" w:pos="4"/>
              </w:tabs>
              <w:bidi/>
              <w:jc w:val="left"/>
              <w:rPr>
                <w:sz w:val="16"/>
                <w:szCs w:val="16"/>
                <w:rtl/>
                <w:lang w:bidi="ar-EG"/>
              </w:rPr>
            </w:pPr>
            <w:r>
              <w:rPr>
                <w:rFonts w:hint="cs"/>
                <w:sz w:val="16"/>
                <w:szCs w:val="16"/>
                <w:rtl/>
                <w:lang w:bidi="ar-EG"/>
              </w:rPr>
              <w:t>20.35</w:t>
            </w:r>
          </w:p>
        </w:tc>
        <w:tc>
          <w:tcPr>
            <w:tcW w:w="815" w:type="dxa"/>
          </w:tcPr>
          <w:p w14:paraId="16D7A037" w14:textId="77777777" w:rsidR="00DC5BE1" w:rsidRDefault="00DC5BE1" w:rsidP="00DC5BE1">
            <w:pPr>
              <w:tabs>
                <w:tab w:val="center" w:pos="4"/>
              </w:tabs>
              <w:bidi/>
              <w:jc w:val="left"/>
              <w:rPr>
                <w:sz w:val="16"/>
                <w:szCs w:val="16"/>
                <w:rtl/>
                <w:lang w:bidi="ar-EG"/>
              </w:rPr>
            </w:pPr>
            <w:r>
              <w:rPr>
                <w:rFonts w:hint="cs"/>
                <w:sz w:val="16"/>
                <w:szCs w:val="16"/>
                <w:rtl/>
                <w:lang w:bidi="ar-EG"/>
              </w:rPr>
              <w:t>20.35</w:t>
            </w:r>
          </w:p>
        </w:tc>
        <w:tc>
          <w:tcPr>
            <w:tcW w:w="815" w:type="dxa"/>
          </w:tcPr>
          <w:p w14:paraId="692A1846"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20.35</w:t>
            </w:r>
          </w:p>
        </w:tc>
        <w:tc>
          <w:tcPr>
            <w:tcW w:w="815" w:type="dxa"/>
          </w:tcPr>
          <w:p w14:paraId="0EF21B69"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20.35</w:t>
            </w:r>
          </w:p>
        </w:tc>
        <w:tc>
          <w:tcPr>
            <w:tcW w:w="815" w:type="dxa"/>
          </w:tcPr>
          <w:p w14:paraId="791246C9"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20.35</w:t>
            </w:r>
          </w:p>
        </w:tc>
        <w:tc>
          <w:tcPr>
            <w:tcW w:w="815" w:type="dxa"/>
          </w:tcPr>
          <w:p w14:paraId="4D327D56"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14.70</w:t>
            </w:r>
          </w:p>
        </w:tc>
        <w:tc>
          <w:tcPr>
            <w:tcW w:w="815" w:type="dxa"/>
          </w:tcPr>
          <w:p w14:paraId="24FF30DF"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14.70</w:t>
            </w:r>
          </w:p>
        </w:tc>
        <w:tc>
          <w:tcPr>
            <w:tcW w:w="815" w:type="dxa"/>
            <w:gridSpan w:val="2"/>
          </w:tcPr>
          <w:p w14:paraId="6D02B2AD"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14.70</w:t>
            </w:r>
          </w:p>
        </w:tc>
        <w:tc>
          <w:tcPr>
            <w:tcW w:w="815" w:type="dxa"/>
          </w:tcPr>
          <w:p w14:paraId="1B8D849F"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لا ينطبق</w:t>
            </w:r>
          </w:p>
        </w:tc>
      </w:tr>
      <w:tr w:rsidR="00DC5BE1" w:rsidRPr="00EF63B6" w14:paraId="5550B863" w14:textId="77777777" w:rsidTr="00DC5BE1">
        <w:tc>
          <w:tcPr>
            <w:tcW w:w="607" w:type="dxa"/>
          </w:tcPr>
          <w:p w14:paraId="7C90DDD8"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1.2</w:t>
            </w:r>
          </w:p>
        </w:tc>
        <w:tc>
          <w:tcPr>
            <w:tcW w:w="3190" w:type="dxa"/>
          </w:tcPr>
          <w:p w14:paraId="5C9BAEDD" w14:textId="77777777" w:rsidR="00DC5BE1" w:rsidRPr="00EF63B6" w:rsidRDefault="00DC5BE1" w:rsidP="00DC5BE1">
            <w:pPr>
              <w:tabs>
                <w:tab w:val="center" w:pos="4"/>
              </w:tabs>
              <w:bidi/>
              <w:jc w:val="left"/>
              <w:rPr>
                <w:sz w:val="16"/>
                <w:szCs w:val="16"/>
                <w:rtl/>
                <w:lang w:bidi="ar-EG"/>
              </w:rPr>
            </w:pPr>
            <w:r w:rsidRPr="00EF63B6">
              <w:rPr>
                <w:rFonts w:hint="cs"/>
                <w:sz w:val="16"/>
                <w:szCs w:val="16"/>
                <w:rtl/>
                <w:lang w:bidi="ar-EG"/>
              </w:rPr>
              <w:t>الحدّ الأقصى للاستهلاك المسموح به من مواد المجموعة الأولى من المرفق ج لبروتوكول مونتريال (طن من قدرات استنفاد الأوزون)</w:t>
            </w:r>
          </w:p>
        </w:tc>
        <w:tc>
          <w:tcPr>
            <w:tcW w:w="815" w:type="dxa"/>
          </w:tcPr>
          <w:p w14:paraId="5B9036D1"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لا ينطبق</w:t>
            </w:r>
          </w:p>
        </w:tc>
        <w:tc>
          <w:tcPr>
            <w:tcW w:w="815" w:type="dxa"/>
          </w:tcPr>
          <w:p w14:paraId="4693C44C"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7.51</w:t>
            </w:r>
          </w:p>
        </w:tc>
        <w:tc>
          <w:tcPr>
            <w:tcW w:w="815" w:type="dxa"/>
          </w:tcPr>
          <w:p w14:paraId="2DDE5F51"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7.51</w:t>
            </w:r>
          </w:p>
        </w:tc>
        <w:tc>
          <w:tcPr>
            <w:tcW w:w="815" w:type="dxa"/>
          </w:tcPr>
          <w:p w14:paraId="46FB79BF"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6.75</w:t>
            </w:r>
          </w:p>
        </w:tc>
        <w:tc>
          <w:tcPr>
            <w:tcW w:w="815" w:type="dxa"/>
          </w:tcPr>
          <w:p w14:paraId="387A6DA1"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6.75</w:t>
            </w:r>
          </w:p>
        </w:tc>
        <w:tc>
          <w:tcPr>
            <w:tcW w:w="815" w:type="dxa"/>
          </w:tcPr>
          <w:p w14:paraId="4BCC79C7"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6.75</w:t>
            </w:r>
          </w:p>
        </w:tc>
        <w:tc>
          <w:tcPr>
            <w:tcW w:w="815" w:type="dxa"/>
          </w:tcPr>
          <w:p w14:paraId="7E689B49"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6.75</w:t>
            </w:r>
          </w:p>
        </w:tc>
        <w:tc>
          <w:tcPr>
            <w:tcW w:w="815" w:type="dxa"/>
          </w:tcPr>
          <w:p w14:paraId="0E1A311D"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6.75</w:t>
            </w:r>
          </w:p>
        </w:tc>
        <w:tc>
          <w:tcPr>
            <w:tcW w:w="815" w:type="dxa"/>
          </w:tcPr>
          <w:p w14:paraId="1DDAE71A"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4.87</w:t>
            </w:r>
          </w:p>
        </w:tc>
        <w:tc>
          <w:tcPr>
            <w:tcW w:w="815" w:type="dxa"/>
          </w:tcPr>
          <w:p w14:paraId="71E08172"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4.87</w:t>
            </w:r>
          </w:p>
        </w:tc>
        <w:tc>
          <w:tcPr>
            <w:tcW w:w="815" w:type="dxa"/>
            <w:gridSpan w:val="2"/>
          </w:tcPr>
          <w:p w14:paraId="4CD2EAAC"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4.87</w:t>
            </w:r>
          </w:p>
        </w:tc>
        <w:tc>
          <w:tcPr>
            <w:tcW w:w="815" w:type="dxa"/>
          </w:tcPr>
          <w:p w14:paraId="5281B6DA"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لا ينطبق</w:t>
            </w:r>
          </w:p>
        </w:tc>
      </w:tr>
      <w:tr w:rsidR="00DC5BE1" w:rsidRPr="00EF63B6" w14:paraId="19116768" w14:textId="77777777" w:rsidTr="00DC5BE1">
        <w:tc>
          <w:tcPr>
            <w:tcW w:w="607" w:type="dxa"/>
          </w:tcPr>
          <w:p w14:paraId="14BE9D16"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2.1</w:t>
            </w:r>
          </w:p>
        </w:tc>
        <w:tc>
          <w:tcPr>
            <w:tcW w:w="3190" w:type="dxa"/>
          </w:tcPr>
          <w:p w14:paraId="6F9D16C7" w14:textId="77777777" w:rsidR="00DC5BE1" w:rsidRDefault="00DC5BE1" w:rsidP="00DC5BE1">
            <w:pPr>
              <w:tabs>
                <w:tab w:val="center" w:pos="4"/>
              </w:tabs>
              <w:bidi/>
              <w:jc w:val="left"/>
              <w:rPr>
                <w:sz w:val="16"/>
                <w:szCs w:val="16"/>
                <w:rtl/>
                <w:lang w:bidi="ar-EG"/>
              </w:rPr>
            </w:pPr>
            <w:r>
              <w:rPr>
                <w:rFonts w:hint="cs"/>
                <w:sz w:val="16"/>
                <w:szCs w:val="16"/>
                <w:rtl/>
                <w:lang w:bidi="ar-EG"/>
              </w:rPr>
              <w:t xml:space="preserve">التمويل المقرر للوكالة المنفذة الرئيسية </w:t>
            </w:r>
          </w:p>
          <w:p w14:paraId="787FBC90" w14:textId="77777777" w:rsidR="00DC5BE1" w:rsidRPr="00EF63B6" w:rsidRDefault="00DC5BE1" w:rsidP="00DC5BE1">
            <w:pPr>
              <w:tabs>
                <w:tab w:val="center" w:pos="4"/>
              </w:tabs>
              <w:bidi/>
              <w:jc w:val="left"/>
              <w:rPr>
                <w:b/>
                <w:bCs/>
                <w:sz w:val="16"/>
                <w:szCs w:val="16"/>
                <w:rtl/>
                <w:lang w:bidi="ar-EG"/>
              </w:rPr>
            </w:pPr>
            <w:r>
              <w:rPr>
                <w:rFonts w:hint="cs"/>
                <w:sz w:val="16"/>
                <w:szCs w:val="16"/>
                <w:rtl/>
                <w:lang w:bidi="ar-EG"/>
              </w:rPr>
              <w:t>(برنامج الأمم المتحدة للبيئة) (دولار أمريكي)</w:t>
            </w:r>
          </w:p>
        </w:tc>
        <w:tc>
          <w:tcPr>
            <w:tcW w:w="815" w:type="dxa"/>
          </w:tcPr>
          <w:p w14:paraId="5771CC48" w14:textId="77777777" w:rsidR="00DC5BE1" w:rsidRPr="00DC5BE1" w:rsidRDefault="00DC5BE1" w:rsidP="00DC5BE1">
            <w:pPr>
              <w:tabs>
                <w:tab w:val="center" w:pos="4"/>
              </w:tabs>
              <w:bidi/>
              <w:jc w:val="left"/>
              <w:rPr>
                <w:sz w:val="16"/>
                <w:szCs w:val="16"/>
                <w:rtl/>
                <w:lang w:bidi="ar-EG"/>
              </w:rPr>
            </w:pPr>
            <w:r>
              <w:rPr>
                <w:rFonts w:hint="cs"/>
                <w:sz w:val="16"/>
                <w:szCs w:val="16"/>
                <w:rtl/>
                <w:lang w:bidi="ar-EG"/>
              </w:rPr>
              <w:t>85,000</w:t>
            </w:r>
          </w:p>
        </w:tc>
        <w:tc>
          <w:tcPr>
            <w:tcW w:w="815" w:type="dxa"/>
          </w:tcPr>
          <w:p w14:paraId="43B6DC9E"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593A79E8" w14:textId="77777777" w:rsidR="00DC5BE1" w:rsidRDefault="00DC5BE1" w:rsidP="00DC5BE1">
            <w:pPr>
              <w:tabs>
                <w:tab w:val="center" w:pos="4"/>
              </w:tabs>
              <w:bidi/>
              <w:jc w:val="left"/>
              <w:rPr>
                <w:sz w:val="16"/>
                <w:szCs w:val="16"/>
                <w:rtl/>
                <w:lang w:bidi="ar-EG"/>
              </w:rPr>
            </w:pPr>
            <w:r>
              <w:rPr>
                <w:rFonts w:hint="cs"/>
                <w:sz w:val="16"/>
                <w:szCs w:val="16"/>
                <w:rtl/>
                <w:lang w:bidi="ar-EG"/>
              </w:rPr>
              <w:t>60,000</w:t>
            </w:r>
          </w:p>
        </w:tc>
        <w:tc>
          <w:tcPr>
            <w:tcW w:w="815" w:type="dxa"/>
          </w:tcPr>
          <w:p w14:paraId="33639153"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DCAE10A"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0</w:t>
            </w:r>
          </w:p>
        </w:tc>
        <w:tc>
          <w:tcPr>
            <w:tcW w:w="815" w:type="dxa"/>
          </w:tcPr>
          <w:p w14:paraId="3B2805D7"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974CE58"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0</w:t>
            </w:r>
          </w:p>
        </w:tc>
        <w:tc>
          <w:tcPr>
            <w:tcW w:w="815" w:type="dxa"/>
          </w:tcPr>
          <w:p w14:paraId="611CB326"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2511A6F4"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100,000</w:t>
            </w:r>
          </w:p>
        </w:tc>
        <w:tc>
          <w:tcPr>
            <w:tcW w:w="815" w:type="dxa"/>
          </w:tcPr>
          <w:p w14:paraId="313E9291"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488999CB"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61DDE7C5"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245,000</w:t>
            </w:r>
          </w:p>
        </w:tc>
      </w:tr>
      <w:tr w:rsidR="00DC5BE1" w:rsidRPr="00EF63B6" w14:paraId="046DEF0F" w14:textId="77777777" w:rsidTr="00DC5BE1">
        <w:tc>
          <w:tcPr>
            <w:tcW w:w="607" w:type="dxa"/>
          </w:tcPr>
          <w:p w14:paraId="4BB8B767"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2.2</w:t>
            </w:r>
          </w:p>
        </w:tc>
        <w:tc>
          <w:tcPr>
            <w:tcW w:w="3190" w:type="dxa"/>
          </w:tcPr>
          <w:p w14:paraId="0860D438" w14:textId="77777777" w:rsidR="00DC5BE1" w:rsidRDefault="00DC5BE1" w:rsidP="00CC4210">
            <w:pPr>
              <w:tabs>
                <w:tab w:val="center" w:pos="4"/>
              </w:tabs>
              <w:bidi/>
              <w:jc w:val="left"/>
              <w:rPr>
                <w:sz w:val="16"/>
                <w:szCs w:val="16"/>
                <w:rtl/>
                <w:lang w:bidi="ar-EG"/>
              </w:rPr>
            </w:pPr>
            <w:r>
              <w:rPr>
                <w:rFonts w:hint="cs"/>
                <w:sz w:val="16"/>
                <w:szCs w:val="16"/>
                <w:rtl/>
                <w:lang w:bidi="ar-EG"/>
              </w:rPr>
              <w:t xml:space="preserve">تكاليف دعم الوكالة المنفذة الرئيسية </w:t>
            </w:r>
          </w:p>
          <w:p w14:paraId="05BA2E1B" w14:textId="77777777" w:rsidR="00DC5BE1" w:rsidRPr="00EF63B6" w:rsidRDefault="00DC5BE1" w:rsidP="00DC5BE1">
            <w:pPr>
              <w:tabs>
                <w:tab w:val="center" w:pos="4"/>
              </w:tabs>
              <w:bidi/>
              <w:jc w:val="left"/>
              <w:rPr>
                <w:b/>
                <w:bCs/>
                <w:sz w:val="16"/>
                <w:szCs w:val="16"/>
                <w:rtl/>
                <w:lang w:bidi="ar-EG"/>
              </w:rPr>
            </w:pPr>
            <w:r>
              <w:rPr>
                <w:rFonts w:hint="cs"/>
                <w:sz w:val="16"/>
                <w:szCs w:val="16"/>
                <w:rtl/>
                <w:lang w:bidi="ar-EG"/>
              </w:rPr>
              <w:t>(دولار أمريكي)</w:t>
            </w:r>
          </w:p>
        </w:tc>
        <w:tc>
          <w:tcPr>
            <w:tcW w:w="815" w:type="dxa"/>
          </w:tcPr>
          <w:p w14:paraId="52877968" w14:textId="77777777" w:rsidR="00DC5BE1" w:rsidRPr="00DC5BE1" w:rsidRDefault="00DC5BE1" w:rsidP="00DC5BE1">
            <w:pPr>
              <w:tabs>
                <w:tab w:val="center" w:pos="4"/>
              </w:tabs>
              <w:bidi/>
              <w:jc w:val="left"/>
              <w:rPr>
                <w:sz w:val="16"/>
                <w:szCs w:val="16"/>
                <w:rtl/>
                <w:lang w:bidi="ar-EG"/>
              </w:rPr>
            </w:pPr>
            <w:r>
              <w:rPr>
                <w:rFonts w:hint="cs"/>
                <w:sz w:val="16"/>
                <w:szCs w:val="16"/>
                <w:rtl/>
                <w:lang w:bidi="ar-EG"/>
              </w:rPr>
              <w:t>11,050</w:t>
            </w:r>
          </w:p>
        </w:tc>
        <w:tc>
          <w:tcPr>
            <w:tcW w:w="815" w:type="dxa"/>
          </w:tcPr>
          <w:p w14:paraId="32495C14"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35E482D" w14:textId="77777777" w:rsidR="00DC5BE1" w:rsidRDefault="00DC5BE1" w:rsidP="00DC5BE1">
            <w:pPr>
              <w:tabs>
                <w:tab w:val="center" w:pos="4"/>
              </w:tabs>
              <w:bidi/>
              <w:jc w:val="left"/>
              <w:rPr>
                <w:sz w:val="16"/>
                <w:szCs w:val="16"/>
                <w:rtl/>
                <w:lang w:bidi="ar-EG"/>
              </w:rPr>
            </w:pPr>
            <w:r>
              <w:rPr>
                <w:rFonts w:hint="cs"/>
                <w:sz w:val="16"/>
                <w:szCs w:val="16"/>
                <w:rtl/>
                <w:lang w:bidi="ar-EG"/>
              </w:rPr>
              <w:t>7,800</w:t>
            </w:r>
          </w:p>
        </w:tc>
        <w:tc>
          <w:tcPr>
            <w:tcW w:w="815" w:type="dxa"/>
          </w:tcPr>
          <w:p w14:paraId="1303C92E"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1349B398"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0D7B8572"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56BB14DE"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0</w:t>
            </w:r>
          </w:p>
        </w:tc>
        <w:tc>
          <w:tcPr>
            <w:tcW w:w="815" w:type="dxa"/>
          </w:tcPr>
          <w:p w14:paraId="621C7A2A"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79877E36"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13,000</w:t>
            </w:r>
          </w:p>
        </w:tc>
        <w:tc>
          <w:tcPr>
            <w:tcW w:w="815" w:type="dxa"/>
          </w:tcPr>
          <w:p w14:paraId="5E01DF77"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08E6D032"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19CDBA39"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31,850</w:t>
            </w:r>
          </w:p>
        </w:tc>
      </w:tr>
      <w:tr w:rsidR="00DC5BE1" w:rsidRPr="00EF63B6" w14:paraId="111AEDC2" w14:textId="77777777" w:rsidTr="00DC5BE1">
        <w:tc>
          <w:tcPr>
            <w:tcW w:w="607" w:type="dxa"/>
          </w:tcPr>
          <w:p w14:paraId="0878B778"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2.3</w:t>
            </w:r>
          </w:p>
        </w:tc>
        <w:tc>
          <w:tcPr>
            <w:tcW w:w="3190" w:type="dxa"/>
          </w:tcPr>
          <w:p w14:paraId="1A231FBB" w14:textId="77777777" w:rsidR="00DC5BE1" w:rsidRDefault="00DC5BE1" w:rsidP="00DC5BE1">
            <w:pPr>
              <w:tabs>
                <w:tab w:val="center" w:pos="4"/>
              </w:tabs>
              <w:bidi/>
              <w:jc w:val="left"/>
              <w:rPr>
                <w:sz w:val="16"/>
                <w:szCs w:val="16"/>
                <w:rtl/>
                <w:lang w:bidi="ar-EG"/>
              </w:rPr>
            </w:pPr>
            <w:r>
              <w:rPr>
                <w:rFonts w:hint="cs"/>
                <w:sz w:val="16"/>
                <w:szCs w:val="16"/>
                <w:rtl/>
                <w:lang w:bidi="ar-EG"/>
              </w:rPr>
              <w:t xml:space="preserve">التمويل المقرر للوكالة المنفذة المعاونة </w:t>
            </w:r>
          </w:p>
          <w:p w14:paraId="5085180F" w14:textId="77777777" w:rsidR="00DC5BE1" w:rsidRDefault="00DC5BE1" w:rsidP="00DC5BE1">
            <w:pPr>
              <w:tabs>
                <w:tab w:val="center" w:pos="4"/>
              </w:tabs>
              <w:bidi/>
              <w:jc w:val="left"/>
              <w:rPr>
                <w:sz w:val="16"/>
                <w:szCs w:val="16"/>
                <w:rtl/>
                <w:lang w:bidi="ar-EG"/>
              </w:rPr>
            </w:pPr>
            <w:r>
              <w:rPr>
                <w:rFonts w:hint="cs"/>
                <w:sz w:val="16"/>
                <w:szCs w:val="16"/>
                <w:rtl/>
                <w:lang w:bidi="ar-EG"/>
              </w:rPr>
              <w:t xml:space="preserve">(منظمة الأمم المتحدة للتنمية الصناعية) </w:t>
            </w:r>
          </w:p>
          <w:p w14:paraId="1CF8CA19" w14:textId="77777777" w:rsidR="00DC5BE1" w:rsidRPr="00EF63B6" w:rsidRDefault="00DC5BE1" w:rsidP="00DC5BE1">
            <w:pPr>
              <w:tabs>
                <w:tab w:val="center" w:pos="4"/>
              </w:tabs>
              <w:bidi/>
              <w:jc w:val="left"/>
              <w:rPr>
                <w:b/>
                <w:bCs/>
                <w:sz w:val="16"/>
                <w:szCs w:val="16"/>
                <w:rtl/>
                <w:lang w:bidi="ar-EG"/>
              </w:rPr>
            </w:pPr>
            <w:r>
              <w:rPr>
                <w:rFonts w:hint="cs"/>
                <w:sz w:val="16"/>
                <w:szCs w:val="16"/>
                <w:rtl/>
                <w:lang w:bidi="ar-EG"/>
              </w:rPr>
              <w:t>(دولار أمريكي)</w:t>
            </w:r>
          </w:p>
        </w:tc>
        <w:tc>
          <w:tcPr>
            <w:tcW w:w="815" w:type="dxa"/>
          </w:tcPr>
          <w:p w14:paraId="0F6DE1F9"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160,000</w:t>
            </w:r>
          </w:p>
        </w:tc>
        <w:tc>
          <w:tcPr>
            <w:tcW w:w="815" w:type="dxa"/>
          </w:tcPr>
          <w:p w14:paraId="0582CC7A"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5EB0E95"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259B2EB1"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D5AF77E"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35D589A5"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5C0E55DB"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2D00A760"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D21C82C"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125,000</w:t>
            </w:r>
          </w:p>
        </w:tc>
        <w:tc>
          <w:tcPr>
            <w:tcW w:w="815" w:type="dxa"/>
          </w:tcPr>
          <w:p w14:paraId="6408FF99"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48427297"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3832D4CF"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285,000</w:t>
            </w:r>
          </w:p>
        </w:tc>
      </w:tr>
      <w:tr w:rsidR="00DC5BE1" w:rsidRPr="00EF63B6" w14:paraId="23B31216" w14:textId="77777777" w:rsidTr="00DC5BE1">
        <w:tc>
          <w:tcPr>
            <w:tcW w:w="607" w:type="dxa"/>
          </w:tcPr>
          <w:p w14:paraId="511FD5CF"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2.4</w:t>
            </w:r>
          </w:p>
        </w:tc>
        <w:tc>
          <w:tcPr>
            <w:tcW w:w="3190" w:type="dxa"/>
          </w:tcPr>
          <w:p w14:paraId="4D5A5817" w14:textId="77777777" w:rsidR="00DC5BE1" w:rsidRDefault="00DC5BE1" w:rsidP="00CC4210">
            <w:pPr>
              <w:tabs>
                <w:tab w:val="center" w:pos="4"/>
              </w:tabs>
              <w:bidi/>
              <w:jc w:val="left"/>
              <w:rPr>
                <w:sz w:val="16"/>
                <w:szCs w:val="16"/>
                <w:rtl/>
                <w:lang w:bidi="ar-EG"/>
              </w:rPr>
            </w:pPr>
            <w:r>
              <w:rPr>
                <w:rFonts w:hint="cs"/>
                <w:sz w:val="16"/>
                <w:szCs w:val="16"/>
                <w:rtl/>
                <w:lang w:bidi="ar-EG"/>
              </w:rPr>
              <w:t xml:space="preserve">تكاليف دعم الوكالة المنفذة المعاونة </w:t>
            </w:r>
          </w:p>
          <w:p w14:paraId="1DF247CB" w14:textId="77777777" w:rsidR="00DC5BE1" w:rsidRPr="00EF63B6" w:rsidRDefault="00DC5BE1" w:rsidP="00DC5BE1">
            <w:pPr>
              <w:tabs>
                <w:tab w:val="center" w:pos="4"/>
              </w:tabs>
              <w:bidi/>
              <w:jc w:val="left"/>
              <w:rPr>
                <w:b/>
                <w:bCs/>
                <w:sz w:val="16"/>
                <w:szCs w:val="16"/>
                <w:rtl/>
                <w:lang w:bidi="ar-EG"/>
              </w:rPr>
            </w:pPr>
            <w:r>
              <w:rPr>
                <w:rFonts w:hint="cs"/>
                <w:sz w:val="16"/>
                <w:szCs w:val="16"/>
                <w:rtl/>
                <w:lang w:bidi="ar-EG"/>
              </w:rPr>
              <w:t>(دولار أمريكي)</w:t>
            </w:r>
          </w:p>
        </w:tc>
        <w:tc>
          <w:tcPr>
            <w:tcW w:w="815" w:type="dxa"/>
          </w:tcPr>
          <w:p w14:paraId="72B8FDA0"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12,000</w:t>
            </w:r>
          </w:p>
        </w:tc>
        <w:tc>
          <w:tcPr>
            <w:tcW w:w="815" w:type="dxa"/>
          </w:tcPr>
          <w:p w14:paraId="3DE6DCE2"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5CB4AA62"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19F95B1A"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E28C4B2"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4D0EA8BF"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66C772F"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A253112"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FD86811"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8,750</w:t>
            </w:r>
          </w:p>
        </w:tc>
        <w:tc>
          <w:tcPr>
            <w:tcW w:w="815" w:type="dxa"/>
          </w:tcPr>
          <w:p w14:paraId="7C1D168F"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02F7699C"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689B2A4F"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20,750</w:t>
            </w:r>
          </w:p>
        </w:tc>
      </w:tr>
      <w:tr w:rsidR="00DC5BE1" w:rsidRPr="00EF63B6" w14:paraId="166EB4B4" w14:textId="77777777" w:rsidTr="00DC5BE1">
        <w:tc>
          <w:tcPr>
            <w:tcW w:w="607" w:type="dxa"/>
          </w:tcPr>
          <w:p w14:paraId="27C9AA5D"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3.1</w:t>
            </w:r>
          </w:p>
        </w:tc>
        <w:tc>
          <w:tcPr>
            <w:tcW w:w="3190" w:type="dxa"/>
          </w:tcPr>
          <w:p w14:paraId="7E99797D" w14:textId="77777777" w:rsidR="00DC5BE1" w:rsidRPr="0054050A" w:rsidRDefault="00DC5BE1" w:rsidP="00CC4210">
            <w:pPr>
              <w:tabs>
                <w:tab w:val="center" w:pos="4"/>
              </w:tabs>
              <w:bidi/>
              <w:jc w:val="left"/>
              <w:rPr>
                <w:sz w:val="16"/>
                <w:szCs w:val="16"/>
                <w:rtl/>
                <w:lang w:bidi="ar-EG"/>
              </w:rPr>
            </w:pPr>
            <w:r>
              <w:rPr>
                <w:rFonts w:hint="cs"/>
                <w:sz w:val="16"/>
                <w:szCs w:val="16"/>
                <w:rtl/>
                <w:lang w:bidi="ar-EG"/>
              </w:rPr>
              <w:t>إجمالي التمويل المقرر (دولار أمريكي)</w:t>
            </w:r>
          </w:p>
        </w:tc>
        <w:tc>
          <w:tcPr>
            <w:tcW w:w="815" w:type="dxa"/>
          </w:tcPr>
          <w:p w14:paraId="60D6AA18" w14:textId="77777777" w:rsidR="00DC5BE1" w:rsidRPr="00DC5BE1" w:rsidRDefault="00DC5BE1" w:rsidP="00DC5BE1">
            <w:pPr>
              <w:tabs>
                <w:tab w:val="center" w:pos="4"/>
              </w:tabs>
              <w:bidi/>
              <w:jc w:val="left"/>
              <w:rPr>
                <w:sz w:val="16"/>
                <w:szCs w:val="16"/>
                <w:rtl/>
                <w:lang w:bidi="ar-EG"/>
              </w:rPr>
            </w:pPr>
            <w:r w:rsidRPr="00DC5BE1">
              <w:rPr>
                <w:rFonts w:hint="cs"/>
                <w:sz w:val="16"/>
                <w:szCs w:val="16"/>
                <w:rtl/>
                <w:lang w:bidi="ar-EG"/>
              </w:rPr>
              <w:t>245,000</w:t>
            </w:r>
          </w:p>
        </w:tc>
        <w:tc>
          <w:tcPr>
            <w:tcW w:w="815" w:type="dxa"/>
          </w:tcPr>
          <w:p w14:paraId="264833F6"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3AFE24A8" w14:textId="77777777" w:rsidR="00DC5BE1" w:rsidRDefault="00DC5BE1" w:rsidP="00DC5BE1">
            <w:pPr>
              <w:tabs>
                <w:tab w:val="center" w:pos="4"/>
              </w:tabs>
              <w:bidi/>
              <w:jc w:val="left"/>
              <w:rPr>
                <w:sz w:val="16"/>
                <w:szCs w:val="16"/>
                <w:rtl/>
                <w:lang w:bidi="ar-EG"/>
              </w:rPr>
            </w:pPr>
            <w:r>
              <w:rPr>
                <w:rFonts w:hint="cs"/>
                <w:sz w:val="16"/>
                <w:szCs w:val="16"/>
                <w:rtl/>
                <w:lang w:bidi="ar-EG"/>
              </w:rPr>
              <w:t>60,000</w:t>
            </w:r>
          </w:p>
        </w:tc>
        <w:tc>
          <w:tcPr>
            <w:tcW w:w="815" w:type="dxa"/>
          </w:tcPr>
          <w:p w14:paraId="42D11507"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6A2078C5"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7AC6057D"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19CD8A24"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7D39591F"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1C1CF67F"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225,000</w:t>
            </w:r>
          </w:p>
        </w:tc>
        <w:tc>
          <w:tcPr>
            <w:tcW w:w="815" w:type="dxa"/>
          </w:tcPr>
          <w:p w14:paraId="1E291FE9"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2AB9E2D8"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384050F6"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530,000</w:t>
            </w:r>
          </w:p>
        </w:tc>
      </w:tr>
      <w:tr w:rsidR="00DC5BE1" w:rsidRPr="00EF63B6" w14:paraId="4BB23797" w14:textId="77777777" w:rsidTr="00DC5BE1">
        <w:tc>
          <w:tcPr>
            <w:tcW w:w="607" w:type="dxa"/>
          </w:tcPr>
          <w:p w14:paraId="30170DDF"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3.2</w:t>
            </w:r>
          </w:p>
        </w:tc>
        <w:tc>
          <w:tcPr>
            <w:tcW w:w="3190" w:type="dxa"/>
          </w:tcPr>
          <w:p w14:paraId="7F7BEB7D" w14:textId="77777777" w:rsidR="00DC5BE1" w:rsidRPr="0054050A" w:rsidRDefault="00DC5BE1" w:rsidP="00CC4210">
            <w:pPr>
              <w:tabs>
                <w:tab w:val="center" w:pos="4"/>
              </w:tabs>
              <w:bidi/>
              <w:jc w:val="left"/>
              <w:rPr>
                <w:sz w:val="16"/>
                <w:szCs w:val="16"/>
                <w:rtl/>
                <w:lang w:bidi="ar-EG"/>
              </w:rPr>
            </w:pPr>
            <w:r>
              <w:rPr>
                <w:rFonts w:hint="cs"/>
                <w:sz w:val="16"/>
                <w:szCs w:val="16"/>
                <w:rtl/>
                <w:lang w:bidi="ar-EG"/>
              </w:rPr>
              <w:t>إجمالي تكاليف الدعم (دولار أمريكي)</w:t>
            </w:r>
          </w:p>
        </w:tc>
        <w:tc>
          <w:tcPr>
            <w:tcW w:w="815" w:type="dxa"/>
          </w:tcPr>
          <w:p w14:paraId="5006258D" w14:textId="77777777" w:rsidR="00DC5BE1" w:rsidRPr="00DC5BE1" w:rsidRDefault="00DC5BE1" w:rsidP="00DC5BE1">
            <w:pPr>
              <w:tabs>
                <w:tab w:val="center" w:pos="4"/>
              </w:tabs>
              <w:bidi/>
              <w:jc w:val="left"/>
              <w:rPr>
                <w:sz w:val="16"/>
                <w:szCs w:val="16"/>
                <w:rtl/>
                <w:lang w:bidi="ar-EG"/>
              </w:rPr>
            </w:pPr>
            <w:r w:rsidRPr="00DC5BE1">
              <w:rPr>
                <w:rFonts w:hint="cs"/>
                <w:sz w:val="16"/>
                <w:szCs w:val="16"/>
                <w:rtl/>
                <w:lang w:bidi="ar-EG"/>
              </w:rPr>
              <w:t>33,050</w:t>
            </w:r>
          </w:p>
        </w:tc>
        <w:tc>
          <w:tcPr>
            <w:tcW w:w="815" w:type="dxa"/>
          </w:tcPr>
          <w:p w14:paraId="16DB77E7"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7C939F0C" w14:textId="77777777" w:rsidR="00DC5BE1" w:rsidRDefault="00DC5BE1" w:rsidP="00DC5BE1">
            <w:pPr>
              <w:tabs>
                <w:tab w:val="center" w:pos="4"/>
              </w:tabs>
              <w:bidi/>
              <w:jc w:val="left"/>
              <w:rPr>
                <w:sz w:val="16"/>
                <w:szCs w:val="16"/>
                <w:rtl/>
                <w:lang w:bidi="ar-EG"/>
              </w:rPr>
            </w:pPr>
            <w:r>
              <w:rPr>
                <w:rFonts w:hint="cs"/>
                <w:sz w:val="16"/>
                <w:szCs w:val="16"/>
                <w:rtl/>
                <w:lang w:bidi="ar-EG"/>
              </w:rPr>
              <w:t>7,800</w:t>
            </w:r>
          </w:p>
        </w:tc>
        <w:tc>
          <w:tcPr>
            <w:tcW w:w="815" w:type="dxa"/>
          </w:tcPr>
          <w:p w14:paraId="46499029"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F2C5807"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3339C3EF"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A1E74ED"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0D787E6B"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62968BF0"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21,750</w:t>
            </w:r>
          </w:p>
        </w:tc>
        <w:tc>
          <w:tcPr>
            <w:tcW w:w="815" w:type="dxa"/>
          </w:tcPr>
          <w:p w14:paraId="44835173"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7CD88BC1"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1A76694C"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62,600</w:t>
            </w:r>
          </w:p>
        </w:tc>
      </w:tr>
      <w:tr w:rsidR="00DC5BE1" w:rsidRPr="00EF63B6" w14:paraId="48C089D2" w14:textId="77777777" w:rsidTr="00DC5BE1">
        <w:tc>
          <w:tcPr>
            <w:tcW w:w="607" w:type="dxa"/>
          </w:tcPr>
          <w:p w14:paraId="0F0B716D"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3.3</w:t>
            </w:r>
          </w:p>
        </w:tc>
        <w:tc>
          <w:tcPr>
            <w:tcW w:w="3190" w:type="dxa"/>
          </w:tcPr>
          <w:p w14:paraId="450B26B5" w14:textId="77777777" w:rsidR="00DC5BE1" w:rsidRPr="0054050A" w:rsidRDefault="00DC5BE1" w:rsidP="00CC4210">
            <w:pPr>
              <w:tabs>
                <w:tab w:val="center" w:pos="4"/>
              </w:tabs>
              <w:bidi/>
              <w:jc w:val="left"/>
              <w:rPr>
                <w:sz w:val="16"/>
                <w:szCs w:val="16"/>
                <w:rtl/>
                <w:lang w:bidi="ar-EG"/>
              </w:rPr>
            </w:pPr>
            <w:r>
              <w:rPr>
                <w:rFonts w:hint="cs"/>
                <w:sz w:val="16"/>
                <w:szCs w:val="16"/>
                <w:rtl/>
                <w:lang w:bidi="ar-EG"/>
              </w:rPr>
              <w:t>إجمالي التكاليف المقررة (دولار أمريكي)</w:t>
            </w:r>
          </w:p>
        </w:tc>
        <w:tc>
          <w:tcPr>
            <w:tcW w:w="815" w:type="dxa"/>
          </w:tcPr>
          <w:p w14:paraId="57D8CBDD" w14:textId="77777777" w:rsidR="00DC5BE1" w:rsidRPr="00DC5BE1" w:rsidRDefault="00DC5BE1" w:rsidP="00DC5BE1">
            <w:pPr>
              <w:tabs>
                <w:tab w:val="center" w:pos="4"/>
              </w:tabs>
              <w:bidi/>
              <w:jc w:val="left"/>
              <w:rPr>
                <w:sz w:val="16"/>
                <w:szCs w:val="16"/>
                <w:rtl/>
                <w:lang w:bidi="ar-EG"/>
              </w:rPr>
            </w:pPr>
            <w:r w:rsidRPr="00DC5BE1">
              <w:rPr>
                <w:rFonts w:hint="cs"/>
                <w:sz w:val="16"/>
                <w:szCs w:val="16"/>
                <w:rtl/>
                <w:lang w:bidi="ar-EG"/>
              </w:rPr>
              <w:t>278,050</w:t>
            </w:r>
          </w:p>
        </w:tc>
        <w:tc>
          <w:tcPr>
            <w:tcW w:w="815" w:type="dxa"/>
          </w:tcPr>
          <w:p w14:paraId="3311BC85"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A7A0EFC" w14:textId="77777777" w:rsidR="00DC5BE1" w:rsidRDefault="00DC5BE1" w:rsidP="00DC5BE1">
            <w:pPr>
              <w:tabs>
                <w:tab w:val="center" w:pos="4"/>
              </w:tabs>
              <w:bidi/>
              <w:jc w:val="left"/>
              <w:rPr>
                <w:sz w:val="16"/>
                <w:szCs w:val="16"/>
                <w:rtl/>
                <w:lang w:bidi="ar-EG"/>
              </w:rPr>
            </w:pPr>
            <w:r>
              <w:rPr>
                <w:rFonts w:hint="cs"/>
                <w:sz w:val="16"/>
                <w:szCs w:val="16"/>
                <w:rtl/>
                <w:lang w:bidi="ar-EG"/>
              </w:rPr>
              <w:t>67,800</w:t>
            </w:r>
          </w:p>
        </w:tc>
        <w:tc>
          <w:tcPr>
            <w:tcW w:w="815" w:type="dxa"/>
          </w:tcPr>
          <w:p w14:paraId="479DBD20" w14:textId="77777777" w:rsidR="00DC5BE1"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096D5DD4"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43B54264"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1BC0CEE5"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4ECDF57E" w14:textId="77777777" w:rsidR="00DC5BE1" w:rsidRPr="00AF72EB" w:rsidRDefault="00DC5BE1" w:rsidP="00DC5BE1">
            <w:pPr>
              <w:tabs>
                <w:tab w:val="center" w:pos="4"/>
              </w:tabs>
              <w:bidi/>
              <w:jc w:val="left"/>
              <w:rPr>
                <w:sz w:val="16"/>
                <w:szCs w:val="16"/>
                <w:rtl/>
                <w:lang w:bidi="ar-EG"/>
              </w:rPr>
            </w:pPr>
            <w:r>
              <w:rPr>
                <w:rFonts w:hint="cs"/>
                <w:sz w:val="16"/>
                <w:szCs w:val="16"/>
                <w:rtl/>
                <w:lang w:bidi="ar-EG"/>
              </w:rPr>
              <w:t>0</w:t>
            </w:r>
          </w:p>
        </w:tc>
        <w:tc>
          <w:tcPr>
            <w:tcW w:w="815" w:type="dxa"/>
          </w:tcPr>
          <w:p w14:paraId="4E4FB57E"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246,750</w:t>
            </w:r>
          </w:p>
        </w:tc>
        <w:tc>
          <w:tcPr>
            <w:tcW w:w="815" w:type="dxa"/>
          </w:tcPr>
          <w:p w14:paraId="62F290FE"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gridSpan w:val="2"/>
          </w:tcPr>
          <w:p w14:paraId="0EB14189" w14:textId="77777777" w:rsidR="00DC5BE1" w:rsidRPr="00DC5BE1" w:rsidRDefault="00DC5BE1" w:rsidP="00DC5BE1">
            <w:pPr>
              <w:tabs>
                <w:tab w:val="center" w:pos="4"/>
              </w:tabs>
              <w:bidi/>
              <w:jc w:val="left"/>
              <w:rPr>
                <w:b/>
                <w:bCs/>
                <w:sz w:val="16"/>
                <w:szCs w:val="16"/>
                <w:rtl/>
                <w:lang w:bidi="ar-EG"/>
              </w:rPr>
            </w:pPr>
            <w:r>
              <w:rPr>
                <w:rFonts w:hint="cs"/>
                <w:b/>
                <w:bCs/>
                <w:sz w:val="16"/>
                <w:szCs w:val="16"/>
                <w:rtl/>
                <w:lang w:bidi="ar-EG"/>
              </w:rPr>
              <w:t>0</w:t>
            </w:r>
          </w:p>
        </w:tc>
        <w:tc>
          <w:tcPr>
            <w:tcW w:w="815" w:type="dxa"/>
          </w:tcPr>
          <w:p w14:paraId="412BCF67" w14:textId="77777777" w:rsidR="00DC5BE1" w:rsidRPr="00DC5BE1" w:rsidRDefault="00DC5BE1" w:rsidP="00DC5BE1">
            <w:pPr>
              <w:tabs>
                <w:tab w:val="center" w:pos="4"/>
              </w:tabs>
              <w:bidi/>
              <w:jc w:val="left"/>
              <w:rPr>
                <w:b/>
                <w:bCs/>
                <w:sz w:val="16"/>
                <w:szCs w:val="16"/>
                <w:rtl/>
                <w:lang w:bidi="ar-EG"/>
              </w:rPr>
            </w:pPr>
            <w:r w:rsidRPr="00DC5BE1">
              <w:rPr>
                <w:rFonts w:hint="cs"/>
                <w:b/>
                <w:bCs/>
                <w:sz w:val="16"/>
                <w:szCs w:val="16"/>
                <w:rtl/>
                <w:lang w:bidi="ar-EG"/>
              </w:rPr>
              <w:t>592,600</w:t>
            </w:r>
          </w:p>
        </w:tc>
      </w:tr>
      <w:tr w:rsidR="00DC5BE1" w:rsidRPr="00EF63B6" w14:paraId="00709460" w14:textId="77777777" w:rsidTr="00DC5BE1">
        <w:tc>
          <w:tcPr>
            <w:tcW w:w="607" w:type="dxa"/>
          </w:tcPr>
          <w:p w14:paraId="1D740A3E"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4.1.1</w:t>
            </w:r>
          </w:p>
        </w:tc>
        <w:tc>
          <w:tcPr>
            <w:tcW w:w="12142" w:type="dxa"/>
            <w:gridSpan w:val="12"/>
          </w:tcPr>
          <w:p w14:paraId="07B9B4E8" w14:textId="77777777" w:rsidR="00DC5BE1" w:rsidRPr="00AF72EB" w:rsidRDefault="00DC5BE1" w:rsidP="00CC4210">
            <w:pPr>
              <w:tabs>
                <w:tab w:val="center" w:pos="4"/>
              </w:tabs>
              <w:bidi/>
              <w:jc w:val="left"/>
              <w:rPr>
                <w:sz w:val="16"/>
                <w:szCs w:val="16"/>
                <w:rtl/>
                <w:lang w:bidi="ar-EG"/>
              </w:rPr>
            </w:pPr>
            <w:r>
              <w:rPr>
                <w:rFonts w:hint="cs"/>
                <w:sz w:val="16"/>
                <w:szCs w:val="16"/>
                <w:rtl/>
                <w:lang w:bidi="ar-EG"/>
              </w:rPr>
              <w:t>الكمية الإجمالية من الهيدروكلوروفلوروكربون-22 المقرر إزالتها بموجب هذا الاتفاق (طن من قدرات استنفاد الأوزون)</w:t>
            </w:r>
          </w:p>
        </w:tc>
        <w:tc>
          <w:tcPr>
            <w:tcW w:w="828" w:type="dxa"/>
            <w:gridSpan w:val="2"/>
          </w:tcPr>
          <w:p w14:paraId="7A5DED96" w14:textId="77777777" w:rsidR="00DC5BE1" w:rsidRPr="00DC5BE1" w:rsidRDefault="00DC5BE1" w:rsidP="00CC4210">
            <w:pPr>
              <w:tabs>
                <w:tab w:val="center" w:pos="4"/>
              </w:tabs>
              <w:bidi/>
              <w:jc w:val="left"/>
              <w:rPr>
                <w:b/>
                <w:bCs/>
                <w:sz w:val="16"/>
                <w:szCs w:val="16"/>
                <w:rtl/>
                <w:lang w:bidi="ar-EG"/>
              </w:rPr>
            </w:pPr>
            <w:r w:rsidRPr="00DC5BE1">
              <w:rPr>
                <w:rFonts w:hint="cs"/>
                <w:b/>
                <w:bCs/>
                <w:sz w:val="16"/>
                <w:szCs w:val="16"/>
                <w:rtl/>
                <w:lang w:bidi="ar-EG"/>
              </w:rPr>
              <w:t>2.63</w:t>
            </w:r>
          </w:p>
        </w:tc>
      </w:tr>
      <w:tr w:rsidR="00DC5BE1" w:rsidRPr="00EF63B6" w14:paraId="044BBF6D" w14:textId="77777777" w:rsidTr="00DC5BE1">
        <w:tc>
          <w:tcPr>
            <w:tcW w:w="607" w:type="dxa"/>
          </w:tcPr>
          <w:p w14:paraId="79F8C42B"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4.1.2</w:t>
            </w:r>
          </w:p>
        </w:tc>
        <w:tc>
          <w:tcPr>
            <w:tcW w:w="12142" w:type="dxa"/>
            <w:gridSpan w:val="12"/>
          </w:tcPr>
          <w:p w14:paraId="578AA6A6" w14:textId="77777777" w:rsidR="00DC5BE1" w:rsidRDefault="00DC5BE1" w:rsidP="00DC5BE1">
            <w:pPr>
              <w:tabs>
                <w:tab w:val="center" w:pos="4"/>
              </w:tabs>
              <w:bidi/>
              <w:jc w:val="left"/>
              <w:rPr>
                <w:sz w:val="16"/>
                <w:szCs w:val="16"/>
                <w:rtl/>
                <w:lang w:bidi="ar-EG"/>
              </w:rPr>
            </w:pPr>
            <w:r>
              <w:rPr>
                <w:rFonts w:hint="cs"/>
                <w:sz w:val="16"/>
                <w:szCs w:val="16"/>
                <w:rtl/>
                <w:lang w:bidi="ar-EG"/>
              </w:rPr>
              <w:t>كمية الهيدروكلوروفلوروكربون-22 المتوقع إزالتها بموجب المشاريع المقررة السابقة (طن من قدرات استنفاد الأوزون)</w:t>
            </w:r>
          </w:p>
        </w:tc>
        <w:tc>
          <w:tcPr>
            <w:tcW w:w="828" w:type="dxa"/>
            <w:gridSpan w:val="2"/>
          </w:tcPr>
          <w:p w14:paraId="7D280B70" w14:textId="77777777" w:rsidR="00DC5BE1" w:rsidRPr="00DC5BE1" w:rsidRDefault="00DC5BE1" w:rsidP="00CC4210">
            <w:pPr>
              <w:tabs>
                <w:tab w:val="center" w:pos="4"/>
              </w:tabs>
              <w:bidi/>
              <w:jc w:val="left"/>
              <w:rPr>
                <w:sz w:val="16"/>
                <w:szCs w:val="16"/>
                <w:rtl/>
                <w:lang w:bidi="ar-EG"/>
              </w:rPr>
            </w:pPr>
            <w:r w:rsidRPr="00DC5BE1">
              <w:rPr>
                <w:rFonts w:hint="cs"/>
                <w:sz w:val="16"/>
                <w:szCs w:val="16"/>
                <w:rtl/>
                <w:lang w:bidi="ar-EG"/>
              </w:rPr>
              <w:t>لا ينطبق</w:t>
            </w:r>
          </w:p>
        </w:tc>
      </w:tr>
      <w:tr w:rsidR="00DC5BE1" w:rsidRPr="00EF63B6" w14:paraId="07B8CB8D" w14:textId="77777777" w:rsidTr="00DC5BE1">
        <w:tc>
          <w:tcPr>
            <w:tcW w:w="607" w:type="dxa"/>
          </w:tcPr>
          <w:p w14:paraId="68FB7643" w14:textId="77777777" w:rsidR="00DC5BE1" w:rsidRPr="00EF63B6" w:rsidRDefault="00DC5BE1" w:rsidP="00CC4210">
            <w:pPr>
              <w:tabs>
                <w:tab w:val="center" w:pos="4"/>
              </w:tabs>
              <w:bidi/>
              <w:jc w:val="left"/>
              <w:rPr>
                <w:sz w:val="16"/>
                <w:szCs w:val="16"/>
                <w:rtl/>
                <w:lang w:bidi="ar-EG"/>
              </w:rPr>
            </w:pPr>
            <w:r>
              <w:rPr>
                <w:rFonts w:hint="cs"/>
                <w:sz w:val="16"/>
                <w:szCs w:val="16"/>
                <w:rtl/>
                <w:lang w:bidi="ar-EG"/>
              </w:rPr>
              <w:t>4.1.3</w:t>
            </w:r>
          </w:p>
        </w:tc>
        <w:tc>
          <w:tcPr>
            <w:tcW w:w="12142" w:type="dxa"/>
            <w:gridSpan w:val="12"/>
          </w:tcPr>
          <w:p w14:paraId="11F4D4FD" w14:textId="77777777" w:rsidR="00DC5BE1" w:rsidRDefault="00DC5BE1" w:rsidP="00CC4210">
            <w:pPr>
              <w:tabs>
                <w:tab w:val="center" w:pos="4"/>
              </w:tabs>
              <w:bidi/>
              <w:jc w:val="left"/>
              <w:rPr>
                <w:sz w:val="16"/>
                <w:szCs w:val="16"/>
                <w:rtl/>
                <w:lang w:bidi="ar-EG"/>
              </w:rPr>
            </w:pPr>
            <w:r>
              <w:rPr>
                <w:rFonts w:hint="cs"/>
                <w:sz w:val="16"/>
                <w:szCs w:val="16"/>
                <w:rtl/>
                <w:lang w:bidi="ar-EG"/>
              </w:rPr>
              <w:t>استهلاك الهيدروكلوروفلوروكربون-22 المتبقي المؤهل للتمويل (طن من قدرات استنفاد الأوزون)</w:t>
            </w:r>
          </w:p>
        </w:tc>
        <w:tc>
          <w:tcPr>
            <w:tcW w:w="828" w:type="dxa"/>
            <w:gridSpan w:val="2"/>
          </w:tcPr>
          <w:p w14:paraId="789BAFEB" w14:textId="77777777" w:rsidR="00DC5BE1" w:rsidRPr="00DC5BE1" w:rsidRDefault="00DC5BE1" w:rsidP="00CC4210">
            <w:pPr>
              <w:tabs>
                <w:tab w:val="center" w:pos="4"/>
              </w:tabs>
              <w:bidi/>
              <w:jc w:val="left"/>
              <w:rPr>
                <w:b/>
                <w:bCs/>
                <w:sz w:val="16"/>
                <w:szCs w:val="16"/>
                <w:rtl/>
                <w:lang w:bidi="ar-EG"/>
              </w:rPr>
            </w:pPr>
            <w:r w:rsidRPr="00DC5BE1">
              <w:rPr>
                <w:rFonts w:hint="cs"/>
                <w:b/>
                <w:bCs/>
                <w:sz w:val="16"/>
                <w:szCs w:val="16"/>
                <w:rtl/>
                <w:lang w:bidi="ar-EG"/>
              </w:rPr>
              <w:t>4.87</w:t>
            </w:r>
          </w:p>
        </w:tc>
      </w:tr>
    </w:tbl>
    <w:p w14:paraId="01BDC596" w14:textId="77777777" w:rsidR="00DC5BE1" w:rsidRPr="00DC5BE1" w:rsidRDefault="00DC5BE1" w:rsidP="00DC5BE1">
      <w:pPr>
        <w:bidi/>
        <w:rPr>
          <w:sz w:val="22"/>
          <w:szCs w:val="22"/>
          <w:rtl/>
        </w:rPr>
      </w:pPr>
      <w:r w:rsidRPr="00DC5BE1">
        <w:rPr>
          <w:rFonts w:hint="cs"/>
          <w:sz w:val="22"/>
          <w:szCs w:val="22"/>
          <w:rtl/>
        </w:rPr>
        <w:t>*أقرّت المر</w:t>
      </w:r>
      <w:r>
        <w:rPr>
          <w:rFonts w:hint="cs"/>
          <w:sz w:val="22"/>
          <w:szCs w:val="22"/>
          <w:rtl/>
        </w:rPr>
        <w:t xml:space="preserve">حلة الأولى من خطة إدارة إزالة المواد الهيدروكلوروفلوروكربونية بتمويل أقصاه 647,000 دولار أمريكي بالاستناد إلى استهلاك مقدر بـ 22.6 طن من قدرات استنفاد الأوزون. إلا أنّه لا يجوز أن يتخطى مستوى تمويل </w:t>
      </w:r>
      <w:r w:rsidRPr="00DC5BE1">
        <w:rPr>
          <w:rFonts w:hint="cs"/>
          <w:sz w:val="22"/>
          <w:szCs w:val="22"/>
          <w:rtl/>
        </w:rPr>
        <w:t>المر</w:t>
      </w:r>
      <w:r>
        <w:rPr>
          <w:rFonts w:hint="cs"/>
          <w:sz w:val="22"/>
          <w:szCs w:val="22"/>
          <w:rtl/>
        </w:rPr>
        <w:t>حلة الأولى من خطة إدارة إزالة المواد الهيدروكلوروفلوروكربونية قيمة 332,500 دولار أمريكي بالاستناد إلى نقطة البداية المعدلة للتخفيضات المجمعة المستدامة لاستهلاك المواد الهيدروكلوروفلوروكربونية والتي تبلغ 7.51 طن من قدرات استنفاد الأوزون. سيتمّ تصحيح التمويل عند إقرار المرحلة الثانية من خطة إدارة إزالة المواد الهيدروكلوروفلوروكربونية.</w:t>
      </w:r>
    </w:p>
    <w:p w14:paraId="6851B8BF" w14:textId="77777777" w:rsidR="00DC5BE1" w:rsidRDefault="00DC5BE1" w:rsidP="00DC5BE1">
      <w:pPr>
        <w:bidi/>
        <w:rPr>
          <w:rtl/>
        </w:rPr>
      </w:pPr>
    </w:p>
    <w:p w14:paraId="22296C81" w14:textId="77777777" w:rsidR="00DC5BE1" w:rsidRDefault="00DC5BE1" w:rsidP="00DC5BE1">
      <w:pPr>
        <w:bidi/>
        <w:rPr>
          <w:szCs w:val="24"/>
          <w:rtl/>
        </w:rPr>
      </w:pPr>
    </w:p>
    <w:p w14:paraId="2A3457AC" w14:textId="77777777" w:rsidR="00455843" w:rsidRDefault="00455843" w:rsidP="00455843">
      <w:pPr>
        <w:bidi/>
        <w:rPr>
          <w:b/>
          <w:bCs/>
          <w:szCs w:val="24"/>
          <w:rtl/>
        </w:rPr>
      </w:pPr>
      <w:r>
        <w:rPr>
          <w:rFonts w:hint="cs"/>
          <w:b/>
          <w:bCs/>
          <w:sz w:val="26"/>
          <w:szCs w:val="26"/>
          <w:rtl/>
        </w:rPr>
        <w:t>التذييل 7-أ: تخفيض التمويل في حال الفشل في الامتثال</w:t>
      </w:r>
    </w:p>
    <w:p w14:paraId="35142DEA" w14:textId="77777777" w:rsidR="00455843" w:rsidRDefault="00455843" w:rsidP="00455843">
      <w:pPr>
        <w:bidi/>
        <w:rPr>
          <w:b/>
          <w:bCs/>
          <w:szCs w:val="24"/>
          <w:rtl/>
        </w:rPr>
      </w:pPr>
    </w:p>
    <w:p w14:paraId="623227F9" w14:textId="77777777" w:rsidR="00455843" w:rsidRPr="00455843" w:rsidRDefault="00455843" w:rsidP="005F3511">
      <w:pPr>
        <w:bidi/>
        <w:rPr>
          <w:szCs w:val="24"/>
          <w:rtl/>
        </w:rPr>
      </w:pPr>
      <w:r>
        <w:rPr>
          <w:rFonts w:hint="cs"/>
          <w:szCs w:val="24"/>
          <w:rtl/>
        </w:rPr>
        <w:t>عملا بالفقر</w:t>
      </w:r>
      <w:r w:rsidR="00224EE8">
        <w:rPr>
          <w:rFonts w:hint="cs"/>
          <w:szCs w:val="24"/>
          <w:rtl/>
        </w:rPr>
        <w:t>ة 11 من الاتفاق، يجوز تخفيض التمويل بقيمة</w:t>
      </w:r>
      <w:r>
        <w:rPr>
          <w:rFonts w:hint="cs"/>
          <w:szCs w:val="24"/>
          <w:rtl/>
        </w:rPr>
        <w:t xml:space="preserve"> 180 دولار أمريكي للكيلوغرام الواحد من قدرات استنفاد الأوزون المستهلك</w:t>
      </w:r>
      <w:r w:rsidR="00224EE8">
        <w:rPr>
          <w:rFonts w:hint="cs"/>
          <w:szCs w:val="24"/>
          <w:rtl/>
        </w:rPr>
        <w:t>ة بما يتجاوز القيمة الواردة</w:t>
      </w:r>
      <w:r>
        <w:rPr>
          <w:rFonts w:hint="cs"/>
          <w:szCs w:val="24"/>
          <w:rtl/>
        </w:rPr>
        <w:t xml:space="preserve"> في السطر 1.2 من التذييل 2-أ لكل عام لم يبلغ فيه الهدف المحدد في </w:t>
      </w:r>
      <w:r w:rsidR="005F3511">
        <w:rPr>
          <w:rFonts w:hint="cs"/>
          <w:szCs w:val="24"/>
          <w:rtl/>
        </w:rPr>
        <w:t xml:space="preserve">هذا </w:t>
      </w:r>
      <w:r>
        <w:rPr>
          <w:rFonts w:hint="cs"/>
          <w:szCs w:val="24"/>
          <w:rtl/>
        </w:rPr>
        <w:t xml:space="preserve">السطر من </w:t>
      </w:r>
      <w:r w:rsidR="005F3511">
        <w:rPr>
          <w:rFonts w:hint="cs"/>
          <w:szCs w:val="24"/>
          <w:rtl/>
        </w:rPr>
        <w:t xml:space="preserve">هذا </w:t>
      </w:r>
      <w:r>
        <w:rPr>
          <w:rFonts w:hint="cs"/>
          <w:szCs w:val="24"/>
          <w:rtl/>
        </w:rPr>
        <w:t>التذييل.</w:t>
      </w:r>
    </w:p>
    <w:p w14:paraId="39345D9D" w14:textId="77777777" w:rsidR="00455843" w:rsidRDefault="00455843" w:rsidP="00455843">
      <w:pPr>
        <w:bidi/>
        <w:rPr>
          <w:b/>
          <w:bCs/>
          <w:sz w:val="26"/>
          <w:szCs w:val="26"/>
          <w:rtl/>
        </w:rPr>
      </w:pPr>
    </w:p>
    <w:p w14:paraId="28F827EE" w14:textId="77777777" w:rsidR="00455843" w:rsidRPr="00455843" w:rsidRDefault="00455843" w:rsidP="00455843">
      <w:pPr>
        <w:bidi/>
        <w:rPr>
          <w:b/>
          <w:bCs/>
          <w:sz w:val="26"/>
          <w:szCs w:val="26"/>
        </w:rPr>
        <w:sectPr w:rsidR="00455843" w:rsidRPr="00455843" w:rsidSect="003C4983">
          <w:headerReference w:type="even" r:id="rId16"/>
          <w:headerReference w:type="default" r:id="rId17"/>
          <w:footerReference w:type="default" r:id="rId18"/>
          <w:pgSz w:w="15840" w:h="12240" w:orient="landscape" w:code="1"/>
          <w:pgMar w:top="1440" w:right="1440" w:bottom="1440" w:left="850" w:header="720" w:footer="706" w:gutter="0"/>
          <w:pgNumType w:start="1"/>
          <w:cols w:space="720"/>
          <w:docGrid w:linePitch="326"/>
        </w:sectPr>
      </w:pPr>
    </w:p>
    <w:p w14:paraId="53208B69" w14:textId="77777777" w:rsidR="007E5D09" w:rsidRDefault="007E5D09" w:rsidP="00A1451E">
      <w:pPr>
        <w:rPr>
          <w:rtl/>
          <w:lang w:val="en-CA"/>
        </w:rPr>
      </w:pPr>
    </w:p>
    <w:sectPr w:rsidR="007E5D09">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5157A" w14:textId="77777777" w:rsidR="00D26C90" w:rsidRDefault="00D26C90">
      <w:r>
        <w:separator/>
      </w:r>
    </w:p>
  </w:endnote>
  <w:endnote w:type="continuationSeparator" w:id="0">
    <w:p w14:paraId="712DF7FC" w14:textId="77777777" w:rsidR="00D26C90" w:rsidRDefault="00D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D259" w14:textId="77777777" w:rsidR="00B04671" w:rsidRDefault="00B04671">
    <w:pPr>
      <w:pStyle w:val="Footer"/>
      <w:jc w:val="center"/>
    </w:pPr>
    <w:r>
      <w:rPr>
        <w:rStyle w:val="PageNumber"/>
      </w:rPr>
      <w:fldChar w:fldCharType="begin"/>
    </w:r>
    <w:r>
      <w:rPr>
        <w:rStyle w:val="PageNumber"/>
      </w:rPr>
      <w:instrText xml:space="preserve"> PAGE </w:instrText>
    </w:r>
    <w:r>
      <w:rPr>
        <w:rStyle w:val="PageNumber"/>
      </w:rPr>
      <w:fldChar w:fldCharType="separate"/>
    </w:r>
    <w:r w:rsidR="00C53C55">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32DC" w14:textId="77777777" w:rsidR="00B04671" w:rsidRDefault="00B04671">
    <w:pPr>
      <w:jc w:val="center"/>
    </w:pPr>
    <w:r>
      <w:rPr>
        <w:rStyle w:val="PageNumber"/>
      </w:rPr>
      <w:fldChar w:fldCharType="begin"/>
    </w:r>
    <w:r>
      <w:rPr>
        <w:rStyle w:val="PageNumber"/>
      </w:rPr>
      <w:instrText xml:space="preserve"> PAGE </w:instrText>
    </w:r>
    <w:r>
      <w:rPr>
        <w:rStyle w:val="PageNumber"/>
      </w:rPr>
      <w:fldChar w:fldCharType="separate"/>
    </w:r>
    <w:r w:rsidR="00C53C55">
      <w:rPr>
        <w:rStyle w:val="PageNumber"/>
        <w:noProof/>
      </w:rPr>
      <w:t>11</w:t>
    </w:r>
    <w:r>
      <w:rPr>
        <w:rStyle w:val="PageNumber"/>
      </w:rPr>
      <w:fldChar w:fldCharType="end"/>
    </w:r>
  </w:p>
  <w:p w14:paraId="158B1623" w14:textId="77777777" w:rsidR="00B04671" w:rsidRDefault="00B046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12F9" w14:textId="77777777" w:rsidR="00B04671" w:rsidRPr="003C4983" w:rsidRDefault="00B04671">
    <w:pPr>
      <w:pBdr>
        <w:top w:val="single" w:sz="4" w:space="1" w:color="auto"/>
        <w:left w:val="single" w:sz="4" w:space="0" w:color="auto"/>
        <w:bottom w:val="single" w:sz="4" w:space="1" w:color="auto"/>
        <w:right w:val="single" w:sz="4" w:space="0" w:color="auto"/>
      </w:pBdr>
      <w:bidi/>
      <w:jc w:val="center"/>
      <w:rPr>
        <w:rFonts w:cs="Arabic Transparent"/>
        <w:rtl/>
      </w:rPr>
    </w:pPr>
    <w:r w:rsidRPr="003C4983">
      <w:rPr>
        <w:rFonts w:cs="Arabic Transparent" w:hint="cs"/>
        <w:rtl/>
      </w:rPr>
      <w:t>إن وثائق ما قبل دورات اللجنة التنفيذية للصندوق المتعدد الأطراف لتنفيذ بروتوكول مونتريال</w:t>
    </w:r>
    <w:r w:rsidRPr="003C4983">
      <w:rPr>
        <w:rFonts w:cs="Arabic Transparent"/>
      </w:rPr>
      <w:t xml:space="preserve"> </w:t>
    </w:r>
  </w:p>
  <w:p w14:paraId="68318790" w14:textId="77777777" w:rsidR="00B04671" w:rsidRDefault="00B04671">
    <w:pPr>
      <w:pBdr>
        <w:top w:val="single" w:sz="4" w:space="1" w:color="auto"/>
        <w:left w:val="single" w:sz="4" w:space="0" w:color="auto"/>
        <w:bottom w:val="single" w:sz="4" w:space="1" w:color="auto"/>
        <w:right w:val="single" w:sz="4" w:space="0" w:color="auto"/>
      </w:pBdr>
      <w:bidi/>
      <w:jc w:val="center"/>
      <w:rPr>
        <w:rFonts w:cs="Arabic Transparent"/>
      </w:rPr>
    </w:pPr>
    <w:r w:rsidRPr="003C4983">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8B94" w14:textId="77777777" w:rsidR="003C4983" w:rsidRDefault="003C4983">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679AB8C" w14:textId="77777777" w:rsidR="003C4983" w:rsidRDefault="003C49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5250" w14:textId="77777777" w:rsidR="00B04671" w:rsidRDefault="00B04671">
    <w:pPr>
      <w:jc w:val="center"/>
    </w:pPr>
    <w:r>
      <w:fldChar w:fldCharType="begin"/>
    </w:r>
    <w:r>
      <w:instrText xml:space="preserve"> PAGE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1327" w14:textId="77777777" w:rsidR="00B04671" w:rsidRDefault="00B04671">
    <w:pPr>
      <w:jc w:val="center"/>
    </w:pPr>
    <w:r>
      <w:fldChar w:fldCharType="begin"/>
    </w:r>
    <w:r>
      <w:instrText xml:space="preserve"> PAGE </w:instrText>
    </w:r>
    <w:r>
      <w:fldChar w:fldCharType="separate"/>
    </w:r>
    <w:r>
      <w:rPr>
        <w:noProof/>
      </w:rPr>
      <w:t>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21AB963E" w14:textId="77777777" w:rsidR="00B04671" w:rsidRDefault="00B04671">
        <w:pPr>
          <w:pStyle w:val="Footer"/>
          <w:jc w:val="center"/>
        </w:pPr>
        <w:r>
          <w:fldChar w:fldCharType="begin"/>
        </w:r>
        <w:r>
          <w:instrText xml:space="preserve"> PAGE   \* MERGEFORMAT </w:instrText>
        </w:r>
        <w:r>
          <w:fldChar w:fldCharType="separate"/>
        </w:r>
        <w:r w:rsidR="00C53C55">
          <w:rPr>
            <w:noProof/>
          </w:rPr>
          <w:t>1</w:t>
        </w:r>
        <w:r>
          <w:rPr>
            <w:noProof/>
          </w:rPr>
          <w:fldChar w:fldCharType="end"/>
        </w:r>
      </w:p>
    </w:sdtContent>
  </w:sdt>
  <w:p w14:paraId="4EAF891C" w14:textId="77777777" w:rsidR="00B04671" w:rsidRDefault="00B0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95EA" w14:textId="77777777" w:rsidR="00D26C90" w:rsidRDefault="00D26C90">
      <w:r>
        <w:separator/>
      </w:r>
    </w:p>
  </w:footnote>
  <w:footnote w:type="continuationSeparator" w:id="0">
    <w:p w14:paraId="572BEFE3" w14:textId="77777777" w:rsidR="00D26C90" w:rsidRDefault="00D26C90">
      <w:r>
        <w:continuationSeparator/>
      </w:r>
    </w:p>
  </w:footnote>
  <w:footnote w:id="1">
    <w:p w14:paraId="6DA57B15" w14:textId="77777777" w:rsidR="00B04671" w:rsidRPr="00DE6C5C" w:rsidRDefault="00B04671" w:rsidP="00DE6C5C">
      <w:pPr>
        <w:pStyle w:val="FootnoteText"/>
        <w:bidi/>
        <w:rPr>
          <w:rtl/>
          <w:lang w:val="fr-CA" w:bidi="ar-SA"/>
        </w:rPr>
      </w:pPr>
      <w:r w:rsidRPr="00DE6C5C">
        <w:rPr>
          <w:rStyle w:val="FootnoteReference"/>
          <w:sz w:val="16"/>
          <w:szCs w:val="16"/>
        </w:rPr>
        <w:footnoteRef/>
      </w:r>
      <w:r w:rsidRPr="00DE6C5C">
        <w:rPr>
          <w:rFonts w:hint="cs"/>
          <w:sz w:val="16"/>
          <w:szCs w:val="16"/>
          <w:rtl/>
          <w:lang w:bidi="ar-SA"/>
        </w:rPr>
        <w:t xml:space="preserve"> </w:t>
      </w:r>
      <w:r w:rsidRPr="00DE6C5C">
        <w:rPr>
          <w:sz w:val="16"/>
          <w:szCs w:val="16"/>
          <w:lang w:val="fr-CA" w:bidi="ar-SA"/>
        </w:rPr>
        <w:t>UNEP/OzL.Pro/ExCom/66/37</w:t>
      </w:r>
    </w:p>
  </w:footnote>
  <w:footnote w:id="2">
    <w:p w14:paraId="006FC447" w14:textId="77777777" w:rsidR="00B04671" w:rsidRPr="00DE6C5C" w:rsidRDefault="00B04671" w:rsidP="00AD626E">
      <w:pPr>
        <w:pStyle w:val="FootnoteText"/>
        <w:bidi/>
        <w:rPr>
          <w:sz w:val="16"/>
          <w:szCs w:val="16"/>
          <w:rtl/>
          <w:lang w:val="fr-CA" w:bidi="ar-SA"/>
        </w:rPr>
      </w:pPr>
      <w:r w:rsidRPr="00DE6C5C">
        <w:rPr>
          <w:rStyle w:val="FootnoteReference"/>
          <w:sz w:val="16"/>
          <w:szCs w:val="16"/>
        </w:rPr>
        <w:footnoteRef/>
      </w:r>
      <w:r w:rsidRPr="00DE6C5C">
        <w:rPr>
          <w:rFonts w:hint="cs"/>
          <w:sz w:val="16"/>
          <w:szCs w:val="16"/>
          <w:rtl/>
          <w:lang w:bidi="ar-SA"/>
        </w:rPr>
        <w:t xml:space="preserve"> </w:t>
      </w:r>
      <w:r>
        <w:rPr>
          <w:sz w:val="16"/>
          <w:szCs w:val="16"/>
          <w:lang w:val="fr-CA" w:bidi="ar-SA"/>
        </w:rPr>
        <w:t>UNEP/OzL.Pro/ExCom/72/28</w:t>
      </w:r>
    </w:p>
  </w:footnote>
  <w:footnote w:id="3">
    <w:p w14:paraId="5AC97DC8" w14:textId="77777777" w:rsidR="00B04671" w:rsidRPr="00AD626E" w:rsidRDefault="00B04671" w:rsidP="00AD626E">
      <w:pPr>
        <w:pStyle w:val="FootnoteText"/>
        <w:bidi/>
        <w:rPr>
          <w:sz w:val="16"/>
          <w:szCs w:val="16"/>
          <w:lang w:val="fr-CA"/>
        </w:rPr>
      </w:pPr>
      <w:r w:rsidRPr="00AD626E">
        <w:rPr>
          <w:rStyle w:val="FootnoteReference"/>
          <w:sz w:val="16"/>
          <w:szCs w:val="16"/>
        </w:rPr>
        <w:footnoteRef/>
      </w:r>
      <w:r>
        <w:rPr>
          <w:rFonts w:hint="cs"/>
          <w:sz w:val="16"/>
          <w:szCs w:val="16"/>
          <w:rtl/>
        </w:rPr>
        <w:t xml:space="preserve"> الفقرة 7 من الوثيقة </w:t>
      </w:r>
      <w:r>
        <w:rPr>
          <w:sz w:val="16"/>
          <w:szCs w:val="16"/>
          <w:lang w:val="fr-CA"/>
        </w:rPr>
        <w:t>UNEP/OzL.Pro/EsCom/72/28</w:t>
      </w:r>
    </w:p>
  </w:footnote>
  <w:footnote w:id="4">
    <w:p w14:paraId="7EEB3F04" w14:textId="77777777" w:rsidR="00B04671" w:rsidRPr="00AD626E" w:rsidRDefault="00B04671" w:rsidP="00196973">
      <w:pPr>
        <w:pStyle w:val="FootnoteText"/>
        <w:bidi/>
        <w:rPr>
          <w:sz w:val="16"/>
          <w:szCs w:val="16"/>
          <w:rtl/>
          <w:lang w:bidi="ar-SA"/>
        </w:rPr>
      </w:pPr>
      <w:r w:rsidRPr="00AD626E">
        <w:rPr>
          <w:rStyle w:val="FootnoteReference"/>
          <w:sz w:val="16"/>
          <w:szCs w:val="16"/>
        </w:rPr>
        <w:footnoteRef/>
      </w:r>
      <w:r>
        <w:rPr>
          <w:rFonts w:hint="cs"/>
          <w:sz w:val="16"/>
          <w:szCs w:val="16"/>
          <w:rtl/>
        </w:rPr>
        <w:t xml:space="preserve"> ويعزا هذا الفارق البسيط إلى بيانات المستوردين التي لم تؤخذ في الحسبان في بيانات وحدة الأوزون الوطنية.</w:t>
      </w:r>
    </w:p>
  </w:footnote>
  <w:footnote w:id="5">
    <w:p w14:paraId="21DD6E32" w14:textId="77777777" w:rsidR="00B04671" w:rsidRPr="00122811" w:rsidRDefault="00B04671" w:rsidP="00122811">
      <w:pPr>
        <w:pStyle w:val="FootnoteText"/>
        <w:bidi/>
        <w:rPr>
          <w:sz w:val="16"/>
          <w:szCs w:val="16"/>
          <w:lang w:val="fr-CA" w:bidi="ar-SA"/>
        </w:rPr>
      </w:pPr>
      <w:r w:rsidRPr="00122811">
        <w:rPr>
          <w:rStyle w:val="FootnoteReference"/>
          <w:sz w:val="16"/>
          <w:szCs w:val="16"/>
        </w:rPr>
        <w:footnoteRef/>
      </w:r>
      <w:r>
        <w:rPr>
          <w:rFonts w:hint="cs"/>
          <w:sz w:val="16"/>
          <w:szCs w:val="16"/>
          <w:rtl/>
        </w:rPr>
        <w:t xml:space="preserve"> كان تفشي حمى إيبولا في أفريقيا الغربية (2013 </w:t>
      </w:r>
      <w:r>
        <w:rPr>
          <w:sz w:val="16"/>
          <w:szCs w:val="16"/>
          <w:rtl/>
        </w:rPr>
        <w:t>–</w:t>
      </w:r>
      <w:r>
        <w:rPr>
          <w:rFonts w:hint="cs"/>
          <w:sz w:val="16"/>
          <w:szCs w:val="16"/>
          <w:rtl/>
        </w:rPr>
        <w:t xml:space="preserve"> 2016) من أكثر حالات تفشي هذا الوباء في التاريخ وتسبب بوقوع عدد كبير من الضحايا وباضطراب الوضع الاجتماعي والاقتصادي في المنطقة ولا سيما في غينيا وليبيريا وسيراليون.</w:t>
      </w:r>
    </w:p>
  </w:footnote>
  <w:footnote w:id="6">
    <w:p w14:paraId="46D943D0" w14:textId="77777777" w:rsidR="00B04671" w:rsidRPr="00EF4C5D" w:rsidRDefault="00B04671" w:rsidP="00EF4C5D">
      <w:pPr>
        <w:pStyle w:val="FootnoteText"/>
        <w:bidi/>
        <w:rPr>
          <w:sz w:val="16"/>
          <w:szCs w:val="16"/>
          <w:rtl/>
          <w:lang w:bidi="ar-SA"/>
        </w:rPr>
      </w:pPr>
      <w:r w:rsidRPr="00EF4C5D">
        <w:rPr>
          <w:rStyle w:val="FootnoteReference"/>
          <w:sz w:val="16"/>
          <w:szCs w:val="16"/>
        </w:rPr>
        <w:footnoteRef/>
      </w:r>
      <w:r>
        <w:rPr>
          <w:rFonts w:hint="cs"/>
          <w:sz w:val="16"/>
          <w:szCs w:val="16"/>
          <w:rtl/>
        </w:rPr>
        <w:t xml:space="preserve"> تمّ تعيين مؤسسات التدريب المهني وعدد من كبار ورش الإصلاح لأداء دور مراكز التدريب للفنيين وإدارة المعدات للفنيين في الأقاليم.</w:t>
      </w:r>
    </w:p>
  </w:footnote>
  <w:footnote w:id="7">
    <w:p w14:paraId="180B5FA0" w14:textId="77777777" w:rsidR="00B04671" w:rsidRPr="00F1212F" w:rsidRDefault="00B04671" w:rsidP="00D7415D">
      <w:pPr>
        <w:pStyle w:val="FootnoteText"/>
        <w:bidi/>
        <w:rPr>
          <w:sz w:val="16"/>
          <w:szCs w:val="16"/>
          <w:rtl/>
          <w:lang w:bidi="ar-SA"/>
        </w:rPr>
      </w:pPr>
      <w:r w:rsidRPr="00F1212F">
        <w:rPr>
          <w:rStyle w:val="FootnoteReference"/>
          <w:sz w:val="16"/>
          <w:szCs w:val="16"/>
        </w:rPr>
        <w:footnoteRef/>
      </w:r>
      <w:r>
        <w:rPr>
          <w:rFonts w:hint="cs"/>
          <w:sz w:val="16"/>
          <w:szCs w:val="16"/>
          <w:rtl/>
        </w:rPr>
        <w:t xml:space="preserve"> لم يدخل التصحيح عند اعتماد الشريحة الثانية في الاجتماع الثاني والسبعين لأنه لم يكن لمنظمة الأمم المتحدة للتنمية الصناعية حصة فيها.</w:t>
      </w:r>
    </w:p>
  </w:footnote>
  <w:footnote w:id="8">
    <w:p w14:paraId="07604788" w14:textId="77777777" w:rsidR="00B04671" w:rsidRDefault="00B04671" w:rsidP="00CB5489">
      <w:pPr>
        <w:pStyle w:val="FootnoteText"/>
        <w:bidi/>
        <w:rPr>
          <w:rtl/>
          <w:lang w:bidi="ar-SA"/>
        </w:rPr>
      </w:pPr>
      <w:r>
        <w:rPr>
          <w:rStyle w:val="FootnoteReference"/>
        </w:rPr>
        <w:footnoteRef/>
      </w:r>
      <w:r>
        <w:rPr>
          <w:rFonts w:hint="cs"/>
          <w:rtl/>
          <w:lang w:bidi="ar-SA"/>
        </w:rPr>
        <w:t xml:space="preserve"> بموجب المقرر 84/92(ب)، طلبت اللجنة التنفيذية إلى الوكالات المنفذة والثنائية أن </w:t>
      </w:r>
      <w:r w:rsidRPr="00CB5489">
        <w:rPr>
          <w:rtl/>
          <w:lang w:bidi="ar-SA"/>
        </w:rPr>
        <w:t>تطبق السياسة العملية عن تعميم الجنسانية</w:t>
      </w:r>
      <w:r>
        <w:rPr>
          <w:rFonts w:hint="cs"/>
          <w:rtl/>
          <w:lang w:bidi="ar-SA"/>
        </w:rPr>
        <w:t xml:space="preserve"> </w:t>
      </w:r>
      <w:r>
        <w:rPr>
          <w:rtl/>
          <w:lang w:bidi="ar-SA"/>
        </w:rPr>
        <w:t xml:space="preserve">على </w:t>
      </w:r>
      <w:r w:rsidRPr="00CB5489">
        <w:rPr>
          <w:rtl/>
          <w:lang w:bidi="ar-SA"/>
        </w:rPr>
        <w:t>مدى دورة المشروع</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0F01" w14:textId="7ADA6E67" w:rsidR="00B04671" w:rsidRDefault="00B04671" w:rsidP="00115F18">
    <w:pPr>
      <w:jc w:val="right"/>
    </w:pPr>
    <w:fldSimple w:instr=" DOCPROPERTY &quot;Document number&quot;  \* MERGEFORMAT ">
      <w:r w:rsidR="00671164">
        <w:t>UNEP/OzL.Pro/ExCom/85/29</w:t>
      </w:r>
    </w:fldSimple>
  </w:p>
  <w:p w14:paraId="762568BC" w14:textId="501EDD11" w:rsidR="00B04671" w:rsidRDefault="00B04671" w:rsidP="00D072B4">
    <w:pPr>
      <w:jc w:val="left"/>
    </w:pPr>
  </w:p>
  <w:p w14:paraId="4B13A3A0" w14:textId="77777777" w:rsidR="003112F4" w:rsidRDefault="003112F4" w:rsidP="003C498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9395" w14:textId="75A10DFD" w:rsidR="00B04671" w:rsidRDefault="00B04671" w:rsidP="00115F18">
    <w:pPr>
      <w:jc w:val="left"/>
    </w:pPr>
    <w:fldSimple w:instr=" DOCPROPERTY &quot;Document number&quot;  \* MERGEFORMAT ">
      <w:r w:rsidR="00671164">
        <w:t>UNEP/OzL.Pro/ExCom/85/29</w:t>
      </w:r>
    </w:fldSimple>
  </w:p>
  <w:p w14:paraId="59D58143" w14:textId="63FBD77F" w:rsidR="00B04671" w:rsidRDefault="00B04671" w:rsidP="00115F18">
    <w:pPr>
      <w:pStyle w:val="Header"/>
      <w:jc w:val="left"/>
    </w:pPr>
  </w:p>
  <w:p w14:paraId="4F87019F" w14:textId="77777777" w:rsidR="003C4983" w:rsidRDefault="003C4983" w:rsidP="00115F1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A95E" w14:textId="77777777" w:rsidR="00B04671" w:rsidRDefault="00B04671">
    <w:pPr>
      <w:pStyle w:val="Header"/>
      <w:rPr>
        <w:rtl/>
      </w:rPr>
    </w:pPr>
  </w:p>
  <w:p w14:paraId="73822FAC" w14:textId="77777777" w:rsidR="00B04671" w:rsidRDefault="00B046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2160" w14:textId="7F2A8EEF" w:rsidR="00DF50D8" w:rsidRDefault="00DF50D8" w:rsidP="00115F18">
    <w:pPr>
      <w:jc w:val="right"/>
    </w:pPr>
    <w:fldSimple w:instr=" DOCPROPERTY &quot;Document number&quot;  \* MERGEFORMAT ">
      <w:r w:rsidR="00671164">
        <w:t>UNEP/OzL.Pro/ExCom/85/29</w:t>
      </w:r>
    </w:fldSimple>
  </w:p>
  <w:p w14:paraId="4B4938D1" w14:textId="59DA3460" w:rsidR="00DF50D8" w:rsidRDefault="00DF50D8" w:rsidP="00DF50D8">
    <w:pPr>
      <w:jc w:val="right"/>
    </w:pPr>
    <w:r>
      <w:t>Annex I</w:t>
    </w:r>
  </w:p>
  <w:p w14:paraId="531574B4" w14:textId="77777777" w:rsidR="00DF50D8" w:rsidRDefault="00DF50D8" w:rsidP="003C4983">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F3E0" w14:textId="6DF001CE" w:rsidR="003C4983" w:rsidRDefault="003C4983" w:rsidP="00115F18">
    <w:pPr>
      <w:jc w:val="left"/>
    </w:pPr>
    <w:fldSimple w:instr=" DOCPROPERTY &quot;Document number&quot;  \* MERGEFORMAT ">
      <w:r w:rsidR="00671164">
        <w:t>UNEP/OzL.Pro/ExCom/85/29</w:t>
      </w:r>
    </w:fldSimple>
  </w:p>
  <w:p w14:paraId="735A82B5" w14:textId="753600AA" w:rsidR="003C4983" w:rsidRDefault="003C4983" w:rsidP="00115F18">
    <w:pPr>
      <w:pStyle w:val="Header"/>
      <w:jc w:val="left"/>
    </w:pPr>
    <w:r>
      <w:t>Annex I</w:t>
    </w:r>
  </w:p>
  <w:p w14:paraId="72554BA5" w14:textId="77777777" w:rsidR="003C4983" w:rsidRDefault="003C4983" w:rsidP="00115F18">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47D2" w14:textId="3C495459" w:rsidR="00B04671" w:rsidRPr="00313242" w:rsidRDefault="00B04671">
    <w:pPr>
      <w:rPr>
        <w:lang w:val="fr-CA"/>
      </w:rPr>
    </w:pPr>
    <w:fldSimple w:instr=" DOCPROPERTY &quot;Document number&quot;  \* MERGEFORMAT ">
      <w:r w:rsidR="00671164">
        <w:t>UNEP/OzL.Pro/ExCom/85/29</w:t>
      </w:r>
    </w:fldSimple>
  </w:p>
  <w:p w14:paraId="2DAE1809" w14:textId="77777777" w:rsidR="00B04671" w:rsidRDefault="00B04671"/>
  <w:p w14:paraId="0ADCD575" w14:textId="77777777" w:rsidR="00B04671" w:rsidRDefault="00B046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4774" w14:textId="77A797AF" w:rsidR="00B04671" w:rsidRDefault="00B04671">
    <w:pPr>
      <w:jc w:val="right"/>
    </w:pPr>
    <w:fldSimple w:instr=" DOCPROPERTY &quot;Document number&quot;  \* MERGEFORMAT ">
      <w:r w:rsidR="00671164">
        <w:t>UNEP/OzL.Pro/ExCom/85/29</w:t>
      </w:r>
    </w:fldSimple>
  </w:p>
  <w:p w14:paraId="0319288D" w14:textId="77777777" w:rsidR="00B04671" w:rsidRDefault="00B04671"/>
  <w:p w14:paraId="773562FD" w14:textId="77777777" w:rsidR="00B04671" w:rsidRDefault="00B046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B080" w14:textId="205E4E90" w:rsidR="00B04671" w:rsidRDefault="00B04671" w:rsidP="00B85029">
    <w:pPr>
      <w:jc w:val="right"/>
    </w:pPr>
    <w:fldSimple w:instr=" DOCPROPERTY &quot;Document number&quot;  \* MERGEFORMAT ">
      <w:r w:rsidR="00671164">
        <w:t>UNEP/OzL.Pro/ExCom/85/</w:t>
      </w:r>
      <w:r w:rsidR="00671164" w:rsidRPr="00671164">
        <w:rPr>
          <w:lang w:val="fr-CA"/>
        </w:rPr>
        <w:t>29</w:t>
      </w:r>
    </w:fldSimple>
  </w:p>
  <w:p w14:paraId="599F018E" w14:textId="77777777" w:rsidR="00B04671" w:rsidRDefault="00B04671"/>
  <w:p w14:paraId="440B835F" w14:textId="77777777" w:rsidR="00B04671" w:rsidRDefault="00B0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A2511B"/>
    <w:multiLevelType w:val="hybridMultilevel"/>
    <w:tmpl w:val="5BC4C1EE"/>
    <w:lvl w:ilvl="0" w:tplc="FA5E6BBC">
      <w:start w:val="1"/>
      <w:numFmt w:val="arabicAbjad"/>
      <w:lvlText w:val="(%1)"/>
      <w:lvlJc w:val="left"/>
      <w:pPr>
        <w:ind w:left="1080" w:hanging="360"/>
      </w:pPr>
      <w:rPr>
        <w:rFonts w:hint="default"/>
        <w:sz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0643790D"/>
    <w:multiLevelType w:val="hybridMultilevel"/>
    <w:tmpl w:val="FFAAC3BA"/>
    <w:lvl w:ilvl="0" w:tplc="FA5E6BBC">
      <w:start w:val="1"/>
      <w:numFmt w:val="arabicAbjad"/>
      <w:lvlText w:val="(%1)"/>
      <w:lvlJc w:val="left"/>
      <w:pPr>
        <w:ind w:left="1073" w:hanging="360"/>
      </w:pPr>
      <w:rPr>
        <w:rFonts w:hint="default"/>
      </w:rPr>
    </w:lvl>
    <w:lvl w:ilvl="1" w:tplc="0C0C0019" w:tentative="1">
      <w:start w:val="1"/>
      <w:numFmt w:val="lowerLetter"/>
      <w:lvlText w:val="%2."/>
      <w:lvlJc w:val="left"/>
      <w:pPr>
        <w:ind w:left="1793" w:hanging="360"/>
      </w:pPr>
    </w:lvl>
    <w:lvl w:ilvl="2" w:tplc="0C0C001B" w:tentative="1">
      <w:start w:val="1"/>
      <w:numFmt w:val="lowerRoman"/>
      <w:lvlText w:val="%3."/>
      <w:lvlJc w:val="right"/>
      <w:pPr>
        <w:ind w:left="2513" w:hanging="180"/>
      </w:pPr>
    </w:lvl>
    <w:lvl w:ilvl="3" w:tplc="0C0C000F" w:tentative="1">
      <w:start w:val="1"/>
      <w:numFmt w:val="decimal"/>
      <w:lvlText w:val="%4."/>
      <w:lvlJc w:val="left"/>
      <w:pPr>
        <w:ind w:left="3233" w:hanging="360"/>
      </w:pPr>
    </w:lvl>
    <w:lvl w:ilvl="4" w:tplc="0C0C0019" w:tentative="1">
      <w:start w:val="1"/>
      <w:numFmt w:val="lowerLetter"/>
      <w:lvlText w:val="%5."/>
      <w:lvlJc w:val="left"/>
      <w:pPr>
        <w:ind w:left="3953" w:hanging="360"/>
      </w:pPr>
    </w:lvl>
    <w:lvl w:ilvl="5" w:tplc="0C0C001B" w:tentative="1">
      <w:start w:val="1"/>
      <w:numFmt w:val="lowerRoman"/>
      <w:lvlText w:val="%6."/>
      <w:lvlJc w:val="right"/>
      <w:pPr>
        <w:ind w:left="4673" w:hanging="180"/>
      </w:pPr>
    </w:lvl>
    <w:lvl w:ilvl="6" w:tplc="0C0C000F" w:tentative="1">
      <w:start w:val="1"/>
      <w:numFmt w:val="decimal"/>
      <w:lvlText w:val="%7."/>
      <w:lvlJc w:val="left"/>
      <w:pPr>
        <w:ind w:left="5393" w:hanging="360"/>
      </w:pPr>
    </w:lvl>
    <w:lvl w:ilvl="7" w:tplc="0C0C0019" w:tentative="1">
      <w:start w:val="1"/>
      <w:numFmt w:val="lowerLetter"/>
      <w:lvlText w:val="%8."/>
      <w:lvlJc w:val="left"/>
      <w:pPr>
        <w:ind w:left="6113" w:hanging="360"/>
      </w:pPr>
    </w:lvl>
    <w:lvl w:ilvl="8" w:tplc="0C0C001B" w:tentative="1">
      <w:start w:val="1"/>
      <w:numFmt w:val="lowerRoman"/>
      <w:lvlText w:val="%9."/>
      <w:lvlJc w:val="right"/>
      <w:pPr>
        <w:ind w:left="6833"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B81CEE"/>
    <w:multiLevelType w:val="hybridMultilevel"/>
    <w:tmpl w:val="59B26B6E"/>
    <w:lvl w:ilvl="0" w:tplc="FA5E6BBC">
      <w:start w:val="1"/>
      <w:numFmt w:val="arabicAbjad"/>
      <w:lvlText w:val="(%1)"/>
      <w:lvlJc w:val="left"/>
      <w:pPr>
        <w:ind w:left="797" w:hanging="360"/>
      </w:pPr>
      <w:rPr>
        <w:rFonts w:hint="default"/>
      </w:rPr>
    </w:lvl>
    <w:lvl w:ilvl="1" w:tplc="0C0C0019">
      <w:start w:val="1"/>
      <w:numFmt w:val="lowerLetter"/>
      <w:lvlText w:val="%2."/>
      <w:lvlJc w:val="left"/>
      <w:pPr>
        <w:ind w:left="1517" w:hanging="360"/>
      </w:pPr>
    </w:lvl>
    <w:lvl w:ilvl="2" w:tplc="0C0C001B" w:tentative="1">
      <w:start w:val="1"/>
      <w:numFmt w:val="lowerRoman"/>
      <w:lvlText w:val="%3."/>
      <w:lvlJc w:val="right"/>
      <w:pPr>
        <w:ind w:left="2237" w:hanging="180"/>
      </w:pPr>
    </w:lvl>
    <w:lvl w:ilvl="3" w:tplc="0C0C000F" w:tentative="1">
      <w:start w:val="1"/>
      <w:numFmt w:val="decimal"/>
      <w:lvlText w:val="%4."/>
      <w:lvlJc w:val="left"/>
      <w:pPr>
        <w:ind w:left="2957" w:hanging="360"/>
      </w:pPr>
    </w:lvl>
    <w:lvl w:ilvl="4" w:tplc="0C0C0019" w:tentative="1">
      <w:start w:val="1"/>
      <w:numFmt w:val="lowerLetter"/>
      <w:lvlText w:val="%5."/>
      <w:lvlJc w:val="left"/>
      <w:pPr>
        <w:ind w:left="3677" w:hanging="360"/>
      </w:pPr>
    </w:lvl>
    <w:lvl w:ilvl="5" w:tplc="0C0C001B" w:tentative="1">
      <w:start w:val="1"/>
      <w:numFmt w:val="lowerRoman"/>
      <w:lvlText w:val="%6."/>
      <w:lvlJc w:val="right"/>
      <w:pPr>
        <w:ind w:left="4397" w:hanging="180"/>
      </w:pPr>
    </w:lvl>
    <w:lvl w:ilvl="6" w:tplc="0C0C000F" w:tentative="1">
      <w:start w:val="1"/>
      <w:numFmt w:val="decimal"/>
      <w:lvlText w:val="%7."/>
      <w:lvlJc w:val="left"/>
      <w:pPr>
        <w:ind w:left="5117" w:hanging="360"/>
      </w:pPr>
    </w:lvl>
    <w:lvl w:ilvl="7" w:tplc="0C0C0019" w:tentative="1">
      <w:start w:val="1"/>
      <w:numFmt w:val="lowerLetter"/>
      <w:lvlText w:val="%8."/>
      <w:lvlJc w:val="left"/>
      <w:pPr>
        <w:ind w:left="5837" w:hanging="360"/>
      </w:pPr>
    </w:lvl>
    <w:lvl w:ilvl="8" w:tplc="0C0C001B" w:tentative="1">
      <w:start w:val="1"/>
      <w:numFmt w:val="lowerRoman"/>
      <w:lvlText w:val="%9."/>
      <w:lvlJc w:val="right"/>
      <w:pPr>
        <w:ind w:left="6557"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E2631"/>
    <w:multiLevelType w:val="hybridMultilevel"/>
    <w:tmpl w:val="B01471DC"/>
    <w:lvl w:ilvl="0" w:tplc="B04CDA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6DF3691"/>
    <w:multiLevelType w:val="hybridMultilevel"/>
    <w:tmpl w:val="E9FAC7E6"/>
    <w:lvl w:ilvl="0" w:tplc="C37017F2">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2"/>
  </w:num>
  <w:num w:numId="19">
    <w:abstractNumId w:val="24"/>
  </w:num>
  <w:num w:numId="20">
    <w:abstractNumId w:val="18"/>
  </w:num>
  <w:num w:numId="21">
    <w:abstractNumId w:val="13"/>
  </w:num>
  <w:num w:numId="22">
    <w:abstractNumId w:val="16"/>
  </w:num>
  <w:num w:numId="23">
    <w:abstractNumId w:val="23"/>
  </w:num>
  <w:num w:numId="24">
    <w:abstractNumId w:val="20"/>
  </w:num>
  <w:num w:numId="25">
    <w:abstractNumId w:val="10"/>
  </w:num>
  <w:num w:numId="26">
    <w:abstractNumId w:val="14"/>
  </w:num>
  <w:num w:numId="27">
    <w:abstractNumId w:val="10"/>
  </w:num>
  <w:num w:numId="28">
    <w:abstractNumId w:val="11"/>
  </w:num>
  <w:num w:numId="29">
    <w:abstractNumId w:val="10"/>
    <w:lvlOverride w:ilvl="0">
      <w:startOverride w:val="18"/>
    </w:lvlOverride>
  </w:num>
  <w:num w:numId="30">
    <w:abstractNumId w:val="10"/>
    <w:lvlOverride w:ilvl="0">
      <w:startOverride w:val="3"/>
    </w:lvlOverride>
  </w:num>
  <w:num w:numId="31">
    <w:abstractNumId w:val="10"/>
    <w:lvlOverride w:ilvl="0">
      <w:startOverride w:val="15"/>
    </w:lvlOverride>
  </w:num>
  <w:num w:numId="32">
    <w:abstractNumId w:val="19"/>
  </w:num>
  <w:num w:numId="33">
    <w:abstractNumId w:val="12"/>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95"/>
    <w:rsid w:val="00013372"/>
    <w:rsid w:val="00024267"/>
    <w:rsid w:val="0004254A"/>
    <w:rsid w:val="000861FE"/>
    <w:rsid w:val="000B7AAB"/>
    <w:rsid w:val="000C2FE8"/>
    <w:rsid w:val="000D6A4F"/>
    <w:rsid w:val="000F02EE"/>
    <w:rsid w:val="000F611B"/>
    <w:rsid w:val="00113EE6"/>
    <w:rsid w:val="00115F18"/>
    <w:rsid w:val="00122811"/>
    <w:rsid w:val="001432C1"/>
    <w:rsid w:val="00196973"/>
    <w:rsid w:val="001A1043"/>
    <w:rsid w:val="001B07B4"/>
    <w:rsid w:val="001B1A69"/>
    <w:rsid w:val="001D2B38"/>
    <w:rsid w:val="001E698B"/>
    <w:rsid w:val="001F3090"/>
    <w:rsid w:val="00224EE8"/>
    <w:rsid w:val="0025495B"/>
    <w:rsid w:val="00271481"/>
    <w:rsid w:val="002E0A5C"/>
    <w:rsid w:val="002E7EF7"/>
    <w:rsid w:val="002F505F"/>
    <w:rsid w:val="00304DAB"/>
    <w:rsid w:val="003112F4"/>
    <w:rsid w:val="00313242"/>
    <w:rsid w:val="003263B5"/>
    <w:rsid w:val="00381E90"/>
    <w:rsid w:val="0039182A"/>
    <w:rsid w:val="003B2456"/>
    <w:rsid w:val="003C28F9"/>
    <w:rsid w:val="003C4983"/>
    <w:rsid w:val="003E688D"/>
    <w:rsid w:val="003F2852"/>
    <w:rsid w:val="004013C2"/>
    <w:rsid w:val="00452395"/>
    <w:rsid w:val="00455843"/>
    <w:rsid w:val="004566E7"/>
    <w:rsid w:val="004B70E3"/>
    <w:rsid w:val="004C1829"/>
    <w:rsid w:val="004C5B74"/>
    <w:rsid w:val="00501DE1"/>
    <w:rsid w:val="005157AF"/>
    <w:rsid w:val="00524FF0"/>
    <w:rsid w:val="00527EA5"/>
    <w:rsid w:val="00532BD7"/>
    <w:rsid w:val="005473E1"/>
    <w:rsid w:val="005849BB"/>
    <w:rsid w:val="005B5DF7"/>
    <w:rsid w:val="005C7D4A"/>
    <w:rsid w:val="005F3511"/>
    <w:rsid w:val="00604995"/>
    <w:rsid w:val="00626AEA"/>
    <w:rsid w:val="00662A73"/>
    <w:rsid w:val="00671164"/>
    <w:rsid w:val="006A289C"/>
    <w:rsid w:val="006F2A2C"/>
    <w:rsid w:val="006F7D78"/>
    <w:rsid w:val="00724941"/>
    <w:rsid w:val="00786775"/>
    <w:rsid w:val="007E5D09"/>
    <w:rsid w:val="00873072"/>
    <w:rsid w:val="00882B66"/>
    <w:rsid w:val="009201CD"/>
    <w:rsid w:val="0093774C"/>
    <w:rsid w:val="009940D1"/>
    <w:rsid w:val="009B2F57"/>
    <w:rsid w:val="009E0330"/>
    <w:rsid w:val="009E7E1C"/>
    <w:rsid w:val="00A12E76"/>
    <w:rsid w:val="00A1451E"/>
    <w:rsid w:val="00A37602"/>
    <w:rsid w:val="00A44778"/>
    <w:rsid w:val="00A54FC6"/>
    <w:rsid w:val="00A66EE5"/>
    <w:rsid w:val="00AA0AE9"/>
    <w:rsid w:val="00AB4886"/>
    <w:rsid w:val="00AD626E"/>
    <w:rsid w:val="00B04671"/>
    <w:rsid w:val="00B11DB6"/>
    <w:rsid w:val="00B40E87"/>
    <w:rsid w:val="00B4539D"/>
    <w:rsid w:val="00B45BA5"/>
    <w:rsid w:val="00B81E83"/>
    <w:rsid w:val="00B85029"/>
    <w:rsid w:val="00BB51D2"/>
    <w:rsid w:val="00BC0769"/>
    <w:rsid w:val="00C53C55"/>
    <w:rsid w:val="00CA50B5"/>
    <w:rsid w:val="00CA7B21"/>
    <w:rsid w:val="00CB5489"/>
    <w:rsid w:val="00CC4210"/>
    <w:rsid w:val="00CD5A71"/>
    <w:rsid w:val="00D072B4"/>
    <w:rsid w:val="00D26C90"/>
    <w:rsid w:val="00D7415D"/>
    <w:rsid w:val="00DC075A"/>
    <w:rsid w:val="00DC5BE1"/>
    <w:rsid w:val="00DE6C5C"/>
    <w:rsid w:val="00DF50D8"/>
    <w:rsid w:val="00E1360E"/>
    <w:rsid w:val="00E15A32"/>
    <w:rsid w:val="00E6329D"/>
    <w:rsid w:val="00E75BBE"/>
    <w:rsid w:val="00E84683"/>
    <w:rsid w:val="00EC108E"/>
    <w:rsid w:val="00EF4C5D"/>
    <w:rsid w:val="00F1212F"/>
    <w:rsid w:val="00F311C3"/>
    <w:rsid w:val="00F74C17"/>
    <w:rsid w:val="00F832D4"/>
    <w:rsid w:val="00FA4C44"/>
    <w:rsid w:val="00FB420E"/>
    <w:rsid w:val="00FC5393"/>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C5CA7"/>
  <w15:docId w15:val="{3302D398-8BD2-4FC1-877E-FB9AE4E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4013C2"/>
    <w:rPr>
      <w:sz w:val="20"/>
    </w:rPr>
  </w:style>
  <w:style w:type="character" w:customStyle="1" w:styleId="FootnoteTextChar">
    <w:name w:val="Footnote Text Char"/>
    <w:basedOn w:val="DefaultParagraphFont"/>
    <w:link w:val="FootnoteText"/>
    <w:uiPriority w:val="99"/>
    <w:semiHidden/>
    <w:rsid w:val="004013C2"/>
    <w:rPr>
      <w:lang w:val="en-GB" w:bidi="ar-DZ"/>
    </w:rPr>
  </w:style>
  <w:style w:type="character" w:styleId="FootnoteReference">
    <w:name w:val="footnote reference"/>
    <w:basedOn w:val="DefaultParagraphFont"/>
    <w:uiPriority w:val="99"/>
    <w:semiHidden/>
    <w:unhideWhenUsed/>
    <w:rsid w:val="004013C2"/>
    <w:rPr>
      <w:vertAlign w:val="superscript"/>
    </w:rPr>
  </w:style>
  <w:style w:type="paragraph" w:styleId="ListParagraph">
    <w:name w:val="List Paragraph"/>
    <w:basedOn w:val="Normal"/>
    <w:uiPriority w:val="34"/>
    <w:qFormat/>
    <w:rsid w:val="0058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5\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UNEP/OzL.Pro/ExCom/85/29</Document_x0020_Number>
    <DocumentType xmlns="48d2d36d-b4e3-478b-a344-cdbeebaca89a">Pre-session</DocumentType>
  </documentManagement>
</p:properties>
</file>

<file path=customXml/itemProps1.xml><?xml version="1.0" encoding="utf-8"?>
<ds:datastoreItem xmlns:ds="http://schemas.openxmlformats.org/officeDocument/2006/customXml" ds:itemID="{39590B32-F259-4BD6-90B4-9C2E6E8705DD}"/>
</file>

<file path=customXml/itemProps2.xml><?xml version="1.0" encoding="utf-8"?>
<ds:datastoreItem xmlns:ds="http://schemas.openxmlformats.org/officeDocument/2006/customXml" ds:itemID="{418E3CFB-9AF9-479B-BC8A-B4CF3B625AE9}"/>
</file>

<file path=customXml/itemProps3.xml><?xml version="1.0" encoding="utf-8"?>
<ds:datastoreItem xmlns:ds="http://schemas.openxmlformats.org/officeDocument/2006/customXml" ds:itemID="{3583AE8B-3EDE-4F21-9831-710A00B1C300}"/>
</file>

<file path=customXml/itemProps4.xml><?xml version="1.0" encoding="utf-8"?>
<ds:datastoreItem xmlns:ds="http://schemas.openxmlformats.org/officeDocument/2006/customXml" ds:itemID="{BE1F28A2-F454-4B57-93D5-E509D862D6E4}"/>
</file>

<file path=docProps/app.xml><?xml version="1.0" encoding="utf-8"?>
<Properties xmlns="http://schemas.openxmlformats.org/officeDocument/2006/extended-properties" xmlns:vt="http://schemas.openxmlformats.org/officeDocument/2006/docPropsVTypes">
  <Template>A85-template - with footnote</Template>
  <TotalTime>4084</TotalTime>
  <Pages>1</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مقترح مشروع: غينيا </vt:lpstr>
    </vt:vector>
  </TitlesOfParts>
  <Company>UNMFS</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غينيا</dc:title>
  <dc:creator>Michèle</dc:creator>
  <cp:lastModifiedBy>Lynda</cp:lastModifiedBy>
  <cp:revision>42</cp:revision>
  <cp:lastPrinted>2020-05-26T21:23:00Z</cp:lastPrinted>
  <dcterms:created xsi:type="dcterms:W3CDTF">2020-05-07T04:54:00Z</dcterms:created>
  <dcterms:modified xsi:type="dcterms:W3CDTF">2020-05-26T21:23:00Z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UNEP/OzL.Pro/ExCom/85/29</vt:lpwstr>
  </property>
  <property fmtid="{D5CDD505-2E9C-101B-9397-08002B2CF9AE}" pid="3" name="Revision date">
    <vt:lpwstr>4 May 2020</vt:lpwstr>
  </property>
  <property fmtid="{D5CDD505-2E9C-101B-9397-08002B2CF9AE}" pid="4" name="ContentTypeId">
    <vt:lpwstr>0x0101000F92D74A04FAEF42BD852E17FDD6E5B6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