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1" w:type="dxa"/>
        <w:tblInd w:w="-432" w:type="dxa"/>
        <w:tblLayout w:type="fixed"/>
        <w:tblLook w:val="0000" w:firstRow="0" w:lastRow="0" w:firstColumn="0" w:lastColumn="0" w:noHBand="0" w:noVBand="0"/>
      </w:tblPr>
      <w:tblGrid>
        <w:gridCol w:w="2070"/>
        <w:gridCol w:w="4424"/>
        <w:gridCol w:w="3577"/>
      </w:tblGrid>
      <w:tr w:rsidR="0087455A" w14:paraId="7BC296B5" w14:textId="77777777" w:rsidTr="00123182">
        <w:trPr>
          <w:trHeight w:val="720"/>
        </w:trPr>
        <w:tc>
          <w:tcPr>
            <w:tcW w:w="6494" w:type="dxa"/>
            <w:gridSpan w:val="2"/>
            <w:tcBorders>
              <w:bottom w:val="single" w:sz="18" w:space="0" w:color="auto"/>
            </w:tcBorders>
          </w:tcPr>
          <w:p w14:paraId="3997CDDA" w14:textId="77777777" w:rsidR="0087455A" w:rsidRDefault="0024162E">
            <w:pPr>
              <w:rPr>
                <w:rFonts w:ascii="Univers" w:hAnsi="Univers"/>
                <w:b/>
                <w:sz w:val="28"/>
                <w:szCs w:val="28"/>
                <w:lang w:val="es-MX"/>
              </w:rPr>
            </w:pPr>
            <w:bookmarkStart w:id="0" w:name="_GoBack"/>
            <w:bookmarkEnd w:id="0"/>
            <w:r>
              <w:rPr>
                <w:rFonts w:ascii="Univers" w:hAnsi="Univers"/>
                <w:b/>
                <w:sz w:val="28"/>
                <w:szCs w:val="28"/>
                <w:lang w:val="es-MX"/>
              </w:rPr>
              <w:t>NACIONES</w:t>
            </w:r>
          </w:p>
          <w:p w14:paraId="0FC0EB01" w14:textId="77777777" w:rsidR="0087455A" w:rsidRDefault="0024162E">
            <w:pPr>
              <w:rPr>
                <w:rFonts w:ascii="Univers" w:hAnsi="Univers"/>
                <w:b/>
                <w:sz w:val="28"/>
                <w:szCs w:val="28"/>
                <w:lang w:val="es-MX"/>
              </w:rPr>
            </w:pPr>
            <w:r>
              <w:rPr>
                <w:rFonts w:ascii="Univers" w:hAnsi="Univers"/>
                <w:b/>
                <w:sz w:val="28"/>
                <w:szCs w:val="28"/>
                <w:lang w:val="es-MX"/>
              </w:rPr>
              <w:t>UNIDAS</w:t>
            </w:r>
          </w:p>
        </w:tc>
        <w:tc>
          <w:tcPr>
            <w:tcW w:w="3577" w:type="dxa"/>
            <w:tcBorders>
              <w:bottom w:val="single" w:sz="18" w:space="0" w:color="auto"/>
            </w:tcBorders>
          </w:tcPr>
          <w:p w14:paraId="770451C9" w14:textId="77777777" w:rsidR="0087455A" w:rsidRDefault="0024162E">
            <w:pPr>
              <w:jc w:val="right"/>
              <w:rPr>
                <w:rFonts w:asciiTheme="minorBidi" w:hAnsiTheme="minorBidi" w:cstheme="minorBidi"/>
                <w:sz w:val="52"/>
                <w:szCs w:val="52"/>
              </w:rPr>
            </w:pPr>
            <w:r>
              <w:rPr>
                <w:rFonts w:asciiTheme="minorBidi" w:hAnsiTheme="minorBidi" w:cstheme="minorBidi"/>
                <w:b/>
                <w:sz w:val="72"/>
              </w:rPr>
              <w:t>EP</w:t>
            </w:r>
          </w:p>
        </w:tc>
      </w:tr>
      <w:tr w:rsidR="0087455A" w:rsidRPr="001C2D22" w14:paraId="2789E363" w14:textId="77777777" w:rsidTr="00123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731CA658" w14:textId="77777777" w:rsidR="0087455A" w:rsidRDefault="0024162E">
            <w:pPr>
              <w:spacing w:before="120"/>
            </w:pPr>
            <w:r>
              <w:rPr>
                <w:noProof/>
                <w:lang w:val="en-CA" w:eastAsia="en-CA"/>
              </w:rPr>
              <w:drawing>
                <wp:anchor distT="0" distB="0" distL="114300" distR="114300" simplePos="0" relativeHeight="251660288" behindDoc="0" locked="0" layoutInCell="1" allowOverlap="1" wp14:anchorId="68BA9919" wp14:editId="0ED7DBDA">
                  <wp:simplePos x="0" y="0"/>
                  <wp:positionH relativeFrom="column">
                    <wp:posOffset>12438</wp:posOffset>
                  </wp:positionH>
                  <wp:positionV relativeFrom="paragraph">
                    <wp:posOffset>1003150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Pr>
                <w:noProof/>
                <w:lang w:val="en-CA" w:eastAsia="en-CA"/>
              </w:rPr>
              <w:drawing>
                <wp:anchor distT="0" distB="0" distL="114300" distR="114300" simplePos="0" relativeHeight="251661312" behindDoc="1" locked="0" layoutInCell="0" allowOverlap="1" wp14:anchorId="0D1E92D0" wp14:editId="68F2EAE9">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424" w:type="dxa"/>
            <w:tcBorders>
              <w:top w:val="nil"/>
              <w:left w:val="nil"/>
              <w:bottom w:val="single" w:sz="36" w:space="0" w:color="auto"/>
              <w:right w:val="nil"/>
            </w:tcBorders>
          </w:tcPr>
          <w:p w14:paraId="2D268345" w14:textId="77777777" w:rsidR="0087455A"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p>
          <w:p w14:paraId="3986A6F0" w14:textId="77777777" w:rsidR="0087455A"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Programa de las</w:t>
            </w:r>
          </w:p>
          <w:p w14:paraId="7DBF19DA" w14:textId="77777777" w:rsidR="0087455A"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Naciones Unidas</w:t>
            </w:r>
          </w:p>
          <w:p w14:paraId="274FCA24" w14:textId="77777777" w:rsidR="0087455A"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para el Medio Ambiente</w:t>
            </w:r>
          </w:p>
          <w:p w14:paraId="3B0A89FD" w14:textId="77777777" w:rsidR="0087455A"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MX"/>
              </w:rPr>
            </w:pPr>
          </w:p>
          <w:p w14:paraId="1E5C909E" w14:textId="77777777" w:rsidR="0087455A" w:rsidRDefault="0087455A">
            <w:pPr>
              <w:spacing w:before="720"/>
              <w:ind w:left="158"/>
              <w:rPr>
                <w:lang w:val="es-ES"/>
              </w:rPr>
            </w:pPr>
          </w:p>
        </w:tc>
        <w:tc>
          <w:tcPr>
            <w:tcW w:w="3577" w:type="dxa"/>
            <w:tcBorders>
              <w:top w:val="nil"/>
              <w:left w:val="nil"/>
              <w:bottom w:val="single" w:sz="36" w:space="0" w:color="auto"/>
              <w:right w:val="nil"/>
            </w:tcBorders>
          </w:tcPr>
          <w:p w14:paraId="6024D1D7" w14:textId="77777777" w:rsidR="0087455A" w:rsidRDefault="0087455A">
            <w:pPr>
              <w:rPr>
                <w:lang w:val="es-ES"/>
              </w:rPr>
            </w:pPr>
          </w:p>
          <w:p w14:paraId="7F931A24" w14:textId="77777777" w:rsidR="0087455A" w:rsidRDefault="0024162E">
            <w:pPr>
              <w:rPr>
                <w:lang w:val="es-ES"/>
              </w:rPr>
            </w:pPr>
            <w:r>
              <w:rPr>
                <w:lang w:val="es-ES"/>
              </w:rPr>
              <w:t>Distr.</w:t>
            </w:r>
          </w:p>
          <w:p w14:paraId="495ECCA4" w14:textId="77777777" w:rsidR="0087455A" w:rsidRDefault="0024162E">
            <w:pPr>
              <w:rPr>
                <w:lang w:val="es-ES"/>
              </w:rPr>
            </w:pPr>
            <w:r>
              <w:rPr>
                <w:lang w:val="es-ES"/>
              </w:rPr>
              <w:t>GENERAL</w:t>
            </w:r>
          </w:p>
          <w:p w14:paraId="54DD8944" w14:textId="77777777" w:rsidR="0087455A" w:rsidRDefault="0087455A">
            <w:pPr>
              <w:rPr>
                <w:lang w:val="es-ES"/>
              </w:rPr>
            </w:pPr>
          </w:p>
          <w:p w14:paraId="51E7DFCD" w14:textId="78CF6F3A" w:rsidR="0087455A" w:rsidRDefault="0024162E">
            <w:pPr>
              <w:rPr>
                <w:lang w:val="es-ES"/>
              </w:rPr>
            </w:pPr>
            <w:r>
              <w:fldChar w:fldCharType="begin"/>
            </w:r>
            <w:r>
              <w:rPr>
                <w:lang w:val="es-ES"/>
              </w:rPr>
              <w:instrText xml:space="preserve"> DOCPROPERTY "Document number"  \* MERGEFORMAT </w:instrText>
            </w:r>
            <w:r>
              <w:fldChar w:fldCharType="separate"/>
            </w:r>
            <w:r w:rsidR="00123182">
              <w:rPr>
                <w:lang w:val="es-ES"/>
              </w:rPr>
              <w:t>UNEP/OzL.Pro/ExCom/84/26</w:t>
            </w:r>
            <w:r>
              <w:fldChar w:fldCharType="end"/>
            </w:r>
          </w:p>
          <w:p w14:paraId="0B0CB944" w14:textId="3CB64031" w:rsidR="00123182" w:rsidRPr="00D53695" w:rsidRDefault="00123182" w:rsidP="00123182">
            <w:pPr>
              <w:rPr>
                <w:caps/>
                <w:lang w:val="es-419"/>
              </w:rPr>
            </w:pPr>
            <w:r>
              <w:rPr>
                <w:caps/>
                <w:lang w:val="es-419"/>
              </w:rPr>
              <w:t>20</w:t>
            </w:r>
            <w:r w:rsidRPr="00D53695">
              <w:rPr>
                <w:caps/>
                <w:lang w:val="es-419"/>
              </w:rPr>
              <w:t xml:space="preserve"> </w:t>
            </w:r>
            <w:r w:rsidRPr="00D53695">
              <w:rPr>
                <w:lang w:val="es-419"/>
              </w:rPr>
              <w:t xml:space="preserve">de noviembre de </w:t>
            </w:r>
            <w:r w:rsidRPr="00D53695">
              <w:rPr>
                <w:caps/>
                <w:lang w:val="es-419"/>
              </w:rPr>
              <w:t>2019</w:t>
            </w:r>
          </w:p>
          <w:p w14:paraId="5274E249" w14:textId="77777777" w:rsidR="00114CAA" w:rsidRDefault="00114CAA">
            <w:pPr>
              <w:rPr>
                <w:caps/>
                <w:lang w:val="es-ES"/>
              </w:rPr>
            </w:pPr>
          </w:p>
          <w:p w14:paraId="6919DD50" w14:textId="77777777" w:rsidR="0087455A" w:rsidRDefault="0024162E">
            <w:pPr>
              <w:rPr>
                <w:lang w:val="es-MX"/>
              </w:rPr>
            </w:pPr>
            <w:r>
              <w:rPr>
                <w:lang w:val="es-MX"/>
              </w:rPr>
              <w:t xml:space="preserve">ESPAÑOL </w:t>
            </w:r>
          </w:p>
          <w:p w14:paraId="204C3B41" w14:textId="77777777" w:rsidR="0087455A" w:rsidRDefault="0024162E">
            <w:pPr>
              <w:rPr>
                <w:lang w:val="es-ES"/>
              </w:rPr>
            </w:pPr>
            <w:r>
              <w:rPr>
                <w:lang w:val="es-ES"/>
              </w:rPr>
              <w:t xml:space="preserve">ORIGINAL: </w:t>
            </w:r>
            <w:r>
              <w:rPr>
                <w:lang w:val="es-MX"/>
              </w:rPr>
              <w:t>INGLÉS</w:t>
            </w:r>
          </w:p>
        </w:tc>
      </w:tr>
    </w:tbl>
    <w:p w14:paraId="6FE51E56" w14:textId="77777777" w:rsidR="0087455A" w:rsidRDefault="0087455A">
      <w:pPr>
        <w:jc w:val="left"/>
        <w:rPr>
          <w:lang w:val="es-MX"/>
        </w:rPr>
      </w:pPr>
    </w:p>
    <w:p w14:paraId="43C9AD1F" w14:textId="77777777" w:rsidR="0087455A" w:rsidRDefault="0024162E">
      <w:pPr>
        <w:jc w:val="left"/>
        <w:rPr>
          <w:lang w:val="es-MX"/>
        </w:rPr>
      </w:pPr>
      <w:r>
        <w:rPr>
          <w:lang w:val="es-MX"/>
        </w:rPr>
        <w:t>COMITÉ EJECUTIVO DEL FONDO MULTILATERAL</w:t>
      </w:r>
      <w:r>
        <w:rPr>
          <w:lang w:val="es-MX"/>
        </w:rPr>
        <w:br/>
        <w:t xml:space="preserve">  PARA LA APLICACIÓN DEL</w:t>
      </w:r>
      <w:r>
        <w:rPr>
          <w:lang w:val="es-MX"/>
        </w:rPr>
        <w:br/>
        <w:t xml:space="preserve">  PROTOCOLO DE MONTREAL</w:t>
      </w:r>
    </w:p>
    <w:p w14:paraId="2B035D0C" w14:textId="77777777" w:rsidR="00106F6E" w:rsidRDefault="00106F6E" w:rsidP="001F4047">
      <w:pPr>
        <w:jc w:val="left"/>
        <w:rPr>
          <w:lang w:val="es-ES"/>
        </w:rPr>
      </w:pPr>
      <w:r>
        <w:rPr>
          <w:lang w:val="es-ES"/>
        </w:rPr>
        <w:t xml:space="preserve">Octogésima </w:t>
      </w:r>
      <w:r w:rsidR="003863A4">
        <w:rPr>
          <w:lang w:val="es-ES"/>
        </w:rPr>
        <w:t>cuarta Reunión</w:t>
      </w:r>
      <w:r w:rsidR="003863A4">
        <w:rPr>
          <w:lang w:val="es-ES"/>
        </w:rPr>
        <w:br/>
        <w:t xml:space="preserve">Montreal, 16 </w:t>
      </w:r>
      <w:r>
        <w:rPr>
          <w:lang w:val="es-ES"/>
        </w:rPr>
        <w:t xml:space="preserve">– </w:t>
      </w:r>
      <w:r w:rsidR="003863A4">
        <w:rPr>
          <w:lang w:val="es-ES"/>
        </w:rPr>
        <w:t>20</w:t>
      </w:r>
      <w:r>
        <w:rPr>
          <w:lang w:val="es-ES"/>
        </w:rPr>
        <w:t xml:space="preserve"> de </w:t>
      </w:r>
      <w:r w:rsidR="001F4047">
        <w:rPr>
          <w:lang w:val="es-ES"/>
        </w:rPr>
        <w:t>diciembre</w:t>
      </w:r>
      <w:r w:rsidR="001C2D22">
        <w:rPr>
          <w:lang w:val="es-ES"/>
        </w:rPr>
        <w:t xml:space="preserve"> de 2019</w:t>
      </w:r>
    </w:p>
    <w:p w14:paraId="3B156695" w14:textId="77777777" w:rsidR="00106F6E" w:rsidRDefault="00106F6E" w:rsidP="00106F6E">
      <w:pPr>
        <w:jc w:val="left"/>
        <w:rPr>
          <w:lang w:val="es-ES"/>
        </w:rPr>
      </w:pPr>
    </w:p>
    <w:p w14:paraId="3F0D3812" w14:textId="77777777" w:rsidR="0087455A" w:rsidRDefault="0087455A">
      <w:pPr>
        <w:jc w:val="left"/>
        <w:rPr>
          <w:lang w:val="es-ES"/>
        </w:rPr>
      </w:pPr>
    </w:p>
    <w:p w14:paraId="53D06E3E" w14:textId="77777777" w:rsidR="00087329" w:rsidRDefault="00C009A9" w:rsidP="00C009A9">
      <w:pPr>
        <w:pStyle w:val="Title2"/>
      </w:pPr>
      <w:r w:rsidRPr="00B056E4">
        <w:t>PLAN ADMINISTRATIVO REFUNDIDO DEL FONDO MULTILATERAL</w:t>
      </w:r>
    </w:p>
    <w:p w14:paraId="4EF896B6" w14:textId="687B0DE1" w:rsidR="00C009A9" w:rsidRPr="00B056E4" w:rsidRDefault="00C009A9" w:rsidP="00C009A9">
      <w:pPr>
        <w:pStyle w:val="Title2"/>
      </w:pPr>
      <w:r w:rsidRPr="00B056E4">
        <w:t xml:space="preserve"> para 2020-2022</w:t>
      </w:r>
    </w:p>
    <w:p w14:paraId="31BAA2E7" w14:textId="77777777" w:rsidR="00C009A9" w:rsidRPr="00B056E4" w:rsidRDefault="00C009A9" w:rsidP="00C009A9">
      <w:pPr>
        <w:pStyle w:val="Heading1"/>
        <w:numPr>
          <w:ilvl w:val="0"/>
          <w:numId w:val="0"/>
        </w:numPr>
        <w:rPr>
          <w:b/>
          <w:lang w:val="es-ES"/>
        </w:rPr>
      </w:pPr>
    </w:p>
    <w:p w14:paraId="60084923" w14:textId="77777777" w:rsidR="00C009A9" w:rsidRPr="00B056E4" w:rsidRDefault="00C009A9" w:rsidP="00C009A9">
      <w:pPr>
        <w:pStyle w:val="Heading1"/>
        <w:numPr>
          <w:ilvl w:val="0"/>
          <w:numId w:val="0"/>
        </w:numPr>
        <w:rPr>
          <w:b/>
          <w:lang w:val="es-ES"/>
        </w:rPr>
      </w:pPr>
      <w:r w:rsidRPr="00B056E4">
        <w:rPr>
          <w:b/>
          <w:lang w:val="es-ES"/>
        </w:rPr>
        <w:t>Introducción</w:t>
      </w:r>
    </w:p>
    <w:p w14:paraId="38EAC006" w14:textId="77777777" w:rsidR="00C009A9" w:rsidRPr="00B056E4" w:rsidRDefault="00C009A9" w:rsidP="00C009A9">
      <w:pPr>
        <w:pStyle w:val="Heading1"/>
        <w:rPr>
          <w:lang w:val="es-ES"/>
        </w:rPr>
      </w:pPr>
      <w:r w:rsidRPr="00B056E4">
        <w:rPr>
          <w:lang w:val="es-ES"/>
        </w:rPr>
        <w:t>La Secretaría y los organismos bilaterales y de ejecución comenzaron sus tareas de colaboración en relación con la planificación administrativa del Fondo Multilateral para 2020-2022 presentando el 23 de septiembre de 2019 los cuadros iniciales de los planes administrativos. En el Cuadro 1 se muestra un resumen de la cuantía total indicada en los cuadros de los planes administrativos para 2020-2022 tal y como se presentaron.</w:t>
      </w:r>
    </w:p>
    <w:p w14:paraId="20D566C5" w14:textId="77777777" w:rsidR="00C009A9" w:rsidRPr="00B056E4" w:rsidRDefault="00C009A9" w:rsidP="00C009A9">
      <w:pPr>
        <w:rPr>
          <w:b/>
          <w:lang w:val="es-ES"/>
        </w:rPr>
      </w:pPr>
      <w:r w:rsidRPr="00B056E4">
        <w:rPr>
          <w:b/>
          <w:lang w:val="es-ES"/>
        </w:rPr>
        <w:t>Cuadro 1. Cuantías totales iniciales de los planes administrativos para 2020-2022 (en miles de $EUA)</w:t>
      </w:r>
    </w:p>
    <w:tbl>
      <w:tblPr>
        <w:tblW w:w="9360" w:type="dxa"/>
        <w:tblInd w:w="-5" w:type="dxa"/>
        <w:tblLayout w:type="fixed"/>
        <w:tblLook w:val="04A0" w:firstRow="1" w:lastRow="0" w:firstColumn="1" w:lastColumn="0" w:noHBand="0" w:noVBand="1"/>
      </w:tblPr>
      <w:tblGrid>
        <w:gridCol w:w="2160"/>
        <w:gridCol w:w="1440"/>
        <w:gridCol w:w="1440"/>
        <w:gridCol w:w="1440"/>
        <w:gridCol w:w="1440"/>
        <w:gridCol w:w="1440"/>
      </w:tblGrid>
      <w:tr w:rsidR="00C009A9" w:rsidRPr="00B056E4" w14:paraId="42C6FDB3" w14:textId="77777777" w:rsidTr="00C0770E">
        <w:trPr>
          <w:trHeight w:val="255"/>
        </w:trPr>
        <w:tc>
          <w:tcPr>
            <w:tcW w:w="2160" w:type="dxa"/>
            <w:tcBorders>
              <w:top w:val="single" w:sz="4" w:space="0" w:color="auto"/>
              <w:left w:val="single" w:sz="4" w:space="0" w:color="auto"/>
              <w:bottom w:val="single" w:sz="4" w:space="0" w:color="auto"/>
              <w:right w:val="single" w:sz="4" w:space="0" w:color="auto"/>
            </w:tcBorders>
            <w:shd w:val="clear" w:color="auto" w:fill="auto"/>
            <w:noWrap/>
            <w:hideMark/>
          </w:tcPr>
          <w:p w14:paraId="35D45D12" w14:textId="77777777" w:rsidR="00C009A9" w:rsidRPr="00B056E4" w:rsidRDefault="00C009A9" w:rsidP="00C0770E">
            <w:pPr>
              <w:jc w:val="left"/>
              <w:rPr>
                <w:b/>
                <w:bCs/>
                <w:lang w:val="es-ES"/>
              </w:rPr>
            </w:pPr>
            <w:r w:rsidRPr="00B056E4">
              <w:rPr>
                <w:b/>
                <w:bCs/>
                <w:lang w:val="es-ES"/>
              </w:rPr>
              <w:t>Partida</w:t>
            </w:r>
          </w:p>
        </w:tc>
        <w:tc>
          <w:tcPr>
            <w:tcW w:w="1440" w:type="dxa"/>
            <w:tcBorders>
              <w:top w:val="single" w:sz="4" w:space="0" w:color="auto"/>
              <w:left w:val="nil"/>
              <w:bottom w:val="single" w:sz="4" w:space="0" w:color="auto"/>
              <w:right w:val="single" w:sz="4" w:space="0" w:color="auto"/>
            </w:tcBorders>
            <w:shd w:val="clear" w:color="auto" w:fill="auto"/>
            <w:noWrap/>
            <w:hideMark/>
          </w:tcPr>
          <w:p w14:paraId="2F035CA6" w14:textId="77777777" w:rsidR="00C009A9" w:rsidRPr="00B056E4" w:rsidRDefault="00C009A9" w:rsidP="00C0770E">
            <w:pPr>
              <w:jc w:val="center"/>
              <w:rPr>
                <w:b/>
                <w:bCs/>
                <w:lang w:val="es-ES"/>
              </w:rPr>
            </w:pPr>
            <w:r w:rsidRPr="00B056E4">
              <w:rPr>
                <w:b/>
                <w:bCs/>
                <w:lang w:val="es-ES"/>
              </w:rPr>
              <w:t>2020</w:t>
            </w:r>
          </w:p>
        </w:tc>
        <w:tc>
          <w:tcPr>
            <w:tcW w:w="1440" w:type="dxa"/>
            <w:tcBorders>
              <w:top w:val="single" w:sz="4" w:space="0" w:color="auto"/>
              <w:left w:val="nil"/>
              <w:bottom w:val="single" w:sz="4" w:space="0" w:color="auto"/>
              <w:right w:val="single" w:sz="4" w:space="0" w:color="auto"/>
            </w:tcBorders>
            <w:shd w:val="clear" w:color="auto" w:fill="auto"/>
            <w:noWrap/>
            <w:hideMark/>
          </w:tcPr>
          <w:p w14:paraId="2F060F5E" w14:textId="77777777" w:rsidR="00C009A9" w:rsidRPr="00B056E4" w:rsidRDefault="00C009A9" w:rsidP="00C0770E">
            <w:pPr>
              <w:jc w:val="center"/>
              <w:rPr>
                <w:b/>
                <w:bCs/>
                <w:lang w:val="es-ES"/>
              </w:rPr>
            </w:pPr>
            <w:r w:rsidRPr="00B056E4">
              <w:rPr>
                <w:b/>
                <w:bCs/>
                <w:lang w:val="es-ES"/>
              </w:rPr>
              <w:t>2021</w:t>
            </w:r>
          </w:p>
        </w:tc>
        <w:tc>
          <w:tcPr>
            <w:tcW w:w="1440" w:type="dxa"/>
            <w:tcBorders>
              <w:top w:val="single" w:sz="4" w:space="0" w:color="auto"/>
              <w:left w:val="nil"/>
              <w:bottom w:val="single" w:sz="4" w:space="0" w:color="auto"/>
              <w:right w:val="single" w:sz="4" w:space="0" w:color="auto"/>
            </w:tcBorders>
            <w:shd w:val="clear" w:color="auto" w:fill="auto"/>
            <w:noWrap/>
            <w:hideMark/>
          </w:tcPr>
          <w:p w14:paraId="1688526E" w14:textId="77777777" w:rsidR="00C009A9" w:rsidRPr="00B056E4" w:rsidRDefault="00C009A9" w:rsidP="00C0770E">
            <w:pPr>
              <w:jc w:val="center"/>
              <w:rPr>
                <w:b/>
                <w:bCs/>
                <w:lang w:val="es-ES"/>
              </w:rPr>
            </w:pPr>
            <w:r w:rsidRPr="00B056E4">
              <w:rPr>
                <w:b/>
                <w:bCs/>
                <w:lang w:val="es-ES"/>
              </w:rPr>
              <w:t>2022</w:t>
            </w:r>
          </w:p>
        </w:tc>
        <w:tc>
          <w:tcPr>
            <w:tcW w:w="1440" w:type="dxa"/>
            <w:tcBorders>
              <w:top w:val="single" w:sz="4" w:space="0" w:color="auto"/>
              <w:left w:val="nil"/>
              <w:bottom w:val="single" w:sz="4" w:space="0" w:color="auto"/>
              <w:right w:val="single" w:sz="4" w:space="0" w:color="auto"/>
            </w:tcBorders>
            <w:shd w:val="clear" w:color="auto" w:fill="auto"/>
            <w:noWrap/>
            <w:hideMark/>
          </w:tcPr>
          <w:p w14:paraId="06CF122B" w14:textId="77777777" w:rsidR="00C009A9" w:rsidRPr="00B056E4" w:rsidRDefault="00C009A9" w:rsidP="00C0770E">
            <w:pPr>
              <w:jc w:val="center"/>
              <w:rPr>
                <w:b/>
                <w:bCs/>
                <w:lang w:val="es-ES"/>
              </w:rPr>
            </w:pPr>
            <w:r w:rsidRPr="00B056E4">
              <w:rPr>
                <w:b/>
                <w:bCs/>
                <w:lang w:val="es-ES"/>
              </w:rPr>
              <w:t xml:space="preserve">Total </w:t>
            </w:r>
          </w:p>
          <w:p w14:paraId="50F8A4AE" w14:textId="77777777" w:rsidR="00C009A9" w:rsidRPr="00B056E4" w:rsidRDefault="00C009A9" w:rsidP="00C0770E">
            <w:pPr>
              <w:jc w:val="center"/>
              <w:rPr>
                <w:b/>
                <w:bCs/>
                <w:lang w:val="es-ES"/>
              </w:rPr>
            </w:pPr>
            <w:r w:rsidRPr="00B056E4">
              <w:rPr>
                <w:b/>
                <w:bCs/>
                <w:lang w:val="es-ES"/>
              </w:rPr>
              <w:t>(2020-2022)</w:t>
            </w:r>
          </w:p>
        </w:tc>
        <w:tc>
          <w:tcPr>
            <w:tcW w:w="1440" w:type="dxa"/>
            <w:tcBorders>
              <w:top w:val="single" w:sz="4" w:space="0" w:color="auto"/>
              <w:left w:val="nil"/>
              <w:bottom w:val="single" w:sz="4" w:space="0" w:color="auto"/>
              <w:right w:val="single" w:sz="4" w:space="0" w:color="auto"/>
            </w:tcBorders>
            <w:shd w:val="clear" w:color="auto" w:fill="auto"/>
            <w:noWrap/>
            <w:hideMark/>
          </w:tcPr>
          <w:p w14:paraId="6DD295BA" w14:textId="77777777" w:rsidR="00C009A9" w:rsidRPr="00B056E4" w:rsidRDefault="00C009A9" w:rsidP="00C0770E">
            <w:pPr>
              <w:jc w:val="center"/>
              <w:rPr>
                <w:b/>
                <w:bCs/>
                <w:lang w:val="es-ES"/>
              </w:rPr>
            </w:pPr>
            <w:r w:rsidRPr="00B056E4">
              <w:rPr>
                <w:b/>
                <w:bCs/>
                <w:lang w:val="es-ES"/>
              </w:rPr>
              <w:t>Total después de 2022</w:t>
            </w:r>
          </w:p>
        </w:tc>
      </w:tr>
      <w:tr w:rsidR="00C009A9" w:rsidRPr="00B056E4" w14:paraId="4A737650" w14:textId="77777777" w:rsidTr="00C0770E">
        <w:trPr>
          <w:trHeight w:val="25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66FFA30D" w14:textId="77777777" w:rsidR="00C009A9" w:rsidRPr="00B056E4" w:rsidRDefault="00C009A9" w:rsidP="00C0770E">
            <w:pPr>
              <w:jc w:val="left"/>
              <w:rPr>
                <w:b/>
                <w:bCs/>
                <w:lang w:val="es-ES"/>
              </w:rPr>
            </w:pPr>
            <w:r w:rsidRPr="00B056E4">
              <w:rPr>
                <w:b/>
                <w:bCs/>
                <w:lang w:val="es-ES"/>
              </w:rPr>
              <w:t>Suma total</w:t>
            </w:r>
          </w:p>
        </w:tc>
        <w:tc>
          <w:tcPr>
            <w:tcW w:w="1440" w:type="dxa"/>
            <w:tcBorders>
              <w:top w:val="nil"/>
              <w:left w:val="nil"/>
              <w:bottom w:val="single" w:sz="4" w:space="0" w:color="auto"/>
              <w:right w:val="single" w:sz="4" w:space="0" w:color="auto"/>
            </w:tcBorders>
            <w:shd w:val="clear" w:color="auto" w:fill="auto"/>
            <w:noWrap/>
            <w:hideMark/>
          </w:tcPr>
          <w:p w14:paraId="781F208E" w14:textId="77777777" w:rsidR="00C009A9" w:rsidRPr="00B056E4" w:rsidRDefault="00C009A9" w:rsidP="00C0770E">
            <w:pPr>
              <w:jc w:val="right"/>
              <w:rPr>
                <w:b/>
                <w:lang w:val="es-ES"/>
              </w:rPr>
            </w:pPr>
            <w:r w:rsidRPr="00B056E4">
              <w:rPr>
                <w:b/>
                <w:lang w:val="es-ES"/>
              </w:rPr>
              <w:t>231 764</w:t>
            </w:r>
          </w:p>
        </w:tc>
        <w:tc>
          <w:tcPr>
            <w:tcW w:w="1440" w:type="dxa"/>
            <w:tcBorders>
              <w:top w:val="nil"/>
              <w:left w:val="nil"/>
              <w:bottom w:val="single" w:sz="4" w:space="0" w:color="auto"/>
              <w:right w:val="single" w:sz="4" w:space="0" w:color="auto"/>
            </w:tcBorders>
            <w:shd w:val="clear" w:color="auto" w:fill="auto"/>
            <w:noWrap/>
            <w:hideMark/>
          </w:tcPr>
          <w:p w14:paraId="5D30EAEF" w14:textId="77777777" w:rsidR="00C009A9" w:rsidRPr="00B056E4" w:rsidRDefault="00C009A9" w:rsidP="00C0770E">
            <w:pPr>
              <w:jc w:val="right"/>
              <w:rPr>
                <w:b/>
                <w:lang w:val="es-ES"/>
              </w:rPr>
            </w:pPr>
            <w:r w:rsidRPr="00B056E4">
              <w:rPr>
                <w:b/>
                <w:lang w:val="es-ES"/>
              </w:rPr>
              <w:t>188 376</w:t>
            </w:r>
          </w:p>
        </w:tc>
        <w:tc>
          <w:tcPr>
            <w:tcW w:w="1440" w:type="dxa"/>
            <w:tcBorders>
              <w:top w:val="nil"/>
              <w:left w:val="nil"/>
              <w:bottom w:val="single" w:sz="4" w:space="0" w:color="auto"/>
              <w:right w:val="single" w:sz="4" w:space="0" w:color="auto"/>
            </w:tcBorders>
            <w:shd w:val="clear" w:color="auto" w:fill="auto"/>
            <w:noWrap/>
            <w:hideMark/>
          </w:tcPr>
          <w:p w14:paraId="38B1BCB3" w14:textId="77777777" w:rsidR="00C009A9" w:rsidRPr="00B056E4" w:rsidRDefault="00C009A9" w:rsidP="00C0770E">
            <w:pPr>
              <w:jc w:val="right"/>
              <w:rPr>
                <w:b/>
                <w:lang w:val="es-ES"/>
              </w:rPr>
            </w:pPr>
            <w:r w:rsidRPr="00B056E4">
              <w:rPr>
                <w:b/>
                <w:lang w:val="es-ES"/>
              </w:rPr>
              <w:t>177 667</w:t>
            </w:r>
          </w:p>
        </w:tc>
        <w:tc>
          <w:tcPr>
            <w:tcW w:w="1440" w:type="dxa"/>
            <w:tcBorders>
              <w:top w:val="nil"/>
              <w:left w:val="nil"/>
              <w:bottom w:val="single" w:sz="4" w:space="0" w:color="auto"/>
              <w:right w:val="single" w:sz="4" w:space="0" w:color="auto"/>
            </w:tcBorders>
            <w:shd w:val="clear" w:color="auto" w:fill="auto"/>
            <w:noWrap/>
            <w:hideMark/>
          </w:tcPr>
          <w:p w14:paraId="15A0EBC2" w14:textId="77777777" w:rsidR="00C009A9" w:rsidRPr="00B056E4" w:rsidRDefault="00C009A9" w:rsidP="00C0770E">
            <w:pPr>
              <w:jc w:val="right"/>
              <w:rPr>
                <w:b/>
                <w:lang w:val="es-ES"/>
              </w:rPr>
            </w:pPr>
            <w:r w:rsidRPr="00B056E4">
              <w:rPr>
                <w:b/>
                <w:lang w:val="es-ES"/>
              </w:rPr>
              <w:t>597 807</w:t>
            </w:r>
          </w:p>
        </w:tc>
        <w:tc>
          <w:tcPr>
            <w:tcW w:w="1440" w:type="dxa"/>
            <w:tcBorders>
              <w:top w:val="nil"/>
              <w:left w:val="nil"/>
              <w:bottom w:val="single" w:sz="4" w:space="0" w:color="auto"/>
              <w:right w:val="single" w:sz="4" w:space="0" w:color="auto"/>
            </w:tcBorders>
            <w:shd w:val="clear" w:color="auto" w:fill="auto"/>
            <w:noWrap/>
            <w:hideMark/>
          </w:tcPr>
          <w:p w14:paraId="598124F3" w14:textId="77777777" w:rsidR="00C009A9" w:rsidRPr="00B056E4" w:rsidRDefault="00C009A9" w:rsidP="00C0770E">
            <w:pPr>
              <w:jc w:val="right"/>
              <w:rPr>
                <w:b/>
                <w:bCs/>
                <w:lang w:val="es-ES"/>
              </w:rPr>
            </w:pPr>
            <w:r w:rsidRPr="00B056E4">
              <w:rPr>
                <w:b/>
                <w:bCs/>
                <w:lang w:val="es-ES"/>
              </w:rPr>
              <w:t>420 048</w:t>
            </w:r>
          </w:p>
        </w:tc>
      </w:tr>
      <w:tr w:rsidR="00C009A9" w:rsidRPr="00B056E4" w14:paraId="1444E1E1" w14:textId="77777777" w:rsidTr="00C0770E">
        <w:trPr>
          <w:trHeight w:val="25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4A8EB474" w14:textId="77777777" w:rsidR="00C009A9" w:rsidRPr="00B056E4" w:rsidRDefault="00C009A9" w:rsidP="00C0770E">
            <w:pPr>
              <w:jc w:val="left"/>
              <w:rPr>
                <w:lang w:val="es-ES"/>
              </w:rPr>
            </w:pPr>
            <w:r w:rsidRPr="00B056E4">
              <w:rPr>
                <w:lang w:val="es-ES"/>
              </w:rPr>
              <w:t>Presupuesto indicativo</w:t>
            </w:r>
          </w:p>
        </w:tc>
        <w:tc>
          <w:tcPr>
            <w:tcW w:w="1440" w:type="dxa"/>
            <w:tcBorders>
              <w:top w:val="nil"/>
              <w:left w:val="nil"/>
              <w:bottom w:val="single" w:sz="4" w:space="0" w:color="auto"/>
              <w:right w:val="single" w:sz="4" w:space="0" w:color="auto"/>
            </w:tcBorders>
            <w:shd w:val="clear" w:color="auto" w:fill="auto"/>
            <w:noWrap/>
            <w:hideMark/>
          </w:tcPr>
          <w:p w14:paraId="5FAD945D" w14:textId="77777777" w:rsidR="00C009A9" w:rsidRPr="00B056E4" w:rsidRDefault="00C009A9" w:rsidP="00C0770E">
            <w:pPr>
              <w:jc w:val="right"/>
              <w:rPr>
                <w:lang w:val="es-ES"/>
              </w:rPr>
            </w:pPr>
            <w:r w:rsidRPr="00B056E4">
              <w:rPr>
                <w:lang w:val="es-ES"/>
              </w:rPr>
              <w:t>171 000</w:t>
            </w:r>
          </w:p>
        </w:tc>
        <w:tc>
          <w:tcPr>
            <w:tcW w:w="1440" w:type="dxa"/>
            <w:tcBorders>
              <w:top w:val="nil"/>
              <w:left w:val="nil"/>
              <w:bottom w:val="single" w:sz="4" w:space="0" w:color="auto"/>
              <w:right w:val="single" w:sz="4" w:space="0" w:color="auto"/>
            </w:tcBorders>
            <w:shd w:val="clear" w:color="auto" w:fill="auto"/>
            <w:noWrap/>
            <w:hideMark/>
          </w:tcPr>
          <w:p w14:paraId="2121A5E7" w14:textId="77777777" w:rsidR="00C009A9" w:rsidRPr="00B056E4" w:rsidRDefault="00C009A9" w:rsidP="00C0770E">
            <w:pPr>
              <w:jc w:val="right"/>
              <w:rPr>
                <w:lang w:val="es-ES"/>
              </w:rPr>
            </w:pPr>
            <w:r w:rsidRPr="00B056E4">
              <w:rPr>
                <w:lang w:val="es-ES"/>
              </w:rPr>
              <w:t>180 000*</w:t>
            </w:r>
          </w:p>
        </w:tc>
        <w:tc>
          <w:tcPr>
            <w:tcW w:w="1440" w:type="dxa"/>
            <w:tcBorders>
              <w:top w:val="nil"/>
              <w:left w:val="nil"/>
              <w:bottom w:val="single" w:sz="4" w:space="0" w:color="auto"/>
              <w:right w:val="single" w:sz="4" w:space="0" w:color="auto"/>
            </w:tcBorders>
            <w:shd w:val="clear" w:color="auto" w:fill="auto"/>
            <w:noWrap/>
            <w:hideMark/>
          </w:tcPr>
          <w:p w14:paraId="22E65AE6" w14:textId="77777777" w:rsidR="00C009A9" w:rsidRPr="00B056E4" w:rsidRDefault="00C009A9" w:rsidP="00C0770E">
            <w:pPr>
              <w:jc w:val="right"/>
              <w:rPr>
                <w:lang w:val="es-ES"/>
              </w:rPr>
            </w:pPr>
            <w:r w:rsidRPr="00B056E4">
              <w:rPr>
                <w:lang w:val="es-ES"/>
              </w:rPr>
              <w:t>180 000*</w:t>
            </w:r>
          </w:p>
        </w:tc>
        <w:tc>
          <w:tcPr>
            <w:tcW w:w="1440" w:type="dxa"/>
            <w:tcBorders>
              <w:top w:val="nil"/>
              <w:left w:val="nil"/>
              <w:bottom w:val="single" w:sz="4" w:space="0" w:color="auto"/>
              <w:right w:val="single" w:sz="4" w:space="0" w:color="auto"/>
            </w:tcBorders>
            <w:shd w:val="clear" w:color="auto" w:fill="auto"/>
            <w:noWrap/>
            <w:hideMark/>
          </w:tcPr>
          <w:p w14:paraId="7A39E412" w14:textId="77777777" w:rsidR="00C009A9" w:rsidRPr="00B056E4" w:rsidRDefault="00C009A9" w:rsidP="00C0770E">
            <w:pPr>
              <w:jc w:val="right"/>
              <w:rPr>
                <w:lang w:val="es-ES"/>
              </w:rPr>
            </w:pPr>
            <w:r w:rsidRPr="00B056E4">
              <w:rPr>
                <w:lang w:val="es-ES"/>
              </w:rPr>
              <w:t>531 000</w:t>
            </w:r>
          </w:p>
        </w:tc>
        <w:tc>
          <w:tcPr>
            <w:tcW w:w="1440" w:type="dxa"/>
            <w:tcBorders>
              <w:top w:val="nil"/>
              <w:left w:val="nil"/>
              <w:bottom w:val="single" w:sz="4" w:space="0" w:color="auto"/>
              <w:right w:val="single" w:sz="4" w:space="0" w:color="auto"/>
            </w:tcBorders>
            <w:shd w:val="clear" w:color="auto" w:fill="auto"/>
            <w:noWrap/>
          </w:tcPr>
          <w:p w14:paraId="19EF816D" w14:textId="77777777" w:rsidR="00C009A9" w:rsidRPr="00B056E4" w:rsidRDefault="00C009A9" w:rsidP="00C0770E">
            <w:pPr>
              <w:jc w:val="right"/>
              <w:rPr>
                <w:lang w:val="es-ES"/>
              </w:rPr>
            </w:pPr>
          </w:p>
        </w:tc>
      </w:tr>
      <w:tr w:rsidR="00C009A9" w:rsidRPr="00B056E4" w14:paraId="6FA91645" w14:textId="77777777" w:rsidTr="00C0770E">
        <w:trPr>
          <w:trHeight w:val="25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319A3FD1" w14:textId="77777777" w:rsidR="00C009A9" w:rsidRPr="00B056E4" w:rsidRDefault="00C009A9" w:rsidP="00C0770E">
            <w:pPr>
              <w:jc w:val="left"/>
              <w:rPr>
                <w:lang w:val="es-ES"/>
              </w:rPr>
            </w:pPr>
            <w:r w:rsidRPr="00B056E4">
              <w:rPr>
                <w:lang w:val="es-ES"/>
              </w:rPr>
              <w:t>Diferencia</w:t>
            </w:r>
          </w:p>
        </w:tc>
        <w:tc>
          <w:tcPr>
            <w:tcW w:w="1440" w:type="dxa"/>
            <w:tcBorders>
              <w:top w:val="nil"/>
              <w:left w:val="nil"/>
              <w:bottom w:val="single" w:sz="4" w:space="0" w:color="auto"/>
              <w:right w:val="single" w:sz="4" w:space="0" w:color="auto"/>
            </w:tcBorders>
            <w:shd w:val="clear" w:color="auto" w:fill="auto"/>
            <w:noWrap/>
            <w:vAlign w:val="bottom"/>
            <w:hideMark/>
          </w:tcPr>
          <w:p w14:paraId="058F0EEB" w14:textId="77777777" w:rsidR="00C009A9" w:rsidRPr="00B056E4" w:rsidRDefault="00C009A9" w:rsidP="00C0770E">
            <w:pPr>
              <w:jc w:val="right"/>
              <w:rPr>
                <w:lang w:val="es-ES"/>
              </w:rPr>
            </w:pPr>
            <w:r w:rsidRPr="00B056E4">
              <w:rPr>
                <w:lang w:val="es-ES"/>
              </w:rPr>
              <w:t>60 764</w:t>
            </w:r>
          </w:p>
        </w:tc>
        <w:tc>
          <w:tcPr>
            <w:tcW w:w="1440" w:type="dxa"/>
            <w:tcBorders>
              <w:top w:val="nil"/>
              <w:left w:val="nil"/>
              <w:bottom w:val="single" w:sz="4" w:space="0" w:color="auto"/>
              <w:right w:val="single" w:sz="4" w:space="0" w:color="auto"/>
            </w:tcBorders>
            <w:shd w:val="clear" w:color="auto" w:fill="auto"/>
            <w:noWrap/>
            <w:vAlign w:val="bottom"/>
            <w:hideMark/>
          </w:tcPr>
          <w:p w14:paraId="5C3C069D" w14:textId="77777777" w:rsidR="00C009A9" w:rsidRPr="00B056E4" w:rsidRDefault="00C009A9" w:rsidP="00C0770E">
            <w:pPr>
              <w:jc w:val="right"/>
              <w:rPr>
                <w:lang w:val="es-ES"/>
              </w:rPr>
            </w:pPr>
            <w:r w:rsidRPr="00B056E4">
              <w:rPr>
                <w:lang w:val="es-ES"/>
              </w:rPr>
              <w:t>8 376</w:t>
            </w:r>
          </w:p>
        </w:tc>
        <w:tc>
          <w:tcPr>
            <w:tcW w:w="1440" w:type="dxa"/>
            <w:tcBorders>
              <w:top w:val="nil"/>
              <w:left w:val="nil"/>
              <w:bottom w:val="single" w:sz="4" w:space="0" w:color="auto"/>
              <w:right w:val="single" w:sz="4" w:space="0" w:color="auto"/>
            </w:tcBorders>
            <w:shd w:val="clear" w:color="auto" w:fill="auto"/>
            <w:noWrap/>
            <w:vAlign w:val="bottom"/>
            <w:hideMark/>
          </w:tcPr>
          <w:p w14:paraId="05D6AC8D" w14:textId="77777777" w:rsidR="00C009A9" w:rsidRPr="00B056E4" w:rsidRDefault="00C009A9" w:rsidP="00C0770E">
            <w:pPr>
              <w:jc w:val="right"/>
              <w:rPr>
                <w:lang w:val="es-ES"/>
              </w:rPr>
            </w:pPr>
            <w:r w:rsidRPr="00B056E4">
              <w:rPr>
                <w:lang w:val="es-ES"/>
              </w:rPr>
              <w:t>(2 333)</w:t>
            </w:r>
          </w:p>
        </w:tc>
        <w:tc>
          <w:tcPr>
            <w:tcW w:w="1440" w:type="dxa"/>
            <w:tcBorders>
              <w:top w:val="nil"/>
              <w:left w:val="nil"/>
              <w:bottom w:val="single" w:sz="4" w:space="0" w:color="auto"/>
              <w:right w:val="single" w:sz="4" w:space="0" w:color="auto"/>
            </w:tcBorders>
            <w:shd w:val="clear" w:color="auto" w:fill="auto"/>
            <w:noWrap/>
            <w:hideMark/>
          </w:tcPr>
          <w:p w14:paraId="17A645D6" w14:textId="77777777" w:rsidR="00C009A9" w:rsidRPr="00B056E4" w:rsidRDefault="00C009A9" w:rsidP="00C0770E">
            <w:pPr>
              <w:jc w:val="right"/>
              <w:rPr>
                <w:lang w:val="es-ES"/>
              </w:rPr>
            </w:pPr>
            <w:r w:rsidRPr="00B056E4">
              <w:rPr>
                <w:lang w:val="es-ES"/>
              </w:rPr>
              <w:t>66 807</w:t>
            </w:r>
          </w:p>
        </w:tc>
        <w:tc>
          <w:tcPr>
            <w:tcW w:w="1440" w:type="dxa"/>
            <w:tcBorders>
              <w:top w:val="nil"/>
              <w:left w:val="nil"/>
              <w:bottom w:val="single" w:sz="4" w:space="0" w:color="auto"/>
              <w:right w:val="single" w:sz="4" w:space="0" w:color="auto"/>
            </w:tcBorders>
            <w:shd w:val="clear" w:color="auto" w:fill="auto"/>
            <w:noWrap/>
          </w:tcPr>
          <w:p w14:paraId="60D1E773" w14:textId="77777777" w:rsidR="00C009A9" w:rsidRPr="00B056E4" w:rsidRDefault="00C009A9" w:rsidP="00C0770E">
            <w:pPr>
              <w:jc w:val="right"/>
              <w:rPr>
                <w:lang w:val="es-ES"/>
              </w:rPr>
            </w:pPr>
          </w:p>
        </w:tc>
      </w:tr>
    </w:tbl>
    <w:p w14:paraId="44C839B2" w14:textId="77777777" w:rsidR="00C009A9" w:rsidRPr="00B056E4" w:rsidRDefault="00C009A9" w:rsidP="00C009A9">
      <w:pPr>
        <w:jc w:val="left"/>
        <w:rPr>
          <w:sz w:val="20"/>
          <w:szCs w:val="20"/>
          <w:lang w:val="es-ES"/>
        </w:rPr>
      </w:pPr>
      <w:r w:rsidRPr="00B056E4">
        <w:rPr>
          <w:sz w:val="20"/>
          <w:szCs w:val="20"/>
          <w:lang w:val="es-ES"/>
        </w:rPr>
        <w:t>* Se ha asumido el mismo volumen de reposición del Fondo Multilateral de 2018-2020.</w:t>
      </w:r>
    </w:p>
    <w:p w14:paraId="505A3968" w14:textId="77777777" w:rsidR="00C009A9" w:rsidRPr="00B056E4" w:rsidRDefault="00C009A9" w:rsidP="00C009A9">
      <w:pPr>
        <w:rPr>
          <w:lang w:val="es-ES"/>
        </w:rPr>
      </w:pPr>
    </w:p>
    <w:p w14:paraId="30591928" w14:textId="77777777" w:rsidR="00C009A9" w:rsidRPr="00B056E4" w:rsidRDefault="00C009A9" w:rsidP="00087329">
      <w:pPr>
        <w:pStyle w:val="Heading1"/>
        <w:rPr>
          <w:lang w:val="es-ES"/>
        </w:rPr>
      </w:pPr>
      <w:r w:rsidRPr="00B056E4">
        <w:rPr>
          <w:lang w:val="es-ES"/>
        </w:rPr>
        <w:t>La Secretaría ha examinado las actividades nuevas, y en particular, la etapa II de los planes de gestión de eliminación de HCFC (PGEH) teniendo en consideración la etapa I de dichos planes, la admisibilidad de la financiación restante y los costos, y ha enviado observaciones a los organismos bilaterales y de ejecución. Durante la reunión de coordinación interinstitucional</w:t>
      </w:r>
      <w:r w:rsidRPr="00B056E4">
        <w:rPr>
          <w:rStyle w:val="FootnoteReference"/>
          <w:lang w:val="es-ES"/>
        </w:rPr>
        <w:footnoteReference w:id="1"/>
      </w:r>
      <w:r w:rsidRPr="00B056E4">
        <w:rPr>
          <w:lang w:val="es-ES"/>
        </w:rPr>
        <w:t xml:space="preserve">, la Secretaría trató las </w:t>
      </w:r>
      <w:r w:rsidRPr="00B056E4">
        <w:rPr>
          <w:lang w:val="es-ES"/>
        </w:rPr>
        <w:lastRenderedPageBreak/>
        <w:t xml:space="preserve">cuestiones surgidas del examen de los cuadros iniciales de los planes administrativos, tales como (entre otras): programación en exceso, actividades relacionadas con los PGEH, proyectos incluidos en los planes administrativos para 2019 pero que no se han presentado a la 84ª reunión, la inclusión en el sector de la producción de tramos relacionados con el plan de gestión de la eliminación de la producción de HCFC (PGEPH) de China y actividades relacionadas con los HFC. </w:t>
      </w:r>
    </w:p>
    <w:p w14:paraId="6526ED38" w14:textId="77777777" w:rsidR="00C009A9" w:rsidRPr="00B056E4" w:rsidRDefault="00C009A9" w:rsidP="00C009A9">
      <w:pPr>
        <w:pStyle w:val="Heading1"/>
        <w:rPr>
          <w:lang w:val="es-ES"/>
        </w:rPr>
      </w:pPr>
      <w:r w:rsidRPr="00B056E4">
        <w:rPr>
          <w:lang w:val="es-ES"/>
        </w:rPr>
        <w:t>Tras las deliberaciones en esa reunión, los organismos bilaterales y de ejecución revisaron los cuadros de sus planes administrativos y los presentaron nuevamente con las secciones descriptivas. En el Cuadro 2 se presenta un resumen de la cuantía total a la que asciende el plan administrativo para 2020</w:t>
      </w:r>
      <w:r w:rsidRPr="00B056E4">
        <w:rPr>
          <w:lang w:val="es-ES"/>
        </w:rPr>
        <w:noBreakHyphen/>
        <w:t>2022.</w:t>
      </w:r>
    </w:p>
    <w:p w14:paraId="21676772" w14:textId="77777777" w:rsidR="00C009A9" w:rsidRPr="00B056E4" w:rsidRDefault="00C009A9" w:rsidP="00C009A9">
      <w:pPr>
        <w:keepNext/>
        <w:rPr>
          <w:b/>
          <w:lang w:val="es-ES"/>
        </w:rPr>
      </w:pPr>
      <w:r w:rsidRPr="00B056E4">
        <w:rPr>
          <w:b/>
          <w:lang w:val="es-ES"/>
        </w:rPr>
        <w:t>Cuadro 2. Cuantías totales revisadas del plan administrativo para 2020-2022 tal y como se presentaron (en miles de $EUA)</w:t>
      </w:r>
    </w:p>
    <w:tbl>
      <w:tblPr>
        <w:tblW w:w="5000" w:type="pct"/>
        <w:tblLayout w:type="fixed"/>
        <w:tblLook w:val="04A0" w:firstRow="1" w:lastRow="0" w:firstColumn="1" w:lastColumn="0" w:noHBand="0" w:noVBand="1"/>
      </w:tblPr>
      <w:tblGrid>
        <w:gridCol w:w="1970"/>
        <w:gridCol w:w="1476"/>
        <w:gridCol w:w="1476"/>
        <w:gridCol w:w="1476"/>
        <w:gridCol w:w="1476"/>
        <w:gridCol w:w="1476"/>
      </w:tblGrid>
      <w:tr w:rsidR="00C009A9" w:rsidRPr="00B056E4" w14:paraId="36F47527" w14:textId="77777777" w:rsidTr="00C0770E">
        <w:trPr>
          <w:trHeight w:val="255"/>
          <w:tblHeader/>
        </w:trPr>
        <w:tc>
          <w:tcPr>
            <w:tcW w:w="1053" w:type="pct"/>
            <w:tcBorders>
              <w:top w:val="single" w:sz="4" w:space="0" w:color="auto"/>
              <w:left w:val="single" w:sz="4" w:space="0" w:color="auto"/>
              <w:bottom w:val="single" w:sz="4" w:space="0" w:color="auto"/>
              <w:right w:val="single" w:sz="4" w:space="0" w:color="auto"/>
            </w:tcBorders>
            <w:shd w:val="clear" w:color="auto" w:fill="auto"/>
            <w:noWrap/>
            <w:hideMark/>
          </w:tcPr>
          <w:p w14:paraId="16F83BAF" w14:textId="77777777" w:rsidR="00C009A9" w:rsidRPr="00B056E4" w:rsidRDefault="00C009A9" w:rsidP="00C0770E">
            <w:pPr>
              <w:jc w:val="left"/>
              <w:rPr>
                <w:b/>
                <w:bCs/>
                <w:lang w:val="es-ES"/>
              </w:rPr>
            </w:pPr>
            <w:r w:rsidRPr="00B056E4">
              <w:rPr>
                <w:b/>
                <w:bCs/>
                <w:lang w:val="es-ES"/>
              </w:rPr>
              <w:t>Partida</w:t>
            </w:r>
          </w:p>
        </w:tc>
        <w:tc>
          <w:tcPr>
            <w:tcW w:w="789" w:type="pct"/>
            <w:tcBorders>
              <w:top w:val="single" w:sz="4" w:space="0" w:color="auto"/>
              <w:left w:val="nil"/>
              <w:bottom w:val="single" w:sz="4" w:space="0" w:color="auto"/>
              <w:right w:val="single" w:sz="4" w:space="0" w:color="auto"/>
            </w:tcBorders>
            <w:shd w:val="clear" w:color="auto" w:fill="auto"/>
            <w:noWrap/>
            <w:hideMark/>
          </w:tcPr>
          <w:p w14:paraId="4C16760D" w14:textId="77777777" w:rsidR="00C009A9" w:rsidRPr="00B056E4" w:rsidRDefault="00C009A9" w:rsidP="00C0770E">
            <w:pPr>
              <w:jc w:val="center"/>
              <w:rPr>
                <w:b/>
                <w:bCs/>
                <w:lang w:val="es-ES"/>
              </w:rPr>
            </w:pPr>
            <w:r w:rsidRPr="00B056E4">
              <w:rPr>
                <w:b/>
                <w:bCs/>
                <w:lang w:val="es-ES"/>
              </w:rPr>
              <w:t>2020</w:t>
            </w:r>
          </w:p>
        </w:tc>
        <w:tc>
          <w:tcPr>
            <w:tcW w:w="789" w:type="pct"/>
            <w:tcBorders>
              <w:top w:val="single" w:sz="4" w:space="0" w:color="auto"/>
              <w:left w:val="nil"/>
              <w:bottom w:val="single" w:sz="4" w:space="0" w:color="auto"/>
              <w:right w:val="single" w:sz="4" w:space="0" w:color="auto"/>
            </w:tcBorders>
            <w:shd w:val="clear" w:color="auto" w:fill="auto"/>
            <w:noWrap/>
            <w:hideMark/>
          </w:tcPr>
          <w:p w14:paraId="14BBA385" w14:textId="77777777" w:rsidR="00C009A9" w:rsidRPr="00B056E4" w:rsidRDefault="00C009A9" w:rsidP="00C0770E">
            <w:pPr>
              <w:jc w:val="center"/>
              <w:rPr>
                <w:b/>
                <w:bCs/>
                <w:lang w:val="es-ES"/>
              </w:rPr>
            </w:pPr>
            <w:r w:rsidRPr="00B056E4">
              <w:rPr>
                <w:b/>
                <w:bCs/>
                <w:lang w:val="es-ES"/>
              </w:rPr>
              <w:t>2021</w:t>
            </w:r>
          </w:p>
        </w:tc>
        <w:tc>
          <w:tcPr>
            <w:tcW w:w="789" w:type="pct"/>
            <w:tcBorders>
              <w:top w:val="single" w:sz="4" w:space="0" w:color="auto"/>
              <w:left w:val="nil"/>
              <w:bottom w:val="single" w:sz="4" w:space="0" w:color="auto"/>
              <w:right w:val="single" w:sz="4" w:space="0" w:color="auto"/>
            </w:tcBorders>
            <w:shd w:val="clear" w:color="auto" w:fill="auto"/>
            <w:noWrap/>
            <w:hideMark/>
          </w:tcPr>
          <w:p w14:paraId="7D7CF423" w14:textId="77777777" w:rsidR="00C009A9" w:rsidRPr="00B056E4" w:rsidRDefault="00C009A9" w:rsidP="00C0770E">
            <w:pPr>
              <w:jc w:val="center"/>
              <w:rPr>
                <w:b/>
                <w:bCs/>
                <w:lang w:val="es-ES"/>
              </w:rPr>
            </w:pPr>
            <w:r w:rsidRPr="00B056E4">
              <w:rPr>
                <w:b/>
                <w:bCs/>
                <w:lang w:val="es-ES"/>
              </w:rPr>
              <w:t>2022</w:t>
            </w:r>
          </w:p>
        </w:tc>
        <w:tc>
          <w:tcPr>
            <w:tcW w:w="789" w:type="pct"/>
            <w:tcBorders>
              <w:top w:val="single" w:sz="4" w:space="0" w:color="auto"/>
              <w:left w:val="nil"/>
              <w:bottom w:val="single" w:sz="4" w:space="0" w:color="auto"/>
              <w:right w:val="single" w:sz="4" w:space="0" w:color="auto"/>
            </w:tcBorders>
            <w:shd w:val="clear" w:color="auto" w:fill="auto"/>
            <w:noWrap/>
            <w:hideMark/>
          </w:tcPr>
          <w:p w14:paraId="3DAEE637" w14:textId="77777777" w:rsidR="00C009A9" w:rsidRPr="00B056E4" w:rsidRDefault="00C009A9" w:rsidP="00C0770E">
            <w:pPr>
              <w:jc w:val="center"/>
              <w:rPr>
                <w:b/>
                <w:bCs/>
                <w:lang w:val="es-ES"/>
              </w:rPr>
            </w:pPr>
            <w:r w:rsidRPr="00B056E4">
              <w:rPr>
                <w:b/>
                <w:bCs/>
                <w:lang w:val="es-ES"/>
              </w:rPr>
              <w:t xml:space="preserve">Total </w:t>
            </w:r>
          </w:p>
          <w:p w14:paraId="79C29D6D" w14:textId="77777777" w:rsidR="00C009A9" w:rsidRPr="00B056E4" w:rsidRDefault="00C009A9" w:rsidP="00C0770E">
            <w:pPr>
              <w:jc w:val="center"/>
              <w:rPr>
                <w:b/>
                <w:bCs/>
                <w:lang w:val="es-ES"/>
              </w:rPr>
            </w:pPr>
            <w:r w:rsidRPr="00B056E4">
              <w:rPr>
                <w:b/>
                <w:bCs/>
                <w:lang w:val="es-ES"/>
              </w:rPr>
              <w:t>(2020-2022)</w:t>
            </w:r>
          </w:p>
        </w:tc>
        <w:tc>
          <w:tcPr>
            <w:tcW w:w="789" w:type="pct"/>
            <w:tcBorders>
              <w:top w:val="single" w:sz="4" w:space="0" w:color="auto"/>
              <w:left w:val="nil"/>
              <w:bottom w:val="single" w:sz="4" w:space="0" w:color="auto"/>
              <w:right w:val="single" w:sz="4" w:space="0" w:color="auto"/>
            </w:tcBorders>
            <w:shd w:val="clear" w:color="auto" w:fill="auto"/>
            <w:noWrap/>
            <w:hideMark/>
          </w:tcPr>
          <w:p w14:paraId="3A1E4972" w14:textId="77777777" w:rsidR="00C009A9" w:rsidRPr="00B056E4" w:rsidRDefault="00C009A9" w:rsidP="00C0770E">
            <w:pPr>
              <w:jc w:val="center"/>
              <w:rPr>
                <w:b/>
                <w:bCs/>
                <w:lang w:val="es-ES"/>
              </w:rPr>
            </w:pPr>
            <w:r w:rsidRPr="00B056E4">
              <w:rPr>
                <w:b/>
                <w:bCs/>
                <w:lang w:val="es-ES"/>
              </w:rPr>
              <w:t>Total después de 2022</w:t>
            </w:r>
          </w:p>
        </w:tc>
      </w:tr>
      <w:tr w:rsidR="00C009A9" w:rsidRPr="00B056E4" w14:paraId="5A19E0D0" w14:textId="77777777" w:rsidTr="00C0770E">
        <w:trPr>
          <w:trHeight w:val="255"/>
        </w:trPr>
        <w:tc>
          <w:tcPr>
            <w:tcW w:w="1053" w:type="pct"/>
            <w:tcBorders>
              <w:top w:val="nil"/>
              <w:left w:val="single" w:sz="4" w:space="0" w:color="auto"/>
              <w:bottom w:val="single" w:sz="4" w:space="0" w:color="auto"/>
              <w:right w:val="single" w:sz="4" w:space="0" w:color="auto"/>
            </w:tcBorders>
            <w:shd w:val="clear" w:color="auto" w:fill="auto"/>
            <w:noWrap/>
            <w:hideMark/>
          </w:tcPr>
          <w:p w14:paraId="5B3F31BB" w14:textId="77777777" w:rsidR="00C009A9" w:rsidRPr="00B056E4" w:rsidRDefault="00C009A9" w:rsidP="00C0770E">
            <w:pPr>
              <w:jc w:val="left"/>
              <w:rPr>
                <w:b/>
                <w:bCs/>
                <w:lang w:val="es-ES"/>
              </w:rPr>
            </w:pPr>
            <w:r w:rsidRPr="00B056E4">
              <w:rPr>
                <w:b/>
                <w:bCs/>
                <w:lang w:val="es-ES"/>
              </w:rPr>
              <w:t>Suma total</w:t>
            </w:r>
          </w:p>
        </w:tc>
        <w:tc>
          <w:tcPr>
            <w:tcW w:w="789" w:type="pct"/>
            <w:tcBorders>
              <w:top w:val="nil"/>
              <w:left w:val="nil"/>
              <w:bottom w:val="single" w:sz="4" w:space="0" w:color="auto"/>
              <w:right w:val="single" w:sz="4" w:space="0" w:color="auto"/>
            </w:tcBorders>
            <w:shd w:val="clear" w:color="auto" w:fill="auto"/>
            <w:noWrap/>
          </w:tcPr>
          <w:p w14:paraId="2263C799" w14:textId="77777777" w:rsidR="00C009A9" w:rsidRPr="00B056E4" w:rsidRDefault="00C009A9" w:rsidP="00C0770E">
            <w:pPr>
              <w:jc w:val="right"/>
              <w:rPr>
                <w:b/>
                <w:bCs/>
                <w:lang w:val="es-ES"/>
              </w:rPr>
            </w:pPr>
            <w:r w:rsidRPr="00B056E4">
              <w:rPr>
                <w:b/>
                <w:bCs/>
                <w:lang w:val="es-ES"/>
              </w:rPr>
              <w:t>214 860</w:t>
            </w:r>
          </w:p>
        </w:tc>
        <w:tc>
          <w:tcPr>
            <w:tcW w:w="789" w:type="pct"/>
            <w:tcBorders>
              <w:top w:val="nil"/>
              <w:left w:val="nil"/>
              <w:bottom w:val="single" w:sz="4" w:space="0" w:color="auto"/>
              <w:right w:val="single" w:sz="4" w:space="0" w:color="auto"/>
            </w:tcBorders>
            <w:shd w:val="clear" w:color="auto" w:fill="auto"/>
            <w:noWrap/>
          </w:tcPr>
          <w:p w14:paraId="68ED0B4D" w14:textId="77777777" w:rsidR="00C009A9" w:rsidRPr="00B056E4" w:rsidRDefault="00C009A9" w:rsidP="00C0770E">
            <w:pPr>
              <w:jc w:val="right"/>
              <w:rPr>
                <w:b/>
                <w:bCs/>
                <w:lang w:val="es-ES"/>
              </w:rPr>
            </w:pPr>
            <w:r w:rsidRPr="00B056E4">
              <w:rPr>
                <w:b/>
                <w:bCs/>
                <w:lang w:val="es-ES"/>
              </w:rPr>
              <w:t>178 190</w:t>
            </w:r>
          </w:p>
        </w:tc>
        <w:tc>
          <w:tcPr>
            <w:tcW w:w="789" w:type="pct"/>
            <w:tcBorders>
              <w:top w:val="nil"/>
              <w:left w:val="nil"/>
              <w:bottom w:val="single" w:sz="4" w:space="0" w:color="auto"/>
              <w:right w:val="single" w:sz="4" w:space="0" w:color="auto"/>
            </w:tcBorders>
            <w:shd w:val="clear" w:color="auto" w:fill="auto"/>
            <w:noWrap/>
          </w:tcPr>
          <w:p w14:paraId="68D77731" w14:textId="77777777" w:rsidR="00C009A9" w:rsidRPr="00B056E4" w:rsidRDefault="00C009A9" w:rsidP="00C0770E">
            <w:pPr>
              <w:jc w:val="right"/>
              <w:rPr>
                <w:b/>
                <w:bCs/>
                <w:lang w:val="es-ES"/>
              </w:rPr>
            </w:pPr>
            <w:r w:rsidRPr="00B056E4">
              <w:rPr>
                <w:b/>
                <w:bCs/>
                <w:lang w:val="es-ES"/>
              </w:rPr>
              <w:t>181 692</w:t>
            </w:r>
          </w:p>
        </w:tc>
        <w:tc>
          <w:tcPr>
            <w:tcW w:w="789" w:type="pct"/>
            <w:tcBorders>
              <w:top w:val="nil"/>
              <w:left w:val="nil"/>
              <w:bottom w:val="single" w:sz="4" w:space="0" w:color="auto"/>
              <w:right w:val="single" w:sz="4" w:space="0" w:color="auto"/>
            </w:tcBorders>
            <w:shd w:val="clear" w:color="auto" w:fill="auto"/>
            <w:noWrap/>
          </w:tcPr>
          <w:p w14:paraId="2D04740F" w14:textId="77777777" w:rsidR="00C009A9" w:rsidRPr="00B056E4" w:rsidRDefault="00C009A9" w:rsidP="00C0770E">
            <w:pPr>
              <w:jc w:val="right"/>
              <w:rPr>
                <w:b/>
                <w:bCs/>
                <w:lang w:val="es-ES"/>
              </w:rPr>
            </w:pPr>
            <w:r w:rsidRPr="00B056E4">
              <w:rPr>
                <w:b/>
                <w:bCs/>
                <w:lang w:val="es-ES"/>
              </w:rPr>
              <w:t>574 743</w:t>
            </w:r>
          </w:p>
        </w:tc>
        <w:tc>
          <w:tcPr>
            <w:tcW w:w="789" w:type="pct"/>
            <w:tcBorders>
              <w:top w:val="nil"/>
              <w:left w:val="nil"/>
              <w:bottom w:val="single" w:sz="4" w:space="0" w:color="auto"/>
              <w:right w:val="single" w:sz="4" w:space="0" w:color="auto"/>
            </w:tcBorders>
            <w:shd w:val="clear" w:color="auto" w:fill="auto"/>
            <w:noWrap/>
          </w:tcPr>
          <w:p w14:paraId="1EE53473" w14:textId="77777777" w:rsidR="00C009A9" w:rsidRPr="00B056E4" w:rsidRDefault="00C009A9" w:rsidP="00C0770E">
            <w:pPr>
              <w:jc w:val="right"/>
              <w:rPr>
                <w:b/>
                <w:bCs/>
                <w:lang w:val="es-ES"/>
              </w:rPr>
            </w:pPr>
            <w:r w:rsidRPr="00B056E4">
              <w:rPr>
                <w:b/>
                <w:bCs/>
                <w:lang w:val="es-ES"/>
              </w:rPr>
              <w:t>436 495</w:t>
            </w:r>
          </w:p>
        </w:tc>
      </w:tr>
      <w:tr w:rsidR="00C009A9" w:rsidRPr="00B056E4" w14:paraId="55212405" w14:textId="77777777" w:rsidTr="00C0770E">
        <w:trPr>
          <w:trHeight w:val="255"/>
        </w:trPr>
        <w:tc>
          <w:tcPr>
            <w:tcW w:w="1053" w:type="pct"/>
            <w:tcBorders>
              <w:top w:val="nil"/>
              <w:left w:val="single" w:sz="4" w:space="0" w:color="auto"/>
              <w:bottom w:val="single" w:sz="4" w:space="0" w:color="auto"/>
              <w:right w:val="single" w:sz="4" w:space="0" w:color="auto"/>
            </w:tcBorders>
            <w:shd w:val="clear" w:color="auto" w:fill="auto"/>
            <w:noWrap/>
            <w:hideMark/>
          </w:tcPr>
          <w:p w14:paraId="2DD27EE1" w14:textId="77777777" w:rsidR="00C009A9" w:rsidRPr="00B056E4" w:rsidRDefault="00C009A9" w:rsidP="00C0770E">
            <w:pPr>
              <w:jc w:val="left"/>
              <w:rPr>
                <w:lang w:val="es-ES"/>
              </w:rPr>
            </w:pPr>
            <w:r w:rsidRPr="00B056E4">
              <w:rPr>
                <w:lang w:val="es-ES"/>
              </w:rPr>
              <w:t>Presupuesto indicativo</w:t>
            </w:r>
          </w:p>
        </w:tc>
        <w:tc>
          <w:tcPr>
            <w:tcW w:w="789" w:type="pct"/>
            <w:tcBorders>
              <w:top w:val="nil"/>
              <w:left w:val="nil"/>
              <w:bottom w:val="single" w:sz="4" w:space="0" w:color="auto"/>
              <w:right w:val="single" w:sz="4" w:space="0" w:color="auto"/>
            </w:tcBorders>
            <w:shd w:val="clear" w:color="auto" w:fill="auto"/>
            <w:noWrap/>
            <w:hideMark/>
          </w:tcPr>
          <w:p w14:paraId="7F5A461E" w14:textId="77777777" w:rsidR="00C009A9" w:rsidRPr="00B056E4" w:rsidRDefault="00C009A9" w:rsidP="00C0770E">
            <w:pPr>
              <w:jc w:val="right"/>
              <w:rPr>
                <w:lang w:val="es-ES"/>
              </w:rPr>
            </w:pPr>
            <w:r w:rsidRPr="00B056E4">
              <w:rPr>
                <w:lang w:val="es-ES"/>
              </w:rPr>
              <w:t>171 000</w:t>
            </w:r>
          </w:p>
        </w:tc>
        <w:tc>
          <w:tcPr>
            <w:tcW w:w="789" w:type="pct"/>
            <w:tcBorders>
              <w:top w:val="nil"/>
              <w:left w:val="nil"/>
              <w:bottom w:val="single" w:sz="4" w:space="0" w:color="auto"/>
              <w:right w:val="single" w:sz="4" w:space="0" w:color="auto"/>
            </w:tcBorders>
            <w:shd w:val="clear" w:color="auto" w:fill="auto"/>
            <w:noWrap/>
            <w:hideMark/>
          </w:tcPr>
          <w:p w14:paraId="4540D892" w14:textId="77777777" w:rsidR="00C009A9" w:rsidRPr="00B056E4" w:rsidRDefault="00C009A9" w:rsidP="00C0770E">
            <w:pPr>
              <w:jc w:val="right"/>
              <w:rPr>
                <w:lang w:val="es-ES"/>
              </w:rPr>
            </w:pPr>
            <w:r w:rsidRPr="00B056E4">
              <w:rPr>
                <w:lang w:val="es-ES"/>
              </w:rPr>
              <w:t>180 000*</w:t>
            </w:r>
          </w:p>
        </w:tc>
        <w:tc>
          <w:tcPr>
            <w:tcW w:w="789" w:type="pct"/>
            <w:tcBorders>
              <w:top w:val="nil"/>
              <w:left w:val="nil"/>
              <w:bottom w:val="single" w:sz="4" w:space="0" w:color="auto"/>
              <w:right w:val="single" w:sz="4" w:space="0" w:color="auto"/>
            </w:tcBorders>
            <w:shd w:val="clear" w:color="auto" w:fill="auto"/>
            <w:noWrap/>
            <w:hideMark/>
          </w:tcPr>
          <w:p w14:paraId="63C133A0" w14:textId="77777777" w:rsidR="00C009A9" w:rsidRPr="00B056E4" w:rsidRDefault="00C009A9" w:rsidP="00C0770E">
            <w:pPr>
              <w:jc w:val="right"/>
              <w:rPr>
                <w:lang w:val="es-ES"/>
              </w:rPr>
            </w:pPr>
            <w:r w:rsidRPr="00B056E4">
              <w:rPr>
                <w:lang w:val="es-ES"/>
              </w:rPr>
              <w:t>180 000*</w:t>
            </w:r>
          </w:p>
        </w:tc>
        <w:tc>
          <w:tcPr>
            <w:tcW w:w="789" w:type="pct"/>
            <w:tcBorders>
              <w:top w:val="nil"/>
              <w:left w:val="nil"/>
              <w:bottom w:val="single" w:sz="4" w:space="0" w:color="auto"/>
              <w:right w:val="single" w:sz="4" w:space="0" w:color="auto"/>
            </w:tcBorders>
            <w:shd w:val="clear" w:color="auto" w:fill="auto"/>
            <w:noWrap/>
            <w:hideMark/>
          </w:tcPr>
          <w:p w14:paraId="05E6721F" w14:textId="77777777" w:rsidR="00C009A9" w:rsidRPr="00B056E4" w:rsidRDefault="00C009A9" w:rsidP="00C0770E">
            <w:pPr>
              <w:jc w:val="right"/>
              <w:rPr>
                <w:lang w:val="es-ES"/>
              </w:rPr>
            </w:pPr>
            <w:r w:rsidRPr="00B056E4">
              <w:rPr>
                <w:lang w:val="es-ES"/>
              </w:rPr>
              <w:t>531 000</w:t>
            </w:r>
          </w:p>
        </w:tc>
        <w:tc>
          <w:tcPr>
            <w:tcW w:w="789" w:type="pct"/>
            <w:tcBorders>
              <w:top w:val="nil"/>
              <w:left w:val="nil"/>
              <w:bottom w:val="single" w:sz="4" w:space="0" w:color="auto"/>
              <w:right w:val="single" w:sz="4" w:space="0" w:color="auto"/>
            </w:tcBorders>
            <w:shd w:val="clear" w:color="auto" w:fill="auto"/>
            <w:noWrap/>
          </w:tcPr>
          <w:p w14:paraId="74B4BF70" w14:textId="77777777" w:rsidR="00C009A9" w:rsidRPr="00B056E4" w:rsidRDefault="00C009A9" w:rsidP="00C0770E">
            <w:pPr>
              <w:jc w:val="left"/>
              <w:rPr>
                <w:lang w:val="es-ES"/>
              </w:rPr>
            </w:pPr>
            <w:r w:rsidRPr="00B056E4">
              <w:rPr>
                <w:lang w:val="es-ES"/>
              </w:rPr>
              <w:t> </w:t>
            </w:r>
          </w:p>
        </w:tc>
      </w:tr>
      <w:tr w:rsidR="00C009A9" w:rsidRPr="00B056E4" w14:paraId="4231653B" w14:textId="77777777" w:rsidTr="00C0770E">
        <w:trPr>
          <w:trHeight w:val="255"/>
        </w:trPr>
        <w:tc>
          <w:tcPr>
            <w:tcW w:w="1053" w:type="pct"/>
            <w:tcBorders>
              <w:top w:val="nil"/>
              <w:left w:val="single" w:sz="4" w:space="0" w:color="auto"/>
              <w:bottom w:val="single" w:sz="4" w:space="0" w:color="auto"/>
              <w:right w:val="single" w:sz="4" w:space="0" w:color="auto"/>
            </w:tcBorders>
            <w:shd w:val="clear" w:color="auto" w:fill="auto"/>
            <w:noWrap/>
            <w:hideMark/>
          </w:tcPr>
          <w:p w14:paraId="736FC93A" w14:textId="77777777" w:rsidR="00C009A9" w:rsidRPr="00B056E4" w:rsidRDefault="00C009A9" w:rsidP="00C0770E">
            <w:pPr>
              <w:jc w:val="left"/>
              <w:rPr>
                <w:lang w:val="es-ES"/>
              </w:rPr>
            </w:pPr>
            <w:r w:rsidRPr="00B056E4">
              <w:rPr>
                <w:lang w:val="es-ES"/>
              </w:rPr>
              <w:t>Diferencia</w:t>
            </w:r>
          </w:p>
        </w:tc>
        <w:tc>
          <w:tcPr>
            <w:tcW w:w="789" w:type="pct"/>
            <w:tcBorders>
              <w:top w:val="nil"/>
              <w:left w:val="nil"/>
              <w:bottom w:val="single" w:sz="4" w:space="0" w:color="auto"/>
              <w:right w:val="single" w:sz="4" w:space="0" w:color="auto"/>
            </w:tcBorders>
            <w:shd w:val="clear" w:color="auto" w:fill="auto"/>
            <w:noWrap/>
          </w:tcPr>
          <w:p w14:paraId="2287A81D" w14:textId="77777777" w:rsidR="00C009A9" w:rsidRPr="00B056E4" w:rsidRDefault="00C009A9" w:rsidP="00C0770E">
            <w:pPr>
              <w:jc w:val="right"/>
              <w:rPr>
                <w:lang w:val="es-ES"/>
              </w:rPr>
            </w:pPr>
            <w:r w:rsidRPr="00B056E4">
              <w:rPr>
                <w:lang w:val="es-ES"/>
              </w:rPr>
              <w:t>43 860</w:t>
            </w:r>
          </w:p>
        </w:tc>
        <w:tc>
          <w:tcPr>
            <w:tcW w:w="789" w:type="pct"/>
            <w:tcBorders>
              <w:top w:val="nil"/>
              <w:left w:val="nil"/>
              <w:bottom w:val="single" w:sz="4" w:space="0" w:color="auto"/>
              <w:right w:val="single" w:sz="4" w:space="0" w:color="auto"/>
            </w:tcBorders>
            <w:shd w:val="clear" w:color="auto" w:fill="auto"/>
            <w:noWrap/>
          </w:tcPr>
          <w:p w14:paraId="494925B2" w14:textId="77777777" w:rsidR="00C009A9" w:rsidRPr="00B056E4" w:rsidRDefault="00C009A9" w:rsidP="00C0770E">
            <w:pPr>
              <w:jc w:val="right"/>
              <w:rPr>
                <w:lang w:val="es-ES"/>
              </w:rPr>
            </w:pPr>
            <w:r w:rsidRPr="00B056E4">
              <w:rPr>
                <w:lang w:val="es-ES"/>
              </w:rPr>
              <w:t>(1 810)</w:t>
            </w:r>
          </w:p>
        </w:tc>
        <w:tc>
          <w:tcPr>
            <w:tcW w:w="789" w:type="pct"/>
            <w:tcBorders>
              <w:top w:val="nil"/>
              <w:left w:val="nil"/>
              <w:bottom w:val="single" w:sz="4" w:space="0" w:color="auto"/>
              <w:right w:val="single" w:sz="4" w:space="0" w:color="auto"/>
            </w:tcBorders>
            <w:shd w:val="clear" w:color="auto" w:fill="auto"/>
            <w:noWrap/>
          </w:tcPr>
          <w:p w14:paraId="1637EA3E" w14:textId="77777777" w:rsidR="00C009A9" w:rsidRPr="00B056E4" w:rsidRDefault="00C009A9" w:rsidP="00C0770E">
            <w:pPr>
              <w:jc w:val="right"/>
              <w:rPr>
                <w:lang w:val="es-ES"/>
              </w:rPr>
            </w:pPr>
            <w:r w:rsidRPr="00B056E4">
              <w:rPr>
                <w:lang w:val="es-ES"/>
              </w:rPr>
              <w:t>1 692</w:t>
            </w:r>
          </w:p>
        </w:tc>
        <w:tc>
          <w:tcPr>
            <w:tcW w:w="789" w:type="pct"/>
            <w:tcBorders>
              <w:top w:val="nil"/>
              <w:left w:val="nil"/>
              <w:bottom w:val="single" w:sz="4" w:space="0" w:color="auto"/>
              <w:right w:val="single" w:sz="4" w:space="0" w:color="auto"/>
            </w:tcBorders>
            <w:shd w:val="clear" w:color="auto" w:fill="auto"/>
            <w:noWrap/>
          </w:tcPr>
          <w:p w14:paraId="7A22186C" w14:textId="77777777" w:rsidR="00C009A9" w:rsidRPr="00B056E4" w:rsidRDefault="00C009A9" w:rsidP="00C0770E">
            <w:pPr>
              <w:jc w:val="right"/>
              <w:rPr>
                <w:lang w:val="es-ES"/>
              </w:rPr>
            </w:pPr>
            <w:r w:rsidRPr="00B056E4">
              <w:rPr>
                <w:lang w:val="es-ES"/>
              </w:rPr>
              <w:t>43 743</w:t>
            </w:r>
          </w:p>
        </w:tc>
        <w:tc>
          <w:tcPr>
            <w:tcW w:w="789" w:type="pct"/>
            <w:tcBorders>
              <w:top w:val="nil"/>
              <w:left w:val="nil"/>
              <w:bottom w:val="single" w:sz="4" w:space="0" w:color="auto"/>
              <w:right w:val="single" w:sz="4" w:space="0" w:color="auto"/>
            </w:tcBorders>
            <w:shd w:val="clear" w:color="auto" w:fill="auto"/>
            <w:noWrap/>
          </w:tcPr>
          <w:p w14:paraId="090FE784" w14:textId="77777777" w:rsidR="00C009A9" w:rsidRPr="00B056E4" w:rsidRDefault="00C009A9" w:rsidP="00C0770E">
            <w:pPr>
              <w:jc w:val="left"/>
              <w:rPr>
                <w:lang w:val="es-ES"/>
              </w:rPr>
            </w:pPr>
            <w:r w:rsidRPr="00B056E4">
              <w:rPr>
                <w:lang w:val="es-ES"/>
              </w:rPr>
              <w:t> </w:t>
            </w:r>
          </w:p>
        </w:tc>
      </w:tr>
    </w:tbl>
    <w:p w14:paraId="7C055DB3" w14:textId="77777777" w:rsidR="00C009A9" w:rsidRPr="00B056E4" w:rsidRDefault="00C009A9" w:rsidP="00C009A9">
      <w:pPr>
        <w:jc w:val="left"/>
        <w:rPr>
          <w:sz w:val="20"/>
          <w:szCs w:val="20"/>
          <w:lang w:val="es-ES"/>
        </w:rPr>
      </w:pPr>
      <w:r w:rsidRPr="00B056E4">
        <w:rPr>
          <w:sz w:val="20"/>
          <w:szCs w:val="20"/>
          <w:lang w:val="es-ES"/>
        </w:rPr>
        <w:t>* Se ha asumido el mismo volumen de la reposición de 2018-2020 del Fondo Multilateral.</w:t>
      </w:r>
    </w:p>
    <w:p w14:paraId="74E890FD" w14:textId="77777777" w:rsidR="00C009A9" w:rsidRPr="00B056E4" w:rsidRDefault="00C009A9" w:rsidP="00C009A9">
      <w:pPr>
        <w:rPr>
          <w:b/>
          <w:lang w:val="es-ES"/>
        </w:rPr>
      </w:pPr>
    </w:p>
    <w:p w14:paraId="190F2895" w14:textId="77777777" w:rsidR="00C009A9" w:rsidRPr="00B056E4" w:rsidRDefault="00C009A9" w:rsidP="00C009A9">
      <w:pPr>
        <w:rPr>
          <w:u w:val="single"/>
          <w:lang w:val="es-ES"/>
        </w:rPr>
      </w:pPr>
      <w:r w:rsidRPr="00B056E4">
        <w:rPr>
          <w:u w:val="single"/>
          <w:lang w:val="es-ES"/>
        </w:rPr>
        <w:t>Contenido</w:t>
      </w:r>
    </w:p>
    <w:p w14:paraId="75949A8B" w14:textId="77777777" w:rsidR="00C009A9" w:rsidRPr="00B056E4" w:rsidRDefault="00C009A9" w:rsidP="00C009A9">
      <w:pPr>
        <w:rPr>
          <w:lang w:val="es-ES"/>
        </w:rPr>
      </w:pPr>
    </w:p>
    <w:p w14:paraId="60F9AC19" w14:textId="77777777" w:rsidR="00C009A9" w:rsidRPr="00B056E4" w:rsidRDefault="00C009A9" w:rsidP="00C009A9">
      <w:pPr>
        <w:pStyle w:val="Heading1"/>
        <w:rPr>
          <w:lang w:val="es-ES"/>
        </w:rPr>
      </w:pPr>
      <w:r w:rsidRPr="00B056E4">
        <w:rPr>
          <w:lang w:val="es-ES"/>
        </w:rPr>
        <w:t>En el presente documento se presenta el plan administrativo refundido del Fondo Multilateral para 2020-2022; y comprende los planes administrativos para 2020-2022 de los organismos bilaterales</w:t>
      </w:r>
      <w:r w:rsidRPr="00B056E4">
        <w:rPr>
          <w:rStyle w:val="FootnoteReference"/>
          <w:lang w:val="es-ES"/>
        </w:rPr>
        <w:footnoteReference w:id="2"/>
      </w:r>
      <w:r w:rsidRPr="00B056E4">
        <w:rPr>
          <w:lang w:val="es-ES"/>
        </w:rPr>
        <w:t xml:space="preserve"> y del PNUD</w:t>
      </w:r>
      <w:r w:rsidRPr="00B056E4">
        <w:rPr>
          <w:rStyle w:val="FootnoteReference"/>
          <w:lang w:val="es-ES"/>
        </w:rPr>
        <w:footnoteReference w:id="3"/>
      </w:r>
      <w:r w:rsidRPr="00B056E4">
        <w:rPr>
          <w:lang w:val="es-ES"/>
        </w:rPr>
        <w:t>, del PNUMA</w:t>
      </w:r>
      <w:r w:rsidRPr="00B056E4">
        <w:rPr>
          <w:rStyle w:val="FootnoteReference"/>
          <w:lang w:val="es-ES"/>
        </w:rPr>
        <w:footnoteReference w:id="4"/>
      </w:r>
      <w:r w:rsidRPr="00B056E4">
        <w:rPr>
          <w:lang w:val="es-ES"/>
        </w:rPr>
        <w:t>, del ONUDI</w:t>
      </w:r>
      <w:r w:rsidRPr="00B056E4">
        <w:rPr>
          <w:rStyle w:val="FootnoteReference"/>
          <w:lang w:val="es-ES"/>
        </w:rPr>
        <w:footnoteReference w:id="5"/>
      </w:r>
      <w:r w:rsidRPr="00B056E4">
        <w:rPr>
          <w:lang w:val="es-ES"/>
        </w:rPr>
        <w:t xml:space="preserve"> y del Banco Mundial</w:t>
      </w:r>
      <w:r w:rsidRPr="00B056E4">
        <w:rPr>
          <w:rStyle w:val="FootnoteReference"/>
          <w:lang w:val="es-ES"/>
        </w:rPr>
        <w:footnoteReference w:id="6"/>
      </w:r>
      <w:r w:rsidRPr="00B056E4">
        <w:rPr>
          <w:lang w:val="es-ES"/>
        </w:rPr>
        <w:t xml:space="preserve"> que se presentaron a la 84ª reunión. </w:t>
      </w:r>
    </w:p>
    <w:p w14:paraId="654C209C" w14:textId="77777777" w:rsidR="00C009A9" w:rsidRPr="00B056E4" w:rsidRDefault="00C009A9" w:rsidP="00C009A9">
      <w:pPr>
        <w:pStyle w:val="Heading1"/>
        <w:rPr>
          <w:lang w:val="es-ES"/>
        </w:rPr>
      </w:pPr>
      <w:r w:rsidRPr="00B056E4">
        <w:rPr>
          <w:lang w:val="es-ES"/>
        </w:rPr>
        <w:t>El presente documento consta de las secciones siguientes:</w:t>
      </w:r>
    </w:p>
    <w:p w14:paraId="348BDF3B" w14:textId="77777777" w:rsidR="00C009A9" w:rsidRPr="00B056E4" w:rsidRDefault="00C009A9" w:rsidP="00C009A9">
      <w:pPr>
        <w:pStyle w:val="ListParagraph"/>
        <w:numPr>
          <w:ilvl w:val="0"/>
          <w:numId w:val="21"/>
        </w:numPr>
      </w:pPr>
      <w:r w:rsidRPr="00B056E4">
        <w:t>Asignación de recursos en el plan administrativo para 2020-2022</w:t>
      </w:r>
    </w:p>
    <w:p w14:paraId="74FFBD1C" w14:textId="77777777" w:rsidR="00C009A9" w:rsidRPr="00B056E4" w:rsidRDefault="00C009A9" w:rsidP="00C009A9">
      <w:pPr>
        <w:pStyle w:val="ListParagraph"/>
        <w:numPr>
          <w:ilvl w:val="0"/>
          <w:numId w:val="21"/>
        </w:numPr>
      </w:pPr>
      <w:r w:rsidRPr="00B056E4">
        <w:t xml:space="preserve">Observaciones de la Secretaría </w:t>
      </w:r>
    </w:p>
    <w:p w14:paraId="1206E3D8" w14:textId="77777777" w:rsidR="00C009A9" w:rsidRPr="00B056E4" w:rsidRDefault="00C009A9" w:rsidP="00C009A9">
      <w:pPr>
        <w:pStyle w:val="ListParagraph"/>
        <w:numPr>
          <w:ilvl w:val="0"/>
          <w:numId w:val="21"/>
        </w:numPr>
      </w:pPr>
      <w:r w:rsidRPr="00B056E4">
        <w:t>Ajustes al plan administrativo refundido del Fondo Multilateral para 2020-2022</w:t>
      </w:r>
    </w:p>
    <w:p w14:paraId="2D5F94EF" w14:textId="77777777" w:rsidR="00C009A9" w:rsidRPr="00B056E4" w:rsidRDefault="00C009A9" w:rsidP="00C009A9">
      <w:pPr>
        <w:pStyle w:val="ListParagraph"/>
        <w:numPr>
          <w:ilvl w:val="0"/>
          <w:numId w:val="21"/>
        </w:numPr>
      </w:pPr>
      <w:r w:rsidRPr="00B056E4">
        <w:t>Otras cuestiones de criterios</w:t>
      </w:r>
    </w:p>
    <w:p w14:paraId="46E168E5" w14:textId="77777777" w:rsidR="00C009A9" w:rsidRPr="00B056E4" w:rsidRDefault="00C009A9" w:rsidP="00C009A9">
      <w:pPr>
        <w:pStyle w:val="ListParagraph"/>
        <w:numPr>
          <w:ilvl w:val="0"/>
          <w:numId w:val="21"/>
        </w:numPr>
      </w:pPr>
      <w:r w:rsidRPr="00B056E4">
        <w:t xml:space="preserve">Recomendación </w:t>
      </w:r>
    </w:p>
    <w:p w14:paraId="5081EB63" w14:textId="77777777" w:rsidR="00C009A9" w:rsidRPr="00B056E4" w:rsidRDefault="00C009A9" w:rsidP="00C009A9">
      <w:pPr>
        <w:ind w:left="720"/>
        <w:rPr>
          <w:lang w:val="es-ES"/>
        </w:rPr>
      </w:pPr>
    </w:p>
    <w:p w14:paraId="233018C5" w14:textId="77777777" w:rsidR="00C009A9" w:rsidRPr="00B056E4" w:rsidRDefault="00C009A9" w:rsidP="00087329">
      <w:pPr>
        <w:rPr>
          <w:b/>
          <w:lang w:val="es-ES"/>
        </w:rPr>
      </w:pPr>
      <w:r w:rsidRPr="00B056E4">
        <w:rPr>
          <w:b/>
          <w:lang w:val="es-ES"/>
        </w:rPr>
        <w:t>Asignación de recursos en el plan administrativo para 2020-2022</w:t>
      </w:r>
    </w:p>
    <w:p w14:paraId="07331550" w14:textId="77777777" w:rsidR="00C009A9" w:rsidRPr="00B056E4" w:rsidRDefault="00C009A9" w:rsidP="00087329">
      <w:pPr>
        <w:rPr>
          <w:lang w:val="es-ES"/>
        </w:rPr>
      </w:pPr>
    </w:p>
    <w:p w14:paraId="4DC54613" w14:textId="77777777" w:rsidR="00C009A9" w:rsidRPr="00B056E4" w:rsidRDefault="00C009A9" w:rsidP="00087329">
      <w:pPr>
        <w:pStyle w:val="Heading1"/>
        <w:rPr>
          <w:lang w:val="es-ES"/>
        </w:rPr>
      </w:pPr>
      <w:r w:rsidRPr="00B056E4">
        <w:rPr>
          <w:lang w:val="es-ES"/>
        </w:rPr>
        <w:t xml:space="preserve">En el Cuadro 3 se muestra, por años, las cuantías a que ascienden las actividades incluidas en el plan administrativo para 2020-2022. Los valores superan el presupuesto indicativo en 43,74 millones de $EUA (es decir, un 8,2% del presupuesto indicativo). </w:t>
      </w:r>
    </w:p>
    <w:p w14:paraId="241E2098" w14:textId="77777777" w:rsidR="00C009A9" w:rsidRPr="00B056E4" w:rsidRDefault="00C009A9" w:rsidP="00DA46F0">
      <w:pPr>
        <w:keepNext/>
        <w:rPr>
          <w:b/>
          <w:lang w:val="es-ES"/>
        </w:rPr>
      </w:pPr>
      <w:r w:rsidRPr="00B056E4">
        <w:rPr>
          <w:b/>
          <w:lang w:val="es-ES"/>
        </w:rPr>
        <w:lastRenderedPageBreak/>
        <w:t>Cuadro 3. Asignación de recursos en el plan administrativo para 2020-2022 tal y como se presentaron (en miles de $EUA)*</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1134"/>
        <w:gridCol w:w="1276"/>
        <w:gridCol w:w="1134"/>
        <w:gridCol w:w="1417"/>
        <w:gridCol w:w="1276"/>
      </w:tblGrid>
      <w:tr w:rsidR="00C009A9" w:rsidRPr="00B056E4" w14:paraId="35849A6A" w14:textId="77777777" w:rsidTr="00C0770E">
        <w:trPr>
          <w:trHeight w:val="276"/>
          <w:tblHeader/>
        </w:trPr>
        <w:tc>
          <w:tcPr>
            <w:tcW w:w="3109" w:type="dxa"/>
            <w:shd w:val="clear" w:color="auto" w:fill="auto"/>
            <w:noWrap/>
            <w:hideMark/>
          </w:tcPr>
          <w:p w14:paraId="32D52AF4" w14:textId="77777777" w:rsidR="00C009A9" w:rsidRPr="00B056E4" w:rsidRDefault="00C009A9" w:rsidP="00DA46F0">
            <w:pPr>
              <w:keepNext/>
              <w:jc w:val="left"/>
              <w:rPr>
                <w:b/>
                <w:bCs/>
                <w:sz w:val="20"/>
                <w:szCs w:val="20"/>
                <w:lang w:val="es-ES"/>
              </w:rPr>
            </w:pPr>
            <w:r w:rsidRPr="00B056E4">
              <w:rPr>
                <w:b/>
                <w:bCs/>
                <w:sz w:val="20"/>
                <w:szCs w:val="20"/>
                <w:lang w:val="es-ES"/>
              </w:rPr>
              <w:t>Partida</w:t>
            </w:r>
          </w:p>
        </w:tc>
        <w:tc>
          <w:tcPr>
            <w:tcW w:w="1134" w:type="dxa"/>
            <w:shd w:val="clear" w:color="auto" w:fill="auto"/>
            <w:noWrap/>
            <w:hideMark/>
          </w:tcPr>
          <w:p w14:paraId="36DDB446" w14:textId="77777777" w:rsidR="00C009A9" w:rsidRPr="00B056E4" w:rsidRDefault="00C009A9" w:rsidP="00DA46F0">
            <w:pPr>
              <w:keepNext/>
              <w:jc w:val="center"/>
              <w:rPr>
                <w:b/>
                <w:bCs/>
                <w:sz w:val="20"/>
                <w:szCs w:val="20"/>
                <w:lang w:val="es-ES"/>
              </w:rPr>
            </w:pPr>
            <w:r w:rsidRPr="00B056E4">
              <w:rPr>
                <w:b/>
                <w:bCs/>
                <w:sz w:val="20"/>
                <w:szCs w:val="20"/>
                <w:lang w:val="es-ES"/>
              </w:rPr>
              <w:t>2020</w:t>
            </w:r>
          </w:p>
        </w:tc>
        <w:tc>
          <w:tcPr>
            <w:tcW w:w="1276" w:type="dxa"/>
            <w:shd w:val="clear" w:color="auto" w:fill="auto"/>
            <w:noWrap/>
            <w:hideMark/>
          </w:tcPr>
          <w:p w14:paraId="7259AEE7" w14:textId="77777777" w:rsidR="00C009A9" w:rsidRPr="00B056E4" w:rsidRDefault="00C009A9" w:rsidP="00DA46F0">
            <w:pPr>
              <w:keepNext/>
              <w:jc w:val="center"/>
              <w:rPr>
                <w:b/>
                <w:bCs/>
                <w:sz w:val="20"/>
                <w:szCs w:val="20"/>
                <w:lang w:val="es-ES"/>
              </w:rPr>
            </w:pPr>
            <w:r w:rsidRPr="00B056E4">
              <w:rPr>
                <w:b/>
                <w:bCs/>
                <w:sz w:val="20"/>
                <w:szCs w:val="20"/>
                <w:lang w:val="es-ES"/>
              </w:rPr>
              <w:t>2021</w:t>
            </w:r>
          </w:p>
        </w:tc>
        <w:tc>
          <w:tcPr>
            <w:tcW w:w="1134" w:type="dxa"/>
            <w:shd w:val="clear" w:color="auto" w:fill="auto"/>
            <w:noWrap/>
            <w:hideMark/>
          </w:tcPr>
          <w:p w14:paraId="7597CD13" w14:textId="77777777" w:rsidR="00C009A9" w:rsidRPr="00B056E4" w:rsidRDefault="00C009A9" w:rsidP="00DA46F0">
            <w:pPr>
              <w:keepNext/>
              <w:jc w:val="center"/>
              <w:rPr>
                <w:b/>
                <w:bCs/>
                <w:sz w:val="20"/>
                <w:szCs w:val="20"/>
                <w:lang w:val="es-ES"/>
              </w:rPr>
            </w:pPr>
            <w:r w:rsidRPr="00B056E4">
              <w:rPr>
                <w:b/>
                <w:bCs/>
                <w:sz w:val="20"/>
                <w:szCs w:val="20"/>
                <w:lang w:val="es-ES"/>
              </w:rPr>
              <w:t>2022</w:t>
            </w:r>
          </w:p>
        </w:tc>
        <w:tc>
          <w:tcPr>
            <w:tcW w:w="1417" w:type="dxa"/>
            <w:shd w:val="clear" w:color="auto" w:fill="auto"/>
            <w:noWrap/>
            <w:hideMark/>
          </w:tcPr>
          <w:p w14:paraId="5BA3472A" w14:textId="77777777" w:rsidR="00C009A9" w:rsidRPr="00B056E4" w:rsidRDefault="00C009A9" w:rsidP="00DA46F0">
            <w:pPr>
              <w:keepNext/>
              <w:jc w:val="center"/>
              <w:rPr>
                <w:b/>
                <w:bCs/>
                <w:sz w:val="20"/>
                <w:szCs w:val="20"/>
                <w:lang w:val="es-ES"/>
              </w:rPr>
            </w:pPr>
            <w:r w:rsidRPr="00B056E4">
              <w:rPr>
                <w:b/>
                <w:bCs/>
                <w:sz w:val="20"/>
                <w:szCs w:val="20"/>
                <w:lang w:val="es-ES"/>
              </w:rPr>
              <w:t xml:space="preserve">Total </w:t>
            </w:r>
          </w:p>
          <w:p w14:paraId="21EDFA70" w14:textId="77777777" w:rsidR="00C009A9" w:rsidRPr="00B056E4" w:rsidRDefault="00C009A9" w:rsidP="00DA46F0">
            <w:pPr>
              <w:keepNext/>
              <w:jc w:val="center"/>
              <w:rPr>
                <w:b/>
                <w:bCs/>
                <w:sz w:val="20"/>
                <w:szCs w:val="20"/>
                <w:lang w:val="es-ES"/>
              </w:rPr>
            </w:pPr>
            <w:r w:rsidRPr="00B056E4">
              <w:rPr>
                <w:b/>
                <w:bCs/>
                <w:sz w:val="20"/>
                <w:szCs w:val="20"/>
                <w:lang w:val="es-ES"/>
              </w:rPr>
              <w:t>(2020-2022)</w:t>
            </w:r>
          </w:p>
        </w:tc>
        <w:tc>
          <w:tcPr>
            <w:tcW w:w="1276" w:type="dxa"/>
            <w:shd w:val="clear" w:color="auto" w:fill="auto"/>
            <w:noWrap/>
            <w:hideMark/>
          </w:tcPr>
          <w:p w14:paraId="41AD6EE8" w14:textId="77777777" w:rsidR="00C009A9" w:rsidRPr="00B056E4" w:rsidRDefault="00C009A9" w:rsidP="00DA46F0">
            <w:pPr>
              <w:keepNext/>
              <w:jc w:val="center"/>
              <w:rPr>
                <w:b/>
                <w:bCs/>
                <w:sz w:val="20"/>
                <w:szCs w:val="20"/>
                <w:lang w:val="es-ES"/>
              </w:rPr>
            </w:pPr>
            <w:r w:rsidRPr="00B056E4">
              <w:rPr>
                <w:b/>
                <w:bCs/>
                <w:sz w:val="20"/>
                <w:szCs w:val="20"/>
                <w:lang w:val="es-ES"/>
              </w:rPr>
              <w:t>Total después de 2022</w:t>
            </w:r>
          </w:p>
        </w:tc>
      </w:tr>
      <w:tr w:rsidR="00C009A9" w:rsidRPr="008B1E4C" w14:paraId="09837B08" w14:textId="77777777" w:rsidTr="00C0770E">
        <w:trPr>
          <w:trHeight w:val="276"/>
        </w:trPr>
        <w:tc>
          <w:tcPr>
            <w:tcW w:w="9346" w:type="dxa"/>
            <w:gridSpan w:val="6"/>
            <w:shd w:val="clear" w:color="auto" w:fill="auto"/>
            <w:noWrap/>
            <w:hideMark/>
          </w:tcPr>
          <w:p w14:paraId="3B24B012" w14:textId="77777777" w:rsidR="00C009A9" w:rsidRPr="00B056E4" w:rsidRDefault="00C009A9" w:rsidP="00DA46F0">
            <w:pPr>
              <w:keepNext/>
              <w:jc w:val="left"/>
              <w:rPr>
                <w:b/>
                <w:bCs/>
                <w:sz w:val="20"/>
                <w:szCs w:val="20"/>
                <w:lang w:val="es-ES"/>
              </w:rPr>
            </w:pPr>
            <w:r w:rsidRPr="00B056E4">
              <w:rPr>
                <w:b/>
                <w:bCs/>
                <w:sz w:val="20"/>
                <w:szCs w:val="20"/>
                <w:lang w:val="es-ES"/>
              </w:rPr>
              <w:t>Actividades relacionadas con los HCFC</w:t>
            </w:r>
          </w:p>
        </w:tc>
      </w:tr>
      <w:tr w:rsidR="00C009A9" w:rsidRPr="00B056E4" w14:paraId="278127C0" w14:textId="77777777" w:rsidTr="00C0770E">
        <w:trPr>
          <w:trHeight w:val="276"/>
        </w:trPr>
        <w:tc>
          <w:tcPr>
            <w:tcW w:w="3109" w:type="dxa"/>
            <w:shd w:val="clear" w:color="auto" w:fill="auto"/>
            <w:noWrap/>
            <w:hideMark/>
          </w:tcPr>
          <w:p w14:paraId="1413A93E" w14:textId="77777777" w:rsidR="00C009A9" w:rsidRPr="00B056E4" w:rsidRDefault="00C009A9" w:rsidP="00DA46F0">
            <w:pPr>
              <w:keepNext/>
              <w:jc w:val="left"/>
              <w:rPr>
                <w:sz w:val="20"/>
                <w:szCs w:val="20"/>
                <w:lang w:val="es-ES"/>
              </w:rPr>
            </w:pPr>
            <w:r w:rsidRPr="00B056E4">
              <w:rPr>
                <w:sz w:val="20"/>
                <w:szCs w:val="20"/>
                <w:lang w:val="es-ES"/>
              </w:rPr>
              <w:t>PGEH aprobados</w:t>
            </w:r>
          </w:p>
        </w:tc>
        <w:tc>
          <w:tcPr>
            <w:tcW w:w="1134" w:type="dxa"/>
            <w:shd w:val="clear" w:color="auto" w:fill="auto"/>
            <w:noWrap/>
            <w:hideMark/>
          </w:tcPr>
          <w:p w14:paraId="51506000" w14:textId="77777777" w:rsidR="00C009A9" w:rsidRPr="00B056E4" w:rsidRDefault="00C009A9" w:rsidP="00DA46F0">
            <w:pPr>
              <w:keepNext/>
              <w:jc w:val="right"/>
              <w:rPr>
                <w:sz w:val="20"/>
                <w:szCs w:val="20"/>
                <w:lang w:val="es-ES"/>
              </w:rPr>
            </w:pPr>
            <w:r w:rsidRPr="00B056E4">
              <w:rPr>
                <w:sz w:val="20"/>
                <w:szCs w:val="20"/>
                <w:lang w:val="es-ES"/>
              </w:rPr>
              <w:t>127 430</w:t>
            </w:r>
          </w:p>
        </w:tc>
        <w:tc>
          <w:tcPr>
            <w:tcW w:w="1276" w:type="dxa"/>
            <w:shd w:val="clear" w:color="auto" w:fill="auto"/>
            <w:noWrap/>
            <w:hideMark/>
          </w:tcPr>
          <w:p w14:paraId="137FCDD9" w14:textId="77777777" w:rsidR="00C009A9" w:rsidRPr="00B056E4" w:rsidRDefault="00C009A9" w:rsidP="00DA46F0">
            <w:pPr>
              <w:keepNext/>
              <w:jc w:val="right"/>
              <w:rPr>
                <w:sz w:val="20"/>
                <w:szCs w:val="20"/>
                <w:lang w:val="es-ES"/>
              </w:rPr>
            </w:pPr>
            <w:r w:rsidRPr="00B056E4">
              <w:rPr>
                <w:sz w:val="20"/>
                <w:szCs w:val="20"/>
                <w:lang w:val="es-ES"/>
              </w:rPr>
              <w:t>94 423</w:t>
            </w:r>
          </w:p>
        </w:tc>
        <w:tc>
          <w:tcPr>
            <w:tcW w:w="1134" w:type="dxa"/>
            <w:shd w:val="clear" w:color="auto" w:fill="auto"/>
            <w:noWrap/>
            <w:hideMark/>
          </w:tcPr>
          <w:p w14:paraId="2908BC40" w14:textId="77777777" w:rsidR="00C009A9" w:rsidRPr="00B056E4" w:rsidRDefault="00C009A9" w:rsidP="00DA46F0">
            <w:pPr>
              <w:keepNext/>
              <w:jc w:val="right"/>
              <w:rPr>
                <w:sz w:val="20"/>
                <w:szCs w:val="20"/>
                <w:lang w:val="es-ES"/>
              </w:rPr>
            </w:pPr>
            <w:r w:rsidRPr="00B056E4">
              <w:rPr>
                <w:sz w:val="20"/>
                <w:szCs w:val="20"/>
                <w:lang w:val="es-ES"/>
              </w:rPr>
              <w:t>95 544</w:t>
            </w:r>
          </w:p>
        </w:tc>
        <w:tc>
          <w:tcPr>
            <w:tcW w:w="1417" w:type="dxa"/>
            <w:shd w:val="clear" w:color="auto" w:fill="auto"/>
            <w:noWrap/>
            <w:hideMark/>
          </w:tcPr>
          <w:p w14:paraId="4F2AA27D" w14:textId="77777777" w:rsidR="00C009A9" w:rsidRPr="00B056E4" w:rsidRDefault="00C009A9" w:rsidP="00DA46F0">
            <w:pPr>
              <w:keepNext/>
              <w:jc w:val="right"/>
              <w:rPr>
                <w:sz w:val="20"/>
                <w:szCs w:val="20"/>
                <w:lang w:val="es-ES"/>
              </w:rPr>
            </w:pPr>
            <w:r w:rsidRPr="00B056E4">
              <w:rPr>
                <w:sz w:val="20"/>
                <w:szCs w:val="20"/>
                <w:lang w:val="es-ES"/>
              </w:rPr>
              <w:t>317 397</w:t>
            </w:r>
          </w:p>
        </w:tc>
        <w:tc>
          <w:tcPr>
            <w:tcW w:w="1276" w:type="dxa"/>
            <w:shd w:val="clear" w:color="auto" w:fill="auto"/>
            <w:noWrap/>
            <w:hideMark/>
          </w:tcPr>
          <w:p w14:paraId="31A87AF0" w14:textId="77777777" w:rsidR="00C009A9" w:rsidRPr="00B056E4" w:rsidRDefault="00C009A9" w:rsidP="00DA46F0">
            <w:pPr>
              <w:keepNext/>
              <w:jc w:val="right"/>
              <w:rPr>
                <w:sz w:val="20"/>
                <w:szCs w:val="20"/>
                <w:lang w:val="es-ES"/>
              </w:rPr>
            </w:pPr>
            <w:r w:rsidRPr="00B056E4">
              <w:rPr>
                <w:sz w:val="20"/>
                <w:szCs w:val="20"/>
                <w:lang w:val="es-ES"/>
              </w:rPr>
              <w:t>147 714</w:t>
            </w:r>
          </w:p>
        </w:tc>
      </w:tr>
      <w:tr w:rsidR="00C009A9" w:rsidRPr="00B056E4" w14:paraId="0E6BD248" w14:textId="77777777" w:rsidTr="00C0770E">
        <w:trPr>
          <w:trHeight w:val="276"/>
        </w:trPr>
        <w:tc>
          <w:tcPr>
            <w:tcW w:w="3109" w:type="dxa"/>
            <w:shd w:val="clear" w:color="auto" w:fill="auto"/>
            <w:noWrap/>
            <w:hideMark/>
          </w:tcPr>
          <w:p w14:paraId="20DEAD12" w14:textId="77777777" w:rsidR="00C009A9" w:rsidRPr="00B056E4" w:rsidRDefault="00C009A9" w:rsidP="00DA46F0">
            <w:pPr>
              <w:keepNext/>
              <w:jc w:val="left"/>
              <w:rPr>
                <w:sz w:val="20"/>
                <w:szCs w:val="20"/>
                <w:lang w:val="es-ES"/>
              </w:rPr>
            </w:pPr>
            <w:r w:rsidRPr="00B056E4">
              <w:rPr>
                <w:sz w:val="20"/>
                <w:szCs w:val="20"/>
                <w:lang w:val="es-ES"/>
              </w:rPr>
              <w:t>Preparación de proyectos relacionados con la producción de HCFC: etapa I</w:t>
            </w:r>
          </w:p>
        </w:tc>
        <w:tc>
          <w:tcPr>
            <w:tcW w:w="1134" w:type="dxa"/>
            <w:shd w:val="clear" w:color="auto" w:fill="auto"/>
            <w:noWrap/>
            <w:hideMark/>
          </w:tcPr>
          <w:p w14:paraId="19A2477C" w14:textId="77777777" w:rsidR="00C009A9" w:rsidRPr="00B056E4" w:rsidRDefault="00C009A9" w:rsidP="00DA46F0">
            <w:pPr>
              <w:keepNext/>
              <w:jc w:val="right"/>
              <w:rPr>
                <w:sz w:val="20"/>
                <w:szCs w:val="20"/>
                <w:lang w:val="es-ES"/>
              </w:rPr>
            </w:pPr>
            <w:r w:rsidRPr="00B056E4">
              <w:rPr>
                <w:sz w:val="20"/>
                <w:szCs w:val="20"/>
                <w:lang w:val="es-ES"/>
              </w:rPr>
              <w:t>80</w:t>
            </w:r>
          </w:p>
        </w:tc>
        <w:tc>
          <w:tcPr>
            <w:tcW w:w="1276" w:type="dxa"/>
            <w:shd w:val="clear" w:color="auto" w:fill="auto"/>
            <w:noWrap/>
            <w:hideMark/>
          </w:tcPr>
          <w:p w14:paraId="019D1F84" w14:textId="77777777" w:rsidR="00C009A9" w:rsidRPr="00B056E4" w:rsidRDefault="00C009A9" w:rsidP="00DA46F0">
            <w:pPr>
              <w:keepNext/>
              <w:jc w:val="right"/>
              <w:rPr>
                <w:sz w:val="20"/>
                <w:szCs w:val="20"/>
                <w:lang w:val="es-ES"/>
              </w:rPr>
            </w:pPr>
            <w:r w:rsidRPr="00B056E4">
              <w:rPr>
                <w:sz w:val="20"/>
                <w:szCs w:val="20"/>
                <w:lang w:val="es-ES"/>
              </w:rPr>
              <w:t>0</w:t>
            </w:r>
          </w:p>
        </w:tc>
        <w:tc>
          <w:tcPr>
            <w:tcW w:w="1134" w:type="dxa"/>
            <w:shd w:val="clear" w:color="auto" w:fill="auto"/>
            <w:noWrap/>
            <w:hideMark/>
          </w:tcPr>
          <w:p w14:paraId="03CEB8AA" w14:textId="77777777" w:rsidR="00C009A9" w:rsidRPr="00B056E4" w:rsidRDefault="00C009A9" w:rsidP="00DA46F0">
            <w:pPr>
              <w:keepNext/>
              <w:jc w:val="right"/>
              <w:rPr>
                <w:sz w:val="20"/>
                <w:szCs w:val="20"/>
                <w:lang w:val="es-ES"/>
              </w:rPr>
            </w:pPr>
            <w:r w:rsidRPr="00B056E4">
              <w:rPr>
                <w:sz w:val="20"/>
                <w:szCs w:val="20"/>
                <w:lang w:val="es-ES"/>
              </w:rPr>
              <w:t>0</w:t>
            </w:r>
          </w:p>
        </w:tc>
        <w:tc>
          <w:tcPr>
            <w:tcW w:w="1417" w:type="dxa"/>
            <w:shd w:val="clear" w:color="auto" w:fill="auto"/>
            <w:noWrap/>
            <w:hideMark/>
          </w:tcPr>
          <w:p w14:paraId="2C8EFD98" w14:textId="77777777" w:rsidR="00C009A9" w:rsidRPr="00B056E4" w:rsidRDefault="00C009A9" w:rsidP="00DA46F0">
            <w:pPr>
              <w:keepNext/>
              <w:jc w:val="right"/>
              <w:rPr>
                <w:sz w:val="20"/>
                <w:szCs w:val="20"/>
                <w:lang w:val="es-ES"/>
              </w:rPr>
            </w:pPr>
            <w:r w:rsidRPr="00B056E4">
              <w:rPr>
                <w:sz w:val="20"/>
                <w:szCs w:val="20"/>
                <w:lang w:val="es-ES"/>
              </w:rPr>
              <w:t>80</w:t>
            </w:r>
          </w:p>
        </w:tc>
        <w:tc>
          <w:tcPr>
            <w:tcW w:w="1276" w:type="dxa"/>
            <w:shd w:val="clear" w:color="auto" w:fill="auto"/>
            <w:noWrap/>
            <w:hideMark/>
          </w:tcPr>
          <w:p w14:paraId="04A37929" w14:textId="77777777" w:rsidR="00C009A9" w:rsidRPr="00B056E4" w:rsidRDefault="00C009A9" w:rsidP="00DA46F0">
            <w:pPr>
              <w:keepNext/>
              <w:jc w:val="right"/>
              <w:rPr>
                <w:sz w:val="20"/>
                <w:szCs w:val="20"/>
                <w:lang w:val="es-ES"/>
              </w:rPr>
            </w:pPr>
            <w:r w:rsidRPr="00B056E4">
              <w:rPr>
                <w:sz w:val="20"/>
                <w:szCs w:val="20"/>
                <w:lang w:val="es-ES"/>
              </w:rPr>
              <w:t>0</w:t>
            </w:r>
          </w:p>
        </w:tc>
      </w:tr>
      <w:tr w:rsidR="00C009A9" w:rsidRPr="00B056E4" w14:paraId="2B7B8159" w14:textId="77777777" w:rsidTr="00C0770E">
        <w:trPr>
          <w:trHeight w:val="276"/>
        </w:trPr>
        <w:tc>
          <w:tcPr>
            <w:tcW w:w="3109" w:type="dxa"/>
            <w:shd w:val="clear" w:color="auto" w:fill="auto"/>
            <w:noWrap/>
            <w:hideMark/>
          </w:tcPr>
          <w:p w14:paraId="596ECEB6" w14:textId="77777777" w:rsidR="00C009A9" w:rsidRPr="00B056E4" w:rsidRDefault="00C009A9" w:rsidP="00C0770E">
            <w:pPr>
              <w:jc w:val="left"/>
              <w:rPr>
                <w:sz w:val="20"/>
                <w:szCs w:val="20"/>
                <w:lang w:val="es-ES"/>
              </w:rPr>
            </w:pPr>
            <w:r w:rsidRPr="00B056E4">
              <w:rPr>
                <w:sz w:val="20"/>
                <w:szCs w:val="20"/>
                <w:lang w:val="es-ES"/>
              </w:rPr>
              <w:t>Producción de HCF: etapa II</w:t>
            </w:r>
          </w:p>
        </w:tc>
        <w:tc>
          <w:tcPr>
            <w:tcW w:w="1134" w:type="dxa"/>
            <w:shd w:val="clear" w:color="auto" w:fill="auto"/>
            <w:noWrap/>
            <w:hideMark/>
          </w:tcPr>
          <w:p w14:paraId="0AFD074E" w14:textId="77777777" w:rsidR="00C009A9" w:rsidRPr="00B056E4" w:rsidRDefault="00C009A9" w:rsidP="00C0770E">
            <w:pPr>
              <w:jc w:val="right"/>
              <w:rPr>
                <w:sz w:val="20"/>
                <w:szCs w:val="20"/>
                <w:lang w:val="es-ES"/>
              </w:rPr>
            </w:pPr>
            <w:r w:rsidRPr="00B056E4">
              <w:rPr>
                <w:sz w:val="20"/>
                <w:szCs w:val="20"/>
                <w:lang w:val="es-ES"/>
              </w:rPr>
              <w:t>0</w:t>
            </w:r>
          </w:p>
        </w:tc>
        <w:tc>
          <w:tcPr>
            <w:tcW w:w="1276" w:type="dxa"/>
            <w:shd w:val="clear" w:color="auto" w:fill="auto"/>
            <w:noWrap/>
            <w:hideMark/>
          </w:tcPr>
          <w:p w14:paraId="280DFBC7" w14:textId="77777777" w:rsidR="00C009A9" w:rsidRPr="00B056E4" w:rsidRDefault="00C009A9" w:rsidP="00C0770E">
            <w:pPr>
              <w:jc w:val="right"/>
              <w:rPr>
                <w:sz w:val="20"/>
                <w:szCs w:val="20"/>
                <w:lang w:val="es-ES"/>
              </w:rPr>
            </w:pPr>
            <w:r w:rsidRPr="00B056E4">
              <w:rPr>
                <w:sz w:val="20"/>
                <w:szCs w:val="20"/>
                <w:lang w:val="es-ES"/>
              </w:rPr>
              <w:t>1 070</w:t>
            </w:r>
          </w:p>
        </w:tc>
        <w:tc>
          <w:tcPr>
            <w:tcW w:w="1134" w:type="dxa"/>
            <w:shd w:val="clear" w:color="auto" w:fill="auto"/>
            <w:noWrap/>
            <w:hideMark/>
          </w:tcPr>
          <w:p w14:paraId="3B80BCDD" w14:textId="77777777" w:rsidR="00C009A9" w:rsidRPr="00B056E4" w:rsidRDefault="00C009A9" w:rsidP="00C0770E">
            <w:pPr>
              <w:jc w:val="right"/>
              <w:rPr>
                <w:sz w:val="20"/>
                <w:szCs w:val="20"/>
                <w:lang w:val="es-ES"/>
              </w:rPr>
            </w:pPr>
            <w:r w:rsidRPr="00B056E4">
              <w:rPr>
                <w:sz w:val="20"/>
                <w:szCs w:val="20"/>
                <w:lang w:val="es-ES"/>
              </w:rPr>
              <w:t>2 140</w:t>
            </w:r>
          </w:p>
        </w:tc>
        <w:tc>
          <w:tcPr>
            <w:tcW w:w="1417" w:type="dxa"/>
            <w:shd w:val="clear" w:color="auto" w:fill="auto"/>
            <w:noWrap/>
            <w:hideMark/>
          </w:tcPr>
          <w:p w14:paraId="54DA2D45" w14:textId="77777777" w:rsidR="00C009A9" w:rsidRPr="00B056E4" w:rsidRDefault="00C009A9" w:rsidP="00C0770E">
            <w:pPr>
              <w:jc w:val="right"/>
              <w:rPr>
                <w:sz w:val="20"/>
                <w:szCs w:val="20"/>
                <w:lang w:val="es-ES"/>
              </w:rPr>
            </w:pPr>
            <w:r w:rsidRPr="00B056E4">
              <w:rPr>
                <w:sz w:val="20"/>
                <w:szCs w:val="20"/>
                <w:lang w:val="es-ES"/>
              </w:rPr>
              <w:t>3 210</w:t>
            </w:r>
          </w:p>
        </w:tc>
        <w:tc>
          <w:tcPr>
            <w:tcW w:w="1276" w:type="dxa"/>
            <w:shd w:val="clear" w:color="auto" w:fill="auto"/>
            <w:noWrap/>
            <w:hideMark/>
          </w:tcPr>
          <w:p w14:paraId="510798BE" w14:textId="77777777" w:rsidR="00C009A9" w:rsidRPr="00B056E4" w:rsidRDefault="00C009A9" w:rsidP="00C0770E">
            <w:pPr>
              <w:jc w:val="right"/>
              <w:rPr>
                <w:sz w:val="20"/>
                <w:szCs w:val="20"/>
                <w:lang w:val="es-ES"/>
              </w:rPr>
            </w:pPr>
            <w:r w:rsidRPr="00B056E4">
              <w:rPr>
                <w:sz w:val="20"/>
                <w:szCs w:val="20"/>
                <w:lang w:val="es-ES"/>
              </w:rPr>
              <w:t>2 140</w:t>
            </w:r>
          </w:p>
        </w:tc>
      </w:tr>
      <w:tr w:rsidR="00C009A9" w:rsidRPr="00B056E4" w14:paraId="21A5FB74" w14:textId="77777777" w:rsidTr="00C0770E">
        <w:trPr>
          <w:trHeight w:val="276"/>
        </w:trPr>
        <w:tc>
          <w:tcPr>
            <w:tcW w:w="3109" w:type="dxa"/>
            <w:shd w:val="clear" w:color="auto" w:fill="auto"/>
            <w:noWrap/>
            <w:hideMark/>
          </w:tcPr>
          <w:p w14:paraId="3C1E0262" w14:textId="77777777" w:rsidR="00C009A9" w:rsidRPr="00B056E4" w:rsidRDefault="00C009A9" w:rsidP="00C0770E">
            <w:pPr>
              <w:jc w:val="left"/>
              <w:rPr>
                <w:sz w:val="20"/>
                <w:szCs w:val="20"/>
                <w:lang w:val="es-ES"/>
              </w:rPr>
            </w:pPr>
            <w:r w:rsidRPr="00B056E4">
              <w:rPr>
                <w:sz w:val="20"/>
                <w:szCs w:val="20"/>
                <w:lang w:val="es-ES"/>
              </w:rPr>
              <w:t>Producción de HCF: etapa II</w:t>
            </w:r>
          </w:p>
        </w:tc>
        <w:tc>
          <w:tcPr>
            <w:tcW w:w="1134" w:type="dxa"/>
            <w:shd w:val="clear" w:color="auto" w:fill="auto"/>
            <w:noWrap/>
            <w:hideMark/>
          </w:tcPr>
          <w:p w14:paraId="664E3547" w14:textId="77777777" w:rsidR="00C009A9" w:rsidRPr="00B056E4" w:rsidRDefault="00C009A9" w:rsidP="00C0770E">
            <w:pPr>
              <w:jc w:val="right"/>
              <w:rPr>
                <w:sz w:val="20"/>
                <w:szCs w:val="20"/>
                <w:lang w:val="es-ES"/>
              </w:rPr>
            </w:pPr>
            <w:r w:rsidRPr="00B056E4">
              <w:rPr>
                <w:sz w:val="20"/>
                <w:szCs w:val="20"/>
                <w:lang w:val="es-ES"/>
              </w:rPr>
              <w:t>26 140</w:t>
            </w:r>
          </w:p>
        </w:tc>
        <w:tc>
          <w:tcPr>
            <w:tcW w:w="1276" w:type="dxa"/>
            <w:shd w:val="clear" w:color="auto" w:fill="auto"/>
            <w:noWrap/>
            <w:hideMark/>
          </w:tcPr>
          <w:p w14:paraId="615ED02A" w14:textId="77777777" w:rsidR="00C009A9" w:rsidRPr="00B056E4" w:rsidRDefault="00C009A9" w:rsidP="00C0770E">
            <w:pPr>
              <w:jc w:val="right"/>
              <w:rPr>
                <w:sz w:val="20"/>
                <w:szCs w:val="20"/>
                <w:lang w:val="es-ES"/>
              </w:rPr>
            </w:pPr>
            <w:r w:rsidRPr="00B056E4">
              <w:rPr>
                <w:sz w:val="20"/>
                <w:szCs w:val="20"/>
                <w:lang w:val="es-ES"/>
              </w:rPr>
              <w:t>26 140</w:t>
            </w:r>
          </w:p>
        </w:tc>
        <w:tc>
          <w:tcPr>
            <w:tcW w:w="1134" w:type="dxa"/>
            <w:shd w:val="clear" w:color="auto" w:fill="auto"/>
            <w:noWrap/>
            <w:hideMark/>
          </w:tcPr>
          <w:p w14:paraId="0D64C044" w14:textId="77777777" w:rsidR="00C009A9" w:rsidRPr="00B056E4" w:rsidRDefault="00C009A9" w:rsidP="00C0770E">
            <w:pPr>
              <w:jc w:val="right"/>
              <w:rPr>
                <w:sz w:val="20"/>
                <w:szCs w:val="20"/>
                <w:lang w:val="es-ES"/>
              </w:rPr>
            </w:pPr>
            <w:r w:rsidRPr="00B056E4">
              <w:rPr>
                <w:sz w:val="20"/>
                <w:szCs w:val="20"/>
                <w:lang w:val="es-ES"/>
              </w:rPr>
              <w:t>25 677</w:t>
            </w:r>
          </w:p>
        </w:tc>
        <w:tc>
          <w:tcPr>
            <w:tcW w:w="1417" w:type="dxa"/>
            <w:shd w:val="clear" w:color="auto" w:fill="auto"/>
            <w:noWrap/>
            <w:hideMark/>
          </w:tcPr>
          <w:p w14:paraId="6D309E7B" w14:textId="77777777" w:rsidR="00C009A9" w:rsidRPr="00B056E4" w:rsidRDefault="00C009A9" w:rsidP="00C0770E">
            <w:pPr>
              <w:jc w:val="right"/>
              <w:rPr>
                <w:sz w:val="20"/>
                <w:szCs w:val="20"/>
                <w:lang w:val="es-ES"/>
              </w:rPr>
            </w:pPr>
            <w:r w:rsidRPr="00B056E4">
              <w:rPr>
                <w:sz w:val="20"/>
                <w:szCs w:val="20"/>
                <w:lang w:val="es-ES"/>
              </w:rPr>
              <w:t>77 956</w:t>
            </w:r>
          </w:p>
        </w:tc>
        <w:tc>
          <w:tcPr>
            <w:tcW w:w="1276" w:type="dxa"/>
            <w:shd w:val="clear" w:color="auto" w:fill="auto"/>
            <w:noWrap/>
            <w:hideMark/>
          </w:tcPr>
          <w:p w14:paraId="7D3CD435" w14:textId="77777777" w:rsidR="00C009A9" w:rsidRPr="00B056E4" w:rsidRDefault="00C009A9" w:rsidP="00C0770E">
            <w:pPr>
              <w:jc w:val="right"/>
              <w:rPr>
                <w:sz w:val="20"/>
                <w:szCs w:val="20"/>
                <w:lang w:val="es-ES"/>
              </w:rPr>
            </w:pPr>
            <w:r w:rsidRPr="00B056E4">
              <w:rPr>
                <w:sz w:val="20"/>
                <w:szCs w:val="20"/>
                <w:lang w:val="es-ES"/>
              </w:rPr>
              <w:t>181 561</w:t>
            </w:r>
          </w:p>
        </w:tc>
      </w:tr>
      <w:tr w:rsidR="00C009A9" w:rsidRPr="00B056E4" w14:paraId="4808E3BE" w14:textId="77777777" w:rsidTr="00C0770E">
        <w:trPr>
          <w:trHeight w:val="276"/>
        </w:trPr>
        <w:tc>
          <w:tcPr>
            <w:tcW w:w="3109" w:type="dxa"/>
            <w:shd w:val="clear" w:color="auto" w:fill="auto"/>
            <w:noWrap/>
            <w:hideMark/>
          </w:tcPr>
          <w:p w14:paraId="77AC50E7" w14:textId="77777777" w:rsidR="00C009A9" w:rsidRPr="00B056E4" w:rsidRDefault="00C009A9" w:rsidP="00C0770E">
            <w:pPr>
              <w:jc w:val="left"/>
              <w:rPr>
                <w:sz w:val="20"/>
                <w:szCs w:val="20"/>
                <w:lang w:val="es-ES"/>
              </w:rPr>
            </w:pPr>
            <w:r w:rsidRPr="00B056E4">
              <w:rPr>
                <w:sz w:val="20"/>
                <w:szCs w:val="20"/>
                <w:lang w:val="es-ES"/>
              </w:rPr>
              <w:t>Etapa I del PGEH</w:t>
            </w:r>
          </w:p>
        </w:tc>
        <w:tc>
          <w:tcPr>
            <w:tcW w:w="1134" w:type="dxa"/>
            <w:shd w:val="clear" w:color="auto" w:fill="auto"/>
            <w:noWrap/>
            <w:hideMark/>
          </w:tcPr>
          <w:p w14:paraId="28A89DDD" w14:textId="77777777" w:rsidR="00C009A9" w:rsidRPr="00B056E4" w:rsidRDefault="00C009A9" w:rsidP="00C0770E">
            <w:pPr>
              <w:jc w:val="right"/>
              <w:rPr>
                <w:sz w:val="20"/>
                <w:szCs w:val="20"/>
                <w:lang w:val="es-ES"/>
              </w:rPr>
            </w:pPr>
            <w:r w:rsidRPr="00B056E4">
              <w:rPr>
                <w:sz w:val="20"/>
                <w:szCs w:val="20"/>
                <w:lang w:val="es-ES"/>
              </w:rPr>
              <w:t>346</w:t>
            </w:r>
          </w:p>
        </w:tc>
        <w:tc>
          <w:tcPr>
            <w:tcW w:w="1276" w:type="dxa"/>
            <w:shd w:val="clear" w:color="auto" w:fill="auto"/>
            <w:noWrap/>
            <w:hideMark/>
          </w:tcPr>
          <w:p w14:paraId="67BCE925" w14:textId="77777777" w:rsidR="00C009A9" w:rsidRPr="00B056E4" w:rsidRDefault="00C009A9" w:rsidP="00C0770E">
            <w:pPr>
              <w:jc w:val="right"/>
              <w:rPr>
                <w:sz w:val="20"/>
                <w:szCs w:val="20"/>
                <w:lang w:val="es-ES"/>
              </w:rPr>
            </w:pPr>
            <w:r w:rsidRPr="00B056E4">
              <w:rPr>
                <w:sz w:val="20"/>
                <w:szCs w:val="20"/>
                <w:lang w:val="es-ES"/>
              </w:rPr>
              <w:t>0</w:t>
            </w:r>
          </w:p>
        </w:tc>
        <w:tc>
          <w:tcPr>
            <w:tcW w:w="1134" w:type="dxa"/>
            <w:shd w:val="clear" w:color="auto" w:fill="auto"/>
            <w:noWrap/>
            <w:hideMark/>
          </w:tcPr>
          <w:p w14:paraId="554923AE" w14:textId="77777777" w:rsidR="00C009A9" w:rsidRPr="00B056E4" w:rsidRDefault="00C009A9" w:rsidP="00C0770E">
            <w:pPr>
              <w:jc w:val="right"/>
              <w:rPr>
                <w:sz w:val="20"/>
                <w:szCs w:val="20"/>
                <w:lang w:val="es-ES"/>
              </w:rPr>
            </w:pPr>
            <w:r w:rsidRPr="00B056E4">
              <w:rPr>
                <w:sz w:val="20"/>
                <w:szCs w:val="20"/>
                <w:lang w:val="es-ES"/>
              </w:rPr>
              <w:t>500</w:t>
            </w:r>
          </w:p>
        </w:tc>
        <w:tc>
          <w:tcPr>
            <w:tcW w:w="1417" w:type="dxa"/>
            <w:shd w:val="clear" w:color="auto" w:fill="auto"/>
            <w:noWrap/>
            <w:hideMark/>
          </w:tcPr>
          <w:p w14:paraId="71EAB1FC" w14:textId="77777777" w:rsidR="00C009A9" w:rsidRPr="00B056E4" w:rsidRDefault="00C009A9" w:rsidP="00C0770E">
            <w:pPr>
              <w:jc w:val="right"/>
              <w:rPr>
                <w:sz w:val="20"/>
                <w:szCs w:val="20"/>
                <w:lang w:val="es-ES"/>
              </w:rPr>
            </w:pPr>
            <w:r w:rsidRPr="00B056E4">
              <w:rPr>
                <w:sz w:val="20"/>
                <w:szCs w:val="20"/>
                <w:lang w:val="es-ES"/>
              </w:rPr>
              <w:t>846</w:t>
            </w:r>
          </w:p>
        </w:tc>
        <w:tc>
          <w:tcPr>
            <w:tcW w:w="1276" w:type="dxa"/>
            <w:shd w:val="clear" w:color="auto" w:fill="auto"/>
            <w:noWrap/>
            <w:hideMark/>
          </w:tcPr>
          <w:p w14:paraId="53BB0057" w14:textId="77777777" w:rsidR="00C009A9" w:rsidRPr="00B056E4" w:rsidRDefault="00C009A9" w:rsidP="00C0770E">
            <w:pPr>
              <w:jc w:val="right"/>
              <w:rPr>
                <w:sz w:val="20"/>
                <w:szCs w:val="20"/>
                <w:lang w:val="es-ES"/>
              </w:rPr>
            </w:pPr>
            <w:r w:rsidRPr="00B056E4">
              <w:rPr>
                <w:sz w:val="20"/>
                <w:szCs w:val="20"/>
                <w:lang w:val="es-ES"/>
              </w:rPr>
              <w:t>0</w:t>
            </w:r>
          </w:p>
        </w:tc>
      </w:tr>
      <w:tr w:rsidR="00C009A9" w:rsidRPr="00B056E4" w14:paraId="281F7731" w14:textId="77777777" w:rsidTr="00C0770E">
        <w:trPr>
          <w:trHeight w:val="276"/>
        </w:trPr>
        <w:tc>
          <w:tcPr>
            <w:tcW w:w="3109" w:type="dxa"/>
            <w:shd w:val="clear" w:color="auto" w:fill="auto"/>
            <w:noWrap/>
            <w:hideMark/>
          </w:tcPr>
          <w:p w14:paraId="1815DD92" w14:textId="77777777" w:rsidR="00C009A9" w:rsidRPr="00B056E4" w:rsidRDefault="00C009A9" w:rsidP="00C0770E">
            <w:pPr>
              <w:jc w:val="left"/>
              <w:rPr>
                <w:sz w:val="20"/>
                <w:szCs w:val="20"/>
                <w:lang w:val="es-ES"/>
              </w:rPr>
            </w:pPr>
            <w:r w:rsidRPr="00B056E4">
              <w:rPr>
                <w:sz w:val="20"/>
                <w:szCs w:val="20"/>
                <w:lang w:val="es-ES"/>
              </w:rPr>
              <w:t>Preparación de proyectos para los PGEH: etapa II</w:t>
            </w:r>
          </w:p>
        </w:tc>
        <w:tc>
          <w:tcPr>
            <w:tcW w:w="1134" w:type="dxa"/>
            <w:shd w:val="clear" w:color="auto" w:fill="auto"/>
            <w:noWrap/>
            <w:hideMark/>
          </w:tcPr>
          <w:p w14:paraId="19E1F2F2" w14:textId="77777777" w:rsidR="00C009A9" w:rsidRPr="00B056E4" w:rsidRDefault="00C009A9" w:rsidP="00C0770E">
            <w:pPr>
              <w:jc w:val="right"/>
              <w:rPr>
                <w:sz w:val="20"/>
                <w:szCs w:val="20"/>
                <w:lang w:val="es-ES"/>
              </w:rPr>
            </w:pPr>
            <w:r w:rsidRPr="00B056E4">
              <w:rPr>
                <w:sz w:val="20"/>
                <w:szCs w:val="20"/>
                <w:lang w:val="es-ES"/>
              </w:rPr>
              <w:t>462</w:t>
            </w:r>
          </w:p>
        </w:tc>
        <w:tc>
          <w:tcPr>
            <w:tcW w:w="1276" w:type="dxa"/>
            <w:shd w:val="clear" w:color="auto" w:fill="auto"/>
            <w:noWrap/>
            <w:hideMark/>
          </w:tcPr>
          <w:p w14:paraId="0C31FDA4" w14:textId="77777777" w:rsidR="00C009A9" w:rsidRPr="00B056E4" w:rsidRDefault="00C009A9" w:rsidP="00C0770E">
            <w:pPr>
              <w:jc w:val="right"/>
              <w:rPr>
                <w:sz w:val="20"/>
                <w:szCs w:val="20"/>
                <w:lang w:val="es-ES"/>
              </w:rPr>
            </w:pPr>
            <w:r w:rsidRPr="00B056E4">
              <w:rPr>
                <w:sz w:val="20"/>
                <w:szCs w:val="20"/>
                <w:lang w:val="es-ES"/>
              </w:rPr>
              <w:t>360</w:t>
            </w:r>
          </w:p>
        </w:tc>
        <w:tc>
          <w:tcPr>
            <w:tcW w:w="1134" w:type="dxa"/>
            <w:shd w:val="clear" w:color="auto" w:fill="auto"/>
            <w:noWrap/>
            <w:hideMark/>
          </w:tcPr>
          <w:p w14:paraId="74DC3A3E" w14:textId="77777777" w:rsidR="00C009A9" w:rsidRPr="00B056E4" w:rsidRDefault="00C009A9" w:rsidP="00C0770E">
            <w:pPr>
              <w:jc w:val="right"/>
              <w:rPr>
                <w:sz w:val="20"/>
                <w:szCs w:val="20"/>
                <w:lang w:val="es-ES"/>
              </w:rPr>
            </w:pPr>
            <w:r w:rsidRPr="00B056E4">
              <w:rPr>
                <w:sz w:val="20"/>
                <w:szCs w:val="20"/>
                <w:lang w:val="es-ES"/>
              </w:rPr>
              <w:t>0</w:t>
            </w:r>
          </w:p>
        </w:tc>
        <w:tc>
          <w:tcPr>
            <w:tcW w:w="1417" w:type="dxa"/>
            <w:shd w:val="clear" w:color="auto" w:fill="auto"/>
            <w:noWrap/>
            <w:hideMark/>
          </w:tcPr>
          <w:p w14:paraId="3FB3492B" w14:textId="77777777" w:rsidR="00C009A9" w:rsidRPr="00B056E4" w:rsidRDefault="00C009A9" w:rsidP="00C0770E">
            <w:pPr>
              <w:jc w:val="right"/>
              <w:rPr>
                <w:sz w:val="20"/>
                <w:szCs w:val="20"/>
                <w:lang w:val="es-ES"/>
              </w:rPr>
            </w:pPr>
            <w:r w:rsidRPr="00B056E4">
              <w:rPr>
                <w:sz w:val="20"/>
                <w:szCs w:val="20"/>
                <w:lang w:val="es-ES"/>
              </w:rPr>
              <w:t>822</w:t>
            </w:r>
          </w:p>
        </w:tc>
        <w:tc>
          <w:tcPr>
            <w:tcW w:w="1276" w:type="dxa"/>
            <w:shd w:val="clear" w:color="auto" w:fill="auto"/>
            <w:noWrap/>
            <w:hideMark/>
          </w:tcPr>
          <w:p w14:paraId="5C0ADF25" w14:textId="77777777" w:rsidR="00C009A9" w:rsidRPr="00B056E4" w:rsidRDefault="00C009A9" w:rsidP="00C0770E">
            <w:pPr>
              <w:jc w:val="right"/>
              <w:rPr>
                <w:sz w:val="20"/>
                <w:szCs w:val="20"/>
                <w:lang w:val="es-ES"/>
              </w:rPr>
            </w:pPr>
            <w:r w:rsidRPr="00B056E4">
              <w:rPr>
                <w:sz w:val="20"/>
                <w:szCs w:val="20"/>
                <w:lang w:val="es-ES"/>
              </w:rPr>
              <w:t>34</w:t>
            </w:r>
          </w:p>
        </w:tc>
      </w:tr>
      <w:tr w:rsidR="00C009A9" w:rsidRPr="00B056E4" w14:paraId="5E2DAF36" w14:textId="77777777" w:rsidTr="00C0770E">
        <w:trPr>
          <w:trHeight w:val="276"/>
        </w:trPr>
        <w:tc>
          <w:tcPr>
            <w:tcW w:w="3109" w:type="dxa"/>
            <w:shd w:val="clear" w:color="auto" w:fill="auto"/>
            <w:noWrap/>
            <w:hideMark/>
          </w:tcPr>
          <w:p w14:paraId="5A2C6A17" w14:textId="77777777" w:rsidR="00C009A9" w:rsidRPr="00B056E4" w:rsidRDefault="00C009A9" w:rsidP="00C0770E">
            <w:pPr>
              <w:jc w:val="left"/>
              <w:rPr>
                <w:sz w:val="20"/>
                <w:szCs w:val="20"/>
                <w:lang w:val="es-ES"/>
              </w:rPr>
            </w:pPr>
            <w:r w:rsidRPr="00B056E4">
              <w:rPr>
                <w:sz w:val="20"/>
                <w:szCs w:val="20"/>
                <w:lang w:val="es-ES"/>
              </w:rPr>
              <w:t>Etapa II del PGEH</w:t>
            </w:r>
          </w:p>
        </w:tc>
        <w:tc>
          <w:tcPr>
            <w:tcW w:w="1134" w:type="dxa"/>
            <w:shd w:val="clear" w:color="auto" w:fill="auto"/>
            <w:noWrap/>
            <w:hideMark/>
          </w:tcPr>
          <w:p w14:paraId="74EEE5A5" w14:textId="77777777" w:rsidR="00C009A9" w:rsidRPr="00B056E4" w:rsidRDefault="00C009A9" w:rsidP="00C0770E">
            <w:pPr>
              <w:jc w:val="right"/>
              <w:rPr>
                <w:sz w:val="20"/>
                <w:szCs w:val="20"/>
                <w:lang w:val="es-ES"/>
              </w:rPr>
            </w:pPr>
            <w:r w:rsidRPr="00B056E4">
              <w:rPr>
                <w:sz w:val="20"/>
                <w:szCs w:val="20"/>
                <w:lang w:val="es-ES"/>
              </w:rPr>
              <w:t>12 160</w:t>
            </w:r>
          </w:p>
        </w:tc>
        <w:tc>
          <w:tcPr>
            <w:tcW w:w="1276" w:type="dxa"/>
            <w:shd w:val="clear" w:color="auto" w:fill="auto"/>
            <w:noWrap/>
            <w:hideMark/>
          </w:tcPr>
          <w:p w14:paraId="0BECDD5C" w14:textId="77777777" w:rsidR="00C009A9" w:rsidRPr="00B056E4" w:rsidRDefault="00C009A9" w:rsidP="00C0770E">
            <w:pPr>
              <w:jc w:val="right"/>
              <w:rPr>
                <w:sz w:val="20"/>
                <w:szCs w:val="20"/>
                <w:lang w:val="es-ES"/>
              </w:rPr>
            </w:pPr>
            <w:r w:rsidRPr="00B056E4">
              <w:rPr>
                <w:sz w:val="20"/>
                <w:szCs w:val="20"/>
                <w:lang w:val="es-ES"/>
              </w:rPr>
              <w:t>10 976</w:t>
            </w:r>
          </w:p>
        </w:tc>
        <w:tc>
          <w:tcPr>
            <w:tcW w:w="1134" w:type="dxa"/>
            <w:shd w:val="clear" w:color="auto" w:fill="auto"/>
            <w:noWrap/>
            <w:hideMark/>
          </w:tcPr>
          <w:p w14:paraId="18F4D3FD" w14:textId="77777777" w:rsidR="00C009A9" w:rsidRPr="00B056E4" w:rsidRDefault="00C009A9" w:rsidP="00C0770E">
            <w:pPr>
              <w:jc w:val="right"/>
              <w:rPr>
                <w:sz w:val="20"/>
                <w:szCs w:val="20"/>
                <w:lang w:val="es-ES"/>
              </w:rPr>
            </w:pPr>
            <w:r w:rsidRPr="00B056E4">
              <w:rPr>
                <w:sz w:val="20"/>
                <w:szCs w:val="20"/>
                <w:lang w:val="es-ES"/>
              </w:rPr>
              <w:t>7 316</w:t>
            </w:r>
          </w:p>
        </w:tc>
        <w:tc>
          <w:tcPr>
            <w:tcW w:w="1417" w:type="dxa"/>
            <w:shd w:val="clear" w:color="auto" w:fill="auto"/>
            <w:noWrap/>
            <w:hideMark/>
          </w:tcPr>
          <w:p w14:paraId="037541EB" w14:textId="77777777" w:rsidR="00C009A9" w:rsidRPr="00B056E4" w:rsidRDefault="00C009A9" w:rsidP="00C0770E">
            <w:pPr>
              <w:jc w:val="right"/>
              <w:rPr>
                <w:sz w:val="20"/>
                <w:szCs w:val="20"/>
                <w:lang w:val="es-ES"/>
              </w:rPr>
            </w:pPr>
            <w:r w:rsidRPr="00B056E4">
              <w:rPr>
                <w:sz w:val="20"/>
                <w:szCs w:val="20"/>
                <w:lang w:val="es-ES"/>
              </w:rPr>
              <w:t>30 452</w:t>
            </w:r>
          </w:p>
        </w:tc>
        <w:tc>
          <w:tcPr>
            <w:tcW w:w="1276" w:type="dxa"/>
            <w:shd w:val="clear" w:color="auto" w:fill="auto"/>
            <w:noWrap/>
            <w:hideMark/>
          </w:tcPr>
          <w:p w14:paraId="446E7FE8" w14:textId="77777777" w:rsidR="00C009A9" w:rsidRPr="00B056E4" w:rsidRDefault="00C009A9" w:rsidP="00C0770E">
            <w:pPr>
              <w:jc w:val="right"/>
              <w:rPr>
                <w:sz w:val="20"/>
                <w:szCs w:val="20"/>
                <w:lang w:val="es-ES"/>
              </w:rPr>
            </w:pPr>
            <w:r w:rsidRPr="00B056E4">
              <w:rPr>
                <w:sz w:val="20"/>
                <w:szCs w:val="20"/>
                <w:lang w:val="es-ES"/>
              </w:rPr>
              <w:t>65 836</w:t>
            </w:r>
          </w:p>
        </w:tc>
      </w:tr>
      <w:tr w:rsidR="00C009A9" w:rsidRPr="00B056E4" w14:paraId="25272554" w14:textId="77777777" w:rsidTr="00C0770E">
        <w:trPr>
          <w:trHeight w:val="276"/>
        </w:trPr>
        <w:tc>
          <w:tcPr>
            <w:tcW w:w="3109" w:type="dxa"/>
            <w:shd w:val="clear" w:color="auto" w:fill="auto"/>
            <w:noWrap/>
            <w:hideMark/>
          </w:tcPr>
          <w:p w14:paraId="19A792D8" w14:textId="77777777" w:rsidR="00C009A9" w:rsidRPr="00B056E4" w:rsidRDefault="00C009A9" w:rsidP="00C0770E">
            <w:pPr>
              <w:jc w:val="left"/>
              <w:rPr>
                <w:sz w:val="20"/>
                <w:szCs w:val="20"/>
                <w:lang w:val="es-ES"/>
              </w:rPr>
            </w:pPr>
            <w:r w:rsidRPr="00B056E4">
              <w:rPr>
                <w:sz w:val="20"/>
                <w:szCs w:val="20"/>
                <w:lang w:val="es-ES"/>
              </w:rPr>
              <w:t>Preparación de proyectos para los PGEH: etapa III</w:t>
            </w:r>
          </w:p>
        </w:tc>
        <w:tc>
          <w:tcPr>
            <w:tcW w:w="1134" w:type="dxa"/>
            <w:shd w:val="clear" w:color="auto" w:fill="auto"/>
            <w:noWrap/>
            <w:hideMark/>
          </w:tcPr>
          <w:p w14:paraId="4CB93558" w14:textId="77777777" w:rsidR="00C009A9" w:rsidRPr="00B056E4" w:rsidRDefault="00C009A9" w:rsidP="00C0770E">
            <w:pPr>
              <w:jc w:val="right"/>
              <w:rPr>
                <w:sz w:val="20"/>
                <w:szCs w:val="20"/>
                <w:lang w:val="es-ES"/>
              </w:rPr>
            </w:pPr>
            <w:r w:rsidRPr="00B056E4">
              <w:rPr>
                <w:sz w:val="20"/>
                <w:szCs w:val="20"/>
                <w:lang w:val="es-ES"/>
              </w:rPr>
              <w:t>1 304</w:t>
            </w:r>
          </w:p>
        </w:tc>
        <w:tc>
          <w:tcPr>
            <w:tcW w:w="1276" w:type="dxa"/>
            <w:shd w:val="clear" w:color="auto" w:fill="auto"/>
            <w:noWrap/>
            <w:hideMark/>
          </w:tcPr>
          <w:p w14:paraId="784058BE" w14:textId="77777777" w:rsidR="00C009A9" w:rsidRPr="00B056E4" w:rsidRDefault="00C009A9" w:rsidP="00C0770E">
            <w:pPr>
              <w:jc w:val="right"/>
              <w:rPr>
                <w:sz w:val="20"/>
                <w:szCs w:val="20"/>
                <w:lang w:val="es-ES"/>
              </w:rPr>
            </w:pPr>
            <w:r w:rsidRPr="00B056E4">
              <w:rPr>
                <w:sz w:val="20"/>
                <w:szCs w:val="20"/>
                <w:lang w:val="es-ES"/>
              </w:rPr>
              <w:t>1 153</w:t>
            </w:r>
          </w:p>
        </w:tc>
        <w:tc>
          <w:tcPr>
            <w:tcW w:w="1134" w:type="dxa"/>
            <w:shd w:val="clear" w:color="auto" w:fill="auto"/>
            <w:noWrap/>
            <w:hideMark/>
          </w:tcPr>
          <w:p w14:paraId="579960D1" w14:textId="77777777" w:rsidR="00C009A9" w:rsidRPr="00B056E4" w:rsidRDefault="00C009A9" w:rsidP="00C0770E">
            <w:pPr>
              <w:jc w:val="right"/>
              <w:rPr>
                <w:sz w:val="20"/>
                <w:szCs w:val="20"/>
                <w:lang w:val="es-ES"/>
              </w:rPr>
            </w:pPr>
            <w:r w:rsidRPr="00B056E4">
              <w:rPr>
                <w:sz w:val="20"/>
                <w:szCs w:val="20"/>
                <w:lang w:val="es-ES"/>
              </w:rPr>
              <w:t>182</w:t>
            </w:r>
          </w:p>
        </w:tc>
        <w:tc>
          <w:tcPr>
            <w:tcW w:w="1417" w:type="dxa"/>
            <w:shd w:val="clear" w:color="auto" w:fill="auto"/>
            <w:noWrap/>
            <w:hideMark/>
          </w:tcPr>
          <w:p w14:paraId="32240C11" w14:textId="77777777" w:rsidR="00C009A9" w:rsidRPr="00B056E4" w:rsidRDefault="00C009A9" w:rsidP="00C0770E">
            <w:pPr>
              <w:jc w:val="right"/>
              <w:rPr>
                <w:sz w:val="20"/>
                <w:szCs w:val="20"/>
                <w:lang w:val="es-ES"/>
              </w:rPr>
            </w:pPr>
            <w:r w:rsidRPr="00B056E4">
              <w:rPr>
                <w:sz w:val="20"/>
                <w:szCs w:val="20"/>
                <w:lang w:val="es-ES"/>
              </w:rPr>
              <w:t>2 639</w:t>
            </w:r>
          </w:p>
        </w:tc>
        <w:tc>
          <w:tcPr>
            <w:tcW w:w="1276" w:type="dxa"/>
            <w:shd w:val="clear" w:color="auto" w:fill="auto"/>
            <w:noWrap/>
            <w:hideMark/>
          </w:tcPr>
          <w:p w14:paraId="2BEFAF5C" w14:textId="77777777" w:rsidR="00C009A9" w:rsidRPr="00B056E4" w:rsidRDefault="00C009A9" w:rsidP="00C0770E">
            <w:pPr>
              <w:jc w:val="right"/>
              <w:rPr>
                <w:sz w:val="20"/>
                <w:szCs w:val="20"/>
                <w:lang w:val="es-ES"/>
              </w:rPr>
            </w:pPr>
            <w:r w:rsidRPr="00B056E4">
              <w:rPr>
                <w:sz w:val="20"/>
                <w:szCs w:val="20"/>
                <w:lang w:val="es-ES"/>
              </w:rPr>
              <w:t>0</w:t>
            </w:r>
          </w:p>
        </w:tc>
      </w:tr>
      <w:tr w:rsidR="00C009A9" w:rsidRPr="00B056E4" w14:paraId="188FA549" w14:textId="77777777" w:rsidTr="00C0770E">
        <w:trPr>
          <w:trHeight w:val="276"/>
        </w:trPr>
        <w:tc>
          <w:tcPr>
            <w:tcW w:w="3109" w:type="dxa"/>
            <w:shd w:val="clear" w:color="auto" w:fill="auto"/>
            <w:noWrap/>
            <w:hideMark/>
          </w:tcPr>
          <w:p w14:paraId="69CFD73D" w14:textId="77777777" w:rsidR="00C009A9" w:rsidRPr="00B056E4" w:rsidRDefault="00C009A9" w:rsidP="00C0770E">
            <w:pPr>
              <w:jc w:val="left"/>
              <w:rPr>
                <w:sz w:val="20"/>
                <w:szCs w:val="20"/>
                <w:lang w:val="es-ES"/>
              </w:rPr>
            </w:pPr>
            <w:r w:rsidRPr="00B056E4">
              <w:rPr>
                <w:sz w:val="20"/>
                <w:szCs w:val="20"/>
                <w:lang w:val="es-ES"/>
              </w:rPr>
              <w:t>Etapa III del PGEH</w:t>
            </w:r>
          </w:p>
        </w:tc>
        <w:tc>
          <w:tcPr>
            <w:tcW w:w="1134" w:type="dxa"/>
            <w:shd w:val="clear" w:color="auto" w:fill="auto"/>
            <w:noWrap/>
            <w:hideMark/>
          </w:tcPr>
          <w:p w14:paraId="65812330" w14:textId="77777777" w:rsidR="00C009A9" w:rsidRPr="00B056E4" w:rsidRDefault="00C009A9" w:rsidP="00C0770E">
            <w:pPr>
              <w:jc w:val="right"/>
              <w:rPr>
                <w:sz w:val="20"/>
                <w:szCs w:val="20"/>
                <w:lang w:val="es-ES"/>
              </w:rPr>
            </w:pPr>
            <w:r w:rsidRPr="00B056E4">
              <w:rPr>
                <w:sz w:val="20"/>
                <w:szCs w:val="20"/>
                <w:lang w:val="es-ES"/>
              </w:rPr>
              <w:t>1 178</w:t>
            </w:r>
          </w:p>
        </w:tc>
        <w:tc>
          <w:tcPr>
            <w:tcW w:w="1276" w:type="dxa"/>
            <w:shd w:val="clear" w:color="auto" w:fill="auto"/>
            <w:noWrap/>
            <w:hideMark/>
          </w:tcPr>
          <w:p w14:paraId="262FD516" w14:textId="77777777" w:rsidR="00C009A9" w:rsidRPr="00B056E4" w:rsidRDefault="00C009A9" w:rsidP="00C0770E">
            <w:pPr>
              <w:jc w:val="right"/>
              <w:rPr>
                <w:sz w:val="20"/>
                <w:szCs w:val="20"/>
                <w:lang w:val="es-ES"/>
              </w:rPr>
            </w:pPr>
            <w:r w:rsidRPr="00B056E4">
              <w:rPr>
                <w:sz w:val="20"/>
                <w:szCs w:val="20"/>
                <w:lang w:val="es-ES"/>
              </w:rPr>
              <w:t>6 102</w:t>
            </w:r>
          </w:p>
        </w:tc>
        <w:tc>
          <w:tcPr>
            <w:tcW w:w="1134" w:type="dxa"/>
            <w:shd w:val="clear" w:color="auto" w:fill="auto"/>
            <w:noWrap/>
            <w:hideMark/>
          </w:tcPr>
          <w:p w14:paraId="140E6F02" w14:textId="77777777" w:rsidR="00C009A9" w:rsidRPr="00B056E4" w:rsidRDefault="00C009A9" w:rsidP="00C0770E">
            <w:pPr>
              <w:jc w:val="right"/>
              <w:rPr>
                <w:sz w:val="20"/>
                <w:szCs w:val="20"/>
                <w:lang w:val="es-ES"/>
              </w:rPr>
            </w:pPr>
            <w:r w:rsidRPr="00B056E4">
              <w:rPr>
                <w:sz w:val="20"/>
                <w:szCs w:val="20"/>
                <w:lang w:val="es-ES"/>
              </w:rPr>
              <w:t>4 407</w:t>
            </w:r>
          </w:p>
        </w:tc>
        <w:tc>
          <w:tcPr>
            <w:tcW w:w="1417" w:type="dxa"/>
            <w:shd w:val="clear" w:color="auto" w:fill="auto"/>
            <w:noWrap/>
            <w:hideMark/>
          </w:tcPr>
          <w:p w14:paraId="08C5542E" w14:textId="77777777" w:rsidR="00C009A9" w:rsidRPr="00B056E4" w:rsidRDefault="00C009A9" w:rsidP="00C0770E">
            <w:pPr>
              <w:jc w:val="right"/>
              <w:rPr>
                <w:sz w:val="20"/>
                <w:szCs w:val="20"/>
                <w:lang w:val="es-ES"/>
              </w:rPr>
            </w:pPr>
            <w:r w:rsidRPr="00B056E4">
              <w:rPr>
                <w:sz w:val="20"/>
                <w:szCs w:val="20"/>
                <w:lang w:val="es-ES"/>
              </w:rPr>
              <w:t>11 687</w:t>
            </w:r>
          </w:p>
        </w:tc>
        <w:tc>
          <w:tcPr>
            <w:tcW w:w="1276" w:type="dxa"/>
            <w:shd w:val="clear" w:color="auto" w:fill="auto"/>
            <w:noWrap/>
            <w:hideMark/>
          </w:tcPr>
          <w:p w14:paraId="153B21E2" w14:textId="77777777" w:rsidR="00C009A9" w:rsidRPr="00B056E4" w:rsidRDefault="00C009A9" w:rsidP="00C0770E">
            <w:pPr>
              <w:jc w:val="right"/>
              <w:rPr>
                <w:sz w:val="20"/>
                <w:szCs w:val="20"/>
                <w:lang w:val="es-ES"/>
              </w:rPr>
            </w:pPr>
            <w:r w:rsidRPr="00B056E4">
              <w:rPr>
                <w:sz w:val="20"/>
                <w:szCs w:val="20"/>
                <w:lang w:val="es-ES"/>
              </w:rPr>
              <w:t>38 534</w:t>
            </w:r>
          </w:p>
        </w:tc>
      </w:tr>
      <w:tr w:rsidR="00C009A9" w:rsidRPr="00B056E4" w14:paraId="00443740" w14:textId="77777777" w:rsidTr="00C0770E">
        <w:trPr>
          <w:trHeight w:val="276"/>
        </w:trPr>
        <w:tc>
          <w:tcPr>
            <w:tcW w:w="3109" w:type="dxa"/>
            <w:shd w:val="clear" w:color="auto" w:fill="auto"/>
            <w:noWrap/>
            <w:hideMark/>
          </w:tcPr>
          <w:p w14:paraId="59C48E40" w14:textId="77777777" w:rsidR="00C009A9" w:rsidRPr="00B056E4" w:rsidRDefault="00C009A9" w:rsidP="00C0770E">
            <w:pPr>
              <w:jc w:val="left"/>
              <w:rPr>
                <w:sz w:val="20"/>
                <w:szCs w:val="20"/>
                <w:lang w:val="es-ES"/>
              </w:rPr>
            </w:pPr>
            <w:r w:rsidRPr="00B056E4">
              <w:rPr>
                <w:sz w:val="20"/>
                <w:szCs w:val="20"/>
                <w:lang w:val="es-ES"/>
              </w:rPr>
              <w:t>Verificación de los PGEH</w:t>
            </w:r>
          </w:p>
        </w:tc>
        <w:tc>
          <w:tcPr>
            <w:tcW w:w="1134" w:type="dxa"/>
            <w:shd w:val="clear" w:color="auto" w:fill="auto"/>
            <w:noWrap/>
            <w:hideMark/>
          </w:tcPr>
          <w:p w14:paraId="649217F2" w14:textId="77777777" w:rsidR="00C009A9" w:rsidRPr="00B056E4" w:rsidRDefault="00C009A9" w:rsidP="00C0770E">
            <w:pPr>
              <w:jc w:val="right"/>
              <w:rPr>
                <w:sz w:val="20"/>
                <w:szCs w:val="20"/>
                <w:lang w:val="es-ES"/>
              </w:rPr>
            </w:pPr>
            <w:r w:rsidRPr="00B056E4">
              <w:rPr>
                <w:sz w:val="20"/>
                <w:szCs w:val="20"/>
                <w:lang w:val="es-ES"/>
              </w:rPr>
              <w:t>589</w:t>
            </w:r>
          </w:p>
        </w:tc>
        <w:tc>
          <w:tcPr>
            <w:tcW w:w="1276" w:type="dxa"/>
            <w:shd w:val="clear" w:color="auto" w:fill="auto"/>
            <w:noWrap/>
            <w:hideMark/>
          </w:tcPr>
          <w:p w14:paraId="53AD91EE" w14:textId="77777777" w:rsidR="00C009A9" w:rsidRPr="00B056E4" w:rsidRDefault="00C009A9" w:rsidP="00C0770E">
            <w:pPr>
              <w:jc w:val="right"/>
              <w:rPr>
                <w:sz w:val="20"/>
                <w:szCs w:val="20"/>
                <w:lang w:val="es-ES"/>
              </w:rPr>
            </w:pPr>
            <w:r w:rsidRPr="00B056E4">
              <w:rPr>
                <w:sz w:val="20"/>
                <w:szCs w:val="20"/>
                <w:lang w:val="es-ES"/>
              </w:rPr>
              <w:t>589</w:t>
            </w:r>
          </w:p>
        </w:tc>
        <w:tc>
          <w:tcPr>
            <w:tcW w:w="1134" w:type="dxa"/>
            <w:shd w:val="clear" w:color="auto" w:fill="auto"/>
            <w:noWrap/>
            <w:hideMark/>
          </w:tcPr>
          <w:p w14:paraId="44C42A55" w14:textId="77777777" w:rsidR="00C009A9" w:rsidRPr="00B056E4" w:rsidRDefault="00C009A9" w:rsidP="00C0770E">
            <w:pPr>
              <w:jc w:val="right"/>
              <w:rPr>
                <w:sz w:val="20"/>
                <w:szCs w:val="20"/>
                <w:lang w:val="es-ES"/>
              </w:rPr>
            </w:pPr>
            <w:r w:rsidRPr="00B056E4">
              <w:rPr>
                <w:sz w:val="20"/>
                <w:szCs w:val="20"/>
                <w:lang w:val="es-ES"/>
              </w:rPr>
              <w:t>589</w:t>
            </w:r>
          </w:p>
        </w:tc>
        <w:tc>
          <w:tcPr>
            <w:tcW w:w="1417" w:type="dxa"/>
            <w:shd w:val="clear" w:color="auto" w:fill="auto"/>
            <w:noWrap/>
            <w:hideMark/>
          </w:tcPr>
          <w:p w14:paraId="3498D4AC" w14:textId="77777777" w:rsidR="00C009A9" w:rsidRPr="00B056E4" w:rsidRDefault="00C009A9" w:rsidP="00C0770E">
            <w:pPr>
              <w:jc w:val="right"/>
              <w:rPr>
                <w:sz w:val="20"/>
                <w:szCs w:val="20"/>
                <w:lang w:val="es-ES"/>
              </w:rPr>
            </w:pPr>
            <w:r w:rsidRPr="00B056E4">
              <w:rPr>
                <w:sz w:val="20"/>
                <w:szCs w:val="20"/>
                <w:lang w:val="es-ES"/>
              </w:rPr>
              <w:t>1 766</w:t>
            </w:r>
          </w:p>
        </w:tc>
        <w:tc>
          <w:tcPr>
            <w:tcW w:w="1276" w:type="dxa"/>
            <w:shd w:val="clear" w:color="auto" w:fill="auto"/>
            <w:noWrap/>
            <w:hideMark/>
          </w:tcPr>
          <w:p w14:paraId="6623A37F" w14:textId="77777777" w:rsidR="00C009A9" w:rsidRPr="00B056E4" w:rsidRDefault="00C009A9" w:rsidP="00C0770E">
            <w:pPr>
              <w:jc w:val="right"/>
              <w:rPr>
                <w:sz w:val="20"/>
                <w:szCs w:val="20"/>
                <w:lang w:val="es-ES"/>
              </w:rPr>
            </w:pPr>
            <w:r w:rsidRPr="00B056E4">
              <w:rPr>
                <w:sz w:val="20"/>
                <w:szCs w:val="20"/>
                <w:lang w:val="es-ES"/>
              </w:rPr>
              <w:t>0</w:t>
            </w:r>
          </w:p>
        </w:tc>
      </w:tr>
      <w:tr w:rsidR="00C009A9" w:rsidRPr="00B056E4" w14:paraId="5799CBB2" w14:textId="77777777" w:rsidTr="00C0770E">
        <w:trPr>
          <w:trHeight w:val="276"/>
        </w:trPr>
        <w:tc>
          <w:tcPr>
            <w:tcW w:w="3109" w:type="dxa"/>
            <w:shd w:val="clear" w:color="auto" w:fill="auto"/>
            <w:noWrap/>
            <w:hideMark/>
          </w:tcPr>
          <w:p w14:paraId="54084C3E" w14:textId="77777777" w:rsidR="00C009A9" w:rsidRPr="00B056E4" w:rsidRDefault="00C009A9" w:rsidP="00C0770E">
            <w:pPr>
              <w:jc w:val="left"/>
              <w:rPr>
                <w:sz w:val="20"/>
                <w:szCs w:val="20"/>
                <w:lang w:val="es-ES"/>
              </w:rPr>
            </w:pPr>
            <w:r w:rsidRPr="00B056E4">
              <w:rPr>
                <w:sz w:val="20"/>
                <w:szCs w:val="20"/>
                <w:lang w:val="es-ES"/>
              </w:rPr>
              <w:t>Asistencia técnica sobre HCFC</w:t>
            </w:r>
          </w:p>
        </w:tc>
        <w:tc>
          <w:tcPr>
            <w:tcW w:w="1134" w:type="dxa"/>
            <w:shd w:val="clear" w:color="auto" w:fill="auto"/>
            <w:noWrap/>
            <w:hideMark/>
          </w:tcPr>
          <w:p w14:paraId="5D61D6FE" w14:textId="77777777" w:rsidR="00C009A9" w:rsidRPr="00B056E4" w:rsidRDefault="00C009A9" w:rsidP="00C0770E">
            <w:pPr>
              <w:jc w:val="right"/>
              <w:rPr>
                <w:sz w:val="20"/>
                <w:szCs w:val="20"/>
                <w:lang w:val="es-ES"/>
              </w:rPr>
            </w:pPr>
            <w:r w:rsidRPr="00B056E4">
              <w:rPr>
                <w:sz w:val="20"/>
                <w:szCs w:val="20"/>
                <w:lang w:val="es-ES"/>
              </w:rPr>
              <w:t>990</w:t>
            </w:r>
          </w:p>
        </w:tc>
        <w:tc>
          <w:tcPr>
            <w:tcW w:w="1276" w:type="dxa"/>
            <w:shd w:val="clear" w:color="auto" w:fill="auto"/>
            <w:noWrap/>
            <w:hideMark/>
          </w:tcPr>
          <w:p w14:paraId="0D81A8CA" w14:textId="77777777" w:rsidR="00C009A9" w:rsidRPr="00B056E4" w:rsidRDefault="00C009A9" w:rsidP="00C0770E">
            <w:pPr>
              <w:jc w:val="right"/>
              <w:rPr>
                <w:sz w:val="20"/>
                <w:szCs w:val="20"/>
                <w:lang w:val="es-ES"/>
              </w:rPr>
            </w:pPr>
            <w:r w:rsidRPr="00B056E4">
              <w:rPr>
                <w:sz w:val="20"/>
                <w:szCs w:val="20"/>
                <w:lang w:val="es-ES"/>
              </w:rPr>
              <w:t>0</w:t>
            </w:r>
          </w:p>
        </w:tc>
        <w:tc>
          <w:tcPr>
            <w:tcW w:w="1134" w:type="dxa"/>
            <w:shd w:val="clear" w:color="auto" w:fill="auto"/>
            <w:noWrap/>
            <w:hideMark/>
          </w:tcPr>
          <w:p w14:paraId="4235110B" w14:textId="77777777" w:rsidR="00C009A9" w:rsidRPr="00B056E4" w:rsidRDefault="00C009A9" w:rsidP="00C0770E">
            <w:pPr>
              <w:jc w:val="right"/>
              <w:rPr>
                <w:sz w:val="20"/>
                <w:szCs w:val="20"/>
                <w:lang w:val="es-ES"/>
              </w:rPr>
            </w:pPr>
            <w:r w:rsidRPr="00B056E4">
              <w:rPr>
                <w:sz w:val="20"/>
                <w:szCs w:val="20"/>
                <w:lang w:val="es-ES"/>
              </w:rPr>
              <w:t>0</w:t>
            </w:r>
          </w:p>
        </w:tc>
        <w:tc>
          <w:tcPr>
            <w:tcW w:w="1417" w:type="dxa"/>
            <w:shd w:val="clear" w:color="auto" w:fill="auto"/>
            <w:noWrap/>
            <w:hideMark/>
          </w:tcPr>
          <w:p w14:paraId="08DBADAA" w14:textId="77777777" w:rsidR="00C009A9" w:rsidRPr="00B056E4" w:rsidRDefault="00C009A9" w:rsidP="00C0770E">
            <w:pPr>
              <w:jc w:val="right"/>
              <w:rPr>
                <w:sz w:val="20"/>
                <w:szCs w:val="20"/>
                <w:lang w:val="es-ES"/>
              </w:rPr>
            </w:pPr>
            <w:r w:rsidRPr="00B056E4">
              <w:rPr>
                <w:sz w:val="20"/>
                <w:szCs w:val="20"/>
                <w:lang w:val="es-ES"/>
              </w:rPr>
              <w:t>990</w:t>
            </w:r>
          </w:p>
        </w:tc>
        <w:tc>
          <w:tcPr>
            <w:tcW w:w="1276" w:type="dxa"/>
            <w:shd w:val="clear" w:color="auto" w:fill="auto"/>
            <w:noWrap/>
            <w:hideMark/>
          </w:tcPr>
          <w:p w14:paraId="6EA1FDFD" w14:textId="77777777" w:rsidR="00C009A9" w:rsidRPr="00B056E4" w:rsidRDefault="00C009A9" w:rsidP="00C0770E">
            <w:pPr>
              <w:jc w:val="right"/>
              <w:rPr>
                <w:sz w:val="20"/>
                <w:szCs w:val="20"/>
                <w:lang w:val="es-ES"/>
              </w:rPr>
            </w:pPr>
            <w:r w:rsidRPr="00B056E4">
              <w:rPr>
                <w:sz w:val="20"/>
                <w:szCs w:val="20"/>
                <w:lang w:val="es-ES"/>
              </w:rPr>
              <w:t>0</w:t>
            </w:r>
          </w:p>
        </w:tc>
      </w:tr>
      <w:tr w:rsidR="00C009A9" w:rsidRPr="00B056E4" w14:paraId="2E249266" w14:textId="77777777" w:rsidTr="00C0770E">
        <w:trPr>
          <w:trHeight w:val="276"/>
        </w:trPr>
        <w:tc>
          <w:tcPr>
            <w:tcW w:w="3109" w:type="dxa"/>
            <w:shd w:val="clear" w:color="auto" w:fill="auto"/>
            <w:noWrap/>
            <w:hideMark/>
          </w:tcPr>
          <w:p w14:paraId="42283E03" w14:textId="77777777" w:rsidR="00C009A9" w:rsidRPr="00B056E4" w:rsidRDefault="00C009A9" w:rsidP="00C0770E">
            <w:pPr>
              <w:jc w:val="left"/>
              <w:rPr>
                <w:b/>
                <w:bCs/>
                <w:sz w:val="20"/>
                <w:szCs w:val="20"/>
                <w:lang w:val="es-ES"/>
              </w:rPr>
            </w:pPr>
            <w:r w:rsidRPr="00B056E4">
              <w:rPr>
                <w:b/>
                <w:bCs/>
                <w:sz w:val="20"/>
                <w:szCs w:val="20"/>
                <w:lang w:val="es-ES"/>
              </w:rPr>
              <w:t>Total parcial para actividades relacionadas con los HCFC</w:t>
            </w:r>
          </w:p>
        </w:tc>
        <w:tc>
          <w:tcPr>
            <w:tcW w:w="1134" w:type="dxa"/>
            <w:shd w:val="clear" w:color="auto" w:fill="auto"/>
            <w:noWrap/>
            <w:hideMark/>
          </w:tcPr>
          <w:p w14:paraId="1CDFC478" w14:textId="77777777" w:rsidR="00C009A9" w:rsidRPr="00B056E4" w:rsidRDefault="00C009A9" w:rsidP="00C0770E">
            <w:pPr>
              <w:jc w:val="right"/>
              <w:rPr>
                <w:b/>
                <w:bCs/>
                <w:sz w:val="20"/>
                <w:szCs w:val="20"/>
                <w:lang w:val="es-ES"/>
              </w:rPr>
            </w:pPr>
            <w:r w:rsidRPr="00B056E4">
              <w:rPr>
                <w:b/>
                <w:bCs/>
                <w:sz w:val="20"/>
                <w:szCs w:val="20"/>
                <w:lang w:val="es-ES"/>
              </w:rPr>
              <w:t>170 679</w:t>
            </w:r>
          </w:p>
        </w:tc>
        <w:tc>
          <w:tcPr>
            <w:tcW w:w="1276" w:type="dxa"/>
            <w:shd w:val="clear" w:color="auto" w:fill="auto"/>
            <w:noWrap/>
            <w:hideMark/>
          </w:tcPr>
          <w:p w14:paraId="4F80FF18" w14:textId="77777777" w:rsidR="00C009A9" w:rsidRPr="00B056E4" w:rsidRDefault="00C009A9" w:rsidP="00C0770E">
            <w:pPr>
              <w:jc w:val="right"/>
              <w:rPr>
                <w:b/>
                <w:bCs/>
                <w:sz w:val="20"/>
                <w:szCs w:val="20"/>
                <w:lang w:val="es-ES"/>
              </w:rPr>
            </w:pPr>
            <w:r w:rsidRPr="00B056E4">
              <w:rPr>
                <w:b/>
                <w:bCs/>
                <w:sz w:val="20"/>
                <w:szCs w:val="20"/>
                <w:lang w:val="es-ES"/>
              </w:rPr>
              <w:t>140 811</w:t>
            </w:r>
          </w:p>
        </w:tc>
        <w:tc>
          <w:tcPr>
            <w:tcW w:w="1134" w:type="dxa"/>
            <w:shd w:val="clear" w:color="auto" w:fill="auto"/>
            <w:noWrap/>
            <w:hideMark/>
          </w:tcPr>
          <w:p w14:paraId="22C70AD8" w14:textId="77777777" w:rsidR="00C009A9" w:rsidRPr="00B056E4" w:rsidRDefault="00C009A9" w:rsidP="00C0770E">
            <w:pPr>
              <w:jc w:val="right"/>
              <w:rPr>
                <w:b/>
                <w:bCs/>
                <w:sz w:val="20"/>
                <w:szCs w:val="20"/>
                <w:lang w:val="es-ES"/>
              </w:rPr>
            </w:pPr>
            <w:r w:rsidRPr="00B056E4">
              <w:rPr>
                <w:b/>
                <w:bCs/>
                <w:sz w:val="20"/>
                <w:szCs w:val="20"/>
                <w:lang w:val="es-ES"/>
              </w:rPr>
              <w:t>136 354</w:t>
            </w:r>
          </w:p>
        </w:tc>
        <w:tc>
          <w:tcPr>
            <w:tcW w:w="1417" w:type="dxa"/>
            <w:shd w:val="clear" w:color="auto" w:fill="auto"/>
            <w:noWrap/>
            <w:hideMark/>
          </w:tcPr>
          <w:p w14:paraId="48F7D31D" w14:textId="77777777" w:rsidR="00C009A9" w:rsidRPr="00B056E4" w:rsidRDefault="00C009A9" w:rsidP="00C0770E">
            <w:pPr>
              <w:jc w:val="right"/>
              <w:rPr>
                <w:b/>
                <w:bCs/>
                <w:sz w:val="20"/>
                <w:szCs w:val="20"/>
                <w:lang w:val="es-ES"/>
              </w:rPr>
            </w:pPr>
            <w:r w:rsidRPr="00B056E4">
              <w:rPr>
                <w:b/>
                <w:bCs/>
                <w:sz w:val="20"/>
                <w:szCs w:val="20"/>
                <w:lang w:val="es-ES"/>
              </w:rPr>
              <w:t>447 845</w:t>
            </w:r>
          </w:p>
        </w:tc>
        <w:tc>
          <w:tcPr>
            <w:tcW w:w="1276" w:type="dxa"/>
            <w:shd w:val="clear" w:color="auto" w:fill="auto"/>
            <w:noWrap/>
            <w:hideMark/>
          </w:tcPr>
          <w:p w14:paraId="666AE6C9" w14:textId="77777777" w:rsidR="00C009A9" w:rsidRPr="00B056E4" w:rsidRDefault="00C009A9" w:rsidP="00C0770E">
            <w:pPr>
              <w:jc w:val="right"/>
              <w:rPr>
                <w:b/>
                <w:bCs/>
                <w:sz w:val="20"/>
                <w:szCs w:val="20"/>
                <w:lang w:val="es-ES"/>
              </w:rPr>
            </w:pPr>
            <w:r w:rsidRPr="00B056E4">
              <w:rPr>
                <w:b/>
                <w:bCs/>
                <w:sz w:val="20"/>
                <w:szCs w:val="20"/>
                <w:lang w:val="es-ES"/>
              </w:rPr>
              <w:t>435 819</w:t>
            </w:r>
          </w:p>
        </w:tc>
      </w:tr>
      <w:tr w:rsidR="00C009A9" w:rsidRPr="008B1E4C" w14:paraId="48928EC5" w14:textId="77777777" w:rsidTr="00C0770E">
        <w:trPr>
          <w:trHeight w:val="276"/>
        </w:trPr>
        <w:tc>
          <w:tcPr>
            <w:tcW w:w="9346" w:type="dxa"/>
            <w:gridSpan w:val="6"/>
            <w:shd w:val="clear" w:color="auto" w:fill="auto"/>
            <w:noWrap/>
            <w:hideMark/>
          </w:tcPr>
          <w:p w14:paraId="4C1123AD" w14:textId="77777777" w:rsidR="00C009A9" w:rsidRPr="00B056E4" w:rsidRDefault="00C009A9" w:rsidP="00C0770E">
            <w:pPr>
              <w:jc w:val="left"/>
              <w:rPr>
                <w:b/>
                <w:bCs/>
                <w:sz w:val="20"/>
                <w:szCs w:val="20"/>
                <w:lang w:val="es-ES"/>
              </w:rPr>
            </w:pPr>
            <w:r w:rsidRPr="00B056E4">
              <w:rPr>
                <w:b/>
                <w:bCs/>
                <w:sz w:val="20"/>
                <w:szCs w:val="20"/>
                <w:lang w:val="es-ES"/>
              </w:rPr>
              <w:t>Actividades relacionadas con los HFC</w:t>
            </w:r>
          </w:p>
        </w:tc>
      </w:tr>
      <w:tr w:rsidR="00C009A9" w:rsidRPr="00B056E4" w14:paraId="52FA3933" w14:textId="77777777" w:rsidTr="00C0770E">
        <w:trPr>
          <w:trHeight w:val="276"/>
        </w:trPr>
        <w:tc>
          <w:tcPr>
            <w:tcW w:w="3109" w:type="dxa"/>
            <w:shd w:val="clear" w:color="auto" w:fill="auto"/>
            <w:noWrap/>
            <w:hideMark/>
          </w:tcPr>
          <w:p w14:paraId="397BFD20" w14:textId="77777777" w:rsidR="00C009A9" w:rsidRPr="00B056E4" w:rsidRDefault="00C009A9" w:rsidP="00C0770E">
            <w:pPr>
              <w:jc w:val="left"/>
              <w:rPr>
                <w:sz w:val="20"/>
                <w:szCs w:val="20"/>
                <w:lang w:val="es-ES"/>
              </w:rPr>
            </w:pPr>
            <w:r w:rsidRPr="00B056E4">
              <w:rPr>
                <w:sz w:val="20"/>
                <w:szCs w:val="20"/>
                <w:lang w:val="es-ES"/>
              </w:rPr>
              <w:t>HFC: actividades de apoyo</w:t>
            </w:r>
          </w:p>
        </w:tc>
        <w:tc>
          <w:tcPr>
            <w:tcW w:w="1134" w:type="dxa"/>
            <w:shd w:val="clear" w:color="auto" w:fill="auto"/>
            <w:noWrap/>
            <w:hideMark/>
          </w:tcPr>
          <w:p w14:paraId="64AA7B21" w14:textId="77777777" w:rsidR="00C009A9" w:rsidRPr="00B056E4" w:rsidRDefault="00C009A9" w:rsidP="00C0770E">
            <w:pPr>
              <w:jc w:val="right"/>
              <w:rPr>
                <w:sz w:val="20"/>
                <w:szCs w:val="20"/>
                <w:lang w:val="es-ES"/>
              </w:rPr>
            </w:pPr>
            <w:r w:rsidRPr="00B056E4">
              <w:rPr>
                <w:sz w:val="20"/>
                <w:szCs w:val="20"/>
                <w:lang w:val="es-ES"/>
              </w:rPr>
              <w:t>316</w:t>
            </w:r>
          </w:p>
        </w:tc>
        <w:tc>
          <w:tcPr>
            <w:tcW w:w="1276" w:type="dxa"/>
            <w:shd w:val="clear" w:color="auto" w:fill="auto"/>
            <w:noWrap/>
            <w:hideMark/>
          </w:tcPr>
          <w:p w14:paraId="7B429E44" w14:textId="77777777" w:rsidR="00C009A9" w:rsidRPr="00B056E4" w:rsidRDefault="00C009A9" w:rsidP="00C0770E">
            <w:pPr>
              <w:jc w:val="right"/>
              <w:rPr>
                <w:sz w:val="20"/>
                <w:szCs w:val="20"/>
                <w:lang w:val="es-ES"/>
              </w:rPr>
            </w:pPr>
            <w:r w:rsidRPr="00B056E4">
              <w:rPr>
                <w:sz w:val="20"/>
                <w:szCs w:val="20"/>
                <w:lang w:val="es-ES"/>
              </w:rPr>
              <w:t>262</w:t>
            </w:r>
          </w:p>
        </w:tc>
        <w:tc>
          <w:tcPr>
            <w:tcW w:w="1134" w:type="dxa"/>
            <w:shd w:val="clear" w:color="auto" w:fill="auto"/>
            <w:noWrap/>
            <w:hideMark/>
          </w:tcPr>
          <w:p w14:paraId="45BE8B84" w14:textId="77777777" w:rsidR="00C009A9" w:rsidRPr="00B056E4" w:rsidRDefault="00C009A9" w:rsidP="00C0770E">
            <w:pPr>
              <w:jc w:val="right"/>
              <w:rPr>
                <w:sz w:val="20"/>
                <w:szCs w:val="20"/>
                <w:lang w:val="es-ES"/>
              </w:rPr>
            </w:pPr>
            <w:r w:rsidRPr="00B056E4">
              <w:rPr>
                <w:sz w:val="20"/>
                <w:szCs w:val="20"/>
                <w:lang w:val="es-ES"/>
              </w:rPr>
              <w:t>0</w:t>
            </w:r>
          </w:p>
        </w:tc>
        <w:tc>
          <w:tcPr>
            <w:tcW w:w="1417" w:type="dxa"/>
            <w:shd w:val="clear" w:color="auto" w:fill="auto"/>
            <w:noWrap/>
            <w:hideMark/>
          </w:tcPr>
          <w:p w14:paraId="39FB27B0" w14:textId="77777777" w:rsidR="00C009A9" w:rsidRPr="00B056E4" w:rsidRDefault="00C009A9" w:rsidP="00C0770E">
            <w:pPr>
              <w:jc w:val="right"/>
              <w:rPr>
                <w:sz w:val="20"/>
                <w:szCs w:val="20"/>
                <w:lang w:val="es-ES"/>
              </w:rPr>
            </w:pPr>
            <w:r w:rsidRPr="00B056E4">
              <w:rPr>
                <w:sz w:val="20"/>
                <w:szCs w:val="20"/>
                <w:lang w:val="es-ES"/>
              </w:rPr>
              <w:t>578</w:t>
            </w:r>
          </w:p>
        </w:tc>
        <w:tc>
          <w:tcPr>
            <w:tcW w:w="1276" w:type="dxa"/>
            <w:shd w:val="clear" w:color="auto" w:fill="auto"/>
            <w:noWrap/>
            <w:hideMark/>
          </w:tcPr>
          <w:p w14:paraId="732E5184" w14:textId="77777777" w:rsidR="00C009A9" w:rsidRPr="00B056E4" w:rsidRDefault="00C009A9" w:rsidP="00C0770E">
            <w:pPr>
              <w:jc w:val="right"/>
              <w:rPr>
                <w:sz w:val="20"/>
                <w:szCs w:val="20"/>
                <w:lang w:val="es-ES"/>
              </w:rPr>
            </w:pPr>
            <w:r w:rsidRPr="00B056E4">
              <w:rPr>
                <w:sz w:val="20"/>
                <w:szCs w:val="20"/>
                <w:lang w:val="es-ES"/>
              </w:rPr>
              <w:t>0</w:t>
            </w:r>
          </w:p>
        </w:tc>
      </w:tr>
      <w:tr w:rsidR="00C009A9" w:rsidRPr="00B056E4" w14:paraId="2B43FB90" w14:textId="77777777" w:rsidTr="00C0770E">
        <w:trPr>
          <w:trHeight w:val="276"/>
        </w:trPr>
        <w:tc>
          <w:tcPr>
            <w:tcW w:w="3109" w:type="dxa"/>
            <w:shd w:val="clear" w:color="auto" w:fill="auto"/>
            <w:noWrap/>
            <w:hideMark/>
          </w:tcPr>
          <w:p w14:paraId="64714A4B" w14:textId="77777777" w:rsidR="00C009A9" w:rsidRPr="00B056E4" w:rsidRDefault="00C009A9" w:rsidP="00C0770E">
            <w:pPr>
              <w:jc w:val="left"/>
              <w:rPr>
                <w:sz w:val="20"/>
                <w:szCs w:val="20"/>
                <w:lang w:val="es-ES"/>
              </w:rPr>
            </w:pPr>
            <w:r w:rsidRPr="00B056E4">
              <w:rPr>
                <w:sz w:val="20"/>
                <w:szCs w:val="20"/>
                <w:lang w:val="es-ES"/>
              </w:rPr>
              <w:t>HFC: inversión</w:t>
            </w:r>
          </w:p>
        </w:tc>
        <w:tc>
          <w:tcPr>
            <w:tcW w:w="1134" w:type="dxa"/>
            <w:shd w:val="clear" w:color="auto" w:fill="auto"/>
            <w:noWrap/>
            <w:hideMark/>
          </w:tcPr>
          <w:p w14:paraId="693C073F" w14:textId="77777777" w:rsidR="00C009A9" w:rsidRPr="00B056E4" w:rsidRDefault="00C009A9" w:rsidP="00C0770E">
            <w:pPr>
              <w:jc w:val="right"/>
              <w:rPr>
                <w:sz w:val="20"/>
                <w:szCs w:val="20"/>
                <w:lang w:val="es-ES"/>
              </w:rPr>
            </w:pPr>
            <w:r w:rsidRPr="00B056E4">
              <w:rPr>
                <w:sz w:val="20"/>
                <w:szCs w:val="20"/>
                <w:lang w:val="es-ES"/>
              </w:rPr>
              <w:t>1 819</w:t>
            </w:r>
          </w:p>
        </w:tc>
        <w:tc>
          <w:tcPr>
            <w:tcW w:w="1276" w:type="dxa"/>
            <w:shd w:val="clear" w:color="auto" w:fill="auto"/>
            <w:noWrap/>
            <w:hideMark/>
          </w:tcPr>
          <w:p w14:paraId="3EEEDA39" w14:textId="77777777" w:rsidR="00C009A9" w:rsidRPr="00B056E4" w:rsidRDefault="00C009A9" w:rsidP="00C0770E">
            <w:pPr>
              <w:jc w:val="right"/>
              <w:rPr>
                <w:sz w:val="20"/>
                <w:szCs w:val="20"/>
                <w:lang w:val="es-ES"/>
              </w:rPr>
            </w:pPr>
            <w:r w:rsidRPr="00B056E4">
              <w:rPr>
                <w:sz w:val="20"/>
                <w:szCs w:val="20"/>
                <w:lang w:val="es-ES"/>
              </w:rPr>
              <w:t>0</w:t>
            </w:r>
          </w:p>
        </w:tc>
        <w:tc>
          <w:tcPr>
            <w:tcW w:w="1134" w:type="dxa"/>
            <w:shd w:val="clear" w:color="auto" w:fill="auto"/>
            <w:noWrap/>
            <w:hideMark/>
          </w:tcPr>
          <w:p w14:paraId="6C368A7B" w14:textId="77777777" w:rsidR="00C009A9" w:rsidRPr="00B056E4" w:rsidRDefault="00C009A9" w:rsidP="00C0770E">
            <w:pPr>
              <w:jc w:val="right"/>
              <w:rPr>
                <w:sz w:val="20"/>
                <w:szCs w:val="20"/>
                <w:lang w:val="es-ES"/>
              </w:rPr>
            </w:pPr>
            <w:r w:rsidRPr="00B056E4">
              <w:rPr>
                <w:sz w:val="20"/>
                <w:szCs w:val="20"/>
                <w:lang w:val="es-ES"/>
              </w:rPr>
              <w:t>0</w:t>
            </w:r>
          </w:p>
        </w:tc>
        <w:tc>
          <w:tcPr>
            <w:tcW w:w="1417" w:type="dxa"/>
            <w:shd w:val="clear" w:color="auto" w:fill="auto"/>
            <w:noWrap/>
            <w:hideMark/>
          </w:tcPr>
          <w:p w14:paraId="036B7F5B" w14:textId="77777777" w:rsidR="00C009A9" w:rsidRPr="00B056E4" w:rsidRDefault="00C009A9" w:rsidP="00C0770E">
            <w:pPr>
              <w:jc w:val="right"/>
              <w:rPr>
                <w:sz w:val="20"/>
                <w:szCs w:val="20"/>
                <w:lang w:val="es-ES"/>
              </w:rPr>
            </w:pPr>
            <w:r w:rsidRPr="00B056E4">
              <w:rPr>
                <w:sz w:val="20"/>
                <w:szCs w:val="20"/>
                <w:lang w:val="es-ES"/>
              </w:rPr>
              <w:t>1 819</w:t>
            </w:r>
          </w:p>
        </w:tc>
        <w:tc>
          <w:tcPr>
            <w:tcW w:w="1276" w:type="dxa"/>
            <w:shd w:val="clear" w:color="auto" w:fill="auto"/>
            <w:noWrap/>
            <w:hideMark/>
          </w:tcPr>
          <w:p w14:paraId="4E018479" w14:textId="77777777" w:rsidR="00C009A9" w:rsidRPr="00B056E4" w:rsidRDefault="00C009A9" w:rsidP="00C0770E">
            <w:pPr>
              <w:jc w:val="right"/>
              <w:rPr>
                <w:sz w:val="20"/>
                <w:szCs w:val="20"/>
                <w:lang w:val="es-ES"/>
              </w:rPr>
            </w:pPr>
            <w:r w:rsidRPr="00B056E4">
              <w:rPr>
                <w:sz w:val="20"/>
                <w:szCs w:val="20"/>
                <w:lang w:val="es-ES"/>
              </w:rPr>
              <w:t>0</w:t>
            </w:r>
          </w:p>
        </w:tc>
      </w:tr>
      <w:tr w:rsidR="00C009A9" w:rsidRPr="00B056E4" w14:paraId="69B29429" w14:textId="77777777" w:rsidTr="00C0770E">
        <w:trPr>
          <w:trHeight w:val="276"/>
        </w:trPr>
        <w:tc>
          <w:tcPr>
            <w:tcW w:w="3109" w:type="dxa"/>
            <w:shd w:val="clear" w:color="auto" w:fill="auto"/>
            <w:noWrap/>
            <w:hideMark/>
          </w:tcPr>
          <w:p w14:paraId="6A16827A" w14:textId="77777777" w:rsidR="00C009A9" w:rsidRPr="00B056E4" w:rsidRDefault="00C009A9" w:rsidP="00C0770E">
            <w:pPr>
              <w:jc w:val="left"/>
              <w:rPr>
                <w:sz w:val="20"/>
                <w:szCs w:val="20"/>
                <w:lang w:val="es-ES"/>
              </w:rPr>
            </w:pPr>
            <w:r w:rsidRPr="00B056E4">
              <w:rPr>
                <w:sz w:val="20"/>
                <w:szCs w:val="20"/>
                <w:lang w:val="es-ES"/>
              </w:rPr>
              <w:t>Plan de eliminación de HFC: preparación de proyectos</w:t>
            </w:r>
          </w:p>
        </w:tc>
        <w:tc>
          <w:tcPr>
            <w:tcW w:w="1134" w:type="dxa"/>
            <w:shd w:val="clear" w:color="auto" w:fill="auto"/>
            <w:noWrap/>
            <w:hideMark/>
          </w:tcPr>
          <w:p w14:paraId="7C9860E0" w14:textId="77777777" w:rsidR="00C009A9" w:rsidRPr="00B056E4" w:rsidRDefault="00C009A9" w:rsidP="00C0770E">
            <w:pPr>
              <w:jc w:val="right"/>
              <w:rPr>
                <w:sz w:val="20"/>
                <w:szCs w:val="20"/>
                <w:lang w:val="es-ES"/>
              </w:rPr>
            </w:pPr>
            <w:r w:rsidRPr="00B056E4">
              <w:rPr>
                <w:sz w:val="20"/>
                <w:szCs w:val="20"/>
                <w:lang w:val="es-ES"/>
              </w:rPr>
              <w:t>6 054</w:t>
            </w:r>
          </w:p>
        </w:tc>
        <w:tc>
          <w:tcPr>
            <w:tcW w:w="1276" w:type="dxa"/>
            <w:shd w:val="clear" w:color="auto" w:fill="auto"/>
            <w:noWrap/>
            <w:hideMark/>
          </w:tcPr>
          <w:p w14:paraId="7CC97A6A" w14:textId="77777777" w:rsidR="00C009A9" w:rsidRPr="00B056E4" w:rsidRDefault="00C009A9" w:rsidP="00C0770E">
            <w:pPr>
              <w:jc w:val="right"/>
              <w:rPr>
                <w:sz w:val="20"/>
                <w:szCs w:val="20"/>
                <w:lang w:val="es-ES"/>
              </w:rPr>
            </w:pPr>
            <w:r w:rsidRPr="00B056E4">
              <w:rPr>
                <w:sz w:val="20"/>
                <w:szCs w:val="20"/>
                <w:lang w:val="es-ES"/>
              </w:rPr>
              <w:t>1 976</w:t>
            </w:r>
          </w:p>
        </w:tc>
        <w:tc>
          <w:tcPr>
            <w:tcW w:w="1134" w:type="dxa"/>
            <w:shd w:val="clear" w:color="auto" w:fill="auto"/>
            <w:noWrap/>
            <w:hideMark/>
          </w:tcPr>
          <w:p w14:paraId="586A3D40" w14:textId="77777777" w:rsidR="00C009A9" w:rsidRPr="00B056E4" w:rsidRDefault="00C009A9" w:rsidP="00C0770E">
            <w:pPr>
              <w:jc w:val="right"/>
              <w:rPr>
                <w:sz w:val="20"/>
                <w:szCs w:val="20"/>
                <w:lang w:val="es-ES"/>
              </w:rPr>
            </w:pPr>
            <w:r w:rsidRPr="00B056E4">
              <w:rPr>
                <w:sz w:val="20"/>
                <w:szCs w:val="20"/>
                <w:lang w:val="es-ES"/>
              </w:rPr>
              <w:t>478</w:t>
            </w:r>
          </w:p>
        </w:tc>
        <w:tc>
          <w:tcPr>
            <w:tcW w:w="1417" w:type="dxa"/>
            <w:shd w:val="clear" w:color="auto" w:fill="auto"/>
            <w:noWrap/>
            <w:hideMark/>
          </w:tcPr>
          <w:p w14:paraId="7EBCAD1E" w14:textId="77777777" w:rsidR="00C009A9" w:rsidRPr="00B056E4" w:rsidRDefault="00C009A9" w:rsidP="00C0770E">
            <w:pPr>
              <w:jc w:val="right"/>
              <w:rPr>
                <w:sz w:val="20"/>
                <w:szCs w:val="20"/>
                <w:lang w:val="es-ES"/>
              </w:rPr>
            </w:pPr>
            <w:r w:rsidRPr="00B056E4">
              <w:rPr>
                <w:sz w:val="20"/>
                <w:szCs w:val="20"/>
                <w:lang w:val="es-ES"/>
              </w:rPr>
              <w:t>8 508</w:t>
            </w:r>
          </w:p>
        </w:tc>
        <w:tc>
          <w:tcPr>
            <w:tcW w:w="1276" w:type="dxa"/>
            <w:shd w:val="clear" w:color="auto" w:fill="auto"/>
            <w:noWrap/>
            <w:hideMark/>
          </w:tcPr>
          <w:p w14:paraId="274A552E" w14:textId="77777777" w:rsidR="00C009A9" w:rsidRPr="00B056E4" w:rsidRDefault="00C009A9" w:rsidP="00C0770E">
            <w:pPr>
              <w:jc w:val="right"/>
              <w:rPr>
                <w:sz w:val="20"/>
                <w:szCs w:val="20"/>
                <w:lang w:val="es-ES"/>
              </w:rPr>
            </w:pPr>
            <w:r w:rsidRPr="00B056E4">
              <w:rPr>
                <w:sz w:val="20"/>
                <w:szCs w:val="20"/>
                <w:lang w:val="es-ES"/>
              </w:rPr>
              <w:t>0</w:t>
            </w:r>
          </w:p>
        </w:tc>
      </w:tr>
      <w:tr w:rsidR="00C009A9" w:rsidRPr="00B056E4" w14:paraId="20E71C30" w14:textId="77777777" w:rsidTr="00C0770E">
        <w:trPr>
          <w:trHeight w:val="276"/>
        </w:trPr>
        <w:tc>
          <w:tcPr>
            <w:tcW w:w="3109" w:type="dxa"/>
            <w:shd w:val="clear" w:color="auto" w:fill="auto"/>
            <w:noWrap/>
            <w:hideMark/>
          </w:tcPr>
          <w:p w14:paraId="02EAC98E" w14:textId="77777777" w:rsidR="00C009A9" w:rsidRPr="00B056E4" w:rsidRDefault="00C009A9" w:rsidP="00C0770E">
            <w:pPr>
              <w:jc w:val="left"/>
              <w:rPr>
                <w:sz w:val="20"/>
                <w:szCs w:val="20"/>
                <w:lang w:val="es-ES"/>
              </w:rPr>
            </w:pPr>
            <w:r w:rsidRPr="00B056E4">
              <w:rPr>
                <w:sz w:val="20"/>
                <w:szCs w:val="20"/>
                <w:lang w:val="es-ES"/>
              </w:rPr>
              <w:t xml:space="preserve">Plan de eliminación de HFC </w:t>
            </w:r>
          </w:p>
        </w:tc>
        <w:tc>
          <w:tcPr>
            <w:tcW w:w="1134" w:type="dxa"/>
            <w:shd w:val="clear" w:color="auto" w:fill="auto"/>
            <w:noWrap/>
            <w:hideMark/>
          </w:tcPr>
          <w:p w14:paraId="04430C34" w14:textId="77777777" w:rsidR="00C009A9" w:rsidRPr="00B056E4" w:rsidRDefault="00C009A9" w:rsidP="00C0770E">
            <w:pPr>
              <w:jc w:val="right"/>
              <w:rPr>
                <w:sz w:val="20"/>
                <w:szCs w:val="20"/>
                <w:lang w:val="es-ES"/>
              </w:rPr>
            </w:pPr>
            <w:r w:rsidRPr="00B056E4">
              <w:rPr>
                <w:sz w:val="20"/>
                <w:szCs w:val="20"/>
                <w:lang w:val="es-ES"/>
              </w:rPr>
              <w:t>0</w:t>
            </w:r>
          </w:p>
        </w:tc>
        <w:tc>
          <w:tcPr>
            <w:tcW w:w="1276" w:type="dxa"/>
            <w:shd w:val="clear" w:color="auto" w:fill="auto"/>
            <w:noWrap/>
            <w:hideMark/>
          </w:tcPr>
          <w:p w14:paraId="1B37E28A" w14:textId="77777777" w:rsidR="00C009A9" w:rsidRPr="00B056E4" w:rsidRDefault="00C009A9" w:rsidP="00C0770E">
            <w:pPr>
              <w:jc w:val="right"/>
              <w:rPr>
                <w:sz w:val="20"/>
                <w:szCs w:val="20"/>
                <w:lang w:val="es-ES"/>
              </w:rPr>
            </w:pPr>
            <w:r w:rsidRPr="00B056E4">
              <w:rPr>
                <w:sz w:val="20"/>
                <w:szCs w:val="20"/>
                <w:lang w:val="es-ES"/>
              </w:rPr>
              <w:t>0</w:t>
            </w:r>
          </w:p>
        </w:tc>
        <w:tc>
          <w:tcPr>
            <w:tcW w:w="1134" w:type="dxa"/>
            <w:shd w:val="clear" w:color="auto" w:fill="auto"/>
            <w:noWrap/>
            <w:hideMark/>
          </w:tcPr>
          <w:p w14:paraId="49FA82B8" w14:textId="77777777" w:rsidR="00C009A9" w:rsidRPr="00B056E4" w:rsidRDefault="00C009A9" w:rsidP="00C0770E">
            <w:pPr>
              <w:jc w:val="right"/>
              <w:rPr>
                <w:sz w:val="20"/>
                <w:szCs w:val="20"/>
                <w:lang w:val="es-ES"/>
              </w:rPr>
            </w:pPr>
            <w:r w:rsidRPr="00B056E4">
              <w:rPr>
                <w:sz w:val="20"/>
                <w:szCs w:val="20"/>
                <w:lang w:val="es-ES"/>
              </w:rPr>
              <w:t>7 290</w:t>
            </w:r>
          </w:p>
        </w:tc>
        <w:tc>
          <w:tcPr>
            <w:tcW w:w="1417" w:type="dxa"/>
            <w:shd w:val="clear" w:color="auto" w:fill="auto"/>
            <w:noWrap/>
            <w:hideMark/>
          </w:tcPr>
          <w:p w14:paraId="2A759916" w14:textId="77777777" w:rsidR="00C009A9" w:rsidRPr="00B056E4" w:rsidRDefault="00C009A9" w:rsidP="00C0770E">
            <w:pPr>
              <w:jc w:val="right"/>
              <w:rPr>
                <w:sz w:val="20"/>
                <w:szCs w:val="20"/>
                <w:lang w:val="es-ES"/>
              </w:rPr>
            </w:pPr>
            <w:r w:rsidRPr="00B056E4">
              <w:rPr>
                <w:sz w:val="20"/>
                <w:szCs w:val="20"/>
                <w:lang w:val="es-ES"/>
              </w:rPr>
              <w:t>7 290</w:t>
            </w:r>
          </w:p>
        </w:tc>
        <w:tc>
          <w:tcPr>
            <w:tcW w:w="1276" w:type="dxa"/>
            <w:shd w:val="clear" w:color="auto" w:fill="auto"/>
            <w:noWrap/>
            <w:hideMark/>
          </w:tcPr>
          <w:p w14:paraId="7C7EA0AE" w14:textId="77777777" w:rsidR="00C009A9" w:rsidRPr="00B056E4" w:rsidRDefault="00C009A9" w:rsidP="00C0770E">
            <w:pPr>
              <w:jc w:val="right"/>
              <w:rPr>
                <w:sz w:val="20"/>
                <w:szCs w:val="20"/>
                <w:lang w:val="es-ES"/>
              </w:rPr>
            </w:pPr>
            <w:r w:rsidRPr="00B056E4">
              <w:rPr>
                <w:sz w:val="20"/>
                <w:szCs w:val="20"/>
                <w:lang w:val="es-ES"/>
              </w:rPr>
              <w:t>0</w:t>
            </w:r>
          </w:p>
        </w:tc>
      </w:tr>
      <w:tr w:rsidR="00C009A9" w:rsidRPr="00B056E4" w14:paraId="2ADE7518" w14:textId="77777777" w:rsidTr="00C0770E">
        <w:trPr>
          <w:trHeight w:val="276"/>
        </w:trPr>
        <w:tc>
          <w:tcPr>
            <w:tcW w:w="3109" w:type="dxa"/>
            <w:shd w:val="clear" w:color="auto" w:fill="auto"/>
            <w:noWrap/>
            <w:hideMark/>
          </w:tcPr>
          <w:p w14:paraId="5D312358" w14:textId="77777777" w:rsidR="00C009A9" w:rsidRPr="00B056E4" w:rsidRDefault="00C009A9" w:rsidP="00C0770E">
            <w:pPr>
              <w:jc w:val="left"/>
              <w:rPr>
                <w:b/>
                <w:bCs/>
                <w:sz w:val="20"/>
                <w:szCs w:val="20"/>
                <w:lang w:val="es-ES"/>
              </w:rPr>
            </w:pPr>
            <w:r w:rsidRPr="00B056E4">
              <w:rPr>
                <w:b/>
                <w:bCs/>
                <w:sz w:val="20"/>
                <w:szCs w:val="20"/>
                <w:lang w:val="es-ES"/>
              </w:rPr>
              <w:t>Total parcial para actividades relacionadas con los HFC</w:t>
            </w:r>
          </w:p>
        </w:tc>
        <w:tc>
          <w:tcPr>
            <w:tcW w:w="1134" w:type="dxa"/>
            <w:shd w:val="clear" w:color="auto" w:fill="auto"/>
            <w:noWrap/>
            <w:hideMark/>
          </w:tcPr>
          <w:p w14:paraId="4125D2DE" w14:textId="77777777" w:rsidR="00C009A9" w:rsidRPr="00B056E4" w:rsidRDefault="00C009A9" w:rsidP="00C0770E">
            <w:pPr>
              <w:jc w:val="right"/>
              <w:rPr>
                <w:b/>
                <w:bCs/>
                <w:sz w:val="20"/>
                <w:szCs w:val="20"/>
                <w:lang w:val="es-ES"/>
              </w:rPr>
            </w:pPr>
            <w:r w:rsidRPr="00B056E4">
              <w:rPr>
                <w:b/>
                <w:bCs/>
                <w:sz w:val="20"/>
                <w:szCs w:val="20"/>
                <w:lang w:val="es-ES"/>
              </w:rPr>
              <w:t>8 188</w:t>
            </w:r>
          </w:p>
        </w:tc>
        <w:tc>
          <w:tcPr>
            <w:tcW w:w="1276" w:type="dxa"/>
            <w:shd w:val="clear" w:color="auto" w:fill="auto"/>
            <w:noWrap/>
            <w:hideMark/>
          </w:tcPr>
          <w:p w14:paraId="631757B4" w14:textId="77777777" w:rsidR="00C009A9" w:rsidRPr="00B056E4" w:rsidRDefault="00C009A9" w:rsidP="00C0770E">
            <w:pPr>
              <w:jc w:val="right"/>
              <w:rPr>
                <w:b/>
                <w:bCs/>
                <w:sz w:val="20"/>
                <w:szCs w:val="20"/>
                <w:lang w:val="es-ES"/>
              </w:rPr>
            </w:pPr>
            <w:r w:rsidRPr="00B056E4">
              <w:rPr>
                <w:b/>
                <w:bCs/>
                <w:sz w:val="20"/>
                <w:szCs w:val="20"/>
                <w:lang w:val="es-ES"/>
              </w:rPr>
              <w:t>2 238</w:t>
            </w:r>
          </w:p>
        </w:tc>
        <w:tc>
          <w:tcPr>
            <w:tcW w:w="1134" w:type="dxa"/>
            <w:shd w:val="clear" w:color="auto" w:fill="auto"/>
            <w:noWrap/>
            <w:hideMark/>
          </w:tcPr>
          <w:p w14:paraId="118C720E" w14:textId="77777777" w:rsidR="00C009A9" w:rsidRPr="00B056E4" w:rsidRDefault="00C009A9" w:rsidP="00C0770E">
            <w:pPr>
              <w:jc w:val="right"/>
              <w:rPr>
                <w:b/>
                <w:bCs/>
                <w:sz w:val="20"/>
                <w:szCs w:val="20"/>
                <w:lang w:val="es-ES"/>
              </w:rPr>
            </w:pPr>
            <w:r w:rsidRPr="00B056E4">
              <w:rPr>
                <w:b/>
                <w:bCs/>
                <w:sz w:val="20"/>
                <w:szCs w:val="20"/>
                <w:lang w:val="es-ES"/>
              </w:rPr>
              <w:t>7 768</w:t>
            </w:r>
          </w:p>
        </w:tc>
        <w:tc>
          <w:tcPr>
            <w:tcW w:w="1417" w:type="dxa"/>
            <w:shd w:val="clear" w:color="auto" w:fill="auto"/>
            <w:noWrap/>
            <w:hideMark/>
          </w:tcPr>
          <w:p w14:paraId="54003882" w14:textId="77777777" w:rsidR="00C009A9" w:rsidRPr="00B056E4" w:rsidRDefault="00C009A9" w:rsidP="00C0770E">
            <w:pPr>
              <w:jc w:val="right"/>
              <w:rPr>
                <w:b/>
                <w:bCs/>
                <w:sz w:val="20"/>
                <w:szCs w:val="20"/>
                <w:lang w:val="es-ES"/>
              </w:rPr>
            </w:pPr>
            <w:r w:rsidRPr="00B056E4">
              <w:rPr>
                <w:b/>
                <w:bCs/>
                <w:sz w:val="20"/>
                <w:szCs w:val="20"/>
                <w:lang w:val="es-ES"/>
              </w:rPr>
              <w:t>18 195</w:t>
            </w:r>
          </w:p>
        </w:tc>
        <w:tc>
          <w:tcPr>
            <w:tcW w:w="1276" w:type="dxa"/>
            <w:shd w:val="clear" w:color="auto" w:fill="auto"/>
            <w:noWrap/>
            <w:hideMark/>
          </w:tcPr>
          <w:p w14:paraId="2784C0A0" w14:textId="77777777" w:rsidR="00C009A9" w:rsidRPr="00B056E4" w:rsidRDefault="00C009A9" w:rsidP="00C0770E">
            <w:pPr>
              <w:jc w:val="right"/>
              <w:rPr>
                <w:b/>
                <w:bCs/>
                <w:sz w:val="20"/>
                <w:szCs w:val="20"/>
                <w:lang w:val="es-ES"/>
              </w:rPr>
            </w:pPr>
            <w:r w:rsidRPr="00B056E4">
              <w:rPr>
                <w:b/>
                <w:bCs/>
                <w:sz w:val="20"/>
                <w:szCs w:val="20"/>
                <w:lang w:val="es-ES"/>
              </w:rPr>
              <w:t>0</w:t>
            </w:r>
          </w:p>
        </w:tc>
      </w:tr>
      <w:tr w:rsidR="00C009A9" w:rsidRPr="00B056E4" w14:paraId="10CAA9DB" w14:textId="77777777" w:rsidTr="00C0770E">
        <w:trPr>
          <w:trHeight w:val="276"/>
        </w:trPr>
        <w:tc>
          <w:tcPr>
            <w:tcW w:w="9346" w:type="dxa"/>
            <w:gridSpan w:val="6"/>
            <w:shd w:val="clear" w:color="auto" w:fill="auto"/>
            <w:noWrap/>
            <w:hideMark/>
          </w:tcPr>
          <w:p w14:paraId="333EF1B0" w14:textId="77777777" w:rsidR="00C009A9" w:rsidRPr="00B056E4" w:rsidRDefault="00C009A9" w:rsidP="00C0770E">
            <w:pPr>
              <w:jc w:val="left"/>
              <w:rPr>
                <w:b/>
                <w:bCs/>
                <w:sz w:val="20"/>
                <w:szCs w:val="20"/>
                <w:lang w:val="es-ES"/>
              </w:rPr>
            </w:pPr>
            <w:r w:rsidRPr="00B056E4">
              <w:rPr>
                <w:b/>
                <w:bCs/>
                <w:sz w:val="20"/>
                <w:szCs w:val="20"/>
                <w:lang w:val="es-ES"/>
              </w:rPr>
              <w:t>Actividades estándar</w:t>
            </w:r>
          </w:p>
        </w:tc>
      </w:tr>
      <w:tr w:rsidR="00C009A9" w:rsidRPr="00B056E4" w14:paraId="62C72869" w14:textId="77777777" w:rsidTr="00C0770E">
        <w:trPr>
          <w:trHeight w:val="276"/>
        </w:trPr>
        <w:tc>
          <w:tcPr>
            <w:tcW w:w="3109" w:type="dxa"/>
            <w:shd w:val="clear" w:color="auto" w:fill="auto"/>
            <w:noWrap/>
            <w:hideMark/>
          </w:tcPr>
          <w:p w14:paraId="49E303E2" w14:textId="77777777" w:rsidR="00C009A9" w:rsidRPr="00B056E4" w:rsidRDefault="00C009A9" w:rsidP="00C0770E">
            <w:pPr>
              <w:jc w:val="left"/>
              <w:rPr>
                <w:sz w:val="20"/>
                <w:szCs w:val="20"/>
                <w:lang w:val="es-ES"/>
              </w:rPr>
            </w:pPr>
            <w:r w:rsidRPr="00B056E4">
              <w:rPr>
                <w:sz w:val="20"/>
                <w:szCs w:val="20"/>
                <w:lang w:val="es-ES"/>
              </w:rPr>
              <w:t>Programa de asistencia al cumplimiento</w:t>
            </w:r>
          </w:p>
        </w:tc>
        <w:tc>
          <w:tcPr>
            <w:tcW w:w="1134" w:type="dxa"/>
            <w:shd w:val="clear" w:color="auto" w:fill="auto"/>
            <w:noWrap/>
            <w:hideMark/>
          </w:tcPr>
          <w:p w14:paraId="2518E053" w14:textId="77777777" w:rsidR="00C009A9" w:rsidRPr="00B056E4" w:rsidRDefault="00C009A9" w:rsidP="00C0770E">
            <w:pPr>
              <w:jc w:val="right"/>
              <w:rPr>
                <w:sz w:val="20"/>
                <w:szCs w:val="20"/>
                <w:lang w:val="es-ES"/>
              </w:rPr>
            </w:pPr>
            <w:r w:rsidRPr="00B056E4">
              <w:rPr>
                <w:sz w:val="20"/>
                <w:szCs w:val="20"/>
                <w:lang w:val="es-ES"/>
              </w:rPr>
              <w:t>11 428</w:t>
            </w:r>
          </w:p>
        </w:tc>
        <w:tc>
          <w:tcPr>
            <w:tcW w:w="1276" w:type="dxa"/>
            <w:shd w:val="clear" w:color="auto" w:fill="auto"/>
            <w:noWrap/>
            <w:hideMark/>
          </w:tcPr>
          <w:p w14:paraId="4662A738" w14:textId="77777777" w:rsidR="00C009A9" w:rsidRPr="00B056E4" w:rsidRDefault="00C009A9" w:rsidP="00C0770E">
            <w:pPr>
              <w:jc w:val="right"/>
              <w:rPr>
                <w:sz w:val="20"/>
                <w:szCs w:val="20"/>
                <w:lang w:val="es-ES"/>
              </w:rPr>
            </w:pPr>
            <w:r w:rsidRPr="00B056E4">
              <w:rPr>
                <w:sz w:val="20"/>
                <w:szCs w:val="20"/>
                <w:lang w:val="es-ES"/>
              </w:rPr>
              <w:t>11 771</w:t>
            </w:r>
          </w:p>
        </w:tc>
        <w:tc>
          <w:tcPr>
            <w:tcW w:w="1134" w:type="dxa"/>
            <w:shd w:val="clear" w:color="auto" w:fill="auto"/>
            <w:noWrap/>
            <w:hideMark/>
          </w:tcPr>
          <w:p w14:paraId="51B5EBBB" w14:textId="77777777" w:rsidR="00C009A9" w:rsidRPr="00B056E4" w:rsidRDefault="00C009A9" w:rsidP="00C0770E">
            <w:pPr>
              <w:jc w:val="right"/>
              <w:rPr>
                <w:sz w:val="20"/>
                <w:szCs w:val="20"/>
                <w:lang w:val="es-ES"/>
              </w:rPr>
            </w:pPr>
            <w:r w:rsidRPr="00B056E4">
              <w:rPr>
                <w:sz w:val="20"/>
                <w:szCs w:val="20"/>
                <w:lang w:val="es-ES"/>
              </w:rPr>
              <w:t>12 124</w:t>
            </w:r>
          </w:p>
        </w:tc>
        <w:tc>
          <w:tcPr>
            <w:tcW w:w="1417" w:type="dxa"/>
            <w:shd w:val="clear" w:color="auto" w:fill="auto"/>
            <w:noWrap/>
            <w:hideMark/>
          </w:tcPr>
          <w:p w14:paraId="4B213D59" w14:textId="77777777" w:rsidR="00C009A9" w:rsidRPr="00B056E4" w:rsidRDefault="00C009A9" w:rsidP="00C0770E">
            <w:pPr>
              <w:jc w:val="right"/>
              <w:rPr>
                <w:sz w:val="20"/>
                <w:szCs w:val="20"/>
                <w:lang w:val="es-ES"/>
              </w:rPr>
            </w:pPr>
            <w:r w:rsidRPr="00B056E4">
              <w:rPr>
                <w:sz w:val="20"/>
                <w:szCs w:val="20"/>
                <w:lang w:val="es-ES"/>
              </w:rPr>
              <w:t>35 324</w:t>
            </w:r>
          </w:p>
        </w:tc>
        <w:tc>
          <w:tcPr>
            <w:tcW w:w="1276" w:type="dxa"/>
            <w:shd w:val="clear" w:color="auto" w:fill="auto"/>
            <w:noWrap/>
            <w:hideMark/>
          </w:tcPr>
          <w:p w14:paraId="553B660F" w14:textId="77777777" w:rsidR="00C009A9" w:rsidRPr="00B056E4" w:rsidRDefault="00C009A9" w:rsidP="00C0770E">
            <w:pPr>
              <w:jc w:val="right"/>
              <w:rPr>
                <w:sz w:val="20"/>
                <w:szCs w:val="20"/>
                <w:lang w:val="es-ES"/>
              </w:rPr>
            </w:pPr>
            <w:r w:rsidRPr="00B056E4">
              <w:rPr>
                <w:sz w:val="20"/>
                <w:szCs w:val="20"/>
                <w:lang w:val="es-ES"/>
              </w:rPr>
              <w:t>0</w:t>
            </w:r>
          </w:p>
        </w:tc>
      </w:tr>
      <w:tr w:rsidR="00C009A9" w:rsidRPr="00B056E4" w14:paraId="4E515E52" w14:textId="77777777" w:rsidTr="00C0770E">
        <w:trPr>
          <w:trHeight w:val="276"/>
        </w:trPr>
        <w:tc>
          <w:tcPr>
            <w:tcW w:w="3109" w:type="dxa"/>
            <w:shd w:val="clear" w:color="auto" w:fill="auto"/>
            <w:noWrap/>
            <w:hideMark/>
          </w:tcPr>
          <w:p w14:paraId="0D66319E" w14:textId="77777777" w:rsidR="00C009A9" w:rsidRPr="00B056E4" w:rsidRDefault="00C009A9" w:rsidP="00C0770E">
            <w:pPr>
              <w:jc w:val="left"/>
              <w:rPr>
                <w:sz w:val="20"/>
                <w:szCs w:val="20"/>
                <w:lang w:val="es-ES"/>
              </w:rPr>
            </w:pPr>
            <w:r w:rsidRPr="00B056E4">
              <w:rPr>
                <w:sz w:val="20"/>
                <w:szCs w:val="20"/>
                <w:lang w:val="es-ES"/>
              </w:rPr>
              <w:t>Unidad central</w:t>
            </w:r>
          </w:p>
        </w:tc>
        <w:tc>
          <w:tcPr>
            <w:tcW w:w="1134" w:type="dxa"/>
            <w:shd w:val="clear" w:color="auto" w:fill="auto"/>
            <w:noWrap/>
            <w:hideMark/>
          </w:tcPr>
          <w:p w14:paraId="248A3C56" w14:textId="77777777" w:rsidR="00C009A9" w:rsidRPr="00B056E4" w:rsidRDefault="00C009A9" w:rsidP="00C0770E">
            <w:pPr>
              <w:jc w:val="right"/>
              <w:rPr>
                <w:sz w:val="20"/>
                <w:szCs w:val="20"/>
                <w:lang w:val="es-ES"/>
              </w:rPr>
            </w:pPr>
            <w:r w:rsidRPr="00B056E4">
              <w:rPr>
                <w:sz w:val="20"/>
                <w:szCs w:val="20"/>
                <w:lang w:val="es-ES"/>
              </w:rPr>
              <w:t>5 961</w:t>
            </w:r>
          </w:p>
        </w:tc>
        <w:tc>
          <w:tcPr>
            <w:tcW w:w="1276" w:type="dxa"/>
            <w:shd w:val="clear" w:color="auto" w:fill="auto"/>
            <w:noWrap/>
            <w:hideMark/>
          </w:tcPr>
          <w:p w14:paraId="66398316" w14:textId="77777777" w:rsidR="00C009A9" w:rsidRPr="00B056E4" w:rsidRDefault="00C009A9" w:rsidP="00C0770E">
            <w:pPr>
              <w:jc w:val="right"/>
              <w:rPr>
                <w:sz w:val="20"/>
                <w:szCs w:val="20"/>
                <w:lang w:val="es-ES"/>
              </w:rPr>
            </w:pPr>
            <w:r w:rsidRPr="00B056E4">
              <w:rPr>
                <w:sz w:val="20"/>
                <w:szCs w:val="20"/>
                <w:lang w:val="es-ES"/>
              </w:rPr>
              <w:t>6 003</w:t>
            </w:r>
          </w:p>
        </w:tc>
        <w:tc>
          <w:tcPr>
            <w:tcW w:w="1134" w:type="dxa"/>
            <w:shd w:val="clear" w:color="auto" w:fill="auto"/>
            <w:noWrap/>
            <w:hideMark/>
          </w:tcPr>
          <w:p w14:paraId="4766C6A6" w14:textId="77777777" w:rsidR="00C009A9" w:rsidRPr="00B056E4" w:rsidRDefault="00C009A9" w:rsidP="00C0770E">
            <w:pPr>
              <w:jc w:val="right"/>
              <w:rPr>
                <w:sz w:val="20"/>
                <w:szCs w:val="20"/>
                <w:lang w:val="es-ES"/>
              </w:rPr>
            </w:pPr>
            <w:r w:rsidRPr="00B056E4">
              <w:rPr>
                <w:sz w:val="20"/>
                <w:szCs w:val="20"/>
                <w:lang w:val="es-ES"/>
              </w:rPr>
              <w:t>6 045</w:t>
            </w:r>
          </w:p>
        </w:tc>
        <w:tc>
          <w:tcPr>
            <w:tcW w:w="1417" w:type="dxa"/>
            <w:shd w:val="clear" w:color="auto" w:fill="auto"/>
            <w:noWrap/>
            <w:hideMark/>
          </w:tcPr>
          <w:p w14:paraId="4CDF981C" w14:textId="77777777" w:rsidR="00C009A9" w:rsidRPr="00B056E4" w:rsidRDefault="00C009A9" w:rsidP="00C0770E">
            <w:pPr>
              <w:jc w:val="right"/>
              <w:rPr>
                <w:sz w:val="20"/>
                <w:szCs w:val="20"/>
                <w:lang w:val="es-ES"/>
              </w:rPr>
            </w:pPr>
            <w:r w:rsidRPr="00B056E4">
              <w:rPr>
                <w:sz w:val="20"/>
                <w:szCs w:val="20"/>
                <w:lang w:val="es-ES"/>
              </w:rPr>
              <w:t>18 009</w:t>
            </w:r>
          </w:p>
        </w:tc>
        <w:tc>
          <w:tcPr>
            <w:tcW w:w="1276" w:type="dxa"/>
            <w:shd w:val="clear" w:color="auto" w:fill="auto"/>
            <w:noWrap/>
            <w:hideMark/>
          </w:tcPr>
          <w:p w14:paraId="38DB40CA" w14:textId="77777777" w:rsidR="00C009A9" w:rsidRPr="00B056E4" w:rsidRDefault="00C009A9" w:rsidP="00C0770E">
            <w:pPr>
              <w:jc w:val="right"/>
              <w:rPr>
                <w:sz w:val="20"/>
                <w:szCs w:val="20"/>
                <w:lang w:val="es-ES"/>
              </w:rPr>
            </w:pPr>
            <w:r w:rsidRPr="00B056E4">
              <w:rPr>
                <w:sz w:val="20"/>
                <w:szCs w:val="20"/>
                <w:lang w:val="es-ES"/>
              </w:rPr>
              <w:t>0</w:t>
            </w:r>
          </w:p>
        </w:tc>
      </w:tr>
      <w:tr w:rsidR="00C009A9" w:rsidRPr="00B056E4" w14:paraId="0A09E30C" w14:textId="77777777" w:rsidTr="00C0770E">
        <w:trPr>
          <w:trHeight w:val="276"/>
        </w:trPr>
        <w:tc>
          <w:tcPr>
            <w:tcW w:w="3109" w:type="dxa"/>
            <w:shd w:val="clear" w:color="auto" w:fill="auto"/>
            <w:noWrap/>
            <w:hideMark/>
          </w:tcPr>
          <w:p w14:paraId="229C60EF" w14:textId="77777777" w:rsidR="00C009A9" w:rsidRPr="00B056E4" w:rsidRDefault="00C009A9" w:rsidP="00C0770E">
            <w:pPr>
              <w:jc w:val="left"/>
              <w:rPr>
                <w:sz w:val="20"/>
                <w:szCs w:val="20"/>
                <w:lang w:val="es-ES"/>
              </w:rPr>
            </w:pPr>
            <w:r w:rsidRPr="00B056E4">
              <w:rPr>
                <w:sz w:val="20"/>
                <w:szCs w:val="20"/>
                <w:lang w:val="es-ES"/>
              </w:rPr>
              <w:t>Fortalecimiento institucional</w:t>
            </w:r>
          </w:p>
        </w:tc>
        <w:tc>
          <w:tcPr>
            <w:tcW w:w="1134" w:type="dxa"/>
            <w:shd w:val="clear" w:color="auto" w:fill="auto"/>
            <w:noWrap/>
            <w:hideMark/>
          </w:tcPr>
          <w:p w14:paraId="643F6EF0" w14:textId="77777777" w:rsidR="00C009A9" w:rsidRPr="00B056E4" w:rsidRDefault="00C009A9" w:rsidP="00C0770E">
            <w:pPr>
              <w:jc w:val="right"/>
              <w:rPr>
                <w:sz w:val="20"/>
                <w:szCs w:val="20"/>
                <w:lang w:val="es-ES"/>
              </w:rPr>
            </w:pPr>
            <w:r w:rsidRPr="00B056E4">
              <w:rPr>
                <w:sz w:val="20"/>
                <w:szCs w:val="20"/>
                <w:lang w:val="es-ES"/>
              </w:rPr>
              <w:t>11 741</w:t>
            </w:r>
          </w:p>
        </w:tc>
        <w:tc>
          <w:tcPr>
            <w:tcW w:w="1276" w:type="dxa"/>
            <w:shd w:val="clear" w:color="auto" w:fill="auto"/>
            <w:noWrap/>
            <w:hideMark/>
          </w:tcPr>
          <w:p w14:paraId="708FDD47" w14:textId="77777777" w:rsidR="00C009A9" w:rsidRPr="00B056E4" w:rsidRDefault="00C009A9" w:rsidP="00C0770E">
            <w:pPr>
              <w:jc w:val="right"/>
              <w:rPr>
                <w:sz w:val="20"/>
                <w:szCs w:val="20"/>
                <w:lang w:val="es-ES"/>
              </w:rPr>
            </w:pPr>
            <w:r w:rsidRPr="00B056E4">
              <w:rPr>
                <w:sz w:val="20"/>
                <w:szCs w:val="20"/>
                <w:lang w:val="es-ES"/>
              </w:rPr>
              <w:t>9 858</w:t>
            </w:r>
          </w:p>
        </w:tc>
        <w:tc>
          <w:tcPr>
            <w:tcW w:w="1134" w:type="dxa"/>
            <w:shd w:val="clear" w:color="auto" w:fill="auto"/>
            <w:noWrap/>
            <w:hideMark/>
          </w:tcPr>
          <w:p w14:paraId="5A28E2CE" w14:textId="77777777" w:rsidR="00C009A9" w:rsidRPr="00B056E4" w:rsidRDefault="00C009A9" w:rsidP="00C0770E">
            <w:pPr>
              <w:jc w:val="right"/>
              <w:rPr>
                <w:sz w:val="20"/>
                <w:szCs w:val="20"/>
                <w:lang w:val="es-ES"/>
              </w:rPr>
            </w:pPr>
            <w:r w:rsidRPr="00B056E4">
              <w:rPr>
                <w:sz w:val="20"/>
                <w:szCs w:val="20"/>
                <w:lang w:val="es-ES"/>
              </w:rPr>
              <w:t>11 741</w:t>
            </w:r>
          </w:p>
        </w:tc>
        <w:tc>
          <w:tcPr>
            <w:tcW w:w="1417" w:type="dxa"/>
            <w:shd w:val="clear" w:color="auto" w:fill="auto"/>
            <w:noWrap/>
            <w:hideMark/>
          </w:tcPr>
          <w:p w14:paraId="6D91D5F8" w14:textId="77777777" w:rsidR="00C009A9" w:rsidRPr="00B056E4" w:rsidRDefault="00C009A9" w:rsidP="00C0770E">
            <w:pPr>
              <w:jc w:val="right"/>
              <w:rPr>
                <w:sz w:val="20"/>
                <w:szCs w:val="20"/>
                <w:lang w:val="es-ES"/>
              </w:rPr>
            </w:pPr>
            <w:r w:rsidRPr="00B056E4">
              <w:rPr>
                <w:sz w:val="20"/>
                <w:szCs w:val="20"/>
                <w:lang w:val="es-ES"/>
              </w:rPr>
              <w:t>33 340</w:t>
            </w:r>
          </w:p>
        </w:tc>
        <w:tc>
          <w:tcPr>
            <w:tcW w:w="1276" w:type="dxa"/>
            <w:shd w:val="clear" w:color="auto" w:fill="auto"/>
            <w:noWrap/>
            <w:hideMark/>
          </w:tcPr>
          <w:p w14:paraId="0ECA82D5" w14:textId="77777777" w:rsidR="00C009A9" w:rsidRPr="00B056E4" w:rsidRDefault="00C009A9" w:rsidP="00C0770E">
            <w:pPr>
              <w:jc w:val="right"/>
              <w:rPr>
                <w:sz w:val="20"/>
                <w:szCs w:val="20"/>
                <w:lang w:val="es-ES"/>
              </w:rPr>
            </w:pPr>
            <w:r w:rsidRPr="00B056E4">
              <w:rPr>
                <w:sz w:val="20"/>
                <w:szCs w:val="20"/>
                <w:lang w:val="es-ES"/>
              </w:rPr>
              <w:t>677</w:t>
            </w:r>
          </w:p>
        </w:tc>
      </w:tr>
      <w:tr w:rsidR="00C009A9" w:rsidRPr="00B056E4" w14:paraId="05C4D3CF" w14:textId="77777777" w:rsidTr="00C0770E">
        <w:trPr>
          <w:trHeight w:val="276"/>
        </w:trPr>
        <w:tc>
          <w:tcPr>
            <w:tcW w:w="3109" w:type="dxa"/>
            <w:shd w:val="clear" w:color="auto" w:fill="auto"/>
            <w:noWrap/>
            <w:hideMark/>
          </w:tcPr>
          <w:p w14:paraId="385809A5" w14:textId="77777777" w:rsidR="00C009A9" w:rsidRPr="00B056E4" w:rsidRDefault="00C009A9" w:rsidP="00C0770E">
            <w:pPr>
              <w:jc w:val="left"/>
              <w:rPr>
                <w:sz w:val="20"/>
                <w:szCs w:val="20"/>
                <w:lang w:val="es-ES"/>
              </w:rPr>
            </w:pPr>
            <w:r w:rsidRPr="00B056E4">
              <w:rPr>
                <w:sz w:val="20"/>
                <w:szCs w:val="20"/>
                <w:lang w:val="es-ES"/>
              </w:rPr>
              <w:t>Costos de la Secretaría, del Comité Ejecutivo, y de Supervisión y</w:t>
            </w:r>
            <w:r w:rsidRPr="00B056E4">
              <w:rPr>
                <w:sz w:val="20"/>
                <w:szCs w:val="20"/>
                <w:lang w:val="es-ES"/>
              </w:rPr>
              <w:br/>
              <w:t>Evaluación, menos fondos de contraparte de Canadá</w:t>
            </w:r>
          </w:p>
        </w:tc>
        <w:tc>
          <w:tcPr>
            <w:tcW w:w="1134" w:type="dxa"/>
            <w:shd w:val="clear" w:color="auto" w:fill="auto"/>
            <w:noWrap/>
            <w:hideMark/>
          </w:tcPr>
          <w:p w14:paraId="2476C0F5" w14:textId="77777777" w:rsidR="00C009A9" w:rsidRPr="00B056E4" w:rsidRDefault="00C009A9" w:rsidP="00C0770E">
            <w:pPr>
              <w:jc w:val="right"/>
              <w:rPr>
                <w:sz w:val="20"/>
                <w:szCs w:val="20"/>
                <w:lang w:val="es-ES"/>
              </w:rPr>
            </w:pPr>
            <w:r w:rsidRPr="00B056E4">
              <w:rPr>
                <w:sz w:val="20"/>
                <w:szCs w:val="20"/>
                <w:lang w:val="es-ES"/>
              </w:rPr>
              <w:t>6 362</w:t>
            </w:r>
          </w:p>
        </w:tc>
        <w:tc>
          <w:tcPr>
            <w:tcW w:w="1276" w:type="dxa"/>
            <w:shd w:val="clear" w:color="auto" w:fill="auto"/>
            <w:noWrap/>
            <w:hideMark/>
          </w:tcPr>
          <w:p w14:paraId="7AD52B73" w14:textId="77777777" w:rsidR="00C009A9" w:rsidRPr="00B056E4" w:rsidRDefault="00C009A9" w:rsidP="00C0770E">
            <w:pPr>
              <w:jc w:val="right"/>
              <w:rPr>
                <w:sz w:val="20"/>
                <w:szCs w:val="20"/>
                <w:lang w:val="es-ES"/>
              </w:rPr>
            </w:pPr>
            <w:r w:rsidRPr="00B056E4">
              <w:rPr>
                <w:sz w:val="20"/>
                <w:szCs w:val="20"/>
                <w:lang w:val="es-ES"/>
              </w:rPr>
              <w:t>7 009</w:t>
            </w:r>
          </w:p>
        </w:tc>
        <w:tc>
          <w:tcPr>
            <w:tcW w:w="1134" w:type="dxa"/>
            <w:shd w:val="clear" w:color="auto" w:fill="auto"/>
            <w:noWrap/>
            <w:hideMark/>
          </w:tcPr>
          <w:p w14:paraId="5EF0E0AC" w14:textId="77777777" w:rsidR="00C009A9" w:rsidRPr="00B056E4" w:rsidRDefault="00C009A9" w:rsidP="00C0770E">
            <w:pPr>
              <w:jc w:val="right"/>
              <w:rPr>
                <w:sz w:val="20"/>
                <w:szCs w:val="20"/>
                <w:lang w:val="es-ES"/>
              </w:rPr>
            </w:pPr>
            <w:r w:rsidRPr="00B056E4">
              <w:rPr>
                <w:sz w:val="20"/>
                <w:szCs w:val="20"/>
                <w:lang w:val="es-ES"/>
              </w:rPr>
              <w:t>7 159</w:t>
            </w:r>
          </w:p>
        </w:tc>
        <w:tc>
          <w:tcPr>
            <w:tcW w:w="1417" w:type="dxa"/>
            <w:shd w:val="clear" w:color="auto" w:fill="auto"/>
            <w:noWrap/>
            <w:hideMark/>
          </w:tcPr>
          <w:p w14:paraId="59E8171A" w14:textId="77777777" w:rsidR="00C009A9" w:rsidRPr="00B056E4" w:rsidRDefault="00C009A9" w:rsidP="00C0770E">
            <w:pPr>
              <w:jc w:val="right"/>
              <w:rPr>
                <w:sz w:val="20"/>
                <w:szCs w:val="20"/>
                <w:lang w:val="es-ES"/>
              </w:rPr>
            </w:pPr>
            <w:r w:rsidRPr="00B056E4">
              <w:rPr>
                <w:sz w:val="20"/>
                <w:szCs w:val="20"/>
                <w:lang w:val="es-ES"/>
              </w:rPr>
              <w:t>20 530</w:t>
            </w:r>
          </w:p>
        </w:tc>
        <w:tc>
          <w:tcPr>
            <w:tcW w:w="1276" w:type="dxa"/>
            <w:shd w:val="clear" w:color="auto" w:fill="auto"/>
            <w:noWrap/>
            <w:hideMark/>
          </w:tcPr>
          <w:p w14:paraId="37CB1A83" w14:textId="77777777" w:rsidR="00C009A9" w:rsidRPr="00B056E4" w:rsidRDefault="00C009A9" w:rsidP="00C0770E">
            <w:pPr>
              <w:jc w:val="right"/>
              <w:rPr>
                <w:sz w:val="20"/>
                <w:szCs w:val="20"/>
                <w:lang w:val="es-ES"/>
              </w:rPr>
            </w:pPr>
            <w:r w:rsidRPr="00B056E4">
              <w:rPr>
                <w:sz w:val="20"/>
                <w:szCs w:val="20"/>
                <w:lang w:val="es-ES"/>
              </w:rPr>
              <w:t>0</w:t>
            </w:r>
          </w:p>
        </w:tc>
      </w:tr>
      <w:tr w:rsidR="00C009A9" w:rsidRPr="00B056E4" w14:paraId="2D0F4CF8" w14:textId="77777777" w:rsidTr="00C0770E">
        <w:trPr>
          <w:trHeight w:val="276"/>
        </w:trPr>
        <w:tc>
          <w:tcPr>
            <w:tcW w:w="3109" w:type="dxa"/>
            <w:shd w:val="clear" w:color="auto" w:fill="auto"/>
            <w:noWrap/>
            <w:hideMark/>
          </w:tcPr>
          <w:p w14:paraId="6AFE52DC" w14:textId="77777777" w:rsidR="00C009A9" w:rsidRPr="00B056E4" w:rsidRDefault="00C009A9" w:rsidP="00C0770E">
            <w:pPr>
              <w:jc w:val="left"/>
              <w:rPr>
                <w:sz w:val="20"/>
                <w:szCs w:val="20"/>
                <w:lang w:val="es-ES"/>
              </w:rPr>
            </w:pPr>
            <w:r w:rsidRPr="00B056E4">
              <w:rPr>
                <w:sz w:val="20"/>
                <w:szCs w:val="20"/>
                <w:lang w:val="es-ES"/>
              </w:rPr>
              <w:t>Tesorero</w:t>
            </w:r>
          </w:p>
        </w:tc>
        <w:tc>
          <w:tcPr>
            <w:tcW w:w="1134" w:type="dxa"/>
            <w:shd w:val="clear" w:color="auto" w:fill="auto"/>
            <w:noWrap/>
            <w:hideMark/>
          </w:tcPr>
          <w:p w14:paraId="39BDB7A3" w14:textId="77777777" w:rsidR="00C009A9" w:rsidRPr="00B056E4" w:rsidRDefault="00C009A9" w:rsidP="00C0770E">
            <w:pPr>
              <w:jc w:val="right"/>
              <w:rPr>
                <w:sz w:val="20"/>
                <w:szCs w:val="20"/>
                <w:lang w:val="es-ES"/>
              </w:rPr>
            </w:pPr>
            <w:r w:rsidRPr="00B056E4">
              <w:rPr>
                <w:sz w:val="20"/>
                <w:szCs w:val="20"/>
                <w:lang w:val="es-ES"/>
              </w:rPr>
              <w:t>500</w:t>
            </w:r>
          </w:p>
        </w:tc>
        <w:tc>
          <w:tcPr>
            <w:tcW w:w="1276" w:type="dxa"/>
            <w:shd w:val="clear" w:color="auto" w:fill="auto"/>
            <w:noWrap/>
            <w:hideMark/>
          </w:tcPr>
          <w:p w14:paraId="3E3AA97A" w14:textId="77777777" w:rsidR="00C009A9" w:rsidRPr="00B056E4" w:rsidRDefault="00C009A9" w:rsidP="00C0770E">
            <w:pPr>
              <w:jc w:val="right"/>
              <w:rPr>
                <w:sz w:val="20"/>
                <w:szCs w:val="20"/>
                <w:lang w:val="es-ES"/>
              </w:rPr>
            </w:pPr>
            <w:r w:rsidRPr="00B056E4">
              <w:rPr>
                <w:sz w:val="20"/>
                <w:szCs w:val="20"/>
                <w:lang w:val="es-ES"/>
              </w:rPr>
              <w:t>500</w:t>
            </w:r>
          </w:p>
        </w:tc>
        <w:tc>
          <w:tcPr>
            <w:tcW w:w="1134" w:type="dxa"/>
            <w:shd w:val="clear" w:color="auto" w:fill="auto"/>
            <w:noWrap/>
            <w:hideMark/>
          </w:tcPr>
          <w:p w14:paraId="6B848F2D" w14:textId="77777777" w:rsidR="00C009A9" w:rsidRPr="00B056E4" w:rsidRDefault="00C009A9" w:rsidP="00C0770E">
            <w:pPr>
              <w:jc w:val="right"/>
              <w:rPr>
                <w:sz w:val="20"/>
                <w:szCs w:val="20"/>
                <w:lang w:val="es-ES"/>
              </w:rPr>
            </w:pPr>
            <w:r w:rsidRPr="00B056E4">
              <w:rPr>
                <w:sz w:val="20"/>
                <w:szCs w:val="20"/>
                <w:lang w:val="es-ES"/>
              </w:rPr>
              <w:t>500</w:t>
            </w:r>
          </w:p>
        </w:tc>
        <w:tc>
          <w:tcPr>
            <w:tcW w:w="1417" w:type="dxa"/>
            <w:shd w:val="clear" w:color="auto" w:fill="auto"/>
            <w:noWrap/>
            <w:hideMark/>
          </w:tcPr>
          <w:p w14:paraId="577593BA" w14:textId="77777777" w:rsidR="00C009A9" w:rsidRPr="00B056E4" w:rsidRDefault="00C009A9" w:rsidP="00C0770E">
            <w:pPr>
              <w:jc w:val="right"/>
              <w:rPr>
                <w:sz w:val="20"/>
                <w:szCs w:val="20"/>
                <w:lang w:val="es-ES"/>
              </w:rPr>
            </w:pPr>
            <w:r w:rsidRPr="00B056E4">
              <w:rPr>
                <w:sz w:val="20"/>
                <w:szCs w:val="20"/>
                <w:lang w:val="es-ES"/>
              </w:rPr>
              <w:t>1 500</w:t>
            </w:r>
          </w:p>
        </w:tc>
        <w:tc>
          <w:tcPr>
            <w:tcW w:w="1276" w:type="dxa"/>
            <w:shd w:val="clear" w:color="auto" w:fill="auto"/>
            <w:noWrap/>
            <w:hideMark/>
          </w:tcPr>
          <w:p w14:paraId="54B13371" w14:textId="77777777" w:rsidR="00C009A9" w:rsidRPr="00B056E4" w:rsidRDefault="00C009A9" w:rsidP="00C0770E">
            <w:pPr>
              <w:jc w:val="right"/>
              <w:rPr>
                <w:sz w:val="20"/>
                <w:szCs w:val="20"/>
                <w:lang w:val="es-ES"/>
              </w:rPr>
            </w:pPr>
            <w:r w:rsidRPr="00B056E4">
              <w:rPr>
                <w:sz w:val="20"/>
                <w:szCs w:val="20"/>
                <w:lang w:val="es-ES"/>
              </w:rPr>
              <w:t>0</w:t>
            </w:r>
          </w:p>
        </w:tc>
      </w:tr>
      <w:tr w:rsidR="00C009A9" w:rsidRPr="00B056E4" w14:paraId="4C75BF42" w14:textId="77777777" w:rsidTr="00C0770E">
        <w:trPr>
          <w:trHeight w:val="276"/>
        </w:trPr>
        <w:tc>
          <w:tcPr>
            <w:tcW w:w="3109" w:type="dxa"/>
            <w:shd w:val="clear" w:color="auto" w:fill="auto"/>
            <w:noWrap/>
            <w:hideMark/>
          </w:tcPr>
          <w:p w14:paraId="3F08948B" w14:textId="77777777" w:rsidR="00C009A9" w:rsidRPr="00B056E4" w:rsidRDefault="00C009A9" w:rsidP="00C0770E">
            <w:pPr>
              <w:jc w:val="left"/>
              <w:rPr>
                <w:b/>
                <w:bCs/>
                <w:sz w:val="20"/>
                <w:szCs w:val="20"/>
                <w:lang w:val="es-ES"/>
              </w:rPr>
            </w:pPr>
            <w:r w:rsidRPr="00B056E4">
              <w:rPr>
                <w:b/>
                <w:bCs/>
                <w:sz w:val="20"/>
                <w:szCs w:val="20"/>
                <w:lang w:val="es-ES"/>
              </w:rPr>
              <w:t>Total parcial de las actividades estándar</w:t>
            </w:r>
          </w:p>
        </w:tc>
        <w:tc>
          <w:tcPr>
            <w:tcW w:w="1134" w:type="dxa"/>
            <w:shd w:val="clear" w:color="auto" w:fill="auto"/>
            <w:noWrap/>
            <w:hideMark/>
          </w:tcPr>
          <w:p w14:paraId="47377927" w14:textId="77777777" w:rsidR="00C009A9" w:rsidRPr="00B056E4" w:rsidRDefault="00C009A9" w:rsidP="00C0770E">
            <w:pPr>
              <w:jc w:val="right"/>
              <w:rPr>
                <w:b/>
                <w:bCs/>
                <w:sz w:val="20"/>
                <w:szCs w:val="20"/>
                <w:lang w:val="es-ES"/>
              </w:rPr>
            </w:pPr>
            <w:r w:rsidRPr="00B056E4">
              <w:rPr>
                <w:b/>
                <w:bCs/>
                <w:sz w:val="20"/>
                <w:szCs w:val="20"/>
                <w:lang w:val="es-ES"/>
              </w:rPr>
              <w:t>35 993</w:t>
            </w:r>
          </w:p>
        </w:tc>
        <w:tc>
          <w:tcPr>
            <w:tcW w:w="1276" w:type="dxa"/>
            <w:shd w:val="clear" w:color="auto" w:fill="auto"/>
            <w:noWrap/>
            <w:hideMark/>
          </w:tcPr>
          <w:p w14:paraId="362FB325" w14:textId="77777777" w:rsidR="00C009A9" w:rsidRPr="00B056E4" w:rsidRDefault="00C009A9" w:rsidP="00C0770E">
            <w:pPr>
              <w:jc w:val="right"/>
              <w:rPr>
                <w:b/>
                <w:bCs/>
                <w:sz w:val="20"/>
                <w:szCs w:val="20"/>
                <w:lang w:val="es-ES"/>
              </w:rPr>
            </w:pPr>
            <w:r w:rsidRPr="00B056E4">
              <w:rPr>
                <w:b/>
                <w:bCs/>
                <w:sz w:val="20"/>
                <w:szCs w:val="20"/>
                <w:lang w:val="es-ES"/>
              </w:rPr>
              <w:t>35 141</w:t>
            </w:r>
          </w:p>
        </w:tc>
        <w:tc>
          <w:tcPr>
            <w:tcW w:w="1134" w:type="dxa"/>
            <w:shd w:val="clear" w:color="auto" w:fill="auto"/>
            <w:noWrap/>
            <w:hideMark/>
          </w:tcPr>
          <w:p w14:paraId="5EF87472" w14:textId="77777777" w:rsidR="00C009A9" w:rsidRPr="00B056E4" w:rsidRDefault="00C009A9" w:rsidP="00C0770E">
            <w:pPr>
              <w:jc w:val="right"/>
              <w:rPr>
                <w:b/>
                <w:bCs/>
                <w:sz w:val="20"/>
                <w:szCs w:val="20"/>
                <w:lang w:val="es-ES"/>
              </w:rPr>
            </w:pPr>
            <w:r w:rsidRPr="00B056E4">
              <w:rPr>
                <w:b/>
                <w:bCs/>
                <w:sz w:val="20"/>
                <w:szCs w:val="20"/>
                <w:lang w:val="es-ES"/>
              </w:rPr>
              <w:t>37 569</w:t>
            </w:r>
          </w:p>
        </w:tc>
        <w:tc>
          <w:tcPr>
            <w:tcW w:w="1417" w:type="dxa"/>
            <w:shd w:val="clear" w:color="auto" w:fill="auto"/>
            <w:noWrap/>
            <w:hideMark/>
          </w:tcPr>
          <w:p w14:paraId="7C9829BA" w14:textId="77777777" w:rsidR="00C009A9" w:rsidRPr="00B056E4" w:rsidRDefault="00C009A9" w:rsidP="00C0770E">
            <w:pPr>
              <w:jc w:val="right"/>
              <w:rPr>
                <w:b/>
                <w:bCs/>
                <w:sz w:val="20"/>
                <w:szCs w:val="20"/>
                <w:lang w:val="es-ES"/>
              </w:rPr>
            </w:pPr>
            <w:r w:rsidRPr="00B056E4">
              <w:rPr>
                <w:b/>
                <w:bCs/>
                <w:sz w:val="20"/>
                <w:szCs w:val="20"/>
                <w:lang w:val="es-ES"/>
              </w:rPr>
              <w:t>108 702</w:t>
            </w:r>
          </w:p>
        </w:tc>
        <w:tc>
          <w:tcPr>
            <w:tcW w:w="1276" w:type="dxa"/>
            <w:shd w:val="clear" w:color="auto" w:fill="auto"/>
            <w:noWrap/>
            <w:hideMark/>
          </w:tcPr>
          <w:p w14:paraId="7485CF7C" w14:textId="77777777" w:rsidR="00C009A9" w:rsidRPr="00B056E4" w:rsidRDefault="00C009A9" w:rsidP="00C0770E">
            <w:pPr>
              <w:jc w:val="right"/>
              <w:rPr>
                <w:b/>
                <w:bCs/>
                <w:sz w:val="20"/>
                <w:szCs w:val="20"/>
                <w:lang w:val="es-ES"/>
              </w:rPr>
            </w:pPr>
            <w:r w:rsidRPr="00B056E4">
              <w:rPr>
                <w:b/>
                <w:bCs/>
                <w:sz w:val="20"/>
                <w:szCs w:val="20"/>
                <w:lang w:val="es-ES"/>
              </w:rPr>
              <w:t>677</w:t>
            </w:r>
          </w:p>
        </w:tc>
      </w:tr>
      <w:tr w:rsidR="00C009A9" w:rsidRPr="00B056E4" w14:paraId="2423EBE9" w14:textId="77777777" w:rsidTr="00C0770E">
        <w:trPr>
          <w:trHeight w:val="276"/>
        </w:trPr>
        <w:tc>
          <w:tcPr>
            <w:tcW w:w="3109" w:type="dxa"/>
            <w:shd w:val="clear" w:color="auto" w:fill="auto"/>
            <w:noWrap/>
            <w:hideMark/>
          </w:tcPr>
          <w:p w14:paraId="5C372084" w14:textId="77777777" w:rsidR="00C009A9" w:rsidRPr="00B056E4" w:rsidRDefault="00C009A9" w:rsidP="00C0770E">
            <w:pPr>
              <w:jc w:val="left"/>
              <w:rPr>
                <w:b/>
                <w:bCs/>
                <w:sz w:val="20"/>
                <w:szCs w:val="20"/>
                <w:lang w:val="es-ES"/>
              </w:rPr>
            </w:pPr>
            <w:r w:rsidRPr="00B056E4">
              <w:rPr>
                <w:b/>
                <w:bCs/>
                <w:sz w:val="20"/>
                <w:szCs w:val="20"/>
                <w:lang w:val="es-ES"/>
              </w:rPr>
              <w:t>Suma total</w:t>
            </w:r>
          </w:p>
        </w:tc>
        <w:tc>
          <w:tcPr>
            <w:tcW w:w="1134" w:type="dxa"/>
            <w:shd w:val="clear" w:color="auto" w:fill="auto"/>
            <w:noWrap/>
            <w:hideMark/>
          </w:tcPr>
          <w:p w14:paraId="49E7441D" w14:textId="77777777" w:rsidR="00C009A9" w:rsidRPr="00B056E4" w:rsidRDefault="00C009A9" w:rsidP="00C0770E">
            <w:pPr>
              <w:jc w:val="right"/>
              <w:rPr>
                <w:b/>
                <w:bCs/>
                <w:sz w:val="20"/>
                <w:szCs w:val="20"/>
                <w:lang w:val="es-ES"/>
              </w:rPr>
            </w:pPr>
            <w:r w:rsidRPr="00B056E4">
              <w:rPr>
                <w:b/>
                <w:bCs/>
                <w:sz w:val="20"/>
                <w:szCs w:val="20"/>
                <w:lang w:val="es-ES"/>
              </w:rPr>
              <w:t>214 860</w:t>
            </w:r>
          </w:p>
        </w:tc>
        <w:tc>
          <w:tcPr>
            <w:tcW w:w="1276" w:type="dxa"/>
            <w:shd w:val="clear" w:color="auto" w:fill="auto"/>
            <w:noWrap/>
            <w:hideMark/>
          </w:tcPr>
          <w:p w14:paraId="482CF669" w14:textId="77777777" w:rsidR="00C009A9" w:rsidRPr="00B056E4" w:rsidRDefault="00C009A9" w:rsidP="00C0770E">
            <w:pPr>
              <w:jc w:val="right"/>
              <w:rPr>
                <w:b/>
                <w:bCs/>
                <w:sz w:val="20"/>
                <w:szCs w:val="20"/>
                <w:lang w:val="es-ES"/>
              </w:rPr>
            </w:pPr>
            <w:r w:rsidRPr="00B056E4">
              <w:rPr>
                <w:b/>
                <w:bCs/>
                <w:sz w:val="20"/>
                <w:szCs w:val="20"/>
                <w:lang w:val="es-ES"/>
              </w:rPr>
              <w:t>178 190</w:t>
            </w:r>
          </w:p>
        </w:tc>
        <w:tc>
          <w:tcPr>
            <w:tcW w:w="1134" w:type="dxa"/>
            <w:shd w:val="clear" w:color="auto" w:fill="auto"/>
            <w:noWrap/>
            <w:hideMark/>
          </w:tcPr>
          <w:p w14:paraId="7FF5E6DE" w14:textId="77777777" w:rsidR="00C009A9" w:rsidRPr="00B056E4" w:rsidRDefault="00C009A9" w:rsidP="00C0770E">
            <w:pPr>
              <w:jc w:val="right"/>
              <w:rPr>
                <w:b/>
                <w:bCs/>
                <w:sz w:val="20"/>
                <w:szCs w:val="20"/>
                <w:lang w:val="es-ES"/>
              </w:rPr>
            </w:pPr>
            <w:r w:rsidRPr="00B056E4">
              <w:rPr>
                <w:b/>
                <w:bCs/>
                <w:sz w:val="20"/>
                <w:szCs w:val="20"/>
                <w:lang w:val="es-ES"/>
              </w:rPr>
              <w:t>181 692</w:t>
            </w:r>
          </w:p>
        </w:tc>
        <w:tc>
          <w:tcPr>
            <w:tcW w:w="1417" w:type="dxa"/>
            <w:shd w:val="clear" w:color="auto" w:fill="auto"/>
            <w:noWrap/>
            <w:hideMark/>
          </w:tcPr>
          <w:p w14:paraId="17A6D2DB" w14:textId="77777777" w:rsidR="00C009A9" w:rsidRPr="00B056E4" w:rsidRDefault="00C009A9" w:rsidP="00C0770E">
            <w:pPr>
              <w:jc w:val="right"/>
              <w:rPr>
                <w:b/>
                <w:bCs/>
                <w:sz w:val="20"/>
                <w:szCs w:val="20"/>
                <w:lang w:val="es-ES"/>
              </w:rPr>
            </w:pPr>
            <w:r w:rsidRPr="00B056E4">
              <w:rPr>
                <w:b/>
                <w:bCs/>
                <w:sz w:val="20"/>
                <w:szCs w:val="20"/>
                <w:lang w:val="es-ES"/>
              </w:rPr>
              <w:t>574 743</w:t>
            </w:r>
          </w:p>
        </w:tc>
        <w:tc>
          <w:tcPr>
            <w:tcW w:w="1276" w:type="dxa"/>
            <w:shd w:val="clear" w:color="auto" w:fill="auto"/>
            <w:noWrap/>
            <w:hideMark/>
          </w:tcPr>
          <w:p w14:paraId="75F3C6F0" w14:textId="77777777" w:rsidR="00C009A9" w:rsidRPr="00B056E4" w:rsidRDefault="00C009A9" w:rsidP="00C0770E">
            <w:pPr>
              <w:jc w:val="right"/>
              <w:rPr>
                <w:b/>
                <w:bCs/>
                <w:sz w:val="20"/>
                <w:szCs w:val="20"/>
                <w:lang w:val="es-ES"/>
              </w:rPr>
            </w:pPr>
            <w:r w:rsidRPr="00B056E4">
              <w:rPr>
                <w:b/>
                <w:bCs/>
                <w:sz w:val="20"/>
                <w:szCs w:val="20"/>
                <w:lang w:val="es-ES"/>
              </w:rPr>
              <w:t>436 495</w:t>
            </w:r>
          </w:p>
        </w:tc>
      </w:tr>
      <w:tr w:rsidR="00C009A9" w:rsidRPr="00B056E4" w14:paraId="13291F3B" w14:textId="77777777" w:rsidTr="00C0770E">
        <w:trPr>
          <w:trHeight w:val="276"/>
        </w:trPr>
        <w:tc>
          <w:tcPr>
            <w:tcW w:w="3109" w:type="dxa"/>
            <w:shd w:val="clear" w:color="auto" w:fill="auto"/>
            <w:noWrap/>
            <w:hideMark/>
          </w:tcPr>
          <w:p w14:paraId="111E13E7" w14:textId="77777777" w:rsidR="00C009A9" w:rsidRPr="00B056E4" w:rsidRDefault="00C009A9" w:rsidP="00C0770E">
            <w:pPr>
              <w:jc w:val="left"/>
              <w:rPr>
                <w:sz w:val="20"/>
                <w:szCs w:val="20"/>
                <w:lang w:val="es-ES"/>
              </w:rPr>
            </w:pPr>
            <w:r w:rsidRPr="00B056E4">
              <w:rPr>
                <w:sz w:val="20"/>
                <w:szCs w:val="20"/>
                <w:lang w:val="es-ES"/>
              </w:rPr>
              <w:t>Presupuesto indicativo</w:t>
            </w:r>
          </w:p>
        </w:tc>
        <w:tc>
          <w:tcPr>
            <w:tcW w:w="1134" w:type="dxa"/>
            <w:shd w:val="clear" w:color="auto" w:fill="auto"/>
            <w:noWrap/>
            <w:hideMark/>
          </w:tcPr>
          <w:p w14:paraId="49EE389E" w14:textId="77777777" w:rsidR="00C009A9" w:rsidRPr="00B056E4" w:rsidRDefault="00C009A9" w:rsidP="00C0770E">
            <w:pPr>
              <w:jc w:val="right"/>
              <w:rPr>
                <w:sz w:val="20"/>
                <w:szCs w:val="20"/>
                <w:lang w:val="es-ES"/>
              </w:rPr>
            </w:pPr>
            <w:r w:rsidRPr="00B056E4">
              <w:rPr>
                <w:sz w:val="20"/>
                <w:szCs w:val="20"/>
                <w:lang w:val="es-ES"/>
              </w:rPr>
              <w:t>171 000</w:t>
            </w:r>
          </w:p>
        </w:tc>
        <w:tc>
          <w:tcPr>
            <w:tcW w:w="1276" w:type="dxa"/>
            <w:shd w:val="clear" w:color="auto" w:fill="auto"/>
            <w:noWrap/>
            <w:hideMark/>
          </w:tcPr>
          <w:p w14:paraId="52FEEBF9" w14:textId="77777777" w:rsidR="00C009A9" w:rsidRPr="00B056E4" w:rsidRDefault="00C009A9" w:rsidP="00C0770E">
            <w:pPr>
              <w:jc w:val="right"/>
              <w:rPr>
                <w:sz w:val="20"/>
                <w:szCs w:val="20"/>
                <w:lang w:val="es-ES"/>
              </w:rPr>
            </w:pPr>
            <w:r w:rsidRPr="00B056E4">
              <w:rPr>
                <w:sz w:val="20"/>
                <w:szCs w:val="20"/>
                <w:lang w:val="es-ES"/>
              </w:rPr>
              <w:t>180 000**</w:t>
            </w:r>
          </w:p>
        </w:tc>
        <w:tc>
          <w:tcPr>
            <w:tcW w:w="1134" w:type="dxa"/>
            <w:shd w:val="clear" w:color="auto" w:fill="auto"/>
            <w:noWrap/>
            <w:hideMark/>
          </w:tcPr>
          <w:p w14:paraId="18AFA2D9" w14:textId="77777777" w:rsidR="00C009A9" w:rsidRPr="00B056E4" w:rsidRDefault="00C009A9" w:rsidP="00C0770E">
            <w:pPr>
              <w:jc w:val="right"/>
              <w:rPr>
                <w:sz w:val="20"/>
                <w:szCs w:val="20"/>
                <w:lang w:val="es-ES"/>
              </w:rPr>
            </w:pPr>
            <w:r w:rsidRPr="00B056E4">
              <w:rPr>
                <w:sz w:val="20"/>
                <w:szCs w:val="20"/>
                <w:lang w:val="es-ES"/>
              </w:rPr>
              <w:t>180 000**</w:t>
            </w:r>
          </w:p>
        </w:tc>
        <w:tc>
          <w:tcPr>
            <w:tcW w:w="1417" w:type="dxa"/>
            <w:shd w:val="clear" w:color="auto" w:fill="auto"/>
            <w:noWrap/>
            <w:hideMark/>
          </w:tcPr>
          <w:p w14:paraId="25072E2F" w14:textId="77777777" w:rsidR="00C009A9" w:rsidRPr="00B056E4" w:rsidRDefault="00C009A9" w:rsidP="00C0770E">
            <w:pPr>
              <w:jc w:val="right"/>
              <w:rPr>
                <w:sz w:val="20"/>
                <w:szCs w:val="20"/>
                <w:lang w:val="es-ES"/>
              </w:rPr>
            </w:pPr>
            <w:r w:rsidRPr="00B056E4">
              <w:rPr>
                <w:sz w:val="20"/>
                <w:szCs w:val="20"/>
                <w:lang w:val="es-ES"/>
              </w:rPr>
              <w:t>531 000</w:t>
            </w:r>
          </w:p>
        </w:tc>
        <w:tc>
          <w:tcPr>
            <w:tcW w:w="1276" w:type="dxa"/>
            <w:shd w:val="clear" w:color="auto" w:fill="auto"/>
            <w:noWrap/>
            <w:hideMark/>
          </w:tcPr>
          <w:p w14:paraId="1F838244" w14:textId="77777777" w:rsidR="00C009A9" w:rsidRPr="00B056E4" w:rsidRDefault="00C009A9" w:rsidP="00C0770E">
            <w:pPr>
              <w:jc w:val="left"/>
              <w:rPr>
                <w:sz w:val="20"/>
                <w:szCs w:val="20"/>
                <w:lang w:val="es-ES"/>
              </w:rPr>
            </w:pPr>
            <w:r w:rsidRPr="00B056E4">
              <w:rPr>
                <w:sz w:val="20"/>
                <w:szCs w:val="20"/>
                <w:lang w:val="es-ES"/>
              </w:rPr>
              <w:t> </w:t>
            </w:r>
          </w:p>
        </w:tc>
      </w:tr>
      <w:tr w:rsidR="00C009A9" w:rsidRPr="00B056E4" w14:paraId="2C7B4E2E" w14:textId="77777777" w:rsidTr="00C0770E">
        <w:trPr>
          <w:trHeight w:val="276"/>
        </w:trPr>
        <w:tc>
          <w:tcPr>
            <w:tcW w:w="3109" w:type="dxa"/>
            <w:shd w:val="clear" w:color="auto" w:fill="auto"/>
            <w:noWrap/>
            <w:hideMark/>
          </w:tcPr>
          <w:p w14:paraId="2B9FDA93" w14:textId="77777777" w:rsidR="00C009A9" w:rsidRPr="00B056E4" w:rsidRDefault="00C009A9" w:rsidP="00C0770E">
            <w:pPr>
              <w:jc w:val="left"/>
              <w:rPr>
                <w:sz w:val="20"/>
                <w:szCs w:val="20"/>
                <w:lang w:val="es-ES"/>
              </w:rPr>
            </w:pPr>
            <w:r w:rsidRPr="00B056E4">
              <w:rPr>
                <w:sz w:val="20"/>
                <w:szCs w:val="20"/>
                <w:lang w:val="es-ES"/>
              </w:rPr>
              <w:t>Diferencia</w:t>
            </w:r>
          </w:p>
        </w:tc>
        <w:tc>
          <w:tcPr>
            <w:tcW w:w="1134" w:type="dxa"/>
            <w:shd w:val="clear" w:color="auto" w:fill="auto"/>
            <w:noWrap/>
            <w:hideMark/>
          </w:tcPr>
          <w:p w14:paraId="2E90FF76" w14:textId="77777777" w:rsidR="00C009A9" w:rsidRPr="00B056E4" w:rsidRDefault="00C009A9" w:rsidP="00C0770E">
            <w:pPr>
              <w:jc w:val="right"/>
              <w:rPr>
                <w:sz w:val="20"/>
                <w:szCs w:val="20"/>
                <w:lang w:val="es-ES"/>
              </w:rPr>
            </w:pPr>
            <w:r w:rsidRPr="00B056E4">
              <w:rPr>
                <w:sz w:val="20"/>
                <w:szCs w:val="20"/>
                <w:lang w:val="es-ES"/>
              </w:rPr>
              <w:t>43 860</w:t>
            </w:r>
          </w:p>
        </w:tc>
        <w:tc>
          <w:tcPr>
            <w:tcW w:w="1276" w:type="dxa"/>
            <w:shd w:val="clear" w:color="auto" w:fill="auto"/>
            <w:noWrap/>
            <w:hideMark/>
          </w:tcPr>
          <w:p w14:paraId="0BA52557" w14:textId="77777777" w:rsidR="00C009A9" w:rsidRPr="00B056E4" w:rsidRDefault="00C009A9" w:rsidP="00C0770E">
            <w:pPr>
              <w:jc w:val="right"/>
              <w:rPr>
                <w:sz w:val="20"/>
                <w:szCs w:val="20"/>
                <w:lang w:val="es-ES"/>
              </w:rPr>
            </w:pPr>
            <w:r w:rsidRPr="00B056E4">
              <w:rPr>
                <w:sz w:val="20"/>
                <w:szCs w:val="20"/>
                <w:lang w:val="es-ES"/>
              </w:rPr>
              <w:t>(1 810)</w:t>
            </w:r>
          </w:p>
        </w:tc>
        <w:tc>
          <w:tcPr>
            <w:tcW w:w="1134" w:type="dxa"/>
            <w:shd w:val="clear" w:color="auto" w:fill="auto"/>
            <w:noWrap/>
            <w:hideMark/>
          </w:tcPr>
          <w:p w14:paraId="59963B6B" w14:textId="77777777" w:rsidR="00C009A9" w:rsidRPr="00B056E4" w:rsidRDefault="00C009A9" w:rsidP="00C0770E">
            <w:pPr>
              <w:jc w:val="right"/>
              <w:rPr>
                <w:sz w:val="20"/>
                <w:szCs w:val="20"/>
                <w:lang w:val="es-ES"/>
              </w:rPr>
            </w:pPr>
            <w:r w:rsidRPr="00B056E4">
              <w:rPr>
                <w:sz w:val="20"/>
                <w:szCs w:val="20"/>
                <w:lang w:val="es-ES"/>
              </w:rPr>
              <w:t>1 692</w:t>
            </w:r>
          </w:p>
        </w:tc>
        <w:tc>
          <w:tcPr>
            <w:tcW w:w="1417" w:type="dxa"/>
            <w:shd w:val="clear" w:color="auto" w:fill="auto"/>
            <w:noWrap/>
            <w:hideMark/>
          </w:tcPr>
          <w:p w14:paraId="73725647" w14:textId="77777777" w:rsidR="00C009A9" w:rsidRPr="00B056E4" w:rsidRDefault="00C009A9" w:rsidP="00C0770E">
            <w:pPr>
              <w:jc w:val="right"/>
              <w:rPr>
                <w:sz w:val="20"/>
                <w:szCs w:val="20"/>
                <w:lang w:val="es-ES"/>
              </w:rPr>
            </w:pPr>
            <w:r w:rsidRPr="00B056E4">
              <w:rPr>
                <w:sz w:val="20"/>
                <w:szCs w:val="20"/>
                <w:lang w:val="es-ES"/>
              </w:rPr>
              <w:t>43 743</w:t>
            </w:r>
          </w:p>
        </w:tc>
        <w:tc>
          <w:tcPr>
            <w:tcW w:w="1276" w:type="dxa"/>
            <w:shd w:val="clear" w:color="auto" w:fill="auto"/>
            <w:noWrap/>
            <w:hideMark/>
          </w:tcPr>
          <w:p w14:paraId="0464DCE7" w14:textId="77777777" w:rsidR="00C009A9" w:rsidRPr="00B056E4" w:rsidRDefault="00C009A9" w:rsidP="00C0770E">
            <w:pPr>
              <w:jc w:val="left"/>
              <w:rPr>
                <w:sz w:val="20"/>
                <w:szCs w:val="20"/>
                <w:lang w:val="es-ES"/>
              </w:rPr>
            </w:pPr>
            <w:r w:rsidRPr="00B056E4">
              <w:rPr>
                <w:sz w:val="20"/>
                <w:szCs w:val="20"/>
                <w:lang w:val="es-ES"/>
              </w:rPr>
              <w:t> </w:t>
            </w:r>
          </w:p>
        </w:tc>
      </w:tr>
    </w:tbl>
    <w:p w14:paraId="11730066" w14:textId="77777777" w:rsidR="00C009A9" w:rsidRPr="00B056E4" w:rsidRDefault="00C009A9" w:rsidP="00C009A9">
      <w:pPr>
        <w:jc w:val="left"/>
        <w:rPr>
          <w:sz w:val="18"/>
          <w:szCs w:val="18"/>
          <w:lang w:val="es-ES"/>
        </w:rPr>
      </w:pPr>
      <w:r w:rsidRPr="00B056E4">
        <w:rPr>
          <w:sz w:val="18"/>
          <w:szCs w:val="18"/>
          <w:lang w:val="es-ES"/>
        </w:rPr>
        <w:t>* Incluidos los gastos de apoyo al organismo, cuando proceda.</w:t>
      </w:r>
    </w:p>
    <w:p w14:paraId="03E2F9B0" w14:textId="77777777" w:rsidR="00C009A9" w:rsidRPr="00B056E4" w:rsidRDefault="00C009A9" w:rsidP="00C009A9">
      <w:pPr>
        <w:jc w:val="left"/>
        <w:rPr>
          <w:sz w:val="18"/>
          <w:szCs w:val="18"/>
          <w:lang w:val="es-ES"/>
        </w:rPr>
      </w:pPr>
      <w:r w:rsidRPr="00B056E4">
        <w:rPr>
          <w:sz w:val="18"/>
          <w:szCs w:val="18"/>
          <w:lang w:val="es-ES"/>
        </w:rPr>
        <w:t>** Se ha asumido el mismo volumen de reposición del Fondo Multilateral de 2018-2020.</w:t>
      </w:r>
    </w:p>
    <w:p w14:paraId="359183FE" w14:textId="77777777" w:rsidR="00C009A9" w:rsidRPr="00B056E4" w:rsidRDefault="00C009A9" w:rsidP="00C009A9">
      <w:pPr>
        <w:jc w:val="left"/>
        <w:rPr>
          <w:sz w:val="18"/>
          <w:szCs w:val="18"/>
          <w:lang w:val="es-ES"/>
        </w:rPr>
      </w:pPr>
    </w:p>
    <w:p w14:paraId="2A8183D0" w14:textId="77777777" w:rsidR="00C009A9" w:rsidRPr="00B056E4" w:rsidRDefault="00C009A9" w:rsidP="00DA46F0">
      <w:pPr>
        <w:pStyle w:val="Heading1"/>
        <w:keepNext/>
        <w:numPr>
          <w:ilvl w:val="0"/>
          <w:numId w:val="0"/>
        </w:numPr>
        <w:rPr>
          <w:b/>
          <w:lang w:val="es-ES"/>
        </w:rPr>
      </w:pPr>
      <w:r w:rsidRPr="00B056E4">
        <w:rPr>
          <w:b/>
          <w:lang w:val="es-ES"/>
        </w:rPr>
        <w:lastRenderedPageBreak/>
        <w:t xml:space="preserve">Observaciones de la Secretaría </w:t>
      </w:r>
    </w:p>
    <w:p w14:paraId="45AA828D" w14:textId="77777777" w:rsidR="00C009A9" w:rsidRPr="00B056E4" w:rsidRDefault="00C009A9" w:rsidP="00DA46F0">
      <w:pPr>
        <w:pStyle w:val="Heading1"/>
        <w:keepNext/>
        <w:numPr>
          <w:ilvl w:val="0"/>
          <w:numId w:val="0"/>
        </w:numPr>
        <w:rPr>
          <w:u w:val="single"/>
          <w:lang w:val="es-ES"/>
        </w:rPr>
      </w:pPr>
      <w:r w:rsidRPr="00B056E4">
        <w:rPr>
          <w:u w:val="single"/>
          <w:lang w:val="es-ES"/>
        </w:rPr>
        <w:t>Producción de HCFC: etapa I y preparación de proyectos</w:t>
      </w:r>
    </w:p>
    <w:p w14:paraId="395F39B5" w14:textId="77777777" w:rsidR="00C009A9" w:rsidRPr="00B056E4" w:rsidRDefault="00C009A9" w:rsidP="00DA46F0">
      <w:pPr>
        <w:pStyle w:val="Heading1"/>
        <w:keepNext/>
        <w:rPr>
          <w:lang w:val="es-ES"/>
        </w:rPr>
      </w:pPr>
      <w:r w:rsidRPr="00B056E4">
        <w:rPr>
          <w:lang w:val="es-ES"/>
        </w:rPr>
        <w:t>En la etapa I del PGEPH para la India se ha incluido un monto de 5,35 millones de $EUA (incluidos 3,21 millones de $EUA para el período 2020-2022) y 80 000 $EUA para la preparación de proyectos. En la 70ª reunión, se solicitó al Banco Mundial que certificara el año de inicio de la línea de producción de HCFC-22 en la India por parte de la empresa Hindustan Fluorocarbons Limited. La Secretaría no ha recibido todavía información que confirme la producción de HCFC-22 para usos controlados antes de la fecha de interrupción del 21 de septiembre de 2007.</w:t>
      </w:r>
    </w:p>
    <w:p w14:paraId="1535B078" w14:textId="77777777" w:rsidR="00C009A9" w:rsidRPr="00B056E4" w:rsidRDefault="00C009A9" w:rsidP="00C009A9">
      <w:pPr>
        <w:pStyle w:val="Heading1"/>
        <w:numPr>
          <w:ilvl w:val="0"/>
          <w:numId w:val="0"/>
        </w:numPr>
        <w:rPr>
          <w:u w:val="single"/>
          <w:lang w:val="es-ES"/>
        </w:rPr>
      </w:pPr>
      <w:r w:rsidRPr="00B056E4">
        <w:rPr>
          <w:u w:val="single"/>
          <w:lang w:val="es-ES"/>
        </w:rPr>
        <w:t>Producción de HCF: etapa II</w:t>
      </w:r>
    </w:p>
    <w:p w14:paraId="47BFABA8" w14:textId="77777777" w:rsidR="00C009A9" w:rsidRPr="00B056E4" w:rsidRDefault="00C009A9" w:rsidP="00C009A9">
      <w:pPr>
        <w:pStyle w:val="Heading1"/>
        <w:rPr>
          <w:lang w:val="es-ES"/>
        </w:rPr>
      </w:pPr>
      <w:r w:rsidRPr="00B056E4">
        <w:rPr>
          <w:lang w:val="es-ES"/>
        </w:rPr>
        <w:t>Se incluyen 259,52 millones de $EUA para el PGEPH de China. Esta cantidad incluye 77,96 millones de $EUA para el período 2020-2022 y 181,56 millones de $EUA para después de 2022. En la 81ª reunión, el Comité Ejecutivo aprobó, entre otras cosas y de forma extraordinaria, 24,29 millones de $EUA (incluidos los gastos de apoyo al organismo) para el PGEPH de China, indicando que esta cantidad se deduciría de los fondos de la etapa II</w:t>
      </w:r>
      <w:r w:rsidRPr="00B056E4">
        <w:rPr>
          <w:rStyle w:val="FootnoteReference"/>
          <w:lang w:val="es-ES"/>
        </w:rPr>
        <w:footnoteReference w:id="7"/>
      </w:r>
      <w:r w:rsidRPr="00B056E4">
        <w:rPr>
          <w:lang w:val="es-ES"/>
        </w:rPr>
        <w:t>.  Habida cuenta de las aprobaciones efectuadas en la 81ª reunión, el volumen medio anual de financiación tras la etapa I del plan de gestión de eliminación de la producción de HCFC (PGEPH), comenzando en 2019, debería ser 23,50 millones de $EUA (o 70,49 millones de $EUA para el periodo 2020–2022) asumiendo el monto máximo de financiación (406,56 millones</w:t>
      </w:r>
      <w:r w:rsidRPr="00B056E4">
        <w:rPr>
          <w:lang w:val="es-ES"/>
        </w:rPr>
        <w:br/>
        <w:t>de $EUA)</w:t>
      </w:r>
      <w:r w:rsidRPr="00B056E4">
        <w:rPr>
          <w:rStyle w:val="FootnoteReference"/>
          <w:lang w:val="es-ES"/>
        </w:rPr>
        <w:footnoteReference w:id="8"/>
      </w:r>
      <w:r w:rsidRPr="00B056E4">
        <w:rPr>
          <w:lang w:val="es-ES"/>
        </w:rPr>
        <w:t xml:space="preserve">, incluidos los gastos de apoyo al organismo, conforme a la decisión 69/28(e). Por tanto, el nivel de financiación propuesto para 2020-2022 superaría el monto medio anual en, aproximadamente, un 10,6%. </w:t>
      </w:r>
    </w:p>
    <w:p w14:paraId="1F29317D" w14:textId="77777777" w:rsidR="00C009A9" w:rsidRPr="00B056E4" w:rsidRDefault="00C009A9" w:rsidP="00C009A9">
      <w:pPr>
        <w:pStyle w:val="Heading1"/>
        <w:rPr>
          <w:lang w:val="es-ES"/>
        </w:rPr>
      </w:pPr>
      <w:r w:rsidRPr="00B056E4">
        <w:rPr>
          <w:lang w:val="es-ES"/>
        </w:rPr>
        <w:t>La solicitud de financiación para la etapa II del PGEPH de China se ha vuelvo a presentar en la 84ª reunión, de acuerdo con la decisión 83/72.</w:t>
      </w:r>
    </w:p>
    <w:p w14:paraId="0A5C39A4" w14:textId="77777777" w:rsidR="00C009A9" w:rsidRPr="00B056E4" w:rsidRDefault="00C009A9" w:rsidP="00C009A9">
      <w:pPr>
        <w:pStyle w:val="Heading1"/>
        <w:keepNext/>
        <w:numPr>
          <w:ilvl w:val="0"/>
          <w:numId w:val="0"/>
        </w:numPr>
        <w:rPr>
          <w:u w:val="single"/>
          <w:lang w:val="es-ES"/>
        </w:rPr>
      </w:pPr>
      <w:r w:rsidRPr="00B056E4">
        <w:rPr>
          <w:u w:val="single"/>
          <w:lang w:val="es-ES"/>
        </w:rPr>
        <w:t xml:space="preserve">Etapa I de los PGEH y proyectos adicionales </w:t>
      </w:r>
    </w:p>
    <w:p w14:paraId="0F1C0905" w14:textId="77777777" w:rsidR="00C009A9" w:rsidRPr="00B056E4" w:rsidRDefault="00C009A9" w:rsidP="00C009A9">
      <w:pPr>
        <w:pStyle w:val="Heading1"/>
        <w:rPr>
          <w:lang w:val="es-ES"/>
        </w:rPr>
      </w:pPr>
      <w:r w:rsidRPr="00B056E4">
        <w:rPr>
          <w:lang w:val="es-ES"/>
        </w:rPr>
        <w:t>Hay un país (la República Árabe Siria)</w:t>
      </w:r>
      <w:r w:rsidRPr="00B056E4">
        <w:rPr>
          <w:rStyle w:val="FootnoteReference"/>
          <w:lang w:val="es-ES"/>
        </w:rPr>
        <w:footnoteReference w:id="9"/>
      </w:r>
      <w:r w:rsidRPr="00B056E4">
        <w:rPr>
          <w:lang w:val="es-ES"/>
        </w:rPr>
        <w:t xml:space="preserve"> para el que aún no se ha aprobado la etapa I del PGEH. El plan administrativo incluye un monto de 846 137 $EUA para actividades correspondientes al período 2020-2022. </w:t>
      </w:r>
    </w:p>
    <w:p w14:paraId="4192C062" w14:textId="77777777" w:rsidR="00C009A9" w:rsidRPr="00B056E4" w:rsidRDefault="00C009A9" w:rsidP="00C009A9">
      <w:pPr>
        <w:pStyle w:val="Heading1"/>
        <w:numPr>
          <w:ilvl w:val="0"/>
          <w:numId w:val="0"/>
        </w:numPr>
        <w:rPr>
          <w:u w:val="single"/>
          <w:lang w:val="es-ES"/>
        </w:rPr>
      </w:pPr>
      <w:r w:rsidRPr="00B056E4">
        <w:rPr>
          <w:u w:val="single"/>
          <w:lang w:val="es-ES"/>
        </w:rPr>
        <w:t xml:space="preserve">Etapa II de los PGEH </w:t>
      </w:r>
    </w:p>
    <w:p w14:paraId="35EB58F4" w14:textId="77777777" w:rsidR="00C009A9" w:rsidRPr="00B056E4" w:rsidRDefault="00C009A9" w:rsidP="00C009A9">
      <w:pPr>
        <w:pStyle w:val="Heading1"/>
        <w:rPr>
          <w:lang w:val="es-ES"/>
        </w:rPr>
      </w:pPr>
      <w:r w:rsidRPr="00B056E4">
        <w:rPr>
          <w:lang w:val="es-ES"/>
        </w:rPr>
        <w:t>El nivel total de financiación para la etapa II de los PGEH correspondientes a los países de bajo volumen de consumo es de 21,51 millones de $EUA, de los cuales 11,25 millones de $EUA están destinados al período de 2020 a 2022, a fin de alcanzar una reducción del 67,5% respecto al nivel básico de referencia para los HCFC. Además, el valor de los proyectos correspondientes a los países de bajo volumen de consumo destinados a alcanzar una reducción del 100% es de 8,79 millones de $EUA, incluidos 3,93 millones de $EUA para 2020-2022.</w:t>
      </w:r>
    </w:p>
    <w:p w14:paraId="20C04AF4" w14:textId="58A8D20D" w:rsidR="00C009A9" w:rsidRPr="00B056E4" w:rsidRDefault="00C009A9" w:rsidP="00C009A9">
      <w:pPr>
        <w:pStyle w:val="Heading1"/>
        <w:rPr>
          <w:lang w:val="es-ES"/>
        </w:rPr>
      </w:pPr>
      <w:r w:rsidRPr="00B056E4">
        <w:rPr>
          <w:lang w:val="es-ES"/>
        </w:rPr>
        <w:t>El volumen total de financiación para la etapa II de los PGEH de países que no son de bajo volumen de consumo es de 65,99 millones de $EUA, lo que corresponde a una eliminación de 655,7 toneladas PAO de HCFC, incluidos 15,27 millones de $EUA para el período entre 2020 y 2022, para eliminar 239,9</w:t>
      </w:r>
      <w:r w:rsidR="00DA46F0">
        <w:rPr>
          <w:lang w:val="es-ES"/>
        </w:rPr>
        <w:t> </w:t>
      </w:r>
      <w:r w:rsidRPr="00B056E4">
        <w:rPr>
          <w:lang w:val="es-ES"/>
        </w:rPr>
        <w:t>toneladas PAO de HCFC. En el Cuadro 4 se presenta la distribución de fondos por sectores.</w:t>
      </w:r>
    </w:p>
    <w:p w14:paraId="0C0842F8" w14:textId="77777777" w:rsidR="00C009A9" w:rsidRPr="00B056E4" w:rsidRDefault="00C009A9" w:rsidP="00C009A9">
      <w:pPr>
        <w:keepNext/>
        <w:rPr>
          <w:b/>
          <w:lang w:val="es-ES"/>
        </w:rPr>
      </w:pPr>
      <w:r w:rsidRPr="00B056E4">
        <w:rPr>
          <w:b/>
          <w:lang w:val="es-ES"/>
        </w:rPr>
        <w:lastRenderedPageBreak/>
        <w:t>Cuadro 4. Distribución de fondos de la etapa II de los PGEH para países que no son de bajo volumen de consumo, por sectores (en miles de $EUA)</w:t>
      </w:r>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417"/>
        <w:gridCol w:w="1276"/>
        <w:gridCol w:w="1417"/>
        <w:gridCol w:w="1418"/>
      </w:tblGrid>
      <w:tr w:rsidR="00C009A9" w:rsidRPr="00B056E4" w14:paraId="47621CA4" w14:textId="77777777" w:rsidTr="00C0770E">
        <w:trPr>
          <w:trHeight w:val="276"/>
        </w:trPr>
        <w:tc>
          <w:tcPr>
            <w:tcW w:w="3828" w:type="dxa"/>
            <w:shd w:val="clear" w:color="auto" w:fill="auto"/>
            <w:hideMark/>
          </w:tcPr>
          <w:p w14:paraId="33FDCCC8" w14:textId="77777777" w:rsidR="00C009A9" w:rsidRPr="00B056E4" w:rsidRDefault="00C009A9" w:rsidP="00C0770E">
            <w:pPr>
              <w:jc w:val="left"/>
              <w:rPr>
                <w:b/>
                <w:bCs/>
                <w:sz w:val="20"/>
                <w:szCs w:val="20"/>
                <w:lang w:val="es-ES"/>
              </w:rPr>
            </w:pPr>
            <w:r w:rsidRPr="00B056E4">
              <w:rPr>
                <w:b/>
                <w:bCs/>
                <w:sz w:val="20"/>
                <w:szCs w:val="20"/>
                <w:lang w:val="es-ES"/>
              </w:rPr>
              <w:t>Sector</w:t>
            </w:r>
          </w:p>
        </w:tc>
        <w:tc>
          <w:tcPr>
            <w:tcW w:w="1417" w:type="dxa"/>
            <w:shd w:val="clear" w:color="auto" w:fill="auto"/>
            <w:hideMark/>
          </w:tcPr>
          <w:p w14:paraId="2AA5E056" w14:textId="77777777" w:rsidR="00C009A9" w:rsidRPr="00B056E4" w:rsidRDefault="00C009A9" w:rsidP="00C0770E">
            <w:pPr>
              <w:jc w:val="center"/>
              <w:rPr>
                <w:b/>
                <w:bCs/>
                <w:sz w:val="20"/>
                <w:szCs w:val="20"/>
                <w:lang w:val="es-ES"/>
              </w:rPr>
            </w:pPr>
            <w:r w:rsidRPr="00B056E4">
              <w:rPr>
                <w:b/>
                <w:bCs/>
                <w:sz w:val="20"/>
                <w:szCs w:val="20"/>
                <w:lang w:val="es-ES"/>
              </w:rPr>
              <w:t>2020-2022</w:t>
            </w:r>
          </w:p>
        </w:tc>
        <w:tc>
          <w:tcPr>
            <w:tcW w:w="1276" w:type="dxa"/>
            <w:shd w:val="clear" w:color="auto" w:fill="auto"/>
            <w:hideMark/>
          </w:tcPr>
          <w:p w14:paraId="389C0840" w14:textId="77777777" w:rsidR="00C009A9" w:rsidRPr="00B056E4" w:rsidRDefault="00C009A9" w:rsidP="00C0770E">
            <w:pPr>
              <w:jc w:val="center"/>
              <w:rPr>
                <w:b/>
                <w:bCs/>
                <w:sz w:val="20"/>
                <w:szCs w:val="20"/>
                <w:lang w:val="es-ES"/>
              </w:rPr>
            </w:pPr>
            <w:r w:rsidRPr="00B056E4">
              <w:rPr>
                <w:b/>
                <w:bCs/>
                <w:sz w:val="20"/>
                <w:szCs w:val="20"/>
                <w:lang w:val="es-ES"/>
              </w:rPr>
              <w:t>Después de 2022</w:t>
            </w:r>
          </w:p>
        </w:tc>
        <w:tc>
          <w:tcPr>
            <w:tcW w:w="1417" w:type="dxa"/>
            <w:shd w:val="clear" w:color="auto" w:fill="auto"/>
            <w:hideMark/>
          </w:tcPr>
          <w:p w14:paraId="54F56441" w14:textId="77777777" w:rsidR="00C009A9" w:rsidRPr="00B056E4" w:rsidRDefault="00C009A9" w:rsidP="00C0770E">
            <w:pPr>
              <w:jc w:val="center"/>
              <w:rPr>
                <w:b/>
                <w:bCs/>
                <w:sz w:val="20"/>
                <w:szCs w:val="20"/>
                <w:lang w:val="es-ES"/>
              </w:rPr>
            </w:pPr>
            <w:r w:rsidRPr="00B056E4">
              <w:rPr>
                <w:b/>
                <w:bCs/>
                <w:sz w:val="20"/>
                <w:szCs w:val="20"/>
                <w:lang w:val="es-ES"/>
              </w:rPr>
              <w:t>Total</w:t>
            </w:r>
          </w:p>
        </w:tc>
        <w:tc>
          <w:tcPr>
            <w:tcW w:w="1418" w:type="dxa"/>
            <w:shd w:val="clear" w:color="auto" w:fill="auto"/>
            <w:hideMark/>
          </w:tcPr>
          <w:p w14:paraId="6513E5C1" w14:textId="77777777" w:rsidR="00C009A9" w:rsidRPr="00B056E4" w:rsidRDefault="00C009A9" w:rsidP="00C0770E">
            <w:pPr>
              <w:jc w:val="center"/>
              <w:rPr>
                <w:b/>
                <w:bCs/>
                <w:sz w:val="20"/>
                <w:szCs w:val="20"/>
                <w:lang w:val="es-ES"/>
              </w:rPr>
            </w:pPr>
            <w:r w:rsidRPr="00B056E4">
              <w:rPr>
                <w:b/>
                <w:bCs/>
                <w:sz w:val="20"/>
                <w:szCs w:val="20"/>
                <w:lang w:val="es-ES"/>
              </w:rPr>
              <w:t>Porcentaje del total (%)</w:t>
            </w:r>
          </w:p>
        </w:tc>
      </w:tr>
      <w:tr w:rsidR="00C009A9" w:rsidRPr="00B056E4" w14:paraId="4F93F3C4" w14:textId="77777777" w:rsidTr="00C0770E">
        <w:trPr>
          <w:trHeight w:val="276"/>
        </w:trPr>
        <w:tc>
          <w:tcPr>
            <w:tcW w:w="3828" w:type="dxa"/>
            <w:shd w:val="clear" w:color="auto" w:fill="auto"/>
            <w:noWrap/>
            <w:hideMark/>
          </w:tcPr>
          <w:p w14:paraId="19F19F44" w14:textId="77777777" w:rsidR="00C009A9" w:rsidRPr="00B056E4" w:rsidRDefault="00C009A9" w:rsidP="00C0770E">
            <w:pPr>
              <w:jc w:val="left"/>
              <w:rPr>
                <w:sz w:val="20"/>
                <w:szCs w:val="20"/>
                <w:lang w:val="es-ES"/>
              </w:rPr>
            </w:pPr>
            <w:r w:rsidRPr="00B056E4">
              <w:rPr>
                <w:sz w:val="20"/>
                <w:szCs w:val="20"/>
                <w:lang w:val="es-ES"/>
              </w:rPr>
              <w:t xml:space="preserve">Espumas rígidas </w:t>
            </w:r>
          </w:p>
        </w:tc>
        <w:tc>
          <w:tcPr>
            <w:tcW w:w="1417" w:type="dxa"/>
            <w:shd w:val="clear" w:color="auto" w:fill="auto"/>
            <w:noWrap/>
            <w:hideMark/>
          </w:tcPr>
          <w:p w14:paraId="6577A574" w14:textId="77777777" w:rsidR="00C009A9" w:rsidRPr="00B056E4" w:rsidRDefault="00C009A9" w:rsidP="00C0770E">
            <w:pPr>
              <w:jc w:val="right"/>
              <w:rPr>
                <w:sz w:val="20"/>
                <w:szCs w:val="20"/>
                <w:lang w:val="es-ES"/>
              </w:rPr>
            </w:pPr>
            <w:r w:rsidRPr="00B056E4">
              <w:rPr>
                <w:sz w:val="20"/>
                <w:szCs w:val="20"/>
                <w:lang w:val="es-ES"/>
              </w:rPr>
              <w:t>1 461</w:t>
            </w:r>
          </w:p>
        </w:tc>
        <w:tc>
          <w:tcPr>
            <w:tcW w:w="1276" w:type="dxa"/>
            <w:shd w:val="clear" w:color="auto" w:fill="auto"/>
            <w:noWrap/>
            <w:hideMark/>
          </w:tcPr>
          <w:p w14:paraId="3A13445C" w14:textId="77777777" w:rsidR="00C009A9" w:rsidRPr="00B056E4" w:rsidRDefault="00C009A9" w:rsidP="00C0770E">
            <w:pPr>
              <w:jc w:val="right"/>
              <w:rPr>
                <w:sz w:val="20"/>
                <w:szCs w:val="20"/>
                <w:lang w:val="es-ES"/>
              </w:rPr>
            </w:pPr>
            <w:r w:rsidRPr="00B056E4">
              <w:rPr>
                <w:sz w:val="20"/>
                <w:szCs w:val="20"/>
                <w:lang w:val="es-ES"/>
              </w:rPr>
              <w:t>394</w:t>
            </w:r>
          </w:p>
        </w:tc>
        <w:tc>
          <w:tcPr>
            <w:tcW w:w="1417" w:type="dxa"/>
            <w:shd w:val="clear" w:color="auto" w:fill="auto"/>
            <w:noWrap/>
            <w:hideMark/>
          </w:tcPr>
          <w:p w14:paraId="10324282" w14:textId="77777777" w:rsidR="00C009A9" w:rsidRPr="00B056E4" w:rsidRDefault="00C009A9" w:rsidP="00C0770E">
            <w:pPr>
              <w:jc w:val="right"/>
              <w:rPr>
                <w:sz w:val="20"/>
                <w:szCs w:val="20"/>
                <w:lang w:val="es-ES"/>
              </w:rPr>
            </w:pPr>
            <w:r w:rsidRPr="00B056E4">
              <w:rPr>
                <w:sz w:val="20"/>
                <w:szCs w:val="20"/>
                <w:lang w:val="es-ES"/>
              </w:rPr>
              <w:t>1 855</w:t>
            </w:r>
          </w:p>
        </w:tc>
        <w:tc>
          <w:tcPr>
            <w:tcW w:w="1418" w:type="dxa"/>
            <w:shd w:val="clear" w:color="auto" w:fill="auto"/>
            <w:noWrap/>
            <w:hideMark/>
          </w:tcPr>
          <w:p w14:paraId="732E3AD5" w14:textId="77777777" w:rsidR="00C009A9" w:rsidRPr="00B056E4" w:rsidRDefault="00C009A9" w:rsidP="00C0770E">
            <w:pPr>
              <w:jc w:val="right"/>
              <w:rPr>
                <w:sz w:val="20"/>
                <w:szCs w:val="20"/>
                <w:lang w:val="es-ES"/>
              </w:rPr>
            </w:pPr>
            <w:r w:rsidRPr="00B056E4">
              <w:rPr>
                <w:sz w:val="20"/>
                <w:szCs w:val="20"/>
                <w:lang w:val="es-ES"/>
              </w:rPr>
              <w:t>2,8</w:t>
            </w:r>
          </w:p>
        </w:tc>
      </w:tr>
      <w:tr w:rsidR="00C009A9" w:rsidRPr="00B056E4" w14:paraId="34B327F8" w14:textId="77777777" w:rsidTr="00C0770E">
        <w:trPr>
          <w:trHeight w:val="276"/>
        </w:trPr>
        <w:tc>
          <w:tcPr>
            <w:tcW w:w="3828" w:type="dxa"/>
            <w:shd w:val="clear" w:color="auto" w:fill="auto"/>
            <w:noWrap/>
            <w:hideMark/>
          </w:tcPr>
          <w:p w14:paraId="79FB7FBD" w14:textId="77777777" w:rsidR="00C009A9" w:rsidRPr="00B056E4" w:rsidRDefault="00C009A9" w:rsidP="00C0770E">
            <w:pPr>
              <w:jc w:val="left"/>
              <w:rPr>
                <w:sz w:val="20"/>
                <w:szCs w:val="20"/>
                <w:lang w:val="es-ES"/>
              </w:rPr>
            </w:pPr>
            <w:r w:rsidRPr="00B056E4">
              <w:rPr>
                <w:sz w:val="20"/>
                <w:szCs w:val="20"/>
                <w:lang w:val="es-ES"/>
              </w:rPr>
              <w:t>Equipos de climatización para refrigeración</w:t>
            </w:r>
          </w:p>
        </w:tc>
        <w:tc>
          <w:tcPr>
            <w:tcW w:w="1417" w:type="dxa"/>
            <w:shd w:val="clear" w:color="auto" w:fill="auto"/>
            <w:noWrap/>
            <w:hideMark/>
          </w:tcPr>
          <w:p w14:paraId="40607830" w14:textId="77777777" w:rsidR="00C009A9" w:rsidRPr="00B056E4" w:rsidRDefault="00C009A9" w:rsidP="00C0770E">
            <w:pPr>
              <w:jc w:val="right"/>
              <w:rPr>
                <w:sz w:val="20"/>
                <w:szCs w:val="20"/>
                <w:lang w:val="es-ES"/>
              </w:rPr>
            </w:pPr>
            <w:r w:rsidRPr="00B056E4">
              <w:rPr>
                <w:sz w:val="20"/>
                <w:szCs w:val="20"/>
                <w:lang w:val="es-ES"/>
              </w:rPr>
              <w:t>276</w:t>
            </w:r>
          </w:p>
        </w:tc>
        <w:tc>
          <w:tcPr>
            <w:tcW w:w="1276" w:type="dxa"/>
            <w:shd w:val="clear" w:color="auto" w:fill="auto"/>
            <w:noWrap/>
            <w:hideMark/>
          </w:tcPr>
          <w:p w14:paraId="4FEF8D19" w14:textId="77777777" w:rsidR="00C009A9" w:rsidRPr="00B056E4" w:rsidRDefault="00C009A9" w:rsidP="00C0770E">
            <w:pPr>
              <w:jc w:val="right"/>
              <w:rPr>
                <w:sz w:val="20"/>
                <w:szCs w:val="20"/>
                <w:lang w:val="es-ES"/>
              </w:rPr>
            </w:pPr>
            <w:r w:rsidRPr="00B056E4">
              <w:rPr>
                <w:sz w:val="20"/>
                <w:szCs w:val="20"/>
                <w:lang w:val="es-ES"/>
              </w:rPr>
              <w:t>0</w:t>
            </w:r>
          </w:p>
        </w:tc>
        <w:tc>
          <w:tcPr>
            <w:tcW w:w="1417" w:type="dxa"/>
            <w:shd w:val="clear" w:color="auto" w:fill="auto"/>
            <w:noWrap/>
            <w:hideMark/>
          </w:tcPr>
          <w:p w14:paraId="3404D2BF" w14:textId="77777777" w:rsidR="00C009A9" w:rsidRPr="00B056E4" w:rsidRDefault="00C009A9" w:rsidP="00C0770E">
            <w:pPr>
              <w:jc w:val="right"/>
              <w:rPr>
                <w:sz w:val="20"/>
                <w:szCs w:val="20"/>
                <w:lang w:val="es-ES"/>
              </w:rPr>
            </w:pPr>
            <w:r w:rsidRPr="00B056E4">
              <w:rPr>
                <w:sz w:val="20"/>
                <w:szCs w:val="20"/>
                <w:lang w:val="es-ES"/>
              </w:rPr>
              <w:t>276</w:t>
            </w:r>
          </w:p>
        </w:tc>
        <w:tc>
          <w:tcPr>
            <w:tcW w:w="1418" w:type="dxa"/>
            <w:shd w:val="clear" w:color="auto" w:fill="auto"/>
            <w:noWrap/>
            <w:hideMark/>
          </w:tcPr>
          <w:p w14:paraId="3815BAFC" w14:textId="77777777" w:rsidR="00C009A9" w:rsidRPr="00B056E4" w:rsidRDefault="00C009A9" w:rsidP="00C0770E">
            <w:pPr>
              <w:jc w:val="right"/>
              <w:rPr>
                <w:sz w:val="20"/>
                <w:szCs w:val="20"/>
                <w:lang w:val="es-ES"/>
              </w:rPr>
            </w:pPr>
            <w:r w:rsidRPr="00B056E4">
              <w:rPr>
                <w:sz w:val="20"/>
                <w:szCs w:val="20"/>
                <w:lang w:val="es-ES"/>
              </w:rPr>
              <w:t>0,4</w:t>
            </w:r>
          </w:p>
        </w:tc>
      </w:tr>
      <w:tr w:rsidR="00C009A9" w:rsidRPr="00B056E4" w14:paraId="513BC99F" w14:textId="77777777" w:rsidTr="00C0770E">
        <w:trPr>
          <w:trHeight w:val="276"/>
        </w:trPr>
        <w:tc>
          <w:tcPr>
            <w:tcW w:w="3828" w:type="dxa"/>
            <w:shd w:val="clear" w:color="auto" w:fill="auto"/>
            <w:noWrap/>
            <w:hideMark/>
          </w:tcPr>
          <w:p w14:paraId="58112770" w14:textId="77777777" w:rsidR="00C009A9" w:rsidRPr="00B056E4" w:rsidRDefault="00C009A9" w:rsidP="00C0770E">
            <w:pPr>
              <w:jc w:val="left"/>
              <w:rPr>
                <w:sz w:val="20"/>
                <w:szCs w:val="20"/>
                <w:lang w:val="es-ES"/>
              </w:rPr>
            </w:pPr>
            <w:r w:rsidRPr="00B056E4">
              <w:rPr>
                <w:sz w:val="20"/>
                <w:szCs w:val="20"/>
                <w:lang w:val="es-ES"/>
              </w:rPr>
              <w:t>Montaje de equipos de refrigeración</w:t>
            </w:r>
          </w:p>
        </w:tc>
        <w:tc>
          <w:tcPr>
            <w:tcW w:w="1417" w:type="dxa"/>
            <w:shd w:val="clear" w:color="auto" w:fill="auto"/>
            <w:noWrap/>
            <w:hideMark/>
          </w:tcPr>
          <w:p w14:paraId="2522E56E" w14:textId="77777777" w:rsidR="00C009A9" w:rsidRPr="00B056E4" w:rsidRDefault="00C009A9" w:rsidP="00C0770E">
            <w:pPr>
              <w:jc w:val="right"/>
              <w:rPr>
                <w:sz w:val="20"/>
                <w:szCs w:val="20"/>
                <w:lang w:val="es-ES"/>
              </w:rPr>
            </w:pPr>
            <w:r w:rsidRPr="00B056E4">
              <w:rPr>
                <w:sz w:val="20"/>
                <w:szCs w:val="20"/>
                <w:lang w:val="es-ES"/>
              </w:rPr>
              <w:t>645</w:t>
            </w:r>
          </w:p>
        </w:tc>
        <w:tc>
          <w:tcPr>
            <w:tcW w:w="1276" w:type="dxa"/>
            <w:shd w:val="clear" w:color="auto" w:fill="auto"/>
            <w:noWrap/>
            <w:hideMark/>
          </w:tcPr>
          <w:p w14:paraId="46C87C76" w14:textId="77777777" w:rsidR="00C009A9" w:rsidRPr="00B056E4" w:rsidRDefault="00C009A9" w:rsidP="00C0770E">
            <w:pPr>
              <w:jc w:val="right"/>
              <w:rPr>
                <w:sz w:val="20"/>
                <w:szCs w:val="20"/>
                <w:lang w:val="es-ES"/>
              </w:rPr>
            </w:pPr>
            <w:r w:rsidRPr="00B056E4">
              <w:rPr>
                <w:sz w:val="20"/>
                <w:szCs w:val="20"/>
                <w:lang w:val="es-ES"/>
              </w:rPr>
              <w:t>0</w:t>
            </w:r>
          </w:p>
        </w:tc>
        <w:tc>
          <w:tcPr>
            <w:tcW w:w="1417" w:type="dxa"/>
            <w:shd w:val="clear" w:color="auto" w:fill="auto"/>
            <w:noWrap/>
            <w:hideMark/>
          </w:tcPr>
          <w:p w14:paraId="145B89FF" w14:textId="77777777" w:rsidR="00C009A9" w:rsidRPr="00B056E4" w:rsidRDefault="00C009A9" w:rsidP="00C0770E">
            <w:pPr>
              <w:jc w:val="right"/>
              <w:rPr>
                <w:sz w:val="20"/>
                <w:szCs w:val="20"/>
                <w:lang w:val="es-ES"/>
              </w:rPr>
            </w:pPr>
            <w:r w:rsidRPr="00B056E4">
              <w:rPr>
                <w:sz w:val="20"/>
                <w:szCs w:val="20"/>
                <w:lang w:val="es-ES"/>
              </w:rPr>
              <w:t>645</w:t>
            </w:r>
          </w:p>
        </w:tc>
        <w:tc>
          <w:tcPr>
            <w:tcW w:w="1418" w:type="dxa"/>
            <w:shd w:val="clear" w:color="auto" w:fill="auto"/>
            <w:noWrap/>
            <w:hideMark/>
          </w:tcPr>
          <w:p w14:paraId="16C9A7EC" w14:textId="77777777" w:rsidR="00C009A9" w:rsidRPr="00B056E4" w:rsidRDefault="00C009A9" w:rsidP="00C0770E">
            <w:pPr>
              <w:jc w:val="right"/>
              <w:rPr>
                <w:sz w:val="20"/>
                <w:szCs w:val="20"/>
                <w:lang w:val="es-ES"/>
              </w:rPr>
            </w:pPr>
            <w:r w:rsidRPr="00B056E4">
              <w:rPr>
                <w:sz w:val="20"/>
                <w:szCs w:val="20"/>
                <w:lang w:val="es-ES"/>
              </w:rPr>
              <w:t>1,0</w:t>
            </w:r>
          </w:p>
        </w:tc>
      </w:tr>
      <w:tr w:rsidR="00C009A9" w:rsidRPr="00B056E4" w14:paraId="0324A52C" w14:textId="77777777" w:rsidTr="00C0770E">
        <w:trPr>
          <w:trHeight w:val="276"/>
        </w:trPr>
        <w:tc>
          <w:tcPr>
            <w:tcW w:w="3828" w:type="dxa"/>
            <w:shd w:val="clear" w:color="auto" w:fill="auto"/>
            <w:noWrap/>
            <w:hideMark/>
          </w:tcPr>
          <w:p w14:paraId="7DB2BE23" w14:textId="77777777" w:rsidR="00C009A9" w:rsidRPr="00B056E4" w:rsidRDefault="00C009A9" w:rsidP="00C0770E">
            <w:pPr>
              <w:jc w:val="left"/>
              <w:rPr>
                <w:sz w:val="20"/>
                <w:szCs w:val="20"/>
                <w:lang w:val="es-ES"/>
              </w:rPr>
            </w:pPr>
            <w:r w:rsidRPr="00B056E4">
              <w:rPr>
                <w:sz w:val="20"/>
                <w:szCs w:val="20"/>
                <w:lang w:val="es-ES"/>
              </w:rPr>
              <w:t>Fabricación de equipos de refrigeración</w:t>
            </w:r>
          </w:p>
        </w:tc>
        <w:tc>
          <w:tcPr>
            <w:tcW w:w="1417" w:type="dxa"/>
            <w:shd w:val="clear" w:color="auto" w:fill="auto"/>
            <w:noWrap/>
            <w:hideMark/>
          </w:tcPr>
          <w:p w14:paraId="4D353BB3" w14:textId="77777777" w:rsidR="00C009A9" w:rsidRPr="00B056E4" w:rsidRDefault="00C009A9" w:rsidP="00C0770E">
            <w:pPr>
              <w:jc w:val="right"/>
              <w:rPr>
                <w:sz w:val="20"/>
                <w:szCs w:val="20"/>
                <w:lang w:val="es-ES"/>
              </w:rPr>
            </w:pPr>
            <w:r w:rsidRPr="00B056E4">
              <w:rPr>
                <w:sz w:val="20"/>
                <w:szCs w:val="20"/>
                <w:lang w:val="es-ES"/>
              </w:rPr>
              <w:t>2 609</w:t>
            </w:r>
          </w:p>
        </w:tc>
        <w:tc>
          <w:tcPr>
            <w:tcW w:w="1276" w:type="dxa"/>
            <w:shd w:val="clear" w:color="auto" w:fill="auto"/>
            <w:noWrap/>
            <w:hideMark/>
          </w:tcPr>
          <w:p w14:paraId="0E402CF4" w14:textId="77777777" w:rsidR="00C009A9" w:rsidRPr="00B056E4" w:rsidRDefault="00C009A9" w:rsidP="00C0770E">
            <w:pPr>
              <w:jc w:val="right"/>
              <w:rPr>
                <w:sz w:val="20"/>
                <w:szCs w:val="20"/>
                <w:lang w:val="es-ES"/>
              </w:rPr>
            </w:pPr>
            <w:r w:rsidRPr="00B056E4">
              <w:rPr>
                <w:sz w:val="20"/>
                <w:szCs w:val="20"/>
                <w:lang w:val="es-ES"/>
              </w:rPr>
              <w:t>27 781</w:t>
            </w:r>
          </w:p>
        </w:tc>
        <w:tc>
          <w:tcPr>
            <w:tcW w:w="1417" w:type="dxa"/>
            <w:shd w:val="clear" w:color="auto" w:fill="auto"/>
            <w:noWrap/>
            <w:hideMark/>
          </w:tcPr>
          <w:p w14:paraId="4F0947D5" w14:textId="77777777" w:rsidR="00C009A9" w:rsidRPr="00B056E4" w:rsidRDefault="00C009A9" w:rsidP="00C0770E">
            <w:pPr>
              <w:jc w:val="right"/>
              <w:rPr>
                <w:sz w:val="20"/>
                <w:szCs w:val="20"/>
                <w:lang w:val="es-ES"/>
              </w:rPr>
            </w:pPr>
            <w:r w:rsidRPr="00B056E4">
              <w:rPr>
                <w:sz w:val="20"/>
                <w:szCs w:val="20"/>
                <w:lang w:val="es-ES"/>
              </w:rPr>
              <w:t>30 390</w:t>
            </w:r>
          </w:p>
        </w:tc>
        <w:tc>
          <w:tcPr>
            <w:tcW w:w="1418" w:type="dxa"/>
            <w:shd w:val="clear" w:color="auto" w:fill="auto"/>
            <w:noWrap/>
            <w:hideMark/>
          </w:tcPr>
          <w:p w14:paraId="3215A340" w14:textId="77777777" w:rsidR="00C009A9" w:rsidRPr="00B056E4" w:rsidRDefault="00C009A9" w:rsidP="00C0770E">
            <w:pPr>
              <w:jc w:val="right"/>
              <w:rPr>
                <w:sz w:val="20"/>
                <w:szCs w:val="20"/>
                <w:lang w:val="es-ES"/>
              </w:rPr>
            </w:pPr>
            <w:r w:rsidRPr="00B056E4">
              <w:rPr>
                <w:sz w:val="20"/>
                <w:szCs w:val="20"/>
                <w:lang w:val="es-ES"/>
              </w:rPr>
              <w:t>46,1</w:t>
            </w:r>
          </w:p>
        </w:tc>
      </w:tr>
      <w:tr w:rsidR="00C009A9" w:rsidRPr="00B056E4" w14:paraId="1F480AB8" w14:textId="77777777" w:rsidTr="00C0770E">
        <w:trPr>
          <w:trHeight w:val="276"/>
        </w:trPr>
        <w:tc>
          <w:tcPr>
            <w:tcW w:w="3828" w:type="dxa"/>
            <w:shd w:val="clear" w:color="auto" w:fill="auto"/>
            <w:noWrap/>
            <w:hideMark/>
          </w:tcPr>
          <w:p w14:paraId="2FE13113" w14:textId="77777777" w:rsidR="00C009A9" w:rsidRPr="00B056E4" w:rsidRDefault="00C009A9" w:rsidP="00C0770E">
            <w:pPr>
              <w:jc w:val="left"/>
              <w:rPr>
                <w:sz w:val="20"/>
                <w:szCs w:val="20"/>
                <w:lang w:val="es-ES"/>
              </w:rPr>
            </w:pPr>
            <w:r w:rsidRPr="00B056E4">
              <w:rPr>
                <w:sz w:val="20"/>
                <w:szCs w:val="20"/>
                <w:lang w:val="es-ES"/>
              </w:rPr>
              <w:t>Servicio y mantenimiento de equipos de refrigeración</w:t>
            </w:r>
          </w:p>
        </w:tc>
        <w:tc>
          <w:tcPr>
            <w:tcW w:w="1417" w:type="dxa"/>
            <w:shd w:val="clear" w:color="auto" w:fill="auto"/>
            <w:noWrap/>
            <w:hideMark/>
          </w:tcPr>
          <w:p w14:paraId="6D246032" w14:textId="77777777" w:rsidR="00C009A9" w:rsidRPr="00B056E4" w:rsidRDefault="00C009A9" w:rsidP="00C0770E">
            <w:pPr>
              <w:jc w:val="right"/>
              <w:rPr>
                <w:sz w:val="20"/>
                <w:szCs w:val="20"/>
                <w:lang w:val="es-ES"/>
              </w:rPr>
            </w:pPr>
            <w:r w:rsidRPr="00B056E4">
              <w:rPr>
                <w:sz w:val="20"/>
                <w:szCs w:val="20"/>
                <w:lang w:val="es-ES"/>
              </w:rPr>
              <w:t>10 283</w:t>
            </w:r>
          </w:p>
        </w:tc>
        <w:tc>
          <w:tcPr>
            <w:tcW w:w="1276" w:type="dxa"/>
            <w:shd w:val="clear" w:color="auto" w:fill="auto"/>
            <w:noWrap/>
            <w:hideMark/>
          </w:tcPr>
          <w:p w14:paraId="278B5B25" w14:textId="77777777" w:rsidR="00C009A9" w:rsidRPr="00B056E4" w:rsidRDefault="00C009A9" w:rsidP="00C0770E">
            <w:pPr>
              <w:jc w:val="right"/>
              <w:rPr>
                <w:sz w:val="20"/>
                <w:szCs w:val="20"/>
                <w:lang w:val="es-ES"/>
              </w:rPr>
            </w:pPr>
            <w:r w:rsidRPr="00B056E4">
              <w:rPr>
                <w:sz w:val="20"/>
                <w:szCs w:val="20"/>
                <w:lang w:val="es-ES"/>
              </w:rPr>
              <w:t>22 537</w:t>
            </w:r>
          </w:p>
        </w:tc>
        <w:tc>
          <w:tcPr>
            <w:tcW w:w="1417" w:type="dxa"/>
            <w:shd w:val="clear" w:color="auto" w:fill="auto"/>
            <w:noWrap/>
            <w:hideMark/>
          </w:tcPr>
          <w:p w14:paraId="28347362" w14:textId="77777777" w:rsidR="00C009A9" w:rsidRPr="00B056E4" w:rsidRDefault="00C009A9" w:rsidP="00C0770E">
            <w:pPr>
              <w:jc w:val="right"/>
              <w:rPr>
                <w:sz w:val="20"/>
                <w:szCs w:val="20"/>
                <w:lang w:val="es-ES"/>
              </w:rPr>
            </w:pPr>
            <w:r w:rsidRPr="00B056E4">
              <w:rPr>
                <w:sz w:val="20"/>
                <w:szCs w:val="20"/>
                <w:lang w:val="es-ES"/>
              </w:rPr>
              <w:t>32 820</w:t>
            </w:r>
          </w:p>
        </w:tc>
        <w:tc>
          <w:tcPr>
            <w:tcW w:w="1418" w:type="dxa"/>
            <w:shd w:val="clear" w:color="auto" w:fill="auto"/>
            <w:noWrap/>
            <w:hideMark/>
          </w:tcPr>
          <w:p w14:paraId="7F3B4160" w14:textId="77777777" w:rsidR="00C009A9" w:rsidRPr="00B056E4" w:rsidRDefault="00C009A9" w:rsidP="00C0770E">
            <w:pPr>
              <w:jc w:val="right"/>
              <w:rPr>
                <w:sz w:val="20"/>
                <w:szCs w:val="20"/>
                <w:lang w:val="es-ES"/>
              </w:rPr>
            </w:pPr>
            <w:r w:rsidRPr="00B056E4">
              <w:rPr>
                <w:sz w:val="20"/>
                <w:szCs w:val="20"/>
                <w:lang w:val="es-ES"/>
              </w:rPr>
              <w:t>49,7</w:t>
            </w:r>
          </w:p>
        </w:tc>
      </w:tr>
      <w:tr w:rsidR="00C009A9" w:rsidRPr="00B056E4" w14:paraId="423DE2C8" w14:textId="77777777" w:rsidTr="00C0770E">
        <w:trPr>
          <w:trHeight w:val="276"/>
        </w:trPr>
        <w:tc>
          <w:tcPr>
            <w:tcW w:w="3828" w:type="dxa"/>
            <w:shd w:val="clear" w:color="auto" w:fill="auto"/>
            <w:noWrap/>
            <w:hideMark/>
          </w:tcPr>
          <w:p w14:paraId="29CFFEA6" w14:textId="77777777" w:rsidR="00C009A9" w:rsidRPr="00B056E4" w:rsidRDefault="00C009A9" w:rsidP="00C0770E">
            <w:pPr>
              <w:jc w:val="left"/>
              <w:rPr>
                <w:b/>
                <w:bCs/>
                <w:sz w:val="20"/>
                <w:szCs w:val="20"/>
                <w:lang w:val="es-ES"/>
              </w:rPr>
            </w:pPr>
            <w:r w:rsidRPr="00B056E4">
              <w:rPr>
                <w:b/>
                <w:bCs/>
                <w:sz w:val="20"/>
                <w:szCs w:val="20"/>
                <w:lang w:val="es-ES"/>
              </w:rPr>
              <w:t>Suma total</w:t>
            </w:r>
          </w:p>
        </w:tc>
        <w:tc>
          <w:tcPr>
            <w:tcW w:w="1417" w:type="dxa"/>
            <w:shd w:val="clear" w:color="auto" w:fill="auto"/>
            <w:noWrap/>
            <w:hideMark/>
          </w:tcPr>
          <w:p w14:paraId="2B68FCEC" w14:textId="77777777" w:rsidR="00C009A9" w:rsidRPr="00B056E4" w:rsidRDefault="00C009A9" w:rsidP="00C0770E">
            <w:pPr>
              <w:jc w:val="right"/>
              <w:rPr>
                <w:b/>
                <w:bCs/>
                <w:sz w:val="20"/>
                <w:szCs w:val="20"/>
                <w:lang w:val="es-ES"/>
              </w:rPr>
            </w:pPr>
            <w:r w:rsidRPr="00B056E4">
              <w:rPr>
                <w:b/>
                <w:bCs/>
                <w:sz w:val="20"/>
                <w:szCs w:val="20"/>
                <w:lang w:val="es-ES"/>
              </w:rPr>
              <w:t>15 274</w:t>
            </w:r>
          </w:p>
        </w:tc>
        <w:tc>
          <w:tcPr>
            <w:tcW w:w="1276" w:type="dxa"/>
            <w:shd w:val="clear" w:color="auto" w:fill="auto"/>
            <w:noWrap/>
            <w:hideMark/>
          </w:tcPr>
          <w:p w14:paraId="75BBC2AC" w14:textId="77777777" w:rsidR="00C009A9" w:rsidRPr="00B056E4" w:rsidRDefault="00C009A9" w:rsidP="00C0770E">
            <w:pPr>
              <w:jc w:val="right"/>
              <w:rPr>
                <w:b/>
                <w:bCs/>
                <w:sz w:val="20"/>
                <w:szCs w:val="20"/>
                <w:lang w:val="es-ES"/>
              </w:rPr>
            </w:pPr>
            <w:r w:rsidRPr="00B056E4">
              <w:rPr>
                <w:b/>
                <w:bCs/>
                <w:sz w:val="20"/>
                <w:szCs w:val="20"/>
                <w:lang w:val="es-ES"/>
              </w:rPr>
              <w:t>50 712</w:t>
            </w:r>
          </w:p>
        </w:tc>
        <w:tc>
          <w:tcPr>
            <w:tcW w:w="1417" w:type="dxa"/>
            <w:shd w:val="clear" w:color="auto" w:fill="auto"/>
            <w:noWrap/>
            <w:hideMark/>
          </w:tcPr>
          <w:p w14:paraId="3F2831A0" w14:textId="77777777" w:rsidR="00C009A9" w:rsidRPr="00B056E4" w:rsidRDefault="00C009A9" w:rsidP="00C0770E">
            <w:pPr>
              <w:jc w:val="right"/>
              <w:rPr>
                <w:b/>
                <w:sz w:val="20"/>
                <w:szCs w:val="20"/>
                <w:lang w:val="es-ES"/>
              </w:rPr>
            </w:pPr>
            <w:r w:rsidRPr="00B056E4">
              <w:rPr>
                <w:b/>
                <w:sz w:val="20"/>
                <w:szCs w:val="20"/>
                <w:lang w:val="es-ES"/>
              </w:rPr>
              <w:t>65 986</w:t>
            </w:r>
          </w:p>
        </w:tc>
        <w:tc>
          <w:tcPr>
            <w:tcW w:w="1418" w:type="dxa"/>
            <w:shd w:val="clear" w:color="auto" w:fill="auto"/>
            <w:noWrap/>
            <w:hideMark/>
          </w:tcPr>
          <w:p w14:paraId="0404ABC2" w14:textId="77777777" w:rsidR="00C009A9" w:rsidRPr="00B056E4" w:rsidRDefault="00C009A9" w:rsidP="00C0770E">
            <w:pPr>
              <w:jc w:val="right"/>
              <w:rPr>
                <w:b/>
                <w:sz w:val="20"/>
                <w:szCs w:val="20"/>
                <w:lang w:val="es-ES"/>
              </w:rPr>
            </w:pPr>
            <w:r w:rsidRPr="00B056E4">
              <w:rPr>
                <w:b/>
                <w:sz w:val="20"/>
                <w:szCs w:val="20"/>
                <w:lang w:val="es-ES"/>
              </w:rPr>
              <w:t>100,0</w:t>
            </w:r>
          </w:p>
        </w:tc>
      </w:tr>
    </w:tbl>
    <w:p w14:paraId="5B31DA10" w14:textId="77777777" w:rsidR="00C009A9" w:rsidRPr="00B056E4" w:rsidRDefault="00C009A9" w:rsidP="00C009A9">
      <w:pPr>
        <w:keepNext/>
        <w:rPr>
          <w:b/>
          <w:lang w:val="es-ES"/>
        </w:rPr>
      </w:pPr>
    </w:p>
    <w:p w14:paraId="228775A0" w14:textId="77777777" w:rsidR="00C009A9" w:rsidRPr="00B056E4" w:rsidRDefault="00C009A9" w:rsidP="00C009A9">
      <w:pPr>
        <w:pStyle w:val="Heading1"/>
        <w:numPr>
          <w:ilvl w:val="0"/>
          <w:numId w:val="0"/>
        </w:numPr>
        <w:rPr>
          <w:u w:val="single"/>
          <w:lang w:val="es-ES"/>
        </w:rPr>
      </w:pPr>
      <w:r w:rsidRPr="00B056E4">
        <w:rPr>
          <w:u w:val="single"/>
          <w:lang w:val="es-ES"/>
        </w:rPr>
        <w:t xml:space="preserve">Etapa III de los PGEH </w:t>
      </w:r>
    </w:p>
    <w:p w14:paraId="41B83E7C" w14:textId="77777777" w:rsidR="00C009A9" w:rsidRPr="00B056E4" w:rsidRDefault="00C009A9" w:rsidP="00C009A9">
      <w:pPr>
        <w:pStyle w:val="Heading1"/>
        <w:rPr>
          <w:lang w:val="es-ES"/>
        </w:rPr>
      </w:pPr>
      <w:r w:rsidRPr="00B056E4">
        <w:rPr>
          <w:lang w:val="es-ES"/>
        </w:rPr>
        <w:t>En el plan administrativo de la etapa III de los PGEH está incluido un total de 50,22 millones de $EUA para 11 países (Armenia, Chile, la República Dominicana, el Líbano, México, Nigeria, Panamá, Filipinas, la República de Moldova, Sudán y Uruguay), incluidos 11,69 millones de $EUA para 2020-2022.  La inclusión en el plan administrativo de la etapa III de los PGEH únicamente se permite a aquellos países que tenían aprobada una etapa II de los PGEH con un objetivo de reducción para 2020 (decisión 82/45(c)(i). No obstante, cinco de estos países tienen aprobada una etapa II con un objetivo de reducción para años posteriores a 2020 (Chile, el Líbano, México, Nigeria y Filipinas).</w:t>
      </w:r>
    </w:p>
    <w:p w14:paraId="54420033" w14:textId="77777777" w:rsidR="00C009A9" w:rsidRPr="00B056E4" w:rsidRDefault="00C009A9" w:rsidP="00C009A9">
      <w:pPr>
        <w:keepNext/>
        <w:rPr>
          <w:u w:val="single"/>
          <w:lang w:val="es-ES"/>
        </w:rPr>
      </w:pPr>
      <w:r w:rsidRPr="00B056E4">
        <w:rPr>
          <w:u w:val="single"/>
          <w:lang w:val="es-ES"/>
        </w:rPr>
        <w:t>Verificación de los PGEH</w:t>
      </w:r>
    </w:p>
    <w:p w14:paraId="030E869D" w14:textId="77777777" w:rsidR="00C009A9" w:rsidRPr="00B056E4" w:rsidRDefault="00C009A9" w:rsidP="00C009A9">
      <w:pPr>
        <w:keepNext/>
        <w:rPr>
          <w:lang w:val="es-ES"/>
        </w:rPr>
      </w:pPr>
    </w:p>
    <w:p w14:paraId="5F4EDF98" w14:textId="77777777" w:rsidR="00C009A9" w:rsidRPr="00B056E4" w:rsidRDefault="00C009A9" w:rsidP="00C009A9">
      <w:pPr>
        <w:pStyle w:val="Heading1"/>
        <w:keepNext/>
        <w:rPr>
          <w:lang w:val="es-ES"/>
        </w:rPr>
      </w:pPr>
      <w:r w:rsidRPr="00B056E4">
        <w:rPr>
          <w:lang w:val="es-ES"/>
        </w:rPr>
        <w:t>La Secretaría ha incluido un monto de 588 600 $EUA por año para informes de verificación</w:t>
      </w:r>
      <w:r w:rsidRPr="00B056E4">
        <w:rPr>
          <w:vertAlign w:val="superscript"/>
          <w:lang w:val="es-ES"/>
        </w:rPr>
        <w:footnoteReference w:id="10"/>
      </w:r>
      <w:r w:rsidRPr="00B056E4">
        <w:rPr>
          <w:lang w:val="es-ES"/>
        </w:rPr>
        <w:t>, presuponiendo que se prepararán 18 informes con un costo de 32 700 $EUA cada uno (1,77 millones de $EUA para el período de 2020 a 2022).</w:t>
      </w:r>
    </w:p>
    <w:p w14:paraId="6FE4AAA7" w14:textId="77777777" w:rsidR="00C009A9" w:rsidRPr="00B056E4" w:rsidRDefault="00C009A9" w:rsidP="00C009A9">
      <w:pPr>
        <w:pStyle w:val="Heading1"/>
        <w:numPr>
          <w:ilvl w:val="0"/>
          <w:numId w:val="0"/>
        </w:numPr>
        <w:rPr>
          <w:u w:val="single"/>
          <w:lang w:val="es-ES"/>
        </w:rPr>
      </w:pPr>
      <w:r w:rsidRPr="00B056E4">
        <w:rPr>
          <w:u w:val="single"/>
          <w:lang w:val="es-ES"/>
        </w:rPr>
        <w:t>Proyectos regionales de asistencia técnica sobre HCFC</w:t>
      </w:r>
    </w:p>
    <w:p w14:paraId="3273B0BF" w14:textId="77777777" w:rsidR="00C009A9" w:rsidRPr="00B056E4" w:rsidRDefault="00C009A9" w:rsidP="00C009A9">
      <w:pPr>
        <w:pStyle w:val="Heading1"/>
        <w:rPr>
          <w:lang w:val="es-ES"/>
        </w:rPr>
      </w:pPr>
      <w:r w:rsidRPr="00B056E4">
        <w:rPr>
          <w:lang w:val="es-ES"/>
        </w:rPr>
        <w:t xml:space="preserve">El plan administrativo incluye dos proyectos regionales de asistencia técnica sobre HCFC, destinados a "fomentar los refrigerantes de bajo potencial de calentamiento atmosférico para sectores de equipos de aire acondicionado en países con temperaturas ambiente altas (PRAHA-III)" que ascienden a 990 000 $EUA en 2020. No hay disponible ninguna ventana de financiación para este proyecto de demostración. </w:t>
      </w:r>
    </w:p>
    <w:p w14:paraId="1B504E67" w14:textId="77777777" w:rsidR="00C009A9" w:rsidRPr="00B056E4" w:rsidRDefault="00C009A9" w:rsidP="00C009A9">
      <w:pPr>
        <w:rPr>
          <w:u w:val="single"/>
          <w:lang w:val="es-ES"/>
        </w:rPr>
      </w:pPr>
      <w:r w:rsidRPr="00B056E4">
        <w:rPr>
          <w:u w:val="single"/>
          <w:lang w:val="es-ES"/>
        </w:rPr>
        <w:t>Actividades relacionadas con los HFC</w:t>
      </w:r>
    </w:p>
    <w:p w14:paraId="72DC960A" w14:textId="77777777" w:rsidR="00C009A9" w:rsidRPr="00B056E4" w:rsidRDefault="00C009A9" w:rsidP="00C009A9">
      <w:pPr>
        <w:rPr>
          <w:b/>
          <w:lang w:val="es-ES"/>
        </w:rPr>
      </w:pPr>
    </w:p>
    <w:p w14:paraId="1374E88F" w14:textId="77777777" w:rsidR="00C009A9" w:rsidRPr="00B056E4" w:rsidRDefault="00C009A9" w:rsidP="00C009A9">
      <w:pPr>
        <w:pStyle w:val="Heading1"/>
        <w:rPr>
          <w:lang w:val="es-ES"/>
        </w:rPr>
      </w:pPr>
      <w:r w:rsidRPr="00B056E4">
        <w:rPr>
          <w:lang w:val="es-ES"/>
        </w:rPr>
        <w:t xml:space="preserve">Entre las actividades relacionadas con los HFC se incluye un proyecto de inversión por un monto de 1,82 millones de $EUA en 2020 para un país (China); actividades de apoyo por una cuantía de 577 800 $EUA en 2020-2021 para cinco países; proyectos para la eliminación de HFC en 50 países que ascienden a 8,51 millones de $EUA en 2020-2022; y actividades de los planes de gestión de la eliminación de HFC de siete países por un valor de 7,29 millones en el período 2020-2022.  </w:t>
      </w:r>
    </w:p>
    <w:p w14:paraId="070A7139" w14:textId="77777777" w:rsidR="00C009A9" w:rsidRPr="00B056E4" w:rsidRDefault="00C009A9" w:rsidP="00C009A9">
      <w:pPr>
        <w:pStyle w:val="Heading1"/>
        <w:rPr>
          <w:lang w:val="es-ES"/>
        </w:rPr>
      </w:pPr>
      <w:r w:rsidRPr="00B056E4">
        <w:rPr>
          <w:lang w:val="es-ES"/>
        </w:rPr>
        <w:t xml:space="preserve">Estaba previsto presentar el proyecto de inversión relacionado con los HFC para el sector de espumas de poliestireno extruido de China en la 84ª reunión, de conformidad con la decisión 78/3(g), pero el Gobierno decidió retrasar la comunicación hasta una reunión posterior, ya que priorizó la comunicación de la etapa II de su plan de gestión de eliminación de los HCFC. En relación a la decisión 82/77(a), que requiere la ratificación de la Enmienda de Kigali como prerrequisito para la aprobación de nuevos proyectos relacionados con los HFC para China, el Centro de Cooperación Internacional para el Medio </w:t>
      </w:r>
      <w:r w:rsidRPr="00B056E4">
        <w:rPr>
          <w:lang w:val="es-ES"/>
        </w:rPr>
        <w:lastRenderedPageBreak/>
        <w:t xml:space="preserve">Ambiente/Ministerio de Ecología y Medio Ambiente de China tiene previsto acelerar el proceso de ratificación y estudiar la presentación una vez ratificada la Enmienda o cuando el proceso de ratificación esté prácticamente completado. Este proyecto se mantiene en el plan administrativo pendiente de la decisión del Comité Ejecutivo sobre si puede permitirse la comunicación de este proyecto en una reunión posterior. </w:t>
      </w:r>
    </w:p>
    <w:p w14:paraId="36A63ED2" w14:textId="77777777" w:rsidR="00C009A9" w:rsidRPr="00B056E4" w:rsidRDefault="00C009A9" w:rsidP="00C009A9">
      <w:pPr>
        <w:pStyle w:val="Heading1"/>
        <w:rPr>
          <w:lang w:val="es-ES"/>
        </w:rPr>
      </w:pPr>
      <w:r w:rsidRPr="00B056E4">
        <w:rPr>
          <w:lang w:val="es-ES"/>
        </w:rPr>
        <w:t>En cuanto a las actividades de apoyo, uno de los cinco países (Haití) ha comunicado esta actividad en la 84ª reunión a través del PNUD y, por tanto, se ha eliminado del plan administrativo del PNUMA. Las actividades correspondientes a los cuatro países restantes se han comunicado junto con la carta requerida indicando por parte de sus Gobiernos el propósito de hacer todos los esfuerzos posibles para ratificar la Enmienda de Kigali lo antes posible, en caso de no haberlo hecho, en línea con la decisión 79/46(d)(i).</w:t>
      </w:r>
    </w:p>
    <w:p w14:paraId="22C4D116" w14:textId="77777777" w:rsidR="00C009A9" w:rsidRPr="00B056E4" w:rsidRDefault="00C009A9" w:rsidP="00C009A9">
      <w:pPr>
        <w:pStyle w:val="Heading1"/>
        <w:rPr>
          <w:lang w:val="es-ES"/>
        </w:rPr>
      </w:pPr>
      <w:r w:rsidRPr="00B056E4">
        <w:rPr>
          <w:lang w:val="es-ES"/>
        </w:rPr>
        <w:t>Respecto a las actividades de preparación, los fondos para la preparación de los planes de ejecución nacionales destinados a cumplir las obligaciones de reducción iniciales para la eliminación de HFC podrían otorgarse, como pronto, cinco años antes de dichas obligaciones, una vez que el país haya ratificado la Enmienda de Kigali y en el supuesto de que en el futuro se aprobarán directrices (decisión 79/46(b)(iii)). De los 50 países incluidos en el plan administrativo, tan solo nueve de ellos no han ratificado la Enmienda de Kigali. De estos, siete países han entregado la carta de su Gobierno requerida indicando el propósito de hacer todo lo posible para ratificar la Enmienda de Kigali.</w:t>
      </w:r>
    </w:p>
    <w:p w14:paraId="739607D0" w14:textId="77777777" w:rsidR="00C009A9" w:rsidRPr="00B056E4" w:rsidRDefault="00C009A9" w:rsidP="00C009A9">
      <w:pPr>
        <w:pStyle w:val="Heading1"/>
        <w:rPr>
          <w:lang w:val="es-ES"/>
        </w:rPr>
      </w:pPr>
      <w:r w:rsidRPr="00B056E4">
        <w:rPr>
          <w:lang w:val="es-ES"/>
        </w:rPr>
        <w:t>Se incluyen actividades de planificación de gestión de la eliminación de HFC para Costa Rica, Cuba, Ghana, Granada, Nigeria, Panamá y Vietnam. Estos países han ratificado la Enmienda de Kigali. Sin embargo, no se ha tomado ninguna decisión por parte del Comité Ejecutivo que permita a los países comunicar planes de gestión para la eliminación de HFC, ya que, de acuerdo a la decisión 79/46(b)(iii), tan solo es admisible la financiación preparatoria.</w:t>
      </w:r>
    </w:p>
    <w:p w14:paraId="5DB6BA0F" w14:textId="77777777" w:rsidR="00C009A9" w:rsidRPr="00B056E4" w:rsidRDefault="00C009A9" w:rsidP="00C009A9">
      <w:pPr>
        <w:keepNext/>
        <w:rPr>
          <w:b/>
          <w:bCs/>
          <w:lang w:val="es-ES"/>
        </w:rPr>
      </w:pPr>
      <w:r w:rsidRPr="00B056E4">
        <w:rPr>
          <w:b/>
          <w:bCs/>
          <w:lang w:val="es-ES"/>
        </w:rPr>
        <w:t>Ajustes al plan administrativo refundido del Fondo Multilateral para 2020-2022</w:t>
      </w:r>
    </w:p>
    <w:p w14:paraId="460CC942" w14:textId="77777777" w:rsidR="00C009A9" w:rsidRPr="00B056E4" w:rsidRDefault="00C009A9" w:rsidP="00C009A9">
      <w:pPr>
        <w:keepNext/>
        <w:rPr>
          <w:b/>
          <w:bCs/>
          <w:caps/>
          <w:lang w:val="es-ES"/>
        </w:rPr>
      </w:pPr>
    </w:p>
    <w:p w14:paraId="7391D3D2" w14:textId="77777777" w:rsidR="00C009A9" w:rsidRPr="00B056E4" w:rsidRDefault="00C009A9" w:rsidP="00C009A9">
      <w:pPr>
        <w:pStyle w:val="Heading1"/>
        <w:rPr>
          <w:lang w:val="es-ES"/>
        </w:rPr>
      </w:pPr>
      <w:r w:rsidRPr="00B056E4">
        <w:rPr>
          <w:lang w:val="es-ES"/>
        </w:rPr>
        <w:t>Durante la reunión de coordinación interinstitucional, se acordaron ajustes a los planes administrativos de los organismos bilaterales y de ejecución de conformidad con las decisiones pertinentes del Comité Ejecutivo. No obstante, al examinar los planes administrativos revisados presentados después de esa reunión, se observó que no se habían tenido en cuenta los ajustes que se indican en el Cuadro 5 que se muestra a continuación:</w:t>
      </w:r>
    </w:p>
    <w:p w14:paraId="3C78203E" w14:textId="77777777" w:rsidR="00C009A9" w:rsidRPr="00B056E4" w:rsidRDefault="00C009A9" w:rsidP="00C009A9">
      <w:pPr>
        <w:keepNext/>
        <w:rPr>
          <w:b/>
          <w:bCs/>
          <w:lang w:val="es-ES"/>
        </w:rPr>
      </w:pPr>
      <w:r w:rsidRPr="00B056E4">
        <w:rPr>
          <w:b/>
          <w:lang w:val="es-ES"/>
        </w:rPr>
        <w:t>Cuadro 5. Otros ajustes al plan administrativo refundido del Fondo Multilateral para 2020</w:t>
      </w:r>
      <w:r w:rsidRPr="00B056E4">
        <w:rPr>
          <w:b/>
          <w:lang w:val="es-ES"/>
        </w:rPr>
        <w:noBreakHyphen/>
        <w:t>2022 (en miles de $EUA)</w:t>
      </w:r>
    </w:p>
    <w:tbl>
      <w:tblPr>
        <w:tblStyle w:val="TableGrid"/>
        <w:tblW w:w="9445" w:type="dxa"/>
        <w:tblLook w:val="04A0" w:firstRow="1" w:lastRow="0" w:firstColumn="1" w:lastColumn="0" w:noHBand="0" w:noVBand="1"/>
      </w:tblPr>
      <w:tblGrid>
        <w:gridCol w:w="6722"/>
        <w:gridCol w:w="1373"/>
        <w:gridCol w:w="1350"/>
      </w:tblGrid>
      <w:tr w:rsidR="00C009A9" w:rsidRPr="00B056E4" w14:paraId="17667076" w14:textId="77777777" w:rsidTr="00C0770E">
        <w:trPr>
          <w:tblHeader/>
        </w:trPr>
        <w:tc>
          <w:tcPr>
            <w:tcW w:w="6722" w:type="dxa"/>
          </w:tcPr>
          <w:p w14:paraId="6779B53A" w14:textId="77777777" w:rsidR="00C009A9" w:rsidRPr="00B056E4" w:rsidRDefault="00C009A9" w:rsidP="00C0770E">
            <w:pPr>
              <w:rPr>
                <w:b/>
                <w:lang w:val="es-ES"/>
              </w:rPr>
            </w:pPr>
            <w:r w:rsidRPr="00B056E4">
              <w:rPr>
                <w:b/>
                <w:lang w:val="es-ES"/>
              </w:rPr>
              <w:t>Ajuste</w:t>
            </w:r>
          </w:p>
        </w:tc>
        <w:tc>
          <w:tcPr>
            <w:tcW w:w="1373" w:type="dxa"/>
          </w:tcPr>
          <w:p w14:paraId="432A4F95" w14:textId="77777777" w:rsidR="00C009A9" w:rsidRPr="00B056E4" w:rsidRDefault="00C009A9" w:rsidP="00C0770E">
            <w:pPr>
              <w:jc w:val="center"/>
              <w:rPr>
                <w:b/>
                <w:lang w:val="es-ES"/>
              </w:rPr>
            </w:pPr>
            <w:r w:rsidRPr="00B056E4">
              <w:rPr>
                <w:b/>
                <w:lang w:val="es-ES"/>
              </w:rPr>
              <w:t xml:space="preserve">2020-2022 </w:t>
            </w:r>
          </w:p>
        </w:tc>
        <w:tc>
          <w:tcPr>
            <w:tcW w:w="1350" w:type="dxa"/>
          </w:tcPr>
          <w:p w14:paraId="493BD4FB" w14:textId="77777777" w:rsidR="00C009A9" w:rsidRPr="00B056E4" w:rsidRDefault="00C009A9" w:rsidP="00C0770E">
            <w:pPr>
              <w:jc w:val="center"/>
              <w:rPr>
                <w:b/>
                <w:lang w:val="es-ES"/>
              </w:rPr>
            </w:pPr>
            <w:r w:rsidRPr="00B056E4">
              <w:rPr>
                <w:b/>
                <w:lang w:val="es-ES"/>
              </w:rPr>
              <w:t>Después de 2022</w:t>
            </w:r>
          </w:p>
        </w:tc>
      </w:tr>
      <w:tr w:rsidR="00C009A9" w:rsidRPr="00B056E4" w14:paraId="43A78991" w14:textId="77777777" w:rsidTr="00C0770E">
        <w:tc>
          <w:tcPr>
            <w:tcW w:w="6722" w:type="dxa"/>
          </w:tcPr>
          <w:p w14:paraId="4FF51916" w14:textId="77777777" w:rsidR="00C009A9" w:rsidRPr="00B056E4" w:rsidRDefault="00C009A9" w:rsidP="00C0770E">
            <w:pPr>
              <w:rPr>
                <w:lang w:val="es-ES"/>
              </w:rPr>
            </w:pPr>
            <w:r w:rsidRPr="00B056E4">
              <w:rPr>
                <w:lang w:val="es-ES"/>
              </w:rPr>
              <w:t xml:space="preserve">Cuantías de los PGEH para reflejar los montos reales aprobados en los acuerdos, incluidos los tramos de esos planes que se debían presentar a la 84ª reunión, pero no se hizo </w:t>
            </w:r>
          </w:p>
        </w:tc>
        <w:tc>
          <w:tcPr>
            <w:tcW w:w="1373" w:type="dxa"/>
          </w:tcPr>
          <w:p w14:paraId="08D04001" w14:textId="77777777" w:rsidR="00C009A9" w:rsidRPr="00B056E4" w:rsidRDefault="00C009A9" w:rsidP="00C0770E">
            <w:pPr>
              <w:jc w:val="right"/>
              <w:rPr>
                <w:lang w:val="es-ES"/>
              </w:rPr>
            </w:pPr>
            <w:r w:rsidRPr="00B056E4">
              <w:rPr>
                <w:lang w:val="es-ES"/>
              </w:rPr>
              <w:t>37</w:t>
            </w:r>
          </w:p>
        </w:tc>
        <w:tc>
          <w:tcPr>
            <w:tcW w:w="1350" w:type="dxa"/>
          </w:tcPr>
          <w:p w14:paraId="38342621" w14:textId="77777777" w:rsidR="00C009A9" w:rsidRPr="00B056E4" w:rsidRDefault="00C009A9" w:rsidP="00C0770E">
            <w:pPr>
              <w:jc w:val="right"/>
              <w:rPr>
                <w:lang w:val="es-ES"/>
              </w:rPr>
            </w:pPr>
            <w:r w:rsidRPr="00B056E4">
              <w:rPr>
                <w:lang w:val="es-ES"/>
              </w:rPr>
              <w:t>165</w:t>
            </w:r>
          </w:p>
        </w:tc>
      </w:tr>
      <w:tr w:rsidR="00C009A9" w:rsidRPr="00B056E4" w14:paraId="3136A1B5" w14:textId="77777777" w:rsidTr="00C0770E">
        <w:tc>
          <w:tcPr>
            <w:tcW w:w="6722" w:type="dxa"/>
          </w:tcPr>
          <w:p w14:paraId="0D5567C1" w14:textId="77777777" w:rsidR="00C009A9" w:rsidRPr="00B056E4" w:rsidRDefault="00C009A9" w:rsidP="00C0770E">
            <w:pPr>
              <w:rPr>
                <w:lang w:val="es-ES"/>
              </w:rPr>
            </w:pPr>
            <w:r w:rsidRPr="00B056E4">
              <w:rPr>
                <w:lang w:val="es-ES"/>
              </w:rPr>
              <w:t>Cuantías de los PGEH para reflejar el Acuerdo revisado que se presenta a la 84ª reunión.</w:t>
            </w:r>
          </w:p>
        </w:tc>
        <w:tc>
          <w:tcPr>
            <w:tcW w:w="1373" w:type="dxa"/>
          </w:tcPr>
          <w:p w14:paraId="207A160E" w14:textId="77777777" w:rsidR="00C009A9" w:rsidRPr="00B056E4" w:rsidRDefault="00C009A9" w:rsidP="00C0770E">
            <w:pPr>
              <w:jc w:val="right"/>
              <w:rPr>
                <w:lang w:val="es-ES"/>
              </w:rPr>
            </w:pPr>
            <w:r w:rsidRPr="00B056E4">
              <w:rPr>
                <w:lang w:val="es-ES"/>
              </w:rPr>
              <w:t>3 839</w:t>
            </w:r>
          </w:p>
        </w:tc>
        <w:tc>
          <w:tcPr>
            <w:tcW w:w="1350" w:type="dxa"/>
          </w:tcPr>
          <w:p w14:paraId="06ACE0BF" w14:textId="77777777" w:rsidR="00C009A9" w:rsidRPr="00B056E4" w:rsidRDefault="00C009A9" w:rsidP="00C0770E">
            <w:pPr>
              <w:jc w:val="right"/>
              <w:rPr>
                <w:lang w:val="es-ES"/>
              </w:rPr>
            </w:pPr>
            <w:r w:rsidRPr="00B056E4">
              <w:rPr>
                <w:lang w:val="es-ES"/>
              </w:rPr>
              <w:t>15 147</w:t>
            </w:r>
          </w:p>
        </w:tc>
      </w:tr>
      <w:tr w:rsidR="00C009A9" w:rsidRPr="00B056E4" w14:paraId="643298B2" w14:textId="77777777" w:rsidTr="00C0770E">
        <w:tc>
          <w:tcPr>
            <w:tcW w:w="6722" w:type="dxa"/>
          </w:tcPr>
          <w:p w14:paraId="17E65793" w14:textId="77777777" w:rsidR="00C009A9" w:rsidRPr="00B056E4" w:rsidRDefault="00C009A9" w:rsidP="00C0770E">
            <w:pPr>
              <w:rPr>
                <w:lang w:val="es-ES"/>
              </w:rPr>
            </w:pPr>
            <w:r w:rsidRPr="00B056E4">
              <w:rPr>
                <w:lang w:val="es-ES"/>
              </w:rPr>
              <w:t>Etapa I de los PGEPH y de preparación de proyectos</w:t>
            </w:r>
          </w:p>
        </w:tc>
        <w:tc>
          <w:tcPr>
            <w:tcW w:w="1373" w:type="dxa"/>
            <w:vAlign w:val="bottom"/>
          </w:tcPr>
          <w:p w14:paraId="7ABA6C6E" w14:textId="77777777" w:rsidR="00C009A9" w:rsidRPr="00B056E4" w:rsidRDefault="00C009A9" w:rsidP="00C0770E">
            <w:pPr>
              <w:jc w:val="right"/>
              <w:rPr>
                <w:lang w:val="es-ES"/>
              </w:rPr>
            </w:pPr>
            <w:r w:rsidRPr="00B056E4">
              <w:rPr>
                <w:lang w:val="es-ES"/>
              </w:rPr>
              <w:t>(3 290)</w:t>
            </w:r>
          </w:p>
        </w:tc>
        <w:tc>
          <w:tcPr>
            <w:tcW w:w="1350" w:type="dxa"/>
            <w:vAlign w:val="bottom"/>
          </w:tcPr>
          <w:p w14:paraId="5CDEA37B" w14:textId="77777777" w:rsidR="00C009A9" w:rsidRPr="00B056E4" w:rsidRDefault="00C009A9" w:rsidP="00C0770E">
            <w:pPr>
              <w:jc w:val="right"/>
              <w:rPr>
                <w:lang w:val="es-ES"/>
              </w:rPr>
            </w:pPr>
            <w:r w:rsidRPr="00B056E4">
              <w:rPr>
                <w:lang w:val="es-ES"/>
              </w:rPr>
              <w:t>(2 140)</w:t>
            </w:r>
          </w:p>
        </w:tc>
      </w:tr>
      <w:tr w:rsidR="00C009A9" w:rsidRPr="00B056E4" w14:paraId="35B80114" w14:textId="77777777" w:rsidTr="00C0770E">
        <w:tc>
          <w:tcPr>
            <w:tcW w:w="6722" w:type="dxa"/>
          </w:tcPr>
          <w:p w14:paraId="0418DDE7" w14:textId="77777777" w:rsidR="00C009A9" w:rsidRPr="00B056E4" w:rsidRDefault="00C009A9" w:rsidP="00C0770E">
            <w:pPr>
              <w:rPr>
                <w:lang w:val="es-ES"/>
              </w:rPr>
            </w:pPr>
            <w:r w:rsidRPr="00B056E4">
              <w:rPr>
                <w:lang w:val="es-ES"/>
              </w:rPr>
              <w:t>Etapa II de los PGEPH de conformidad con la decisión 69/28(e)</w:t>
            </w:r>
            <w:r w:rsidRPr="00B056E4">
              <w:rPr>
                <w:lang w:val="es-ES"/>
              </w:rPr>
              <w:cr/>
            </w:r>
            <w:r w:rsidRPr="00B056E4">
              <w:rPr>
                <w:lang w:val="es-ES"/>
              </w:rPr>
              <w:br/>
            </w:r>
          </w:p>
        </w:tc>
        <w:tc>
          <w:tcPr>
            <w:tcW w:w="1373" w:type="dxa"/>
            <w:vAlign w:val="bottom"/>
          </w:tcPr>
          <w:p w14:paraId="49059659" w14:textId="77777777" w:rsidR="00C009A9" w:rsidRPr="00B056E4" w:rsidRDefault="00C009A9" w:rsidP="00C0770E">
            <w:pPr>
              <w:jc w:val="right"/>
              <w:rPr>
                <w:lang w:val="es-ES"/>
              </w:rPr>
            </w:pPr>
            <w:r w:rsidRPr="00B056E4">
              <w:rPr>
                <w:lang w:val="es-ES"/>
              </w:rPr>
              <w:t>(7 468)</w:t>
            </w:r>
          </w:p>
        </w:tc>
        <w:tc>
          <w:tcPr>
            <w:tcW w:w="1350" w:type="dxa"/>
            <w:vAlign w:val="bottom"/>
          </w:tcPr>
          <w:p w14:paraId="7665AD58" w14:textId="77777777" w:rsidR="00C009A9" w:rsidRPr="00B056E4" w:rsidRDefault="00C009A9" w:rsidP="00C0770E">
            <w:pPr>
              <w:jc w:val="right"/>
              <w:rPr>
                <w:lang w:val="es-ES"/>
              </w:rPr>
            </w:pPr>
            <w:r w:rsidRPr="00B056E4">
              <w:rPr>
                <w:lang w:val="es-ES"/>
              </w:rPr>
              <w:t>6 407</w:t>
            </w:r>
          </w:p>
        </w:tc>
      </w:tr>
      <w:tr w:rsidR="00C009A9" w:rsidRPr="00B056E4" w14:paraId="1A3BB3B7" w14:textId="77777777" w:rsidTr="00C0770E">
        <w:tc>
          <w:tcPr>
            <w:tcW w:w="6722" w:type="dxa"/>
          </w:tcPr>
          <w:p w14:paraId="6F0E3CB2" w14:textId="77777777" w:rsidR="00C009A9" w:rsidRPr="00B056E4" w:rsidRDefault="00C009A9" w:rsidP="00C0770E">
            <w:pPr>
              <w:rPr>
                <w:lang w:val="es-ES"/>
              </w:rPr>
            </w:pPr>
            <w:r w:rsidRPr="00B056E4">
              <w:rPr>
                <w:lang w:val="es-ES"/>
              </w:rPr>
              <w:t>Preparación de proyectos para la etapa II de los PGEH de conformidad con la decisión 71/42</w:t>
            </w:r>
          </w:p>
        </w:tc>
        <w:tc>
          <w:tcPr>
            <w:tcW w:w="1373" w:type="dxa"/>
          </w:tcPr>
          <w:p w14:paraId="103B701A" w14:textId="77777777" w:rsidR="00C009A9" w:rsidRPr="00B056E4" w:rsidRDefault="00C009A9" w:rsidP="00C0770E">
            <w:pPr>
              <w:jc w:val="right"/>
              <w:rPr>
                <w:lang w:val="es-ES"/>
              </w:rPr>
            </w:pPr>
            <w:r w:rsidRPr="00B056E4">
              <w:rPr>
                <w:lang w:val="es-ES"/>
              </w:rPr>
              <w:t>(50)</w:t>
            </w:r>
          </w:p>
        </w:tc>
        <w:tc>
          <w:tcPr>
            <w:tcW w:w="1350" w:type="dxa"/>
          </w:tcPr>
          <w:p w14:paraId="53485D9A" w14:textId="77777777" w:rsidR="00C009A9" w:rsidRPr="00B056E4" w:rsidRDefault="00C009A9" w:rsidP="00C0770E">
            <w:pPr>
              <w:jc w:val="right"/>
              <w:rPr>
                <w:lang w:val="es-ES"/>
              </w:rPr>
            </w:pPr>
            <w:r w:rsidRPr="00B056E4">
              <w:rPr>
                <w:lang w:val="es-ES"/>
              </w:rPr>
              <w:t>0</w:t>
            </w:r>
          </w:p>
        </w:tc>
      </w:tr>
      <w:tr w:rsidR="00C009A9" w:rsidRPr="00B056E4" w14:paraId="177CE9AB" w14:textId="77777777" w:rsidTr="00C0770E">
        <w:tc>
          <w:tcPr>
            <w:tcW w:w="6722" w:type="dxa"/>
          </w:tcPr>
          <w:p w14:paraId="7F6A33FD" w14:textId="77777777" w:rsidR="00C009A9" w:rsidRPr="00B056E4" w:rsidRDefault="00C009A9" w:rsidP="00C0770E">
            <w:pPr>
              <w:rPr>
                <w:lang w:val="es-ES"/>
              </w:rPr>
            </w:pPr>
            <w:r w:rsidRPr="00B056E4">
              <w:rPr>
                <w:lang w:val="es-ES"/>
              </w:rPr>
              <w:t>Etapa II de las cuantías de los PGEH para reflejar el Acuerdo revisado que se presenta a la 84ª reunión.</w:t>
            </w:r>
          </w:p>
        </w:tc>
        <w:tc>
          <w:tcPr>
            <w:tcW w:w="1373" w:type="dxa"/>
          </w:tcPr>
          <w:p w14:paraId="2859802D" w14:textId="77777777" w:rsidR="00C009A9" w:rsidRPr="00B056E4" w:rsidRDefault="00C009A9" w:rsidP="00C0770E">
            <w:pPr>
              <w:jc w:val="right"/>
              <w:rPr>
                <w:lang w:val="es-ES"/>
              </w:rPr>
            </w:pPr>
            <w:r w:rsidRPr="00B056E4">
              <w:rPr>
                <w:lang w:val="es-ES"/>
              </w:rPr>
              <w:t>(312)</w:t>
            </w:r>
          </w:p>
        </w:tc>
        <w:tc>
          <w:tcPr>
            <w:tcW w:w="1350" w:type="dxa"/>
          </w:tcPr>
          <w:p w14:paraId="0C96FD37" w14:textId="77777777" w:rsidR="00C009A9" w:rsidRPr="00B056E4" w:rsidRDefault="00C009A9" w:rsidP="00C0770E">
            <w:pPr>
              <w:jc w:val="right"/>
              <w:rPr>
                <w:lang w:val="es-ES"/>
              </w:rPr>
            </w:pPr>
            <w:r w:rsidRPr="00B056E4">
              <w:rPr>
                <w:lang w:val="es-ES"/>
              </w:rPr>
              <w:t>453</w:t>
            </w:r>
          </w:p>
        </w:tc>
      </w:tr>
      <w:tr w:rsidR="00C009A9" w:rsidRPr="00B056E4" w14:paraId="4BD28320" w14:textId="77777777" w:rsidTr="00C0770E">
        <w:tc>
          <w:tcPr>
            <w:tcW w:w="6722" w:type="dxa"/>
          </w:tcPr>
          <w:p w14:paraId="2E1D11ED" w14:textId="77777777" w:rsidR="00C009A9" w:rsidRPr="00B056E4" w:rsidRDefault="00C009A9" w:rsidP="00C0770E">
            <w:pPr>
              <w:rPr>
                <w:lang w:val="es-ES"/>
              </w:rPr>
            </w:pPr>
            <w:r w:rsidRPr="00B056E4">
              <w:rPr>
                <w:lang w:val="es-ES"/>
              </w:rPr>
              <w:t>Etapa II de los PGEH de países de bajo volumen de consumo hasta el valor máximo permitido para alcanzar una reducción del 67,5% o el 100% del nivel básico de referencia para los HCFC de conformidad con la decisión 74/50(c)(xii)</w:t>
            </w:r>
          </w:p>
        </w:tc>
        <w:tc>
          <w:tcPr>
            <w:tcW w:w="1373" w:type="dxa"/>
          </w:tcPr>
          <w:p w14:paraId="2C456B8B" w14:textId="77777777" w:rsidR="00C009A9" w:rsidRPr="00B056E4" w:rsidRDefault="00C009A9" w:rsidP="00C0770E">
            <w:pPr>
              <w:jc w:val="right"/>
              <w:rPr>
                <w:lang w:val="es-ES"/>
              </w:rPr>
            </w:pPr>
            <w:r w:rsidRPr="00B056E4">
              <w:rPr>
                <w:lang w:val="es-ES"/>
              </w:rPr>
              <w:t>(5)</w:t>
            </w:r>
          </w:p>
        </w:tc>
        <w:tc>
          <w:tcPr>
            <w:tcW w:w="1350" w:type="dxa"/>
          </w:tcPr>
          <w:p w14:paraId="7E3B810B" w14:textId="77777777" w:rsidR="00C009A9" w:rsidRPr="00B056E4" w:rsidRDefault="00C009A9" w:rsidP="00C0770E">
            <w:pPr>
              <w:jc w:val="right"/>
              <w:rPr>
                <w:lang w:val="es-ES"/>
              </w:rPr>
            </w:pPr>
            <w:r w:rsidRPr="00B056E4">
              <w:rPr>
                <w:lang w:val="es-ES"/>
              </w:rPr>
              <w:t>(6)</w:t>
            </w:r>
          </w:p>
        </w:tc>
      </w:tr>
      <w:tr w:rsidR="00C009A9" w:rsidRPr="00B056E4" w14:paraId="01D2B960" w14:textId="77777777" w:rsidTr="00C0770E">
        <w:tc>
          <w:tcPr>
            <w:tcW w:w="6722" w:type="dxa"/>
          </w:tcPr>
          <w:p w14:paraId="65FD2D7A" w14:textId="77777777" w:rsidR="00C009A9" w:rsidRPr="00B056E4" w:rsidRDefault="00C009A9" w:rsidP="00C0770E">
            <w:pPr>
              <w:rPr>
                <w:lang w:val="es-ES"/>
              </w:rPr>
            </w:pPr>
            <w:r w:rsidRPr="00B056E4">
              <w:rPr>
                <w:lang w:val="es-ES"/>
              </w:rPr>
              <w:lastRenderedPageBreak/>
              <w:t>Etapa II de los PGEH de países que no son de bajo volumen de consumo en el sector de servicio y mantenimiento de equipos de refrigeración, sobre la base de una relación de costo a eficacia máxima de 4,80 $EUA/kg</w:t>
            </w:r>
          </w:p>
        </w:tc>
        <w:tc>
          <w:tcPr>
            <w:tcW w:w="1373" w:type="dxa"/>
          </w:tcPr>
          <w:p w14:paraId="3CC68CC5" w14:textId="77777777" w:rsidR="00C009A9" w:rsidRPr="00B056E4" w:rsidRDefault="00C009A9" w:rsidP="00C0770E">
            <w:pPr>
              <w:jc w:val="right"/>
              <w:rPr>
                <w:lang w:val="es-ES"/>
              </w:rPr>
            </w:pPr>
            <w:r w:rsidRPr="00B056E4">
              <w:rPr>
                <w:lang w:val="es-ES"/>
              </w:rPr>
              <w:t>(0,4)</w:t>
            </w:r>
          </w:p>
        </w:tc>
        <w:tc>
          <w:tcPr>
            <w:tcW w:w="1350" w:type="dxa"/>
          </w:tcPr>
          <w:p w14:paraId="2813272D" w14:textId="77777777" w:rsidR="00C009A9" w:rsidRPr="00B056E4" w:rsidRDefault="00C009A9" w:rsidP="00C0770E">
            <w:pPr>
              <w:jc w:val="right"/>
              <w:rPr>
                <w:lang w:val="es-ES"/>
              </w:rPr>
            </w:pPr>
            <w:r w:rsidRPr="00B056E4">
              <w:rPr>
                <w:lang w:val="es-ES"/>
              </w:rPr>
              <w:t>(390)</w:t>
            </w:r>
          </w:p>
        </w:tc>
      </w:tr>
      <w:tr w:rsidR="00C009A9" w:rsidRPr="00B056E4" w14:paraId="0711DFDD" w14:textId="77777777" w:rsidTr="00C0770E">
        <w:tc>
          <w:tcPr>
            <w:tcW w:w="6722" w:type="dxa"/>
          </w:tcPr>
          <w:p w14:paraId="0C1E4B0E" w14:textId="77777777" w:rsidR="00C009A9" w:rsidRPr="00B056E4" w:rsidRDefault="00C009A9" w:rsidP="00C0770E">
            <w:pPr>
              <w:rPr>
                <w:lang w:val="es-ES"/>
              </w:rPr>
            </w:pPr>
            <w:r w:rsidRPr="00B056E4">
              <w:rPr>
                <w:lang w:val="es-ES"/>
              </w:rPr>
              <w:t>Preparación de proyectos para la etapa III de los PGEH de conformidad con la decisión 71/42</w:t>
            </w:r>
          </w:p>
        </w:tc>
        <w:tc>
          <w:tcPr>
            <w:tcW w:w="1373" w:type="dxa"/>
          </w:tcPr>
          <w:p w14:paraId="01320DE4" w14:textId="77777777" w:rsidR="00C009A9" w:rsidRPr="00B056E4" w:rsidRDefault="00C009A9" w:rsidP="00C0770E">
            <w:pPr>
              <w:jc w:val="right"/>
              <w:rPr>
                <w:lang w:val="es-ES"/>
              </w:rPr>
            </w:pPr>
            <w:r w:rsidRPr="00B056E4">
              <w:rPr>
                <w:lang w:val="es-ES"/>
              </w:rPr>
              <w:t>(303)</w:t>
            </w:r>
          </w:p>
        </w:tc>
        <w:tc>
          <w:tcPr>
            <w:tcW w:w="1350" w:type="dxa"/>
          </w:tcPr>
          <w:p w14:paraId="784B97F7" w14:textId="77777777" w:rsidR="00C009A9" w:rsidRPr="00B056E4" w:rsidRDefault="00C009A9" w:rsidP="00C0770E">
            <w:pPr>
              <w:jc w:val="right"/>
              <w:rPr>
                <w:lang w:val="es-ES"/>
              </w:rPr>
            </w:pPr>
            <w:r w:rsidRPr="00B056E4">
              <w:rPr>
                <w:lang w:val="es-ES"/>
              </w:rPr>
              <w:t>225</w:t>
            </w:r>
          </w:p>
        </w:tc>
      </w:tr>
      <w:tr w:rsidR="00C009A9" w:rsidRPr="00B056E4" w14:paraId="1255AB44" w14:textId="77777777" w:rsidTr="00C0770E">
        <w:tc>
          <w:tcPr>
            <w:tcW w:w="6722" w:type="dxa"/>
          </w:tcPr>
          <w:p w14:paraId="53C5E671" w14:textId="77777777" w:rsidR="00C009A9" w:rsidRPr="00B056E4" w:rsidRDefault="00C009A9" w:rsidP="00C0770E">
            <w:pPr>
              <w:rPr>
                <w:lang w:val="es-ES"/>
              </w:rPr>
            </w:pPr>
            <w:r w:rsidRPr="00B056E4">
              <w:rPr>
                <w:lang w:val="es-ES"/>
              </w:rPr>
              <w:t>Etapa III de los PGEH de conformidad con la decisión 82/45(c)(i)</w:t>
            </w:r>
          </w:p>
        </w:tc>
        <w:tc>
          <w:tcPr>
            <w:tcW w:w="1373" w:type="dxa"/>
          </w:tcPr>
          <w:p w14:paraId="6A266FFD" w14:textId="77777777" w:rsidR="00C009A9" w:rsidRPr="00B056E4" w:rsidRDefault="00C009A9" w:rsidP="00C0770E">
            <w:pPr>
              <w:jc w:val="right"/>
              <w:rPr>
                <w:lang w:val="es-ES"/>
              </w:rPr>
            </w:pPr>
            <w:r w:rsidRPr="00B056E4">
              <w:rPr>
                <w:lang w:val="es-ES"/>
              </w:rPr>
              <w:t>(10 078)</w:t>
            </w:r>
          </w:p>
        </w:tc>
        <w:tc>
          <w:tcPr>
            <w:tcW w:w="1350" w:type="dxa"/>
          </w:tcPr>
          <w:p w14:paraId="5FA32F2D" w14:textId="77777777" w:rsidR="00C009A9" w:rsidRPr="00B056E4" w:rsidRDefault="00C009A9" w:rsidP="00C0770E">
            <w:pPr>
              <w:jc w:val="right"/>
              <w:rPr>
                <w:lang w:val="es-ES"/>
              </w:rPr>
            </w:pPr>
            <w:r w:rsidRPr="00B056E4">
              <w:rPr>
                <w:lang w:val="es-ES"/>
              </w:rPr>
              <w:t>(36 403)</w:t>
            </w:r>
          </w:p>
        </w:tc>
      </w:tr>
      <w:tr w:rsidR="00C009A9" w:rsidRPr="00B056E4" w14:paraId="14CBF800" w14:textId="77777777" w:rsidTr="00C0770E">
        <w:tc>
          <w:tcPr>
            <w:tcW w:w="6722" w:type="dxa"/>
          </w:tcPr>
          <w:p w14:paraId="7B9801FA" w14:textId="77777777" w:rsidR="00C009A9" w:rsidRPr="00B056E4" w:rsidRDefault="00C009A9" w:rsidP="00C0770E">
            <w:pPr>
              <w:rPr>
                <w:lang w:val="es-ES"/>
              </w:rPr>
            </w:pPr>
            <w:r w:rsidRPr="00B056E4">
              <w:rPr>
                <w:lang w:val="es-ES"/>
              </w:rPr>
              <w:t xml:space="preserve">Asistencia técnica sobre HCFC </w:t>
            </w:r>
          </w:p>
        </w:tc>
        <w:tc>
          <w:tcPr>
            <w:tcW w:w="1373" w:type="dxa"/>
          </w:tcPr>
          <w:p w14:paraId="1190CF75" w14:textId="77777777" w:rsidR="00C009A9" w:rsidRPr="00B056E4" w:rsidRDefault="00C009A9" w:rsidP="00C0770E">
            <w:pPr>
              <w:jc w:val="right"/>
              <w:rPr>
                <w:lang w:val="es-ES"/>
              </w:rPr>
            </w:pPr>
            <w:r w:rsidRPr="00B056E4">
              <w:rPr>
                <w:lang w:val="es-ES"/>
              </w:rPr>
              <w:t>(990)</w:t>
            </w:r>
          </w:p>
        </w:tc>
        <w:tc>
          <w:tcPr>
            <w:tcW w:w="1350" w:type="dxa"/>
          </w:tcPr>
          <w:p w14:paraId="7B7363E3" w14:textId="77777777" w:rsidR="00C009A9" w:rsidRPr="00B056E4" w:rsidRDefault="00C009A9" w:rsidP="00C0770E">
            <w:pPr>
              <w:jc w:val="right"/>
              <w:rPr>
                <w:lang w:val="es-ES"/>
              </w:rPr>
            </w:pPr>
            <w:r w:rsidRPr="00B056E4">
              <w:rPr>
                <w:lang w:val="es-ES"/>
              </w:rPr>
              <w:t>0</w:t>
            </w:r>
          </w:p>
        </w:tc>
      </w:tr>
      <w:tr w:rsidR="00C009A9" w:rsidRPr="00B056E4" w14:paraId="41D3B95F" w14:textId="77777777" w:rsidTr="00C0770E">
        <w:tc>
          <w:tcPr>
            <w:tcW w:w="6722" w:type="dxa"/>
          </w:tcPr>
          <w:p w14:paraId="6FF5C747" w14:textId="77777777" w:rsidR="00C009A9" w:rsidRPr="00B056E4" w:rsidRDefault="00C009A9" w:rsidP="00C0770E">
            <w:pPr>
              <w:rPr>
                <w:lang w:val="es-ES"/>
              </w:rPr>
            </w:pPr>
            <w:r w:rsidRPr="00B056E4">
              <w:rPr>
                <w:lang w:val="es-ES"/>
              </w:rPr>
              <w:t>Actividades de apoyo ya presentadas a la 84ª reunión</w:t>
            </w:r>
          </w:p>
        </w:tc>
        <w:tc>
          <w:tcPr>
            <w:tcW w:w="1373" w:type="dxa"/>
          </w:tcPr>
          <w:p w14:paraId="42EAE03C" w14:textId="77777777" w:rsidR="00C009A9" w:rsidRPr="00B056E4" w:rsidRDefault="00C009A9" w:rsidP="00C0770E">
            <w:pPr>
              <w:jc w:val="right"/>
              <w:rPr>
                <w:lang w:val="es-ES"/>
              </w:rPr>
            </w:pPr>
            <w:r w:rsidRPr="00B056E4">
              <w:rPr>
                <w:lang w:val="es-ES"/>
              </w:rPr>
              <w:t>(102)</w:t>
            </w:r>
          </w:p>
        </w:tc>
        <w:tc>
          <w:tcPr>
            <w:tcW w:w="1350" w:type="dxa"/>
          </w:tcPr>
          <w:p w14:paraId="47A937EF" w14:textId="77777777" w:rsidR="00C009A9" w:rsidRPr="00B056E4" w:rsidRDefault="00C009A9" w:rsidP="00C0770E">
            <w:pPr>
              <w:jc w:val="right"/>
              <w:rPr>
                <w:lang w:val="es-ES"/>
              </w:rPr>
            </w:pPr>
            <w:r w:rsidRPr="00B056E4">
              <w:rPr>
                <w:lang w:val="es-ES"/>
              </w:rPr>
              <w:t>0</w:t>
            </w:r>
          </w:p>
        </w:tc>
      </w:tr>
      <w:tr w:rsidR="00C009A9" w:rsidRPr="00B056E4" w14:paraId="4F43369B" w14:textId="77777777" w:rsidTr="00C0770E">
        <w:tc>
          <w:tcPr>
            <w:tcW w:w="6722" w:type="dxa"/>
          </w:tcPr>
          <w:p w14:paraId="727B3A6A" w14:textId="77777777" w:rsidR="00C009A9" w:rsidRPr="00B056E4" w:rsidRDefault="00C009A9" w:rsidP="00C0770E">
            <w:pPr>
              <w:rPr>
                <w:lang w:val="es-ES"/>
              </w:rPr>
            </w:pPr>
            <w:r w:rsidRPr="00B056E4">
              <w:rPr>
                <w:lang w:val="es-ES"/>
              </w:rPr>
              <w:t>Preparación de proyectos para la eliminación de HFC de conformidad con la decisión 56/16(c) o países que no hayan ratificado la Enmienda de Kigali.</w:t>
            </w:r>
          </w:p>
        </w:tc>
        <w:tc>
          <w:tcPr>
            <w:tcW w:w="1373" w:type="dxa"/>
          </w:tcPr>
          <w:p w14:paraId="7C7CEA97" w14:textId="77777777" w:rsidR="00C009A9" w:rsidRPr="00B056E4" w:rsidRDefault="00C009A9" w:rsidP="00C0770E">
            <w:pPr>
              <w:jc w:val="right"/>
              <w:rPr>
                <w:lang w:val="es-ES"/>
              </w:rPr>
            </w:pPr>
            <w:r w:rsidRPr="00B056E4">
              <w:rPr>
                <w:lang w:val="es-ES"/>
              </w:rPr>
              <w:t>(3 253)</w:t>
            </w:r>
          </w:p>
        </w:tc>
        <w:tc>
          <w:tcPr>
            <w:tcW w:w="1350" w:type="dxa"/>
          </w:tcPr>
          <w:p w14:paraId="5F40AD3F" w14:textId="77777777" w:rsidR="00C009A9" w:rsidRPr="00B056E4" w:rsidRDefault="00C009A9" w:rsidP="00C0770E">
            <w:pPr>
              <w:jc w:val="right"/>
              <w:rPr>
                <w:lang w:val="es-ES"/>
              </w:rPr>
            </w:pPr>
            <w:r w:rsidRPr="00B056E4">
              <w:rPr>
                <w:lang w:val="es-ES"/>
              </w:rPr>
              <w:t>0</w:t>
            </w:r>
          </w:p>
        </w:tc>
      </w:tr>
      <w:tr w:rsidR="00C009A9" w:rsidRPr="00B056E4" w14:paraId="2418508A" w14:textId="77777777" w:rsidTr="00C0770E">
        <w:tc>
          <w:tcPr>
            <w:tcW w:w="6722" w:type="dxa"/>
          </w:tcPr>
          <w:p w14:paraId="6092C7A6" w14:textId="77777777" w:rsidR="00C009A9" w:rsidRPr="00B056E4" w:rsidRDefault="00C009A9" w:rsidP="00C0770E">
            <w:pPr>
              <w:rPr>
                <w:lang w:val="es-ES"/>
              </w:rPr>
            </w:pPr>
            <w:r w:rsidRPr="00B056E4">
              <w:rPr>
                <w:lang w:val="es-ES"/>
              </w:rPr>
              <w:t>Plan de gestión de la eliminación de HFC de acuerdo con la decisión 79/46(b)(iii)</w:t>
            </w:r>
          </w:p>
        </w:tc>
        <w:tc>
          <w:tcPr>
            <w:tcW w:w="1373" w:type="dxa"/>
            <w:vAlign w:val="bottom"/>
          </w:tcPr>
          <w:p w14:paraId="7A02285B" w14:textId="77777777" w:rsidR="00C009A9" w:rsidRPr="00B056E4" w:rsidRDefault="00C009A9" w:rsidP="00C0770E">
            <w:pPr>
              <w:jc w:val="right"/>
              <w:rPr>
                <w:lang w:val="es-ES"/>
              </w:rPr>
            </w:pPr>
            <w:r w:rsidRPr="00B056E4">
              <w:rPr>
                <w:lang w:val="es-ES"/>
              </w:rPr>
              <w:t>(7 290)</w:t>
            </w:r>
          </w:p>
        </w:tc>
        <w:tc>
          <w:tcPr>
            <w:tcW w:w="1350" w:type="dxa"/>
            <w:vAlign w:val="bottom"/>
          </w:tcPr>
          <w:p w14:paraId="3FD33155" w14:textId="77777777" w:rsidR="00C009A9" w:rsidRPr="00B056E4" w:rsidRDefault="00C009A9" w:rsidP="00C0770E">
            <w:pPr>
              <w:jc w:val="right"/>
              <w:rPr>
                <w:lang w:val="es-ES"/>
              </w:rPr>
            </w:pPr>
            <w:r w:rsidRPr="00B056E4">
              <w:rPr>
                <w:lang w:val="es-ES"/>
              </w:rPr>
              <w:t>0</w:t>
            </w:r>
          </w:p>
        </w:tc>
      </w:tr>
      <w:tr w:rsidR="00C009A9" w:rsidRPr="00B056E4" w14:paraId="5A856174" w14:textId="77777777" w:rsidTr="00C0770E">
        <w:tc>
          <w:tcPr>
            <w:tcW w:w="6722" w:type="dxa"/>
          </w:tcPr>
          <w:p w14:paraId="53D67C9F" w14:textId="77777777" w:rsidR="00C009A9" w:rsidRPr="00B056E4" w:rsidRDefault="00C009A9" w:rsidP="00C0770E">
            <w:pPr>
              <w:rPr>
                <w:lang w:val="es-ES"/>
              </w:rPr>
            </w:pPr>
            <w:r w:rsidRPr="00B056E4">
              <w:rPr>
                <w:lang w:val="es-ES"/>
              </w:rPr>
              <w:t>Fortalecimiento institucional de conformidad con la decisión 74/51(c) o valores que se han eliminado tras 2021</w:t>
            </w:r>
          </w:p>
        </w:tc>
        <w:tc>
          <w:tcPr>
            <w:tcW w:w="1373" w:type="dxa"/>
          </w:tcPr>
          <w:p w14:paraId="6677CC55" w14:textId="77777777" w:rsidR="00C009A9" w:rsidRPr="00B056E4" w:rsidRDefault="00C009A9" w:rsidP="00C0770E">
            <w:pPr>
              <w:jc w:val="right"/>
              <w:rPr>
                <w:lang w:val="es-ES"/>
              </w:rPr>
            </w:pPr>
            <w:r w:rsidRPr="00B056E4">
              <w:rPr>
                <w:lang w:val="es-ES"/>
              </w:rPr>
              <w:t>0</w:t>
            </w:r>
          </w:p>
        </w:tc>
        <w:tc>
          <w:tcPr>
            <w:tcW w:w="1350" w:type="dxa"/>
          </w:tcPr>
          <w:p w14:paraId="1CE6BA4A" w14:textId="77777777" w:rsidR="00C009A9" w:rsidRPr="00B056E4" w:rsidRDefault="00C009A9" w:rsidP="00C0770E">
            <w:pPr>
              <w:jc w:val="right"/>
              <w:rPr>
                <w:lang w:val="es-ES"/>
              </w:rPr>
            </w:pPr>
            <w:r w:rsidRPr="00B056E4">
              <w:rPr>
                <w:lang w:val="es-ES"/>
              </w:rPr>
              <w:t>(677)</w:t>
            </w:r>
          </w:p>
        </w:tc>
      </w:tr>
      <w:tr w:rsidR="00C009A9" w:rsidRPr="00B056E4" w14:paraId="4B96EEE6" w14:textId="77777777" w:rsidTr="00C0770E">
        <w:tc>
          <w:tcPr>
            <w:tcW w:w="6722" w:type="dxa"/>
          </w:tcPr>
          <w:p w14:paraId="49F87E4D" w14:textId="77777777" w:rsidR="00C009A9" w:rsidRPr="00B056E4" w:rsidRDefault="00C009A9" w:rsidP="00C0770E">
            <w:pPr>
              <w:rPr>
                <w:lang w:val="es-ES"/>
              </w:rPr>
            </w:pPr>
            <w:r w:rsidRPr="00B056E4">
              <w:rPr>
                <w:lang w:val="es-ES"/>
              </w:rPr>
              <w:t xml:space="preserve">Fortalecimiento institucional relacionado con la República Popular Democrática de Corea de acuerdo con la decisión 80/34(c)(iii)b. </w:t>
            </w:r>
          </w:p>
        </w:tc>
        <w:tc>
          <w:tcPr>
            <w:tcW w:w="1373" w:type="dxa"/>
          </w:tcPr>
          <w:p w14:paraId="5D121DAC" w14:textId="77777777" w:rsidR="00C009A9" w:rsidRPr="00B056E4" w:rsidRDefault="00C009A9" w:rsidP="00C0770E">
            <w:pPr>
              <w:jc w:val="right"/>
              <w:rPr>
                <w:lang w:val="es-ES"/>
              </w:rPr>
            </w:pPr>
            <w:r w:rsidRPr="00B056E4">
              <w:rPr>
                <w:lang w:val="es-ES"/>
              </w:rPr>
              <w:t>(333)</w:t>
            </w:r>
          </w:p>
        </w:tc>
        <w:tc>
          <w:tcPr>
            <w:tcW w:w="1350" w:type="dxa"/>
          </w:tcPr>
          <w:p w14:paraId="1B093730" w14:textId="77777777" w:rsidR="00C009A9" w:rsidRPr="00B056E4" w:rsidRDefault="00C009A9" w:rsidP="00C0770E">
            <w:pPr>
              <w:jc w:val="right"/>
              <w:rPr>
                <w:lang w:val="es-ES"/>
              </w:rPr>
            </w:pPr>
            <w:r w:rsidRPr="00B056E4">
              <w:rPr>
                <w:lang w:val="es-ES"/>
              </w:rPr>
              <w:t>0</w:t>
            </w:r>
          </w:p>
        </w:tc>
      </w:tr>
    </w:tbl>
    <w:p w14:paraId="7857CBD0" w14:textId="77777777" w:rsidR="00C009A9" w:rsidRPr="00B056E4" w:rsidRDefault="00C009A9" w:rsidP="00C009A9">
      <w:pPr>
        <w:pStyle w:val="Heading1"/>
        <w:numPr>
          <w:ilvl w:val="0"/>
          <w:numId w:val="0"/>
        </w:numPr>
        <w:spacing w:after="0"/>
        <w:rPr>
          <w:lang w:val="es-ES"/>
        </w:rPr>
      </w:pPr>
    </w:p>
    <w:p w14:paraId="5B32D7BB" w14:textId="77777777" w:rsidR="00C009A9" w:rsidRPr="00B056E4" w:rsidRDefault="00C009A9" w:rsidP="00C009A9">
      <w:pPr>
        <w:pStyle w:val="Heading1"/>
        <w:rPr>
          <w:lang w:val="es-ES"/>
        </w:rPr>
      </w:pPr>
      <w:r w:rsidRPr="00B056E4">
        <w:rPr>
          <w:lang w:val="es-ES"/>
        </w:rPr>
        <w:t>En el Cuadro 6 se presentan los resultados de los ajustes propuestos al plan administrativo refundido para 2020</w:t>
      </w:r>
      <w:r w:rsidRPr="00B056E4">
        <w:rPr>
          <w:lang w:val="es-ES"/>
        </w:rPr>
        <w:noBreakHyphen/>
        <w:t>2022. Los valores superan el presupuesto indicativo en 14,15 millones de $EUA (es decir, un 2,7% del presupuesto indicativo).</w:t>
      </w:r>
    </w:p>
    <w:p w14:paraId="488B13CC" w14:textId="77777777" w:rsidR="00C009A9" w:rsidRPr="00B056E4" w:rsidRDefault="00C009A9" w:rsidP="00C009A9">
      <w:pPr>
        <w:keepNext/>
        <w:rPr>
          <w:b/>
          <w:lang w:val="es-ES"/>
        </w:rPr>
      </w:pPr>
      <w:r w:rsidRPr="00B056E4">
        <w:rPr>
          <w:b/>
          <w:lang w:val="es-ES"/>
        </w:rPr>
        <w:t>Cuadro 6. Asignación de recursos ajustada para el plan administrativo para 2020-2022 (miles de $EUA)*</w:t>
      </w:r>
    </w:p>
    <w:tbl>
      <w:tblPr>
        <w:tblW w:w="9498" w:type="dxa"/>
        <w:tblInd w:w="-5" w:type="dxa"/>
        <w:tblLook w:val="04A0" w:firstRow="1" w:lastRow="0" w:firstColumn="1" w:lastColumn="0" w:noHBand="0" w:noVBand="1"/>
      </w:tblPr>
      <w:tblGrid>
        <w:gridCol w:w="3402"/>
        <w:gridCol w:w="1134"/>
        <w:gridCol w:w="1134"/>
        <w:gridCol w:w="1134"/>
        <w:gridCol w:w="1417"/>
        <w:gridCol w:w="1277"/>
      </w:tblGrid>
      <w:tr w:rsidR="00C009A9" w:rsidRPr="00B056E4" w14:paraId="43135B6C" w14:textId="77777777" w:rsidTr="00C0770E">
        <w:trPr>
          <w:trHeight w:val="264"/>
          <w:tblHeader/>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1A836469" w14:textId="77777777" w:rsidR="00C009A9" w:rsidRPr="00B056E4" w:rsidRDefault="00C009A9" w:rsidP="00C0770E">
            <w:pPr>
              <w:jc w:val="left"/>
              <w:rPr>
                <w:b/>
                <w:bCs/>
                <w:sz w:val="20"/>
                <w:szCs w:val="20"/>
                <w:lang w:val="es-ES"/>
              </w:rPr>
            </w:pPr>
            <w:r w:rsidRPr="00B056E4">
              <w:rPr>
                <w:b/>
                <w:bCs/>
                <w:sz w:val="20"/>
                <w:szCs w:val="20"/>
                <w:lang w:val="es-ES"/>
              </w:rPr>
              <w:t>Partida</w:t>
            </w:r>
          </w:p>
        </w:tc>
        <w:tc>
          <w:tcPr>
            <w:tcW w:w="1134" w:type="dxa"/>
            <w:tcBorders>
              <w:top w:val="single" w:sz="4" w:space="0" w:color="auto"/>
              <w:left w:val="nil"/>
              <w:bottom w:val="single" w:sz="4" w:space="0" w:color="auto"/>
              <w:right w:val="single" w:sz="4" w:space="0" w:color="auto"/>
            </w:tcBorders>
            <w:shd w:val="clear" w:color="auto" w:fill="auto"/>
            <w:noWrap/>
            <w:hideMark/>
          </w:tcPr>
          <w:p w14:paraId="3DAFC7D1" w14:textId="77777777" w:rsidR="00C009A9" w:rsidRPr="00B056E4" w:rsidRDefault="00C009A9" w:rsidP="00C0770E">
            <w:pPr>
              <w:jc w:val="center"/>
              <w:rPr>
                <w:b/>
                <w:bCs/>
                <w:sz w:val="20"/>
                <w:szCs w:val="20"/>
                <w:lang w:val="es-ES"/>
              </w:rPr>
            </w:pPr>
            <w:r w:rsidRPr="00B056E4">
              <w:rPr>
                <w:b/>
                <w:bCs/>
                <w:sz w:val="20"/>
                <w:szCs w:val="20"/>
                <w:lang w:val="es-ES"/>
              </w:rPr>
              <w:t>2020</w:t>
            </w:r>
          </w:p>
        </w:tc>
        <w:tc>
          <w:tcPr>
            <w:tcW w:w="1134" w:type="dxa"/>
            <w:tcBorders>
              <w:top w:val="single" w:sz="4" w:space="0" w:color="auto"/>
              <w:left w:val="nil"/>
              <w:bottom w:val="single" w:sz="4" w:space="0" w:color="auto"/>
              <w:right w:val="single" w:sz="4" w:space="0" w:color="auto"/>
            </w:tcBorders>
            <w:shd w:val="clear" w:color="auto" w:fill="auto"/>
            <w:noWrap/>
            <w:hideMark/>
          </w:tcPr>
          <w:p w14:paraId="1B917532" w14:textId="77777777" w:rsidR="00C009A9" w:rsidRPr="00B056E4" w:rsidRDefault="00C009A9" w:rsidP="00C0770E">
            <w:pPr>
              <w:jc w:val="center"/>
              <w:rPr>
                <w:b/>
                <w:bCs/>
                <w:sz w:val="20"/>
                <w:szCs w:val="20"/>
                <w:lang w:val="es-ES"/>
              </w:rPr>
            </w:pPr>
            <w:r w:rsidRPr="00B056E4">
              <w:rPr>
                <w:b/>
                <w:bCs/>
                <w:sz w:val="20"/>
                <w:szCs w:val="20"/>
                <w:lang w:val="es-ES"/>
              </w:rPr>
              <w:t>2021</w:t>
            </w:r>
          </w:p>
        </w:tc>
        <w:tc>
          <w:tcPr>
            <w:tcW w:w="1134" w:type="dxa"/>
            <w:tcBorders>
              <w:top w:val="single" w:sz="4" w:space="0" w:color="auto"/>
              <w:left w:val="nil"/>
              <w:bottom w:val="single" w:sz="4" w:space="0" w:color="auto"/>
              <w:right w:val="single" w:sz="4" w:space="0" w:color="auto"/>
            </w:tcBorders>
            <w:shd w:val="clear" w:color="auto" w:fill="auto"/>
            <w:noWrap/>
            <w:hideMark/>
          </w:tcPr>
          <w:p w14:paraId="3649B197" w14:textId="77777777" w:rsidR="00C009A9" w:rsidRPr="00B056E4" w:rsidRDefault="00C009A9" w:rsidP="00C0770E">
            <w:pPr>
              <w:jc w:val="center"/>
              <w:rPr>
                <w:b/>
                <w:bCs/>
                <w:sz w:val="20"/>
                <w:szCs w:val="20"/>
                <w:lang w:val="es-ES"/>
              </w:rPr>
            </w:pPr>
            <w:r w:rsidRPr="00B056E4">
              <w:rPr>
                <w:b/>
                <w:bCs/>
                <w:sz w:val="20"/>
                <w:szCs w:val="20"/>
                <w:lang w:val="es-ES"/>
              </w:rPr>
              <w:t>2022</w:t>
            </w:r>
          </w:p>
        </w:tc>
        <w:tc>
          <w:tcPr>
            <w:tcW w:w="1417" w:type="dxa"/>
            <w:tcBorders>
              <w:top w:val="single" w:sz="4" w:space="0" w:color="auto"/>
              <w:left w:val="nil"/>
              <w:bottom w:val="single" w:sz="4" w:space="0" w:color="auto"/>
              <w:right w:val="single" w:sz="4" w:space="0" w:color="auto"/>
            </w:tcBorders>
            <w:shd w:val="clear" w:color="auto" w:fill="auto"/>
            <w:noWrap/>
            <w:hideMark/>
          </w:tcPr>
          <w:p w14:paraId="442ED110" w14:textId="77777777" w:rsidR="00C009A9" w:rsidRPr="00B056E4" w:rsidRDefault="00C009A9" w:rsidP="00C0770E">
            <w:pPr>
              <w:jc w:val="center"/>
              <w:rPr>
                <w:b/>
                <w:bCs/>
                <w:sz w:val="20"/>
                <w:szCs w:val="20"/>
                <w:lang w:val="es-ES"/>
              </w:rPr>
            </w:pPr>
            <w:r w:rsidRPr="00B056E4">
              <w:rPr>
                <w:b/>
                <w:bCs/>
                <w:sz w:val="20"/>
                <w:szCs w:val="20"/>
                <w:lang w:val="es-ES"/>
              </w:rPr>
              <w:t xml:space="preserve">Total </w:t>
            </w:r>
          </w:p>
          <w:p w14:paraId="5317192B" w14:textId="77777777" w:rsidR="00C009A9" w:rsidRPr="00B056E4" w:rsidRDefault="00C009A9" w:rsidP="00C0770E">
            <w:pPr>
              <w:jc w:val="center"/>
              <w:rPr>
                <w:b/>
                <w:bCs/>
                <w:sz w:val="20"/>
                <w:szCs w:val="20"/>
                <w:lang w:val="es-ES"/>
              </w:rPr>
            </w:pPr>
            <w:r w:rsidRPr="00B056E4">
              <w:rPr>
                <w:b/>
                <w:bCs/>
                <w:sz w:val="20"/>
                <w:szCs w:val="20"/>
                <w:lang w:val="es-ES"/>
              </w:rPr>
              <w:t>(2020-2022)</w:t>
            </w:r>
          </w:p>
        </w:tc>
        <w:tc>
          <w:tcPr>
            <w:tcW w:w="1277" w:type="dxa"/>
            <w:tcBorders>
              <w:top w:val="single" w:sz="4" w:space="0" w:color="auto"/>
              <w:left w:val="nil"/>
              <w:bottom w:val="single" w:sz="4" w:space="0" w:color="auto"/>
              <w:right w:val="single" w:sz="4" w:space="0" w:color="auto"/>
            </w:tcBorders>
            <w:shd w:val="clear" w:color="auto" w:fill="auto"/>
            <w:noWrap/>
            <w:hideMark/>
          </w:tcPr>
          <w:p w14:paraId="382D75F7" w14:textId="77777777" w:rsidR="00C009A9" w:rsidRPr="00B056E4" w:rsidRDefault="00C009A9" w:rsidP="00C0770E">
            <w:pPr>
              <w:jc w:val="center"/>
              <w:rPr>
                <w:b/>
                <w:bCs/>
                <w:sz w:val="20"/>
                <w:szCs w:val="20"/>
                <w:lang w:val="es-ES"/>
              </w:rPr>
            </w:pPr>
            <w:r w:rsidRPr="00B056E4">
              <w:rPr>
                <w:b/>
                <w:bCs/>
                <w:sz w:val="20"/>
                <w:szCs w:val="20"/>
                <w:lang w:val="es-ES"/>
              </w:rPr>
              <w:t>Total después de 2022</w:t>
            </w:r>
          </w:p>
        </w:tc>
      </w:tr>
      <w:tr w:rsidR="00C009A9" w:rsidRPr="008B1E4C" w14:paraId="1E3C381A" w14:textId="77777777" w:rsidTr="00C0770E">
        <w:trPr>
          <w:trHeight w:val="264"/>
        </w:trPr>
        <w:tc>
          <w:tcPr>
            <w:tcW w:w="9498"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58A71E24" w14:textId="77777777" w:rsidR="00C009A9" w:rsidRPr="00B056E4" w:rsidRDefault="00C009A9" w:rsidP="00C0770E">
            <w:pPr>
              <w:jc w:val="left"/>
              <w:rPr>
                <w:b/>
                <w:bCs/>
                <w:sz w:val="20"/>
                <w:szCs w:val="20"/>
                <w:lang w:val="es-ES"/>
              </w:rPr>
            </w:pPr>
            <w:r w:rsidRPr="00B056E4">
              <w:rPr>
                <w:b/>
                <w:bCs/>
                <w:sz w:val="20"/>
                <w:szCs w:val="20"/>
                <w:lang w:val="es-ES"/>
              </w:rPr>
              <w:t>Actividades relacionadas con los HCFC</w:t>
            </w:r>
          </w:p>
        </w:tc>
      </w:tr>
      <w:tr w:rsidR="00C009A9" w:rsidRPr="00B056E4" w14:paraId="0C70A600" w14:textId="77777777" w:rsidTr="00C0770E">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0740FBF0" w14:textId="77777777" w:rsidR="00C009A9" w:rsidRPr="00B056E4" w:rsidRDefault="00C009A9" w:rsidP="00C0770E">
            <w:pPr>
              <w:jc w:val="left"/>
              <w:rPr>
                <w:sz w:val="20"/>
                <w:szCs w:val="20"/>
                <w:lang w:val="es-ES"/>
              </w:rPr>
            </w:pPr>
            <w:r w:rsidRPr="00B056E4">
              <w:rPr>
                <w:sz w:val="20"/>
                <w:szCs w:val="20"/>
                <w:lang w:val="es-ES"/>
              </w:rPr>
              <w:t>PGEH aprobados</w:t>
            </w:r>
          </w:p>
        </w:tc>
        <w:tc>
          <w:tcPr>
            <w:tcW w:w="1134" w:type="dxa"/>
            <w:tcBorders>
              <w:top w:val="nil"/>
              <w:left w:val="nil"/>
              <w:bottom w:val="single" w:sz="4" w:space="0" w:color="auto"/>
              <w:right w:val="single" w:sz="4" w:space="0" w:color="auto"/>
            </w:tcBorders>
            <w:shd w:val="clear" w:color="auto" w:fill="auto"/>
            <w:noWrap/>
            <w:hideMark/>
          </w:tcPr>
          <w:p w14:paraId="630DEC65" w14:textId="77777777" w:rsidR="00C009A9" w:rsidRPr="00B056E4" w:rsidRDefault="00C009A9" w:rsidP="00C0770E">
            <w:pPr>
              <w:jc w:val="right"/>
              <w:rPr>
                <w:sz w:val="20"/>
                <w:szCs w:val="20"/>
                <w:lang w:val="es-ES"/>
              </w:rPr>
            </w:pPr>
            <w:r w:rsidRPr="00B056E4">
              <w:rPr>
                <w:sz w:val="20"/>
                <w:szCs w:val="20"/>
                <w:lang w:val="es-ES"/>
              </w:rPr>
              <w:t>143 426</w:t>
            </w:r>
          </w:p>
        </w:tc>
        <w:tc>
          <w:tcPr>
            <w:tcW w:w="1134" w:type="dxa"/>
            <w:tcBorders>
              <w:top w:val="nil"/>
              <w:left w:val="nil"/>
              <w:bottom w:val="single" w:sz="4" w:space="0" w:color="auto"/>
              <w:right w:val="single" w:sz="4" w:space="0" w:color="auto"/>
            </w:tcBorders>
            <w:shd w:val="clear" w:color="auto" w:fill="auto"/>
            <w:noWrap/>
            <w:hideMark/>
          </w:tcPr>
          <w:p w14:paraId="2832C01A" w14:textId="77777777" w:rsidR="00C009A9" w:rsidRPr="00B056E4" w:rsidRDefault="00C009A9" w:rsidP="00C0770E">
            <w:pPr>
              <w:jc w:val="right"/>
              <w:rPr>
                <w:sz w:val="20"/>
                <w:szCs w:val="20"/>
                <w:lang w:val="es-ES"/>
              </w:rPr>
            </w:pPr>
            <w:r w:rsidRPr="00B056E4">
              <w:rPr>
                <w:sz w:val="20"/>
                <w:szCs w:val="20"/>
                <w:lang w:val="es-ES"/>
              </w:rPr>
              <w:t>98 388</w:t>
            </w:r>
          </w:p>
        </w:tc>
        <w:tc>
          <w:tcPr>
            <w:tcW w:w="1134" w:type="dxa"/>
            <w:tcBorders>
              <w:top w:val="nil"/>
              <w:left w:val="nil"/>
              <w:bottom w:val="single" w:sz="4" w:space="0" w:color="auto"/>
              <w:right w:val="single" w:sz="4" w:space="0" w:color="auto"/>
            </w:tcBorders>
            <w:shd w:val="clear" w:color="auto" w:fill="auto"/>
            <w:noWrap/>
            <w:hideMark/>
          </w:tcPr>
          <w:p w14:paraId="3E005E04" w14:textId="77777777" w:rsidR="00C009A9" w:rsidRPr="00B056E4" w:rsidRDefault="00C009A9" w:rsidP="00C0770E">
            <w:pPr>
              <w:jc w:val="right"/>
              <w:rPr>
                <w:sz w:val="20"/>
                <w:szCs w:val="20"/>
                <w:lang w:val="es-ES"/>
              </w:rPr>
            </w:pPr>
            <w:r w:rsidRPr="00B056E4">
              <w:rPr>
                <w:sz w:val="20"/>
                <w:szCs w:val="20"/>
                <w:lang w:val="es-ES"/>
              </w:rPr>
              <w:t>79 459</w:t>
            </w:r>
          </w:p>
        </w:tc>
        <w:tc>
          <w:tcPr>
            <w:tcW w:w="1417" w:type="dxa"/>
            <w:tcBorders>
              <w:top w:val="nil"/>
              <w:left w:val="nil"/>
              <w:bottom w:val="single" w:sz="4" w:space="0" w:color="auto"/>
              <w:right w:val="single" w:sz="4" w:space="0" w:color="auto"/>
            </w:tcBorders>
            <w:shd w:val="clear" w:color="auto" w:fill="auto"/>
            <w:noWrap/>
            <w:hideMark/>
          </w:tcPr>
          <w:p w14:paraId="2F239E9D" w14:textId="77777777" w:rsidR="00C009A9" w:rsidRPr="00B056E4" w:rsidRDefault="00C009A9" w:rsidP="00C0770E">
            <w:pPr>
              <w:jc w:val="right"/>
              <w:rPr>
                <w:sz w:val="20"/>
                <w:szCs w:val="20"/>
                <w:lang w:val="es-ES"/>
              </w:rPr>
            </w:pPr>
            <w:r w:rsidRPr="00B056E4">
              <w:rPr>
                <w:sz w:val="20"/>
                <w:szCs w:val="20"/>
                <w:lang w:val="es-ES"/>
              </w:rPr>
              <w:t>321 273</w:t>
            </w:r>
          </w:p>
        </w:tc>
        <w:tc>
          <w:tcPr>
            <w:tcW w:w="1277" w:type="dxa"/>
            <w:tcBorders>
              <w:top w:val="nil"/>
              <w:left w:val="nil"/>
              <w:bottom w:val="single" w:sz="4" w:space="0" w:color="auto"/>
              <w:right w:val="single" w:sz="4" w:space="0" w:color="auto"/>
            </w:tcBorders>
            <w:shd w:val="clear" w:color="auto" w:fill="auto"/>
            <w:noWrap/>
            <w:hideMark/>
          </w:tcPr>
          <w:p w14:paraId="0488BABD" w14:textId="77777777" w:rsidR="00C009A9" w:rsidRPr="00B056E4" w:rsidRDefault="00C009A9" w:rsidP="00C0770E">
            <w:pPr>
              <w:jc w:val="right"/>
              <w:rPr>
                <w:sz w:val="20"/>
                <w:szCs w:val="20"/>
                <w:lang w:val="es-ES"/>
              </w:rPr>
            </w:pPr>
            <w:r w:rsidRPr="00B056E4">
              <w:rPr>
                <w:sz w:val="20"/>
                <w:szCs w:val="20"/>
                <w:lang w:val="es-ES"/>
              </w:rPr>
              <w:t>163 026</w:t>
            </w:r>
          </w:p>
        </w:tc>
      </w:tr>
      <w:tr w:rsidR="00C009A9" w:rsidRPr="00B056E4" w14:paraId="08F36C0E" w14:textId="77777777" w:rsidTr="00C0770E">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589D1076" w14:textId="77777777" w:rsidR="00C009A9" w:rsidRPr="00B056E4" w:rsidRDefault="00C009A9" w:rsidP="00C0770E">
            <w:pPr>
              <w:jc w:val="left"/>
              <w:rPr>
                <w:sz w:val="20"/>
                <w:szCs w:val="20"/>
                <w:lang w:val="es-ES"/>
              </w:rPr>
            </w:pPr>
            <w:r w:rsidRPr="00B056E4">
              <w:rPr>
                <w:sz w:val="20"/>
                <w:szCs w:val="20"/>
                <w:lang w:val="es-ES"/>
              </w:rPr>
              <w:t>Preparación de proyectos relativos a la producción de HCFC: etapa I</w:t>
            </w:r>
          </w:p>
        </w:tc>
        <w:tc>
          <w:tcPr>
            <w:tcW w:w="1134" w:type="dxa"/>
            <w:tcBorders>
              <w:top w:val="nil"/>
              <w:left w:val="nil"/>
              <w:bottom w:val="single" w:sz="4" w:space="0" w:color="auto"/>
              <w:right w:val="single" w:sz="4" w:space="0" w:color="auto"/>
            </w:tcBorders>
            <w:shd w:val="clear" w:color="auto" w:fill="auto"/>
            <w:noWrap/>
            <w:hideMark/>
          </w:tcPr>
          <w:p w14:paraId="1C8D5D21" w14:textId="77777777" w:rsidR="00C009A9" w:rsidRPr="00B056E4" w:rsidRDefault="00C009A9" w:rsidP="00C0770E">
            <w:pPr>
              <w:jc w:val="right"/>
              <w:rPr>
                <w:sz w:val="20"/>
                <w:szCs w:val="20"/>
                <w:lang w:val="es-ES"/>
              </w:rPr>
            </w:pPr>
            <w:r w:rsidRPr="00B056E4">
              <w:rPr>
                <w:sz w:val="20"/>
                <w:szCs w:val="20"/>
                <w:lang w:val="es-ES"/>
              </w:rPr>
              <w:t>0</w:t>
            </w:r>
          </w:p>
        </w:tc>
        <w:tc>
          <w:tcPr>
            <w:tcW w:w="1134" w:type="dxa"/>
            <w:tcBorders>
              <w:top w:val="nil"/>
              <w:left w:val="nil"/>
              <w:bottom w:val="single" w:sz="4" w:space="0" w:color="auto"/>
              <w:right w:val="single" w:sz="4" w:space="0" w:color="auto"/>
            </w:tcBorders>
            <w:shd w:val="clear" w:color="auto" w:fill="auto"/>
            <w:noWrap/>
            <w:hideMark/>
          </w:tcPr>
          <w:p w14:paraId="763A81CB" w14:textId="77777777" w:rsidR="00C009A9" w:rsidRPr="00B056E4" w:rsidRDefault="00C009A9" w:rsidP="00C0770E">
            <w:pPr>
              <w:jc w:val="right"/>
              <w:rPr>
                <w:sz w:val="20"/>
                <w:szCs w:val="20"/>
                <w:lang w:val="es-ES"/>
              </w:rPr>
            </w:pPr>
            <w:r w:rsidRPr="00B056E4">
              <w:rPr>
                <w:sz w:val="20"/>
                <w:szCs w:val="20"/>
                <w:lang w:val="es-ES"/>
              </w:rPr>
              <w:t>0</w:t>
            </w:r>
          </w:p>
        </w:tc>
        <w:tc>
          <w:tcPr>
            <w:tcW w:w="1134" w:type="dxa"/>
            <w:tcBorders>
              <w:top w:val="nil"/>
              <w:left w:val="nil"/>
              <w:bottom w:val="single" w:sz="4" w:space="0" w:color="auto"/>
              <w:right w:val="single" w:sz="4" w:space="0" w:color="auto"/>
            </w:tcBorders>
            <w:shd w:val="clear" w:color="auto" w:fill="auto"/>
            <w:noWrap/>
            <w:hideMark/>
          </w:tcPr>
          <w:p w14:paraId="3D923B89" w14:textId="77777777" w:rsidR="00C009A9" w:rsidRPr="00B056E4" w:rsidRDefault="00C009A9" w:rsidP="00C0770E">
            <w:pPr>
              <w:jc w:val="right"/>
              <w:rPr>
                <w:sz w:val="20"/>
                <w:szCs w:val="20"/>
                <w:lang w:val="es-ES"/>
              </w:rPr>
            </w:pPr>
            <w:r w:rsidRPr="00B056E4">
              <w:rPr>
                <w:sz w:val="20"/>
                <w:szCs w:val="20"/>
                <w:lang w:val="es-ES"/>
              </w:rPr>
              <w:t>0</w:t>
            </w:r>
          </w:p>
        </w:tc>
        <w:tc>
          <w:tcPr>
            <w:tcW w:w="1417" w:type="dxa"/>
            <w:tcBorders>
              <w:top w:val="nil"/>
              <w:left w:val="nil"/>
              <w:bottom w:val="single" w:sz="4" w:space="0" w:color="auto"/>
              <w:right w:val="single" w:sz="4" w:space="0" w:color="auto"/>
            </w:tcBorders>
            <w:shd w:val="clear" w:color="auto" w:fill="auto"/>
            <w:noWrap/>
            <w:hideMark/>
          </w:tcPr>
          <w:p w14:paraId="2E02DB1A" w14:textId="77777777" w:rsidR="00C009A9" w:rsidRPr="00B056E4" w:rsidRDefault="00C009A9" w:rsidP="00C0770E">
            <w:pPr>
              <w:jc w:val="right"/>
              <w:rPr>
                <w:sz w:val="20"/>
                <w:szCs w:val="20"/>
                <w:lang w:val="es-ES"/>
              </w:rPr>
            </w:pPr>
            <w:r w:rsidRPr="00B056E4">
              <w:rPr>
                <w:sz w:val="20"/>
                <w:szCs w:val="20"/>
                <w:lang w:val="es-ES"/>
              </w:rPr>
              <w:t>0</w:t>
            </w:r>
          </w:p>
        </w:tc>
        <w:tc>
          <w:tcPr>
            <w:tcW w:w="1277" w:type="dxa"/>
            <w:tcBorders>
              <w:top w:val="nil"/>
              <w:left w:val="nil"/>
              <w:bottom w:val="single" w:sz="4" w:space="0" w:color="auto"/>
              <w:right w:val="single" w:sz="4" w:space="0" w:color="auto"/>
            </w:tcBorders>
            <w:shd w:val="clear" w:color="auto" w:fill="auto"/>
            <w:noWrap/>
            <w:hideMark/>
          </w:tcPr>
          <w:p w14:paraId="3E9C303D" w14:textId="77777777" w:rsidR="00C009A9" w:rsidRPr="00B056E4" w:rsidRDefault="00C009A9" w:rsidP="00C0770E">
            <w:pPr>
              <w:jc w:val="right"/>
              <w:rPr>
                <w:sz w:val="20"/>
                <w:szCs w:val="20"/>
                <w:lang w:val="es-ES"/>
              </w:rPr>
            </w:pPr>
            <w:r w:rsidRPr="00B056E4">
              <w:rPr>
                <w:sz w:val="20"/>
                <w:szCs w:val="20"/>
                <w:lang w:val="es-ES"/>
              </w:rPr>
              <w:t>0</w:t>
            </w:r>
          </w:p>
        </w:tc>
      </w:tr>
      <w:tr w:rsidR="00C009A9" w:rsidRPr="00B056E4" w14:paraId="1F358AB8" w14:textId="77777777" w:rsidTr="00C0770E">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7D850B08" w14:textId="77777777" w:rsidR="00C009A9" w:rsidRPr="00B056E4" w:rsidRDefault="00C009A9" w:rsidP="00C0770E">
            <w:pPr>
              <w:jc w:val="left"/>
              <w:rPr>
                <w:sz w:val="20"/>
                <w:szCs w:val="20"/>
                <w:lang w:val="es-ES"/>
              </w:rPr>
            </w:pPr>
            <w:r w:rsidRPr="00B056E4">
              <w:rPr>
                <w:sz w:val="20"/>
                <w:szCs w:val="20"/>
                <w:lang w:val="es-ES"/>
              </w:rPr>
              <w:t>Producción de HCFC: etapa II</w:t>
            </w:r>
          </w:p>
        </w:tc>
        <w:tc>
          <w:tcPr>
            <w:tcW w:w="1134" w:type="dxa"/>
            <w:tcBorders>
              <w:top w:val="nil"/>
              <w:left w:val="nil"/>
              <w:bottom w:val="single" w:sz="4" w:space="0" w:color="auto"/>
              <w:right w:val="single" w:sz="4" w:space="0" w:color="auto"/>
            </w:tcBorders>
            <w:shd w:val="clear" w:color="auto" w:fill="auto"/>
            <w:noWrap/>
            <w:hideMark/>
          </w:tcPr>
          <w:p w14:paraId="740529B7" w14:textId="77777777" w:rsidR="00C009A9" w:rsidRPr="00B056E4" w:rsidRDefault="00C009A9" w:rsidP="00C0770E">
            <w:pPr>
              <w:jc w:val="right"/>
              <w:rPr>
                <w:sz w:val="20"/>
                <w:szCs w:val="20"/>
                <w:lang w:val="es-ES"/>
              </w:rPr>
            </w:pPr>
            <w:r w:rsidRPr="00B056E4">
              <w:rPr>
                <w:sz w:val="20"/>
                <w:szCs w:val="20"/>
                <w:lang w:val="es-ES"/>
              </w:rPr>
              <w:t>0 </w:t>
            </w:r>
          </w:p>
        </w:tc>
        <w:tc>
          <w:tcPr>
            <w:tcW w:w="1134" w:type="dxa"/>
            <w:tcBorders>
              <w:top w:val="nil"/>
              <w:left w:val="nil"/>
              <w:bottom w:val="single" w:sz="4" w:space="0" w:color="auto"/>
              <w:right w:val="single" w:sz="4" w:space="0" w:color="auto"/>
            </w:tcBorders>
            <w:shd w:val="clear" w:color="auto" w:fill="auto"/>
            <w:noWrap/>
            <w:hideMark/>
          </w:tcPr>
          <w:p w14:paraId="051E3C68" w14:textId="77777777" w:rsidR="00C009A9" w:rsidRPr="00B056E4" w:rsidRDefault="00C009A9" w:rsidP="00C0770E">
            <w:pPr>
              <w:jc w:val="right"/>
              <w:rPr>
                <w:sz w:val="20"/>
                <w:szCs w:val="20"/>
                <w:lang w:val="es-ES"/>
              </w:rPr>
            </w:pPr>
            <w:r w:rsidRPr="00B056E4">
              <w:rPr>
                <w:sz w:val="20"/>
                <w:szCs w:val="20"/>
                <w:lang w:val="es-ES"/>
              </w:rPr>
              <w:t>0</w:t>
            </w:r>
          </w:p>
        </w:tc>
        <w:tc>
          <w:tcPr>
            <w:tcW w:w="1134" w:type="dxa"/>
            <w:tcBorders>
              <w:top w:val="nil"/>
              <w:left w:val="nil"/>
              <w:bottom w:val="single" w:sz="4" w:space="0" w:color="auto"/>
              <w:right w:val="single" w:sz="4" w:space="0" w:color="auto"/>
            </w:tcBorders>
            <w:shd w:val="clear" w:color="auto" w:fill="auto"/>
            <w:noWrap/>
            <w:hideMark/>
          </w:tcPr>
          <w:p w14:paraId="74001D0C" w14:textId="77777777" w:rsidR="00C009A9" w:rsidRPr="00B056E4" w:rsidRDefault="00C009A9" w:rsidP="00C0770E">
            <w:pPr>
              <w:jc w:val="right"/>
              <w:rPr>
                <w:sz w:val="20"/>
                <w:szCs w:val="20"/>
                <w:lang w:val="es-ES"/>
              </w:rPr>
            </w:pPr>
            <w:r w:rsidRPr="00B056E4">
              <w:rPr>
                <w:sz w:val="20"/>
                <w:szCs w:val="20"/>
                <w:lang w:val="es-ES"/>
              </w:rPr>
              <w:t>0</w:t>
            </w:r>
          </w:p>
        </w:tc>
        <w:tc>
          <w:tcPr>
            <w:tcW w:w="1417" w:type="dxa"/>
            <w:tcBorders>
              <w:top w:val="nil"/>
              <w:left w:val="nil"/>
              <w:bottom w:val="single" w:sz="4" w:space="0" w:color="auto"/>
              <w:right w:val="single" w:sz="4" w:space="0" w:color="auto"/>
            </w:tcBorders>
            <w:shd w:val="clear" w:color="auto" w:fill="auto"/>
            <w:noWrap/>
            <w:hideMark/>
          </w:tcPr>
          <w:p w14:paraId="43674933" w14:textId="77777777" w:rsidR="00C009A9" w:rsidRPr="00B056E4" w:rsidRDefault="00C009A9" w:rsidP="00C0770E">
            <w:pPr>
              <w:jc w:val="right"/>
              <w:rPr>
                <w:sz w:val="20"/>
                <w:szCs w:val="20"/>
                <w:lang w:val="es-ES"/>
              </w:rPr>
            </w:pPr>
            <w:r w:rsidRPr="00B056E4">
              <w:rPr>
                <w:sz w:val="20"/>
                <w:szCs w:val="20"/>
                <w:lang w:val="es-ES"/>
              </w:rPr>
              <w:t>0</w:t>
            </w:r>
          </w:p>
        </w:tc>
        <w:tc>
          <w:tcPr>
            <w:tcW w:w="1277" w:type="dxa"/>
            <w:tcBorders>
              <w:top w:val="nil"/>
              <w:left w:val="nil"/>
              <w:bottom w:val="single" w:sz="4" w:space="0" w:color="auto"/>
              <w:right w:val="single" w:sz="4" w:space="0" w:color="auto"/>
            </w:tcBorders>
            <w:shd w:val="clear" w:color="auto" w:fill="auto"/>
            <w:noWrap/>
            <w:hideMark/>
          </w:tcPr>
          <w:p w14:paraId="6C6FFC78" w14:textId="77777777" w:rsidR="00C009A9" w:rsidRPr="00B056E4" w:rsidRDefault="00C009A9" w:rsidP="00C0770E">
            <w:pPr>
              <w:jc w:val="right"/>
              <w:rPr>
                <w:sz w:val="20"/>
                <w:szCs w:val="20"/>
                <w:lang w:val="es-ES"/>
              </w:rPr>
            </w:pPr>
            <w:r w:rsidRPr="00B056E4">
              <w:rPr>
                <w:sz w:val="20"/>
                <w:szCs w:val="20"/>
                <w:lang w:val="es-ES"/>
              </w:rPr>
              <w:t>0</w:t>
            </w:r>
          </w:p>
        </w:tc>
      </w:tr>
      <w:tr w:rsidR="00C009A9" w:rsidRPr="00B056E4" w14:paraId="69156DA7" w14:textId="77777777" w:rsidTr="00C0770E">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641789E3" w14:textId="77777777" w:rsidR="00C009A9" w:rsidRPr="00B056E4" w:rsidRDefault="00C009A9" w:rsidP="00C0770E">
            <w:pPr>
              <w:jc w:val="left"/>
              <w:rPr>
                <w:sz w:val="20"/>
                <w:szCs w:val="20"/>
                <w:lang w:val="es-ES"/>
              </w:rPr>
            </w:pPr>
            <w:r w:rsidRPr="00B056E4">
              <w:rPr>
                <w:sz w:val="20"/>
                <w:szCs w:val="20"/>
                <w:lang w:val="es-ES"/>
              </w:rPr>
              <w:t>Producción de HCFC: etapa II</w:t>
            </w:r>
          </w:p>
        </w:tc>
        <w:tc>
          <w:tcPr>
            <w:tcW w:w="1134" w:type="dxa"/>
            <w:tcBorders>
              <w:top w:val="nil"/>
              <w:left w:val="nil"/>
              <w:bottom w:val="single" w:sz="4" w:space="0" w:color="auto"/>
              <w:right w:val="single" w:sz="4" w:space="0" w:color="auto"/>
            </w:tcBorders>
            <w:shd w:val="clear" w:color="auto" w:fill="auto"/>
            <w:noWrap/>
            <w:hideMark/>
          </w:tcPr>
          <w:p w14:paraId="7611A985" w14:textId="77777777" w:rsidR="00C009A9" w:rsidRPr="00B056E4" w:rsidRDefault="00C009A9" w:rsidP="00C0770E">
            <w:pPr>
              <w:jc w:val="right"/>
              <w:rPr>
                <w:sz w:val="20"/>
                <w:szCs w:val="20"/>
                <w:lang w:val="es-ES"/>
              </w:rPr>
            </w:pPr>
            <w:r w:rsidRPr="00B056E4">
              <w:rPr>
                <w:sz w:val="20"/>
                <w:szCs w:val="20"/>
                <w:lang w:val="es-ES"/>
              </w:rPr>
              <w:t>23 496</w:t>
            </w:r>
          </w:p>
        </w:tc>
        <w:tc>
          <w:tcPr>
            <w:tcW w:w="1134" w:type="dxa"/>
            <w:tcBorders>
              <w:top w:val="nil"/>
              <w:left w:val="nil"/>
              <w:bottom w:val="single" w:sz="4" w:space="0" w:color="auto"/>
              <w:right w:val="single" w:sz="4" w:space="0" w:color="auto"/>
            </w:tcBorders>
            <w:shd w:val="clear" w:color="auto" w:fill="auto"/>
            <w:noWrap/>
            <w:hideMark/>
          </w:tcPr>
          <w:p w14:paraId="1EA14E47" w14:textId="77777777" w:rsidR="00C009A9" w:rsidRPr="00B056E4" w:rsidRDefault="00C009A9" w:rsidP="00C0770E">
            <w:pPr>
              <w:jc w:val="right"/>
              <w:rPr>
                <w:sz w:val="20"/>
                <w:szCs w:val="20"/>
                <w:lang w:val="es-ES"/>
              </w:rPr>
            </w:pPr>
            <w:r w:rsidRPr="00B056E4">
              <w:rPr>
                <w:sz w:val="20"/>
                <w:szCs w:val="20"/>
                <w:lang w:val="es-ES"/>
              </w:rPr>
              <w:t>23 496</w:t>
            </w:r>
          </w:p>
        </w:tc>
        <w:tc>
          <w:tcPr>
            <w:tcW w:w="1134" w:type="dxa"/>
            <w:tcBorders>
              <w:top w:val="nil"/>
              <w:left w:val="nil"/>
              <w:bottom w:val="single" w:sz="4" w:space="0" w:color="auto"/>
              <w:right w:val="single" w:sz="4" w:space="0" w:color="auto"/>
            </w:tcBorders>
            <w:shd w:val="clear" w:color="auto" w:fill="auto"/>
            <w:noWrap/>
            <w:hideMark/>
          </w:tcPr>
          <w:p w14:paraId="2D44B01E" w14:textId="77777777" w:rsidR="00C009A9" w:rsidRPr="00B056E4" w:rsidRDefault="00C009A9" w:rsidP="00C0770E">
            <w:pPr>
              <w:jc w:val="right"/>
              <w:rPr>
                <w:sz w:val="20"/>
                <w:szCs w:val="20"/>
                <w:lang w:val="es-ES"/>
              </w:rPr>
            </w:pPr>
            <w:r w:rsidRPr="00B056E4">
              <w:rPr>
                <w:sz w:val="20"/>
                <w:szCs w:val="20"/>
                <w:lang w:val="es-ES"/>
              </w:rPr>
              <w:t>23 496</w:t>
            </w:r>
          </w:p>
        </w:tc>
        <w:tc>
          <w:tcPr>
            <w:tcW w:w="1417" w:type="dxa"/>
            <w:tcBorders>
              <w:top w:val="nil"/>
              <w:left w:val="nil"/>
              <w:bottom w:val="single" w:sz="4" w:space="0" w:color="auto"/>
              <w:right w:val="single" w:sz="4" w:space="0" w:color="auto"/>
            </w:tcBorders>
            <w:shd w:val="clear" w:color="auto" w:fill="auto"/>
            <w:noWrap/>
            <w:hideMark/>
          </w:tcPr>
          <w:p w14:paraId="3F253CD3" w14:textId="77777777" w:rsidR="00C009A9" w:rsidRPr="00B056E4" w:rsidRDefault="00C009A9" w:rsidP="00C0770E">
            <w:pPr>
              <w:jc w:val="right"/>
              <w:rPr>
                <w:sz w:val="20"/>
                <w:szCs w:val="20"/>
                <w:lang w:val="es-ES"/>
              </w:rPr>
            </w:pPr>
            <w:r w:rsidRPr="00B056E4">
              <w:rPr>
                <w:sz w:val="20"/>
                <w:szCs w:val="20"/>
                <w:lang w:val="es-ES"/>
              </w:rPr>
              <w:t>70 488</w:t>
            </w:r>
          </w:p>
        </w:tc>
        <w:tc>
          <w:tcPr>
            <w:tcW w:w="1277" w:type="dxa"/>
            <w:tcBorders>
              <w:top w:val="nil"/>
              <w:left w:val="nil"/>
              <w:bottom w:val="single" w:sz="4" w:space="0" w:color="auto"/>
              <w:right w:val="single" w:sz="4" w:space="0" w:color="auto"/>
            </w:tcBorders>
            <w:shd w:val="clear" w:color="auto" w:fill="auto"/>
            <w:noWrap/>
            <w:hideMark/>
          </w:tcPr>
          <w:p w14:paraId="129B40E6" w14:textId="77777777" w:rsidR="00C009A9" w:rsidRPr="00B056E4" w:rsidRDefault="00C009A9" w:rsidP="00C0770E">
            <w:pPr>
              <w:jc w:val="right"/>
              <w:rPr>
                <w:sz w:val="20"/>
                <w:szCs w:val="20"/>
                <w:lang w:val="es-ES"/>
              </w:rPr>
            </w:pPr>
            <w:r w:rsidRPr="00B056E4">
              <w:rPr>
                <w:sz w:val="20"/>
                <w:szCs w:val="20"/>
                <w:lang w:val="es-ES"/>
              </w:rPr>
              <w:t>187 968</w:t>
            </w:r>
          </w:p>
        </w:tc>
      </w:tr>
      <w:tr w:rsidR="00C009A9" w:rsidRPr="00B056E4" w14:paraId="23DE115F" w14:textId="77777777" w:rsidTr="00C0770E">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761C7F0C" w14:textId="77777777" w:rsidR="00C009A9" w:rsidRPr="00B056E4" w:rsidRDefault="00C009A9" w:rsidP="00C0770E">
            <w:pPr>
              <w:jc w:val="left"/>
              <w:rPr>
                <w:sz w:val="20"/>
                <w:szCs w:val="20"/>
                <w:lang w:val="es-ES"/>
              </w:rPr>
            </w:pPr>
            <w:r w:rsidRPr="00B056E4">
              <w:rPr>
                <w:sz w:val="20"/>
                <w:szCs w:val="20"/>
                <w:lang w:val="es-ES"/>
              </w:rPr>
              <w:t>PGEH: etapa I</w:t>
            </w:r>
          </w:p>
        </w:tc>
        <w:tc>
          <w:tcPr>
            <w:tcW w:w="1134" w:type="dxa"/>
            <w:tcBorders>
              <w:top w:val="nil"/>
              <w:left w:val="nil"/>
              <w:bottom w:val="single" w:sz="4" w:space="0" w:color="auto"/>
              <w:right w:val="single" w:sz="4" w:space="0" w:color="auto"/>
            </w:tcBorders>
            <w:shd w:val="clear" w:color="auto" w:fill="auto"/>
            <w:noWrap/>
            <w:hideMark/>
          </w:tcPr>
          <w:p w14:paraId="3E42F854" w14:textId="77777777" w:rsidR="00C009A9" w:rsidRPr="00B056E4" w:rsidRDefault="00C009A9" w:rsidP="00C0770E">
            <w:pPr>
              <w:jc w:val="right"/>
              <w:rPr>
                <w:sz w:val="20"/>
                <w:szCs w:val="20"/>
                <w:lang w:val="es-ES"/>
              </w:rPr>
            </w:pPr>
            <w:r w:rsidRPr="00B056E4">
              <w:rPr>
                <w:sz w:val="20"/>
                <w:szCs w:val="20"/>
                <w:lang w:val="es-ES"/>
              </w:rPr>
              <w:t>346</w:t>
            </w:r>
          </w:p>
        </w:tc>
        <w:tc>
          <w:tcPr>
            <w:tcW w:w="1134" w:type="dxa"/>
            <w:tcBorders>
              <w:top w:val="nil"/>
              <w:left w:val="nil"/>
              <w:bottom w:val="single" w:sz="4" w:space="0" w:color="auto"/>
              <w:right w:val="single" w:sz="4" w:space="0" w:color="auto"/>
            </w:tcBorders>
            <w:shd w:val="clear" w:color="auto" w:fill="auto"/>
            <w:noWrap/>
            <w:hideMark/>
          </w:tcPr>
          <w:p w14:paraId="2A3D89DB" w14:textId="77777777" w:rsidR="00C009A9" w:rsidRPr="00B056E4" w:rsidRDefault="00C009A9" w:rsidP="00C0770E">
            <w:pPr>
              <w:jc w:val="right"/>
              <w:rPr>
                <w:sz w:val="20"/>
                <w:szCs w:val="20"/>
                <w:lang w:val="es-ES"/>
              </w:rPr>
            </w:pPr>
            <w:r w:rsidRPr="00B056E4">
              <w:rPr>
                <w:sz w:val="20"/>
                <w:szCs w:val="20"/>
                <w:lang w:val="es-ES"/>
              </w:rPr>
              <w:t>0</w:t>
            </w:r>
          </w:p>
        </w:tc>
        <w:tc>
          <w:tcPr>
            <w:tcW w:w="1134" w:type="dxa"/>
            <w:tcBorders>
              <w:top w:val="nil"/>
              <w:left w:val="nil"/>
              <w:bottom w:val="single" w:sz="4" w:space="0" w:color="auto"/>
              <w:right w:val="single" w:sz="4" w:space="0" w:color="auto"/>
            </w:tcBorders>
            <w:shd w:val="clear" w:color="auto" w:fill="auto"/>
            <w:noWrap/>
            <w:hideMark/>
          </w:tcPr>
          <w:p w14:paraId="15DE5A26" w14:textId="77777777" w:rsidR="00C009A9" w:rsidRPr="00B056E4" w:rsidRDefault="00C009A9" w:rsidP="00C0770E">
            <w:pPr>
              <w:jc w:val="right"/>
              <w:rPr>
                <w:sz w:val="20"/>
                <w:szCs w:val="20"/>
                <w:lang w:val="es-ES"/>
              </w:rPr>
            </w:pPr>
            <w:r w:rsidRPr="00B056E4">
              <w:rPr>
                <w:sz w:val="20"/>
                <w:szCs w:val="20"/>
                <w:lang w:val="es-ES"/>
              </w:rPr>
              <w:t>500</w:t>
            </w:r>
          </w:p>
        </w:tc>
        <w:tc>
          <w:tcPr>
            <w:tcW w:w="1417" w:type="dxa"/>
            <w:tcBorders>
              <w:top w:val="nil"/>
              <w:left w:val="nil"/>
              <w:bottom w:val="single" w:sz="4" w:space="0" w:color="auto"/>
              <w:right w:val="single" w:sz="4" w:space="0" w:color="auto"/>
            </w:tcBorders>
            <w:shd w:val="clear" w:color="auto" w:fill="auto"/>
            <w:noWrap/>
            <w:hideMark/>
          </w:tcPr>
          <w:p w14:paraId="0E351124" w14:textId="77777777" w:rsidR="00C009A9" w:rsidRPr="00B056E4" w:rsidRDefault="00C009A9" w:rsidP="00C0770E">
            <w:pPr>
              <w:jc w:val="right"/>
              <w:rPr>
                <w:sz w:val="20"/>
                <w:szCs w:val="20"/>
                <w:lang w:val="es-ES"/>
              </w:rPr>
            </w:pPr>
            <w:r w:rsidRPr="00B056E4">
              <w:rPr>
                <w:sz w:val="20"/>
                <w:szCs w:val="20"/>
                <w:lang w:val="es-ES"/>
              </w:rPr>
              <w:t>846</w:t>
            </w:r>
          </w:p>
        </w:tc>
        <w:tc>
          <w:tcPr>
            <w:tcW w:w="1277" w:type="dxa"/>
            <w:tcBorders>
              <w:top w:val="nil"/>
              <w:left w:val="nil"/>
              <w:bottom w:val="single" w:sz="4" w:space="0" w:color="auto"/>
              <w:right w:val="single" w:sz="4" w:space="0" w:color="auto"/>
            </w:tcBorders>
            <w:shd w:val="clear" w:color="auto" w:fill="auto"/>
            <w:noWrap/>
            <w:hideMark/>
          </w:tcPr>
          <w:p w14:paraId="24DF416F" w14:textId="77777777" w:rsidR="00C009A9" w:rsidRPr="00B056E4" w:rsidRDefault="00C009A9" w:rsidP="00C0770E">
            <w:pPr>
              <w:jc w:val="right"/>
              <w:rPr>
                <w:sz w:val="20"/>
                <w:szCs w:val="20"/>
                <w:lang w:val="es-ES"/>
              </w:rPr>
            </w:pPr>
            <w:r w:rsidRPr="00B056E4">
              <w:rPr>
                <w:sz w:val="20"/>
                <w:szCs w:val="20"/>
                <w:lang w:val="es-ES"/>
              </w:rPr>
              <w:t>0</w:t>
            </w:r>
          </w:p>
        </w:tc>
      </w:tr>
      <w:tr w:rsidR="00C009A9" w:rsidRPr="00B056E4" w14:paraId="13D45DBE" w14:textId="77777777" w:rsidTr="00C0770E">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194D3F62" w14:textId="77777777" w:rsidR="00C009A9" w:rsidRPr="00B056E4" w:rsidRDefault="00C009A9" w:rsidP="00C0770E">
            <w:pPr>
              <w:jc w:val="left"/>
              <w:rPr>
                <w:sz w:val="20"/>
                <w:szCs w:val="20"/>
                <w:lang w:val="es-ES"/>
              </w:rPr>
            </w:pPr>
            <w:r w:rsidRPr="00B056E4">
              <w:rPr>
                <w:sz w:val="20"/>
                <w:szCs w:val="20"/>
                <w:lang w:val="es-ES"/>
              </w:rPr>
              <w:t>Preparación de proyectos para los PGEH: etapa II</w:t>
            </w:r>
          </w:p>
        </w:tc>
        <w:tc>
          <w:tcPr>
            <w:tcW w:w="1134" w:type="dxa"/>
            <w:tcBorders>
              <w:top w:val="nil"/>
              <w:left w:val="nil"/>
              <w:bottom w:val="single" w:sz="4" w:space="0" w:color="auto"/>
              <w:right w:val="single" w:sz="4" w:space="0" w:color="auto"/>
            </w:tcBorders>
            <w:shd w:val="clear" w:color="auto" w:fill="auto"/>
            <w:noWrap/>
            <w:hideMark/>
          </w:tcPr>
          <w:p w14:paraId="43854C39" w14:textId="77777777" w:rsidR="00C009A9" w:rsidRPr="00B056E4" w:rsidRDefault="00C009A9" w:rsidP="00C0770E">
            <w:pPr>
              <w:jc w:val="right"/>
              <w:rPr>
                <w:sz w:val="20"/>
                <w:szCs w:val="20"/>
                <w:lang w:val="es-ES"/>
              </w:rPr>
            </w:pPr>
            <w:r w:rsidRPr="00B056E4">
              <w:rPr>
                <w:sz w:val="20"/>
                <w:szCs w:val="20"/>
                <w:lang w:val="es-ES"/>
              </w:rPr>
              <w:t>412</w:t>
            </w:r>
          </w:p>
        </w:tc>
        <w:tc>
          <w:tcPr>
            <w:tcW w:w="1134" w:type="dxa"/>
            <w:tcBorders>
              <w:top w:val="nil"/>
              <w:left w:val="nil"/>
              <w:bottom w:val="single" w:sz="4" w:space="0" w:color="auto"/>
              <w:right w:val="single" w:sz="4" w:space="0" w:color="auto"/>
            </w:tcBorders>
            <w:shd w:val="clear" w:color="auto" w:fill="auto"/>
            <w:noWrap/>
            <w:hideMark/>
          </w:tcPr>
          <w:p w14:paraId="6BC9F455" w14:textId="77777777" w:rsidR="00C009A9" w:rsidRPr="00B056E4" w:rsidRDefault="00C009A9" w:rsidP="00C0770E">
            <w:pPr>
              <w:jc w:val="right"/>
              <w:rPr>
                <w:sz w:val="20"/>
                <w:szCs w:val="20"/>
                <w:lang w:val="es-ES"/>
              </w:rPr>
            </w:pPr>
            <w:r w:rsidRPr="00B056E4">
              <w:rPr>
                <w:sz w:val="20"/>
                <w:szCs w:val="20"/>
                <w:lang w:val="es-ES"/>
              </w:rPr>
              <w:t>360</w:t>
            </w:r>
          </w:p>
        </w:tc>
        <w:tc>
          <w:tcPr>
            <w:tcW w:w="1134" w:type="dxa"/>
            <w:tcBorders>
              <w:top w:val="nil"/>
              <w:left w:val="nil"/>
              <w:bottom w:val="single" w:sz="4" w:space="0" w:color="auto"/>
              <w:right w:val="single" w:sz="4" w:space="0" w:color="auto"/>
            </w:tcBorders>
            <w:shd w:val="clear" w:color="auto" w:fill="auto"/>
            <w:noWrap/>
            <w:hideMark/>
          </w:tcPr>
          <w:p w14:paraId="3DAF419D" w14:textId="77777777" w:rsidR="00C009A9" w:rsidRPr="00B056E4" w:rsidRDefault="00C009A9" w:rsidP="00C0770E">
            <w:pPr>
              <w:jc w:val="right"/>
              <w:rPr>
                <w:sz w:val="20"/>
                <w:szCs w:val="20"/>
                <w:lang w:val="es-ES"/>
              </w:rPr>
            </w:pPr>
            <w:r w:rsidRPr="00B056E4">
              <w:rPr>
                <w:sz w:val="20"/>
                <w:szCs w:val="20"/>
                <w:lang w:val="es-ES"/>
              </w:rPr>
              <w:t>0</w:t>
            </w:r>
          </w:p>
        </w:tc>
        <w:tc>
          <w:tcPr>
            <w:tcW w:w="1417" w:type="dxa"/>
            <w:tcBorders>
              <w:top w:val="nil"/>
              <w:left w:val="nil"/>
              <w:bottom w:val="single" w:sz="4" w:space="0" w:color="auto"/>
              <w:right w:val="single" w:sz="4" w:space="0" w:color="auto"/>
            </w:tcBorders>
            <w:shd w:val="clear" w:color="auto" w:fill="auto"/>
            <w:noWrap/>
            <w:hideMark/>
          </w:tcPr>
          <w:p w14:paraId="0774EAB2" w14:textId="77777777" w:rsidR="00C009A9" w:rsidRPr="00B056E4" w:rsidRDefault="00C009A9" w:rsidP="00C0770E">
            <w:pPr>
              <w:jc w:val="right"/>
              <w:rPr>
                <w:sz w:val="20"/>
                <w:szCs w:val="20"/>
                <w:lang w:val="es-ES"/>
              </w:rPr>
            </w:pPr>
            <w:r w:rsidRPr="00B056E4">
              <w:rPr>
                <w:sz w:val="20"/>
                <w:szCs w:val="20"/>
                <w:lang w:val="es-ES"/>
              </w:rPr>
              <w:t>772</w:t>
            </w:r>
          </w:p>
        </w:tc>
        <w:tc>
          <w:tcPr>
            <w:tcW w:w="1277" w:type="dxa"/>
            <w:tcBorders>
              <w:top w:val="nil"/>
              <w:left w:val="nil"/>
              <w:bottom w:val="single" w:sz="4" w:space="0" w:color="auto"/>
              <w:right w:val="single" w:sz="4" w:space="0" w:color="auto"/>
            </w:tcBorders>
            <w:shd w:val="clear" w:color="auto" w:fill="auto"/>
            <w:noWrap/>
            <w:hideMark/>
          </w:tcPr>
          <w:p w14:paraId="2B5C6D28" w14:textId="77777777" w:rsidR="00C009A9" w:rsidRPr="00B056E4" w:rsidRDefault="00C009A9" w:rsidP="00C0770E">
            <w:pPr>
              <w:jc w:val="right"/>
              <w:rPr>
                <w:sz w:val="20"/>
                <w:szCs w:val="20"/>
                <w:lang w:val="es-ES"/>
              </w:rPr>
            </w:pPr>
            <w:r w:rsidRPr="00B056E4">
              <w:rPr>
                <w:sz w:val="20"/>
                <w:szCs w:val="20"/>
                <w:lang w:val="es-ES"/>
              </w:rPr>
              <w:t>34</w:t>
            </w:r>
          </w:p>
        </w:tc>
      </w:tr>
      <w:tr w:rsidR="00C009A9" w:rsidRPr="00B056E4" w14:paraId="1DCED159" w14:textId="77777777" w:rsidTr="00C0770E">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551CFD11" w14:textId="77777777" w:rsidR="00C009A9" w:rsidRPr="00B056E4" w:rsidRDefault="00C009A9" w:rsidP="00C0770E">
            <w:pPr>
              <w:jc w:val="left"/>
              <w:rPr>
                <w:sz w:val="20"/>
                <w:szCs w:val="20"/>
                <w:lang w:val="es-ES"/>
              </w:rPr>
            </w:pPr>
            <w:r w:rsidRPr="00B056E4">
              <w:rPr>
                <w:sz w:val="20"/>
                <w:szCs w:val="20"/>
                <w:lang w:val="es-ES"/>
              </w:rPr>
              <w:t>PGEH: etapa II</w:t>
            </w:r>
          </w:p>
        </w:tc>
        <w:tc>
          <w:tcPr>
            <w:tcW w:w="1134" w:type="dxa"/>
            <w:tcBorders>
              <w:top w:val="nil"/>
              <w:left w:val="nil"/>
              <w:bottom w:val="single" w:sz="4" w:space="0" w:color="auto"/>
              <w:right w:val="single" w:sz="4" w:space="0" w:color="auto"/>
            </w:tcBorders>
            <w:shd w:val="clear" w:color="auto" w:fill="auto"/>
            <w:noWrap/>
            <w:hideMark/>
          </w:tcPr>
          <w:p w14:paraId="5425541C" w14:textId="77777777" w:rsidR="00C009A9" w:rsidRPr="00B056E4" w:rsidRDefault="00C009A9" w:rsidP="00C0770E">
            <w:pPr>
              <w:jc w:val="right"/>
              <w:rPr>
                <w:sz w:val="20"/>
                <w:szCs w:val="20"/>
                <w:lang w:val="es-ES"/>
              </w:rPr>
            </w:pPr>
            <w:r w:rsidRPr="00B056E4">
              <w:rPr>
                <w:sz w:val="20"/>
                <w:szCs w:val="20"/>
                <w:lang w:val="es-ES"/>
              </w:rPr>
              <w:t>12 158</w:t>
            </w:r>
          </w:p>
        </w:tc>
        <w:tc>
          <w:tcPr>
            <w:tcW w:w="1134" w:type="dxa"/>
            <w:tcBorders>
              <w:top w:val="nil"/>
              <w:left w:val="nil"/>
              <w:bottom w:val="single" w:sz="4" w:space="0" w:color="auto"/>
              <w:right w:val="single" w:sz="4" w:space="0" w:color="auto"/>
            </w:tcBorders>
            <w:shd w:val="clear" w:color="auto" w:fill="auto"/>
            <w:noWrap/>
            <w:hideMark/>
          </w:tcPr>
          <w:p w14:paraId="37189555" w14:textId="77777777" w:rsidR="00C009A9" w:rsidRPr="00B056E4" w:rsidRDefault="00C009A9" w:rsidP="00C0770E">
            <w:pPr>
              <w:jc w:val="right"/>
              <w:rPr>
                <w:sz w:val="20"/>
                <w:szCs w:val="20"/>
                <w:lang w:val="es-ES"/>
              </w:rPr>
            </w:pPr>
            <w:r w:rsidRPr="00B056E4">
              <w:rPr>
                <w:sz w:val="20"/>
                <w:szCs w:val="20"/>
                <w:lang w:val="es-ES"/>
              </w:rPr>
              <w:t>10 661</w:t>
            </w:r>
          </w:p>
        </w:tc>
        <w:tc>
          <w:tcPr>
            <w:tcW w:w="1134" w:type="dxa"/>
            <w:tcBorders>
              <w:top w:val="nil"/>
              <w:left w:val="nil"/>
              <w:bottom w:val="single" w:sz="4" w:space="0" w:color="auto"/>
              <w:right w:val="single" w:sz="4" w:space="0" w:color="auto"/>
            </w:tcBorders>
            <w:shd w:val="clear" w:color="auto" w:fill="auto"/>
            <w:noWrap/>
            <w:hideMark/>
          </w:tcPr>
          <w:p w14:paraId="4525AB94" w14:textId="77777777" w:rsidR="00C009A9" w:rsidRPr="00B056E4" w:rsidRDefault="00C009A9" w:rsidP="00C0770E">
            <w:pPr>
              <w:jc w:val="right"/>
              <w:rPr>
                <w:sz w:val="20"/>
                <w:szCs w:val="20"/>
                <w:lang w:val="es-ES"/>
              </w:rPr>
            </w:pPr>
            <w:r w:rsidRPr="00B056E4">
              <w:rPr>
                <w:sz w:val="20"/>
                <w:szCs w:val="20"/>
                <w:lang w:val="es-ES"/>
              </w:rPr>
              <w:t>7 316</w:t>
            </w:r>
          </w:p>
        </w:tc>
        <w:tc>
          <w:tcPr>
            <w:tcW w:w="1417" w:type="dxa"/>
            <w:tcBorders>
              <w:top w:val="nil"/>
              <w:left w:val="nil"/>
              <w:bottom w:val="single" w:sz="4" w:space="0" w:color="auto"/>
              <w:right w:val="single" w:sz="4" w:space="0" w:color="auto"/>
            </w:tcBorders>
            <w:shd w:val="clear" w:color="auto" w:fill="auto"/>
            <w:noWrap/>
            <w:hideMark/>
          </w:tcPr>
          <w:p w14:paraId="51343477" w14:textId="77777777" w:rsidR="00C009A9" w:rsidRPr="00B056E4" w:rsidRDefault="00C009A9" w:rsidP="00C0770E">
            <w:pPr>
              <w:jc w:val="right"/>
              <w:rPr>
                <w:sz w:val="20"/>
                <w:szCs w:val="20"/>
                <w:lang w:val="es-ES"/>
              </w:rPr>
            </w:pPr>
            <w:r w:rsidRPr="00B056E4">
              <w:rPr>
                <w:sz w:val="20"/>
                <w:szCs w:val="20"/>
                <w:lang w:val="es-ES"/>
              </w:rPr>
              <w:t>30 135</w:t>
            </w:r>
          </w:p>
        </w:tc>
        <w:tc>
          <w:tcPr>
            <w:tcW w:w="1277" w:type="dxa"/>
            <w:tcBorders>
              <w:top w:val="nil"/>
              <w:left w:val="nil"/>
              <w:bottom w:val="single" w:sz="4" w:space="0" w:color="auto"/>
              <w:right w:val="single" w:sz="4" w:space="0" w:color="auto"/>
            </w:tcBorders>
            <w:shd w:val="clear" w:color="auto" w:fill="auto"/>
            <w:noWrap/>
            <w:hideMark/>
          </w:tcPr>
          <w:p w14:paraId="5ACDA20E" w14:textId="77777777" w:rsidR="00C009A9" w:rsidRPr="00B056E4" w:rsidRDefault="00C009A9" w:rsidP="00C0770E">
            <w:pPr>
              <w:jc w:val="right"/>
              <w:rPr>
                <w:sz w:val="20"/>
                <w:szCs w:val="20"/>
                <w:lang w:val="es-ES"/>
              </w:rPr>
            </w:pPr>
            <w:r w:rsidRPr="00B056E4">
              <w:rPr>
                <w:sz w:val="20"/>
                <w:szCs w:val="20"/>
                <w:lang w:val="es-ES"/>
              </w:rPr>
              <w:t>65 893</w:t>
            </w:r>
          </w:p>
        </w:tc>
      </w:tr>
      <w:tr w:rsidR="00C009A9" w:rsidRPr="00B056E4" w14:paraId="5543DA41" w14:textId="77777777" w:rsidTr="00C0770E">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22420A24" w14:textId="77777777" w:rsidR="00C009A9" w:rsidRPr="00B056E4" w:rsidRDefault="00C009A9" w:rsidP="00C0770E">
            <w:pPr>
              <w:jc w:val="left"/>
              <w:rPr>
                <w:sz w:val="20"/>
                <w:szCs w:val="20"/>
                <w:lang w:val="es-ES"/>
              </w:rPr>
            </w:pPr>
            <w:r w:rsidRPr="00B056E4">
              <w:rPr>
                <w:sz w:val="20"/>
                <w:szCs w:val="20"/>
                <w:lang w:val="es-ES"/>
              </w:rPr>
              <w:t>Preparación de proyectos para los PGEH: etapa III</w:t>
            </w:r>
          </w:p>
        </w:tc>
        <w:tc>
          <w:tcPr>
            <w:tcW w:w="1134" w:type="dxa"/>
            <w:tcBorders>
              <w:top w:val="nil"/>
              <w:left w:val="nil"/>
              <w:bottom w:val="single" w:sz="4" w:space="0" w:color="auto"/>
              <w:right w:val="single" w:sz="4" w:space="0" w:color="auto"/>
            </w:tcBorders>
            <w:shd w:val="clear" w:color="auto" w:fill="auto"/>
            <w:noWrap/>
            <w:hideMark/>
          </w:tcPr>
          <w:p w14:paraId="5A8BD381" w14:textId="77777777" w:rsidR="00C009A9" w:rsidRPr="00B056E4" w:rsidRDefault="00C009A9" w:rsidP="00C0770E">
            <w:pPr>
              <w:jc w:val="right"/>
              <w:rPr>
                <w:sz w:val="20"/>
                <w:szCs w:val="20"/>
                <w:lang w:val="es-ES"/>
              </w:rPr>
            </w:pPr>
            <w:r w:rsidRPr="00B056E4">
              <w:rPr>
                <w:sz w:val="20"/>
                <w:szCs w:val="20"/>
                <w:lang w:val="es-ES"/>
              </w:rPr>
              <w:t>1 044</w:t>
            </w:r>
          </w:p>
        </w:tc>
        <w:tc>
          <w:tcPr>
            <w:tcW w:w="1134" w:type="dxa"/>
            <w:tcBorders>
              <w:top w:val="nil"/>
              <w:left w:val="nil"/>
              <w:bottom w:val="single" w:sz="4" w:space="0" w:color="auto"/>
              <w:right w:val="single" w:sz="4" w:space="0" w:color="auto"/>
            </w:tcBorders>
            <w:shd w:val="clear" w:color="auto" w:fill="auto"/>
            <w:noWrap/>
            <w:hideMark/>
          </w:tcPr>
          <w:p w14:paraId="413DE031" w14:textId="77777777" w:rsidR="00C009A9" w:rsidRPr="00B056E4" w:rsidRDefault="00C009A9" w:rsidP="00C0770E">
            <w:pPr>
              <w:jc w:val="right"/>
              <w:rPr>
                <w:sz w:val="20"/>
                <w:szCs w:val="20"/>
                <w:lang w:val="es-ES"/>
              </w:rPr>
            </w:pPr>
            <w:r w:rsidRPr="00B056E4">
              <w:rPr>
                <w:sz w:val="20"/>
                <w:szCs w:val="20"/>
                <w:lang w:val="es-ES"/>
              </w:rPr>
              <w:t>1 110</w:t>
            </w:r>
          </w:p>
        </w:tc>
        <w:tc>
          <w:tcPr>
            <w:tcW w:w="1134" w:type="dxa"/>
            <w:tcBorders>
              <w:top w:val="nil"/>
              <w:left w:val="nil"/>
              <w:bottom w:val="single" w:sz="4" w:space="0" w:color="auto"/>
              <w:right w:val="single" w:sz="4" w:space="0" w:color="auto"/>
            </w:tcBorders>
            <w:shd w:val="clear" w:color="auto" w:fill="auto"/>
            <w:noWrap/>
            <w:hideMark/>
          </w:tcPr>
          <w:p w14:paraId="7DCE99F4" w14:textId="77777777" w:rsidR="00C009A9" w:rsidRPr="00B056E4" w:rsidRDefault="00C009A9" w:rsidP="00C0770E">
            <w:pPr>
              <w:jc w:val="right"/>
              <w:rPr>
                <w:sz w:val="20"/>
                <w:szCs w:val="20"/>
                <w:lang w:val="es-ES"/>
              </w:rPr>
            </w:pPr>
            <w:r w:rsidRPr="00B056E4">
              <w:rPr>
                <w:sz w:val="20"/>
                <w:szCs w:val="20"/>
                <w:lang w:val="es-ES"/>
              </w:rPr>
              <w:t>182</w:t>
            </w:r>
          </w:p>
        </w:tc>
        <w:tc>
          <w:tcPr>
            <w:tcW w:w="1417" w:type="dxa"/>
            <w:tcBorders>
              <w:top w:val="nil"/>
              <w:left w:val="nil"/>
              <w:bottom w:val="single" w:sz="4" w:space="0" w:color="auto"/>
              <w:right w:val="single" w:sz="4" w:space="0" w:color="auto"/>
            </w:tcBorders>
            <w:shd w:val="clear" w:color="auto" w:fill="auto"/>
            <w:noWrap/>
            <w:hideMark/>
          </w:tcPr>
          <w:p w14:paraId="79F523E4" w14:textId="77777777" w:rsidR="00C009A9" w:rsidRPr="00B056E4" w:rsidRDefault="00C009A9" w:rsidP="00C0770E">
            <w:pPr>
              <w:jc w:val="right"/>
              <w:rPr>
                <w:sz w:val="20"/>
                <w:szCs w:val="20"/>
                <w:lang w:val="es-ES"/>
              </w:rPr>
            </w:pPr>
            <w:r w:rsidRPr="00B056E4">
              <w:rPr>
                <w:sz w:val="20"/>
                <w:szCs w:val="20"/>
                <w:lang w:val="es-ES"/>
              </w:rPr>
              <w:t>2 336</w:t>
            </w:r>
          </w:p>
        </w:tc>
        <w:tc>
          <w:tcPr>
            <w:tcW w:w="1277" w:type="dxa"/>
            <w:tcBorders>
              <w:top w:val="nil"/>
              <w:left w:val="nil"/>
              <w:bottom w:val="single" w:sz="4" w:space="0" w:color="auto"/>
              <w:right w:val="single" w:sz="4" w:space="0" w:color="auto"/>
            </w:tcBorders>
            <w:shd w:val="clear" w:color="auto" w:fill="auto"/>
            <w:noWrap/>
            <w:hideMark/>
          </w:tcPr>
          <w:p w14:paraId="4C6EE494" w14:textId="77777777" w:rsidR="00C009A9" w:rsidRPr="00B056E4" w:rsidRDefault="00C009A9" w:rsidP="00C0770E">
            <w:pPr>
              <w:jc w:val="right"/>
              <w:rPr>
                <w:sz w:val="20"/>
                <w:szCs w:val="20"/>
                <w:lang w:val="es-ES"/>
              </w:rPr>
            </w:pPr>
            <w:r w:rsidRPr="00B056E4">
              <w:rPr>
                <w:sz w:val="20"/>
                <w:szCs w:val="20"/>
                <w:lang w:val="es-ES"/>
              </w:rPr>
              <w:t>225</w:t>
            </w:r>
          </w:p>
        </w:tc>
      </w:tr>
      <w:tr w:rsidR="00C009A9" w:rsidRPr="00B056E4" w14:paraId="29447DE9" w14:textId="77777777" w:rsidTr="00C0770E">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2718DD4F" w14:textId="77777777" w:rsidR="00C009A9" w:rsidRPr="00B056E4" w:rsidRDefault="00C009A9" w:rsidP="00C0770E">
            <w:pPr>
              <w:jc w:val="left"/>
              <w:rPr>
                <w:sz w:val="20"/>
                <w:szCs w:val="20"/>
                <w:lang w:val="es-ES"/>
              </w:rPr>
            </w:pPr>
            <w:r w:rsidRPr="00B056E4">
              <w:rPr>
                <w:sz w:val="20"/>
                <w:szCs w:val="20"/>
                <w:lang w:val="es-ES"/>
              </w:rPr>
              <w:t>PGEH: etapa III</w:t>
            </w:r>
          </w:p>
        </w:tc>
        <w:tc>
          <w:tcPr>
            <w:tcW w:w="1134" w:type="dxa"/>
            <w:tcBorders>
              <w:top w:val="nil"/>
              <w:left w:val="nil"/>
              <w:bottom w:val="single" w:sz="4" w:space="0" w:color="auto"/>
              <w:right w:val="single" w:sz="4" w:space="0" w:color="auto"/>
            </w:tcBorders>
            <w:shd w:val="clear" w:color="auto" w:fill="auto"/>
            <w:noWrap/>
            <w:hideMark/>
          </w:tcPr>
          <w:p w14:paraId="7FEEF68A" w14:textId="77777777" w:rsidR="00C009A9" w:rsidRPr="00B056E4" w:rsidRDefault="00C009A9" w:rsidP="00C0770E">
            <w:pPr>
              <w:jc w:val="right"/>
              <w:rPr>
                <w:sz w:val="20"/>
                <w:szCs w:val="20"/>
                <w:lang w:val="es-ES"/>
              </w:rPr>
            </w:pPr>
            <w:r w:rsidRPr="00B056E4">
              <w:rPr>
                <w:sz w:val="20"/>
                <w:szCs w:val="20"/>
                <w:lang w:val="es-ES"/>
              </w:rPr>
              <w:t>1 178</w:t>
            </w:r>
          </w:p>
        </w:tc>
        <w:tc>
          <w:tcPr>
            <w:tcW w:w="1134" w:type="dxa"/>
            <w:tcBorders>
              <w:top w:val="nil"/>
              <w:left w:val="nil"/>
              <w:bottom w:val="single" w:sz="4" w:space="0" w:color="auto"/>
              <w:right w:val="single" w:sz="4" w:space="0" w:color="auto"/>
            </w:tcBorders>
            <w:shd w:val="clear" w:color="auto" w:fill="auto"/>
            <w:noWrap/>
            <w:hideMark/>
          </w:tcPr>
          <w:p w14:paraId="0D74F9FB" w14:textId="77777777" w:rsidR="00C009A9" w:rsidRPr="00B056E4" w:rsidRDefault="00C009A9" w:rsidP="00C0770E">
            <w:pPr>
              <w:jc w:val="right"/>
              <w:rPr>
                <w:sz w:val="20"/>
                <w:szCs w:val="20"/>
                <w:lang w:val="es-ES"/>
              </w:rPr>
            </w:pPr>
            <w:r w:rsidRPr="00B056E4">
              <w:rPr>
                <w:sz w:val="20"/>
                <w:szCs w:val="20"/>
                <w:lang w:val="es-ES"/>
              </w:rPr>
              <w:t>232</w:t>
            </w:r>
          </w:p>
        </w:tc>
        <w:tc>
          <w:tcPr>
            <w:tcW w:w="1134" w:type="dxa"/>
            <w:tcBorders>
              <w:top w:val="nil"/>
              <w:left w:val="nil"/>
              <w:bottom w:val="single" w:sz="4" w:space="0" w:color="auto"/>
              <w:right w:val="single" w:sz="4" w:space="0" w:color="auto"/>
            </w:tcBorders>
            <w:shd w:val="clear" w:color="auto" w:fill="auto"/>
            <w:noWrap/>
            <w:hideMark/>
          </w:tcPr>
          <w:p w14:paraId="5BA6D0BF" w14:textId="77777777" w:rsidR="00C009A9" w:rsidRPr="00B056E4" w:rsidRDefault="00C009A9" w:rsidP="00C0770E">
            <w:pPr>
              <w:jc w:val="right"/>
              <w:rPr>
                <w:sz w:val="20"/>
                <w:szCs w:val="20"/>
                <w:lang w:val="es-ES"/>
              </w:rPr>
            </w:pPr>
            <w:r w:rsidRPr="00B056E4">
              <w:rPr>
                <w:sz w:val="20"/>
                <w:szCs w:val="20"/>
                <w:lang w:val="es-ES"/>
              </w:rPr>
              <w:t>199</w:t>
            </w:r>
          </w:p>
        </w:tc>
        <w:tc>
          <w:tcPr>
            <w:tcW w:w="1417" w:type="dxa"/>
            <w:tcBorders>
              <w:top w:val="nil"/>
              <w:left w:val="nil"/>
              <w:bottom w:val="single" w:sz="4" w:space="0" w:color="auto"/>
              <w:right w:val="single" w:sz="4" w:space="0" w:color="auto"/>
            </w:tcBorders>
            <w:shd w:val="clear" w:color="auto" w:fill="auto"/>
            <w:noWrap/>
            <w:hideMark/>
          </w:tcPr>
          <w:p w14:paraId="29A322EE" w14:textId="77777777" w:rsidR="00C009A9" w:rsidRPr="00B056E4" w:rsidRDefault="00C009A9" w:rsidP="00C0770E">
            <w:pPr>
              <w:jc w:val="right"/>
              <w:rPr>
                <w:sz w:val="20"/>
                <w:szCs w:val="20"/>
                <w:lang w:val="es-ES"/>
              </w:rPr>
            </w:pPr>
            <w:r w:rsidRPr="00B056E4">
              <w:rPr>
                <w:sz w:val="20"/>
                <w:szCs w:val="20"/>
                <w:lang w:val="es-ES"/>
              </w:rPr>
              <w:t>1 610</w:t>
            </w:r>
          </w:p>
        </w:tc>
        <w:tc>
          <w:tcPr>
            <w:tcW w:w="1277" w:type="dxa"/>
            <w:tcBorders>
              <w:top w:val="nil"/>
              <w:left w:val="nil"/>
              <w:bottom w:val="single" w:sz="4" w:space="0" w:color="auto"/>
              <w:right w:val="single" w:sz="4" w:space="0" w:color="auto"/>
            </w:tcBorders>
            <w:shd w:val="clear" w:color="auto" w:fill="auto"/>
            <w:noWrap/>
            <w:hideMark/>
          </w:tcPr>
          <w:p w14:paraId="727FBB61" w14:textId="77777777" w:rsidR="00C009A9" w:rsidRPr="00B056E4" w:rsidRDefault="00C009A9" w:rsidP="00C0770E">
            <w:pPr>
              <w:jc w:val="right"/>
              <w:rPr>
                <w:sz w:val="20"/>
                <w:szCs w:val="20"/>
                <w:lang w:val="es-ES"/>
              </w:rPr>
            </w:pPr>
            <w:r w:rsidRPr="00B056E4">
              <w:rPr>
                <w:sz w:val="20"/>
                <w:szCs w:val="20"/>
                <w:lang w:val="es-ES"/>
              </w:rPr>
              <w:t>2 131</w:t>
            </w:r>
          </w:p>
        </w:tc>
      </w:tr>
      <w:tr w:rsidR="00C009A9" w:rsidRPr="00B056E4" w14:paraId="16B13D11" w14:textId="77777777" w:rsidTr="00C0770E">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439F2F48" w14:textId="77777777" w:rsidR="00C009A9" w:rsidRPr="00B056E4" w:rsidRDefault="00C009A9" w:rsidP="00C0770E">
            <w:pPr>
              <w:jc w:val="left"/>
              <w:rPr>
                <w:sz w:val="20"/>
                <w:szCs w:val="20"/>
                <w:lang w:val="es-ES"/>
              </w:rPr>
            </w:pPr>
            <w:r w:rsidRPr="00B056E4">
              <w:rPr>
                <w:sz w:val="20"/>
                <w:szCs w:val="20"/>
                <w:lang w:val="es-ES"/>
              </w:rPr>
              <w:t>Verificación de los PGEH</w:t>
            </w:r>
          </w:p>
        </w:tc>
        <w:tc>
          <w:tcPr>
            <w:tcW w:w="1134" w:type="dxa"/>
            <w:tcBorders>
              <w:top w:val="nil"/>
              <w:left w:val="nil"/>
              <w:bottom w:val="single" w:sz="4" w:space="0" w:color="auto"/>
              <w:right w:val="single" w:sz="4" w:space="0" w:color="auto"/>
            </w:tcBorders>
            <w:shd w:val="clear" w:color="auto" w:fill="auto"/>
            <w:noWrap/>
            <w:hideMark/>
          </w:tcPr>
          <w:p w14:paraId="4CE5BC9D" w14:textId="77777777" w:rsidR="00C009A9" w:rsidRPr="00B056E4" w:rsidRDefault="00C009A9" w:rsidP="00C0770E">
            <w:pPr>
              <w:jc w:val="right"/>
              <w:rPr>
                <w:sz w:val="20"/>
                <w:szCs w:val="20"/>
                <w:lang w:val="es-ES"/>
              </w:rPr>
            </w:pPr>
            <w:r w:rsidRPr="00B056E4">
              <w:rPr>
                <w:sz w:val="20"/>
                <w:szCs w:val="20"/>
                <w:lang w:val="es-ES"/>
              </w:rPr>
              <w:t>589</w:t>
            </w:r>
          </w:p>
        </w:tc>
        <w:tc>
          <w:tcPr>
            <w:tcW w:w="1134" w:type="dxa"/>
            <w:tcBorders>
              <w:top w:val="nil"/>
              <w:left w:val="nil"/>
              <w:bottom w:val="single" w:sz="4" w:space="0" w:color="auto"/>
              <w:right w:val="single" w:sz="4" w:space="0" w:color="auto"/>
            </w:tcBorders>
            <w:shd w:val="clear" w:color="auto" w:fill="auto"/>
            <w:noWrap/>
            <w:hideMark/>
          </w:tcPr>
          <w:p w14:paraId="2481BC9C" w14:textId="77777777" w:rsidR="00C009A9" w:rsidRPr="00B056E4" w:rsidRDefault="00C009A9" w:rsidP="00C0770E">
            <w:pPr>
              <w:jc w:val="right"/>
              <w:rPr>
                <w:sz w:val="20"/>
                <w:szCs w:val="20"/>
                <w:lang w:val="es-ES"/>
              </w:rPr>
            </w:pPr>
            <w:r w:rsidRPr="00B056E4">
              <w:rPr>
                <w:sz w:val="20"/>
                <w:szCs w:val="20"/>
                <w:lang w:val="es-ES"/>
              </w:rPr>
              <w:t>589</w:t>
            </w:r>
          </w:p>
        </w:tc>
        <w:tc>
          <w:tcPr>
            <w:tcW w:w="1134" w:type="dxa"/>
            <w:tcBorders>
              <w:top w:val="nil"/>
              <w:left w:val="nil"/>
              <w:bottom w:val="single" w:sz="4" w:space="0" w:color="auto"/>
              <w:right w:val="single" w:sz="4" w:space="0" w:color="auto"/>
            </w:tcBorders>
            <w:shd w:val="clear" w:color="auto" w:fill="auto"/>
            <w:noWrap/>
            <w:hideMark/>
          </w:tcPr>
          <w:p w14:paraId="202D83E4" w14:textId="77777777" w:rsidR="00C009A9" w:rsidRPr="00B056E4" w:rsidRDefault="00C009A9" w:rsidP="00C0770E">
            <w:pPr>
              <w:jc w:val="right"/>
              <w:rPr>
                <w:sz w:val="20"/>
                <w:szCs w:val="20"/>
                <w:lang w:val="es-ES"/>
              </w:rPr>
            </w:pPr>
            <w:r w:rsidRPr="00B056E4">
              <w:rPr>
                <w:sz w:val="20"/>
                <w:szCs w:val="20"/>
                <w:lang w:val="es-ES"/>
              </w:rPr>
              <w:t>589</w:t>
            </w:r>
          </w:p>
        </w:tc>
        <w:tc>
          <w:tcPr>
            <w:tcW w:w="1417" w:type="dxa"/>
            <w:tcBorders>
              <w:top w:val="nil"/>
              <w:left w:val="nil"/>
              <w:bottom w:val="single" w:sz="4" w:space="0" w:color="auto"/>
              <w:right w:val="single" w:sz="4" w:space="0" w:color="auto"/>
            </w:tcBorders>
            <w:shd w:val="clear" w:color="auto" w:fill="auto"/>
            <w:noWrap/>
            <w:hideMark/>
          </w:tcPr>
          <w:p w14:paraId="0D2985CB" w14:textId="77777777" w:rsidR="00C009A9" w:rsidRPr="00B056E4" w:rsidRDefault="00C009A9" w:rsidP="00C0770E">
            <w:pPr>
              <w:jc w:val="right"/>
              <w:rPr>
                <w:sz w:val="20"/>
                <w:szCs w:val="20"/>
                <w:lang w:val="es-ES"/>
              </w:rPr>
            </w:pPr>
            <w:r w:rsidRPr="00B056E4">
              <w:rPr>
                <w:sz w:val="20"/>
                <w:szCs w:val="20"/>
                <w:lang w:val="es-ES"/>
              </w:rPr>
              <w:t>1 766</w:t>
            </w:r>
          </w:p>
        </w:tc>
        <w:tc>
          <w:tcPr>
            <w:tcW w:w="1277" w:type="dxa"/>
            <w:tcBorders>
              <w:top w:val="nil"/>
              <w:left w:val="nil"/>
              <w:bottom w:val="single" w:sz="4" w:space="0" w:color="auto"/>
              <w:right w:val="single" w:sz="4" w:space="0" w:color="auto"/>
            </w:tcBorders>
            <w:shd w:val="clear" w:color="auto" w:fill="auto"/>
            <w:noWrap/>
            <w:hideMark/>
          </w:tcPr>
          <w:p w14:paraId="0CFE668F" w14:textId="77777777" w:rsidR="00C009A9" w:rsidRPr="00B056E4" w:rsidRDefault="00C009A9" w:rsidP="00C0770E">
            <w:pPr>
              <w:jc w:val="right"/>
              <w:rPr>
                <w:sz w:val="20"/>
                <w:szCs w:val="20"/>
                <w:lang w:val="es-ES"/>
              </w:rPr>
            </w:pPr>
            <w:r w:rsidRPr="00B056E4">
              <w:rPr>
                <w:sz w:val="20"/>
                <w:szCs w:val="20"/>
                <w:lang w:val="es-ES"/>
              </w:rPr>
              <w:t>0</w:t>
            </w:r>
          </w:p>
        </w:tc>
      </w:tr>
      <w:tr w:rsidR="00C009A9" w:rsidRPr="00B056E4" w14:paraId="6CC0A45A" w14:textId="77777777" w:rsidTr="00C0770E">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288062BC" w14:textId="77777777" w:rsidR="00C009A9" w:rsidRPr="00B056E4" w:rsidRDefault="00C009A9" w:rsidP="00C0770E">
            <w:pPr>
              <w:jc w:val="left"/>
              <w:rPr>
                <w:sz w:val="20"/>
                <w:szCs w:val="20"/>
                <w:lang w:val="es-ES"/>
              </w:rPr>
            </w:pPr>
            <w:r w:rsidRPr="00B056E4">
              <w:rPr>
                <w:sz w:val="20"/>
                <w:szCs w:val="20"/>
                <w:lang w:val="es-ES"/>
              </w:rPr>
              <w:t>Asistencia técnica sobre HCFC</w:t>
            </w:r>
          </w:p>
        </w:tc>
        <w:tc>
          <w:tcPr>
            <w:tcW w:w="1134" w:type="dxa"/>
            <w:tcBorders>
              <w:top w:val="nil"/>
              <w:left w:val="nil"/>
              <w:bottom w:val="single" w:sz="4" w:space="0" w:color="auto"/>
              <w:right w:val="single" w:sz="4" w:space="0" w:color="auto"/>
            </w:tcBorders>
            <w:shd w:val="clear" w:color="auto" w:fill="auto"/>
            <w:noWrap/>
            <w:hideMark/>
          </w:tcPr>
          <w:p w14:paraId="60588A8E" w14:textId="77777777" w:rsidR="00C009A9" w:rsidRPr="00B056E4" w:rsidRDefault="00C009A9" w:rsidP="00C0770E">
            <w:pPr>
              <w:jc w:val="right"/>
              <w:rPr>
                <w:sz w:val="20"/>
                <w:szCs w:val="20"/>
                <w:lang w:val="es-ES"/>
              </w:rPr>
            </w:pPr>
            <w:r w:rsidRPr="00B056E4">
              <w:rPr>
                <w:sz w:val="20"/>
                <w:szCs w:val="20"/>
                <w:lang w:val="es-ES"/>
              </w:rPr>
              <w:t>0</w:t>
            </w:r>
          </w:p>
        </w:tc>
        <w:tc>
          <w:tcPr>
            <w:tcW w:w="1134" w:type="dxa"/>
            <w:tcBorders>
              <w:top w:val="nil"/>
              <w:left w:val="nil"/>
              <w:bottom w:val="single" w:sz="4" w:space="0" w:color="auto"/>
              <w:right w:val="single" w:sz="4" w:space="0" w:color="auto"/>
            </w:tcBorders>
            <w:shd w:val="clear" w:color="auto" w:fill="auto"/>
            <w:noWrap/>
            <w:hideMark/>
          </w:tcPr>
          <w:p w14:paraId="3FC855A2" w14:textId="77777777" w:rsidR="00C009A9" w:rsidRPr="00B056E4" w:rsidRDefault="00C009A9" w:rsidP="00C0770E">
            <w:pPr>
              <w:jc w:val="right"/>
              <w:rPr>
                <w:sz w:val="20"/>
                <w:szCs w:val="20"/>
                <w:lang w:val="es-ES"/>
              </w:rPr>
            </w:pPr>
            <w:r w:rsidRPr="00B056E4">
              <w:rPr>
                <w:sz w:val="20"/>
                <w:szCs w:val="20"/>
                <w:lang w:val="es-ES"/>
              </w:rPr>
              <w:t>0</w:t>
            </w:r>
          </w:p>
        </w:tc>
        <w:tc>
          <w:tcPr>
            <w:tcW w:w="1134" w:type="dxa"/>
            <w:tcBorders>
              <w:top w:val="nil"/>
              <w:left w:val="nil"/>
              <w:bottom w:val="single" w:sz="4" w:space="0" w:color="auto"/>
              <w:right w:val="single" w:sz="4" w:space="0" w:color="auto"/>
            </w:tcBorders>
            <w:shd w:val="clear" w:color="auto" w:fill="auto"/>
            <w:noWrap/>
            <w:hideMark/>
          </w:tcPr>
          <w:p w14:paraId="0389FED9" w14:textId="77777777" w:rsidR="00C009A9" w:rsidRPr="00B056E4" w:rsidRDefault="00C009A9" w:rsidP="00C0770E">
            <w:pPr>
              <w:jc w:val="right"/>
              <w:rPr>
                <w:sz w:val="20"/>
                <w:szCs w:val="20"/>
                <w:lang w:val="es-ES"/>
              </w:rPr>
            </w:pPr>
            <w:r w:rsidRPr="00B056E4">
              <w:rPr>
                <w:sz w:val="20"/>
                <w:szCs w:val="20"/>
                <w:lang w:val="es-ES"/>
              </w:rPr>
              <w:t>0</w:t>
            </w:r>
          </w:p>
        </w:tc>
        <w:tc>
          <w:tcPr>
            <w:tcW w:w="1417" w:type="dxa"/>
            <w:tcBorders>
              <w:top w:val="nil"/>
              <w:left w:val="nil"/>
              <w:bottom w:val="single" w:sz="4" w:space="0" w:color="auto"/>
              <w:right w:val="single" w:sz="4" w:space="0" w:color="auto"/>
            </w:tcBorders>
            <w:shd w:val="clear" w:color="auto" w:fill="auto"/>
            <w:noWrap/>
            <w:hideMark/>
          </w:tcPr>
          <w:p w14:paraId="600279E3" w14:textId="77777777" w:rsidR="00C009A9" w:rsidRPr="00B056E4" w:rsidRDefault="00C009A9" w:rsidP="00C0770E">
            <w:pPr>
              <w:jc w:val="right"/>
              <w:rPr>
                <w:sz w:val="20"/>
                <w:szCs w:val="20"/>
                <w:lang w:val="es-ES"/>
              </w:rPr>
            </w:pPr>
            <w:r w:rsidRPr="00B056E4">
              <w:rPr>
                <w:sz w:val="20"/>
                <w:szCs w:val="20"/>
                <w:lang w:val="es-ES"/>
              </w:rPr>
              <w:t>0</w:t>
            </w:r>
          </w:p>
        </w:tc>
        <w:tc>
          <w:tcPr>
            <w:tcW w:w="1277" w:type="dxa"/>
            <w:tcBorders>
              <w:top w:val="nil"/>
              <w:left w:val="nil"/>
              <w:bottom w:val="single" w:sz="4" w:space="0" w:color="auto"/>
              <w:right w:val="single" w:sz="4" w:space="0" w:color="auto"/>
            </w:tcBorders>
            <w:shd w:val="clear" w:color="auto" w:fill="auto"/>
            <w:noWrap/>
            <w:hideMark/>
          </w:tcPr>
          <w:p w14:paraId="5A0AD600" w14:textId="77777777" w:rsidR="00C009A9" w:rsidRPr="00B056E4" w:rsidRDefault="00C009A9" w:rsidP="00C0770E">
            <w:pPr>
              <w:jc w:val="right"/>
              <w:rPr>
                <w:sz w:val="20"/>
                <w:szCs w:val="20"/>
                <w:lang w:val="es-ES"/>
              </w:rPr>
            </w:pPr>
            <w:r w:rsidRPr="00B056E4">
              <w:rPr>
                <w:sz w:val="20"/>
                <w:szCs w:val="20"/>
                <w:lang w:val="es-ES"/>
              </w:rPr>
              <w:t>0</w:t>
            </w:r>
          </w:p>
        </w:tc>
      </w:tr>
      <w:tr w:rsidR="00C009A9" w:rsidRPr="00B056E4" w14:paraId="4EB80C1B" w14:textId="77777777" w:rsidTr="00C0770E">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356DEF2E" w14:textId="77777777" w:rsidR="00C009A9" w:rsidRPr="00B056E4" w:rsidRDefault="00C009A9" w:rsidP="00C0770E">
            <w:pPr>
              <w:jc w:val="left"/>
              <w:rPr>
                <w:b/>
                <w:bCs/>
                <w:sz w:val="20"/>
                <w:szCs w:val="20"/>
                <w:lang w:val="es-ES"/>
              </w:rPr>
            </w:pPr>
            <w:r w:rsidRPr="00B056E4">
              <w:rPr>
                <w:b/>
                <w:bCs/>
                <w:sz w:val="20"/>
                <w:szCs w:val="20"/>
                <w:lang w:val="es-ES"/>
              </w:rPr>
              <w:t>Total parcial para actividades relacionadas con los HCFC</w:t>
            </w:r>
          </w:p>
        </w:tc>
        <w:tc>
          <w:tcPr>
            <w:tcW w:w="1134" w:type="dxa"/>
            <w:tcBorders>
              <w:top w:val="nil"/>
              <w:left w:val="nil"/>
              <w:bottom w:val="single" w:sz="4" w:space="0" w:color="auto"/>
              <w:right w:val="single" w:sz="4" w:space="0" w:color="auto"/>
            </w:tcBorders>
            <w:shd w:val="clear" w:color="auto" w:fill="auto"/>
            <w:noWrap/>
            <w:hideMark/>
          </w:tcPr>
          <w:p w14:paraId="557D937F" w14:textId="77777777" w:rsidR="00C009A9" w:rsidRPr="00B056E4" w:rsidRDefault="00C009A9" w:rsidP="00C0770E">
            <w:pPr>
              <w:jc w:val="right"/>
              <w:rPr>
                <w:b/>
                <w:bCs/>
                <w:sz w:val="20"/>
                <w:szCs w:val="20"/>
                <w:lang w:val="es-ES"/>
              </w:rPr>
            </w:pPr>
            <w:r w:rsidRPr="00B056E4">
              <w:rPr>
                <w:b/>
                <w:bCs/>
                <w:sz w:val="20"/>
                <w:szCs w:val="20"/>
                <w:lang w:val="es-ES"/>
              </w:rPr>
              <w:t>182 648</w:t>
            </w:r>
          </w:p>
        </w:tc>
        <w:tc>
          <w:tcPr>
            <w:tcW w:w="1134" w:type="dxa"/>
            <w:tcBorders>
              <w:top w:val="nil"/>
              <w:left w:val="nil"/>
              <w:bottom w:val="single" w:sz="4" w:space="0" w:color="auto"/>
              <w:right w:val="single" w:sz="4" w:space="0" w:color="auto"/>
            </w:tcBorders>
            <w:shd w:val="clear" w:color="auto" w:fill="auto"/>
            <w:noWrap/>
            <w:hideMark/>
          </w:tcPr>
          <w:p w14:paraId="4D905C88" w14:textId="77777777" w:rsidR="00C009A9" w:rsidRPr="00B056E4" w:rsidRDefault="00C009A9" w:rsidP="00C0770E">
            <w:pPr>
              <w:jc w:val="right"/>
              <w:rPr>
                <w:b/>
                <w:bCs/>
                <w:sz w:val="20"/>
                <w:szCs w:val="20"/>
                <w:lang w:val="es-ES"/>
              </w:rPr>
            </w:pPr>
            <w:r w:rsidRPr="00B056E4">
              <w:rPr>
                <w:b/>
                <w:bCs/>
                <w:sz w:val="20"/>
                <w:szCs w:val="20"/>
                <w:lang w:val="es-ES"/>
              </w:rPr>
              <w:t>134 836</w:t>
            </w:r>
          </w:p>
        </w:tc>
        <w:tc>
          <w:tcPr>
            <w:tcW w:w="1134" w:type="dxa"/>
            <w:tcBorders>
              <w:top w:val="nil"/>
              <w:left w:val="nil"/>
              <w:bottom w:val="single" w:sz="4" w:space="0" w:color="auto"/>
              <w:right w:val="single" w:sz="4" w:space="0" w:color="auto"/>
            </w:tcBorders>
            <w:shd w:val="clear" w:color="auto" w:fill="auto"/>
            <w:noWrap/>
            <w:hideMark/>
          </w:tcPr>
          <w:p w14:paraId="363AAEBD" w14:textId="77777777" w:rsidR="00C009A9" w:rsidRPr="00B056E4" w:rsidRDefault="00C009A9" w:rsidP="00C0770E">
            <w:pPr>
              <w:jc w:val="right"/>
              <w:rPr>
                <w:b/>
                <w:bCs/>
                <w:sz w:val="20"/>
                <w:szCs w:val="20"/>
                <w:lang w:val="es-ES"/>
              </w:rPr>
            </w:pPr>
            <w:r w:rsidRPr="00B056E4">
              <w:rPr>
                <w:b/>
                <w:bCs/>
                <w:sz w:val="20"/>
                <w:szCs w:val="20"/>
                <w:lang w:val="es-ES"/>
              </w:rPr>
              <w:t>111 741</w:t>
            </w:r>
          </w:p>
        </w:tc>
        <w:tc>
          <w:tcPr>
            <w:tcW w:w="1417" w:type="dxa"/>
            <w:tcBorders>
              <w:top w:val="nil"/>
              <w:left w:val="nil"/>
              <w:bottom w:val="single" w:sz="4" w:space="0" w:color="auto"/>
              <w:right w:val="single" w:sz="4" w:space="0" w:color="auto"/>
            </w:tcBorders>
            <w:shd w:val="clear" w:color="auto" w:fill="auto"/>
            <w:noWrap/>
            <w:hideMark/>
          </w:tcPr>
          <w:p w14:paraId="044E60A1" w14:textId="77777777" w:rsidR="00C009A9" w:rsidRPr="00B056E4" w:rsidRDefault="00C009A9" w:rsidP="00C0770E">
            <w:pPr>
              <w:jc w:val="right"/>
              <w:rPr>
                <w:b/>
                <w:bCs/>
                <w:sz w:val="20"/>
                <w:szCs w:val="20"/>
                <w:lang w:val="es-ES"/>
              </w:rPr>
            </w:pPr>
            <w:r w:rsidRPr="00B056E4">
              <w:rPr>
                <w:b/>
                <w:bCs/>
                <w:sz w:val="20"/>
                <w:szCs w:val="20"/>
                <w:lang w:val="es-ES"/>
              </w:rPr>
              <w:t>429 225</w:t>
            </w:r>
          </w:p>
        </w:tc>
        <w:tc>
          <w:tcPr>
            <w:tcW w:w="1277" w:type="dxa"/>
            <w:tcBorders>
              <w:top w:val="nil"/>
              <w:left w:val="nil"/>
              <w:bottom w:val="single" w:sz="4" w:space="0" w:color="auto"/>
              <w:right w:val="single" w:sz="4" w:space="0" w:color="auto"/>
            </w:tcBorders>
            <w:shd w:val="clear" w:color="auto" w:fill="auto"/>
            <w:noWrap/>
            <w:hideMark/>
          </w:tcPr>
          <w:p w14:paraId="4DDDBD68" w14:textId="77777777" w:rsidR="00C009A9" w:rsidRPr="00B056E4" w:rsidRDefault="00C009A9" w:rsidP="00C0770E">
            <w:pPr>
              <w:jc w:val="right"/>
              <w:rPr>
                <w:b/>
                <w:bCs/>
                <w:sz w:val="20"/>
                <w:szCs w:val="20"/>
                <w:lang w:val="es-ES"/>
              </w:rPr>
            </w:pPr>
            <w:r w:rsidRPr="00B056E4">
              <w:rPr>
                <w:b/>
                <w:bCs/>
                <w:sz w:val="20"/>
                <w:szCs w:val="20"/>
                <w:lang w:val="es-ES"/>
              </w:rPr>
              <w:t>419 275</w:t>
            </w:r>
          </w:p>
        </w:tc>
      </w:tr>
      <w:tr w:rsidR="00C009A9" w:rsidRPr="008B1E4C" w14:paraId="183F30FA" w14:textId="77777777" w:rsidTr="00C0770E">
        <w:trPr>
          <w:trHeight w:val="264"/>
        </w:trPr>
        <w:tc>
          <w:tcPr>
            <w:tcW w:w="9498"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05B55309" w14:textId="77777777" w:rsidR="00C009A9" w:rsidRPr="00B056E4" w:rsidRDefault="00C009A9" w:rsidP="00C0770E">
            <w:pPr>
              <w:jc w:val="left"/>
              <w:rPr>
                <w:b/>
                <w:bCs/>
                <w:sz w:val="20"/>
                <w:szCs w:val="20"/>
                <w:lang w:val="es-ES"/>
              </w:rPr>
            </w:pPr>
            <w:r w:rsidRPr="00B056E4">
              <w:rPr>
                <w:b/>
                <w:bCs/>
                <w:sz w:val="20"/>
                <w:szCs w:val="20"/>
                <w:lang w:val="es-ES"/>
              </w:rPr>
              <w:t>Actividades relacionadas con los HFC</w:t>
            </w:r>
          </w:p>
        </w:tc>
      </w:tr>
      <w:tr w:rsidR="00C009A9" w:rsidRPr="00B056E4" w14:paraId="789FAF32" w14:textId="77777777" w:rsidTr="00C0770E">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4B469CD8" w14:textId="77777777" w:rsidR="00C009A9" w:rsidRPr="00B056E4" w:rsidRDefault="00C009A9" w:rsidP="00C0770E">
            <w:pPr>
              <w:jc w:val="left"/>
              <w:rPr>
                <w:sz w:val="20"/>
                <w:szCs w:val="20"/>
                <w:lang w:val="es-ES"/>
              </w:rPr>
            </w:pPr>
            <w:r w:rsidRPr="00B056E4">
              <w:rPr>
                <w:sz w:val="20"/>
                <w:szCs w:val="20"/>
                <w:lang w:val="es-ES"/>
              </w:rPr>
              <w:t>HFC: actividades de apoyo</w:t>
            </w:r>
          </w:p>
        </w:tc>
        <w:tc>
          <w:tcPr>
            <w:tcW w:w="1134" w:type="dxa"/>
            <w:tcBorders>
              <w:top w:val="nil"/>
              <w:left w:val="nil"/>
              <w:bottom w:val="single" w:sz="4" w:space="0" w:color="auto"/>
              <w:right w:val="single" w:sz="4" w:space="0" w:color="auto"/>
            </w:tcBorders>
            <w:shd w:val="clear" w:color="auto" w:fill="auto"/>
            <w:noWrap/>
            <w:vAlign w:val="center"/>
            <w:hideMark/>
          </w:tcPr>
          <w:p w14:paraId="6EFBE2E2" w14:textId="77777777" w:rsidR="00C009A9" w:rsidRPr="00B056E4" w:rsidRDefault="00C009A9" w:rsidP="00C0770E">
            <w:pPr>
              <w:jc w:val="right"/>
              <w:rPr>
                <w:sz w:val="20"/>
                <w:szCs w:val="20"/>
                <w:lang w:val="es-ES"/>
              </w:rPr>
            </w:pPr>
            <w:r w:rsidRPr="00B056E4">
              <w:rPr>
                <w:sz w:val="20"/>
                <w:szCs w:val="20"/>
                <w:lang w:val="es-ES"/>
              </w:rPr>
              <w:t>316</w:t>
            </w:r>
          </w:p>
        </w:tc>
        <w:tc>
          <w:tcPr>
            <w:tcW w:w="1134" w:type="dxa"/>
            <w:tcBorders>
              <w:top w:val="nil"/>
              <w:left w:val="nil"/>
              <w:bottom w:val="single" w:sz="4" w:space="0" w:color="auto"/>
              <w:right w:val="single" w:sz="4" w:space="0" w:color="auto"/>
            </w:tcBorders>
            <w:shd w:val="clear" w:color="auto" w:fill="auto"/>
            <w:noWrap/>
            <w:vAlign w:val="center"/>
            <w:hideMark/>
          </w:tcPr>
          <w:p w14:paraId="503BDED4" w14:textId="77777777" w:rsidR="00C009A9" w:rsidRPr="00B056E4" w:rsidRDefault="00C009A9" w:rsidP="00C0770E">
            <w:pPr>
              <w:jc w:val="right"/>
              <w:rPr>
                <w:sz w:val="20"/>
                <w:szCs w:val="20"/>
                <w:lang w:val="es-ES"/>
              </w:rPr>
            </w:pPr>
            <w:r w:rsidRPr="00B056E4">
              <w:rPr>
                <w:sz w:val="20"/>
                <w:szCs w:val="20"/>
                <w:lang w:val="es-ES"/>
              </w:rPr>
              <w:t>161</w:t>
            </w:r>
          </w:p>
        </w:tc>
        <w:tc>
          <w:tcPr>
            <w:tcW w:w="1134" w:type="dxa"/>
            <w:tcBorders>
              <w:top w:val="nil"/>
              <w:left w:val="nil"/>
              <w:bottom w:val="single" w:sz="4" w:space="0" w:color="auto"/>
              <w:right w:val="single" w:sz="4" w:space="0" w:color="auto"/>
            </w:tcBorders>
            <w:shd w:val="clear" w:color="auto" w:fill="auto"/>
            <w:noWrap/>
            <w:hideMark/>
          </w:tcPr>
          <w:p w14:paraId="23E0460E" w14:textId="77777777" w:rsidR="00C009A9" w:rsidRPr="00B056E4" w:rsidRDefault="00C009A9" w:rsidP="00C0770E">
            <w:pPr>
              <w:jc w:val="right"/>
              <w:rPr>
                <w:sz w:val="20"/>
                <w:szCs w:val="20"/>
                <w:lang w:val="es-ES"/>
              </w:rPr>
            </w:pPr>
            <w:r w:rsidRPr="00B056E4">
              <w:rPr>
                <w:sz w:val="20"/>
                <w:szCs w:val="20"/>
                <w:lang w:val="es-ES"/>
              </w:rPr>
              <w:t>0</w:t>
            </w:r>
          </w:p>
        </w:tc>
        <w:tc>
          <w:tcPr>
            <w:tcW w:w="1417" w:type="dxa"/>
            <w:tcBorders>
              <w:top w:val="nil"/>
              <w:left w:val="nil"/>
              <w:bottom w:val="single" w:sz="4" w:space="0" w:color="auto"/>
              <w:right w:val="single" w:sz="4" w:space="0" w:color="auto"/>
            </w:tcBorders>
            <w:shd w:val="clear" w:color="auto" w:fill="auto"/>
            <w:noWrap/>
            <w:hideMark/>
          </w:tcPr>
          <w:p w14:paraId="6DEC5529" w14:textId="77777777" w:rsidR="00C009A9" w:rsidRPr="00B056E4" w:rsidRDefault="00C009A9" w:rsidP="00C0770E">
            <w:pPr>
              <w:jc w:val="right"/>
              <w:rPr>
                <w:sz w:val="20"/>
                <w:szCs w:val="20"/>
                <w:lang w:val="es-ES"/>
              </w:rPr>
            </w:pPr>
            <w:r w:rsidRPr="00B056E4">
              <w:rPr>
                <w:sz w:val="20"/>
                <w:szCs w:val="20"/>
                <w:lang w:val="es-ES"/>
              </w:rPr>
              <w:t>476</w:t>
            </w:r>
          </w:p>
        </w:tc>
        <w:tc>
          <w:tcPr>
            <w:tcW w:w="1277" w:type="dxa"/>
            <w:tcBorders>
              <w:top w:val="nil"/>
              <w:left w:val="nil"/>
              <w:bottom w:val="single" w:sz="4" w:space="0" w:color="auto"/>
              <w:right w:val="single" w:sz="4" w:space="0" w:color="auto"/>
            </w:tcBorders>
            <w:shd w:val="clear" w:color="auto" w:fill="auto"/>
            <w:noWrap/>
            <w:hideMark/>
          </w:tcPr>
          <w:p w14:paraId="1E8BEA13" w14:textId="77777777" w:rsidR="00C009A9" w:rsidRPr="00B056E4" w:rsidRDefault="00C009A9" w:rsidP="00C0770E">
            <w:pPr>
              <w:jc w:val="right"/>
              <w:rPr>
                <w:sz w:val="20"/>
                <w:szCs w:val="20"/>
                <w:lang w:val="es-ES"/>
              </w:rPr>
            </w:pPr>
            <w:r w:rsidRPr="00B056E4">
              <w:rPr>
                <w:sz w:val="20"/>
                <w:szCs w:val="20"/>
                <w:lang w:val="es-ES"/>
              </w:rPr>
              <w:t>0</w:t>
            </w:r>
          </w:p>
        </w:tc>
      </w:tr>
      <w:tr w:rsidR="00C009A9" w:rsidRPr="00B056E4" w14:paraId="2248A6C2" w14:textId="77777777" w:rsidTr="00C0770E">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2110F845" w14:textId="77777777" w:rsidR="00C009A9" w:rsidRPr="00B056E4" w:rsidRDefault="00C009A9" w:rsidP="00C0770E">
            <w:pPr>
              <w:jc w:val="left"/>
              <w:rPr>
                <w:sz w:val="20"/>
                <w:szCs w:val="20"/>
                <w:lang w:val="es-ES"/>
              </w:rPr>
            </w:pPr>
            <w:r w:rsidRPr="00B056E4">
              <w:rPr>
                <w:sz w:val="20"/>
                <w:szCs w:val="20"/>
                <w:lang w:val="es-ES"/>
              </w:rPr>
              <w:t>HFC: inversión</w:t>
            </w:r>
          </w:p>
        </w:tc>
        <w:tc>
          <w:tcPr>
            <w:tcW w:w="1134" w:type="dxa"/>
            <w:tcBorders>
              <w:top w:val="nil"/>
              <w:left w:val="nil"/>
              <w:bottom w:val="single" w:sz="4" w:space="0" w:color="auto"/>
              <w:right w:val="single" w:sz="4" w:space="0" w:color="auto"/>
            </w:tcBorders>
            <w:shd w:val="clear" w:color="auto" w:fill="auto"/>
            <w:noWrap/>
            <w:hideMark/>
          </w:tcPr>
          <w:p w14:paraId="23112026" w14:textId="77777777" w:rsidR="00C009A9" w:rsidRPr="00B056E4" w:rsidRDefault="00C009A9" w:rsidP="00C0770E">
            <w:pPr>
              <w:jc w:val="right"/>
              <w:rPr>
                <w:sz w:val="20"/>
                <w:szCs w:val="20"/>
                <w:lang w:val="es-ES"/>
              </w:rPr>
            </w:pPr>
            <w:r w:rsidRPr="00B056E4">
              <w:rPr>
                <w:sz w:val="20"/>
                <w:szCs w:val="20"/>
                <w:lang w:val="es-ES"/>
              </w:rPr>
              <w:t>1 819</w:t>
            </w:r>
          </w:p>
        </w:tc>
        <w:tc>
          <w:tcPr>
            <w:tcW w:w="1134" w:type="dxa"/>
            <w:tcBorders>
              <w:top w:val="nil"/>
              <w:left w:val="nil"/>
              <w:bottom w:val="single" w:sz="4" w:space="0" w:color="auto"/>
              <w:right w:val="single" w:sz="4" w:space="0" w:color="auto"/>
            </w:tcBorders>
            <w:shd w:val="clear" w:color="auto" w:fill="auto"/>
            <w:noWrap/>
            <w:hideMark/>
          </w:tcPr>
          <w:p w14:paraId="630B044E" w14:textId="77777777" w:rsidR="00C009A9" w:rsidRPr="00B056E4" w:rsidRDefault="00C009A9" w:rsidP="00C0770E">
            <w:pPr>
              <w:jc w:val="right"/>
              <w:rPr>
                <w:sz w:val="20"/>
                <w:szCs w:val="20"/>
                <w:lang w:val="es-ES"/>
              </w:rPr>
            </w:pPr>
            <w:r w:rsidRPr="00B056E4">
              <w:rPr>
                <w:sz w:val="20"/>
                <w:szCs w:val="20"/>
                <w:lang w:val="es-ES"/>
              </w:rPr>
              <w:t>0</w:t>
            </w:r>
          </w:p>
        </w:tc>
        <w:tc>
          <w:tcPr>
            <w:tcW w:w="1134" w:type="dxa"/>
            <w:tcBorders>
              <w:top w:val="nil"/>
              <w:left w:val="nil"/>
              <w:bottom w:val="single" w:sz="4" w:space="0" w:color="auto"/>
              <w:right w:val="single" w:sz="4" w:space="0" w:color="auto"/>
            </w:tcBorders>
            <w:shd w:val="clear" w:color="auto" w:fill="auto"/>
            <w:noWrap/>
            <w:hideMark/>
          </w:tcPr>
          <w:p w14:paraId="38B10E83" w14:textId="77777777" w:rsidR="00C009A9" w:rsidRPr="00B056E4" w:rsidRDefault="00C009A9" w:rsidP="00C0770E">
            <w:pPr>
              <w:jc w:val="right"/>
              <w:rPr>
                <w:sz w:val="20"/>
                <w:szCs w:val="20"/>
                <w:lang w:val="es-ES"/>
              </w:rPr>
            </w:pPr>
            <w:r w:rsidRPr="00B056E4">
              <w:rPr>
                <w:sz w:val="20"/>
                <w:szCs w:val="20"/>
                <w:lang w:val="es-ES"/>
              </w:rPr>
              <w:t>0</w:t>
            </w:r>
          </w:p>
        </w:tc>
        <w:tc>
          <w:tcPr>
            <w:tcW w:w="1417" w:type="dxa"/>
            <w:tcBorders>
              <w:top w:val="nil"/>
              <w:left w:val="nil"/>
              <w:bottom w:val="single" w:sz="4" w:space="0" w:color="auto"/>
              <w:right w:val="single" w:sz="4" w:space="0" w:color="auto"/>
            </w:tcBorders>
            <w:shd w:val="clear" w:color="auto" w:fill="auto"/>
            <w:noWrap/>
            <w:hideMark/>
          </w:tcPr>
          <w:p w14:paraId="7B8679D3" w14:textId="77777777" w:rsidR="00C009A9" w:rsidRPr="00B056E4" w:rsidRDefault="00C009A9" w:rsidP="00C0770E">
            <w:pPr>
              <w:jc w:val="right"/>
              <w:rPr>
                <w:sz w:val="20"/>
                <w:szCs w:val="20"/>
                <w:lang w:val="es-ES"/>
              </w:rPr>
            </w:pPr>
            <w:r w:rsidRPr="00B056E4">
              <w:rPr>
                <w:sz w:val="20"/>
                <w:szCs w:val="20"/>
                <w:lang w:val="es-ES"/>
              </w:rPr>
              <w:t>1 819</w:t>
            </w:r>
          </w:p>
        </w:tc>
        <w:tc>
          <w:tcPr>
            <w:tcW w:w="1277" w:type="dxa"/>
            <w:tcBorders>
              <w:top w:val="nil"/>
              <w:left w:val="nil"/>
              <w:bottom w:val="single" w:sz="4" w:space="0" w:color="auto"/>
              <w:right w:val="single" w:sz="4" w:space="0" w:color="auto"/>
            </w:tcBorders>
            <w:shd w:val="clear" w:color="auto" w:fill="auto"/>
            <w:noWrap/>
            <w:hideMark/>
          </w:tcPr>
          <w:p w14:paraId="70FC835E" w14:textId="77777777" w:rsidR="00C009A9" w:rsidRPr="00B056E4" w:rsidRDefault="00C009A9" w:rsidP="00C0770E">
            <w:pPr>
              <w:jc w:val="right"/>
              <w:rPr>
                <w:sz w:val="20"/>
                <w:szCs w:val="20"/>
                <w:lang w:val="es-ES"/>
              </w:rPr>
            </w:pPr>
            <w:r w:rsidRPr="00B056E4">
              <w:rPr>
                <w:sz w:val="20"/>
                <w:szCs w:val="20"/>
                <w:lang w:val="es-ES"/>
              </w:rPr>
              <w:t>0</w:t>
            </w:r>
          </w:p>
        </w:tc>
      </w:tr>
      <w:tr w:rsidR="00C009A9" w:rsidRPr="00B056E4" w14:paraId="5C167AB5" w14:textId="77777777" w:rsidTr="00C0770E">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583232D2" w14:textId="77777777" w:rsidR="00C009A9" w:rsidRPr="00B056E4" w:rsidRDefault="00C009A9" w:rsidP="00C0770E">
            <w:pPr>
              <w:jc w:val="left"/>
              <w:rPr>
                <w:sz w:val="20"/>
                <w:szCs w:val="20"/>
                <w:lang w:val="es-ES"/>
              </w:rPr>
            </w:pPr>
            <w:r w:rsidRPr="00B056E4">
              <w:rPr>
                <w:sz w:val="20"/>
                <w:szCs w:val="20"/>
                <w:lang w:val="es-ES"/>
              </w:rPr>
              <w:t>Plan de eliminación de HFC: preparación de proyectos</w:t>
            </w:r>
          </w:p>
        </w:tc>
        <w:tc>
          <w:tcPr>
            <w:tcW w:w="1134" w:type="dxa"/>
            <w:tcBorders>
              <w:top w:val="nil"/>
              <w:left w:val="nil"/>
              <w:bottom w:val="single" w:sz="4" w:space="0" w:color="auto"/>
              <w:right w:val="single" w:sz="4" w:space="0" w:color="auto"/>
            </w:tcBorders>
            <w:shd w:val="clear" w:color="auto" w:fill="auto"/>
            <w:noWrap/>
            <w:hideMark/>
          </w:tcPr>
          <w:p w14:paraId="18D49408" w14:textId="77777777" w:rsidR="00C009A9" w:rsidRPr="00B056E4" w:rsidRDefault="00C009A9" w:rsidP="00C0770E">
            <w:pPr>
              <w:jc w:val="right"/>
              <w:rPr>
                <w:sz w:val="20"/>
                <w:szCs w:val="20"/>
                <w:lang w:val="es-ES"/>
              </w:rPr>
            </w:pPr>
            <w:r w:rsidRPr="00B056E4">
              <w:rPr>
                <w:sz w:val="20"/>
                <w:szCs w:val="20"/>
                <w:lang w:val="es-ES"/>
              </w:rPr>
              <w:t>4 425</w:t>
            </w:r>
          </w:p>
        </w:tc>
        <w:tc>
          <w:tcPr>
            <w:tcW w:w="1134" w:type="dxa"/>
            <w:tcBorders>
              <w:top w:val="nil"/>
              <w:left w:val="nil"/>
              <w:bottom w:val="single" w:sz="4" w:space="0" w:color="auto"/>
              <w:right w:val="single" w:sz="4" w:space="0" w:color="auto"/>
            </w:tcBorders>
            <w:shd w:val="clear" w:color="auto" w:fill="auto"/>
            <w:noWrap/>
            <w:hideMark/>
          </w:tcPr>
          <w:p w14:paraId="2E3FC668" w14:textId="77777777" w:rsidR="00C009A9" w:rsidRPr="00B056E4" w:rsidRDefault="00C009A9" w:rsidP="00C0770E">
            <w:pPr>
              <w:jc w:val="right"/>
              <w:rPr>
                <w:sz w:val="20"/>
                <w:szCs w:val="20"/>
                <w:lang w:val="es-ES"/>
              </w:rPr>
            </w:pPr>
            <w:r w:rsidRPr="00B056E4">
              <w:rPr>
                <w:sz w:val="20"/>
                <w:szCs w:val="20"/>
                <w:lang w:val="es-ES"/>
              </w:rPr>
              <w:t>830</w:t>
            </w:r>
          </w:p>
        </w:tc>
        <w:tc>
          <w:tcPr>
            <w:tcW w:w="1134" w:type="dxa"/>
            <w:tcBorders>
              <w:top w:val="nil"/>
              <w:left w:val="nil"/>
              <w:bottom w:val="single" w:sz="4" w:space="0" w:color="auto"/>
              <w:right w:val="single" w:sz="4" w:space="0" w:color="auto"/>
            </w:tcBorders>
            <w:shd w:val="clear" w:color="auto" w:fill="auto"/>
            <w:noWrap/>
            <w:hideMark/>
          </w:tcPr>
          <w:p w14:paraId="5FAB52E7" w14:textId="77777777" w:rsidR="00C009A9" w:rsidRPr="00B056E4" w:rsidRDefault="00C009A9" w:rsidP="00C0770E">
            <w:pPr>
              <w:jc w:val="right"/>
              <w:rPr>
                <w:sz w:val="20"/>
                <w:szCs w:val="20"/>
                <w:lang w:val="es-ES"/>
              </w:rPr>
            </w:pPr>
            <w:r w:rsidRPr="00B056E4">
              <w:rPr>
                <w:sz w:val="20"/>
                <w:szCs w:val="20"/>
                <w:lang w:val="es-ES"/>
              </w:rPr>
              <w:t>0</w:t>
            </w:r>
          </w:p>
        </w:tc>
        <w:tc>
          <w:tcPr>
            <w:tcW w:w="1417" w:type="dxa"/>
            <w:tcBorders>
              <w:top w:val="nil"/>
              <w:left w:val="nil"/>
              <w:bottom w:val="single" w:sz="4" w:space="0" w:color="auto"/>
              <w:right w:val="single" w:sz="4" w:space="0" w:color="auto"/>
            </w:tcBorders>
            <w:shd w:val="clear" w:color="auto" w:fill="auto"/>
            <w:noWrap/>
            <w:hideMark/>
          </w:tcPr>
          <w:p w14:paraId="4A9860ED" w14:textId="77777777" w:rsidR="00C009A9" w:rsidRPr="00B056E4" w:rsidRDefault="00C009A9" w:rsidP="00C0770E">
            <w:pPr>
              <w:jc w:val="right"/>
              <w:rPr>
                <w:sz w:val="20"/>
                <w:szCs w:val="20"/>
                <w:lang w:val="es-ES"/>
              </w:rPr>
            </w:pPr>
            <w:r w:rsidRPr="00B056E4">
              <w:rPr>
                <w:sz w:val="20"/>
                <w:szCs w:val="20"/>
                <w:lang w:val="es-ES"/>
              </w:rPr>
              <w:t>5 256</w:t>
            </w:r>
          </w:p>
        </w:tc>
        <w:tc>
          <w:tcPr>
            <w:tcW w:w="1277" w:type="dxa"/>
            <w:tcBorders>
              <w:top w:val="nil"/>
              <w:left w:val="nil"/>
              <w:bottom w:val="single" w:sz="4" w:space="0" w:color="auto"/>
              <w:right w:val="single" w:sz="4" w:space="0" w:color="auto"/>
            </w:tcBorders>
            <w:shd w:val="clear" w:color="auto" w:fill="auto"/>
            <w:noWrap/>
            <w:hideMark/>
          </w:tcPr>
          <w:p w14:paraId="52CB4B59" w14:textId="77777777" w:rsidR="00C009A9" w:rsidRPr="00B056E4" w:rsidRDefault="00C009A9" w:rsidP="00C0770E">
            <w:pPr>
              <w:jc w:val="right"/>
              <w:rPr>
                <w:sz w:val="20"/>
                <w:szCs w:val="20"/>
                <w:lang w:val="es-ES"/>
              </w:rPr>
            </w:pPr>
            <w:r w:rsidRPr="00B056E4">
              <w:rPr>
                <w:sz w:val="20"/>
                <w:szCs w:val="20"/>
                <w:lang w:val="es-ES"/>
              </w:rPr>
              <w:t>0</w:t>
            </w:r>
          </w:p>
        </w:tc>
      </w:tr>
      <w:tr w:rsidR="00C009A9" w:rsidRPr="00B056E4" w14:paraId="1D83E62D" w14:textId="77777777" w:rsidTr="00C0770E">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656E68BD" w14:textId="77777777" w:rsidR="00C009A9" w:rsidRPr="00B056E4" w:rsidRDefault="00C009A9" w:rsidP="00C0770E">
            <w:pPr>
              <w:jc w:val="left"/>
              <w:rPr>
                <w:sz w:val="20"/>
                <w:szCs w:val="20"/>
                <w:lang w:val="es-ES"/>
              </w:rPr>
            </w:pPr>
            <w:r w:rsidRPr="00B056E4">
              <w:rPr>
                <w:sz w:val="20"/>
                <w:szCs w:val="20"/>
                <w:lang w:val="es-ES"/>
              </w:rPr>
              <w:t xml:space="preserve">Plan de eliminación de HFC </w:t>
            </w:r>
          </w:p>
        </w:tc>
        <w:tc>
          <w:tcPr>
            <w:tcW w:w="1134" w:type="dxa"/>
            <w:tcBorders>
              <w:top w:val="nil"/>
              <w:left w:val="nil"/>
              <w:bottom w:val="single" w:sz="4" w:space="0" w:color="auto"/>
              <w:right w:val="single" w:sz="4" w:space="0" w:color="auto"/>
            </w:tcBorders>
            <w:shd w:val="clear" w:color="auto" w:fill="auto"/>
            <w:noWrap/>
            <w:hideMark/>
          </w:tcPr>
          <w:p w14:paraId="57B50595" w14:textId="77777777" w:rsidR="00C009A9" w:rsidRPr="00B056E4" w:rsidRDefault="00C009A9" w:rsidP="00C0770E">
            <w:pPr>
              <w:jc w:val="right"/>
              <w:rPr>
                <w:sz w:val="20"/>
                <w:szCs w:val="20"/>
                <w:lang w:val="es-ES"/>
              </w:rPr>
            </w:pPr>
            <w:r w:rsidRPr="00B056E4">
              <w:rPr>
                <w:sz w:val="20"/>
                <w:szCs w:val="20"/>
                <w:lang w:val="es-ES"/>
              </w:rPr>
              <w:t>0</w:t>
            </w:r>
          </w:p>
        </w:tc>
        <w:tc>
          <w:tcPr>
            <w:tcW w:w="1134" w:type="dxa"/>
            <w:tcBorders>
              <w:top w:val="nil"/>
              <w:left w:val="nil"/>
              <w:bottom w:val="single" w:sz="4" w:space="0" w:color="auto"/>
              <w:right w:val="single" w:sz="4" w:space="0" w:color="auto"/>
            </w:tcBorders>
            <w:shd w:val="clear" w:color="auto" w:fill="auto"/>
            <w:noWrap/>
            <w:hideMark/>
          </w:tcPr>
          <w:p w14:paraId="56A406AF" w14:textId="77777777" w:rsidR="00C009A9" w:rsidRPr="00B056E4" w:rsidRDefault="00C009A9" w:rsidP="00C0770E">
            <w:pPr>
              <w:jc w:val="right"/>
              <w:rPr>
                <w:sz w:val="20"/>
                <w:szCs w:val="20"/>
                <w:lang w:val="es-ES"/>
              </w:rPr>
            </w:pPr>
            <w:r w:rsidRPr="00B056E4">
              <w:rPr>
                <w:sz w:val="20"/>
                <w:szCs w:val="20"/>
                <w:lang w:val="es-ES"/>
              </w:rPr>
              <w:t>0</w:t>
            </w:r>
          </w:p>
        </w:tc>
        <w:tc>
          <w:tcPr>
            <w:tcW w:w="1134" w:type="dxa"/>
            <w:tcBorders>
              <w:top w:val="nil"/>
              <w:left w:val="nil"/>
              <w:bottom w:val="single" w:sz="4" w:space="0" w:color="auto"/>
              <w:right w:val="single" w:sz="4" w:space="0" w:color="auto"/>
            </w:tcBorders>
            <w:shd w:val="clear" w:color="auto" w:fill="auto"/>
            <w:noWrap/>
            <w:hideMark/>
          </w:tcPr>
          <w:p w14:paraId="6DA15471" w14:textId="77777777" w:rsidR="00C009A9" w:rsidRPr="00B056E4" w:rsidRDefault="00C009A9" w:rsidP="00C0770E">
            <w:pPr>
              <w:jc w:val="right"/>
              <w:rPr>
                <w:sz w:val="20"/>
                <w:szCs w:val="20"/>
                <w:lang w:val="es-ES"/>
              </w:rPr>
            </w:pPr>
            <w:r w:rsidRPr="00B056E4">
              <w:rPr>
                <w:sz w:val="20"/>
                <w:szCs w:val="20"/>
                <w:lang w:val="es-ES"/>
              </w:rPr>
              <w:t>0</w:t>
            </w:r>
          </w:p>
        </w:tc>
        <w:tc>
          <w:tcPr>
            <w:tcW w:w="1417" w:type="dxa"/>
            <w:tcBorders>
              <w:top w:val="nil"/>
              <w:left w:val="nil"/>
              <w:bottom w:val="single" w:sz="4" w:space="0" w:color="auto"/>
              <w:right w:val="single" w:sz="4" w:space="0" w:color="auto"/>
            </w:tcBorders>
            <w:shd w:val="clear" w:color="auto" w:fill="auto"/>
            <w:noWrap/>
            <w:hideMark/>
          </w:tcPr>
          <w:p w14:paraId="61317054" w14:textId="77777777" w:rsidR="00C009A9" w:rsidRPr="00B056E4" w:rsidRDefault="00C009A9" w:rsidP="00C0770E">
            <w:pPr>
              <w:jc w:val="right"/>
              <w:rPr>
                <w:sz w:val="20"/>
                <w:szCs w:val="20"/>
                <w:lang w:val="es-ES"/>
              </w:rPr>
            </w:pPr>
            <w:r w:rsidRPr="00B056E4">
              <w:rPr>
                <w:sz w:val="20"/>
                <w:szCs w:val="20"/>
                <w:lang w:val="es-ES"/>
              </w:rPr>
              <w:t>0</w:t>
            </w:r>
          </w:p>
        </w:tc>
        <w:tc>
          <w:tcPr>
            <w:tcW w:w="1277" w:type="dxa"/>
            <w:tcBorders>
              <w:top w:val="nil"/>
              <w:left w:val="nil"/>
              <w:bottom w:val="single" w:sz="4" w:space="0" w:color="auto"/>
              <w:right w:val="single" w:sz="4" w:space="0" w:color="auto"/>
            </w:tcBorders>
            <w:shd w:val="clear" w:color="auto" w:fill="auto"/>
            <w:noWrap/>
            <w:hideMark/>
          </w:tcPr>
          <w:p w14:paraId="40AF3B54" w14:textId="77777777" w:rsidR="00C009A9" w:rsidRPr="00B056E4" w:rsidRDefault="00C009A9" w:rsidP="00C0770E">
            <w:pPr>
              <w:jc w:val="right"/>
              <w:rPr>
                <w:sz w:val="20"/>
                <w:szCs w:val="20"/>
                <w:lang w:val="es-ES"/>
              </w:rPr>
            </w:pPr>
            <w:r w:rsidRPr="00B056E4">
              <w:rPr>
                <w:sz w:val="20"/>
                <w:szCs w:val="20"/>
                <w:lang w:val="es-ES"/>
              </w:rPr>
              <w:t>0</w:t>
            </w:r>
          </w:p>
        </w:tc>
      </w:tr>
      <w:tr w:rsidR="00C009A9" w:rsidRPr="00B056E4" w14:paraId="5853C6F7" w14:textId="77777777" w:rsidTr="00C0770E">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68220BF6" w14:textId="77777777" w:rsidR="00C009A9" w:rsidRPr="00B056E4" w:rsidRDefault="00C009A9" w:rsidP="00C0770E">
            <w:pPr>
              <w:jc w:val="left"/>
              <w:rPr>
                <w:b/>
                <w:bCs/>
                <w:sz w:val="20"/>
                <w:szCs w:val="20"/>
                <w:lang w:val="es-ES"/>
              </w:rPr>
            </w:pPr>
            <w:r w:rsidRPr="00B056E4">
              <w:rPr>
                <w:b/>
                <w:bCs/>
                <w:sz w:val="20"/>
                <w:szCs w:val="20"/>
                <w:lang w:val="es-ES"/>
              </w:rPr>
              <w:lastRenderedPageBreak/>
              <w:t>Total parcial para actividades relacionadas con los HFC</w:t>
            </w:r>
          </w:p>
        </w:tc>
        <w:tc>
          <w:tcPr>
            <w:tcW w:w="1134" w:type="dxa"/>
            <w:tcBorders>
              <w:top w:val="nil"/>
              <w:left w:val="nil"/>
              <w:bottom w:val="single" w:sz="4" w:space="0" w:color="auto"/>
              <w:right w:val="single" w:sz="4" w:space="0" w:color="auto"/>
            </w:tcBorders>
            <w:shd w:val="clear" w:color="auto" w:fill="auto"/>
            <w:noWrap/>
            <w:hideMark/>
          </w:tcPr>
          <w:p w14:paraId="7D31BE5F" w14:textId="77777777" w:rsidR="00C009A9" w:rsidRPr="00B056E4" w:rsidRDefault="00C009A9" w:rsidP="00C0770E">
            <w:pPr>
              <w:jc w:val="right"/>
              <w:rPr>
                <w:b/>
                <w:bCs/>
                <w:sz w:val="20"/>
                <w:szCs w:val="20"/>
                <w:lang w:val="es-ES"/>
              </w:rPr>
            </w:pPr>
            <w:r w:rsidRPr="00B056E4">
              <w:rPr>
                <w:b/>
                <w:bCs/>
                <w:sz w:val="20"/>
                <w:szCs w:val="20"/>
                <w:lang w:val="es-ES"/>
              </w:rPr>
              <w:t>6 560</w:t>
            </w:r>
          </w:p>
        </w:tc>
        <w:tc>
          <w:tcPr>
            <w:tcW w:w="1134" w:type="dxa"/>
            <w:tcBorders>
              <w:top w:val="nil"/>
              <w:left w:val="nil"/>
              <w:bottom w:val="single" w:sz="4" w:space="0" w:color="auto"/>
              <w:right w:val="single" w:sz="4" w:space="0" w:color="auto"/>
            </w:tcBorders>
            <w:shd w:val="clear" w:color="auto" w:fill="auto"/>
            <w:noWrap/>
            <w:hideMark/>
          </w:tcPr>
          <w:p w14:paraId="786132D3" w14:textId="77777777" w:rsidR="00C009A9" w:rsidRPr="00B056E4" w:rsidRDefault="00C009A9" w:rsidP="00C0770E">
            <w:pPr>
              <w:jc w:val="right"/>
              <w:rPr>
                <w:b/>
                <w:bCs/>
                <w:sz w:val="20"/>
                <w:szCs w:val="20"/>
                <w:lang w:val="es-ES"/>
              </w:rPr>
            </w:pPr>
            <w:r w:rsidRPr="00B056E4">
              <w:rPr>
                <w:b/>
                <w:bCs/>
                <w:sz w:val="20"/>
                <w:szCs w:val="20"/>
                <w:lang w:val="es-ES"/>
              </w:rPr>
              <w:t>991</w:t>
            </w:r>
          </w:p>
        </w:tc>
        <w:tc>
          <w:tcPr>
            <w:tcW w:w="1134" w:type="dxa"/>
            <w:tcBorders>
              <w:top w:val="nil"/>
              <w:left w:val="nil"/>
              <w:bottom w:val="single" w:sz="4" w:space="0" w:color="auto"/>
              <w:right w:val="single" w:sz="4" w:space="0" w:color="auto"/>
            </w:tcBorders>
            <w:shd w:val="clear" w:color="auto" w:fill="auto"/>
            <w:noWrap/>
            <w:hideMark/>
          </w:tcPr>
          <w:p w14:paraId="43E7D3A5" w14:textId="77777777" w:rsidR="00C009A9" w:rsidRPr="00B056E4" w:rsidRDefault="00C009A9" w:rsidP="00C0770E">
            <w:pPr>
              <w:jc w:val="right"/>
              <w:rPr>
                <w:b/>
                <w:bCs/>
                <w:sz w:val="20"/>
                <w:szCs w:val="20"/>
                <w:lang w:val="es-ES"/>
              </w:rPr>
            </w:pPr>
            <w:r w:rsidRPr="00B056E4">
              <w:rPr>
                <w:b/>
                <w:bCs/>
                <w:sz w:val="20"/>
                <w:szCs w:val="20"/>
                <w:lang w:val="es-ES"/>
              </w:rPr>
              <w:t>0</w:t>
            </w:r>
          </w:p>
        </w:tc>
        <w:tc>
          <w:tcPr>
            <w:tcW w:w="1417" w:type="dxa"/>
            <w:tcBorders>
              <w:top w:val="nil"/>
              <w:left w:val="nil"/>
              <w:bottom w:val="single" w:sz="4" w:space="0" w:color="auto"/>
              <w:right w:val="single" w:sz="4" w:space="0" w:color="auto"/>
            </w:tcBorders>
            <w:shd w:val="clear" w:color="auto" w:fill="auto"/>
            <w:noWrap/>
            <w:hideMark/>
          </w:tcPr>
          <w:p w14:paraId="2FAF38AF" w14:textId="77777777" w:rsidR="00C009A9" w:rsidRPr="00B056E4" w:rsidRDefault="00C009A9" w:rsidP="00C0770E">
            <w:pPr>
              <w:jc w:val="right"/>
              <w:rPr>
                <w:b/>
                <w:bCs/>
                <w:sz w:val="20"/>
                <w:szCs w:val="20"/>
                <w:lang w:val="es-ES"/>
              </w:rPr>
            </w:pPr>
            <w:r w:rsidRPr="00B056E4">
              <w:rPr>
                <w:b/>
                <w:bCs/>
                <w:sz w:val="20"/>
                <w:szCs w:val="20"/>
                <w:lang w:val="es-ES"/>
              </w:rPr>
              <w:t>7 551</w:t>
            </w:r>
          </w:p>
        </w:tc>
        <w:tc>
          <w:tcPr>
            <w:tcW w:w="1277" w:type="dxa"/>
            <w:tcBorders>
              <w:top w:val="nil"/>
              <w:left w:val="nil"/>
              <w:bottom w:val="single" w:sz="4" w:space="0" w:color="auto"/>
              <w:right w:val="single" w:sz="4" w:space="0" w:color="auto"/>
            </w:tcBorders>
            <w:shd w:val="clear" w:color="auto" w:fill="auto"/>
            <w:noWrap/>
            <w:hideMark/>
          </w:tcPr>
          <w:p w14:paraId="701E5FF2" w14:textId="77777777" w:rsidR="00C009A9" w:rsidRPr="00B056E4" w:rsidRDefault="00C009A9" w:rsidP="00C0770E">
            <w:pPr>
              <w:jc w:val="right"/>
              <w:rPr>
                <w:b/>
                <w:bCs/>
                <w:sz w:val="20"/>
                <w:szCs w:val="20"/>
                <w:lang w:val="es-ES"/>
              </w:rPr>
            </w:pPr>
            <w:r w:rsidRPr="00B056E4">
              <w:rPr>
                <w:b/>
                <w:bCs/>
                <w:sz w:val="20"/>
                <w:szCs w:val="20"/>
                <w:lang w:val="es-ES"/>
              </w:rPr>
              <w:t>0</w:t>
            </w:r>
          </w:p>
        </w:tc>
      </w:tr>
      <w:tr w:rsidR="00C009A9" w:rsidRPr="00B056E4" w14:paraId="52751584" w14:textId="77777777" w:rsidTr="00C0770E">
        <w:trPr>
          <w:trHeight w:val="264"/>
        </w:trPr>
        <w:tc>
          <w:tcPr>
            <w:tcW w:w="9498"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2104DBE8" w14:textId="77777777" w:rsidR="00C009A9" w:rsidRPr="00B056E4" w:rsidRDefault="00C009A9" w:rsidP="00C0770E">
            <w:pPr>
              <w:jc w:val="left"/>
              <w:rPr>
                <w:b/>
                <w:bCs/>
                <w:sz w:val="20"/>
                <w:szCs w:val="20"/>
                <w:lang w:val="es-ES"/>
              </w:rPr>
            </w:pPr>
            <w:r w:rsidRPr="00B056E4">
              <w:rPr>
                <w:b/>
                <w:bCs/>
                <w:sz w:val="20"/>
                <w:szCs w:val="20"/>
                <w:lang w:val="es-ES"/>
              </w:rPr>
              <w:t>Actividades estándar</w:t>
            </w:r>
          </w:p>
        </w:tc>
      </w:tr>
      <w:tr w:rsidR="00C009A9" w:rsidRPr="00B056E4" w14:paraId="7DF159E8" w14:textId="77777777" w:rsidTr="00C0770E">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70C758AB" w14:textId="77777777" w:rsidR="00C009A9" w:rsidRPr="00B056E4" w:rsidRDefault="00C009A9" w:rsidP="00C0770E">
            <w:pPr>
              <w:jc w:val="left"/>
              <w:rPr>
                <w:sz w:val="20"/>
                <w:szCs w:val="20"/>
                <w:lang w:val="es-ES"/>
              </w:rPr>
            </w:pPr>
            <w:r w:rsidRPr="00B056E4">
              <w:rPr>
                <w:sz w:val="20"/>
                <w:szCs w:val="20"/>
                <w:lang w:val="es-ES"/>
              </w:rPr>
              <w:t>Programa de asistencia al cumplimiento</w:t>
            </w:r>
          </w:p>
        </w:tc>
        <w:tc>
          <w:tcPr>
            <w:tcW w:w="1134" w:type="dxa"/>
            <w:tcBorders>
              <w:top w:val="nil"/>
              <w:left w:val="nil"/>
              <w:bottom w:val="single" w:sz="4" w:space="0" w:color="auto"/>
              <w:right w:val="single" w:sz="4" w:space="0" w:color="auto"/>
            </w:tcBorders>
            <w:shd w:val="clear" w:color="auto" w:fill="auto"/>
            <w:noWrap/>
            <w:hideMark/>
          </w:tcPr>
          <w:p w14:paraId="2AA191A8" w14:textId="77777777" w:rsidR="00C009A9" w:rsidRPr="00B056E4" w:rsidRDefault="00C009A9" w:rsidP="00C0770E">
            <w:pPr>
              <w:jc w:val="right"/>
              <w:rPr>
                <w:sz w:val="20"/>
                <w:szCs w:val="20"/>
                <w:lang w:val="es-ES"/>
              </w:rPr>
            </w:pPr>
            <w:r w:rsidRPr="00B056E4">
              <w:rPr>
                <w:sz w:val="20"/>
                <w:szCs w:val="20"/>
                <w:lang w:val="es-ES"/>
              </w:rPr>
              <w:t>11 428</w:t>
            </w:r>
          </w:p>
        </w:tc>
        <w:tc>
          <w:tcPr>
            <w:tcW w:w="1134" w:type="dxa"/>
            <w:tcBorders>
              <w:top w:val="nil"/>
              <w:left w:val="nil"/>
              <w:bottom w:val="single" w:sz="4" w:space="0" w:color="auto"/>
              <w:right w:val="single" w:sz="4" w:space="0" w:color="auto"/>
            </w:tcBorders>
            <w:shd w:val="clear" w:color="auto" w:fill="auto"/>
            <w:noWrap/>
            <w:hideMark/>
          </w:tcPr>
          <w:p w14:paraId="135DA57D" w14:textId="77777777" w:rsidR="00C009A9" w:rsidRPr="00B056E4" w:rsidRDefault="00C009A9" w:rsidP="00C0770E">
            <w:pPr>
              <w:jc w:val="right"/>
              <w:rPr>
                <w:sz w:val="20"/>
                <w:szCs w:val="20"/>
                <w:lang w:val="es-ES"/>
              </w:rPr>
            </w:pPr>
            <w:r w:rsidRPr="00B056E4">
              <w:rPr>
                <w:sz w:val="20"/>
                <w:szCs w:val="20"/>
                <w:lang w:val="es-ES"/>
              </w:rPr>
              <w:t>11 771</w:t>
            </w:r>
          </w:p>
        </w:tc>
        <w:tc>
          <w:tcPr>
            <w:tcW w:w="1134" w:type="dxa"/>
            <w:tcBorders>
              <w:top w:val="nil"/>
              <w:left w:val="nil"/>
              <w:bottom w:val="single" w:sz="4" w:space="0" w:color="auto"/>
              <w:right w:val="single" w:sz="4" w:space="0" w:color="auto"/>
            </w:tcBorders>
            <w:shd w:val="clear" w:color="auto" w:fill="auto"/>
            <w:noWrap/>
            <w:hideMark/>
          </w:tcPr>
          <w:p w14:paraId="0AA25C85" w14:textId="77777777" w:rsidR="00C009A9" w:rsidRPr="00B056E4" w:rsidRDefault="00C009A9" w:rsidP="00C0770E">
            <w:pPr>
              <w:jc w:val="right"/>
              <w:rPr>
                <w:sz w:val="20"/>
                <w:szCs w:val="20"/>
                <w:lang w:val="es-ES"/>
              </w:rPr>
            </w:pPr>
            <w:r w:rsidRPr="00B056E4">
              <w:rPr>
                <w:sz w:val="20"/>
                <w:szCs w:val="20"/>
                <w:lang w:val="es-ES"/>
              </w:rPr>
              <w:t>12 124</w:t>
            </w:r>
          </w:p>
        </w:tc>
        <w:tc>
          <w:tcPr>
            <w:tcW w:w="1417" w:type="dxa"/>
            <w:tcBorders>
              <w:top w:val="nil"/>
              <w:left w:val="nil"/>
              <w:bottom w:val="single" w:sz="4" w:space="0" w:color="auto"/>
              <w:right w:val="single" w:sz="4" w:space="0" w:color="auto"/>
            </w:tcBorders>
            <w:shd w:val="clear" w:color="auto" w:fill="auto"/>
            <w:noWrap/>
            <w:hideMark/>
          </w:tcPr>
          <w:p w14:paraId="11C3FEF6" w14:textId="77777777" w:rsidR="00C009A9" w:rsidRPr="00B056E4" w:rsidRDefault="00C009A9" w:rsidP="00C0770E">
            <w:pPr>
              <w:jc w:val="right"/>
              <w:rPr>
                <w:sz w:val="20"/>
                <w:szCs w:val="20"/>
                <w:lang w:val="es-ES"/>
              </w:rPr>
            </w:pPr>
            <w:r w:rsidRPr="00B056E4">
              <w:rPr>
                <w:sz w:val="20"/>
                <w:szCs w:val="20"/>
                <w:lang w:val="es-ES"/>
              </w:rPr>
              <w:t>35 324</w:t>
            </w:r>
          </w:p>
        </w:tc>
        <w:tc>
          <w:tcPr>
            <w:tcW w:w="1277" w:type="dxa"/>
            <w:tcBorders>
              <w:top w:val="nil"/>
              <w:left w:val="nil"/>
              <w:bottom w:val="single" w:sz="4" w:space="0" w:color="auto"/>
              <w:right w:val="single" w:sz="4" w:space="0" w:color="auto"/>
            </w:tcBorders>
            <w:shd w:val="clear" w:color="auto" w:fill="auto"/>
            <w:noWrap/>
            <w:hideMark/>
          </w:tcPr>
          <w:p w14:paraId="2718D007" w14:textId="77777777" w:rsidR="00C009A9" w:rsidRPr="00B056E4" w:rsidRDefault="00C009A9" w:rsidP="00C0770E">
            <w:pPr>
              <w:jc w:val="right"/>
              <w:rPr>
                <w:sz w:val="20"/>
                <w:szCs w:val="20"/>
                <w:lang w:val="es-ES"/>
              </w:rPr>
            </w:pPr>
            <w:r w:rsidRPr="00B056E4">
              <w:rPr>
                <w:sz w:val="20"/>
                <w:szCs w:val="20"/>
                <w:lang w:val="es-ES"/>
              </w:rPr>
              <w:t>0</w:t>
            </w:r>
          </w:p>
        </w:tc>
      </w:tr>
      <w:tr w:rsidR="00C009A9" w:rsidRPr="00B056E4" w14:paraId="3ACEF87B" w14:textId="77777777" w:rsidTr="00C0770E">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2F13106B" w14:textId="77777777" w:rsidR="00C009A9" w:rsidRPr="00B056E4" w:rsidRDefault="00C009A9" w:rsidP="00C0770E">
            <w:pPr>
              <w:jc w:val="left"/>
              <w:rPr>
                <w:sz w:val="20"/>
                <w:szCs w:val="20"/>
                <w:lang w:val="es-ES"/>
              </w:rPr>
            </w:pPr>
            <w:r w:rsidRPr="00B056E4">
              <w:rPr>
                <w:sz w:val="20"/>
                <w:szCs w:val="20"/>
                <w:lang w:val="es-ES"/>
              </w:rPr>
              <w:t>Unidad central</w:t>
            </w:r>
          </w:p>
        </w:tc>
        <w:tc>
          <w:tcPr>
            <w:tcW w:w="1134" w:type="dxa"/>
            <w:tcBorders>
              <w:top w:val="nil"/>
              <w:left w:val="nil"/>
              <w:bottom w:val="single" w:sz="4" w:space="0" w:color="auto"/>
              <w:right w:val="single" w:sz="4" w:space="0" w:color="auto"/>
            </w:tcBorders>
            <w:shd w:val="clear" w:color="auto" w:fill="auto"/>
            <w:noWrap/>
            <w:hideMark/>
          </w:tcPr>
          <w:p w14:paraId="0969AB85" w14:textId="77777777" w:rsidR="00C009A9" w:rsidRPr="00B056E4" w:rsidRDefault="00C009A9" w:rsidP="00C0770E">
            <w:pPr>
              <w:jc w:val="right"/>
              <w:rPr>
                <w:sz w:val="20"/>
                <w:szCs w:val="20"/>
                <w:lang w:val="es-ES"/>
              </w:rPr>
            </w:pPr>
            <w:r w:rsidRPr="00B056E4">
              <w:rPr>
                <w:sz w:val="20"/>
                <w:szCs w:val="20"/>
                <w:lang w:val="es-ES"/>
              </w:rPr>
              <w:t>5 961</w:t>
            </w:r>
          </w:p>
        </w:tc>
        <w:tc>
          <w:tcPr>
            <w:tcW w:w="1134" w:type="dxa"/>
            <w:tcBorders>
              <w:top w:val="nil"/>
              <w:left w:val="nil"/>
              <w:bottom w:val="single" w:sz="4" w:space="0" w:color="auto"/>
              <w:right w:val="single" w:sz="4" w:space="0" w:color="auto"/>
            </w:tcBorders>
            <w:shd w:val="clear" w:color="auto" w:fill="auto"/>
            <w:noWrap/>
            <w:hideMark/>
          </w:tcPr>
          <w:p w14:paraId="35E5CE35" w14:textId="77777777" w:rsidR="00C009A9" w:rsidRPr="00B056E4" w:rsidRDefault="00C009A9" w:rsidP="00C0770E">
            <w:pPr>
              <w:jc w:val="right"/>
              <w:rPr>
                <w:sz w:val="20"/>
                <w:szCs w:val="20"/>
                <w:lang w:val="es-ES"/>
              </w:rPr>
            </w:pPr>
            <w:r w:rsidRPr="00B056E4">
              <w:rPr>
                <w:sz w:val="20"/>
                <w:szCs w:val="20"/>
                <w:lang w:val="es-ES"/>
              </w:rPr>
              <w:t>6 003</w:t>
            </w:r>
          </w:p>
        </w:tc>
        <w:tc>
          <w:tcPr>
            <w:tcW w:w="1134" w:type="dxa"/>
            <w:tcBorders>
              <w:top w:val="nil"/>
              <w:left w:val="nil"/>
              <w:bottom w:val="single" w:sz="4" w:space="0" w:color="auto"/>
              <w:right w:val="single" w:sz="4" w:space="0" w:color="auto"/>
            </w:tcBorders>
            <w:shd w:val="clear" w:color="auto" w:fill="auto"/>
            <w:noWrap/>
            <w:hideMark/>
          </w:tcPr>
          <w:p w14:paraId="4C248645" w14:textId="77777777" w:rsidR="00C009A9" w:rsidRPr="00B056E4" w:rsidRDefault="00C009A9" w:rsidP="00C0770E">
            <w:pPr>
              <w:jc w:val="right"/>
              <w:rPr>
                <w:sz w:val="20"/>
                <w:szCs w:val="20"/>
                <w:lang w:val="es-ES"/>
              </w:rPr>
            </w:pPr>
            <w:r w:rsidRPr="00B056E4">
              <w:rPr>
                <w:sz w:val="20"/>
                <w:szCs w:val="20"/>
                <w:lang w:val="es-ES"/>
              </w:rPr>
              <w:t>6 045</w:t>
            </w:r>
          </w:p>
        </w:tc>
        <w:tc>
          <w:tcPr>
            <w:tcW w:w="1417" w:type="dxa"/>
            <w:tcBorders>
              <w:top w:val="nil"/>
              <w:left w:val="nil"/>
              <w:bottom w:val="single" w:sz="4" w:space="0" w:color="auto"/>
              <w:right w:val="single" w:sz="4" w:space="0" w:color="auto"/>
            </w:tcBorders>
            <w:shd w:val="clear" w:color="auto" w:fill="auto"/>
            <w:noWrap/>
            <w:hideMark/>
          </w:tcPr>
          <w:p w14:paraId="303FD5B1" w14:textId="77777777" w:rsidR="00C009A9" w:rsidRPr="00B056E4" w:rsidRDefault="00C009A9" w:rsidP="00C0770E">
            <w:pPr>
              <w:jc w:val="right"/>
              <w:rPr>
                <w:sz w:val="20"/>
                <w:szCs w:val="20"/>
                <w:lang w:val="es-ES"/>
              </w:rPr>
            </w:pPr>
            <w:r w:rsidRPr="00B056E4">
              <w:rPr>
                <w:sz w:val="20"/>
                <w:szCs w:val="20"/>
                <w:lang w:val="es-ES"/>
              </w:rPr>
              <w:t>18 009</w:t>
            </w:r>
          </w:p>
        </w:tc>
        <w:tc>
          <w:tcPr>
            <w:tcW w:w="1277" w:type="dxa"/>
            <w:tcBorders>
              <w:top w:val="nil"/>
              <w:left w:val="nil"/>
              <w:bottom w:val="single" w:sz="4" w:space="0" w:color="auto"/>
              <w:right w:val="single" w:sz="4" w:space="0" w:color="auto"/>
            </w:tcBorders>
            <w:shd w:val="clear" w:color="auto" w:fill="auto"/>
            <w:noWrap/>
            <w:hideMark/>
          </w:tcPr>
          <w:p w14:paraId="1BF5ABDD" w14:textId="77777777" w:rsidR="00C009A9" w:rsidRPr="00B056E4" w:rsidRDefault="00C009A9" w:rsidP="00C0770E">
            <w:pPr>
              <w:jc w:val="right"/>
              <w:rPr>
                <w:sz w:val="20"/>
                <w:szCs w:val="20"/>
                <w:lang w:val="es-ES"/>
              </w:rPr>
            </w:pPr>
            <w:r w:rsidRPr="00B056E4">
              <w:rPr>
                <w:sz w:val="20"/>
                <w:szCs w:val="20"/>
                <w:lang w:val="es-ES"/>
              </w:rPr>
              <w:t>0</w:t>
            </w:r>
          </w:p>
        </w:tc>
      </w:tr>
      <w:tr w:rsidR="00C009A9" w:rsidRPr="00B056E4" w14:paraId="5904AD7B" w14:textId="77777777" w:rsidTr="00C0770E">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311F4D31" w14:textId="77777777" w:rsidR="00C009A9" w:rsidRPr="00B056E4" w:rsidRDefault="00C009A9" w:rsidP="00C0770E">
            <w:pPr>
              <w:jc w:val="left"/>
              <w:rPr>
                <w:sz w:val="20"/>
                <w:szCs w:val="20"/>
                <w:lang w:val="es-ES"/>
              </w:rPr>
            </w:pPr>
            <w:r w:rsidRPr="00B056E4">
              <w:rPr>
                <w:sz w:val="20"/>
                <w:szCs w:val="20"/>
                <w:lang w:val="es-ES"/>
              </w:rPr>
              <w:t>Fortalecimiento institucional</w:t>
            </w:r>
          </w:p>
        </w:tc>
        <w:tc>
          <w:tcPr>
            <w:tcW w:w="1134" w:type="dxa"/>
            <w:tcBorders>
              <w:top w:val="nil"/>
              <w:left w:val="nil"/>
              <w:bottom w:val="single" w:sz="4" w:space="0" w:color="auto"/>
              <w:right w:val="single" w:sz="4" w:space="0" w:color="auto"/>
            </w:tcBorders>
            <w:shd w:val="clear" w:color="auto" w:fill="auto"/>
            <w:noWrap/>
            <w:hideMark/>
          </w:tcPr>
          <w:p w14:paraId="18E127B8" w14:textId="77777777" w:rsidR="00C009A9" w:rsidRPr="00B056E4" w:rsidRDefault="00C009A9" w:rsidP="00C0770E">
            <w:pPr>
              <w:jc w:val="right"/>
              <w:rPr>
                <w:sz w:val="20"/>
                <w:szCs w:val="20"/>
                <w:lang w:val="es-ES"/>
              </w:rPr>
            </w:pPr>
            <w:r w:rsidRPr="00B056E4">
              <w:rPr>
                <w:sz w:val="20"/>
                <w:szCs w:val="20"/>
                <w:lang w:val="es-ES"/>
              </w:rPr>
              <w:t>11 574</w:t>
            </w:r>
          </w:p>
        </w:tc>
        <w:tc>
          <w:tcPr>
            <w:tcW w:w="1134" w:type="dxa"/>
            <w:tcBorders>
              <w:top w:val="nil"/>
              <w:left w:val="nil"/>
              <w:bottom w:val="single" w:sz="4" w:space="0" w:color="auto"/>
              <w:right w:val="single" w:sz="4" w:space="0" w:color="auto"/>
            </w:tcBorders>
            <w:shd w:val="clear" w:color="auto" w:fill="auto"/>
            <w:noWrap/>
            <w:hideMark/>
          </w:tcPr>
          <w:p w14:paraId="10BD8C4C" w14:textId="77777777" w:rsidR="00C009A9" w:rsidRPr="00B056E4" w:rsidRDefault="00C009A9" w:rsidP="00C0770E">
            <w:pPr>
              <w:jc w:val="right"/>
              <w:rPr>
                <w:sz w:val="20"/>
                <w:szCs w:val="20"/>
                <w:lang w:val="es-ES"/>
              </w:rPr>
            </w:pPr>
            <w:r w:rsidRPr="00B056E4">
              <w:rPr>
                <w:sz w:val="20"/>
                <w:szCs w:val="20"/>
                <w:lang w:val="es-ES"/>
              </w:rPr>
              <w:t>9 858</w:t>
            </w:r>
          </w:p>
        </w:tc>
        <w:tc>
          <w:tcPr>
            <w:tcW w:w="1134" w:type="dxa"/>
            <w:tcBorders>
              <w:top w:val="nil"/>
              <w:left w:val="nil"/>
              <w:bottom w:val="single" w:sz="4" w:space="0" w:color="auto"/>
              <w:right w:val="single" w:sz="4" w:space="0" w:color="auto"/>
            </w:tcBorders>
            <w:shd w:val="clear" w:color="auto" w:fill="auto"/>
            <w:noWrap/>
            <w:hideMark/>
          </w:tcPr>
          <w:p w14:paraId="52BBF9E7" w14:textId="77777777" w:rsidR="00C009A9" w:rsidRPr="00B056E4" w:rsidRDefault="00C009A9" w:rsidP="00C0770E">
            <w:pPr>
              <w:jc w:val="right"/>
              <w:rPr>
                <w:sz w:val="20"/>
                <w:szCs w:val="20"/>
                <w:lang w:val="es-ES"/>
              </w:rPr>
            </w:pPr>
            <w:r w:rsidRPr="00B056E4">
              <w:rPr>
                <w:sz w:val="20"/>
                <w:szCs w:val="20"/>
                <w:lang w:val="es-ES"/>
              </w:rPr>
              <w:t>11 574</w:t>
            </w:r>
          </w:p>
        </w:tc>
        <w:tc>
          <w:tcPr>
            <w:tcW w:w="1417" w:type="dxa"/>
            <w:tcBorders>
              <w:top w:val="nil"/>
              <w:left w:val="nil"/>
              <w:bottom w:val="single" w:sz="4" w:space="0" w:color="auto"/>
              <w:right w:val="single" w:sz="4" w:space="0" w:color="auto"/>
            </w:tcBorders>
            <w:shd w:val="clear" w:color="auto" w:fill="auto"/>
            <w:noWrap/>
            <w:hideMark/>
          </w:tcPr>
          <w:p w14:paraId="106EF8E6" w14:textId="77777777" w:rsidR="00C009A9" w:rsidRPr="00B056E4" w:rsidRDefault="00C009A9" w:rsidP="00C0770E">
            <w:pPr>
              <w:jc w:val="right"/>
              <w:rPr>
                <w:sz w:val="20"/>
                <w:szCs w:val="20"/>
                <w:lang w:val="es-ES"/>
              </w:rPr>
            </w:pPr>
            <w:r w:rsidRPr="00B056E4">
              <w:rPr>
                <w:sz w:val="20"/>
                <w:szCs w:val="20"/>
                <w:lang w:val="es-ES"/>
              </w:rPr>
              <w:t>33 007</w:t>
            </w:r>
          </w:p>
        </w:tc>
        <w:tc>
          <w:tcPr>
            <w:tcW w:w="1277" w:type="dxa"/>
            <w:tcBorders>
              <w:top w:val="nil"/>
              <w:left w:val="nil"/>
              <w:bottom w:val="single" w:sz="4" w:space="0" w:color="auto"/>
              <w:right w:val="single" w:sz="4" w:space="0" w:color="auto"/>
            </w:tcBorders>
            <w:shd w:val="clear" w:color="auto" w:fill="auto"/>
            <w:noWrap/>
            <w:hideMark/>
          </w:tcPr>
          <w:p w14:paraId="0C4F4B33" w14:textId="77777777" w:rsidR="00C009A9" w:rsidRPr="00B056E4" w:rsidRDefault="00C009A9" w:rsidP="00C0770E">
            <w:pPr>
              <w:jc w:val="right"/>
              <w:rPr>
                <w:sz w:val="20"/>
                <w:szCs w:val="20"/>
                <w:lang w:val="es-ES"/>
              </w:rPr>
            </w:pPr>
            <w:r w:rsidRPr="00B056E4">
              <w:rPr>
                <w:sz w:val="20"/>
                <w:szCs w:val="20"/>
                <w:lang w:val="es-ES"/>
              </w:rPr>
              <w:t>0</w:t>
            </w:r>
          </w:p>
        </w:tc>
      </w:tr>
      <w:tr w:rsidR="00C009A9" w:rsidRPr="00B056E4" w14:paraId="31C8846C" w14:textId="77777777" w:rsidTr="00C0770E">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23802C3D" w14:textId="77777777" w:rsidR="00C009A9" w:rsidRPr="00B056E4" w:rsidRDefault="00C009A9" w:rsidP="00C0770E">
            <w:pPr>
              <w:jc w:val="left"/>
              <w:rPr>
                <w:sz w:val="20"/>
                <w:szCs w:val="20"/>
                <w:lang w:val="es-ES"/>
              </w:rPr>
            </w:pPr>
            <w:r w:rsidRPr="00B056E4">
              <w:rPr>
                <w:sz w:val="20"/>
                <w:szCs w:val="20"/>
                <w:lang w:val="es-ES"/>
              </w:rPr>
              <w:t>Costo de la Secretar</w:t>
            </w:r>
            <w:r w:rsidRPr="00C009A9">
              <w:rPr>
                <w:sz w:val="20"/>
                <w:szCs w:val="20"/>
                <w:lang w:val="es-ES"/>
              </w:rPr>
              <w:t>í</w:t>
            </w:r>
            <w:r w:rsidRPr="00B056E4">
              <w:rPr>
                <w:sz w:val="20"/>
                <w:szCs w:val="20"/>
                <w:lang w:val="es-ES"/>
              </w:rPr>
              <w:t>a, del Comité Ejecutivo, y de Supervisión y Evaluación menos fondos de contraparte de Canadá</w:t>
            </w:r>
          </w:p>
        </w:tc>
        <w:tc>
          <w:tcPr>
            <w:tcW w:w="1134" w:type="dxa"/>
            <w:tcBorders>
              <w:top w:val="nil"/>
              <w:left w:val="nil"/>
              <w:bottom w:val="single" w:sz="4" w:space="0" w:color="auto"/>
              <w:right w:val="single" w:sz="4" w:space="0" w:color="auto"/>
            </w:tcBorders>
            <w:shd w:val="clear" w:color="auto" w:fill="auto"/>
            <w:noWrap/>
            <w:hideMark/>
          </w:tcPr>
          <w:p w14:paraId="072DF0DD" w14:textId="77777777" w:rsidR="00C009A9" w:rsidRPr="00B056E4" w:rsidRDefault="00C009A9" w:rsidP="00C0770E">
            <w:pPr>
              <w:jc w:val="right"/>
              <w:rPr>
                <w:sz w:val="20"/>
                <w:szCs w:val="20"/>
                <w:lang w:val="es-ES"/>
              </w:rPr>
            </w:pPr>
            <w:r w:rsidRPr="00B056E4">
              <w:rPr>
                <w:sz w:val="20"/>
                <w:szCs w:val="20"/>
                <w:lang w:val="es-ES"/>
              </w:rPr>
              <w:t>6 362</w:t>
            </w:r>
          </w:p>
        </w:tc>
        <w:tc>
          <w:tcPr>
            <w:tcW w:w="1134" w:type="dxa"/>
            <w:tcBorders>
              <w:top w:val="nil"/>
              <w:left w:val="nil"/>
              <w:bottom w:val="single" w:sz="4" w:space="0" w:color="auto"/>
              <w:right w:val="single" w:sz="4" w:space="0" w:color="auto"/>
            </w:tcBorders>
            <w:shd w:val="clear" w:color="auto" w:fill="auto"/>
            <w:noWrap/>
            <w:hideMark/>
          </w:tcPr>
          <w:p w14:paraId="087DF374" w14:textId="77777777" w:rsidR="00C009A9" w:rsidRPr="00B056E4" w:rsidRDefault="00C009A9" w:rsidP="00C0770E">
            <w:pPr>
              <w:jc w:val="right"/>
              <w:rPr>
                <w:sz w:val="20"/>
                <w:szCs w:val="20"/>
                <w:lang w:val="es-ES"/>
              </w:rPr>
            </w:pPr>
            <w:r w:rsidRPr="00B056E4">
              <w:rPr>
                <w:sz w:val="20"/>
                <w:szCs w:val="20"/>
                <w:lang w:val="es-ES"/>
              </w:rPr>
              <w:t>7 009</w:t>
            </w:r>
          </w:p>
        </w:tc>
        <w:tc>
          <w:tcPr>
            <w:tcW w:w="1134" w:type="dxa"/>
            <w:tcBorders>
              <w:top w:val="nil"/>
              <w:left w:val="nil"/>
              <w:bottom w:val="single" w:sz="4" w:space="0" w:color="auto"/>
              <w:right w:val="single" w:sz="4" w:space="0" w:color="auto"/>
            </w:tcBorders>
            <w:shd w:val="clear" w:color="auto" w:fill="auto"/>
            <w:noWrap/>
            <w:hideMark/>
          </w:tcPr>
          <w:p w14:paraId="62F16036" w14:textId="77777777" w:rsidR="00C009A9" w:rsidRPr="00B056E4" w:rsidRDefault="00C009A9" w:rsidP="00C0770E">
            <w:pPr>
              <w:jc w:val="right"/>
              <w:rPr>
                <w:sz w:val="20"/>
                <w:szCs w:val="20"/>
                <w:lang w:val="es-ES"/>
              </w:rPr>
            </w:pPr>
            <w:r w:rsidRPr="00B056E4">
              <w:rPr>
                <w:sz w:val="20"/>
                <w:szCs w:val="20"/>
                <w:lang w:val="es-ES"/>
              </w:rPr>
              <w:t>7 159</w:t>
            </w:r>
          </w:p>
        </w:tc>
        <w:tc>
          <w:tcPr>
            <w:tcW w:w="1417" w:type="dxa"/>
            <w:tcBorders>
              <w:top w:val="nil"/>
              <w:left w:val="nil"/>
              <w:bottom w:val="single" w:sz="4" w:space="0" w:color="auto"/>
              <w:right w:val="single" w:sz="4" w:space="0" w:color="auto"/>
            </w:tcBorders>
            <w:shd w:val="clear" w:color="auto" w:fill="auto"/>
            <w:noWrap/>
            <w:hideMark/>
          </w:tcPr>
          <w:p w14:paraId="6104E4DC" w14:textId="77777777" w:rsidR="00C009A9" w:rsidRPr="00B056E4" w:rsidRDefault="00C009A9" w:rsidP="00C0770E">
            <w:pPr>
              <w:jc w:val="right"/>
              <w:rPr>
                <w:sz w:val="20"/>
                <w:szCs w:val="20"/>
                <w:lang w:val="es-ES"/>
              </w:rPr>
            </w:pPr>
            <w:r w:rsidRPr="00B056E4">
              <w:rPr>
                <w:sz w:val="20"/>
                <w:szCs w:val="20"/>
                <w:lang w:val="es-ES"/>
              </w:rPr>
              <w:t>20 530</w:t>
            </w:r>
          </w:p>
        </w:tc>
        <w:tc>
          <w:tcPr>
            <w:tcW w:w="1277" w:type="dxa"/>
            <w:tcBorders>
              <w:top w:val="nil"/>
              <w:left w:val="nil"/>
              <w:bottom w:val="single" w:sz="4" w:space="0" w:color="auto"/>
              <w:right w:val="single" w:sz="4" w:space="0" w:color="auto"/>
            </w:tcBorders>
            <w:shd w:val="clear" w:color="auto" w:fill="auto"/>
            <w:noWrap/>
          </w:tcPr>
          <w:p w14:paraId="13CCC5AF" w14:textId="77777777" w:rsidR="00C009A9" w:rsidRPr="00B056E4" w:rsidRDefault="00C009A9" w:rsidP="00C0770E">
            <w:pPr>
              <w:jc w:val="right"/>
              <w:rPr>
                <w:sz w:val="20"/>
                <w:szCs w:val="20"/>
                <w:lang w:val="es-ES" w:eastAsia="en-CA"/>
              </w:rPr>
            </w:pPr>
          </w:p>
        </w:tc>
      </w:tr>
      <w:tr w:rsidR="00C009A9" w:rsidRPr="00B056E4" w14:paraId="633EA0AC" w14:textId="77777777" w:rsidTr="00C0770E">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748CDF66" w14:textId="77777777" w:rsidR="00C009A9" w:rsidRPr="00B056E4" w:rsidRDefault="00C009A9" w:rsidP="00C0770E">
            <w:pPr>
              <w:jc w:val="left"/>
              <w:rPr>
                <w:sz w:val="20"/>
                <w:szCs w:val="20"/>
                <w:lang w:val="es-ES"/>
              </w:rPr>
            </w:pPr>
            <w:r w:rsidRPr="00B056E4">
              <w:rPr>
                <w:sz w:val="20"/>
                <w:szCs w:val="20"/>
                <w:lang w:val="es-ES"/>
              </w:rPr>
              <w:t>Tesorero</w:t>
            </w:r>
          </w:p>
        </w:tc>
        <w:tc>
          <w:tcPr>
            <w:tcW w:w="1134" w:type="dxa"/>
            <w:tcBorders>
              <w:top w:val="nil"/>
              <w:left w:val="nil"/>
              <w:bottom w:val="single" w:sz="4" w:space="0" w:color="auto"/>
              <w:right w:val="single" w:sz="4" w:space="0" w:color="auto"/>
            </w:tcBorders>
            <w:shd w:val="clear" w:color="auto" w:fill="auto"/>
            <w:noWrap/>
            <w:hideMark/>
          </w:tcPr>
          <w:p w14:paraId="5B6346C9" w14:textId="77777777" w:rsidR="00C009A9" w:rsidRPr="00B056E4" w:rsidRDefault="00C009A9" w:rsidP="00C0770E">
            <w:pPr>
              <w:jc w:val="right"/>
              <w:rPr>
                <w:sz w:val="20"/>
                <w:szCs w:val="20"/>
                <w:lang w:val="es-ES"/>
              </w:rPr>
            </w:pPr>
            <w:r w:rsidRPr="00B056E4">
              <w:rPr>
                <w:sz w:val="20"/>
                <w:szCs w:val="20"/>
                <w:lang w:val="es-ES"/>
              </w:rPr>
              <w:t>500</w:t>
            </w:r>
          </w:p>
        </w:tc>
        <w:tc>
          <w:tcPr>
            <w:tcW w:w="1134" w:type="dxa"/>
            <w:tcBorders>
              <w:top w:val="nil"/>
              <w:left w:val="nil"/>
              <w:bottom w:val="single" w:sz="4" w:space="0" w:color="auto"/>
              <w:right w:val="single" w:sz="4" w:space="0" w:color="auto"/>
            </w:tcBorders>
            <w:shd w:val="clear" w:color="auto" w:fill="auto"/>
            <w:noWrap/>
            <w:hideMark/>
          </w:tcPr>
          <w:p w14:paraId="0A9F7B3E" w14:textId="77777777" w:rsidR="00C009A9" w:rsidRPr="00B056E4" w:rsidRDefault="00C009A9" w:rsidP="00C0770E">
            <w:pPr>
              <w:jc w:val="right"/>
              <w:rPr>
                <w:sz w:val="20"/>
                <w:szCs w:val="20"/>
                <w:lang w:val="es-ES"/>
              </w:rPr>
            </w:pPr>
            <w:r w:rsidRPr="00B056E4">
              <w:rPr>
                <w:sz w:val="20"/>
                <w:szCs w:val="20"/>
                <w:lang w:val="es-ES"/>
              </w:rPr>
              <w:t>500</w:t>
            </w:r>
          </w:p>
        </w:tc>
        <w:tc>
          <w:tcPr>
            <w:tcW w:w="1134" w:type="dxa"/>
            <w:tcBorders>
              <w:top w:val="nil"/>
              <w:left w:val="nil"/>
              <w:bottom w:val="single" w:sz="4" w:space="0" w:color="auto"/>
              <w:right w:val="single" w:sz="4" w:space="0" w:color="auto"/>
            </w:tcBorders>
            <w:shd w:val="clear" w:color="auto" w:fill="auto"/>
            <w:noWrap/>
            <w:hideMark/>
          </w:tcPr>
          <w:p w14:paraId="2347B46B" w14:textId="77777777" w:rsidR="00C009A9" w:rsidRPr="00B056E4" w:rsidRDefault="00C009A9" w:rsidP="00C0770E">
            <w:pPr>
              <w:jc w:val="right"/>
              <w:rPr>
                <w:sz w:val="20"/>
                <w:szCs w:val="20"/>
                <w:lang w:val="es-ES"/>
              </w:rPr>
            </w:pPr>
            <w:r w:rsidRPr="00B056E4">
              <w:rPr>
                <w:sz w:val="20"/>
                <w:szCs w:val="20"/>
                <w:lang w:val="es-ES"/>
              </w:rPr>
              <w:t>500</w:t>
            </w:r>
          </w:p>
        </w:tc>
        <w:tc>
          <w:tcPr>
            <w:tcW w:w="1417" w:type="dxa"/>
            <w:tcBorders>
              <w:top w:val="nil"/>
              <w:left w:val="nil"/>
              <w:bottom w:val="single" w:sz="4" w:space="0" w:color="auto"/>
              <w:right w:val="single" w:sz="4" w:space="0" w:color="auto"/>
            </w:tcBorders>
            <w:shd w:val="clear" w:color="auto" w:fill="auto"/>
            <w:noWrap/>
            <w:hideMark/>
          </w:tcPr>
          <w:p w14:paraId="10E13DDF" w14:textId="77777777" w:rsidR="00C009A9" w:rsidRPr="00B056E4" w:rsidRDefault="00C009A9" w:rsidP="00C0770E">
            <w:pPr>
              <w:jc w:val="right"/>
              <w:rPr>
                <w:sz w:val="20"/>
                <w:szCs w:val="20"/>
                <w:lang w:val="es-ES"/>
              </w:rPr>
            </w:pPr>
            <w:r w:rsidRPr="00B056E4">
              <w:rPr>
                <w:sz w:val="20"/>
                <w:szCs w:val="20"/>
                <w:lang w:val="es-ES"/>
              </w:rPr>
              <w:t>1 500</w:t>
            </w:r>
          </w:p>
        </w:tc>
        <w:tc>
          <w:tcPr>
            <w:tcW w:w="1277" w:type="dxa"/>
            <w:tcBorders>
              <w:top w:val="nil"/>
              <w:left w:val="nil"/>
              <w:bottom w:val="single" w:sz="4" w:space="0" w:color="auto"/>
              <w:right w:val="single" w:sz="4" w:space="0" w:color="auto"/>
            </w:tcBorders>
            <w:shd w:val="clear" w:color="auto" w:fill="auto"/>
            <w:noWrap/>
          </w:tcPr>
          <w:p w14:paraId="2C0F550D" w14:textId="77777777" w:rsidR="00C009A9" w:rsidRPr="00B056E4" w:rsidRDefault="00C009A9" w:rsidP="00C0770E">
            <w:pPr>
              <w:jc w:val="right"/>
              <w:rPr>
                <w:sz w:val="20"/>
                <w:szCs w:val="20"/>
                <w:lang w:val="es-ES" w:eastAsia="en-CA"/>
              </w:rPr>
            </w:pPr>
          </w:p>
        </w:tc>
      </w:tr>
      <w:tr w:rsidR="00C009A9" w:rsidRPr="00B056E4" w14:paraId="45BC82D0" w14:textId="77777777" w:rsidTr="00C0770E">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74A6D53A" w14:textId="77777777" w:rsidR="00C009A9" w:rsidRPr="00B056E4" w:rsidRDefault="00C009A9" w:rsidP="00C0770E">
            <w:pPr>
              <w:jc w:val="left"/>
              <w:rPr>
                <w:b/>
                <w:bCs/>
                <w:sz w:val="20"/>
                <w:szCs w:val="20"/>
                <w:lang w:val="es-ES"/>
              </w:rPr>
            </w:pPr>
            <w:r w:rsidRPr="00B056E4">
              <w:rPr>
                <w:b/>
                <w:bCs/>
                <w:sz w:val="20"/>
                <w:szCs w:val="20"/>
                <w:lang w:val="es-ES"/>
              </w:rPr>
              <w:t>Total parcial de las actividades estándar</w:t>
            </w:r>
          </w:p>
        </w:tc>
        <w:tc>
          <w:tcPr>
            <w:tcW w:w="1134" w:type="dxa"/>
            <w:tcBorders>
              <w:top w:val="nil"/>
              <w:left w:val="nil"/>
              <w:bottom w:val="single" w:sz="4" w:space="0" w:color="auto"/>
              <w:right w:val="single" w:sz="4" w:space="0" w:color="auto"/>
            </w:tcBorders>
            <w:shd w:val="clear" w:color="auto" w:fill="auto"/>
            <w:noWrap/>
            <w:hideMark/>
          </w:tcPr>
          <w:p w14:paraId="3F4EFDBE" w14:textId="77777777" w:rsidR="00C009A9" w:rsidRPr="00B056E4" w:rsidRDefault="00C009A9" w:rsidP="00C0770E">
            <w:pPr>
              <w:jc w:val="right"/>
              <w:rPr>
                <w:b/>
                <w:bCs/>
                <w:sz w:val="20"/>
                <w:szCs w:val="20"/>
                <w:lang w:val="es-ES"/>
              </w:rPr>
            </w:pPr>
            <w:r w:rsidRPr="00B056E4">
              <w:rPr>
                <w:b/>
                <w:bCs/>
                <w:sz w:val="20"/>
                <w:szCs w:val="20"/>
                <w:lang w:val="es-ES"/>
              </w:rPr>
              <w:t>35 826</w:t>
            </w:r>
          </w:p>
        </w:tc>
        <w:tc>
          <w:tcPr>
            <w:tcW w:w="1134" w:type="dxa"/>
            <w:tcBorders>
              <w:top w:val="nil"/>
              <w:left w:val="nil"/>
              <w:bottom w:val="single" w:sz="4" w:space="0" w:color="auto"/>
              <w:right w:val="single" w:sz="4" w:space="0" w:color="auto"/>
            </w:tcBorders>
            <w:shd w:val="clear" w:color="auto" w:fill="auto"/>
            <w:noWrap/>
            <w:hideMark/>
          </w:tcPr>
          <w:p w14:paraId="54693C9C" w14:textId="77777777" w:rsidR="00C009A9" w:rsidRPr="00B056E4" w:rsidRDefault="00C009A9" w:rsidP="00C0770E">
            <w:pPr>
              <w:jc w:val="right"/>
              <w:rPr>
                <w:b/>
                <w:bCs/>
                <w:sz w:val="20"/>
                <w:szCs w:val="20"/>
                <w:lang w:val="es-ES"/>
              </w:rPr>
            </w:pPr>
            <w:r w:rsidRPr="00B056E4">
              <w:rPr>
                <w:b/>
                <w:bCs/>
                <w:sz w:val="20"/>
                <w:szCs w:val="20"/>
                <w:lang w:val="es-ES"/>
              </w:rPr>
              <w:t>35 141</w:t>
            </w:r>
          </w:p>
        </w:tc>
        <w:tc>
          <w:tcPr>
            <w:tcW w:w="1134" w:type="dxa"/>
            <w:tcBorders>
              <w:top w:val="nil"/>
              <w:left w:val="nil"/>
              <w:bottom w:val="single" w:sz="4" w:space="0" w:color="auto"/>
              <w:right w:val="single" w:sz="4" w:space="0" w:color="auto"/>
            </w:tcBorders>
            <w:shd w:val="clear" w:color="auto" w:fill="auto"/>
            <w:noWrap/>
            <w:hideMark/>
          </w:tcPr>
          <w:p w14:paraId="64471DA9" w14:textId="77777777" w:rsidR="00C009A9" w:rsidRPr="00B056E4" w:rsidRDefault="00C009A9" w:rsidP="00C0770E">
            <w:pPr>
              <w:jc w:val="right"/>
              <w:rPr>
                <w:b/>
                <w:bCs/>
                <w:sz w:val="20"/>
                <w:szCs w:val="20"/>
                <w:lang w:val="es-ES"/>
              </w:rPr>
            </w:pPr>
            <w:r w:rsidRPr="00B056E4">
              <w:rPr>
                <w:b/>
                <w:bCs/>
                <w:sz w:val="20"/>
                <w:szCs w:val="20"/>
                <w:lang w:val="es-ES"/>
              </w:rPr>
              <w:t>37 403</w:t>
            </w:r>
          </w:p>
        </w:tc>
        <w:tc>
          <w:tcPr>
            <w:tcW w:w="1417" w:type="dxa"/>
            <w:tcBorders>
              <w:top w:val="nil"/>
              <w:left w:val="nil"/>
              <w:bottom w:val="single" w:sz="4" w:space="0" w:color="auto"/>
              <w:right w:val="single" w:sz="4" w:space="0" w:color="auto"/>
            </w:tcBorders>
            <w:shd w:val="clear" w:color="auto" w:fill="auto"/>
            <w:noWrap/>
            <w:hideMark/>
          </w:tcPr>
          <w:p w14:paraId="1749D94E" w14:textId="77777777" w:rsidR="00C009A9" w:rsidRPr="00B056E4" w:rsidRDefault="00C009A9" w:rsidP="00C0770E">
            <w:pPr>
              <w:jc w:val="right"/>
              <w:rPr>
                <w:b/>
                <w:bCs/>
                <w:sz w:val="20"/>
                <w:szCs w:val="20"/>
                <w:lang w:val="es-ES"/>
              </w:rPr>
            </w:pPr>
            <w:r w:rsidRPr="00B056E4">
              <w:rPr>
                <w:b/>
                <w:bCs/>
                <w:sz w:val="20"/>
                <w:szCs w:val="20"/>
                <w:lang w:val="es-ES"/>
              </w:rPr>
              <w:t>108 370</w:t>
            </w:r>
          </w:p>
        </w:tc>
        <w:tc>
          <w:tcPr>
            <w:tcW w:w="1277" w:type="dxa"/>
            <w:tcBorders>
              <w:top w:val="nil"/>
              <w:left w:val="nil"/>
              <w:bottom w:val="single" w:sz="4" w:space="0" w:color="auto"/>
              <w:right w:val="single" w:sz="4" w:space="0" w:color="auto"/>
            </w:tcBorders>
            <w:shd w:val="clear" w:color="auto" w:fill="auto"/>
            <w:noWrap/>
            <w:hideMark/>
          </w:tcPr>
          <w:p w14:paraId="072230F3" w14:textId="77777777" w:rsidR="00C009A9" w:rsidRPr="00B056E4" w:rsidRDefault="00C009A9" w:rsidP="00C0770E">
            <w:pPr>
              <w:jc w:val="right"/>
              <w:rPr>
                <w:b/>
                <w:bCs/>
                <w:sz w:val="20"/>
                <w:szCs w:val="20"/>
                <w:lang w:val="es-ES"/>
              </w:rPr>
            </w:pPr>
            <w:r w:rsidRPr="00B056E4">
              <w:rPr>
                <w:b/>
                <w:bCs/>
                <w:sz w:val="20"/>
                <w:szCs w:val="20"/>
                <w:lang w:val="es-ES"/>
              </w:rPr>
              <w:t>0</w:t>
            </w:r>
          </w:p>
        </w:tc>
      </w:tr>
      <w:tr w:rsidR="00C009A9" w:rsidRPr="00B056E4" w14:paraId="4A155E55" w14:textId="77777777" w:rsidTr="00C0770E">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6BF349AA" w14:textId="77777777" w:rsidR="00C009A9" w:rsidRPr="00B056E4" w:rsidRDefault="00C009A9" w:rsidP="00C0770E">
            <w:pPr>
              <w:jc w:val="left"/>
              <w:rPr>
                <w:b/>
                <w:bCs/>
                <w:sz w:val="20"/>
                <w:szCs w:val="20"/>
                <w:lang w:val="es-ES"/>
              </w:rPr>
            </w:pPr>
            <w:r w:rsidRPr="00B056E4">
              <w:rPr>
                <w:b/>
                <w:bCs/>
                <w:sz w:val="20"/>
                <w:szCs w:val="20"/>
                <w:lang w:val="es-ES"/>
              </w:rPr>
              <w:t>Suma total</w:t>
            </w:r>
          </w:p>
        </w:tc>
        <w:tc>
          <w:tcPr>
            <w:tcW w:w="1134" w:type="dxa"/>
            <w:tcBorders>
              <w:top w:val="nil"/>
              <w:left w:val="nil"/>
              <w:bottom w:val="single" w:sz="4" w:space="0" w:color="auto"/>
              <w:right w:val="single" w:sz="4" w:space="0" w:color="auto"/>
            </w:tcBorders>
            <w:shd w:val="clear" w:color="auto" w:fill="auto"/>
            <w:noWrap/>
            <w:hideMark/>
          </w:tcPr>
          <w:p w14:paraId="6F5DF25F" w14:textId="77777777" w:rsidR="00C009A9" w:rsidRPr="00B056E4" w:rsidRDefault="00C009A9" w:rsidP="00C0770E">
            <w:pPr>
              <w:jc w:val="right"/>
              <w:rPr>
                <w:b/>
                <w:bCs/>
                <w:sz w:val="20"/>
                <w:szCs w:val="20"/>
                <w:lang w:val="es-ES"/>
              </w:rPr>
            </w:pPr>
            <w:r w:rsidRPr="00B056E4">
              <w:rPr>
                <w:b/>
                <w:bCs/>
                <w:sz w:val="20"/>
                <w:szCs w:val="20"/>
                <w:lang w:val="es-ES"/>
              </w:rPr>
              <w:t>225 035</w:t>
            </w:r>
          </w:p>
        </w:tc>
        <w:tc>
          <w:tcPr>
            <w:tcW w:w="1134" w:type="dxa"/>
            <w:tcBorders>
              <w:top w:val="nil"/>
              <w:left w:val="nil"/>
              <w:bottom w:val="single" w:sz="4" w:space="0" w:color="auto"/>
              <w:right w:val="single" w:sz="4" w:space="0" w:color="auto"/>
            </w:tcBorders>
            <w:shd w:val="clear" w:color="auto" w:fill="auto"/>
            <w:noWrap/>
            <w:hideMark/>
          </w:tcPr>
          <w:p w14:paraId="02280AD8" w14:textId="77777777" w:rsidR="00C009A9" w:rsidRPr="00B056E4" w:rsidRDefault="00C009A9" w:rsidP="00C0770E">
            <w:pPr>
              <w:jc w:val="right"/>
              <w:rPr>
                <w:b/>
                <w:bCs/>
                <w:sz w:val="20"/>
                <w:szCs w:val="20"/>
                <w:lang w:val="es-ES"/>
              </w:rPr>
            </w:pPr>
            <w:r w:rsidRPr="00B056E4">
              <w:rPr>
                <w:b/>
                <w:bCs/>
                <w:sz w:val="20"/>
                <w:szCs w:val="20"/>
                <w:lang w:val="es-ES"/>
              </w:rPr>
              <w:t>170 968</w:t>
            </w:r>
          </w:p>
        </w:tc>
        <w:tc>
          <w:tcPr>
            <w:tcW w:w="1134" w:type="dxa"/>
            <w:tcBorders>
              <w:top w:val="nil"/>
              <w:left w:val="nil"/>
              <w:bottom w:val="single" w:sz="4" w:space="0" w:color="auto"/>
              <w:right w:val="single" w:sz="4" w:space="0" w:color="auto"/>
            </w:tcBorders>
            <w:shd w:val="clear" w:color="auto" w:fill="auto"/>
            <w:noWrap/>
            <w:hideMark/>
          </w:tcPr>
          <w:p w14:paraId="5534BC56" w14:textId="77777777" w:rsidR="00C009A9" w:rsidRPr="00B056E4" w:rsidRDefault="00C009A9" w:rsidP="00C0770E">
            <w:pPr>
              <w:jc w:val="right"/>
              <w:rPr>
                <w:b/>
                <w:bCs/>
                <w:sz w:val="20"/>
                <w:szCs w:val="20"/>
                <w:lang w:val="es-ES"/>
              </w:rPr>
            </w:pPr>
            <w:r w:rsidRPr="00B056E4">
              <w:rPr>
                <w:b/>
                <w:bCs/>
                <w:sz w:val="20"/>
                <w:szCs w:val="20"/>
                <w:lang w:val="es-ES"/>
              </w:rPr>
              <w:t>149 143</w:t>
            </w:r>
          </w:p>
        </w:tc>
        <w:tc>
          <w:tcPr>
            <w:tcW w:w="1417" w:type="dxa"/>
            <w:tcBorders>
              <w:top w:val="nil"/>
              <w:left w:val="nil"/>
              <w:bottom w:val="single" w:sz="4" w:space="0" w:color="auto"/>
              <w:right w:val="single" w:sz="4" w:space="0" w:color="auto"/>
            </w:tcBorders>
            <w:shd w:val="clear" w:color="auto" w:fill="auto"/>
            <w:noWrap/>
            <w:hideMark/>
          </w:tcPr>
          <w:p w14:paraId="632A0E1A" w14:textId="77777777" w:rsidR="00C009A9" w:rsidRPr="00B056E4" w:rsidRDefault="00C009A9" w:rsidP="00C0770E">
            <w:pPr>
              <w:jc w:val="right"/>
              <w:rPr>
                <w:b/>
                <w:bCs/>
                <w:sz w:val="20"/>
                <w:szCs w:val="20"/>
                <w:lang w:val="es-ES"/>
              </w:rPr>
            </w:pPr>
            <w:r w:rsidRPr="00B056E4">
              <w:rPr>
                <w:b/>
                <w:bCs/>
                <w:sz w:val="20"/>
                <w:szCs w:val="20"/>
                <w:lang w:val="es-ES"/>
              </w:rPr>
              <w:t>545 145</w:t>
            </w:r>
          </w:p>
        </w:tc>
        <w:tc>
          <w:tcPr>
            <w:tcW w:w="1277" w:type="dxa"/>
            <w:tcBorders>
              <w:top w:val="nil"/>
              <w:left w:val="nil"/>
              <w:bottom w:val="single" w:sz="4" w:space="0" w:color="auto"/>
              <w:right w:val="single" w:sz="4" w:space="0" w:color="auto"/>
            </w:tcBorders>
            <w:shd w:val="clear" w:color="auto" w:fill="auto"/>
            <w:noWrap/>
            <w:hideMark/>
          </w:tcPr>
          <w:p w14:paraId="5F6BEAA3" w14:textId="77777777" w:rsidR="00C009A9" w:rsidRPr="00B056E4" w:rsidRDefault="00C009A9" w:rsidP="00C0770E">
            <w:pPr>
              <w:jc w:val="right"/>
              <w:rPr>
                <w:b/>
                <w:bCs/>
                <w:sz w:val="20"/>
                <w:szCs w:val="20"/>
                <w:lang w:val="es-ES"/>
              </w:rPr>
            </w:pPr>
            <w:r w:rsidRPr="00B056E4">
              <w:rPr>
                <w:b/>
                <w:bCs/>
                <w:sz w:val="20"/>
                <w:szCs w:val="20"/>
                <w:lang w:val="es-ES"/>
              </w:rPr>
              <w:t>419 275</w:t>
            </w:r>
          </w:p>
        </w:tc>
      </w:tr>
      <w:tr w:rsidR="00C009A9" w:rsidRPr="00B056E4" w14:paraId="77E79D79" w14:textId="77777777" w:rsidTr="00C0770E">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30D0CB08" w14:textId="77777777" w:rsidR="00C009A9" w:rsidRPr="00B056E4" w:rsidRDefault="00C009A9" w:rsidP="00C0770E">
            <w:pPr>
              <w:jc w:val="left"/>
              <w:rPr>
                <w:sz w:val="20"/>
                <w:szCs w:val="20"/>
                <w:lang w:val="es-ES"/>
              </w:rPr>
            </w:pPr>
            <w:r w:rsidRPr="00B056E4">
              <w:rPr>
                <w:sz w:val="20"/>
                <w:szCs w:val="20"/>
                <w:lang w:val="es-ES"/>
              </w:rPr>
              <w:t>Presupuesto indicativo</w:t>
            </w:r>
          </w:p>
        </w:tc>
        <w:tc>
          <w:tcPr>
            <w:tcW w:w="1134" w:type="dxa"/>
            <w:tcBorders>
              <w:top w:val="nil"/>
              <w:left w:val="nil"/>
              <w:bottom w:val="single" w:sz="4" w:space="0" w:color="auto"/>
              <w:right w:val="single" w:sz="4" w:space="0" w:color="auto"/>
            </w:tcBorders>
            <w:shd w:val="clear" w:color="auto" w:fill="auto"/>
            <w:noWrap/>
            <w:hideMark/>
          </w:tcPr>
          <w:p w14:paraId="5509B7D0" w14:textId="77777777" w:rsidR="00C009A9" w:rsidRPr="00B056E4" w:rsidRDefault="00C009A9" w:rsidP="00C0770E">
            <w:pPr>
              <w:jc w:val="right"/>
              <w:rPr>
                <w:sz w:val="20"/>
                <w:szCs w:val="20"/>
                <w:lang w:val="es-ES"/>
              </w:rPr>
            </w:pPr>
            <w:r w:rsidRPr="00B056E4">
              <w:rPr>
                <w:sz w:val="20"/>
                <w:szCs w:val="20"/>
                <w:lang w:val="es-ES"/>
              </w:rPr>
              <w:t>171 000</w:t>
            </w:r>
          </w:p>
        </w:tc>
        <w:tc>
          <w:tcPr>
            <w:tcW w:w="1134" w:type="dxa"/>
            <w:tcBorders>
              <w:top w:val="nil"/>
              <w:left w:val="nil"/>
              <w:bottom w:val="single" w:sz="4" w:space="0" w:color="auto"/>
              <w:right w:val="single" w:sz="4" w:space="0" w:color="auto"/>
            </w:tcBorders>
            <w:shd w:val="clear" w:color="auto" w:fill="auto"/>
            <w:noWrap/>
            <w:hideMark/>
          </w:tcPr>
          <w:p w14:paraId="70DD9275" w14:textId="77777777" w:rsidR="00C009A9" w:rsidRPr="00B056E4" w:rsidRDefault="00C009A9" w:rsidP="00C0770E">
            <w:pPr>
              <w:jc w:val="right"/>
              <w:rPr>
                <w:sz w:val="20"/>
                <w:szCs w:val="20"/>
                <w:lang w:val="es-ES"/>
              </w:rPr>
            </w:pPr>
            <w:r w:rsidRPr="00B056E4">
              <w:rPr>
                <w:sz w:val="20"/>
                <w:szCs w:val="20"/>
                <w:lang w:val="es-ES"/>
              </w:rPr>
              <w:t>180 000**</w:t>
            </w:r>
          </w:p>
        </w:tc>
        <w:tc>
          <w:tcPr>
            <w:tcW w:w="1134" w:type="dxa"/>
            <w:tcBorders>
              <w:top w:val="nil"/>
              <w:left w:val="nil"/>
              <w:bottom w:val="single" w:sz="4" w:space="0" w:color="auto"/>
              <w:right w:val="single" w:sz="4" w:space="0" w:color="auto"/>
            </w:tcBorders>
            <w:shd w:val="clear" w:color="auto" w:fill="auto"/>
            <w:noWrap/>
            <w:hideMark/>
          </w:tcPr>
          <w:p w14:paraId="7F4881EB" w14:textId="77777777" w:rsidR="00C009A9" w:rsidRPr="00B056E4" w:rsidRDefault="00C009A9" w:rsidP="00C0770E">
            <w:pPr>
              <w:jc w:val="right"/>
              <w:rPr>
                <w:sz w:val="20"/>
                <w:szCs w:val="20"/>
                <w:lang w:val="es-ES"/>
              </w:rPr>
            </w:pPr>
            <w:r w:rsidRPr="00B056E4">
              <w:rPr>
                <w:sz w:val="20"/>
                <w:szCs w:val="20"/>
                <w:lang w:val="es-ES"/>
              </w:rPr>
              <w:t>180 000**</w:t>
            </w:r>
          </w:p>
        </w:tc>
        <w:tc>
          <w:tcPr>
            <w:tcW w:w="1417" w:type="dxa"/>
            <w:tcBorders>
              <w:top w:val="nil"/>
              <w:left w:val="nil"/>
              <w:bottom w:val="single" w:sz="4" w:space="0" w:color="auto"/>
              <w:right w:val="single" w:sz="4" w:space="0" w:color="auto"/>
            </w:tcBorders>
            <w:shd w:val="clear" w:color="auto" w:fill="auto"/>
            <w:noWrap/>
            <w:hideMark/>
          </w:tcPr>
          <w:p w14:paraId="1BAD1879" w14:textId="77777777" w:rsidR="00C009A9" w:rsidRPr="00B056E4" w:rsidRDefault="00C009A9" w:rsidP="00C0770E">
            <w:pPr>
              <w:jc w:val="right"/>
              <w:rPr>
                <w:sz w:val="20"/>
                <w:szCs w:val="20"/>
                <w:lang w:val="es-ES"/>
              </w:rPr>
            </w:pPr>
            <w:r w:rsidRPr="00B056E4">
              <w:rPr>
                <w:sz w:val="20"/>
                <w:szCs w:val="20"/>
                <w:lang w:val="es-ES"/>
              </w:rPr>
              <w:t>531 000</w:t>
            </w:r>
          </w:p>
        </w:tc>
        <w:tc>
          <w:tcPr>
            <w:tcW w:w="1277" w:type="dxa"/>
            <w:tcBorders>
              <w:top w:val="nil"/>
              <w:left w:val="nil"/>
              <w:bottom w:val="single" w:sz="4" w:space="0" w:color="auto"/>
              <w:right w:val="single" w:sz="4" w:space="0" w:color="auto"/>
            </w:tcBorders>
            <w:shd w:val="clear" w:color="auto" w:fill="auto"/>
            <w:noWrap/>
            <w:hideMark/>
          </w:tcPr>
          <w:p w14:paraId="5A90966C" w14:textId="77777777" w:rsidR="00C009A9" w:rsidRPr="00B056E4" w:rsidRDefault="00C009A9" w:rsidP="00C0770E">
            <w:pPr>
              <w:jc w:val="left"/>
              <w:rPr>
                <w:sz w:val="20"/>
                <w:szCs w:val="20"/>
                <w:lang w:val="es-ES"/>
              </w:rPr>
            </w:pPr>
            <w:r w:rsidRPr="00B056E4">
              <w:rPr>
                <w:sz w:val="20"/>
                <w:szCs w:val="20"/>
                <w:lang w:val="es-ES"/>
              </w:rPr>
              <w:t> </w:t>
            </w:r>
          </w:p>
        </w:tc>
      </w:tr>
      <w:tr w:rsidR="00C009A9" w:rsidRPr="00B056E4" w14:paraId="2AD259E1" w14:textId="77777777" w:rsidTr="00C0770E">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0B912EE9" w14:textId="77777777" w:rsidR="00C009A9" w:rsidRPr="00B056E4" w:rsidRDefault="00C009A9" w:rsidP="00C0770E">
            <w:pPr>
              <w:jc w:val="left"/>
              <w:rPr>
                <w:sz w:val="20"/>
                <w:szCs w:val="20"/>
                <w:lang w:val="es-ES"/>
              </w:rPr>
            </w:pPr>
            <w:r w:rsidRPr="00B056E4">
              <w:rPr>
                <w:sz w:val="20"/>
                <w:szCs w:val="20"/>
                <w:lang w:val="es-ES"/>
              </w:rPr>
              <w:t>Diferencia</w:t>
            </w:r>
          </w:p>
        </w:tc>
        <w:tc>
          <w:tcPr>
            <w:tcW w:w="1134" w:type="dxa"/>
            <w:tcBorders>
              <w:top w:val="nil"/>
              <w:left w:val="nil"/>
              <w:bottom w:val="single" w:sz="4" w:space="0" w:color="auto"/>
              <w:right w:val="single" w:sz="4" w:space="0" w:color="auto"/>
            </w:tcBorders>
            <w:shd w:val="clear" w:color="auto" w:fill="auto"/>
            <w:noWrap/>
            <w:hideMark/>
          </w:tcPr>
          <w:p w14:paraId="5BC14F2C" w14:textId="77777777" w:rsidR="00C009A9" w:rsidRPr="00B056E4" w:rsidRDefault="00C009A9" w:rsidP="00C0770E">
            <w:pPr>
              <w:jc w:val="right"/>
              <w:rPr>
                <w:sz w:val="20"/>
                <w:szCs w:val="20"/>
                <w:lang w:val="es-ES"/>
              </w:rPr>
            </w:pPr>
            <w:r w:rsidRPr="00B056E4">
              <w:rPr>
                <w:sz w:val="20"/>
                <w:szCs w:val="20"/>
                <w:lang w:val="es-ES"/>
              </w:rPr>
              <w:t>54 035</w:t>
            </w:r>
          </w:p>
        </w:tc>
        <w:tc>
          <w:tcPr>
            <w:tcW w:w="1134" w:type="dxa"/>
            <w:tcBorders>
              <w:top w:val="nil"/>
              <w:left w:val="nil"/>
              <w:bottom w:val="single" w:sz="4" w:space="0" w:color="auto"/>
              <w:right w:val="single" w:sz="4" w:space="0" w:color="auto"/>
            </w:tcBorders>
            <w:shd w:val="clear" w:color="auto" w:fill="auto"/>
            <w:noWrap/>
            <w:hideMark/>
          </w:tcPr>
          <w:p w14:paraId="22074379" w14:textId="77777777" w:rsidR="00C009A9" w:rsidRPr="00B056E4" w:rsidRDefault="00C009A9" w:rsidP="00C0770E">
            <w:pPr>
              <w:jc w:val="right"/>
              <w:rPr>
                <w:sz w:val="20"/>
                <w:szCs w:val="20"/>
                <w:lang w:val="es-ES"/>
              </w:rPr>
            </w:pPr>
            <w:r w:rsidRPr="00B056E4">
              <w:rPr>
                <w:sz w:val="20"/>
                <w:szCs w:val="20"/>
                <w:lang w:val="es-ES"/>
              </w:rPr>
              <w:t>-9 032</w:t>
            </w:r>
          </w:p>
        </w:tc>
        <w:tc>
          <w:tcPr>
            <w:tcW w:w="1134" w:type="dxa"/>
            <w:tcBorders>
              <w:top w:val="nil"/>
              <w:left w:val="nil"/>
              <w:bottom w:val="single" w:sz="4" w:space="0" w:color="auto"/>
              <w:right w:val="single" w:sz="4" w:space="0" w:color="auto"/>
            </w:tcBorders>
            <w:shd w:val="clear" w:color="auto" w:fill="auto"/>
            <w:noWrap/>
            <w:hideMark/>
          </w:tcPr>
          <w:p w14:paraId="0BB42F6F" w14:textId="77777777" w:rsidR="00C009A9" w:rsidRPr="00B056E4" w:rsidRDefault="00C009A9" w:rsidP="00C0770E">
            <w:pPr>
              <w:jc w:val="right"/>
              <w:rPr>
                <w:sz w:val="20"/>
                <w:szCs w:val="20"/>
                <w:lang w:val="es-ES"/>
              </w:rPr>
            </w:pPr>
            <w:r w:rsidRPr="00B056E4">
              <w:rPr>
                <w:sz w:val="20"/>
                <w:szCs w:val="20"/>
                <w:lang w:val="es-ES"/>
              </w:rPr>
              <w:t>-30 857</w:t>
            </w:r>
          </w:p>
        </w:tc>
        <w:tc>
          <w:tcPr>
            <w:tcW w:w="1417" w:type="dxa"/>
            <w:tcBorders>
              <w:top w:val="nil"/>
              <w:left w:val="nil"/>
              <w:bottom w:val="single" w:sz="4" w:space="0" w:color="auto"/>
              <w:right w:val="single" w:sz="4" w:space="0" w:color="auto"/>
            </w:tcBorders>
            <w:shd w:val="clear" w:color="auto" w:fill="auto"/>
            <w:noWrap/>
            <w:hideMark/>
          </w:tcPr>
          <w:p w14:paraId="1A8C6AD3" w14:textId="77777777" w:rsidR="00C009A9" w:rsidRPr="00B056E4" w:rsidRDefault="00C009A9" w:rsidP="00C0770E">
            <w:pPr>
              <w:jc w:val="right"/>
              <w:rPr>
                <w:sz w:val="20"/>
                <w:szCs w:val="20"/>
                <w:lang w:val="es-ES"/>
              </w:rPr>
            </w:pPr>
            <w:r w:rsidRPr="00B056E4">
              <w:rPr>
                <w:sz w:val="20"/>
                <w:szCs w:val="20"/>
                <w:lang w:val="es-ES"/>
              </w:rPr>
              <w:t>14 145</w:t>
            </w:r>
          </w:p>
        </w:tc>
        <w:tc>
          <w:tcPr>
            <w:tcW w:w="1277" w:type="dxa"/>
            <w:tcBorders>
              <w:top w:val="nil"/>
              <w:left w:val="nil"/>
              <w:bottom w:val="single" w:sz="4" w:space="0" w:color="auto"/>
              <w:right w:val="single" w:sz="4" w:space="0" w:color="auto"/>
            </w:tcBorders>
            <w:shd w:val="clear" w:color="auto" w:fill="auto"/>
            <w:noWrap/>
            <w:hideMark/>
          </w:tcPr>
          <w:p w14:paraId="17EAEEA8" w14:textId="77777777" w:rsidR="00C009A9" w:rsidRPr="00B056E4" w:rsidRDefault="00C009A9" w:rsidP="00C0770E">
            <w:pPr>
              <w:jc w:val="left"/>
              <w:rPr>
                <w:sz w:val="20"/>
                <w:szCs w:val="20"/>
                <w:lang w:val="es-ES"/>
              </w:rPr>
            </w:pPr>
            <w:r w:rsidRPr="00B056E4">
              <w:rPr>
                <w:sz w:val="20"/>
                <w:szCs w:val="20"/>
                <w:lang w:val="es-ES"/>
              </w:rPr>
              <w:t> </w:t>
            </w:r>
          </w:p>
        </w:tc>
      </w:tr>
      <w:tr w:rsidR="00C009A9" w:rsidRPr="00B056E4" w14:paraId="0AA4C99E" w14:textId="77777777" w:rsidTr="00C0770E">
        <w:trPr>
          <w:trHeight w:val="264"/>
        </w:trPr>
        <w:tc>
          <w:tcPr>
            <w:tcW w:w="3402" w:type="dxa"/>
            <w:tcBorders>
              <w:top w:val="single" w:sz="4" w:space="0" w:color="auto"/>
              <w:left w:val="single" w:sz="4" w:space="0" w:color="auto"/>
              <w:bottom w:val="single" w:sz="4" w:space="0" w:color="auto"/>
              <w:right w:val="nil"/>
            </w:tcBorders>
            <w:shd w:val="clear" w:color="auto" w:fill="auto"/>
            <w:noWrap/>
            <w:hideMark/>
          </w:tcPr>
          <w:p w14:paraId="62CEE514" w14:textId="77777777" w:rsidR="00C009A9" w:rsidRPr="00B056E4" w:rsidRDefault="00C009A9" w:rsidP="00C0770E">
            <w:pPr>
              <w:jc w:val="left"/>
              <w:rPr>
                <w:b/>
                <w:bCs/>
                <w:sz w:val="20"/>
                <w:szCs w:val="20"/>
                <w:lang w:val="es-ES"/>
              </w:rPr>
            </w:pPr>
            <w:r w:rsidRPr="00B056E4">
              <w:rPr>
                <w:b/>
                <w:bCs/>
                <w:sz w:val="20"/>
                <w:szCs w:val="20"/>
                <w:lang w:val="es-ES"/>
              </w:rPr>
              <w:t>Por organismos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6371006" w14:textId="77777777" w:rsidR="00C009A9" w:rsidRPr="00B056E4" w:rsidRDefault="00C009A9" w:rsidP="00C0770E">
            <w:pPr>
              <w:jc w:val="right"/>
              <w:rPr>
                <w:sz w:val="20"/>
                <w:szCs w:val="20"/>
                <w:lang w:val="es-ES"/>
              </w:rPr>
            </w:pPr>
            <w:r w:rsidRPr="00B056E4">
              <w:rPr>
                <w:sz w:val="20"/>
                <w:szCs w:val="20"/>
                <w:lang w:val="es-ES"/>
              </w:rPr>
              <w:t> </w:t>
            </w:r>
          </w:p>
        </w:tc>
        <w:tc>
          <w:tcPr>
            <w:tcW w:w="1134" w:type="dxa"/>
            <w:tcBorders>
              <w:top w:val="single" w:sz="4" w:space="0" w:color="auto"/>
              <w:left w:val="nil"/>
              <w:bottom w:val="single" w:sz="4" w:space="0" w:color="auto"/>
              <w:right w:val="single" w:sz="4" w:space="0" w:color="auto"/>
            </w:tcBorders>
            <w:shd w:val="clear" w:color="auto" w:fill="auto"/>
            <w:noWrap/>
            <w:hideMark/>
          </w:tcPr>
          <w:p w14:paraId="796E9543" w14:textId="77777777" w:rsidR="00C009A9" w:rsidRPr="00B056E4" w:rsidRDefault="00C009A9" w:rsidP="00C0770E">
            <w:pPr>
              <w:jc w:val="right"/>
              <w:rPr>
                <w:sz w:val="20"/>
                <w:szCs w:val="20"/>
                <w:lang w:val="es-ES"/>
              </w:rPr>
            </w:pPr>
            <w:r w:rsidRPr="00B056E4">
              <w:rPr>
                <w:sz w:val="20"/>
                <w:szCs w:val="20"/>
                <w:lang w:val="es-ES"/>
              </w:rPr>
              <w:t> </w:t>
            </w:r>
          </w:p>
        </w:tc>
        <w:tc>
          <w:tcPr>
            <w:tcW w:w="1134" w:type="dxa"/>
            <w:tcBorders>
              <w:top w:val="single" w:sz="4" w:space="0" w:color="auto"/>
              <w:left w:val="nil"/>
              <w:bottom w:val="single" w:sz="4" w:space="0" w:color="auto"/>
              <w:right w:val="single" w:sz="4" w:space="0" w:color="auto"/>
            </w:tcBorders>
            <w:shd w:val="clear" w:color="auto" w:fill="auto"/>
            <w:noWrap/>
            <w:hideMark/>
          </w:tcPr>
          <w:p w14:paraId="22611870" w14:textId="77777777" w:rsidR="00C009A9" w:rsidRPr="00B056E4" w:rsidRDefault="00C009A9" w:rsidP="00C0770E">
            <w:pPr>
              <w:jc w:val="right"/>
              <w:rPr>
                <w:sz w:val="20"/>
                <w:szCs w:val="20"/>
                <w:lang w:val="es-ES"/>
              </w:rPr>
            </w:pPr>
            <w:r w:rsidRPr="00B056E4">
              <w:rPr>
                <w:sz w:val="20"/>
                <w:szCs w:val="20"/>
                <w:lang w:val="es-ES"/>
              </w:rPr>
              <w:t> </w:t>
            </w:r>
          </w:p>
        </w:tc>
        <w:tc>
          <w:tcPr>
            <w:tcW w:w="1417" w:type="dxa"/>
            <w:tcBorders>
              <w:top w:val="single" w:sz="4" w:space="0" w:color="auto"/>
              <w:left w:val="nil"/>
              <w:bottom w:val="single" w:sz="4" w:space="0" w:color="auto"/>
              <w:right w:val="single" w:sz="4" w:space="0" w:color="auto"/>
            </w:tcBorders>
            <w:shd w:val="clear" w:color="auto" w:fill="auto"/>
            <w:noWrap/>
            <w:hideMark/>
          </w:tcPr>
          <w:p w14:paraId="01F34626" w14:textId="77777777" w:rsidR="00C009A9" w:rsidRPr="00B056E4" w:rsidRDefault="00C009A9" w:rsidP="00C0770E">
            <w:pPr>
              <w:jc w:val="right"/>
              <w:rPr>
                <w:sz w:val="20"/>
                <w:szCs w:val="20"/>
                <w:lang w:val="es-ES"/>
              </w:rPr>
            </w:pPr>
            <w:r w:rsidRPr="00B056E4">
              <w:rPr>
                <w:sz w:val="20"/>
                <w:szCs w:val="20"/>
                <w:lang w:val="es-ES"/>
              </w:rPr>
              <w:t> </w:t>
            </w:r>
          </w:p>
        </w:tc>
        <w:tc>
          <w:tcPr>
            <w:tcW w:w="1277" w:type="dxa"/>
            <w:tcBorders>
              <w:top w:val="single" w:sz="4" w:space="0" w:color="auto"/>
              <w:left w:val="nil"/>
              <w:bottom w:val="single" w:sz="4" w:space="0" w:color="auto"/>
              <w:right w:val="single" w:sz="4" w:space="0" w:color="auto"/>
            </w:tcBorders>
            <w:shd w:val="clear" w:color="auto" w:fill="auto"/>
            <w:noWrap/>
            <w:hideMark/>
          </w:tcPr>
          <w:p w14:paraId="6CD6E1E4" w14:textId="77777777" w:rsidR="00C009A9" w:rsidRPr="00B056E4" w:rsidRDefault="00C009A9" w:rsidP="00C0770E">
            <w:pPr>
              <w:jc w:val="left"/>
              <w:rPr>
                <w:sz w:val="20"/>
                <w:szCs w:val="20"/>
                <w:lang w:val="es-ES"/>
              </w:rPr>
            </w:pPr>
            <w:r w:rsidRPr="00B056E4">
              <w:rPr>
                <w:sz w:val="20"/>
                <w:szCs w:val="20"/>
                <w:lang w:val="es-ES"/>
              </w:rPr>
              <w:t> </w:t>
            </w:r>
          </w:p>
        </w:tc>
      </w:tr>
      <w:tr w:rsidR="00C009A9" w:rsidRPr="00B056E4" w14:paraId="08CC05BD" w14:textId="77777777" w:rsidTr="00C0770E">
        <w:trPr>
          <w:trHeight w:val="264"/>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6ED75816" w14:textId="77777777" w:rsidR="00C009A9" w:rsidRPr="00B056E4" w:rsidRDefault="00C009A9" w:rsidP="00C0770E">
            <w:pPr>
              <w:jc w:val="left"/>
              <w:rPr>
                <w:sz w:val="20"/>
                <w:szCs w:val="20"/>
                <w:lang w:val="es-ES"/>
              </w:rPr>
            </w:pPr>
            <w:r w:rsidRPr="00B056E4">
              <w:rPr>
                <w:sz w:val="20"/>
                <w:szCs w:val="20"/>
                <w:lang w:val="es-ES"/>
              </w:rPr>
              <w:t>Australia</w:t>
            </w:r>
          </w:p>
        </w:tc>
        <w:tc>
          <w:tcPr>
            <w:tcW w:w="1134" w:type="dxa"/>
            <w:tcBorders>
              <w:top w:val="single" w:sz="4" w:space="0" w:color="auto"/>
              <w:left w:val="nil"/>
              <w:bottom w:val="single" w:sz="4" w:space="0" w:color="auto"/>
              <w:right w:val="single" w:sz="4" w:space="0" w:color="auto"/>
            </w:tcBorders>
            <w:shd w:val="clear" w:color="auto" w:fill="auto"/>
            <w:noWrap/>
            <w:hideMark/>
          </w:tcPr>
          <w:p w14:paraId="565B2BD7" w14:textId="77777777" w:rsidR="00C009A9" w:rsidRPr="00B056E4" w:rsidRDefault="00C009A9" w:rsidP="00C0770E">
            <w:pPr>
              <w:jc w:val="right"/>
              <w:rPr>
                <w:sz w:val="20"/>
                <w:szCs w:val="20"/>
                <w:lang w:val="es-ES"/>
              </w:rPr>
            </w:pPr>
            <w:r w:rsidRPr="00B056E4">
              <w:rPr>
                <w:sz w:val="20"/>
                <w:szCs w:val="20"/>
                <w:lang w:val="es-ES"/>
              </w:rPr>
              <w:t>283</w:t>
            </w:r>
          </w:p>
        </w:tc>
        <w:tc>
          <w:tcPr>
            <w:tcW w:w="1134" w:type="dxa"/>
            <w:tcBorders>
              <w:top w:val="single" w:sz="4" w:space="0" w:color="auto"/>
              <w:left w:val="nil"/>
              <w:bottom w:val="single" w:sz="4" w:space="0" w:color="auto"/>
              <w:right w:val="single" w:sz="4" w:space="0" w:color="auto"/>
            </w:tcBorders>
            <w:shd w:val="clear" w:color="auto" w:fill="auto"/>
            <w:noWrap/>
            <w:hideMark/>
          </w:tcPr>
          <w:p w14:paraId="02ADCE05" w14:textId="77777777" w:rsidR="00C009A9" w:rsidRPr="00B056E4" w:rsidRDefault="00C009A9" w:rsidP="00C0770E">
            <w:pPr>
              <w:jc w:val="right"/>
              <w:rPr>
                <w:sz w:val="20"/>
                <w:szCs w:val="20"/>
                <w:lang w:val="es-ES"/>
              </w:rPr>
            </w:pPr>
            <w:r w:rsidRPr="00B056E4">
              <w:rPr>
                <w:sz w:val="20"/>
                <w:szCs w:val="20"/>
                <w:lang w:val="es-ES"/>
              </w:rPr>
              <w:t>0</w:t>
            </w:r>
          </w:p>
        </w:tc>
        <w:tc>
          <w:tcPr>
            <w:tcW w:w="1134" w:type="dxa"/>
            <w:tcBorders>
              <w:top w:val="single" w:sz="4" w:space="0" w:color="auto"/>
              <w:left w:val="nil"/>
              <w:bottom w:val="single" w:sz="4" w:space="0" w:color="auto"/>
              <w:right w:val="single" w:sz="4" w:space="0" w:color="auto"/>
            </w:tcBorders>
            <w:shd w:val="clear" w:color="auto" w:fill="auto"/>
            <w:noWrap/>
            <w:hideMark/>
          </w:tcPr>
          <w:p w14:paraId="60C55368" w14:textId="77777777" w:rsidR="00C009A9" w:rsidRPr="00B056E4" w:rsidRDefault="00C009A9" w:rsidP="00C0770E">
            <w:pPr>
              <w:jc w:val="right"/>
              <w:rPr>
                <w:sz w:val="20"/>
                <w:szCs w:val="20"/>
                <w:lang w:val="es-ES"/>
              </w:rPr>
            </w:pPr>
            <w:r w:rsidRPr="00B056E4">
              <w:rPr>
                <w:sz w:val="20"/>
                <w:szCs w:val="20"/>
                <w:lang w:val="es-ES"/>
              </w:rPr>
              <w:t>0</w:t>
            </w:r>
          </w:p>
        </w:tc>
        <w:tc>
          <w:tcPr>
            <w:tcW w:w="1417" w:type="dxa"/>
            <w:tcBorders>
              <w:top w:val="single" w:sz="4" w:space="0" w:color="auto"/>
              <w:left w:val="nil"/>
              <w:bottom w:val="single" w:sz="4" w:space="0" w:color="auto"/>
              <w:right w:val="single" w:sz="4" w:space="0" w:color="auto"/>
            </w:tcBorders>
            <w:shd w:val="clear" w:color="auto" w:fill="auto"/>
            <w:noWrap/>
            <w:hideMark/>
          </w:tcPr>
          <w:p w14:paraId="0D1DA277" w14:textId="77777777" w:rsidR="00C009A9" w:rsidRPr="00B056E4" w:rsidRDefault="00C009A9" w:rsidP="00C0770E">
            <w:pPr>
              <w:jc w:val="right"/>
              <w:rPr>
                <w:sz w:val="20"/>
                <w:szCs w:val="20"/>
                <w:lang w:val="es-ES"/>
              </w:rPr>
            </w:pPr>
            <w:r w:rsidRPr="00B056E4">
              <w:rPr>
                <w:sz w:val="20"/>
                <w:szCs w:val="20"/>
                <w:lang w:val="es-ES"/>
              </w:rPr>
              <w:t>283</w:t>
            </w:r>
          </w:p>
        </w:tc>
        <w:tc>
          <w:tcPr>
            <w:tcW w:w="1277" w:type="dxa"/>
            <w:tcBorders>
              <w:top w:val="single" w:sz="4" w:space="0" w:color="auto"/>
              <w:left w:val="nil"/>
              <w:bottom w:val="single" w:sz="4" w:space="0" w:color="auto"/>
              <w:right w:val="single" w:sz="4" w:space="0" w:color="auto"/>
            </w:tcBorders>
            <w:shd w:val="clear" w:color="auto" w:fill="auto"/>
            <w:noWrap/>
            <w:hideMark/>
          </w:tcPr>
          <w:p w14:paraId="44EE6601" w14:textId="77777777" w:rsidR="00C009A9" w:rsidRPr="00B056E4" w:rsidRDefault="00C009A9" w:rsidP="00C0770E">
            <w:pPr>
              <w:jc w:val="right"/>
              <w:rPr>
                <w:sz w:val="20"/>
                <w:szCs w:val="20"/>
                <w:lang w:val="es-ES"/>
              </w:rPr>
            </w:pPr>
            <w:r w:rsidRPr="00B056E4">
              <w:rPr>
                <w:sz w:val="20"/>
                <w:szCs w:val="20"/>
                <w:lang w:val="es-ES"/>
              </w:rPr>
              <w:t>283</w:t>
            </w:r>
          </w:p>
        </w:tc>
      </w:tr>
      <w:tr w:rsidR="00C009A9" w:rsidRPr="00B056E4" w14:paraId="57240F5C" w14:textId="77777777" w:rsidTr="00C0770E">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1604E12E" w14:textId="77777777" w:rsidR="00C009A9" w:rsidRPr="00B056E4" w:rsidRDefault="00C009A9" w:rsidP="00C0770E">
            <w:pPr>
              <w:jc w:val="left"/>
              <w:rPr>
                <w:sz w:val="20"/>
                <w:szCs w:val="20"/>
                <w:lang w:val="es-ES"/>
              </w:rPr>
            </w:pPr>
            <w:r w:rsidRPr="00B056E4">
              <w:rPr>
                <w:sz w:val="20"/>
                <w:szCs w:val="20"/>
                <w:lang w:val="es-ES"/>
              </w:rPr>
              <w:t>Francia</w:t>
            </w:r>
          </w:p>
        </w:tc>
        <w:tc>
          <w:tcPr>
            <w:tcW w:w="1134" w:type="dxa"/>
            <w:tcBorders>
              <w:top w:val="nil"/>
              <w:left w:val="nil"/>
              <w:bottom w:val="single" w:sz="4" w:space="0" w:color="auto"/>
              <w:right w:val="single" w:sz="4" w:space="0" w:color="auto"/>
            </w:tcBorders>
            <w:shd w:val="clear" w:color="auto" w:fill="auto"/>
            <w:noWrap/>
            <w:hideMark/>
          </w:tcPr>
          <w:p w14:paraId="543F5A0E" w14:textId="77777777" w:rsidR="00C009A9" w:rsidRPr="00B056E4" w:rsidRDefault="00C009A9" w:rsidP="00C0770E">
            <w:pPr>
              <w:jc w:val="right"/>
              <w:rPr>
                <w:sz w:val="20"/>
                <w:szCs w:val="20"/>
                <w:lang w:val="es-ES"/>
              </w:rPr>
            </w:pPr>
            <w:r w:rsidRPr="00B056E4">
              <w:rPr>
                <w:sz w:val="20"/>
                <w:szCs w:val="20"/>
                <w:lang w:val="es-ES"/>
              </w:rPr>
              <w:t>693</w:t>
            </w:r>
          </w:p>
        </w:tc>
        <w:tc>
          <w:tcPr>
            <w:tcW w:w="1134" w:type="dxa"/>
            <w:tcBorders>
              <w:top w:val="nil"/>
              <w:left w:val="nil"/>
              <w:bottom w:val="single" w:sz="4" w:space="0" w:color="auto"/>
              <w:right w:val="single" w:sz="4" w:space="0" w:color="auto"/>
            </w:tcBorders>
            <w:shd w:val="clear" w:color="auto" w:fill="auto"/>
            <w:noWrap/>
            <w:hideMark/>
          </w:tcPr>
          <w:p w14:paraId="1D6EBBB5" w14:textId="77777777" w:rsidR="00C009A9" w:rsidRPr="00B056E4" w:rsidRDefault="00C009A9" w:rsidP="00C0770E">
            <w:pPr>
              <w:jc w:val="right"/>
              <w:rPr>
                <w:sz w:val="20"/>
                <w:szCs w:val="20"/>
                <w:lang w:val="es-ES"/>
              </w:rPr>
            </w:pPr>
            <w:r w:rsidRPr="00B056E4">
              <w:rPr>
                <w:sz w:val="20"/>
                <w:szCs w:val="20"/>
                <w:lang w:val="es-ES"/>
              </w:rPr>
              <w:t>0</w:t>
            </w:r>
          </w:p>
        </w:tc>
        <w:tc>
          <w:tcPr>
            <w:tcW w:w="1134" w:type="dxa"/>
            <w:tcBorders>
              <w:top w:val="nil"/>
              <w:left w:val="nil"/>
              <w:bottom w:val="single" w:sz="4" w:space="0" w:color="auto"/>
              <w:right w:val="single" w:sz="4" w:space="0" w:color="auto"/>
            </w:tcBorders>
            <w:shd w:val="clear" w:color="auto" w:fill="auto"/>
            <w:noWrap/>
            <w:hideMark/>
          </w:tcPr>
          <w:p w14:paraId="3C23C274" w14:textId="77777777" w:rsidR="00C009A9" w:rsidRPr="00B056E4" w:rsidRDefault="00C009A9" w:rsidP="00C0770E">
            <w:pPr>
              <w:jc w:val="right"/>
              <w:rPr>
                <w:sz w:val="20"/>
                <w:szCs w:val="20"/>
                <w:lang w:val="es-ES"/>
              </w:rPr>
            </w:pPr>
            <w:r w:rsidRPr="00B056E4">
              <w:rPr>
                <w:sz w:val="20"/>
                <w:szCs w:val="20"/>
                <w:lang w:val="es-ES"/>
              </w:rPr>
              <w:t>0</w:t>
            </w:r>
          </w:p>
        </w:tc>
        <w:tc>
          <w:tcPr>
            <w:tcW w:w="1417" w:type="dxa"/>
            <w:tcBorders>
              <w:top w:val="nil"/>
              <w:left w:val="nil"/>
              <w:bottom w:val="single" w:sz="4" w:space="0" w:color="auto"/>
              <w:right w:val="single" w:sz="4" w:space="0" w:color="auto"/>
            </w:tcBorders>
            <w:shd w:val="clear" w:color="auto" w:fill="auto"/>
            <w:noWrap/>
            <w:hideMark/>
          </w:tcPr>
          <w:p w14:paraId="42E7C2B8" w14:textId="77777777" w:rsidR="00C009A9" w:rsidRPr="00B056E4" w:rsidRDefault="00C009A9" w:rsidP="00C0770E">
            <w:pPr>
              <w:jc w:val="right"/>
              <w:rPr>
                <w:sz w:val="20"/>
                <w:szCs w:val="20"/>
                <w:lang w:val="es-ES"/>
              </w:rPr>
            </w:pPr>
            <w:r w:rsidRPr="00B056E4">
              <w:rPr>
                <w:sz w:val="20"/>
                <w:szCs w:val="20"/>
                <w:lang w:val="es-ES"/>
              </w:rPr>
              <w:t>693</w:t>
            </w:r>
          </w:p>
        </w:tc>
        <w:tc>
          <w:tcPr>
            <w:tcW w:w="1277" w:type="dxa"/>
            <w:tcBorders>
              <w:top w:val="nil"/>
              <w:left w:val="nil"/>
              <w:bottom w:val="single" w:sz="4" w:space="0" w:color="auto"/>
              <w:right w:val="single" w:sz="4" w:space="0" w:color="auto"/>
            </w:tcBorders>
            <w:shd w:val="clear" w:color="auto" w:fill="auto"/>
            <w:noWrap/>
            <w:hideMark/>
          </w:tcPr>
          <w:p w14:paraId="5025D9DF" w14:textId="77777777" w:rsidR="00C009A9" w:rsidRPr="00B056E4" w:rsidRDefault="00C009A9" w:rsidP="00C0770E">
            <w:pPr>
              <w:jc w:val="right"/>
              <w:rPr>
                <w:sz w:val="20"/>
                <w:szCs w:val="20"/>
                <w:lang w:val="es-ES"/>
              </w:rPr>
            </w:pPr>
            <w:r w:rsidRPr="00B056E4">
              <w:rPr>
                <w:sz w:val="20"/>
                <w:szCs w:val="20"/>
                <w:lang w:val="es-ES"/>
              </w:rPr>
              <w:t>771</w:t>
            </w:r>
          </w:p>
        </w:tc>
      </w:tr>
      <w:tr w:rsidR="00C009A9" w:rsidRPr="00B056E4" w14:paraId="5C946AF2" w14:textId="77777777" w:rsidTr="00C0770E">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1D6E23FA" w14:textId="77777777" w:rsidR="00C009A9" w:rsidRPr="00B056E4" w:rsidRDefault="00C009A9" w:rsidP="00C0770E">
            <w:pPr>
              <w:jc w:val="left"/>
              <w:rPr>
                <w:sz w:val="20"/>
                <w:szCs w:val="20"/>
                <w:lang w:val="es-ES"/>
              </w:rPr>
            </w:pPr>
            <w:r w:rsidRPr="00B056E4">
              <w:rPr>
                <w:sz w:val="20"/>
                <w:szCs w:val="20"/>
                <w:lang w:val="es-ES"/>
              </w:rPr>
              <w:t>Alemania</w:t>
            </w:r>
          </w:p>
        </w:tc>
        <w:tc>
          <w:tcPr>
            <w:tcW w:w="1134" w:type="dxa"/>
            <w:tcBorders>
              <w:top w:val="nil"/>
              <w:left w:val="nil"/>
              <w:bottom w:val="single" w:sz="4" w:space="0" w:color="auto"/>
              <w:right w:val="single" w:sz="4" w:space="0" w:color="auto"/>
            </w:tcBorders>
            <w:shd w:val="clear" w:color="auto" w:fill="auto"/>
            <w:noWrap/>
            <w:hideMark/>
          </w:tcPr>
          <w:p w14:paraId="2566E259" w14:textId="77777777" w:rsidR="00C009A9" w:rsidRPr="00B056E4" w:rsidRDefault="00C009A9" w:rsidP="00C0770E">
            <w:pPr>
              <w:jc w:val="right"/>
              <w:rPr>
                <w:sz w:val="20"/>
                <w:szCs w:val="20"/>
                <w:lang w:val="es-ES"/>
              </w:rPr>
            </w:pPr>
            <w:r w:rsidRPr="00B056E4">
              <w:rPr>
                <w:sz w:val="20"/>
                <w:szCs w:val="20"/>
                <w:lang w:val="es-ES"/>
              </w:rPr>
              <w:t>3 562</w:t>
            </w:r>
          </w:p>
        </w:tc>
        <w:tc>
          <w:tcPr>
            <w:tcW w:w="1134" w:type="dxa"/>
            <w:tcBorders>
              <w:top w:val="nil"/>
              <w:left w:val="nil"/>
              <w:bottom w:val="single" w:sz="4" w:space="0" w:color="auto"/>
              <w:right w:val="single" w:sz="4" w:space="0" w:color="auto"/>
            </w:tcBorders>
            <w:shd w:val="clear" w:color="auto" w:fill="auto"/>
            <w:noWrap/>
            <w:hideMark/>
          </w:tcPr>
          <w:p w14:paraId="77063078" w14:textId="77777777" w:rsidR="00C009A9" w:rsidRPr="00B056E4" w:rsidRDefault="00C009A9" w:rsidP="00C0770E">
            <w:pPr>
              <w:jc w:val="right"/>
              <w:rPr>
                <w:sz w:val="20"/>
                <w:szCs w:val="20"/>
                <w:lang w:val="es-ES"/>
              </w:rPr>
            </w:pPr>
            <w:r w:rsidRPr="00B056E4">
              <w:rPr>
                <w:sz w:val="20"/>
                <w:szCs w:val="20"/>
                <w:lang w:val="es-ES"/>
              </w:rPr>
              <w:t>2 955</w:t>
            </w:r>
          </w:p>
        </w:tc>
        <w:tc>
          <w:tcPr>
            <w:tcW w:w="1134" w:type="dxa"/>
            <w:tcBorders>
              <w:top w:val="nil"/>
              <w:left w:val="nil"/>
              <w:bottom w:val="single" w:sz="4" w:space="0" w:color="auto"/>
              <w:right w:val="single" w:sz="4" w:space="0" w:color="auto"/>
            </w:tcBorders>
            <w:shd w:val="clear" w:color="auto" w:fill="auto"/>
            <w:noWrap/>
            <w:hideMark/>
          </w:tcPr>
          <w:p w14:paraId="437E5804" w14:textId="77777777" w:rsidR="00C009A9" w:rsidRPr="00B056E4" w:rsidRDefault="00C009A9" w:rsidP="00C0770E">
            <w:pPr>
              <w:jc w:val="right"/>
              <w:rPr>
                <w:sz w:val="20"/>
                <w:szCs w:val="20"/>
                <w:lang w:val="es-ES"/>
              </w:rPr>
            </w:pPr>
            <w:r w:rsidRPr="00B056E4">
              <w:rPr>
                <w:sz w:val="20"/>
                <w:szCs w:val="20"/>
                <w:lang w:val="es-ES"/>
              </w:rPr>
              <w:t>1 503</w:t>
            </w:r>
          </w:p>
        </w:tc>
        <w:tc>
          <w:tcPr>
            <w:tcW w:w="1417" w:type="dxa"/>
            <w:tcBorders>
              <w:top w:val="nil"/>
              <w:left w:val="nil"/>
              <w:bottom w:val="single" w:sz="4" w:space="0" w:color="auto"/>
              <w:right w:val="single" w:sz="4" w:space="0" w:color="auto"/>
            </w:tcBorders>
            <w:shd w:val="clear" w:color="auto" w:fill="auto"/>
            <w:noWrap/>
            <w:hideMark/>
          </w:tcPr>
          <w:p w14:paraId="610364FF" w14:textId="77777777" w:rsidR="00C009A9" w:rsidRPr="00B056E4" w:rsidRDefault="00C009A9" w:rsidP="00C0770E">
            <w:pPr>
              <w:jc w:val="right"/>
              <w:rPr>
                <w:sz w:val="20"/>
                <w:szCs w:val="20"/>
                <w:lang w:val="es-ES"/>
              </w:rPr>
            </w:pPr>
            <w:r w:rsidRPr="00B056E4">
              <w:rPr>
                <w:sz w:val="20"/>
                <w:szCs w:val="20"/>
                <w:lang w:val="es-ES"/>
              </w:rPr>
              <w:t>8 020</w:t>
            </w:r>
          </w:p>
        </w:tc>
        <w:tc>
          <w:tcPr>
            <w:tcW w:w="1277" w:type="dxa"/>
            <w:tcBorders>
              <w:top w:val="nil"/>
              <w:left w:val="nil"/>
              <w:bottom w:val="single" w:sz="4" w:space="0" w:color="auto"/>
              <w:right w:val="single" w:sz="4" w:space="0" w:color="auto"/>
            </w:tcBorders>
            <w:shd w:val="clear" w:color="auto" w:fill="auto"/>
            <w:noWrap/>
            <w:hideMark/>
          </w:tcPr>
          <w:p w14:paraId="5A4678C8" w14:textId="77777777" w:rsidR="00C009A9" w:rsidRPr="00B056E4" w:rsidRDefault="00C009A9" w:rsidP="00C0770E">
            <w:pPr>
              <w:jc w:val="right"/>
              <w:rPr>
                <w:sz w:val="20"/>
                <w:szCs w:val="20"/>
                <w:lang w:val="es-ES"/>
              </w:rPr>
            </w:pPr>
            <w:r w:rsidRPr="00B056E4">
              <w:rPr>
                <w:sz w:val="20"/>
                <w:szCs w:val="20"/>
                <w:lang w:val="es-ES"/>
              </w:rPr>
              <w:t>1 906</w:t>
            </w:r>
          </w:p>
        </w:tc>
      </w:tr>
      <w:tr w:rsidR="00C009A9" w:rsidRPr="00B056E4" w14:paraId="17D8285D" w14:textId="77777777" w:rsidTr="00C0770E">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44D79B08" w14:textId="77777777" w:rsidR="00C009A9" w:rsidRPr="00B056E4" w:rsidRDefault="00C009A9" w:rsidP="00C0770E">
            <w:pPr>
              <w:jc w:val="left"/>
              <w:rPr>
                <w:sz w:val="20"/>
                <w:szCs w:val="20"/>
                <w:lang w:val="es-ES"/>
              </w:rPr>
            </w:pPr>
            <w:r w:rsidRPr="00B056E4">
              <w:rPr>
                <w:sz w:val="20"/>
                <w:szCs w:val="20"/>
                <w:lang w:val="es-ES"/>
              </w:rPr>
              <w:t>Italia</w:t>
            </w:r>
          </w:p>
        </w:tc>
        <w:tc>
          <w:tcPr>
            <w:tcW w:w="1134" w:type="dxa"/>
            <w:tcBorders>
              <w:top w:val="nil"/>
              <w:left w:val="nil"/>
              <w:bottom w:val="single" w:sz="4" w:space="0" w:color="auto"/>
              <w:right w:val="single" w:sz="4" w:space="0" w:color="auto"/>
            </w:tcBorders>
            <w:shd w:val="clear" w:color="auto" w:fill="auto"/>
            <w:noWrap/>
            <w:hideMark/>
          </w:tcPr>
          <w:p w14:paraId="1E6368EF" w14:textId="77777777" w:rsidR="00C009A9" w:rsidRPr="00B056E4" w:rsidRDefault="00C009A9" w:rsidP="00C0770E">
            <w:pPr>
              <w:jc w:val="right"/>
              <w:rPr>
                <w:sz w:val="20"/>
                <w:szCs w:val="20"/>
                <w:lang w:val="es-ES"/>
              </w:rPr>
            </w:pPr>
            <w:r w:rsidRPr="00B056E4">
              <w:rPr>
                <w:sz w:val="20"/>
                <w:szCs w:val="20"/>
                <w:lang w:val="es-ES"/>
              </w:rPr>
              <w:t>265</w:t>
            </w:r>
          </w:p>
        </w:tc>
        <w:tc>
          <w:tcPr>
            <w:tcW w:w="1134" w:type="dxa"/>
            <w:tcBorders>
              <w:top w:val="nil"/>
              <w:left w:val="nil"/>
              <w:bottom w:val="single" w:sz="4" w:space="0" w:color="auto"/>
              <w:right w:val="single" w:sz="4" w:space="0" w:color="auto"/>
            </w:tcBorders>
            <w:shd w:val="clear" w:color="auto" w:fill="auto"/>
            <w:noWrap/>
            <w:hideMark/>
          </w:tcPr>
          <w:p w14:paraId="66BD694C" w14:textId="77777777" w:rsidR="00C009A9" w:rsidRPr="00B056E4" w:rsidRDefault="00C009A9" w:rsidP="00C0770E">
            <w:pPr>
              <w:jc w:val="right"/>
              <w:rPr>
                <w:sz w:val="20"/>
                <w:szCs w:val="20"/>
                <w:lang w:val="es-ES"/>
              </w:rPr>
            </w:pPr>
            <w:r w:rsidRPr="00B056E4">
              <w:rPr>
                <w:sz w:val="20"/>
                <w:szCs w:val="20"/>
                <w:lang w:val="es-ES"/>
              </w:rPr>
              <w:t>0</w:t>
            </w:r>
          </w:p>
        </w:tc>
        <w:tc>
          <w:tcPr>
            <w:tcW w:w="1134" w:type="dxa"/>
            <w:tcBorders>
              <w:top w:val="nil"/>
              <w:left w:val="nil"/>
              <w:bottom w:val="single" w:sz="4" w:space="0" w:color="auto"/>
              <w:right w:val="single" w:sz="4" w:space="0" w:color="auto"/>
            </w:tcBorders>
            <w:shd w:val="clear" w:color="auto" w:fill="auto"/>
            <w:noWrap/>
            <w:hideMark/>
          </w:tcPr>
          <w:p w14:paraId="0B7D6599" w14:textId="77777777" w:rsidR="00C009A9" w:rsidRPr="00B056E4" w:rsidRDefault="00C009A9" w:rsidP="00C0770E">
            <w:pPr>
              <w:jc w:val="right"/>
              <w:rPr>
                <w:sz w:val="20"/>
                <w:szCs w:val="20"/>
                <w:lang w:val="es-ES"/>
              </w:rPr>
            </w:pPr>
            <w:r w:rsidRPr="00B056E4">
              <w:rPr>
                <w:sz w:val="20"/>
                <w:szCs w:val="20"/>
                <w:lang w:val="es-ES"/>
              </w:rPr>
              <w:t>0</w:t>
            </w:r>
          </w:p>
        </w:tc>
        <w:tc>
          <w:tcPr>
            <w:tcW w:w="1417" w:type="dxa"/>
            <w:tcBorders>
              <w:top w:val="nil"/>
              <w:left w:val="nil"/>
              <w:bottom w:val="single" w:sz="4" w:space="0" w:color="auto"/>
              <w:right w:val="single" w:sz="4" w:space="0" w:color="auto"/>
            </w:tcBorders>
            <w:shd w:val="clear" w:color="auto" w:fill="auto"/>
            <w:noWrap/>
            <w:hideMark/>
          </w:tcPr>
          <w:p w14:paraId="64AF6204" w14:textId="77777777" w:rsidR="00C009A9" w:rsidRPr="00B056E4" w:rsidRDefault="00C009A9" w:rsidP="00C0770E">
            <w:pPr>
              <w:jc w:val="right"/>
              <w:rPr>
                <w:sz w:val="20"/>
                <w:szCs w:val="20"/>
                <w:lang w:val="es-ES"/>
              </w:rPr>
            </w:pPr>
            <w:r w:rsidRPr="00B056E4">
              <w:rPr>
                <w:sz w:val="20"/>
                <w:szCs w:val="20"/>
                <w:lang w:val="es-ES"/>
              </w:rPr>
              <w:t>265</w:t>
            </w:r>
          </w:p>
        </w:tc>
        <w:tc>
          <w:tcPr>
            <w:tcW w:w="1277" w:type="dxa"/>
            <w:tcBorders>
              <w:top w:val="nil"/>
              <w:left w:val="nil"/>
              <w:bottom w:val="single" w:sz="4" w:space="0" w:color="auto"/>
              <w:right w:val="single" w:sz="4" w:space="0" w:color="auto"/>
            </w:tcBorders>
            <w:shd w:val="clear" w:color="auto" w:fill="auto"/>
            <w:noWrap/>
            <w:hideMark/>
          </w:tcPr>
          <w:p w14:paraId="37501F93" w14:textId="77777777" w:rsidR="00C009A9" w:rsidRPr="00B056E4" w:rsidRDefault="00C009A9" w:rsidP="00C0770E">
            <w:pPr>
              <w:jc w:val="right"/>
              <w:rPr>
                <w:sz w:val="20"/>
                <w:szCs w:val="20"/>
                <w:lang w:val="es-ES"/>
              </w:rPr>
            </w:pPr>
            <w:r w:rsidRPr="00B056E4">
              <w:rPr>
                <w:sz w:val="20"/>
                <w:szCs w:val="20"/>
                <w:lang w:val="es-ES"/>
              </w:rPr>
              <w:t>0</w:t>
            </w:r>
          </w:p>
        </w:tc>
      </w:tr>
      <w:tr w:rsidR="00C009A9" w:rsidRPr="00B056E4" w14:paraId="2F3B4F22" w14:textId="77777777" w:rsidTr="00C0770E">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5A914915" w14:textId="77777777" w:rsidR="00C009A9" w:rsidRPr="00B056E4" w:rsidRDefault="00C009A9" w:rsidP="00C0770E">
            <w:pPr>
              <w:jc w:val="left"/>
              <w:rPr>
                <w:sz w:val="20"/>
                <w:szCs w:val="20"/>
                <w:lang w:val="es-ES"/>
              </w:rPr>
            </w:pPr>
            <w:r w:rsidRPr="00B056E4">
              <w:rPr>
                <w:sz w:val="20"/>
                <w:szCs w:val="20"/>
                <w:lang w:val="es-ES"/>
              </w:rPr>
              <w:t>Japón</w:t>
            </w:r>
          </w:p>
        </w:tc>
        <w:tc>
          <w:tcPr>
            <w:tcW w:w="1134" w:type="dxa"/>
            <w:tcBorders>
              <w:top w:val="nil"/>
              <w:left w:val="nil"/>
              <w:bottom w:val="single" w:sz="4" w:space="0" w:color="auto"/>
              <w:right w:val="single" w:sz="4" w:space="0" w:color="auto"/>
            </w:tcBorders>
            <w:shd w:val="clear" w:color="auto" w:fill="auto"/>
            <w:noWrap/>
            <w:hideMark/>
          </w:tcPr>
          <w:p w14:paraId="12AD878B" w14:textId="77777777" w:rsidR="00C009A9" w:rsidRPr="00B056E4" w:rsidRDefault="00C009A9" w:rsidP="00C0770E">
            <w:pPr>
              <w:jc w:val="right"/>
              <w:rPr>
                <w:sz w:val="20"/>
                <w:szCs w:val="20"/>
                <w:lang w:val="es-ES"/>
              </w:rPr>
            </w:pPr>
            <w:r w:rsidRPr="00B056E4">
              <w:rPr>
                <w:sz w:val="20"/>
                <w:szCs w:val="20"/>
                <w:lang w:val="es-ES"/>
              </w:rPr>
              <w:t>211</w:t>
            </w:r>
          </w:p>
        </w:tc>
        <w:tc>
          <w:tcPr>
            <w:tcW w:w="1134" w:type="dxa"/>
            <w:tcBorders>
              <w:top w:val="nil"/>
              <w:left w:val="nil"/>
              <w:bottom w:val="single" w:sz="4" w:space="0" w:color="auto"/>
              <w:right w:val="single" w:sz="4" w:space="0" w:color="auto"/>
            </w:tcBorders>
            <w:shd w:val="clear" w:color="auto" w:fill="auto"/>
            <w:noWrap/>
            <w:hideMark/>
          </w:tcPr>
          <w:p w14:paraId="26359BF7" w14:textId="77777777" w:rsidR="00C009A9" w:rsidRPr="00B056E4" w:rsidRDefault="00C009A9" w:rsidP="00C0770E">
            <w:pPr>
              <w:jc w:val="right"/>
              <w:rPr>
                <w:sz w:val="20"/>
                <w:szCs w:val="20"/>
                <w:lang w:val="es-ES"/>
              </w:rPr>
            </w:pPr>
            <w:r w:rsidRPr="00B056E4">
              <w:rPr>
                <w:sz w:val="20"/>
                <w:szCs w:val="20"/>
                <w:lang w:val="es-ES"/>
              </w:rPr>
              <w:t>0</w:t>
            </w:r>
          </w:p>
        </w:tc>
        <w:tc>
          <w:tcPr>
            <w:tcW w:w="1134" w:type="dxa"/>
            <w:tcBorders>
              <w:top w:val="nil"/>
              <w:left w:val="nil"/>
              <w:bottom w:val="single" w:sz="4" w:space="0" w:color="auto"/>
              <w:right w:val="single" w:sz="4" w:space="0" w:color="auto"/>
            </w:tcBorders>
            <w:shd w:val="clear" w:color="auto" w:fill="auto"/>
            <w:noWrap/>
            <w:hideMark/>
          </w:tcPr>
          <w:p w14:paraId="71AD1C9B" w14:textId="77777777" w:rsidR="00C009A9" w:rsidRPr="00B056E4" w:rsidRDefault="00C009A9" w:rsidP="00C0770E">
            <w:pPr>
              <w:jc w:val="right"/>
              <w:rPr>
                <w:sz w:val="20"/>
                <w:szCs w:val="20"/>
                <w:lang w:val="es-ES"/>
              </w:rPr>
            </w:pPr>
            <w:r w:rsidRPr="00B056E4">
              <w:rPr>
                <w:sz w:val="20"/>
                <w:szCs w:val="20"/>
                <w:lang w:val="es-ES"/>
              </w:rPr>
              <w:t>0</w:t>
            </w:r>
          </w:p>
        </w:tc>
        <w:tc>
          <w:tcPr>
            <w:tcW w:w="1417" w:type="dxa"/>
            <w:tcBorders>
              <w:top w:val="nil"/>
              <w:left w:val="nil"/>
              <w:bottom w:val="single" w:sz="4" w:space="0" w:color="auto"/>
              <w:right w:val="single" w:sz="4" w:space="0" w:color="auto"/>
            </w:tcBorders>
            <w:shd w:val="clear" w:color="auto" w:fill="auto"/>
            <w:noWrap/>
            <w:hideMark/>
          </w:tcPr>
          <w:p w14:paraId="192F6A43" w14:textId="77777777" w:rsidR="00C009A9" w:rsidRPr="00B056E4" w:rsidRDefault="00C009A9" w:rsidP="00C0770E">
            <w:pPr>
              <w:jc w:val="right"/>
              <w:rPr>
                <w:sz w:val="20"/>
                <w:szCs w:val="20"/>
                <w:lang w:val="es-ES"/>
              </w:rPr>
            </w:pPr>
            <w:r w:rsidRPr="00B056E4">
              <w:rPr>
                <w:sz w:val="20"/>
                <w:szCs w:val="20"/>
                <w:lang w:val="es-ES"/>
              </w:rPr>
              <w:t>211</w:t>
            </w:r>
          </w:p>
        </w:tc>
        <w:tc>
          <w:tcPr>
            <w:tcW w:w="1277" w:type="dxa"/>
            <w:tcBorders>
              <w:top w:val="nil"/>
              <w:left w:val="nil"/>
              <w:bottom w:val="single" w:sz="4" w:space="0" w:color="auto"/>
              <w:right w:val="single" w:sz="4" w:space="0" w:color="auto"/>
            </w:tcBorders>
            <w:shd w:val="clear" w:color="auto" w:fill="auto"/>
            <w:noWrap/>
            <w:hideMark/>
          </w:tcPr>
          <w:p w14:paraId="4B0C3ADF" w14:textId="77777777" w:rsidR="00C009A9" w:rsidRPr="00B056E4" w:rsidRDefault="00C009A9" w:rsidP="00C0770E">
            <w:pPr>
              <w:jc w:val="right"/>
              <w:rPr>
                <w:sz w:val="20"/>
                <w:szCs w:val="20"/>
                <w:lang w:val="es-ES"/>
              </w:rPr>
            </w:pPr>
            <w:r w:rsidRPr="00B056E4">
              <w:rPr>
                <w:sz w:val="20"/>
                <w:szCs w:val="20"/>
                <w:lang w:val="es-ES"/>
              </w:rPr>
              <w:t>0</w:t>
            </w:r>
          </w:p>
        </w:tc>
      </w:tr>
      <w:tr w:rsidR="00C009A9" w:rsidRPr="00B056E4" w14:paraId="3099507D" w14:textId="77777777" w:rsidTr="00C0770E">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1157A831" w14:textId="77777777" w:rsidR="00C009A9" w:rsidRPr="00B056E4" w:rsidRDefault="00C009A9" w:rsidP="00C0770E">
            <w:pPr>
              <w:jc w:val="left"/>
              <w:rPr>
                <w:sz w:val="20"/>
                <w:szCs w:val="20"/>
                <w:lang w:val="es-ES"/>
              </w:rPr>
            </w:pPr>
            <w:r w:rsidRPr="00B056E4">
              <w:rPr>
                <w:sz w:val="20"/>
                <w:szCs w:val="20"/>
                <w:lang w:val="es-ES"/>
              </w:rPr>
              <w:t>PNUD</w:t>
            </w:r>
          </w:p>
        </w:tc>
        <w:tc>
          <w:tcPr>
            <w:tcW w:w="1134" w:type="dxa"/>
            <w:tcBorders>
              <w:top w:val="nil"/>
              <w:left w:val="nil"/>
              <w:bottom w:val="single" w:sz="4" w:space="0" w:color="auto"/>
              <w:right w:val="single" w:sz="4" w:space="0" w:color="auto"/>
            </w:tcBorders>
            <w:shd w:val="clear" w:color="auto" w:fill="auto"/>
            <w:noWrap/>
            <w:hideMark/>
          </w:tcPr>
          <w:p w14:paraId="6ADC154C" w14:textId="77777777" w:rsidR="00C009A9" w:rsidRPr="00B056E4" w:rsidRDefault="00C009A9" w:rsidP="00C0770E">
            <w:pPr>
              <w:jc w:val="right"/>
              <w:rPr>
                <w:sz w:val="20"/>
                <w:szCs w:val="20"/>
                <w:lang w:val="es-ES"/>
              </w:rPr>
            </w:pPr>
            <w:r w:rsidRPr="00B056E4">
              <w:rPr>
                <w:sz w:val="20"/>
                <w:szCs w:val="20"/>
                <w:lang w:val="es-ES"/>
              </w:rPr>
              <w:t>67 245</w:t>
            </w:r>
          </w:p>
        </w:tc>
        <w:tc>
          <w:tcPr>
            <w:tcW w:w="1134" w:type="dxa"/>
            <w:tcBorders>
              <w:top w:val="nil"/>
              <w:left w:val="nil"/>
              <w:bottom w:val="single" w:sz="4" w:space="0" w:color="auto"/>
              <w:right w:val="single" w:sz="4" w:space="0" w:color="auto"/>
            </w:tcBorders>
            <w:shd w:val="clear" w:color="auto" w:fill="auto"/>
            <w:noWrap/>
            <w:hideMark/>
          </w:tcPr>
          <w:p w14:paraId="1829F8FA" w14:textId="77777777" w:rsidR="00C009A9" w:rsidRPr="00B056E4" w:rsidRDefault="00C009A9" w:rsidP="00C0770E">
            <w:pPr>
              <w:jc w:val="right"/>
              <w:rPr>
                <w:sz w:val="20"/>
                <w:szCs w:val="20"/>
                <w:lang w:val="es-ES"/>
              </w:rPr>
            </w:pPr>
            <w:r w:rsidRPr="00B056E4">
              <w:rPr>
                <w:sz w:val="20"/>
                <w:szCs w:val="20"/>
                <w:lang w:val="es-ES"/>
              </w:rPr>
              <w:t>37 809</w:t>
            </w:r>
          </w:p>
        </w:tc>
        <w:tc>
          <w:tcPr>
            <w:tcW w:w="1134" w:type="dxa"/>
            <w:tcBorders>
              <w:top w:val="nil"/>
              <w:left w:val="nil"/>
              <w:bottom w:val="single" w:sz="4" w:space="0" w:color="auto"/>
              <w:right w:val="single" w:sz="4" w:space="0" w:color="auto"/>
            </w:tcBorders>
            <w:shd w:val="clear" w:color="auto" w:fill="auto"/>
            <w:noWrap/>
            <w:hideMark/>
          </w:tcPr>
          <w:p w14:paraId="1D4145BF" w14:textId="77777777" w:rsidR="00C009A9" w:rsidRPr="00B056E4" w:rsidRDefault="00C009A9" w:rsidP="00C0770E">
            <w:pPr>
              <w:jc w:val="right"/>
              <w:rPr>
                <w:sz w:val="20"/>
                <w:szCs w:val="20"/>
                <w:lang w:val="es-ES"/>
              </w:rPr>
            </w:pPr>
            <w:r w:rsidRPr="00B056E4">
              <w:rPr>
                <w:sz w:val="20"/>
                <w:szCs w:val="20"/>
                <w:lang w:val="es-ES"/>
              </w:rPr>
              <w:t>25 198</w:t>
            </w:r>
          </w:p>
        </w:tc>
        <w:tc>
          <w:tcPr>
            <w:tcW w:w="1417" w:type="dxa"/>
            <w:tcBorders>
              <w:top w:val="nil"/>
              <w:left w:val="nil"/>
              <w:bottom w:val="single" w:sz="4" w:space="0" w:color="auto"/>
              <w:right w:val="single" w:sz="4" w:space="0" w:color="auto"/>
            </w:tcBorders>
            <w:shd w:val="clear" w:color="auto" w:fill="auto"/>
            <w:noWrap/>
            <w:hideMark/>
          </w:tcPr>
          <w:p w14:paraId="6C1D6954" w14:textId="77777777" w:rsidR="00C009A9" w:rsidRPr="00B056E4" w:rsidRDefault="00C009A9" w:rsidP="00C0770E">
            <w:pPr>
              <w:jc w:val="right"/>
              <w:rPr>
                <w:sz w:val="20"/>
                <w:szCs w:val="20"/>
                <w:lang w:val="es-ES"/>
              </w:rPr>
            </w:pPr>
            <w:r w:rsidRPr="00B056E4">
              <w:rPr>
                <w:sz w:val="20"/>
                <w:szCs w:val="20"/>
                <w:lang w:val="es-ES"/>
              </w:rPr>
              <w:t>130 252</w:t>
            </w:r>
          </w:p>
        </w:tc>
        <w:tc>
          <w:tcPr>
            <w:tcW w:w="1277" w:type="dxa"/>
            <w:tcBorders>
              <w:top w:val="nil"/>
              <w:left w:val="nil"/>
              <w:bottom w:val="single" w:sz="4" w:space="0" w:color="auto"/>
              <w:right w:val="single" w:sz="4" w:space="0" w:color="auto"/>
            </w:tcBorders>
            <w:shd w:val="clear" w:color="auto" w:fill="auto"/>
            <w:noWrap/>
            <w:hideMark/>
          </w:tcPr>
          <w:p w14:paraId="3F5EBD84" w14:textId="77777777" w:rsidR="00C009A9" w:rsidRPr="00B056E4" w:rsidRDefault="00C009A9" w:rsidP="00C0770E">
            <w:pPr>
              <w:jc w:val="right"/>
              <w:rPr>
                <w:sz w:val="20"/>
                <w:szCs w:val="20"/>
                <w:lang w:val="es-ES"/>
              </w:rPr>
            </w:pPr>
            <w:r w:rsidRPr="00B056E4">
              <w:rPr>
                <w:sz w:val="20"/>
                <w:szCs w:val="20"/>
                <w:lang w:val="es-ES"/>
              </w:rPr>
              <w:t>21 660</w:t>
            </w:r>
          </w:p>
        </w:tc>
      </w:tr>
      <w:tr w:rsidR="00C009A9" w:rsidRPr="00B056E4" w14:paraId="55BF4B37" w14:textId="77777777" w:rsidTr="00C0770E">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04B19598" w14:textId="77777777" w:rsidR="00C009A9" w:rsidRPr="00B056E4" w:rsidRDefault="00C009A9" w:rsidP="00C0770E">
            <w:pPr>
              <w:jc w:val="left"/>
              <w:rPr>
                <w:sz w:val="20"/>
                <w:szCs w:val="20"/>
                <w:lang w:val="es-ES"/>
              </w:rPr>
            </w:pPr>
            <w:r w:rsidRPr="00B056E4">
              <w:rPr>
                <w:sz w:val="20"/>
                <w:szCs w:val="20"/>
                <w:lang w:val="es-ES"/>
              </w:rPr>
              <w:t>PNUMA</w:t>
            </w:r>
          </w:p>
        </w:tc>
        <w:tc>
          <w:tcPr>
            <w:tcW w:w="1134" w:type="dxa"/>
            <w:tcBorders>
              <w:top w:val="nil"/>
              <w:left w:val="nil"/>
              <w:bottom w:val="single" w:sz="4" w:space="0" w:color="auto"/>
              <w:right w:val="single" w:sz="4" w:space="0" w:color="auto"/>
            </w:tcBorders>
            <w:shd w:val="clear" w:color="auto" w:fill="auto"/>
            <w:noWrap/>
            <w:hideMark/>
          </w:tcPr>
          <w:p w14:paraId="2BC494F4" w14:textId="77777777" w:rsidR="00C009A9" w:rsidRPr="00B056E4" w:rsidRDefault="00C009A9" w:rsidP="00C0770E">
            <w:pPr>
              <w:jc w:val="right"/>
              <w:rPr>
                <w:sz w:val="20"/>
                <w:szCs w:val="20"/>
                <w:lang w:val="es-ES"/>
              </w:rPr>
            </w:pPr>
            <w:r w:rsidRPr="00B056E4">
              <w:rPr>
                <w:sz w:val="20"/>
                <w:szCs w:val="20"/>
                <w:lang w:val="es-ES"/>
              </w:rPr>
              <w:t>34 736</w:t>
            </w:r>
          </w:p>
        </w:tc>
        <w:tc>
          <w:tcPr>
            <w:tcW w:w="1134" w:type="dxa"/>
            <w:tcBorders>
              <w:top w:val="nil"/>
              <w:left w:val="nil"/>
              <w:bottom w:val="single" w:sz="4" w:space="0" w:color="auto"/>
              <w:right w:val="single" w:sz="4" w:space="0" w:color="auto"/>
            </w:tcBorders>
            <w:shd w:val="clear" w:color="auto" w:fill="auto"/>
            <w:noWrap/>
            <w:hideMark/>
          </w:tcPr>
          <w:p w14:paraId="2F9318FA" w14:textId="77777777" w:rsidR="00C009A9" w:rsidRPr="00B056E4" w:rsidRDefault="00C009A9" w:rsidP="00C0770E">
            <w:pPr>
              <w:jc w:val="right"/>
              <w:rPr>
                <w:sz w:val="20"/>
                <w:szCs w:val="20"/>
                <w:lang w:val="es-ES"/>
              </w:rPr>
            </w:pPr>
            <w:r w:rsidRPr="00B056E4">
              <w:rPr>
                <w:sz w:val="20"/>
                <w:szCs w:val="20"/>
                <w:lang w:val="es-ES"/>
              </w:rPr>
              <w:t>24 708</w:t>
            </w:r>
          </w:p>
        </w:tc>
        <w:tc>
          <w:tcPr>
            <w:tcW w:w="1134" w:type="dxa"/>
            <w:tcBorders>
              <w:top w:val="nil"/>
              <w:left w:val="nil"/>
              <w:bottom w:val="single" w:sz="4" w:space="0" w:color="auto"/>
              <w:right w:val="single" w:sz="4" w:space="0" w:color="auto"/>
            </w:tcBorders>
            <w:shd w:val="clear" w:color="auto" w:fill="auto"/>
            <w:noWrap/>
            <w:hideMark/>
          </w:tcPr>
          <w:p w14:paraId="3931FB79" w14:textId="77777777" w:rsidR="00C009A9" w:rsidRPr="00B056E4" w:rsidRDefault="00C009A9" w:rsidP="00C0770E">
            <w:pPr>
              <w:jc w:val="right"/>
              <w:rPr>
                <w:sz w:val="20"/>
                <w:szCs w:val="20"/>
                <w:lang w:val="es-ES"/>
              </w:rPr>
            </w:pPr>
            <w:r w:rsidRPr="00B056E4">
              <w:rPr>
                <w:sz w:val="20"/>
                <w:szCs w:val="20"/>
                <w:lang w:val="es-ES"/>
              </w:rPr>
              <w:t>23 578</w:t>
            </w:r>
          </w:p>
        </w:tc>
        <w:tc>
          <w:tcPr>
            <w:tcW w:w="1417" w:type="dxa"/>
            <w:tcBorders>
              <w:top w:val="nil"/>
              <w:left w:val="nil"/>
              <w:bottom w:val="single" w:sz="4" w:space="0" w:color="auto"/>
              <w:right w:val="single" w:sz="4" w:space="0" w:color="auto"/>
            </w:tcBorders>
            <w:shd w:val="clear" w:color="auto" w:fill="auto"/>
            <w:noWrap/>
            <w:hideMark/>
          </w:tcPr>
          <w:p w14:paraId="4D8923D4" w14:textId="77777777" w:rsidR="00C009A9" w:rsidRPr="00B056E4" w:rsidRDefault="00C009A9" w:rsidP="00C0770E">
            <w:pPr>
              <w:jc w:val="right"/>
              <w:rPr>
                <w:sz w:val="20"/>
                <w:szCs w:val="20"/>
                <w:lang w:val="es-ES"/>
              </w:rPr>
            </w:pPr>
            <w:r w:rsidRPr="00B056E4">
              <w:rPr>
                <w:sz w:val="20"/>
                <w:szCs w:val="20"/>
                <w:lang w:val="es-ES"/>
              </w:rPr>
              <w:t>83 022</w:t>
            </w:r>
          </w:p>
        </w:tc>
        <w:tc>
          <w:tcPr>
            <w:tcW w:w="1277" w:type="dxa"/>
            <w:tcBorders>
              <w:top w:val="nil"/>
              <w:left w:val="nil"/>
              <w:bottom w:val="single" w:sz="4" w:space="0" w:color="auto"/>
              <w:right w:val="single" w:sz="4" w:space="0" w:color="auto"/>
            </w:tcBorders>
            <w:shd w:val="clear" w:color="auto" w:fill="auto"/>
            <w:noWrap/>
            <w:hideMark/>
          </w:tcPr>
          <w:p w14:paraId="213051D0" w14:textId="77777777" w:rsidR="00C009A9" w:rsidRPr="00B056E4" w:rsidRDefault="00C009A9" w:rsidP="00C0770E">
            <w:pPr>
              <w:jc w:val="right"/>
              <w:rPr>
                <w:sz w:val="20"/>
                <w:szCs w:val="20"/>
                <w:lang w:val="es-ES"/>
              </w:rPr>
            </w:pPr>
            <w:r w:rsidRPr="00B056E4">
              <w:rPr>
                <w:sz w:val="20"/>
                <w:szCs w:val="20"/>
                <w:lang w:val="es-ES"/>
              </w:rPr>
              <w:t>17 411</w:t>
            </w:r>
          </w:p>
        </w:tc>
      </w:tr>
      <w:tr w:rsidR="00C009A9" w:rsidRPr="00B056E4" w14:paraId="506C1212" w14:textId="77777777" w:rsidTr="00C0770E">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26B54EBB" w14:textId="77777777" w:rsidR="00C009A9" w:rsidRPr="00B056E4" w:rsidRDefault="00C009A9" w:rsidP="00C0770E">
            <w:pPr>
              <w:jc w:val="left"/>
              <w:rPr>
                <w:sz w:val="20"/>
                <w:szCs w:val="20"/>
                <w:lang w:val="es-ES"/>
              </w:rPr>
            </w:pPr>
            <w:r w:rsidRPr="00B056E4">
              <w:rPr>
                <w:sz w:val="20"/>
                <w:szCs w:val="20"/>
                <w:lang w:val="es-ES"/>
              </w:rPr>
              <w:t>ONUDI</w:t>
            </w:r>
          </w:p>
        </w:tc>
        <w:tc>
          <w:tcPr>
            <w:tcW w:w="1134" w:type="dxa"/>
            <w:tcBorders>
              <w:top w:val="nil"/>
              <w:left w:val="nil"/>
              <w:bottom w:val="single" w:sz="4" w:space="0" w:color="auto"/>
              <w:right w:val="single" w:sz="4" w:space="0" w:color="auto"/>
            </w:tcBorders>
            <w:shd w:val="clear" w:color="auto" w:fill="auto"/>
            <w:noWrap/>
            <w:hideMark/>
          </w:tcPr>
          <w:p w14:paraId="149A15EE" w14:textId="77777777" w:rsidR="00C009A9" w:rsidRPr="00B056E4" w:rsidRDefault="00C009A9" w:rsidP="00C0770E">
            <w:pPr>
              <w:jc w:val="right"/>
              <w:rPr>
                <w:sz w:val="20"/>
                <w:szCs w:val="20"/>
                <w:lang w:val="es-ES"/>
              </w:rPr>
            </w:pPr>
            <w:r w:rsidRPr="00B056E4">
              <w:rPr>
                <w:sz w:val="20"/>
                <w:szCs w:val="20"/>
                <w:lang w:val="es-ES"/>
              </w:rPr>
              <w:t>57 508</w:t>
            </w:r>
          </w:p>
        </w:tc>
        <w:tc>
          <w:tcPr>
            <w:tcW w:w="1134" w:type="dxa"/>
            <w:tcBorders>
              <w:top w:val="nil"/>
              <w:left w:val="nil"/>
              <w:bottom w:val="single" w:sz="4" w:space="0" w:color="auto"/>
              <w:right w:val="single" w:sz="4" w:space="0" w:color="auto"/>
            </w:tcBorders>
            <w:shd w:val="clear" w:color="auto" w:fill="auto"/>
            <w:noWrap/>
            <w:hideMark/>
          </w:tcPr>
          <w:p w14:paraId="76481590" w14:textId="77777777" w:rsidR="00C009A9" w:rsidRPr="00B056E4" w:rsidRDefault="00C009A9" w:rsidP="00C0770E">
            <w:pPr>
              <w:jc w:val="right"/>
              <w:rPr>
                <w:sz w:val="20"/>
                <w:szCs w:val="20"/>
                <w:lang w:val="es-ES"/>
              </w:rPr>
            </w:pPr>
            <w:r w:rsidRPr="00B056E4">
              <w:rPr>
                <w:sz w:val="20"/>
                <w:szCs w:val="20"/>
                <w:lang w:val="es-ES"/>
              </w:rPr>
              <w:t>50 899</w:t>
            </w:r>
          </w:p>
        </w:tc>
        <w:tc>
          <w:tcPr>
            <w:tcW w:w="1134" w:type="dxa"/>
            <w:tcBorders>
              <w:top w:val="nil"/>
              <w:left w:val="nil"/>
              <w:bottom w:val="single" w:sz="4" w:space="0" w:color="auto"/>
              <w:right w:val="single" w:sz="4" w:space="0" w:color="auto"/>
            </w:tcBorders>
            <w:shd w:val="clear" w:color="auto" w:fill="auto"/>
            <w:noWrap/>
            <w:hideMark/>
          </w:tcPr>
          <w:p w14:paraId="467027CE" w14:textId="77777777" w:rsidR="00C009A9" w:rsidRPr="00B056E4" w:rsidRDefault="00C009A9" w:rsidP="00C0770E">
            <w:pPr>
              <w:jc w:val="right"/>
              <w:rPr>
                <w:sz w:val="20"/>
                <w:szCs w:val="20"/>
                <w:lang w:val="es-ES"/>
              </w:rPr>
            </w:pPr>
            <w:r w:rsidRPr="00B056E4">
              <w:rPr>
                <w:sz w:val="20"/>
                <w:szCs w:val="20"/>
                <w:lang w:val="es-ES"/>
              </w:rPr>
              <w:t>45 524</w:t>
            </w:r>
          </w:p>
        </w:tc>
        <w:tc>
          <w:tcPr>
            <w:tcW w:w="1417" w:type="dxa"/>
            <w:tcBorders>
              <w:top w:val="nil"/>
              <w:left w:val="nil"/>
              <w:bottom w:val="single" w:sz="4" w:space="0" w:color="auto"/>
              <w:right w:val="single" w:sz="4" w:space="0" w:color="auto"/>
            </w:tcBorders>
            <w:shd w:val="clear" w:color="auto" w:fill="auto"/>
            <w:noWrap/>
            <w:hideMark/>
          </w:tcPr>
          <w:p w14:paraId="57B3D24A" w14:textId="77777777" w:rsidR="00C009A9" w:rsidRPr="00B056E4" w:rsidRDefault="00C009A9" w:rsidP="00C0770E">
            <w:pPr>
              <w:jc w:val="right"/>
              <w:rPr>
                <w:sz w:val="20"/>
                <w:szCs w:val="20"/>
                <w:lang w:val="es-ES"/>
              </w:rPr>
            </w:pPr>
            <w:r w:rsidRPr="00B056E4">
              <w:rPr>
                <w:sz w:val="20"/>
                <w:szCs w:val="20"/>
                <w:lang w:val="es-ES"/>
              </w:rPr>
              <w:t>153 930</w:t>
            </w:r>
          </w:p>
        </w:tc>
        <w:tc>
          <w:tcPr>
            <w:tcW w:w="1277" w:type="dxa"/>
            <w:tcBorders>
              <w:top w:val="nil"/>
              <w:left w:val="nil"/>
              <w:bottom w:val="single" w:sz="4" w:space="0" w:color="auto"/>
              <w:right w:val="single" w:sz="4" w:space="0" w:color="auto"/>
            </w:tcBorders>
            <w:shd w:val="clear" w:color="auto" w:fill="auto"/>
            <w:noWrap/>
            <w:hideMark/>
          </w:tcPr>
          <w:p w14:paraId="28975386" w14:textId="77777777" w:rsidR="00C009A9" w:rsidRPr="00B056E4" w:rsidRDefault="00C009A9" w:rsidP="00C0770E">
            <w:pPr>
              <w:jc w:val="right"/>
              <w:rPr>
                <w:sz w:val="20"/>
                <w:szCs w:val="20"/>
                <w:lang w:val="es-ES"/>
              </w:rPr>
            </w:pPr>
            <w:r w:rsidRPr="00B056E4">
              <w:rPr>
                <w:sz w:val="20"/>
                <w:szCs w:val="20"/>
                <w:lang w:val="es-ES"/>
              </w:rPr>
              <w:t>107 074</w:t>
            </w:r>
          </w:p>
        </w:tc>
      </w:tr>
      <w:tr w:rsidR="00C009A9" w:rsidRPr="00B056E4" w14:paraId="6020E9DA" w14:textId="77777777" w:rsidTr="00C0770E">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5CFE26F0" w14:textId="77777777" w:rsidR="00C009A9" w:rsidRPr="00B056E4" w:rsidRDefault="00C009A9" w:rsidP="00C0770E">
            <w:pPr>
              <w:jc w:val="left"/>
              <w:rPr>
                <w:sz w:val="20"/>
                <w:szCs w:val="20"/>
                <w:lang w:val="es-ES"/>
              </w:rPr>
            </w:pPr>
            <w:r w:rsidRPr="00B056E4">
              <w:rPr>
                <w:sz w:val="20"/>
                <w:szCs w:val="20"/>
                <w:lang w:val="es-ES"/>
              </w:rPr>
              <w:t>Banco Mundial</w:t>
            </w:r>
          </w:p>
        </w:tc>
        <w:tc>
          <w:tcPr>
            <w:tcW w:w="1134" w:type="dxa"/>
            <w:tcBorders>
              <w:top w:val="nil"/>
              <w:left w:val="nil"/>
              <w:bottom w:val="single" w:sz="4" w:space="0" w:color="auto"/>
              <w:right w:val="single" w:sz="4" w:space="0" w:color="auto"/>
            </w:tcBorders>
            <w:shd w:val="clear" w:color="auto" w:fill="auto"/>
            <w:noWrap/>
            <w:hideMark/>
          </w:tcPr>
          <w:p w14:paraId="1D289C55" w14:textId="77777777" w:rsidR="00C009A9" w:rsidRPr="00B056E4" w:rsidRDefault="00C009A9" w:rsidP="00C0770E">
            <w:pPr>
              <w:jc w:val="right"/>
              <w:rPr>
                <w:sz w:val="20"/>
                <w:szCs w:val="20"/>
                <w:lang w:val="es-ES"/>
              </w:rPr>
            </w:pPr>
            <w:r w:rsidRPr="00B056E4">
              <w:rPr>
                <w:sz w:val="20"/>
                <w:szCs w:val="20"/>
                <w:lang w:val="es-ES"/>
              </w:rPr>
              <w:t>53 082</w:t>
            </w:r>
          </w:p>
        </w:tc>
        <w:tc>
          <w:tcPr>
            <w:tcW w:w="1134" w:type="dxa"/>
            <w:tcBorders>
              <w:top w:val="nil"/>
              <w:left w:val="nil"/>
              <w:bottom w:val="single" w:sz="4" w:space="0" w:color="auto"/>
              <w:right w:val="single" w:sz="4" w:space="0" w:color="auto"/>
            </w:tcBorders>
            <w:shd w:val="clear" w:color="auto" w:fill="auto"/>
            <w:noWrap/>
            <w:hideMark/>
          </w:tcPr>
          <w:p w14:paraId="3A0225DF" w14:textId="77777777" w:rsidR="00C009A9" w:rsidRPr="00B056E4" w:rsidRDefault="00C009A9" w:rsidP="00C0770E">
            <w:pPr>
              <w:jc w:val="right"/>
              <w:rPr>
                <w:sz w:val="20"/>
                <w:szCs w:val="20"/>
                <w:lang w:val="es-ES"/>
              </w:rPr>
            </w:pPr>
            <w:r w:rsidRPr="00B056E4">
              <w:rPr>
                <w:sz w:val="20"/>
                <w:szCs w:val="20"/>
                <w:lang w:val="es-ES"/>
              </w:rPr>
              <w:t>46 500</w:t>
            </w:r>
          </w:p>
        </w:tc>
        <w:tc>
          <w:tcPr>
            <w:tcW w:w="1134" w:type="dxa"/>
            <w:tcBorders>
              <w:top w:val="nil"/>
              <w:left w:val="nil"/>
              <w:bottom w:val="single" w:sz="4" w:space="0" w:color="auto"/>
              <w:right w:val="single" w:sz="4" w:space="0" w:color="auto"/>
            </w:tcBorders>
            <w:shd w:val="clear" w:color="auto" w:fill="auto"/>
            <w:noWrap/>
            <w:hideMark/>
          </w:tcPr>
          <w:p w14:paraId="7F73B04D" w14:textId="77777777" w:rsidR="00C009A9" w:rsidRPr="00B056E4" w:rsidRDefault="00C009A9" w:rsidP="00C0770E">
            <w:pPr>
              <w:jc w:val="right"/>
              <w:rPr>
                <w:sz w:val="20"/>
                <w:szCs w:val="20"/>
                <w:lang w:val="es-ES"/>
              </w:rPr>
            </w:pPr>
            <w:r w:rsidRPr="00B056E4">
              <w:rPr>
                <w:sz w:val="20"/>
                <w:szCs w:val="20"/>
                <w:lang w:val="es-ES"/>
              </w:rPr>
              <w:t>45 092</w:t>
            </w:r>
          </w:p>
        </w:tc>
        <w:tc>
          <w:tcPr>
            <w:tcW w:w="1417" w:type="dxa"/>
            <w:tcBorders>
              <w:top w:val="nil"/>
              <w:left w:val="nil"/>
              <w:bottom w:val="single" w:sz="4" w:space="0" w:color="auto"/>
              <w:right w:val="single" w:sz="4" w:space="0" w:color="auto"/>
            </w:tcBorders>
            <w:shd w:val="clear" w:color="auto" w:fill="auto"/>
            <w:noWrap/>
            <w:hideMark/>
          </w:tcPr>
          <w:p w14:paraId="143F8771" w14:textId="77777777" w:rsidR="00C009A9" w:rsidRPr="00B056E4" w:rsidRDefault="00C009A9" w:rsidP="00C0770E">
            <w:pPr>
              <w:jc w:val="right"/>
              <w:rPr>
                <w:sz w:val="20"/>
                <w:szCs w:val="20"/>
                <w:lang w:val="es-ES"/>
              </w:rPr>
            </w:pPr>
            <w:r w:rsidRPr="00B056E4">
              <w:rPr>
                <w:sz w:val="20"/>
                <w:szCs w:val="20"/>
                <w:lang w:val="es-ES"/>
              </w:rPr>
              <w:t>144 674</w:t>
            </w:r>
          </w:p>
        </w:tc>
        <w:tc>
          <w:tcPr>
            <w:tcW w:w="1277" w:type="dxa"/>
            <w:tcBorders>
              <w:top w:val="nil"/>
              <w:left w:val="nil"/>
              <w:bottom w:val="single" w:sz="4" w:space="0" w:color="auto"/>
              <w:right w:val="single" w:sz="4" w:space="0" w:color="auto"/>
            </w:tcBorders>
            <w:shd w:val="clear" w:color="auto" w:fill="auto"/>
            <w:noWrap/>
            <w:hideMark/>
          </w:tcPr>
          <w:p w14:paraId="643BAB20" w14:textId="77777777" w:rsidR="00C009A9" w:rsidRPr="00B056E4" w:rsidRDefault="00C009A9" w:rsidP="00C0770E">
            <w:pPr>
              <w:jc w:val="right"/>
              <w:rPr>
                <w:sz w:val="20"/>
                <w:szCs w:val="20"/>
                <w:lang w:val="es-ES"/>
              </w:rPr>
            </w:pPr>
            <w:r w:rsidRPr="00B056E4">
              <w:rPr>
                <w:sz w:val="20"/>
                <w:szCs w:val="20"/>
                <w:lang w:val="es-ES"/>
              </w:rPr>
              <w:t>270 172</w:t>
            </w:r>
          </w:p>
        </w:tc>
      </w:tr>
      <w:tr w:rsidR="00C009A9" w:rsidRPr="00B056E4" w14:paraId="734F14CB" w14:textId="77777777" w:rsidTr="00C0770E">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69B83A5E" w14:textId="77777777" w:rsidR="00C009A9" w:rsidRPr="00B056E4" w:rsidRDefault="00C009A9" w:rsidP="00C0770E">
            <w:pPr>
              <w:jc w:val="left"/>
              <w:rPr>
                <w:sz w:val="20"/>
                <w:szCs w:val="20"/>
                <w:lang w:val="es-ES"/>
              </w:rPr>
            </w:pPr>
            <w:r w:rsidRPr="00B056E4">
              <w:rPr>
                <w:sz w:val="20"/>
                <w:szCs w:val="20"/>
                <w:lang w:val="es-ES"/>
              </w:rPr>
              <w:t>Verificación de los PGEH</w:t>
            </w:r>
          </w:p>
        </w:tc>
        <w:tc>
          <w:tcPr>
            <w:tcW w:w="1134" w:type="dxa"/>
            <w:tcBorders>
              <w:top w:val="nil"/>
              <w:left w:val="nil"/>
              <w:bottom w:val="single" w:sz="4" w:space="0" w:color="auto"/>
              <w:right w:val="single" w:sz="4" w:space="0" w:color="auto"/>
            </w:tcBorders>
            <w:shd w:val="clear" w:color="auto" w:fill="auto"/>
            <w:noWrap/>
            <w:hideMark/>
          </w:tcPr>
          <w:p w14:paraId="5BA410BF" w14:textId="77777777" w:rsidR="00C009A9" w:rsidRPr="00B056E4" w:rsidRDefault="00C009A9" w:rsidP="00C0770E">
            <w:pPr>
              <w:jc w:val="right"/>
              <w:rPr>
                <w:sz w:val="20"/>
                <w:szCs w:val="20"/>
                <w:lang w:val="es-ES"/>
              </w:rPr>
            </w:pPr>
            <w:r w:rsidRPr="00B056E4">
              <w:rPr>
                <w:sz w:val="20"/>
                <w:szCs w:val="20"/>
                <w:lang w:val="es-ES"/>
              </w:rPr>
              <w:t>589</w:t>
            </w:r>
          </w:p>
        </w:tc>
        <w:tc>
          <w:tcPr>
            <w:tcW w:w="1134" w:type="dxa"/>
            <w:tcBorders>
              <w:top w:val="nil"/>
              <w:left w:val="nil"/>
              <w:bottom w:val="single" w:sz="4" w:space="0" w:color="auto"/>
              <w:right w:val="single" w:sz="4" w:space="0" w:color="auto"/>
            </w:tcBorders>
            <w:shd w:val="clear" w:color="auto" w:fill="auto"/>
            <w:noWrap/>
            <w:hideMark/>
          </w:tcPr>
          <w:p w14:paraId="40235F1B" w14:textId="77777777" w:rsidR="00C009A9" w:rsidRPr="00B056E4" w:rsidRDefault="00C009A9" w:rsidP="00C0770E">
            <w:pPr>
              <w:jc w:val="right"/>
              <w:rPr>
                <w:sz w:val="20"/>
                <w:szCs w:val="20"/>
                <w:lang w:val="es-ES"/>
              </w:rPr>
            </w:pPr>
            <w:r w:rsidRPr="00B056E4">
              <w:rPr>
                <w:sz w:val="20"/>
                <w:szCs w:val="20"/>
                <w:lang w:val="es-ES"/>
              </w:rPr>
              <w:t>589</w:t>
            </w:r>
          </w:p>
        </w:tc>
        <w:tc>
          <w:tcPr>
            <w:tcW w:w="1134" w:type="dxa"/>
            <w:tcBorders>
              <w:top w:val="nil"/>
              <w:left w:val="nil"/>
              <w:bottom w:val="single" w:sz="4" w:space="0" w:color="auto"/>
              <w:right w:val="single" w:sz="4" w:space="0" w:color="auto"/>
            </w:tcBorders>
            <w:shd w:val="clear" w:color="auto" w:fill="auto"/>
            <w:noWrap/>
            <w:hideMark/>
          </w:tcPr>
          <w:p w14:paraId="280461FB" w14:textId="77777777" w:rsidR="00C009A9" w:rsidRPr="00B056E4" w:rsidRDefault="00C009A9" w:rsidP="00C0770E">
            <w:pPr>
              <w:jc w:val="right"/>
              <w:rPr>
                <w:sz w:val="20"/>
                <w:szCs w:val="20"/>
                <w:lang w:val="es-ES"/>
              </w:rPr>
            </w:pPr>
            <w:r w:rsidRPr="00B056E4">
              <w:rPr>
                <w:sz w:val="20"/>
                <w:szCs w:val="20"/>
                <w:lang w:val="es-ES"/>
              </w:rPr>
              <w:t>589</w:t>
            </w:r>
          </w:p>
        </w:tc>
        <w:tc>
          <w:tcPr>
            <w:tcW w:w="1417" w:type="dxa"/>
            <w:tcBorders>
              <w:top w:val="nil"/>
              <w:left w:val="nil"/>
              <w:bottom w:val="single" w:sz="4" w:space="0" w:color="auto"/>
              <w:right w:val="single" w:sz="4" w:space="0" w:color="auto"/>
            </w:tcBorders>
            <w:shd w:val="clear" w:color="auto" w:fill="auto"/>
            <w:noWrap/>
            <w:hideMark/>
          </w:tcPr>
          <w:p w14:paraId="4B2FA57C" w14:textId="77777777" w:rsidR="00C009A9" w:rsidRPr="00B056E4" w:rsidRDefault="00C009A9" w:rsidP="00C0770E">
            <w:pPr>
              <w:jc w:val="right"/>
              <w:rPr>
                <w:sz w:val="20"/>
                <w:szCs w:val="20"/>
                <w:lang w:val="es-ES"/>
              </w:rPr>
            </w:pPr>
            <w:r w:rsidRPr="00B056E4">
              <w:rPr>
                <w:sz w:val="20"/>
                <w:szCs w:val="20"/>
                <w:lang w:val="es-ES"/>
              </w:rPr>
              <w:t>1 766</w:t>
            </w:r>
          </w:p>
        </w:tc>
        <w:tc>
          <w:tcPr>
            <w:tcW w:w="1277" w:type="dxa"/>
            <w:tcBorders>
              <w:top w:val="nil"/>
              <w:left w:val="nil"/>
              <w:bottom w:val="single" w:sz="4" w:space="0" w:color="auto"/>
              <w:right w:val="single" w:sz="4" w:space="0" w:color="auto"/>
            </w:tcBorders>
            <w:shd w:val="clear" w:color="auto" w:fill="auto"/>
            <w:noWrap/>
          </w:tcPr>
          <w:p w14:paraId="7DEC74F0" w14:textId="77777777" w:rsidR="00C009A9" w:rsidRPr="00B056E4" w:rsidRDefault="00C009A9" w:rsidP="00C0770E">
            <w:pPr>
              <w:jc w:val="right"/>
              <w:rPr>
                <w:sz w:val="20"/>
                <w:szCs w:val="20"/>
                <w:lang w:val="es-ES" w:eastAsia="en-CA"/>
              </w:rPr>
            </w:pPr>
          </w:p>
        </w:tc>
      </w:tr>
      <w:tr w:rsidR="00C009A9" w:rsidRPr="00B056E4" w14:paraId="533F4454" w14:textId="77777777" w:rsidTr="00C0770E">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3BDDA875" w14:textId="77777777" w:rsidR="00C009A9" w:rsidRPr="00B056E4" w:rsidRDefault="00C009A9" w:rsidP="00C0770E">
            <w:pPr>
              <w:jc w:val="left"/>
              <w:rPr>
                <w:sz w:val="20"/>
                <w:szCs w:val="20"/>
                <w:lang w:val="es-ES"/>
              </w:rPr>
            </w:pPr>
            <w:r w:rsidRPr="00B056E4">
              <w:rPr>
                <w:sz w:val="20"/>
                <w:szCs w:val="20"/>
                <w:lang w:val="es-ES"/>
              </w:rPr>
              <w:t>Costo de la Secretaría, del Comité Ejecutivo, y de Supervisión y Evaluación menos fondos de contraparte de Canadá</w:t>
            </w:r>
          </w:p>
        </w:tc>
        <w:tc>
          <w:tcPr>
            <w:tcW w:w="1134" w:type="dxa"/>
            <w:tcBorders>
              <w:top w:val="nil"/>
              <w:left w:val="nil"/>
              <w:bottom w:val="single" w:sz="4" w:space="0" w:color="auto"/>
              <w:right w:val="single" w:sz="4" w:space="0" w:color="auto"/>
            </w:tcBorders>
            <w:shd w:val="clear" w:color="auto" w:fill="auto"/>
            <w:noWrap/>
            <w:hideMark/>
          </w:tcPr>
          <w:p w14:paraId="41945BF5" w14:textId="77777777" w:rsidR="00C009A9" w:rsidRPr="00B056E4" w:rsidRDefault="00C009A9" w:rsidP="00C0770E">
            <w:pPr>
              <w:jc w:val="right"/>
              <w:rPr>
                <w:sz w:val="20"/>
                <w:szCs w:val="20"/>
                <w:lang w:val="es-ES"/>
              </w:rPr>
            </w:pPr>
            <w:r w:rsidRPr="00B056E4">
              <w:rPr>
                <w:sz w:val="20"/>
                <w:szCs w:val="20"/>
                <w:lang w:val="es-ES"/>
              </w:rPr>
              <w:t>6 362</w:t>
            </w:r>
          </w:p>
        </w:tc>
        <w:tc>
          <w:tcPr>
            <w:tcW w:w="1134" w:type="dxa"/>
            <w:tcBorders>
              <w:top w:val="nil"/>
              <w:left w:val="nil"/>
              <w:bottom w:val="single" w:sz="4" w:space="0" w:color="auto"/>
              <w:right w:val="single" w:sz="4" w:space="0" w:color="auto"/>
            </w:tcBorders>
            <w:shd w:val="clear" w:color="auto" w:fill="auto"/>
            <w:noWrap/>
            <w:hideMark/>
          </w:tcPr>
          <w:p w14:paraId="73989C78" w14:textId="77777777" w:rsidR="00C009A9" w:rsidRPr="00B056E4" w:rsidRDefault="00C009A9" w:rsidP="00C0770E">
            <w:pPr>
              <w:jc w:val="right"/>
              <w:rPr>
                <w:sz w:val="20"/>
                <w:szCs w:val="20"/>
                <w:lang w:val="es-ES"/>
              </w:rPr>
            </w:pPr>
            <w:r w:rsidRPr="00B056E4">
              <w:rPr>
                <w:sz w:val="20"/>
                <w:szCs w:val="20"/>
                <w:lang w:val="es-ES"/>
              </w:rPr>
              <w:t>7 009</w:t>
            </w:r>
          </w:p>
        </w:tc>
        <w:tc>
          <w:tcPr>
            <w:tcW w:w="1134" w:type="dxa"/>
            <w:tcBorders>
              <w:top w:val="nil"/>
              <w:left w:val="nil"/>
              <w:bottom w:val="single" w:sz="4" w:space="0" w:color="auto"/>
              <w:right w:val="single" w:sz="4" w:space="0" w:color="auto"/>
            </w:tcBorders>
            <w:shd w:val="clear" w:color="auto" w:fill="auto"/>
            <w:noWrap/>
            <w:hideMark/>
          </w:tcPr>
          <w:p w14:paraId="40B798F6" w14:textId="77777777" w:rsidR="00C009A9" w:rsidRPr="00B056E4" w:rsidRDefault="00C009A9" w:rsidP="00C0770E">
            <w:pPr>
              <w:jc w:val="right"/>
              <w:rPr>
                <w:sz w:val="20"/>
                <w:szCs w:val="20"/>
                <w:lang w:val="es-ES"/>
              </w:rPr>
            </w:pPr>
            <w:r w:rsidRPr="00B056E4">
              <w:rPr>
                <w:sz w:val="20"/>
                <w:szCs w:val="20"/>
                <w:lang w:val="es-ES"/>
              </w:rPr>
              <w:t>7 159</w:t>
            </w:r>
          </w:p>
        </w:tc>
        <w:tc>
          <w:tcPr>
            <w:tcW w:w="1417" w:type="dxa"/>
            <w:tcBorders>
              <w:top w:val="nil"/>
              <w:left w:val="nil"/>
              <w:bottom w:val="single" w:sz="4" w:space="0" w:color="auto"/>
              <w:right w:val="single" w:sz="4" w:space="0" w:color="auto"/>
            </w:tcBorders>
            <w:shd w:val="clear" w:color="auto" w:fill="auto"/>
            <w:noWrap/>
            <w:hideMark/>
          </w:tcPr>
          <w:p w14:paraId="5E73E876" w14:textId="77777777" w:rsidR="00C009A9" w:rsidRPr="00B056E4" w:rsidRDefault="00C009A9" w:rsidP="00C0770E">
            <w:pPr>
              <w:jc w:val="right"/>
              <w:rPr>
                <w:sz w:val="20"/>
                <w:szCs w:val="20"/>
                <w:lang w:val="es-ES"/>
              </w:rPr>
            </w:pPr>
            <w:r w:rsidRPr="00B056E4">
              <w:rPr>
                <w:sz w:val="20"/>
                <w:szCs w:val="20"/>
                <w:lang w:val="es-ES"/>
              </w:rPr>
              <w:t>20 530</w:t>
            </w:r>
          </w:p>
        </w:tc>
        <w:tc>
          <w:tcPr>
            <w:tcW w:w="1277" w:type="dxa"/>
            <w:tcBorders>
              <w:top w:val="nil"/>
              <w:left w:val="nil"/>
              <w:bottom w:val="single" w:sz="4" w:space="0" w:color="auto"/>
              <w:right w:val="single" w:sz="4" w:space="0" w:color="auto"/>
            </w:tcBorders>
            <w:shd w:val="clear" w:color="auto" w:fill="auto"/>
            <w:noWrap/>
          </w:tcPr>
          <w:p w14:paraId="1FA9E191" w14:textId="77777777" w:rsidR="00C009A9" w:rsidRPr="00B056E4" w:rsidRDefault="00C009A9" w:rsidP="00C0770E">
            <w:pPr>
              <w:jc w:val="right"/>
              <w:rPr>
                <w:sz w:val="20"/>
                <w:szCs w:val="20"/>
                <w:lang w:val="es-ES" w:eastAsia="en-CA"/>
              </w:rPr>
            </w:pPr>
          </w:p>
        </w:tc>
      </w:tr>
      <w:tr w:rsidR="00C009A9" w:rsidRPr="00B056E4" w14:paraId="0382B6C6" w14:textId="77777777" w:rsidTr="00C0770E">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3D2D1D63" w14:textId="77777777" w:rsidR="00C009A9" w:rsidRPr="00B056E4" w:rsidRDefault="00C009A9" w:rsidP="00C0770E">
            <w:pPr>
              <w:jc w:val="left"/>
              <w:rPr>
                <w:sz w:val="20"/>
                <w:szCs w:val="20"/>
                <w:lang w:val="es-ES"/>
              </w:rPr>
            </w:pPr>
            <w:r w:rsidRPr="00B056E4">
              <w:rPr>
                <w:sz w:val="20"/>
                <w:szCs w:val="20"/>
                <w:lang w:val="es-ES"/>
              </w:rPr>
              <w:t>Tesorero</w:t>
            </w:r>
          </w:p>
        </w:tc>
        <w:tc>
          <w:tcPr>
            <w:tcW w:w="1134" w:type="dxa"/>
            <w:tcBorders>
              <w:top w:val="nil"/>
              <w:left w:val="nil"/>
              <w:bottom w:val="single" w:sz="4" w:space="0" w:color="auto"/>
              <w:right w:val="single" w:sz="4" w:space="0" w:color="auto"/>
            </w:tcBorders>
            <w:shd w:val="clear" w:color="auto" w:fill="auto"/>
            <w:noWrap/>
            <w:hideMark/>
          </w:tcPr>
          <w:p w14:paraId="06CD34C3" w14:textId="77777777" w:rsidR="00C009A9" w:rsidRPr="00B056E4" w:rsidRDefault="00C009A9" w:rsidP="00C0770E">
            <w:pPr>
              <w:jc w:val="right"/>
              <w:rPr>
                <w:sz w:val="20"/>
                <w:szCs w:val="20"/>
                <w:lang w:val="es-ES"/>
              </w:rPr>
            </w:pPr>
            <w:r w:rsidRPr="00B056E4">
              <w:rPr>
                <w:sz w:val="20"/>
                <w:szCs w:val="20"/>
                <w:lang w:val="es-ES"/>
              </w:rPr>
              <w:t>500</w:t>
            </w:r>
          </w:p>
        </w:tc>
        <w:tc>
          <w:tcPr>
            <w:tcW w:w="1134" w:type="dxa"/>
            <w:tcBorders>
              <w:top w:val="nil"/>
              <w:left w:val="nil"/>
              <w:bottom w:val="single" w:sz="4" w:space="0" w:color="auto"/>
              <w:right w:val="single" w:sz="4" w:space="0" w:color="auto"/>
            </w:tcBorders>
            <w:shd w:val="clear" w:color="auto" w:fill="auto"/>
            <w:noWrap/>
            <w:hideMark/>
          </w:tcPr>
          <w:p w14:paraId="096DCF7F" w14:textId="77777777" w:rsidR="00C009A9" w:rsidRPr="00B056E4" w:rsidRDefault="00C009A9" w:rsidP="00C0770E">
            <w:pPr>
              <w:jc w:val="right"/>
              <w:rPr>
                <w:sz w:val="20"/>
                <w:szCs w:val="20"/>
                <w:lang w:val="es-ES"/>
              </w:rPr>
            </w:pPr>
            <w:r w:rsidRPr="00B056E4">
              <w:rPr>
                <w:sz w:val="20"/>
                <w:szCs w:val="20"/>
                <w:lang w:val="es-ES"/>
              </w:rPr>
              <w:t>500</w:t>
            </w:r>
          </w:p>
        </w:tc>
        <w:tc>
          <w:tcPr>
            <w:tcW w:w="1134" w:type="dxa"/>
            <w:tcBorders>
              <w:top w:val="nil"/>
              <w:left w:val="nil"/>
              <w:bottom w:val="single" w:sz="4" w:space="0" w:color="auto"/>
              <w:right w:val="single" w:sz="4" w:space="0" w:color="auto"/>
            </w:tcBorders>
            <w:shd w:val="clear" w:color="auto" w:fill="auto"/>
            <w:noWrap/>
            <w:hideMark/>
          </w:tcPr>
          <w:p w14:paraId="54BDE685" w14:textId="77777777" w:rsidR="00C009A9" w:rsidRPr="00B056E4" w:rsidRDefault="00C009A9" w:rsidP="00C0770E">
            <w:pPr>
              <w:jc w:val="right"/>
              <w:rPr>
                <w:sz w:val="20"/>
                <w:szCs w:val="20"/>
                <w:lang w:val="es-ES"/>
              </w:rPr>
            </w:pPr>
            <w:r w:rsidRPr="00B056E4">
              <w:rPr>
                <w:sz w:val="20"/>
                <w:szCs w:val="20"/>
                <w:lang w:val="es-ES"/>
              </w:rPr>
              <w:t>500</w:t>
            </w:r>
          </w:p>
        </w:tc>
        <w:tc>
          <w:tcPr>
            <w:tcW w:w="1417" w:type="dxa"/>
            <w:tcBorders>
              <w:top w:val="nil"/>
              <w:left w:val="nil"/>
              <w:bottom w:val="single" w:sz="4" w:space="0" w:color="auto"/>
              <w:right w:val="single" w:sz="4" w:space="0" w:color="auto"/>
            </w:tcBorders>
            <w:shd w:val="clear" w:color="auto" w:fill="auto"/>
            <w:noWrap/>
            <w:hideMark/>
          </w:tcPr>
          <w:p w14:paraId="14415CAD" w14:textId="77777777" w:rsidR="00C009A9" w:rsidRPr="00B056E4" w:rsidRDefault="00C009A9" w:rsidP="00C0770E">
            <w:pPr>
              <w:jc w:val="right"/>
              <w:rPr>
                <w:sz w:val="20"/>
                <w:szCs w:val="20"/>
                <w:lang w:val="es-ES"/>
              </w:rPr>
            </w:pPr>
            <w:r w:rsidRPr="00B056E4">
              <w:rPr>
                <w:sz w:val="20"/>
                <w:szCs w:val="20"/>
                <w:lang w:val="es-ES"/>
              </w:rPr>
              <w:t>1 500</w:t>
            </w:r>
          </w:p>
        </w:tc>
        <w:tc>
          <w:tcPr>
            <w:tcW w:w="1277" w:type="dxa"/>
            <w:tcBorders>
              <w:top w:val="nil"/>
              <w:left w:val="nil"/>
              <w:bottom w:val="single" w:sz="4" w:space="0" w:color="auto"/>
              <w:right w:val="single" w:sz="4" w:space="0" w:color="auto"/>
            </w:tcBorders>
            <w:shd w:val="clear" w:color="auto" w:fill="auto"/>
            <w:noWrap/>
          </w:tcPr>
          <w:p w14:paraId="2A8D22F4" w14:textId="77777777" w:rsidR="00C009A9" w:rsidRPr="00B056E4" w:rsidRDefault="00C009A9" w:rsidP="00C0770E">
            <w:pPr>
              <w:jc w:val="right"/>
              <w:rPr>
                <w:sz w:val="20"/>
                <w:szCs w:val="20"/>
                <w:lang w:val="es-ES" w:eastAsia="en-CA"/>
              </w:rPr>
            </w:pPr>
          </w:p>
        </w:tc>
      </w:tr>
    </w:tbl>
    <w:p w14:paraId="48AA6C06" w14:textId="77777777" w:rsidR="00C009A9" w:rsidRPr="00B056E4" w:rsidRDefault="00C009A9" w:rsidP="00C009A9">
      <w:pPr>
        <w:jc w:val="left"/>
        <w:rPr>
          <w:sz w:val="19"/>
          <w:szCs w:val="19"/>
          <w:lang w:val="es-ES"/>
        </w:rPr>
      </w:pPr>
      <w:r w:rsidRPr="00B056E4">
        <w:rPr>
          <w:sz w:val="19"/>
          <w:szCs w:val="19"/>
          <w:lang w:val="es-ES"/>
        </w:rPr>
        <w:t>* Incluidos los gastos de apoyo al organismo, cuando proceda.</w:t>
      </w:r>
    </w:p>
    <w:p w14:paraId="4CFEEE75" w14:textId="77777777" w:rsidR="00C009A9" w:rsidRPr="00B056E4" w:rsidRDefault="00C009A9" w:rsidP="00C009A9">
      <w:pPr>
        <w:jc w:val="left"/>
        <w:rPr>
          <w:sz w:val="19"/>
          <w:szCs w:val="19"/>
          <w:lang w:val="es-ES"/>
        </w:rPr>
      </w:pPr>
      <w:r w:rsidRPr="00B056E4">
        <w:rPr>
          <w:sz w:val="19"/>
          <w:szCs w:val="19"/>
          <w:lang w:val="es-ES"/>
        </w:rPr>
        <w:t>** Se ha asumido el mismo volumen de reposición del Fondo Multilateral de 2018-2020.</w:t>
      </w:r>
    </w:p>
    <w:p w14:paraId="6B0ED4E5" w14:textId="77777777" w:rsidR="00C009A9" w:rsidRPr="00B056E4" w:rsidRDefault="00C009A9" w:rsidP="00C009A9">
      <w:pPr>
        <w:rPr>
          <w:b/>
          <w:lang w:val="es-ES"/>
        </w:rPr>
      </w:pPr>
    </w:p>
    <w:p w14:paraId="330A3F97" w14:textId="77777777" w:rsidR="00C009A9" w:rsidRPr="00B056E4" w:rsidRDefault="00C009A9" w:rsidP="00C009A9">
      <w:pPr>
        <w:pStyle w:val="Footer"/>
        <w:keepNext/>
        <w:tabs>
          <w:tab w:val="clear" w:pos="4320"/>
          <w:tab w:val="clear" w:pos="8640"/>
          <w:tab w:val="left" w:pos="450"/>
          <w:tab w:val="left" w:pos="720"/>
          <w:tab w:val="left" w:pos="990"/>
          <w:tab w:val="left" w:pos="1440"/>
          <w:tab w:val="left" w:pos="2160"/>
        </w:tabs>
        <w:spacing w:after="240"/>
        <w:ind w:left="1440" w:hanging="1440"/>
        <w:rPr>
          <w:b/>
          <w:lang w:val="es-ES"/>
        </w:rPr>
      </w:pPr>
      <w:r w:rsidRPr="00B056E4">
        <w:rPr>
          <w:b/>
          <w:lang w:val="es-ES"/>
        </w:rPr>
        <w:t>Otras cuestiones de criterios</w:t>
      </w:r>
    </w:p>
    <w:p w14:paraId="2B365B00" w14:textId="77777777" w:rsidR="00C009A9" w:rsidRPr="00B056E4" w:rsidRDefault="00C009A9" w:rsidP="00C009A9">
      <w:pPr>
        <w:pStyle w:val="Footer"/>
        <w:keepNext/>
        <w:tabs>
          <w:tab w:val="clear" w:pos="4320"/>
          <w:tab w:val="clear" w:pos="8640"/>
          <w:tab w:val="left" w:pos="450"/>
          <w:tab w:val="left" w:pos="720"/>
          <w:tab w:val="left" w:pos="990"/>
          <w:tab w:val="left" w:pos="1440"/>
          <w:tab w:val="left" w:pos="2160"/>
        </w:tabs>
        <w:ind w:left="1440" w:hanging="1440"/>
        <w:rPr>
          <w:u w:val="single"/>
          <w:lang w:val="es-ES"/>
        </w:rPr>
      </w:pPr>
      <w:r w:rsidRPr="00B056E4">
        <w:rPr>
          <w:u w:val="single"/>
          <w:lang w:val="es-ES"/>
        </w:rPr>
        <w:t>Actividades del plan administrativo de 2019 no aprobadas en la 84ª reunión</w:t>
      </w:r>
    </w:p>
    <w:p w14:paraId="5F4DCBFD" w14:textId="77777777" w:rsidR="00C009A9" w:rsidRPr="00B056E4" w:rsidRDefault="00C009A9" w:rsidP="00C009A9">
      <w:pPr>
        <w:pStyle w:val="Footer"/>
        <w:keepNext/>
        <w:tabs>
          <w:tab w:val="clear" w:pos="4320"/>
          <w:tab w:val="clear" w:pos="8640"/>
          <w:tab w:val="left" w:pos="450"/>
          <w:tab w:val="left" w:pos="720"/>
          <w:tab w:val="left" w:pos="990"/>
          <w:tab w:val="left" w:pos="1440"/>
          <w:tab w:val="left" w:pos="2160"/>
        </w:tabs>
        <w:ind w:left="1440" w:hanging="1440"/>
        <w:rPr>
          <w:lang w:val="es-ES"/>
        </w:rPr>
      </w:pPr>
    </w:p>
    <w:p w14:paraId="4697A391" w14:textId="77777777" w:rsidR="00C009A9" w:rsidRPr="00B056E4" w:rsidRDefault="00C009A9" w:rsidP="00C009A9">
      <w:pPr>
        <w:pStyle w:val="Heading1"/>
        <w:keepNext/>
        <w:rPr>
          <w:lang w:val="es-ES"/>
        </w:rPr>
      </w:pPr>
      <w:r w:rsidRPr="00B056E4">
        <w:rPr>
          <w:lang w:val="es-ES"/>
        </w:rPr>
        <w:t>Las actividades incluidas en los planes administrativos para el año 2019 de los organismos bilaterales y de ejecución, pero no presentadas a la 84ª reunión, ya se han incluido en el plan administrativo para el período 2020–2022. Todos los proyectos que se presenten a la 84ª reunión y que posteriormente sean aplazados también deberían incluirse en el plan administrativo para 2020</w:t>
      </w:r>
      <w:r w:rsidRPr="00B056E4">
        <w:rPr>
          <w:lang w:val="es-ES"/>
        </w:rPr>
        <w:noBreakHyphen/>
        <w:t xml:space="preserve">2022. </w:t>
      </w:r>
    </w:p>
    <w:p w14:paraId="426AD8C7" w14:textId="77777777" w:rsidR="00C009A9" w:rsidRPr="00B056E4" w:rsidRDefault="00C009A9" w:rsidP="00C009A9">
      <w:pPr>
        <w:pStyle w:val="Heading1"/>
        <w:numPr>
          <w:ilvl w:val="0"/>
          <w:numId w:val="0"/>
        </w:numPr>
        <w:rPr>
          <w:u w:val="single"/>
          <w:lang w:val="es-ES"/>
        </w:rPr>
      </w:pPr>
      <w:r w:rsidRPr="00B056E4">
        <w:rPr>
          <w:u w:val="single"/>
          <w:lang w:val="es-ES"/>
        </w:rPr>
        <w:t>Producción de HCFC: etapa I y preparación de proyectos</w:t>
      </w:r>
    </w:p>
    <w:p w14:paraId="180B21BD" w14:textId="77777777" w:rsidR="00C009A9" w:rsidRPr="00B056E4" w:rsidRDefault="00C009A9" w:rsidP="00C009A9">
      <w:pPr>
        <w:pStyle w:val="Heading1"/>
        <w:rPr>
          <w:lang w:val="es-ES"/>
        </w:rPr>
      </w:pPr>
      <w:r w:rsidRPr="00B056E4">
        <w:rPr>
          <w:lang w:val="es-ES"/>
        </w:rPr>
        <w:t xml:space="preserve">Puesto que no se ha recibido ninguna información que confirme la producción de HCFC-22 en la India para usos controlados antes de la fecha de interrupción del 21 de septiembre de 2007, la Secretaría ha eliminado del plan administrativo las actividades relativas a la etapa I del PGEPH de la India. A la </w:t>
      </w:r>
      <w:r w:rsidRPr="00B056E4">
        <w:rPr>
          <w:lang w:val="es-ES"/>
        </w:rPr>
        <w:lastRenderedPageBreak/>
        <w:t>Secretaría le gustaría solicitar al Comité Ejecutivo orientación sobre si la etapa I del PGEPH y la preparación de proyectos para la India podrían reincorporarse en el plan administrativo para 2020–2022.</w:t>
      </w:r>
    </w:p>
    <w:p w14:paraId="7E1A0229" w14:textId="77777777" w:rsidR="00C009A9" w:rsidRPr="00B056E4" w:rsidRDefault="00C009A9" w:rsidP="00C009A9">
      <w:pPr>
        <w:pStyle w:val="Heading1"/>
        <w:keepNext/>
        <w:numPr>
          <w:ilvl w:val="0"/>
          <w:numId w:val="0"/>
        </w:numPr>
        <w:rPr>
          <w:u w:val="single"/>
          <w:lang w:val="es-ES"/>
        </w:rPr>
      </w:pPr>
      <w:r w:rsidRPr="00B056E4">
        <w:rPr>
          <w:u w:val="single"/>
          <w:lang w:val="es-ES"/>
        </w:rPr>
        <w:t xml:space="preserve">Etapa III de los PGEH </w:t>
      </w:r>
    </w:p>
    <w:p w14:paraId="46D1C911" w14:textId="77777777" w:rsidR="00C009A9" w:rsidRPr="00B056E4" w:rsidRDefault="00C009A9" w:rsidP="00C009A9">
      <w:pPr>
        <w:pStyle w:val="Heading1"/>
        <w:rPr>
          <w:lang w:val="es-ES"/>
        </w:rPr>
      </w:pPr>
      <w:r w:rsidRPr="00B056E4">
        <w:rPr>
          <w:lang w:val="es-ES"/>
        </w:rPr>
        <w:t>En línea con la decisión 82/45(c)(i), la Secretaría ha eliminado del plan administrativo para 2020–2022 todas las actividades relativas a la etapa III de los PGEH correspondientes a aquellos países con un objetivo de reducción para años posteriores a 2020.  No obstante, teniendo en cuenta que el plan administrativo cubre el período posterior a 2020 y que varios países han aprobado la etapa II de los PGEH con un objetivo de reducción entre 2021 y 2025, la Secretaría desearía solicitar orientaciones al Comité Ejecutivo al respecto del calendario del futuro plan administrativo en el que pudieran incluirse las actividades conexas a la etapa III de los PGEH de los países con objetivos de reducción posteriores a 2020.</w:t>
      </w:r>
    </w:p>
    <w:p w14:paraId="791B79D9" w14:textId="77777777" w:rsidR="00C009A9" w:rsidRPr="00B056E4" w:rsidRDefault="00C009A9" w:rsidP="00C009A9">
      <w:pPr>
        <w:rPr>
          <w:u w:val="single"/>
          <w:lang w:val="es-ES"/>
        </w:rPr>
      </w:pPr>
      <w:r w:rsidRPr="00B056E4">
        <w:rPr>
          <w:u w:val="single"/>
          <w:lang w:val="es-ES"/>
        </w:rPr>
        <w:t>Plan de gestión de la eliminación de HFC</w:t>
      </w:r>
    </w:p>
    <w:p w14:paraId="2E1E7085" w14:textId="77777777" w:rsidR="00C009A9" w:rsidRPr="00B056E4" w:rsidRDefault="00C009A9" w:rsidP="00C009A9">
      <w:pPr>
        <w:rPr>
          <w:u w:val="single"/>
          <w:lang w:val="es-ES"/>
        </w:rPr>
      </w:pPr>
    </w:p>
    <w:p w14:paraId="60CF6D5D" w14:textId="77777777" w:rsidR="00C009A9" w:rsidRPr="00B056E4" w:rsidRDefault="00C009A9" w:rsidP="00C009A9">
      <w:pPr>
        <w:pStyle w:val="Heading1"/>
        <w:rPr>
          <w:lang w:val="es-ES"/>
        </w:rPr>
      </w:pPr>
      <w:r w:rsidRPr="00B056E4">
        <w:rPr>
          <w:lang w:val="es-ES"/>
        </w:rPr>
        <w:t>En línea con la decisión 79/46(b)(iii), la Secretaría ha eliminado todas las actividades de eliminación de HFC de los países que no han ratificado la Enmienda de Kigali. No obstante, todos estos países, excepto dos, han facilitado cartas de intención. La Secretaría desea pedir orientación al Comité Ejecutivo sobre la posibilidad de reincorporar en el plan administrativo para 2020-2022 las actividades de preparación de la eliminación de HFC, teniendo en cuenta las cartas de intención facilitadas por los gobiernos afectados que indican su propósito de hacer todo lo posible para ratificar la Enmienda.</w:t>
      </w:r>
    </w:p>
    <w:p w14:paraId="10A37AD4" w14:textId="77777777" w:rsidR="00C009A9" w:rsidRPr="00B056E4" w:rsidRDefault="00C009A9" w:rsidP="00C009A9">
      <w:pPr>
        <w:pStyle w:val="Heading1"/>
        <w:rPr>
          <w:lang w:val="es-ES"/>
        </w:rPr>
      </w:pPr>
      <w:r w:rsidRPr="00B056E4">
        <w:rPr>
          <w:lang w:val="es-ES"/>
        </w:rPr>
        <w:t>La Secretaría también ha eliminado del plan administrativo para 2020–2022 los planes de gestión de la eliminación de HFC, teniendo en cuenta que no hay ninguna decisión del Comité Ejecutivo que permita a los países incluir dichas actividades en el plan administrativo, ya que, de acuerdo a la decisión 79/46(b)(iii), únicamente es admisible la financiación preparatoria.  La Secretaría desea solicitar orientaciones al Comité Ejecutivo al respecto del calendario de los futuros planes administrativos en los que pudieran incluirse las actividades conexas a los planes de gestión de la eliminación de HFC.</w:t>
      </w:r>
    </w:p>
    <w:p w14:paraId="6AABDC06" w14:textId="77777777" w:rsidR="00C009A9" w:rsidRPr="00B056E4" w:rsidRDefault="00C009A9" w:rsidP="00C009A9">
      <w:pPr>
        <w:pStyle w:val="Heading1"/>
        <w:keepNext/>
        <w:numPr>
          <w:ilvl w:val="0"/>
          <w:numId w:val="0"/>
        </w:numPr>
        <w:tabs>
          <w:tab w:val="left" w:pos="450"/>
          <w:tab w:val="left" w:pos="720"/>
          <w:tab w:val="left" w:pos="990"/>
          <w:tab w:val="left" w:pos="1440"/>
          <w:tab w:val="left" w:pos="2160"/>
        </w:tabs>
        <w:spacing w:after="0"/>
        <w:rPr>
          <w:u w:val="single"/>
          <w:lang w:val="es-ES"/>
        </w:rPr>
      </w:pPr>
      <w:r w:rsidRPr="00B056E4">
        <w:rPr>
          <w:u w:val="single"/>
          <w:lang w:val="es-ES"/>
        </w:rPr>
        <w:t xml:space="preserve">Presupuestación en exceso </w:t>
      </w:r>
    </w:p>
    <w:p w14:paraId="5E24B72E" w14:textId="77777777" w:rsidR="00C009A9" w:rsidRPr="00B056E4" w:rsidRDefault="00C009A9" w:rsidP="00C009A9">
      <w:pPr>
        <w:rPr>
          <w:lang w:val="es-ES"/>
        </w:rPr>
      </w:pPr>
    </w:p>
    <w:p w14:paraId="41945A38" w14:textId="77777777" w:rsidR="00C009A9" w:rsidRPr="00B056E4" w:rsidRDefault="00C009A9" w:rsidP="00C009A9">
      <w:pPr>
        <w:pStyle w:val="Heading1"/>
        <w:rPr>
          <w:lang w:val="es-ES"/>
        </w:rPr>
      </w:pPr>
      <w:r w:rsidRPr="00B056E4">
        <w:rPr>
          <w:lang w:val="es-ES"/>
        </w:rPr>
        <w:t xml:space="preserve">Una vez efectuados los ajustes, las cuantías de las actividades incluidas en el plan administrativo superan el presupuesto indicativo en 14,15 millones de $EUA para el trienio 2020-2022, presuponiendo un presupuesto anual de 180 millones de $EUA para 2021 y 2022; es decir, al mismo nivel que la reposición de 2018-2020. Se supera el presupuesto indicativo en 54,04 millones de $EUA en 2020, de los que 6,56 millones de $EUA son conexos a las actividades relativas a los HFC. Para 2020 y 2021, los montos del plan administrativo son inferiores al presupuesto indicativo en 9,03 millones de $EUA y 30,86 millones de $EUA respectivamente. El valor del plan administrativo, 225,04 millones de $EUA para 2020, incluye 25 944 375 $EUA correspondientes a los tramos de financiación que no se presentaron en 2019 y que, por tanto, se incluyen en 2020. </w:t>
      </w:r>
    </w:p>
    <w:p w14:paraId="7355EF81" w14:textId="77777777" w:rsidR="00C009A9" w:rsidRPr="00B056E4" w:rsidRDefault="00C009A9" w:rsidP="00C009A9">
      <w:pPr>
        <w:rPr>
          <w:u w:val="single"/>
          <w:lang w:val="es-ES"/>
        </w:rPr>
      </w:pPr>
      <w:r w:rsidRPr="00B056E4">
        <w:rPr>
          <w:u w:val="single"/>
          <w:lang w:val="es-ES"/>
        </w:rPr>
        <w:t>Ajuste posterior a la 84ª reunión</w:t>
      </w:r>
    </w:p>
    <w:p w14:paraId="42D22DE9" w14:textId="77777777" w:rsidR="00C009A9" w:rsidRPr="00B056E4" w:rsidRDefault="00C009A9" w:rsidP="00C009A9">
      <w:pPr>
        <w:rPr>
          <w:lang w:val="es-ES"/>
        </w:rPr>
      </w:pPr>
    </w:p>
    <w:p w14:paraId="14381BD7" w14:textId="77777777" w:rsidR="00C009A9" w:rsidRPr="00B056E4" w:rsidRDefault="00C009A9" w:rsidP="00C009A9">
      <w:pPr>
        <w:pStyle w:val="Heading1"/>
        <w:rPr>
          <w:lang w:val="es-ES"/>
        </w:rPr>
      </w:pPr>
      <w:r w:rsidRPr="00B056E4">
        <w:rPr>
          <w:lang w:val="es-ES"/>
        </w:rPr>
        <w:t>El plan administrativo para 2020-2022 se podría ajustar aún más sobre la base de los niveles de financiación de las nuevas etapas de los PGEH que se aprobarán en principio en la 84ª reunión. El Comité Ejecutivo tal vez desee ajustar el plan administrativo para 2020</w:t>
      </w:r>
      <w:r w:rsidRPr="00B056E4">
        <w:rPr>
          <w:lang w:val="es-ES"/>
        </w:rPr>
        <w:noBreakHyphen/>
        <w:t>2022 basándose en el nivel de fondos para los planes de gestión de eliminación de HCFC aprobados en principio en la 84ª reunión.</w:t>
      </w:r>
    </w:p>
    <w:p w14:paraId="4790B290" w14:textId="77777777" w:rsidR="00C009A9" w:rsidRPr="00B056E4" w:rsidRDefault="00C009A9" w:rsidP="00C009A9">
      <w:pPr>
        <w:rPr>
          <w:u w:val="single"/>
          <w:lang w:val="es-ES"/>
        </w:rPr>
      </w:pPr>
      <w:r w:rsidRPr="00B056E4">
        <w:rPr>
          <w:u w:val="single"/>
          <w:lang w:val="es-ES"/>
        </w:rPr>
        <w:t>Cuestiones de criterios en los planes administrativos de los organismos</w:t>
      </w:r>
    </w:p>
    <w:p w14:paraId="151F25A4" w14:textId="77777777" w:rsidR="00C009A9" w:rsidRPr="00B056E4" w:rsidRDefault="00C009A9" w:rsidP="00C009A9">
      <w:pPr>
        <w:rPr>
          <w:u w:val="single"/>
          <w:lang w:val="es-ES"/>
        </w:rPr>
      </w:pPr>
    </w:p>
    <w:p w14:paraId="66F3CA8F" w14:textId="77777777" w:rsidR="00C009A9" w:rsidRPr="00B056E4" w:rsidRDefault="00C009A9" w:rsidP="00C009A9">
      <w:pPr>
        <w:pStyle w:val="Heading1"/>
        <w:rPr>
          <w:lang w:val="es-ES"/>
        </w:rPr>
      </w:pPr>
      <w:r w:rsidRPr="00B056E4">
        <w:rPr>
          <w:lang w:val="es-ES"/>
        </w:rPr>
        <w:t xml:space="preserve">El PNUD ha informado de las siguientes cuestiones de criterios: la financiación de la transformación del mercado utilizando los costos adicionales de explotación de una forma más flexible e inclusiva; las dificultades de los países de bajo volumen de consumo para demostrar tecnologías alternativas </w:t>
      </w:r>
      <w:r w:rsidRPr="00B056E4">
        <w:rPr>
          <w:lang w:val="es-ES"/>
        </w:rPr>
        <w:lastRenderedPageBreak/>
        <w:t>y capacidad para incrementar su uso con la limitada financiación disponible; dentro del servicio y mantenimiento, debería prestarse una atención especial al subsector del montaje y dársele un tratamiento diferenciado; debería evaluarse la relación de costo a eficacia basándose en equivalentes de CO</w:t>
      </w:r>
      <w:r w:rsidRPr="00B056E4">
        <w:rPr>
          <w:vertAlign w:val="subscript"/>
          <w:lang w:val="es-ES"/>
        </w:rPr>
        <w:t>2</w:t>
      </w:r>
      <w:r w:rsidRPr="00B056E4">
        <w:rPr>
          <w:lang w:val="es-ES"/>
        </w:rPr>
        <w:t xml:space="preserve">; además, es necesario mantener comunicación y sinergias con medidas más amplias de acción climática a nivel nacional e internacional.      </w:t>
      </w:r>
    </w:p>
    <w:p w14:paraId="31AEC2D1" w14:textId="77777777" w:rsidR="00C009A9" w:rsidRPr="00B056E4" w:rsidRDefault="00C009A9" w:rsidP="00C009A9">
      <w:pPr>
        <w:pStyle w:val="Heading1"/>
        <w:rPr>
          <w:lang w:val="es-ES"/>
        </w:rPr>
      </w:pPr>
      <w:r w:rsidRPr="00B056E4">
        <w:rPr>
          <w:lang w:val="es-ES"/>
        </w:rPr>
        <w:t xml:space="preserve">El PNUMA desea solicitar orientaciones del Comité Ejecutivo respecto la admisibilidad y las pautas para la preparación de los planes de ejecución nacionales de eliminación de los HFC. </w:t>
      </w:r>
    </w:p>
    <w:p w14:paraId="187490DD" w14:textId="77777777" w:rsidR="00C009A9" w:rsidRPr="00B056E4" w:rsidRDefault="00C009A9" w:rsidP="00C009A9">
      <w:pPr>
        <w:pStyle w:val="Heading1"/>
        <w:rPr>
          <w:lang w:val="es-ES"/>
        </w:rPr>
      </w:pPr>
      <w:r w:rsidRPr="00B056E4">
        <w:rPr>
          <w:lang w:val="es-ES"/>
        </w:rPr>
        <w:t xml:space="preserve">Las cuestiones de criterios informadas por los organismos de ejecución se cubren en los planes administrativos de cada uno de los organismos. </w:t>
      </w:r>
    </w:p>
    <w:p w14:paraId="4AE625F5" w14:textId="77777777" w:rsidR="00C009A9" w:rsidRPr="00B056E4" w:rsidRDefault="00C009A9" w:rsidP="00C009A9">
      <w:pPr>
        <w:pStyle w:val="Footer"/>
        <w:keepNext/>
        <w:tabs>
          <w:tab w:val="clear" w:pos="4320"/>
          <w:tab w:val="clear" w:pos="8640"/>
          <w:tab w:val="left" w:pos="450"/>
          <w:tab w:val="left" w:pos="720"/>
          <w:tab w:val="left" w:pos="990"/>
          <w:tab w:val="left" w:pos="1440"/>
          <w:tab w:val="left" w:pos="2160"/>
        </w:tabs>
        <w:ind w:left="1440" w:hanging="1440"/>
        <w:rPr>
          <w:b/>
          <w:lang w:val="es-ES"/>
        </w:rPr>
      </w:pPr>
      <w:r w:rsidRPr="00B056E4">
        <w:rPr>
          <w:b/>
          <w:lang w:val="es-ES"/>
        </w:rPr>
        <w:t>RECOMENDACIÓN</w:t>
      </w:r>
    </w:p>
    <w:p w14:paraId="7A4B0044" w14:textId="77777777" w:rsidR="00C009A9" w:rsidRPr="00B056E4" w:rsidRDefault="00C009A9" w:rsidP="00C009A9">
      <w:pPr>
        <w:pStyle w:val="Footer"/>
        <w:keepNext/>
        <w:tabs>
          <w:tab w:val="clear" w:pos="4320"/>
          <w:tab w:val="clear" w:pos="8640"/>
          <w:tab w:val="left" w:pos="450"/>
          <w:tab w:val="left" w:pos="720"/>
          <w:tab w:val="left" w:pos="990"/>
          <w:tab w:val="left" w:pos="1440"/>
          <w:tab w:val="left" w:pos="2160"/>
        </w:tabs>
        <w:ind w:left="1440" w:hanging="1440"/>
        <w:rPr>
          <w:b/>
          <w:lang w:val="es-ES"/>
        </w:rPr>
      </w:pPr>
    </w:p>
    <w:p w14:paraId="2A562FDC" w14:textId="77777777" w:rsidR="00C009A9" w:rsidRPr="00B056E4" w:rsidRDefault="00C009A9" w:rsidP="00C009A9">
      <w:pPr>
        <w:pStyle w:val="Heading1"/>
        <w:rPr>
          <w:lang w:val="es-ES"/>
        </w:rPr>
      </w:pPr>
      <w:r w:rsidRPr="00B056E4">
        <w:rPr>
          <w:lang w:val="es-ES"/>
        </w:rPr>
        <w:t>El Comité Ejecutivo tal vez desee:</w:t>
      </w:r>
    </w:p>
    <w:p w14:paraId="4776C7D7" w14:textId="77777777" w:rsidR="00C009A9" w:rsidRPr="00B056E4" w:rsidRDefault="00C009A9" w:rsidP="00C009A9">
      <w:pPr>
        <w:pStyle w:val="Heading2"/>
        <w:rPr>
          <w:lang w:val="es-ES"/>
        </w:rPr>
      </w:pPr>
      <w:r w:rsidRPr="00B056E4">
        <w:rPr>
          <w:lang w:val="es-ES"/>
        </w:rPr>
        <w:t>Tomar nota del plan administrativo refundido del Fondo Multilateral para 2020-2022 que figura en el documento UNEP/OzL.Pro/ExCom/84/26;</w:t>
      </w:r>
    </w:p>
    <w:p w14:paraId="32DD506F" w14:textId="77777777" w:rsidR="00C009A9" w:rsidRPr="00B056E4" w:rsidRDefault="00C009A9" w:rsidP="00C009A9">
      <w:pPr>
        <w:pStyle w:val="Heading2"/>
        <w:rPr>
          <w:lang w:val="es-ES"/>
        </w:rPr>
      </w:pPr>
      <w:r w:rsidRPr="00B056E4">
        <w:rPr>
          <w:lang w:val="es-ES"/>
        </w:rPr>
        <w:t xml:space="preserve">Decidir si: </w:t>
      </w:r>
    </w:p>
    <w:p w14:paraId="6F63772E" w14:textId="77777777" w:rsidR="00C009A9" w:rsidRPr="00B056E4" w:rsidRDefault="00C009A9" w:rsidP="00C009A9">
      <w:pPr>
        <w:pStyle w:val="Heading3"/>
        <w:rPr>
          <w:lang w:val="es-ES"/>
        </w:rPr>
      </w:pPr>
      <w:r w:rsidRPr="00B056E4">
        <w:rPr>
          <w:lang w:val="es-ES"/>
        </w:rPr>
        <w:t>Ajusta el plan administrativo de conformidad con la propuesta de la Secretaría que figura en el documento UNEP/OzL.Pro/ExCom/84/26;</w:t>
      </w:r>
    </w:p>
    <w:p w14:paraId="55E01D24" w14:textId="77777777" w:rsidR="00C009A9" w:rsidRPr="00B056E4" w:rsidRDefault="00C009A9" w:rsidP="00C009A9">
      <w:pPr>
        <w:pStyle w:val="Heading3"/>
        <w:rPr>
          <w:lang w:val="es-ES"/>
        </w:rPr>
      </w:pPr>
      <w:r w:rsidRPr="00B056E4">
        <w:rPr>
          <w:lang w:val="es-ES"/>
        </w:rPr>
        <w:t>Ajusta aún más el plan administrativo como se proponga durante los debates del Comité Ejecutivo en el transcurso de la 84ª reunión o durante la presentación a la misma de los planes administrativos que efectúen los organismos bilaterales y de ejecución;</w:t>
      </w:r>
    </w:p>
    <w:p w14:paraId="11CACA9E" w14:textId="77777777" w:rsidR="00C009A9" w:rsidRPr="00B056E4" w:rsidRDefault="00C009A9" w:rsidP="00C009A9">
      <w:pPr>
        <w:pStyle w:val="Header4"/>
        <w:rPr>
          <w:lang w:val="es-ES"/>
        </w:rPr>
      </w:pPr>
      <w:r w:rsidRPr="00B056E4">
        <w:rPr>
          <w:lang w:val="es-ES"/>
        </w:rPr>
        <w:t xml:space="preserve">Añadiendo al plan administrativo de 2020 los planes de gestión de eliminación de HCFC y las actividades de fortalecimiento institucional del plan administrativo de 2019 que se aplazaron hasta la 84ª reunión; </w:t>
      </w:r>
    </w:p>
    <w:p w14:paraId="2BCBCF64" w14:textId="77777777" w:rsidR="00C009A9" w:rsidRPr="00B056E4" w:rsidRDefault="00C009A9" w:rsidP="00C009A9">
      <w:pPr>
        <w:pStyle w:val="Header4"/>
        <w:rPr>
          <w:lang w:val="es-ES"/>
        </w:rPr>
      </w:pPr>
      <w:r w:rsidRPr="00B056E4">
        <w:rPr>
          <w:lang w:val="es-ES"/>
        </w:rPr>
        <w:t>Teniendo en cuenta los valores aprobados en principio para los nuevos planes de gestión de eliminación de HCFC de la 84ª reunión;</w:t>
      </w:r>
    </w:p>
    <w:p w14:paraId="44DFE773" w14:textId="77777777" w:rsidR="00C009A9" w:rsidRPr="00B056E4" w:rsidRDefault="00C009A9" w:rsidP="00C009A9">
      <w:pPr>
        <w:pStyle w:val="Heading2"/>
        <w:rPr>
          <w:lang w:val="es-ES"/>
        </w:rPr>
      </w:pPr>
      <w:r w:rsidRPr="00B056E4">
        <w:rPr>
          <w:lang w:val="es-ES"/>
        </w:rPr>
        <w:t>Evaluar:</w:t>
      </w:r>
    </w:p>
    <w:p w14:paraId="5CBF027D" w14:textId="77777777" w:rsidR="00C009A9" w:rsidRPr="00B056E4" w:rsidRDefault="00C009A9" w:rsidP="00C009A9">
      <w:pPr>
        <w:pStyle w:val="Heading3"/>
        <w:rPr>
          <w:lang w:val="es-ES"/>
        </w:rPr>
      </w:pPr>
      <w:r w:rsidRPr="00B056E4">
        <w:rPr>
          <w:lang w:val="es-ES"/>
        </w:rPr>
        <w:t xml:space="preserve">Si es posible reincorporar la etapa I del plan de gestión de eliminación de los HCFC y la preparación de proyectos de la India; </w:t>
      </w:r>
    </w:p>
    <w:p w14:paraId="26CF5BD7" w14:textId="77777777" w:rsidR="00C009A9" w:rsidRPr="00B056E4" w:rsidRDefault="00C009A9" w:rsidP="00C009A9">
      <w:pPr>
        <w:pStyle w:val="Heading3"/>
        <w:rPr>
          <w:lang w:val="es-ES"/>
        </w:rPr>
      </w:pPr>
      <w:r w:rsidRPr="00B056E4">
        <w:rPr>
          <w:lang w:val="es-ES"/>
        </w:rPr>
        <w:t xml:space="preserve">Cuándo podrían comunicarse las actividades relacionadas con la etapa III de los PGEH correspondientes a países cuyas etapas II de los PGEH tengan objetivos de reducción posteriores a 2020; </w:t>
      </w:r>
    </w:p>
    <w:p w14:paraId="7C030631" w14:textId="77777777" w:rsidR="00C009A9" w:rsidRPr="00B056E4" w:rsidRDefault="00C009A9" w:rsidP="00C009A9">
      <w:pPr>
        <w:pStyle w:val="Heading3"/>
        <w:rPr>
          <w:lang w:val="es-ES"/>
        </w:rPr>
      </w:pPr>
      <w:r w:rsidRPr="00B056E4">
        <w:rPr>
          <w:lang w:val="es-ES"/>
        </w:rPr>
        <w:t xml:space="preserve">Si pueden reincorporarse las actividades de preparación para la eliminación de HFC correspondientes a aquellos países que no han ratificado la Enmienda de Kigali, pero han facilitado una carta de intención indicando el propósito de sus Gobiernos de hacer todo lo posible para ratificar la Enmienda de Kigali; </w:t>
      </w:r>
    </w:p>
    <w:p w14:paraId="1B1183C2" w14:textId="77777777" w:rsidR="00C009A9" w:rsidRPr="00B056E4" w:rsidRDefault="00C009A9" w:rsidP="00C009A9">
      <w:pPr>
        <w:pStyle w:val="Heading3"/>
        <w:rPr>
          <w:lang w:val="es-ES"/>
        </w:rPr>
      </w:pPr>
      <w:r w:rsidRPr="00B056E4">
        <w:rPr>
          <w:lang w:val="es-ES"/>
        </w:rPr>
        <w:t>Cuando podrían comunicarse las actividades conexas a los planes de eliminación de HFC; y</w:t>
      </w:r>
    </w:p>
    <w:p w14:paraId="09F869FE" w14:textId="77777777" w:rsidR="00C009A9" w:rsidRPr="00B056E4" w:rsidRDefault="00C009A9" w:rsidP="00DA46F0">
      <w:pPr>
        <w:pStyle w:val="Heading2"/>
        <w:keepNext/>
        <w:widowControl/>
        <w:rPr>
          <w:lang w:val="es-ES"/>
        </w:rPr>
      </w:pPr>
      <w:r w:rsidRPr="00B056E4">
        <w:rPr>
          <w:lang w:val="es-ES"/>
        </w:rPr>
        <w:lastRenderedPageBreak/>
        <w:t>Avalar el plan administrativo refundido del Fondo Multilateral para 2020-2022, con los ajustes efectuados por la Secretaría (y el Comité Ejecutivo), teniendo en cuenta las decisiones pertinentes tomadas en la 84ª reunión y señalando al mismo tiempo que dicho aval no implica la aprobación ni de los proyectos incluidos en dicho plan ni de sus niveles de financiación o tonelaje.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C009A9" w:rsidRPr="008B1E4C" w14:paraId="5378F6F3" w14:textId="77777777" w:rsidTr="00C0770E">
        <w:tc>
          <w:tcPr>
            <w:tcW w:w="1871" w:type="dxa"/>
          </w:tcPr>
          <w:p w14:paraId="1A06F7D0" w14:textId="77777777" w:rsidR="00C009A9" w:rsidRPr="00561924" w:rsidRDefault="00C009A9" w:rsidP="00C0770E">
            <w:pPr>
              <w:tabs>
                <w:tab w:val="left" w:pos="8280"/>
              </w:tabs>
              <w:rPr>
                <w:lang w:val="es-ES"/>
              </w:rPr>
            </w:pPr>
          </w:p>
        </w:tc>
        <w:tc>
          <w:tcPr>
            <w:tcW w:w="1872" w:type="dxa"/>
          </w:tcPr>
          <w:p w14:paraId="185DA56E" w14:textId="77777777" w:rsidR="00C009A9" w:rsidRPr="00561924" w:rsidRDefault="00C009A9" w:rsidP="00C0770E">
            <w:pPr>
              <w:tabs>
                <w:tab w:val="left" w:pos="8280"/>
              </w:tabs>
              <w:rPr>
                <w:lang w:val="es-ES"/>
              </w:rPr>
            </w:pPr>
          </w:p>
        </w:tc>
        <w:tc>
          <w:tcPr>
            <w:tcW w:w="1872" w:type="dxa"/>
            <w:tcBorders>
              <w:bottom w:val="single" w:sz="4" w:space="0" w:color="auto"/>
            </w:tcBorders>
          </w:tcPr>
          <w:p w14:paraId="5BA02FA5" w14:textId="77777777" w:rsidR="00C009A9" w:rsidRPr="00561924" w:rsidRDefault="00C009A9" w:rsidP="00C0770E">
            <w:pPr>
              <w:tabs>
                <w:tab w:val="left" w:pos="8280"/>
              </w:tabs>
              <w:rPr>
                <w:lang w:val="es-ES"/>
              </w:rPr>
            </w:pPr>
          </w:p>
        </w:tc>
        <w:tc>
          <w:tcPr>
            <w:tcW w:w="1872" w:type="dxa"/>
          </w:tcPr>
          <w:p w14:paraId="2B50C01C" w14:textId="77777777" w:rsidR="00C009A9" w:rsidRPr="00561924" w:rsidRDefault="00C009A9" w:rsidP="00C0770E">
            <w:pPr>
              <w:tabs>
                <w:tab w:val="left" w:pos="8280"/>
              </w:tabs>
              <w:rPr>
                <w:lang w:val="es-ES"/>
              </w:rPr>
            </w:pPr>
          </w:p>
        </w:tc>
        <w:tc>
          <w:tcPr>
            <w:tcW w:w="1873" w:type="dxa"/>
          </w:tcPr>
          <w:p w14:paraId="53E6AC9D" w14:textId="77777777" w:rsidR="00C009A9" w:rsidRPr="00561924" w:rsidRDefault="00C009A9" w:rsidP="00C0770E">
            <w:pPr>
              <w:tabs>
                <w:tab w:val="left" w:pos="8280"/>
              </w:tabs>
              <w:rPr>
                <w:lang w:val="es-ES"/>
              </w:rPr>
            </w:pPr>
          </w:p>
        </w:tc>
      </w:tr>
    </w:tbl>
    <w:p w14:paraId="3D9DC5D0" w14:textId="77777777" w:rsidR="0087455A" w:rsidRDefault="0087455A" w:rsidP="00C009A9">
      <w:pPr>
        <w:rPr>
          <w:b/>
          <w:bCs/>
          <w:lang w:val="es-ES"/>
        </w:rPr>
      </w:pPr>
    </w:p>
    <w:sectPr w:rsidR="0087455A">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184AB" w14:textId="77777777" w:rsidR="00E722AE" w:rsidRDefault="00E722AE">
      <w:r>
        <w:separator/>
      </w:r>
    </w:p>
  </w:endnote>
  <w:endnote w:type="continuationSeparator" w:id="0">
    <w:p w14:paraId="24AB7AED" w14:textId="77777777" w:rsidR="00E722AE" w:rsidRDefault="00E7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857903"/>
      <w:docPartObj>
        <w:docPartGallery w:val="Page Numbers (Bottom of Page)"/>
        <w:docPartUnique/>
      </w:docPartObj>
    </w:sdtPr>
    <w:sdtEndPr>
      <w:rPr>
        <w:noProof/>
      </w:rPr>
    </w:sdtEndPr>
    <w:sdtContent>
      <w:p w14:paraId="044CEE2D" w14:textId="5ABF6C0E" w:rsidR="00123182" w:rsidRDefault="00123182">
        <w:pPr>
          <w:pStyle w:val="Footer"/>
          <w:jc w:val="center"/>
        </w:pPr>
        <w:r>
          <w:fldChar w:fldCharType="begin"/>
        </w:r>
        <w:r>
          <w:instrText xml:space="preserve"> PAGE   \* MERGEFORMAT </w:instrText>
        </w:r>
        <w:r>
          <w:fldChar w:fldCharType="separate"/>
        </w:r>
        <w:r w:rsidR="00775553">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647323"/>
      <w:docPartObj>
        <w:docPartGallery w:val="Page Numbers (Bottom of Page)"/>
        <w:docPartUnique/>
      </w:docPartObj>
    </w:sdtPr>
    <w:sdtEndPr>
      <w:rPr>
        <w:noProof/>
      </w:rPr>
    </w:sdtEndPr>
    <w:sdtContent>
      <w:p w14:paraId="483B0A36" w14:textId="17D0451A" w:rsidR="00123182" w:rsidRDefault="00123182">
        <w:pPr>
          <w:pStyle w:val="Footer"/>
          <w:jc w:val="center"/>
        </w:pPr>
        <w:r>
          <w:fldChar w:fldCharType="begin"/>
        </w:r>
        <w:r>
          <w:instrText xml:space="preserve"> PAGE   \* MERGEFORMAT </w:instrText>
        </w:r>
        <w:r>
          <w:fldChar w:fldCharType="separate"/>
        </w:r>
        <w:r w:rsidR="00775553">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228691"/>
      <w:docPartObj>
        <w:docPartGallery w:val="Page Numbers (Bottom of Page)"/>
        <w:docPartUnique/>
      </w:docPartObj>
    </w:sdtPr>
    <w:sdtEndPr>
      <w:rPr>
        <w:noProof/>
      </w:rPr>
    </w:sdtEndPr>
    <w:sdtContent>
      <w:p w14:paraId="1A990B8F" w14:textId="40D90606" w:rsidR="00123182" w:rsidRPr="008248A7" w:rsidRDefault="00123182" w:rsidP="00087329">
        <w:pPr>
          <w:pBdr>
            <w:top w:val="single" w:sz="4" w:space="1" w:color="auto"/>
            <w:left w:val="single" w:sz="4" w:space="4" w:color="auto"/>
            <w:bottom w:val="single" w:sz="4" w:space="1" w:color="auto"/>
            <w:right w:val="single" w:sz="4" w:space="4" w:color="auto"/>
          </w:pBdr>
          <w:ind w:right="-138"/>
          <w:jc w:val="center"/>
          <w:rPr>
            <w:sz w:val="18"/>
            <w:szCs w:val="18"/>
            <w:lang w:val="es-419"/>
          </w:rPr>
        </w:pPr>
        <w:r w:rsidRPr="008248A7">
          <w:rPr>
            <w:sz w:val="18"/>
            <w:szCs w:val="18"/>
            <w:lang w:val="es-419"/>
          </w:rPr>
          <w:t>Los documentos previos al período de sesiones del Comité Ejecutivo del Fondo Multilateral para la Aplicación del Protocolo de Montreal no van en perjuicio de cualquier decisión que el Comité Ejecutivo pudiera adoptar después de la emisión de los mismos.</w:t>
        </w:r>
      </w:p>
      <w:p w14:paraId="1AF6EFAE" w14:textId="77777777" w:rsidR="00123182" w:rsidRDefault="00775553" w:rsidP="00087329">
        <w:pPr>
          <w:pStyle w:val="Footer"/>
          <w:ind w:right="-138"/>
          <w:rPr>
            <w:noProof/>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09B05" w14:textId="77777777" w:rsidR="00E722AE" w:rsidRDefault="00E722AE">
      <w:r>
        <w:separator/>
      </w:r>
    </w:p>
  </w:footnote>
  <w:footnote w:type="continuationSeparator" w:id="0">
    <w:p w14:paraId="44FF46A6" w14:textId="77777777" w:rsidR="00E722AE" w:rsidRDefault="00E722AE">
      <w:r>
        <w:continuationSeparator/>
      </w:r>
    </w:p>
  </w:footnote>
  <w:footnote w:id="1">
    <w:p w14:paraId="6C759289" w14:textId="19A807AC" w:rsidR="00C009A9" w:rsidRDefault="00C009A9" w:rsidP="00C009A9">
      <w:pPr>
        <w:pStyle w:val="FootnoteText"/>
      </w:pPr>
      <w:r>
        <w:rPr>
          <w:rStyle w:val="FootnoteReference"/>
        </w:rPr>
        <w:footnoteRef/>
      </w:r>
      <w:r>
        <w:t xml:space="preserve"> Montreal, del 9 al 11 de octubre de 2019.</w:t>
      </w:r>
    </w:p>
    <w:p w14:paraId="5E3AFFCA" w14:textId="2E7F3F6D" w:rsidR="00087329" w:rsidRDefault="00087329" w:rsidP="00C009A9">
      <w:pPr>
        <w:pStyle w:val="FootnoteText"/>
      </w:pPr>
    </w:p>
    <w:p w14:paraId="62B11189" w14:textId="77777777" w:rsidR="00087329" w:rsidRPr="002E756D" w:rsidRDefault="00087329" w:rsidP="00C009A9">
      <w:pPr>
        <w:pStyle w:val="FootnoteText"/>
      </w:pPr>
    </w:p>
  </w:footnote>
  <w:footnote w:id="2">
    <w:p w14:paraId="758385FB" w14:textId="77777777" w:rsidR="00C009A9" w:rsidRPr="002E756D" w:rsidRDefault="00C009A9" w:rsidP="00C009A9">
      <w:pPr>
        <w:pStyle w:val="FootnoteText"/>
      </w:pPr>
      <w:r>
        <w:rPr>
          <w:rStyle w:val="FootnoteReference"/>
        </w:rPr>
        <w:footnoteRef/>
      </w:r>
      <w:r>
        <w:t xml:space="preserve"> UNEP/OzL.Pro/ExCom/84/27</w:t>
      </w:r>
    </w:p>
  </w:footnote>
  <w:footnote w:id="3">
    <w:p w14:paraId="51B7E3E5" w14:textId="77777777" w:rsidR="00C009A9" w:rsidRPr="002E756D" w:rsidRDefault="00C009A9" w:rsidP="00C009A9">
      <w:pPr>
        <w:pStyle w:val="FootnoteText"/>
      </w:pPr>
      <w:r>
        <w:rPr>
          <w:rStyle w:val="FootnoteReference"/>
        </w:rPr>
        <w:footnoteRef/>
      </w:r>
      <w:r>
        <w:t xml:space="preserve"> UNEP/OzL.Pro/ExCom/84/28</w:t>
      </w:r>
    </w:p>
  </w:footnote>
  <w:footnote w:id="4">
    <w:p w14:paraId="16AEAFD2" w14:textId="77777777" w:rsidR="00C009A9" w:rsidRPr="002E756D" w:rsidRDefault="00C009A9" w:rsidP="00C009A9">
      <w:pPr>
        <w:pStyle w:val="FootnoteText"/>
      </w:pPr>
      <w:r>
        <w:rPr>
          <w:rStyle w:val="FootnoteReference"/>
        </w:rPr>
        <w:footnoteRef/>
      </w:r>
      <w:r>
        <w:t xml:space="preserve"> UNEP/OzL.Pro/ExCom/84/29</w:t>
      </w:r>
    </w:p>
  </w:footnote>
  <w:footnote w:id="5">
    <w:p w14:paraId="469BC6C8" w14:textId="77777777" w:rsidR="00C009A9" w:rsidRPr="002E756D" w:rsidRDefault="00C009A9" w:rsidP="00C009A9">
      <w:pPr>
        <w:pStyle w:val="FootnoteText"/>
      </w:pPr>
      <w:r>
        <w:rPr>
          <w:rStyle w:val="FootnoteReference"/>
        </w:rPr>
        <w:footnoteRef/>
      </w:r>
      <w:r>
        <w:t xml:space="preserve"> UNEP/OzL.Pro/ExCom/84/30</w:t>
      </w:r>
    </w:p>
  </w:footnote>
  <w:footnote w:id="6">
    <w:p w14:paraId="6125C909" w14:textId="77777777" w:rsidR="00C009A9" w:rsidRPr="002E756D" w:rsidRDefault="00C009A9" w:rsidP="00C009A9">
      <w:pPr>
        <w:pStyle w:val="FootnoteText"/>
      </w:pPr>
      <w:r>
        <w:rPr>
          <w:rStyle w:val="FootnoteReference"/>
        </w:rPr>
        <w:footnoteRef/>
      </w:r>
      <w:r>
        <w:t xml:space="preserve"> UNEP/OzL.Pro/ExCom/84/31</w:t>
      </w:r>
    </w:p>
  </w:footnote>
  <w:footnote w:id="7">
    <w:p w14:paraId="019E4B12" w14:textId="77777777" w:rsidR="00C009A9" w:rsidRPr="002E756D" w:rsidRDefault="00C009A9" w:rsidP="00C009A9">
      <w:pPr>
        <w:pStyle w:val="FootnoteText"/>
      </w:pPr>
      <w:r>
        <w:rPr>
          <w:rStyle w:val="FootnoteReference"/>
        </w:rPr>
        <w:footnoteRef/>
      </w:r>
      <w:r>
        <w:t xml:space="preserve"> Decisión 81/71(b) y (c).</w:t>
      </w:r>
    </w:p>
  </w:footnote>
  <w:footnote w:id="8">
    <w:p w14:paraId="30B29B20" w14:textId="77777777" w:rsidR="00C009A9" w:rsidRPr="002E756D" w:rsidRDefault="00C009A9" w:rsidP="00C009A9">
      <w:pPr>
        <w:pStyle w:val="FootnoteText"/>
      </w:pPr>
      <w:r>
        <w:rPr>
          <w:rStyle w:val="FootnoteReference"/>
        </w:rPr>
        <w:footnoteRef/>
      </w:r>
      <w:r>
        <w:t xml:space="preserve"> $385 millones de $EUA más gastos de apoyo al organismo de 21,56 millones de $EUA (calculados como el 5,6% de los costos del proyecto).</w:t>
      </w:r>
    </w:p>
  </w:footnote>
  <w:footnote w:id="9">
    <w:p w14:paraId="4EF5ED32" w14:textId="77777777" w:rsidR="00C009A9" w:rsidRPr="002E756D" w:rsidRDefault="00C009A9" w:rsidP="00C009A9">
      <w:pPr>
        <w:pStyle w:val="FootnoteText"/>
      </w:pPr>
      <w:r>
        <w:rPr>
          <w:rStyle w:val="FootnoteReference"/>
        </w:rPr>
        <w:footnoteRef/>
      </w:r>
      <w:r>
        <w:t xml:space="preserve"> En la 62ª reunión, se aprobó financiación para la eliminación de 12,9 toneladas PAO de HCFC en el sector de refrigeración y aire acondicionado como un proyecto independiente fuera de su PGEH, que representa un 9,6% del nivel básico de 135,0 toneladas PAO.</w:t>
      </w:r>
    </w:p>
  </w:footnote>
  <w:footnote w:id="10">
    <w:p w14:paraId="4B9982F3" w14:textId="77777777" w:rsidR="00C009A9" w:rsidRPr="000143AE" w:rsidRDefault="00C009A9" w:rsidP="00C009A9">
      <w:pPr>
        <w:pStyle w:val="FootnoteText"/>
      </w:pPr>
      <w:r>
        <w:rPr>
          <w:rStyle w:val="FootnoteReference"/>
        </w:rPr>
        <w:footnoteRef/>
      </w:r>
      <w:r>
        <w:t xml:space="preserve"> La decisión 61/46(c) requiere que se presenten informes de verificación para una muestra del 20% de los países con bajo volumen de consumo con PGEH aprobados.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61DA2" w14:textId="038AC795" w:rsidR="00123182" w:rsidRDefault="00123182" w:rsidP="00123182">
    <w:pPr>
      <w:pStyle w:val="Header"/>
      <w:jc w:val="left"/>
      <w:rPr>
        <w:lang w:val="en-CA"/>
      </w:rPr>
    </w:pPr>
    <w:r w:rsidRPr="00E87CBF">
      <w:rPr>
        <w:lang w:val="en-CA"/>
      </w:rPr>
      <w:fldChar w:fldCharType="begin"/>
    </w:r>
    <w:r w:rsidRPr="00E87CBF">
      <w:rPr>
        <w:lang w:val="en-CA"/>
      </w:rPr>
      <w:instrText xml:space="preserve"> DOCPROPERTY "Document number"  \* MERGEFORMAT </w:instrText>
    </w:r>
    <w:r w:rsidRPr="00E87CBF">
      <w:rPr>
        <w:lang w:val="en-CA"/>
      </w:rPr>
      <w:fldChar w:fldCharType="separate"/>
    </w:r>
    <w:r>
      <w:rPr>
        <w:lang w:val="en-CA"/>
      </w:rPr>
      <w:t>UNEP/OzL.Pro/ExCom/84/26</w:t>
    </w:r>
    <w:r w:rsidRPr="00E87CBF">
      <w:rPr>
        <w:lang w:val="en-CA"/>
      </w:rPr>
      <w:fldChar w:fldCharType="end"/>
    </w:r>
  </w:p>
  <w:p w14:paraId="7875AEDC" w14:textId="7C4840C2" w:rsidR="00123182" w:rsidRDefault="00123182">
    <w:pPr>
      <w:pStyle w:val="Header"/>
      <w:rPr>
        <w:lang w:val="en-CA"/>
      </w:rPr>
    </w:pPr>
  </w:p>
  <w:p w14:paraId="7AE953CD" w14:textId="77777777" w:rsidR="00123182" w:rsidRDefault="0012318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DDF1E" w14:textId="4B0935C0" w:rsidR="00123182" w:rsidRDefault="00123182" w:rsidP="00123182">
    <w:pPr>
      <w:pStyle w:val="Header"/>
      <w:jc w:val="right"/>
      <w:rPr>
        <w:lang w:val="en-CA"/>
      </w:rPr>
    </w:pPr>
    <w:r w:rsidRPr="00E87CBF">
      <w:rPr>
        <w:lang w:val="en-CA"/>
      </w:rPr>
      <w:fldChar w:fldCharType="begin"/>
    </w:r>
    <w:r w:rsidRPr="00E87CBF">
      <w:rPr>
        <w:lang w:val="en-CA"/>
      </w:rPr>
      <w:instrText xml:space="preserve"> DOCPROPERTY "Document number"  \* MERGEFORMAT </w:instrText>
    </w:r>
    <w:r w:rsidRPr="00E87CBF">
      <w:rPr>
        <w:lang w:val="en-CA"/>
      </w:rPr>
      <w:fldChar w:fldCharType="separate"/>
    </w:r>
    <w:r>
      <w:rPr>
        <w:lang w:val="en-CA"/>
      </w:rPr>
      <w:t>UNEP/OzL.Pro/ExCom/84/26</w:t>
    </w:r>
    <w:r w:rsidRPr="00E87CBF">
      <w:rPr>
        <w:lang w:val="en-CA"/>
      </w:rPr>
      <w:fldChar w:fldCharType="end"/>
    </w:r>
  </w:p>
  <w:p w14:paraId="5FE53513" w14:textId="77777777" w:rsidR="00123182" w:rsidRDefault="00123182" w:rsidP="00123182">
    <w:pPr>
      <w:pStyle w:val="Header"/>
      <w:rPr>
        <w:lang w:val="en-CA"/>
      </w:rPr>
    </w:pPr>
  </w:p>
  <w:p w14:paraId="65EFE134" w14:textId="77777777" w:rsidR="00123182" w:rsidRDefault="0012318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94A63" w14:textId="77777777" w:rsidR="0087455A" w:rsidRDefault="0087455A"/>
  <w:p w14:paraId="156793AE" w14:textId="77777777" w:rsidR="0087455A" w:rsidRDefault="0087455A" w:rsidP="00087329">
    <w:pPr>
      <w:pStyle w:val="Header"/>
      <w:ind w:right="-13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D5E549E"/>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A4E4C86"/>
    <w:multiLevelType w:val="hybridMultilevel"/>
    <w:tmpl w:val="E9BEA32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5"/>
  </w:num>
  <w:num w:numId="19">
    <w:abstractNumId w:val="16"/>
  </w:num>
  <w:num w:numId="20">
    <w:abstractNumId w:val="13"/>
  </w:num>
  <w:num w:numId="2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483"/>
    <w:rsid w:val="00087329"/>
    <w:rsid w:val="00106F6E"/>
    <w:rsid w:val="00114CAA"/>
    <w:rsid w:val="00123182"/>
    <w:rsid w:val="00143483"/>
    <w:rsid w:val="001A5182"/>
    <w:rsid w:val="001C2D22"/>
    <w:rsid w:val="001F4047"/>
    <w:rsid w:val="00235D4C"/>
    <w:rsid w:val="0024162E"/>
    <w:rsid w:val="003863A4"/>
    <w:rsid w:val="003B7115"/>
    <w:rsid w:val="00455352"/>
    <w:rsid w:val="00476E28"/>
    <w:rsid w:val="00775553"/>
    <w:rsid w:val="00831BC5"/>
    <w:rsid w:val="0087455A"/>
    <w:rsid w:val="008B1E4C"/>
    <w:rsid w:val="00AB56E5"/>
    <w:rsid w:val="00C009A9"/>
    <w:rsid w:val="00C14E67"/>
    <w:rsid w:val="00D5623F"/>
    <w:rsid w:val="00DA46F0"/>
    <w:rsid w:val="00DB795B"/>
    <w:rsid w:val="00DE7E72"/>
    <w:rsid w:val="00E17F97"/>
    <w:rsid w:val="00E722AE"/>
    <w:rsid w:val="00F10CD9"/>
    <w:rsid w:val="00F25F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F59862"/>
  <w15:docId w15:val="{168F8E8E-1250-4DFE-9467-1E22F669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SubPara (a) Char"/>
    <w:basedOn w:val="Normal"/>
    <w:next w:val="Normal"/>
    <w:link w:val="Heading2Char"/>
    <w:qFormat/>
    <w:pPr>
      <w:widowControl w:val="0"/>
      <w:numPr>
        <w:ilvl w:val="1"/>
        <w:numId w:val="1"/>
      </w:numPr>
      <w:spacing w:after="240"/>
      <w:outlineLvl w:val="1"/>
    </w:pPr>
  </w:style>
  <w:style w:type="paragraph" w:styleId="Heading3">
    <w:name w:val="heading 3"/>
    <w:aliases w:val="Char,Heading 3 Char,Char Char,Heading 3 Char1,Heading 3 Char Char,Char Char Char,Char Char1,Heading 3 Char2,Heading 3 Char Char1 Char,Heading 3 Char1 Char,Heading 3 Char Char Char,Char Char Char Char,Char Char1 Char,Char Char2,Char Char Char1"/>
    <w:basedOn w:val="Normal"/>
    <w:next w:val="Normal"/>
    <w:link w:val="Heading3Char3"/>
    <w:qFormat/>
    <w:pPr>
      <w:widowControl w:val="0"/>
      <w:numPr>
        <w:ilvl w:val="2"/>
        <w:numId w:val="1"/>
      </w:numPr>
      <w:spacing w:after="240"/>
      <w:outlineLvl w:val="2"/>
    </w:pPr>
  </w:style>
  <w:style w:type="paragraph" w:styleId="Heading4">
    <w:name w:val="heading 4"/>
    <w:aliases w:val="Heading 11,para 4,Título 41,heading 4,Heading 41"/>
    <w:basedOn w:val="Normal"/>
    <w:next w:val="Heading9"/>
    <w:qFormat/>
    <w:pPr>
      <w:keepNext/>
      <w:numPr>
        <w:ilvl w:val="3"/>
        <w:numId w:val="1"/>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paragraph" w:customStyle="1" w:styleId="Title2">
    <w:name w:val="Title2"/>
    <w:rsid w:val="00C009A9"/>
    <w:pPr>
      <w:jc w:val="center"/>
      <w:outlineLvl w:val="0"/>
    </w:pPr>
    <w:rPr>
      <w:b/>
      <w:caps/>
      <w:sz w:val="22"/>
      <w:szCs w:val="22"/>
      <w:lang w:val="es-ES"/>
    </w:rPr>
  </w:style>
  <w:style w:type="paragraph" w:styleId="FootnoteText">
    <w:name w:val="footnote text"/>
    <w:aliases w:val=" Char1, Char1 Char Char,Fußnotentextf"/>
    <w:basedOn w:val="Normal"/>
    <w:link w:val="FootnoteTextChar"/>
    <w:qFormat/>
    <w:rsid w:val="00C009A9"/>
    <w:rPr>
      <w:sz w:val="20"/>
      <w:szCs w:val="20"/>
      <w:lang w:val="es-ES"/>
    </w:rPr>
  </w:style>
  <w:style w:type="character" w:customStyle="1" w:styleId="FootnoteTextChar">
    <w:name w:val="Footnote Text Char"/>
    <w:aliases w:val=" Char1 Char, Char1 Char Char Char,Fußnotentextf Char"/>
    <w:basedOn w:val="DefaultParagraphFont"/>
    <w:link w:val="FootnoteText"/>
    <w:rsid w:val="00C009A9"/>
    <w:rPr>
      <w:lang w:val="es-ES"/>
    </w:rPr>
  </w:style>
  <w:style w:type="character" w:styleId="FootnoteReference">
    <w:name w:val="footnote reference"/>
    <w:aliases w:val="16 Point,Superscript 6 Point,Footnote text,Footnote Text1,Footnote Text2"/>
    <w:rsid w:val="00C009A9"/>
    <w:rPr>
      <w:vertAlign w:val="superscript"/>
    </w:rPr>
  </w:style>
  <w:style w:type="character" w:customStyle="1" w:styleId="Heading2Char">
    <w:name w:val="Heading 2 Char"/>
    <w:aliases w:val="SubPara (a) Char1,Heading 2 Char3 Char,Heading 2 Char Char2 Char,Heading 2 Char1 Char Char1 Char,SubPara (a) Char Char Char1 Char,Heading 2 Char Char Char Char1 Char,Heading 2 Char1 Char Char Char Char1 Char,Heading 2 Char2 Char"/>
    <w:link w:val="Heading2"/>
    <w:rsid w:val="00C009A9"/>
    <w:rPr>
      <w:sz w:val="22"/>
      <w:szCs w:val="22"/>
      <w:lang w:val="en-GB"/>
    </w:rPr>
  </w:style>
  <w:style w:type="character" w:customStyle="1" w:styleId="Heading3Char3">
    <w:name w:val="Heading 3 Char3"/>
    <w:aliases w:val="Char Char3,Heading 3 Char Char1,Char Char Char2,Heading 3 Char1 Char1,Heading 3 Char Char Char1,Char Char Char Char1,Char Char1 Char1,Heading 3 Char2 Char,Heading 3 Char Char1 Char Char,Heading 3 Char1 Char Char,Char Char Char Char Char"/>
    <w:link w:val="Heading3"/>
    <w:rsid w:val="00C009A9"/>
    <w:rPr>
      <w:sz w:val="22"/>
      <w:szCs w:val="22"/>
      <w:lang w:val="en-GB"/>
    </w:rPr>
  </w:style>
  <w:style w:type="paragraph" w:styleId="ListParagraph">
    <w:name w:val="List Paragraph"/>
    <w:basedOn w:val="Normal"/>
    <w:uiPriority w:val="34"/>
    <w:qFormat/>
    <w:rsid w:val="00C009A9"/>
    <w:pPr>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raducci&#243;n\trabajos\Multilateral%20Fund\S84-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2D22381220FE4184AFB35730DED85F" ma:contentTypeVersion="1" ma:contentTypeDescription="Create a new document." ma:contentTypeScope="" ma:versionID="461298c5bf0d5321f2c277022a6fab22">
  <xsd:schema xmlns:xsd="http://www.w3.org/2001/XMLSchema" xmlns:p="http://schemas.microsoft.com/office/2006/metadata/properties" xmlns:ns2="e6e1f9e0-8f48-4721-871b-80b3d7694360" targetNamespace="http://schemas.microsoft.com/office/2006/metadata/properties" ma:root="true" ma:fieldsID="f33d5c748b406760e27072e0ba6dee89"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UNEP/OzL.Pro/ExCom/84/26</Document_x0020_Number>
  </documentManagement>
</p:properties>
</file>

<file path=customXml/itemProps1.xml><?xml version="1.0" encoding="utf-8"?>
<ds:datastoreItem xmlns:ds="http://schemas.openxmlformats.org/officeDocument/2006/customXml" ds:itemID="{9A73E0C2-D14A-4138-BC73-B58EFEA5C299}"/>
</file>

<file path=customXml/itemProps2.xml><?xml version="1.0" encoding="utf-8"?>
<ds:datastoreItem xmlns:ds="http://schemas.openxmlformats.org/officeDocument/2006/customXml" ds:itemID="{7A6543A8-FCE2-4C5E-8712-957EE8C276D5}"/>
</file>

<file path=customXml/itemProps3.xml><?xml version="1.0" encoding="utf-8"?>
<ds:datastoreItem xmlns:ds="http://schemas.openxmlformats.org/officeDocument/2006/customXml" ds:itemID="{5BF05918-2101-44B5-AC9C-6C67B7DCBB96}"/>
</file>

<file path=customXml/itemProps4.xml><?xml version="1.0" encoding="utf-8"?>
<ds:datastoreItem xmlns:ds="http://schemas.openxmlformats.org/officeDocument/2006/customXml" ds:itemID="{CA50C5E1-43E4-4AF0-9D3A-D11128FBA387}"/>
</file>

<file path=docProps/app.xml><?xml version="1.0" encoding="utf-8"?>
<Properties xmlns="http://schemas.openxmlformats.org/officeDocument/2006/extended-properties" xmlns:vt="http://schemas.openxmlformats.org/officeDocument/2006/docPropsVTypes">
  <Template>S84-template</Template>
  <TotalTime>31</TotalTime>
  <Pages>11</Pages>
  <Words>4568</Words>
  <Characters>22308</Characters>
  <Application>Microsoft Office Word</Application>
  <DocSecurity>0</DocSecurity>
  <Lines>185</Lines>
  <Paragraphs>53</Paragraphs>
  <ScaleCrop>false</ScaleCrop>
  <HeadingPairs>
    <vt:vector size="2" baseType="variant">
      <vt:variant>
        <vt:lpstr>Title</vt:lpstr>
      </vt:variant>
      <vt:variant>
        <vt:i4>1</vt:i4>
      </vt:variant>
    </vt:vector>
  </HeadingPairs>
  <TitlesOfParts>
    <vt:vector size="1" baseType="lpstr">
      <vt:lpstr>Plan administrativo refundido del Fondo Multilateral para 2020-2022</vt:lpstr>
    </vt:vector>
  </TitlesOfParts>
  <Company>UNMFS</Company>
  <LinksUpToDate>false</LinksUpToDate>
  <CharactersWithSpaces>26823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administrativo refundido del Fondo Multilateral para 2020-2022</dc:title>
  <dc:creator>Diana Llorente Garijo</dc:creator>
  <cp:lastModifiedBy>HBE</cp:lastModifiedBy>
  <cp:revision>12</cp:revision>
  <cp:lastPrinted>2001-05-26T16:40:00Z</cp:lastPrinted>
  <dcterms:created xsi:type="dcterms:W3CDTF">2019-11-25T14:19:00Z</dcterms:created>
  <dcterms:modified xsi:type="dcterms:W3CDTF">2019-11-30T00:31:00Z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UNEP/OzL.Pro/ExCom/84/26</vt:lpwstr>
  </property>
  <property fmtid="{D5CDD505-2E9C-101B-9397-08002B2CF9AE}" pid="3" name="Revision date">
    <vt:lpwstr>10/1/2019</vt:lpwstr>
  </property>
  <property fmtid="{D5CDD505-2E9C-101B-9397-08002B2CF9AE}" pid="4" name="ContentTypeId">
    <vt:lpwstr>0x010100CF2D22381220FE4184AFB35730DED85F</vt:lpwstr>
  </property>
</Properties>
</file>