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0801F3" w14:paraId="3B1368A0" w14:textId="77777777">
        <w:trPr>
          <w:trHeight w:val="720"/>
        </w:trPr>
        <w:tc>
          <w:tcPr>
            <w:tcW w:w="6494" w:type="dxa"/>
            <w:gridSpan w:val="2"/>
            <w:tcBorders>
              <w:bottom w:val="single" w:sz="18" w:space="0" w:color="auto"/>
            </w:tcBorders>
          </w:tcPr>
          <w:p w14:paraId="068C0F89" w14:textId="77777777" w:rsidR="0087455A" w:rsidRPr="000801F3" w:rsidRDefault="0024162E">
            <w:pPr>
              <w:rPr>
                <w:rFonts w:ascii="Univers" w:hAnsi="Univers"/>
                <w:b/>
                <w:sz w:val="28"/>
                <w:szCs w:val="28"/>
                <w:lang w:val="es-419"/>
              </w:rPr>
            </w:pPr>
            <w:r w:rsidRPr="000801F3">
              <w:rPr>
                <w:rFonts w:ascii="Univers" w:hAnsi="Univers"/>
                <w:b/>
                <w:sz w:val="28"/>
                <w:szCs w:val="28"/>
                <w:lang w:val="es-419"/>
              </w:rPr>
              <w:t>NACIONES</w:t>
            </w:r>
          </w:p>
          <w:p w14:paraId="463CB597" w14:textId="77777777" w:rsidR="0087455A" w:rsidRPr="000801F3" w:rsidRDefault="0024162E">
            <w:pPr>
              <w:rPr>
                <w:rFonts w:ascii="Univers" w:hAnsi="Univers"/>
                <w:b/>
                <w:sz w:val="28"/>
                <w:szCs w:val="28"/>
                <w:lang w:val="es-419"/>
              </w:rPr>
            </w:pPr>
            <w:r w:rsidRPr="000801F3">
              <w:rPr>
                <w:rFonts w:ascii="Univers" w:hAnsi="Univers"/>
                <w:b/>
                <w:sz w:val="28"/>
                <w:szCs w:val="28"/>
                <w:lang w:val="es-419"/>
              </w:rPr>
              <w:t>UNIDAS</w:t>
            </w:r>
          </w:p>
        </w:tc>
        <w:tc>
          <w:tcPr>
            <w:tcW w:w="4590" w:type="dxa"/>
            <w:tcBorders>
              <w:bottom w:val="single" w:sz="18" w:space="0" w:color="auto"/>
            </w:tcBorders>
          </w:tcPr>
          <w:p w14:paraId="220F2BE3" w14:textId="77777777" w:rsidR="0087455A" w:rsidRPr="000801F3" w:rsidRDefault="0024162E">
            <w:pPr>
              <w:jc w:val="right"/>
              <w:rPr>
                <w:rFonts w:asciiTheme="minorBidi" w:hAnsiTheme="minorBidi" w:cstheme="minorBidi"/>
                <w:sz w:val="52"/>
                <w:szCs w:val="52"/>
                <w:lang w:val="es-419"/>
              </w:rPr>
            </w:pPr>
            <w:r w:rsidRPr="000801F3">
              <w:rPr>
                <w:rFonts w:asciiTheme="minorBidi" w:hAnsiTheme="minorBidi" w:cstheme="minorBidi"/>
                <w:b/>
                <w:sz w:val="72"/>
                <w:lang w:val="es-419"/>
              </w:rPr>
              <w:t>EP</w:t>
            </w:r>
          </w:p>
        </w:tc>
      </w:tr>
      <w:tr w:rsidR="0087455A" w:rsidRPr="000801F3" w14:paraId="36903F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2A18EB3" w14:textId="77777777" w:rsidR="0087455A" w:rsidRPr="000801F3" w:rsidRDefault="0024162E">
            <w:pPr>
              <w:spacing w:before="120"/>
              <w:rPr>
                <w:lang w:val="es-419"/>
              </w:rPr>
            </w:pPr>
            <w:bookmarkStart w:id="0" w:name="_GoBack"/>
            <w:r w:rsidRPr="000801F3">
              <w:rPr>
                <w:noProof/>
                <w:lang w:val="en-CA" w:eastAsia="en-CA"/>
              </w:rPr>
              <w:drawing>
                <wp:anchor distT="0" distB="0" distL="114300" distR="114300" simplePos="0" relativeHeight="251660288" behindDoc="0" locked="0" layoutInCell="1" allowOverlap="1" wp14:anchorId="58CE0B44" wp14:editId="5DF292F3">
                  <wp:simplePos x="0" y="0"/>
                  <wp:positionH relativeFrom="column">
                    <wp:posOffset>12438</wp:posOffset>
                  </wp:positionH>
                  <wp:positionV relativeFrom="paragraph">
                    <wp:posOffset>962809</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bookmarkEnd w:id="0"/>
            <w:r w:rsidRPr="000801F3">
              <w:rPr>
                <w:noProof/>
                <w:lang w:val="en-CA" w:eastAsia="en-CA"/>
              </w:rPr>
              <w:drawing>
                <wp:anchor distT="0" distB="0" distL="114300" distR="114300" simplePos="0" relativeHeight="251661312" behindDoc="1" locked="0" layoutInCell="0" allowOverlap="1" wp14:anchorId="6CE753E3" wp14:editId="018A1E7C">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3AEC5B4B" w14:textId="77777777" w:rsidR="0087455A" w:rsidRPr="000801F3"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419"/>
              </w:rPr>
            </w:pPr>
          </w:p>
          <w:p w14:paraId="1877263D" w14:textId="77777777" w:rsidR="0087455A" w:rsidRPr="000801F3"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419"/>
              </w:rPr>
            </w:pPr>
            <w:r w:rsidRPr="000801F3">
              <w:rPr>
                <w:rFonts w:ascii="Univers" w:hAnsi="Univers"/>
                <w:b/>
                <w:sz w:val="32"/>
                <w:lang w:val="es-419"/>
              </w:rPr>
              <w:t>Programa de las</w:t>
            </w:r>
          </w:p>
          <w:p w14:paraId="2E02AB68" w14:textId="77777777" w:rsidR="0087455A" w:rsidRPr="000801F3"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419"/>
              </w:rPr>
            </w:pPr>
            <w:r w:rsidRPr="000801F3">
              <w:rPr>
                <w:rFonts w:ascii="Univers" w:hAnsi="Univers"/>
                <w:b/>
                <w:sz w:val="32"/>
                <w:lang w:val="es-419"/>
              </w:rPr>
              <w:t>Naciones Unidas</w:t>
            </w:r>
          </w:p>
          <w:p w14:paraId="377685EE" w14:textId="77777777" w:rsidR="0087455A" w:rsidRPr="000801F3"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419"/>
              </w:rPr>
            </w:pPr>
            <w:r w:rsidRPr="000801F3">
              <w:rPr>
                <w:rFonts w:ascii="Univers" w:hAnsi="Univers"/>
                <w:b/>
                <w:sz w:val="32"/>
                <w:lang w:val="es-419"/>
              </w:rPr>
              <w:t>para el Medio Ambiente</w:t>
            </w:r>
          </w:p>
          <w:p w14:paraId="58FCCA6F" w14:textId="77777777" w:rsidR="0087455A" w:rsidRPr="000801F3"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419"/>
              </w:rPr>
            </w:pPr>
          </w:p>
          <w:p w14:paraId="74EEEF65" w14:textId="77777777" w:rsidR="0087455A" w:rsidRPr="000801F3" w:rsidRDefault="0087455A">
            <w:pPr>
              <w:spacing w:before="720"/>
              <w:ind w:left="158"/>
              <w:rPr>
                <w:lang w:val="es-419"/>
              </w:rPr>
            </w:pPr>
          </w:p>
        </w:tc>
        <w:tc>
          <w:tcPr>
            <w:tcW w:w="4590" w:type="dxa"/>
            <w:tcBorders>
              <w:top w:val="nil"/>
              <w:left w:val="nil"/>
              <w:bottom w:val="single" w:sz="36" w:space="0" w:color="auto"/>
              <w:right w:val="nil"/>
            </w:tcBorders>
          </w:tcPr>
          <w:p w14:paraId="0D62E530" w14:textId="77777777" w:rsidR="0087455A" w:rsidRPr="000801F3" w:rsidRDefault="0087455A">
            <w:pPr>
              <w:rPr>
                <w:lang w:val="es-419"/>
              </w:rPr>
            </w:pPr>
          </w:p>
          <w:p w14:paraId="25FF20B4" w14:textId="77777777" w:rsidR="0087455A" w:rsidRPr="000801F3" w:rsidRDefault="0024162E">
            <w:pPr>
              <w:rPr>
                <w:lang w:val="es-419"/>
              </w:rPr>
            </w:pPr>
            <w:r w:rsidRPr="000801F3">
              <w:rPr>
                <w:lang w:val="es-419"/>
              </w:rPr>
              <w:t>Distr.</w:t>
            </w:r>
          </w:p>
          <w:p w14:paraId="4796710E" w14:textId="77777777" w:rsidR="0087455A" w:rsidRPr="000801F3" w:rsidRDefault="0024162E">
            <w:pPr>
              <w:rPr>
                <w:lang w:val="es-419"/>
              </w:rPr>
            </w:pPr>
            <w:r w:rsidRPr="000801F3">
              <w:rPr>
                <w:lang w:val="es-419"/>
              </w:rPr>
              <w:t>GENERAL</w:t>
            </w:r>
          </w:p>
          <w:p w14:paraId="717C13DA" w14:textId="77777777" w:rsidR="0087455A" w:rsidRPr="000801F3" w:rsidRDefault="0087455A">
            <w:pPr>
              <w:rPr>
                <w:lang w:val="es-419"/>
              </w:rPr>
            </w:pPr>
          </w:p>
          <w:p w14:paraId="4012965E" w14:textId="08FF5D12" w:rsidR="0087455A" w:rsidRPr="000801F3" w:rsidRDefault="0024162E">
            <w:pPr>
              <w:rPr>
                <w:lang w:val="es-419"/>
              </w:rPr>
            </w:pPr>
            <w:r w:rsidRPr="000801F3">
              <w:rPr>
                <w:lang w:val="es-419"/>
              </w:rPr>
              <w:fldChar w:fldCharType="begin"/>
            </w:r>
            <w:r w:rsidRPr="000801F3">
              <w:rPr>
                <w:lang w:val="es-419"/>
              </w:rPr>
              <w:instrText xml:space="preserve"> DOCPROPERTY "Document number"  \* MERGEFORMAT </w:instrText>
            </w:r>
            <w:r w:rsidRPr="000801F3">
              <w:rPr>
                <w:lang w:val="es-419"/>
              </w:rPr>
              <w:fldChar w:fldCharType="separate"/>
            </w:r>
            <w:r w:rsidR="00A16206" w:rsidRPr="000801F3">
              <w:rPr>
                <w:lang w:val="es-419"/>
              </w:rPr>
              <w:t>UNEP/OzL.Pro/ExCom/84/</w:t>
            </w:r>
            <w:r w:rsidR="000801F3" w:rsidRPr="000801F3">
              <w:rPr>
                <w:lang w:val="es-419"/>
              </w:rPr>
              <w:t>24</w:t>
            </w:r>
            <w:r w:rsidRPr="000801F3">
              <w:rPr>
                <w:lang w:val="es-419"/>
              </w:rPr>
              <w:fldChar w:fldCharType="end"/>
            </w:r>
          </w:p>
          <w:p w14:paraId="241F7DE0" w14:textId="2D6170D0" w:rsidR="0087455A" w:rsidRPr="000801F3" w:rsidRDefault="001C2D22" w:rsidP="00F10CD9">
            <w:pPr>
              <w:rPr>
                <w:caps/>
                <w:lang w:val="es-419"/>
              </w:rPr>
            </w:pPr>
            <w:r w:rsidRPr="000801F3">
              <w:rPr>
                <w:caps/>
                <w:lang w:val="es-419"/>
              </w:rPr>
              <w:t>2</w:t>
            </w:r>
            <w:r w:rsidR="00114CAA" w:rsidRPr="000801F3">
              <w:rPr>
                <w:caps/>
                <w:lang w:val="es-419"/>
              </w:rPr>
              <w:t xml:space="preserve"> </w:t>
            </w:r>
            <w:r w:rsidR="00114CAA" w:rsidRPr="000801F3">
              <w:rPr>
                <w:lang w:val="es-419"/>
              </w:rPr>
              <w:t xml:space="preserve">de </w:t>
            </w:r>
            <w:r w:rsidR="000801F3" w:rsidRPr="000801F3">
              <w:rPr>
                <w:lang w:val="es-419"/>
              </w:rPr>
              <w:t>diciembre</w:t>
            </w:r>
            <w:r w:rsidR="00114CAA" w:rsidRPr="000801F3">
              <w:rPr>
                <w:lang w:val="es-419"/>
              </w:rPr>
              <w:t xml:space="preserve"> de </w:t>
            </w:r>
            <w:r w:rsidRPr="000801F3">
              <w:rPr>
                <w:caps/>
                <w:lang w:val="es-419"/>
              </w:rPr>
              <w:t>2019</w:t>
            </w:r>
          </w:p>
          <w:p w14:paraId="672CB92A" w14:textId="77777777" w:rsidR="00114CAA" w:rsidRPr="000801F3" w:rsidRDefault="00114CAA">
            <w:pPr>
              <w:rPr>
                <w:caps/>
                <w:lang w:val="es-419"/>
              </w:rPr>
            </w:pPr>
          </w:p>
          <w:p w14:paraId="39C86257" w14:textId="77777777" w:rsidR="0087455A" w:rsidRPr="000801F3" w:rsidRDefault="0024162E">
            <w:pPr>
              <w:rPr>
                <w:lang w:val="es-419"/>
              </w:rPr>
            </w:pPr>
            <w:r w:rsidRPr="000801F3">
              <w:rPr>
                <w:lang w:val="es-419"/>
              </w:rPr>
              <w:t xml:space="preserve">ESPAÑOL </w:t>
            </w:r>
          </w:p>
          <w:p w14:paraId="57717487" w14:textId="77777777" w:rsidR="0087455A" w:rsidRPr="000801F3" w:rsidRDefault="0024162E">
            <w:pPr>
              <w:rPr>
                <w:lang w:val="es-419"/>
              </w:rPr>
            </w:pPr>
            <w:r w:rsidRPr="000801F3">
              <w:rPr>
                <w:lang w:val="es-419"/>
              </w:rPr>
              <w:t>ORIGINAL: INGLÉS</w:t>
            </w:r>
          </w:p>
        </w:tc>
      </w:tr>
    </w:tbl>
    <w:p w14:paraId="56DFFC64" w14:textId="77777777" w:rsidR="0087455A" w:rsidRPr="000801F3" w:rsidRDefault="0087455A">
      <w:pPr>
        <w:jc w:val="left"/>
        <w:rPr>
          <w:lang w:val="es-419"/>
        </w:rPr>
      </w:pPr>
    </w:p>
    <w:p w14:paraId="69E276B2" w14:textId="77777777" w:rsidR="0087455A" w:rsidRPr="000801F3" w:rsidRDefault="0024162E">
      <w:pPr>
        <w:jc w:val="left"/>
        <w:rPr>
          <w:lang w:val="es-419"/>
        </w:rPr>
      </w:pPr>
      <w:r w:rsidRPr="000801F3">
        <w:rPr>
          <w:lang w:val="es-419"/>
        </w:rPr>
        <w:t>COMITÉ EJECUTIVO DEL FONDO MULTILATERAL</w:t>
      </w:r>
      <w:r w:rsidRPr="000801F3">
        <w:rPr>
          <w:lang w:val="es-419"/>
        </w:rPr>
        <w:br/>
        <w:t xml:space="preserve">  PARA LA APLICACIÓN DEL</w:t>
      </w:r>
      <w:r w:rsidRPr="000801F3">
        <w:rPr>
          <w:lang w:val="es-419"/>
        </w:rPr>
        <w:br/>
        <w:t xml:space="preserve">  PROTOCOLO DE MONTREAL</w:t>
      </w:r>
    </w:p>
    <w:p w14:paraId="2FF079DC" w14:textId="77777777" w:rsidR="00106F6E" w:rsidRPr="000801F3" w:rsidRDefault="00106F6E" w:rsidP="001F4047">
      <w:pPr>
        <w:jc w:val="left"/>
        <w:rPr>
          <w:lang w:val="es-419"/>
        </w:rPr>
      </w:pPr>
      <w:r w:rsidRPr="000801F3">
        <w:rPr>
          <w:lang w:val="es-419"/>
        </w:rPr>
        <w:t xml:space="preserve">Octogésima </w:t>
      </w:r>
      <w:r w:rsidR="003863A4" w:rsidRPr="000801F3">
        <w:rPr>
          <w:lang w:val="es-419"/>
        </w:rPr>
        <w:t>cuarta Reunión</w:t>
      </w:r>
      <w:r w:rsidR="003863A4" w:rsidRPr="000801F3">
        <w:rPr>
          <w:lang w:val="es-419"/>
        </w:rPr>
        <w:br/>
        <w:t xml:space="preserve">Montreal, 16 </w:t>
      </w:r>
      <w:r w:rsidRPr="000801F3">
        <w:rPr>
          <w:lang w:val="es-419"/>
        </w:rPr>
        <w:t xml:space="preserve">– </w:t>
      </w:r>
      <w:r w:rsidR="003863A4" w:rsidRPr="000801F3">
        <w:rPr>
          <w:lang w:val="es-419"/>
        </w:rPr>
        <w:t>20</w:t>
      </w:r>
      <w:r w:rsidRPr="000801F3">
        <w:rPr>
          <w:lang w:val="es-419"/>
        </w:rPr>
        <w:t xml:space="preserve"> de </w:t>
      </w:r>
      <w:r w:rsidR="001F4047" w:rsidRPr="000801F3">
        <w:rPr>
          <w:lang w:val="es-419"/>
        </w:rPr>
        <w:t>diciembre</w:t>
      </w:r>
      <w:r w:rsidR="001C2D22" w:rsidRPr="000801F3">
        <w:rPr>
          <w:lang w:val="es-419"/>
        </w:rPr>
        <w:t xml:space="preserve"> de 2019</w:t>
      </w:r>
    </w:p>
    <w:p w14:paraId="377FB5AE" w14:textId="77777777" w:rsidR="00106F6E" w:rsidRPr="000801F3" w:rsidRDefault="00106F6E" w:rsidP="00106F6E">
      <w:pPr>
        <w:jc w:val="left"/>
        <w:rPr>
          <w:lang w:val="es-419"/>
        </w:rPr>
      </w:pPr>
    </w:p>
    <w:p w14:paraId="22AC43E9" w14:textId="77777777" w:rsidR="0087455A" w:rsidRPr="000801F3" w:rsidRDefault="0087455A">
      <w:pPr>
        <w:pStyle w:val="Heading3"/>
        <w:numPr>
          <w:ilvl w:val="0"/>
          <w:numId w:val="0"/>
        </w:numPr>
        <w:spacing w:after="0"/>
        <w:rPr>
          <w:lang w:val="es-419"/>
        </w:rPr>
      </w:pPr>
    </w:p>
    <w:p w14:paraId="45B6072E" w14:textId="77777777" w:rsidR="0087455A" w:rsidRPr="000801F3" w:rsidRDefault="0087455A">
      <w:pPr>
        <w:pStyle w:val="Title1"/>
        <w:rPr>
          <w:lang w:val="es-419"/>
        </w:rPr>
      </w:pPr>
    </w:p>
    <w:p w14:paraId="442647B5" w14:textId="77777777" w:rsidR="00A23492" w:rsidRPr="000801F3" w:rsidRDefault="00A23492" w:rsidP="00A23492">
      <w:pPr>
        <w:jc w:val="center"/>
        <w:rPr>
          <w:b/>
          <w:bCs/>
          <w:color w:val="000000" w:themeColor="text1"/>
          <w:lang w:val="es-419"/>
        </w:rPr>
      </w:pPr>
      <w:r w:rsidRPr="000801F3">
        <w:rPr>
          <w:b/>
          <w:bCs/>
          <w:color w:val="000000" w:themeColor="text1"/>
          <w:lang w:val="es-419"/>
        </w:rPr>
        <w:t xml:space="preserve">ACTUALIZACIÓN SOBRE EL ESTADO DE EJECUCIÓN DEL </w:t>
      </w:r>
    </w:p>
    <w:p w14:paraId="0B99CC77" w14:textId="77777777" w:rsidR="00A23492" w:rsidRPr="000801F3" w:rsidRDefault="00A23492" w:rsidP="00A23492">
      <w:pPr>
        <w:jc w:val="center"/>
        <w:rPr>
          <w:b/>
          <w:bCs/>
          <w:color w:val="000000" w:themeColor="text1"/>
          <w:lang w:val="es-419"/>
        </w:rPr>
      </w:pPr>
      <w:r w:rsidRPr="000801F3">
        <w:rPr>
          <w:b/>
          <w:bCs/>
          <w:color w:val="000000" w:themeColor="text1"/>
          <w:lang w:val="es-419"/>
        </w:rPr>
        <w:t>PLAN ADMINISTRATIVO REFUNDIDO DE 2019-2021 DEL FONDO MULTILATERAL</w:t>
      </w:r>
    </w:p>
    <w:p w14:paraId="26459F50" w14:textId="77777777" w:rsidR="00A23492" w:rsidRPr="000801F3" w:rsidRDefault="00A23492" w:rsidP="00A23492">
      <w:pPr>
        <w:jc w:val="center"/>
        <w:rPr>
          <w:b/>
          <w:bCs/>
          <w:color w:val="000000" w:themeColor="text1"/>
          <w:lang w:val="es-419"/>
        </w:rPr>
      </w:pPr>
    </w:p>
    <w:p w14:paraId="57FD8EBC" w14:textId="77777777" w:rsidR="00A23492" w:rsidRPr="000801F3" w:rsidRDefault="00A23492" w:rsidP="00A23492">
      <w:pPr>
        <w:jc w:val="center"/>
        <w:rPr>
          <w:b/>
          <w:bCs/>
          <w:color w:val="000000" w:themeColor="text1"/>
          <w:lang w:val="es-419"/>
        </w:rPr>
      </w:pPr>
    </w:p>
    <w:p w14:paraId="3559B7DC" w14:textId="77777777" w:rsidR="00A23492" w:rsidRPr="000801F3" w:rsidRDefault="00A23492" w:rsidP="00A23492">
      <w:pPr>
        <w:pStyle w:val="StyleHeader4Para4Left0Firstline0"/>
        <w:numPr>
          <w:ilvl w:val="0"/>
          <w:numId w:val="0"/>
        </w:numPr>
        <w:spacing w:after="0"/>
        <w:rPr>
          <w:b/>
          <w:bCs/>
          <w:sz w:val="22"/>
          <w:lang w:val="es-419"/>
        </w:rPr>
      </w:pPr>
      <w:r w:rsidRPr="000801F3">
        <w:rPr>
          <w:b/>
          <w:bCs/>
          <w:sz w:val="22"/>
          <w:lang w:val="es-419"/>
        </w:rPr>
        <w:t>Introducción</w:t>
      </w:r>
    </w:p>
    <w:p w14:paraId="4DEF4C89" w14:textId="77777777" w:rsidR="00A23492" w:rsidRPr="000801F3" w:rsidRDefault="00A23492" w:rsidP="00A23492">
      <w:pPr>
        <w:pStyle w:val="StyleHeader4Para4Left0Firstline0"/>
        <w:numPr>
          <w:ilvl w:val="0"/>
          <w:numId w:val="0"/>
        </w:numPr>
        <w:spacing w:after="0"/>
        <w:rPr>
          <w:b/>
          <w:bCs/>
          <w:sz w:val="22"/>
          <w:lang w:val="es-419"/>
        </w:rPr>
      </w:pPr>
    </w:p>
    <w:p w14:paraId="705806E6" w14:textId="77777777" w:rsidR="00A23492" w:rsidRPr="000801F3" w:rsidRDefault="00A23492" w:rsidP="00A23492">
      <w:pPr>
        <w:pStyle w:val="Heading1"/>
        <w:rPr>
          <w:lang w:val="es-419"/>
        </w:rPr>
      </w:pPr>
      <w:r w:rsidRPr="000801F3">
        <w:rPr>
          <w:lang w:val="es-419"/>
        </w:rPr>
        <w:t>Este documento consta de:</w:t>
      </w:r>
    </w:p>
    <w:p w14:paraId="7C0D8B4E" w14:textId="77777777" w:rsidR="00A23492" w:rsidRPr="000801F3" w:rsidRDefault="00A23492" w:rsidP="00A23492">
      <w:pPr>
        <w:pStyle w:val="Heading2"/>
        <w:numPr>
          <w:ilvl w:val="0"/>
          <w:numId w:val="0"/>
        </w:numPr>
        <w:spacing w:after="0"/>
        <w:ind w:left="720"/>
        <w:rPr>
          <w:color w:val="000000" w:themeColor="text1"/>
          <w:lang w:val="es-419"/>
        </w:rPr>
      </w:pPr>
      <w:r w:rsidRPr="000801F3">
        <w:rPr>
          <w:color w:val="000000" w:themeColor="text1"/>
          <w:lang w:val="es-419"/>
        </w:rPr>
        <w:t>Parte I:</w:t>
      </w:r>
      <w:r w:rsidRPr="000801F3">
        <w:rPr>
          <w:color w:val="000000" w:themeColor="text1"/>
          <w:lang w:val="es-419"/>
        </w:rPr>
        <w:tab/>
      </w:r>
      <w:r w:rsidRPr="000801F3">
        <w:rPr>
          <w:lang w:val="es-419"/>
        </w:rPr>
        <w:t>Una actualización del estado de ejecución de los planes administrativos de 2019-2021</w:t>
      </w:r>
    </w:p>
    <w:p w14:paraId="2EA622F4" w14:textId="77777777" w:rsidR="00A23492" w:rsidRPr="000801F3" w:rsidRDefault="00A23492" w:rsidP="00A23492">
      <w:pPr>
        <w:rPr>
          <w:color w:val="000000" w:themeColor="text1"/>
          <w:lang w:val="es-419"/>
        </w:rPr>
      </w:pPr>
    </w:p>
    <w:p w14:paraId="3697A89B" w14:textId="77777777" w:rsidR="00A23492" w:rsidRPr="000801F3" w:rsidRDefault="00A23492" w:rsidP="00A23492">
      <w:pPr>
        <w:pStyle w:val="Heading2"/>
        <w:numPr>
          <w:ilvl w:val="0"/>
          <w:numId w:val="0"/>
        </w:numPr>
        <w:spacing w:after="0"/>
        <w:ind w:left="720"/>
        <w:rPr>
          <w:color w:val="000000" w:themeColor="text1"/>
          <w:lang w:val="es-419"/>
        </w:rPr>
      </w:pPr>
      <w:r w:rsidRPr="000801F3">
        <w:rPr>
          <w:color w:val="000000" w:themeColor="text1"/>
          <w:lang w:val="es-419"/>
        </w:rPr>
        <w:t>Parte II:</w:t>
      </w:r>
      <w:r w:rsidRPr="000801F3">
        <w:rPr>
          <w:color w:val="000000" w:themeColor="text1"/>
          <w:lang w:val="es-419"/>
        </w:rPr>
        <w:tab/>
      </w:r>
      <w:r w:rsidRPr="000801F3">
        <w:rPr>
          <w:lang w:val="es-419"/>
        </w:rPr>
        <w:t>Asignación de recursos para el trienio 2018-2020</w:t>
      </w:r>
    </w:p>
    <w:p w14:paraId="732C2476" w14:textId="77777777" w:rsidR="00A23492" w:rsidRPr="000801F3" w:rsidRDefault="00A23492" w:rsidP="00A23492">
      <w:pPr>
        <w:rPr>
          <w:color w:val="000000" w:themeColor="text1"/>
          <w:lang w:val="es-419"/>
        </w:rPr>
      </w:pPr>
    </w:p>
    <w:p w14:paraId="7F7FC11E" w14:textId="77777777" w:rsidR="00A23492" w:rsidRPr="000801F3" w:rsidRDefault="00A23492" w:rsidP="00A23492">
      <w:pPr>
        <w:rPr>
          <w:color w:val="000000" w:themeColor="text1"/>
          <w:lang w:val="es-419"/>
        </w:rPr>
      </w:pPr>
      <w:r w:rsidRPr="000801F3">
        <w:rPr>
          <w:color w:val="000000" w:themeColor="text1"/>
          <w:lang w:val="es-419"/>
        </w:rPr>
        <w:tab/>
        <w:t>Recomendación</w:t>
      </w:r>
    </w:p>
    <w:p w14:paraId="63209EA6" w14:textId="77777777" w:rsidR="00A23492" w:rsidRPr="000801F3" w:rsidRDefault="00A23492" w:rsidP="00A23492">
      <w:pPr>
        <w:rPr>
          <w:color w:val="000000" w:themeColor="text1"/>
          <w:lang w:val="es-419"/>
        </w:rPr>
      </w:pPr>
    </w:p>
    <w:p w14:paraId="75731ECB" w14:textId="77777777" w:rsidR="00A23492" w:rsidRPr="000801F3" w:rsidRDefault="00A23492" w:rsidP="00A23492">
      <w:pPr>
        <w:rPr>
          <w:color w:val="000000" w:themeColor="text1"/>
          <w:lang w:val="es-419"/>
        </w:rPr>
      </w:pPr>
      <w:r w:rsidRPr="000801F3">
        <w:rPr>
          <w:color w:val="000000" w:themeColor="text1"/>
          <w:lang w:val="es-419"/>
        </w:rPr>
        <w:tab/>
        <w:t>Anexo I: Actividades de eliminación de HFC presentadas en la 84ª reunión</w:t>
      </w:r>
    </w:p>
    <w:p w14:paraId="5C713F71" w14:textId="77777777" w:rsidR="00A23492" w:rsidRPr="000801F3" w:rsidRDefault="00A23492" w:rsidP="00A23492">
      <w:pPr>
        <w:pStyle w:val="Heading2"/>
        <w:numPr>
          <w:ilvl w:val="0"/>
          <w:numId w:val="0"/>
        </w:numPr>
        <w:spacing w:after="0"/>
        <w:rPr>
          <w:color w:val="000000" w:themeColor="text1"/>
          <w:lang w:val="es-419"/>
        </w:rPr>
      </w:pPr>
    </w:p>
    <w:p w14:paraId="7F9BA8E4" w14:textId="77777777" w:rsidR="00A23492" w:rsidRPr="000801F3" w:rsidRDefault="00A23492" w:rsidP="00A23492">
      <w:pPr>
        <w:pStyle w:val="Heading2"/>
        <w:numPr>
          <w:ilvl w:val="0"/>
          <w:numId w:val="0"/>
        </w:numPr>
        <w:spacing w:after="0"/>
        <w:ind w:left="1440" w:hanging="1440"/>
        <w:rPr>
          <w:b/>
          <w:color w:val="000000" w:themeColor="text1"/>
          <w:lang w:val="es-419"/>
        </w:rPr>
      </w:pPr>
    </w:p>
    <w:p w14:paraId="11AB20AD" w14:textId="77777777" w:rsidR="00A23492" w:rsidRPr="000801F3" w:rsidRDefault="00A23492" w:rsidP="00A23492">
      <w:pPr>
        <w:pStyle w:val="Heading2"/>
        <w:numPr>
          <w:ilvl w:val="0"/>
          <w:numId w:val="0"/>
        </w:numPr>
        <w:spacing w:after="0"/>
        <w:ind w:left="1440" w:hanging="1440"/>
        <w:rPr>
          <w:b/>
          <w:color w:val="000000" w:themeColor="text1"/>
          <w:lang w:val="es-419"/>
        </w:rPr>
      </w:pPr>
      <w:r w:rsidRPr="000801F3">
        <w:rPr>
          <w:b/>
          <w:color w:val="000000" w:themeColor="text1"/>
          <w:lang w:val="es-419"/>
        </w:rPr>
        <w:t>PARTE I:</w:t>
      </w:r>
      <w:r w:rsidRPr="000801F3">
        <w:rPr>
          <w:b/>
          <w:color w:val="000000" w:themeColor="text1"/>
          <w:lang w:val="es-419"/>
        </w:rPr>
        <w:tab/>
        <w:t>ACTUALIZACIÓN DEL ESTADO DE EJECUCIÓN DE LOS PLANES ADMINISTRATIVOS DE 2019-2021</w:t>
      </w:r>
    </w:p>
    <w:p w14:paraId="6D114B69" w14:textId="77777777" w:rsidR="00A23492" w:rsidRPr="000801F3" w:rsidRDefault="00A23492" w:rsidP="00A23492">
      <w:pPr>
        <w:rPr>
          <w:color w:val="000000" w:themeColor="text1"/>
          <w:lang w:val="es-419"/>
        </w:rPr>
      </w:pPr>
    </w:p>
    <w:p w14:paraId="4B86EEAF" w14:textId="77777777" w:rsidR="00A23492" w:rsidRPr="000801F3" w:rsidRDefault="00A23492" w:rsidP="00A23492">
      <w:pPr>
        <w:pStyle w:val="Heading1"/>
        <w:rPr>
          <w:lang w:val="es-419"/>
        </w:rPr>
      </w:pPr>
      <w:r w:rsidRPr="000801F3">
        <w:rPr>
          <w:lang w:val="es-419"/>
        </w:rPr>
        <w:t>En su 82ª reunión, el Comité Ejecutivo avaló el plan administrativo refundido del Fondo Multilateral de 2019-2020. Como respuesta a la decisión 82/45(b) y (c), la Secretaría ajustó el plan administrativo refundido de 2019-2021, como se muestra en la tabla 1.</w:t>
      </w:r>
    </w:p>
    <w:p w14:paraId="127F8D03" w14:textId="77777777" w:rsidR="00A23492" w:rsidRPr="000801F3" w:rsidRDefault="00A23492" w:rsidP="00A23492">
      <w:pPr>
        <w:tabs>
          <w:tab w:val="left" w:pos="8280"/>
        </w:tabs>
        <w:rPr>
          <w:lang w:val="es-419"/>
        </w:rPr>
      </w:pPr>
      <w:r w:rsidRPr="000801F3">
        <w:rPr>
          <w:lang w:val="es-419"/>
        </w:rPr>
        <w:br w:type="page"/>
      </w:r>
    </w:p>
    <w:p w14:paraId="425172F9" w14:textId="77777777" w:rsidR="00A23492" w:rsidRPr="000801F3" w:rsidRDefault="00A23492" w:rsidP="00A23492">
      <w:pPr>
        <w:keepNext/>
        <w:keepLines/>
        <w:tabs>
          <w:tab w:val="left" w:pos="142"/>
          <w:tab w:val="left" w:pos="720"/>
          <w:tab w:val="left" w:pos="1440"/>
          <w:tab w:val="left" w:pos="2160"/>
          <w:tab w:val="left" w:pos="2880"/>
          <w:tab w:val="left" w:pos="3600"/>
        </w:tabs>
        <w:rPr>
          <w:b/>
          <w:bCs/>
          <w:lang w:val="es-419"/>
        </w:rPr>
      </w:pPr>
      <w:r w:rsidRPr="000801F3">
        <w:rPr>
          <w:b/>
          <w:lang w:val="es-419"/>
        </w:rPr>
        <w:lastRenderedPageBreak/>
        <w:t xml:space="preserve">Tabla 1. Asignación de recursos de los planes administrativos refundidos ajustados de </w:t>
      </w:r>
      <w:r w:rsidRPr="000801F3">
        <w:rPr>
          <w:b/>
          <w:bCs/>
          <w:lang w:val="es-419"/>
        </w:rPr>
        <w:t>2019-2021 del Fondo Multilateral ($EUA)</w:t>
      </w:r>
    </w:p>
    <w:tbl>
      <w:tblPr>
        <w:tblW w:w="9356" w:type="dxa"/>
        <w:tblLook w:val="04A0" w:firstRow="1" w:lastRow="0" w:firstColumn="1" w:lastColumn="0" w:noHBand="0" w:noVBand="1"/>
      </w:tblPr>
      <w:tblGrid>
        <w:gridCol w:w="3823"/>
        <w:gridCol w:w="1417"/>
        <w:gridCol w:w="1418"/>
        <w:gridCol w:w="1275"/>
        <w:gridCol w:w="1423"/>
      </w:tblGrid>
      <w:tr w:rsidR="00A23492" w:rsidRPr="000801F3" w14:paraId="7BBE9568" w14:textId="77777777" w:rsidTr="005B54E4">
        <w:trPr>
          <w:tblHead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48DDA" w14:textId="77777777" w:rsidR="00A23492" w:rsidRPr="000801F3" w:rsidRDefault="00A23492" w:rsidP="005B54E4">
            <w:pPr>
              <w:jc w:val="left"/>
              <w:rPr>
                <w:b/>
                <w:bCs/>
                <w:sz w:val="20"/>
                <w:szCs w:val="20"/>
                <w:lang w:val="es-419"/>
              </w:rPr>
            </w:pPr>
            <w:r w:rsidRPr="000801F3">
              <w:rPr>
                <w:b/>
                <w:bCs/>
                <w:sz w:val="20"/>
                <w:szCs w:val="20"/>
                <w:lang w:val="es-419"/>
              </w:rPr>
              <w:t>Ítem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EB2C468" w14:textId="77777777" w:rsidR="00A23492" w:rsidRPr="000801F3" w:rsidRDefault="00A23492" w:rsidP="005B54E4">
            <w:pPr>
              <w:jc w:val="center"/>
              <w:rPr>
                <w:b/>
                <w:bCs/>
                <w:sz w:val="20"/>
                <w:szCs w:val="20"/>
                <w:lang w:val="es-419"/>
              </w:rPr>
            </w:pPr>
            <w:r w:rsidRPr="000801F3">
              <w:rPr>
                <w:b/>
                <w:bCs/>
                <w:sz w:val="20"/>
                <w:szCs w:val="20"/>
                <w:lang w:val="es-419"/>
              </w:rPr>
              <w:t>2019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2585F4" w14:textId="77777777" w:rsidR="00A23492" w:rsidRPr="000801F3" w:rsidRDefault="00A23492" w:rsidP="005B54E4">
            <w:pPr>
              <w:jc w:val="center"/>
              <w:rPr>
                <w:b/>
                <w:bCs/>
                <w:sz w:val="20"/>
                <w:szCs w:val="20"/>
                <w:lang w:val="es-419"/>
              </w:rPr>
            </w:pPr>
            <w:r w:rsidRPr="000801F3">
              <w:rPr>
                <w:b/>
                <w:bCs/>
                <w:sz w:val="20"/>
                <w:szCs w:val="20"/>
                <w:lang w:val="es-419"/>
              </w:rPr>
              <w:t>2020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9908FA6" w14:textId="77777777" w:rsidR="00A23492" w:rsidRPr="000801F3" w:rsidRDefault="00A23492" w:rsidP="005B54E4">
            <w:pPr>
              <w:jc w:val="center"/>
              <w:rPr>
                <w:b/>
                <w:bCs/>
                <w:sz w:val="20"/>
                <w:szCs w:val="20"/>
                <w:lang w:val="es-419"/>
              </w:rPr>
            </w:pPr>
            <w:r w:rsidRPr="000801F3">
              <w:rPr>
                <w:b/>
                <w:bCs/>
                <w:sz w:val="20"/>
                <w:szCs w:val="20"/>
                <w:lang w:val="es-419"/>
              </w:rPr>
              <w:t>2021</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14:paraId="09E39B04" w14:textId="77777777" w:rsidR="00A23492" w:rsidRPr="000801F3" w:rsidRDefault="00A23492" w:rsidP="005B54E4">
            <w:pPr>
              <w:jc w:val="center"/>
              <w:rPr>
                <w:b/>
                <w:bCs/>
                <w:sz w:val="20"/>
                <w:szCs w:val="20"/>
                <w:lang w:val="es-419"/>
              </w:rPr>
            </w:pPr>
            <w:r w:rsidRPr="000801F3">
              <w:rPr>
                <w:b/>
                <w:bCs/>
                <w:sz w:val="20"/>
                <w:szCs w:val="20"/>
                <w:lang w:val="es-419"/>
              </w:rPr>
              <w:t>Total</w:t>
            </w:r>
          </w:p>
        </w:tc>
      </w:tr>
      <w:tr w:rsidR="00A23492" w:rsidRPr="000801F3" w14:paraId="3A3FB454" w14:textId="77777777" w:rsidTr="005B54E4">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6B662" w14:textId="77777777" w:rsidR="00A23492" w:rsidRPr="000801F3" w:rsidRDefault="00A23492" w:rsidP="005B54E4">
            <w:pPr>
              <w:jc w:val="left"/>
              <w:rPr>
                <w:b/>
                <w:bCs/>
                <w:sz w:val="20"/>
                <w:szCs w:val="20"/>
                <w:lang w:val="es-419"/>
              </w:rPr>
            </w:pPr>
            <w:r w:rsidRPr="000801F3">
              <w:rPr>
                <w:b/>
                <w:bCs/>
                <w:sz w:val="20"/>
                <w:szCs w:val="20"/>
                <w:lang w:val="es-419"/>
              </w:rPr>
              <w:t>Requerido para el cumplimiento</w:t>
            </w:r>
          </w:p>
        </w:tc>
      </w:tr>
      <w:tr w:rsidR="00A23492" w:rsidRPr="000801F3" w14:paraId="4FBC4CFF"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8F5D57B" w14:textId="77777777" w:rsidR="00A23492" w:rsidRPr="000801F3" w:rsidRDefault="00A23492" w:rsidP="005B54E4">
            <w:pPr>
              <w:jc w:val="left"/>
              <w:rPr>
                <w:sz w:val="20"/>
                <w:szCs w:val="20"/>
                <w:lang w:val="es-419"/>
              </w:rPr>
            </w:pPr>
            <w:r w:rsidRPr="000801F3">
              <w:rPr>
                <w:sz w:val="20"/>
                <w:szCs w:val="20"/>
                <w:lang w:val="es-419"/>
              </w:rPr>
              <w:t>Planes de gestión de la eliminación de los HCFC (PGEH) aprobados</w:t>
            </w:r>
          </w:p>
        </w:tc>
        <w:tc>
          <w:tcPr>
            <w:tcW w:w="1417" w:type="dxa"/>
            <w:tcBorders>
              <w:top w:val="nil"/>
              <w:left w:val="nil"/>
              <w:bottom w:val="single" w:sz="4" w:space="0" w:color="auto"/>
              <w:right w:val="single" w:sz="4" w:space="0" w:color="auto"/>
            </w:tcBorders>
            <w:shd w:val="clear" w:color="auto" w:fill="auto"/>
            <w:noWrap/>
            <w:vAlign w:val="center"/>
            <w:hideMark/>
          </w:tcPr>
          <w:p w14:paraId="4A0B96CA" w14:textId="77777777" w:rsidR="00A23492" w:rsidRPr="000801F3" w:rsidRDefault="00A23492" w:rsidP="005B54E4">
            <w:pPr>
              <w:jc w:val="right"/>
              <w:rPr>
                <w:sz w:val="20"/>
                <w:szCs w:val="20"/>
                <w:lang w:val="es-419"/>
              </w:rPr>
            </w:pPr>
            <w:r w:rsidRPr="000801F3">
              <w:rPr>
                <w:sz w:val="20"/>
                <w:szCs w:val="20"/>
                <w:lang w:val="es-419"/>
              </w:rPr>
              <w:t>96 379 090</w:t>
            </w:r>
          </w:p>
        </w:tc>
        <w:tc>
          <w:tcPr>
            <w:tcW w:w="1418" w:type="dxa"/>
            <w:tcBorders>
              <w:top w:val="nil"/>
              <w:left w:val="nil"/>
              <w:bottom w:val="single" w:sz="4" w:space="0" w:color="auto"/>
              <w:right w:val="single" w:sz="4" w:space="0" w:color="auto"/>
            </w:tcBorders>
            <w:shd w:val="clear" w:color="auto" w:fill="auto"/>
            <w:noWrap/>
            <w:vAlign w:val="center"/>
            <w:hideMark/>
          </w:tcPr>
          <w:p w14:paraId="39A4ABAF" w14:textId="77777777" w:rsidR="00A23492" w:rsidRPr="000801F3" w:rsidRDefault="00A23492" w:rsidP="005B54E4">
            <w:pPr>
              <w:jc w:val="right"/>
              <w:rPr>
                <w:sz w:val="20"/>
                <w:szCs w:val="20"/>
                <w:lang w:val="es-419"/>
              </w:rPr>
            </w:pPr>
            <w:r w:rsidRPr="000801F3">
              <w:rPr>
                <w:sz w:val="20"/>
                <w:szCs w:val="20"/>
                <w:lang w:val="es-419"/>
              </w:rPr>
              <w:t>111 848 069</w:t>
            </w:r>
          </w:p>
        </w:tc>
        <w:tc>
          <w:tcPr>
            <w:tcW w:w="1275" w:type="dxa"/>
            <w:tcBorders>
              <w:top w:val="nil"/>
              <w:left w:val="nil"/>
              <w:bottom w:val="single" w:sz="4" w:space="0" w:color="auto"/>
              <w:right w:val="single" w:sz="4" w:space="0" w:color="auto"/>
            </w:tcBorders>
            <w:shd w:val="clear" w:color="auto" w:fill="auto"/>
            <w:noWrap/>
            <w:vAlign w:val="center"/>
            <w:hideMark/>
          </w:tcPr>
          <w:p w14:paraId="7D5B2C6A" w14:textId="77777777" w:rsidR="00A23492" w:rsidRPr="000801F3" w:rsidRDefault="00A23492" w:rsidP="005B54E4">
            <w:pPr>
              <w:jc w:val="right"/>
              <w:rPr>
                <w:sz w:val="20"/>
                <w:szCs w:val="20"/>
                <w:lang w:val="es-419"/>
              </w:rPr>
            </w:pPr>
            <w:r w:rsidRPr="000801F3">
              <w:rPr>
                <w:sz w:val="20"/>
                <w:szCs w:val="20"/>
                <w:lang w:val="es-419"/>
              </w:rPr>
              <w:t>85 792 031</w:t>
            </w:r>
          </w:p>
        </w:tc>
        <w:tc>
          <w:tcPr>
            <w:tcW w:w="1423" w:type="dxa"/>
            <w:tcBorders>
              <w:top w:val="nil"/>
              <w:left w:val="nil"/>
              <w:bottom w:val="single" w:sz="4" w:space="0" w:color="auto"/>
              <w:right w:val="single" w:sz="4" w:space="0" w:color="auto"/>
            </w:tcBorders>
            <w:shd w:val="clear" w:color="auto" w:fill="auto"/>
            <w:noWrap/>
            <w:vAlign w:val="center"/>
            <w:hideMark/>
          </w:tcPr>
          <w:p w14:paraId="2DC3E887" w14:textId="77777777" w:rsidR="00A23492" w:rsidRPr="000801F3" w:rsidRDefault="00A23492" w:rsidP="005B54E4">
            <w:pPr>
              <w:jc w:val="right"/>
              <w:rPr>
                <w:sz w:val="20"/>
                <w:szCs w:val="20"/>
                <w:lang w:val="es-419"/>
              </w:rPr>
            </w:pPr>
            <w:r w:rsidRPr="000801F3">
              <w:rPr>
                <w:sz w:val="20"/>
                <w:szCs w:val="20"/>
                <w:lang w:val="es-419"/>
              </w:rPr>
              <w:t>294 019 190</w:t>
            </w:r>
          </w:p>
        </w:tc>
      </w:tr>
      <w:tr w:rsidR="00A23492" w:rsidRPr="000801F3" w14:paraId="6CED7970"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5E2B732" w14:textId="77777777" w:rsidR="00A23492" w:rsidRPr="000801F3" w:rsidRDefault="00A23492" w:rsidP="005B54E4">
            <w:pPr>
              <w:jc w:val="left"/>
              <w:rPr>
                <w:sz w:val="20"/>
                <w:szCs w:val="20"/>
                <w:lang w:val="es-419"/>
              </w:rPr>
            </w:pPr>
            <w:r w:rsidRPr="000801F3">
              <w:rPr>
                <w:sz w:val="20"/>
                <w:szCs w:val="20"/>
                <w:lang w:val="es-419"/>
              </w:rPr>
              <w:t>PGEH, etapa I</w:t>
            </w:r>
          </w:p>
        </w:tc>
        <w:tc>
          <w:tcPr>
            <w:tcW w:w="1417" w:type="dxa"/>
            <w:tcBorders>
              <w:top w:val="nil"/>
              <w:left w:val="nil"/>
              <w:bottom w:val="single" w:sz="4" w:space="0" w:color="auto"/>
              <w:right w:val="single" w:sz="4" w:space="0" w:color="auto"/>
            </w:tcBorders>
            <w:shd w:val="clear" w:color="auto" w:fill="auto"/>
            <w:noWrap/>
            <w:vAlign w:val="center"/>
            <w:hideMark/>
          </w:tcPr>
          <w:p w14:paraId="659AA37F" w14:textId="77777777" w:rsidR="00A23492" w:rsidRPr="000801F3" w:rsidRDefault="00A23492" w:rsidP="005B54E4">
            <w:pPr>
              <w:jc w:val="right"/>
              <w:rPr>
                <w:sz w:val="20"/>
                <w:szCs w:val="20"/>
                <w:lang w:val="es-419"/>
              </w:rPr>
            </w:pPr>
            <w:r w:rsidRPr="000801F3">
              <w:rPr>
                <w:sz w:val="20"/>
                <w:szCs w:val="20"/>
                <w:lang w:val="es-419"/>
              </w:rPr>
              <w:t>0</w:t>
            </w:r>
          </w:p>
        </w:tc>
        <w:tc>
          <w:tcPr>
            <w:tcW w:w="1418" w:type="dxa"/>
            <w:tcBorders>
              <w:top w:val="nil"/>
              <w:left w:val="nil"/>
              <w:bottom w:val="single" w:sz="4" w:space="0" w:color="auto"/>
              <w:right w:val="single" w:sz="4" w:space="0" w:color="auto"/>
            </w:tcBorders>
            <w:shd w:val="clear" w:color="auto" w:fill="auto"/>
            <w:noWrap/>
            <w:vAlign w:val="center"/>
            <w:hideMark/>
          </w:tcPr>
          <w:p w14:paraId="787F3106" w14:textId="77777777" w:rsidR="00A23492" w:rsidRPr="000801F3" w:rsidRDefault="00A23492" w:rsidP="005B54E4">
            <w:pPr>
              <w:jc w:val="right"/>
              <w:rPr>
                <w:sz w:val="20"/>
                <w:szCs w:val="20"/>
                <w:lang w:val="es-419"/>
              </w:rPr>
            </w:pPr>
            <w:r w:rsidRPr="000801F3">
              <w:rPr>
                <w:sz w:val="20"/>
                <w:szCs w:val="20"/>
                <w:lang w:val="es-419"/>
              </w:rPr>
              <w:t>353 978</w:t>
            </w:r>
          </w:p>
        </w:tc>
        <w:tc>
          <w:tcPr>
            <w:tcW w:w="1275" w:type="dxa"/>
            <w:tcBorders>
              <w:top w:val="nil"/>
              <w:left w:val="nil"/>
              <w:bottom w:val="single" w:sz="4" w:space="0" w:color="auto"/>
              <w:right w:val="single" w:sz="4" w:space="0" w:color="auto"/>
            </w:tcBorders>
            <w:shd w:val="clear" w:color="auto" w:fill="auto"/>
            <w:noWrap/>
            <w:vAlign w:val="center"/>
            <w:hideMark/>
          </w:tcPr>
          <w:p w14:paraId="4288B6FB" w14:textId="77777777" w:rsidR="00A23492" w:rsidRPr="000801F3" w:rsidRDefault="00A23492" w:rsidP="005B54E4">
            <w:pPr>
              <w:jc w:val="right"/>
              <w:rPr>
                <w:sz w:val="20"/>
                <w:szCs w:val="20"/>
                <w:lang w:val="es-419"/>
              </w:rPr>
            </w:pPr>
            <w:r w:rsidRPr="000801F3">
              <w:rPr>
                <w:sz w:val="20"/>
                <w:szCs w:val="20"/>
                <w:lang w:val="es-419"/>
              </w:rPr>
              <w:t>0</w:t>
            </w:r>
          </w:p>
        </w:tc>
        <w:tc>
          <w:tcPr>
            <w:tcW w:w="1423" w:type="dxa"/>
            <w:tcBorders>
              <w:top w:val="nil"/>
              <w:left w:val="nil"/>
              <w:bottom w:val="single" w:sz="4" w:space="0" w:color="auto"/>
              <w:right w:val="single" w:sz="4" w:space="0" w:color="auto"/>
            </w:tcBorders>
            <w:shd w:val="clear" w:color="auto" w:fill="auto"/>
            <w:noWrap/>
            <w:vAlign w:val="center"/>
            <w:hideMark/>
          </w:tcPr>
          <w:p w14:paraId="11E08225" w14:textId="77777777" w:rsidR="00A23492" w:rsidRPr="000801F3" w:rsidRDefault="00A23492" w:rsidP="005B54E4">
            <w:pPr>
              <w:jc w:val="right"/>
              <w:rPr>
                <w:sz w:val="20"/>
                <w:szCs w:val="20"/>
                <w:lang w:val="es-419"/>
              </w:rPr>
            </w:pPr>
            <w:r w:rsidRPr="000801F3">
              <w:rPr>
                <w:sz w:val="20"/>
                <w:szCs w:val="20"/>
                <w:lang w:val="es-419"/>
              </w:rPr>
              <w:t>353 978</w:t>
            </w:r>
          </w:p>
        </w:tc>
      </w:tr>
      <w:tr w:rsidR="00A23492" w:rsidRPr="000801F3" w14:paraId="408FFC10"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D58C023" w14:textId="77777777" w:rsidR="00A23492" w:rsidRPr="000801F3" w:rsidRDefault="00A23492" w:rsidP="005B54E4">
            <w:pPr>
              <w:jc w:val="left"/>
              <w:rPr>
                <w:sz w:val="20"/>
                <w:szCs w:val="20"/>
                <w:lang w:val="es-419"/>
              </w:rPr>
            </w:pPr>
            <w:r w:rsidRPr="000801F3">
              <w:rPr>
                <w:sz w:val="20"/>
                <w:szCs w:val="20"/>
                <w:lang w:val="es-419"/>
              </w:rPr>
              <w:t>PGEH, etapa I - financiación adicional</w:t>
            </w:r>
          </w:p>
        </w:tc>
        <w:tc>
          <w:tcPr>
            <w:tcW w:w="1417" w:type="dxa"/>
            <w:tcBorders>
              <w:top w:val="nil"/>
              <w:left w:val="nil"/>
              <w:bottom w:val="single" w:sz="4" w:space="0" w:color="auto"/>
              <w:right w:val="single" w:sz="4" w:space="0" w:color="auto"/>
            </w:tcBorders>
            <w:shd w:val="clear" w:color="auto" w:fill="auto"/>
            <w:noWrap/>
            <w:vAlign w:val="center"/>
            <w:hideMark/>
          </w:tcPr>
          <w:p w14:paraId="00CFE1B3" w14:textId="77777777" w:rsidR="00A23492" w:rsidRPr="000801F3" w:rsidRDefault="00A23492" w:rsidP="005B54E4">
            <w:pPr>
              <w:jc w:val="right"/>
              <w:rPr>
                <w:sz w:val="20"/>
                <w:szCs w:val="20"/>
                <w:lang w:val="es-419"/>
              </w:rPr>
            </w:pPr>
            <w:r w:rsidRPr="000801F3">
              <w:rPr>
                <w:sz w:val="20"/>
                <w:szCs w:val="20"/>
                <w:lang w:val="es-419"/>
              </w:rPr>
              <w:t>0</w:t>
            </w:r>
          </w:p>
        </w:tc>
        <w:tc>
          <w:tcPr>
            <w:tcW w:w="1418" w:type="dxa"/>
            <w:tcBorders>
              <w:top w:val="nil"/>
              <w:left w:val="nil"/>
              <w:bottom w:val="single" w:sz="4" w:space="0" w:color="auto"/>
              <w:right w:val="single" w:sz="4" w:space="0" w:color="auto"/>
            </w:tcBorders>
            <w:shd w:val="clear" w:color="auto" w:fill="auto"/>
            <w:noWrap/>
            <w:vAlign w:val="center"/>
            <w:hideMark/>
          </w:tcPr>
          <w:p w14:paraId="4212418E" w14:textId="77777777" w:rsidR="00A23492" w:rsidRPr="000801F3" w:rsidRDefault="00A23492" w:rsidP="005B54E4">
            <w:pPr>
              <w:jc w:val="right"/>
              <w:rPr>
                <w:sz w:val="20"/>
                <w:szCs w:val="20"/>
                <w:lang w:val="es-419"/>
              </w:rPr>
            </w:pPr>
            <w:r w:rsidRPr="000801F3">
              <w:rPr>
                <w:sz w:val="20"/>
                <w:szCs w:val="20"/>
                <w:lang w:val="es-419"/>
              </w:rPr>
              <w:t>645 788</w:t>
            </w:r>
          </w:p>
        </w:tc>
        <w:tc>
          <w:tcPr>
            <w:tcW w:w="1275" w:type="dxa"/>
            <w:tcBorders>
              <w:top w:val="nil"/>
              <w:left w:val="nil"/>
              <w:bottom w:val="single" w:sz="4" w:space="0" w:color="auto"/>
              <w:right w:val="single" w:sz="4" w:space="0" w:color="auto"/>
            </w:tcBorders>
            <w:shd w:val="clear" w:color="auto" w:fill="auto"/>
            <w:noWrap/>
            <w:vAlign w:val="center"/>
            <w:hideMark/>
          </w:tcPr>
          <w:p w14:paraId="5169C0E6" w14:textId="77777777" w:rsidR="00A23492" w:rsidRPr="000801F3" w:rsidRDefault="00A23492" w:rsidP="005B54E4">
            <w:pPr>
              <w:jc w:val="right"/>
              <w:rPr>
                <w:sz w:val="20"/>
                <w:szCs w:val="20"/>
                <w:lang w:val="es-419"/>
              </w:rPr>
            </w:pPr>
            <w:r w:rsidRPr="000801F3">
              <w:rPr>
                <w:sz w:val="20"/>
                <w:szCs w:val="20"/>
                <w:lang w:val="es-419"/>
              </w:rPr>
              <w:t>0</w:t>
            </w:r>
          </w:p>
        </w:tc>
        <w:tc>
          <w:tcPr>
            <w:tcW w:w="1423" w:type="dxa"/>
            <w:tcBorders>
              <w:top w:val="nil"/>
              <w:left w:val="nil"/>
              <w:bottom w:val="single" w:sz="4" w:space="0" w:color="auto"/>
              <w:right w:val="single" w:sz="4" w:space="0" w:color="auto"/>
            </w:tcBorders>
            <w:shd w:val="clear" w:color="auto" w:fill="auto"/>
            <w:noWrap/>
            <w:vAlign w:val="center"/>
            <w:hideMark/>
          </w:tcPr>
          <w:p w14:paraId="611A1477" w14:textId="77777777" w:rsidR="00A23492" w:rsidRPr="000801F3" w:rsidRDefault="00A23492" w:rsidP="005B54E4">
            <w:pPr>
              <w:jc w:val="right"/>
              <w:rPr>
                <w:sz w:val="20"/>
                <w:szCs w:val="20"/>
                <w:lang w:val="es-419"/>
              </w:rPr>
            </w:pPr>
            <w:r w:rsidRPr="000801F3">
              <w:rPr>
                <w:sz w:val="20"/>
                <w:szCs w:val="20"/>
                <w:lang w:val="es-419"/>
              </w:rPr>
              <w:t>645 788</w:t>
            </w:r>
          </w:p>
        </w:tc>
      </w:tr>
      <w:tr w:rsidR="00A23492" w:rsidRPr="000801F3" w14:paraId="44C0C7D1"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EC5BBB0" w14:textId="77777777" w:rsidR="00A23492" w:rsidRPr="000801F3" w:rsidRDefault="00A23492" w:rsidP="005B54E4">
            <w:pPr>
              <w:jc w:val="left"/>
              <w:rPr>
                <w:sz w:val="20"/>
                <w:szCs w:val="20"/>
                <w:lang w:val="es-419"/>
              </w:rPr>
            </w:pPr>
            <w:r w:rsidRPr="000801F3">
              <w:rPr>
                <w:sz w:val="20"/>
                <w:szCs w:val="20"/>
                <w:lang w:val="es-419"/>
              </w:rPr>
              <w:t>Preparación de proyectos de los PGEH – etapa II</w:t>
            </w:r>
          </w:p>
        </w:tc>
        <w:tc>
          <w:tcPr>
            <w:tcW w:w="1417" w:type="dxa"/>
            <w:tcBorders>
              <w:top w:val="nil"/>
              <w:left w:val="nil"/>
              <w:bottom w:val="single" w:sz="4" w:space="0" w:color="auto"/>
              <w:right w:val="single" w:sz="4" w:space="0" w:color="auto"/>
            </w:tcBorders>
            <w:shd w:val="clear" w:color="auto" w:fill="auto"/>
            <w:noWrap/>
            <w:vAlign w:val="center"/>
            <w:hideMark/>
          </w:tcPr>
          <w:p w14:paraId="32BE52E3" w14:textId="77777777" w:rsidR="00A23492" w:rsidRPr="000801F3" w:rsidRDefault="00A23492" w:rsidP="005B54E4">
            <w:pPr>
              <w:jc w:val="right"/>
              <w:rPr>
                <w:sz w:val="20"/>
                <w:szCs w:val="20"/>
                <w:lang w:val="es-419"/>
              </w:rPr>
            </w:pPr>
            <w:r w:rsidRPr="000801F3">
              <w:rPr>
                <w:sz w:val="20"/>
                <w:szCs w:val="20"/>
                <w:lang w:val="es-419"/>
              </w:rPr>
              <w:t>1 414 723</w:t>
            </w:r>
          </w:p>
        </w:tc>
        <w:tc>
          <w:tcPr>
            <w:tcW w:w="1418" w:type="dxa"/>
            <w:tcBorders>
              <w:top w:val="nil"/>
              <w:left w:val="nil"/>
              <w:bottom w:val="single" w:sz="4" w:space="0" w:color="auto"/>
              <w:right w:val="single" w:sz="4" w:space="0" w:color="auto"/>
            </w:tcBorders>
            <w:shd w:val="clear" w:color="auto" w:fill="auto"/>
            <w:noWrap/>
            <w:vAlign w:val="center"/>
            <w:hideMark/>
          </w:tcPr>
          <w:p w14:paraId="4A7EA35C" w14:textId="77777777" w:rsidR="00A23492" w:rsidRPr="000801F3" w:rsidRDefault="00A23492" w:rsidP="005B54E4">
            <w:pPr>
              <w:jc w:val="right"/>
              <w:rPr>
                <w:sz w:val="20"/>
                <w:szCs w:val="20"/>
                <w:lang w:val="es-419"/>
              </w:rPr>
            </w:pPr>
            <w:r w:rsidRPr="000801F3">
              <w:rPr>
                <w:sz w:val="20"/>
                <w:szCs w:val="20"/>
                <w:lang w:val="es-419"/>
              </w:rPr>
              <w:t>395 650</w:t>
            </w:r>
          </w:p>
        </w:tc>
        <w:tc>
          <w:tcPr>
            <w:tcW w:w="1275" w:type="dxa"/>
            <w:tcBorders>
              <w:top w:val="nil"/>
              <w:left w:val="nil"/>
              <w:bottom w:val="single" w:sz="4" w:space="0" w:color="auto"/>
              <w:right w:val="single" w:sz="4" w:space="0" w:color="auto"/>
            </w:tcBorders>
            <w:shd w:val="clear" w:color="auto" w:fill="auto"/>
            <w:noWrap/>
            <w:vAlign w:val="center"/>
            <w:hideMark/>
          </w:tcPr>
          <w:p w14:paraId="774DD28A" w14:textId="77777777" w:rsidR="00A23492" w:rsidRPr="000801F3" w:rsidRDefault="00A23492" w:rsidP="005B54E4">
            <w:pPr>
              <w:jc w:val="right"/>
              <w:rPr>
                <w:sz w:val="20"/>
                <w:szCs w:val="20"/>
                <w:lang w:val="es-419"/>
              </w:rPr>
            </w:pPr>
            <w:r w:rsidRPr="000801F3">
              <w:rPr>
                <w:sz w:val="20"/>
                <w:szCs w:val="20"/>
                <w:lang w:val="es-419"/>
              </w:rPr>
              <w:t>130 800</w:t>
            </w:r>
          </w:p>
        </w:tc>
        <w:tc>
          <w:tcPr>
            <w:tcW w:w="1423" w:type="dxa"/>
            <w:tcBorders>
              <w:top w:val="nil"/>
              <w:left w:val="nil"/>
              <w:bottom w:val="single" w:sz="4" w:space="0" w:color="auto"/>
              <w:right w:val="single" w:sz="4" w:space="0" w:color="auto"/>
            </w:tcBorders>
            <w:shd w:val="clear" w:color="auto" w:fill="auto"/>
            <w:noWrap/>
            <w:vAlign w:val="center"/>
            <w:hideMark/>
          </w:tcPr>
          <w:p w14:paraId="7F92FB54" w14:textId="77777777" w:rsidR="00A23492" w:rsidRPr="000801F3" w:rsidRDefault="00A23492" w:rsidP="005B54E4">
            <w:pPr>
              <w:jc w:val="right"/>
              <w:rPr>
                <w:sz w:val="20"/>
                <w:szCs w:val="20"/>
                <w:lang w:val="es-419"/>
              </w:rPr>
            </w:pPr>
            <w:r w:rsidRPr="000801F3">
              <w:rPr>
                <w:sz w:val="20"/>
                <w:szCs w:val="20"/>
                <w:lang w:val="es-419"/>
              </w:rPr>
              <w:t>1 941 173</w:t>
            </w:r>
          </w:p>
        </w:tc>
      </w:tr>
      <w:tr w:rsidR="00A23492" w:rsidRPr="000801F3" w14:paraId="1A8F1E73"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2BE71F8" w14:textId="77777777" w:rsidR="00A23492" w:rsidRPr="000801F3" w:rsidRDefault="00A23492" w:rsidP="005B54E4">
            <w:pPr>
              <w:jc w:val="left"/>
              <w:rPr>
                <w:sz w:val="20"/>
                <w:szCs w:val="20"/>
                <w:lang w:val="es-419"/>
              </w:rPr>
            </w:pPr>
            <w:r w:rsidRPr="000801F3">
              <w:rPr>
                <w:sz w:val="20"/>
                <w:szCs w:val="20"/>
                <w:lang w:val="es-419"/>
              </w:rPr>
              <w:t>PGEH, etapa II</w:t>
            </w:r>
          </w:p>
        </w:tc>
        <w:tc>
          <w:tcPr>
            <w:tcW w:w="1417" w:type="dxa"/>
            <w:tcBorders>
              <w:top w:val="nil"/>
              <w:left w:val="nil"/>
              <w:bottom w:val="single" w:sz="4" w:space="0" w:color="auto"/>
              <w:right w:val="single" w:sz="4" w:space="0" w:color="auto"/>
            </w:tcBorders>
            <w:shd w:val="clear" w:color="auto" w:fill="auto"/>
            <w:noWrap/>
            <w:vAlign w:val="center"/>
            <w:hideMark/>
          </w:tcPr>
          <w:p w14:paraId="4F271727" w14:textId="77777777" w:rsidR="00A23492" w:rsidRPr="000801F3" w:rsidRDefault="00A23492" w:rsidP="005B54E4">
            <w:pPr>
              <w:jc w:val="right"/>
              <w:rPr>
                <w:sz w:val="20"/>
                <w:szCs w:val="20"/>
                <w:lang w:val="es-419"/>
              </w:rPr>
            </w:pPr>
            <w:r w:rsidRPr="000801F3">
              <w:rPr>
                <w:sz w:val="20"/>
                <w:szCs w:val="20"/>
                <w:lang w:val="es-419"/>
              </w:rPr>
              <w:t>1 761 439</w:t>
            </w:r>
          </w:p>
        </w:tc>
        <w:tc>
          <w:tcPr>
            <w:tcW w:w="1418" w:type="dxa"/>
            <w:tcBorders>
              <w:top w:val="nil"/>
              <w:left w:val="nil"/>
              <w:bottom w:val="single" w:sz="4" w:space="0" w:color="auto"/>
              <w:right w:val="single" w:sz="4" w:space="0" w:color="auto"/>
            </w:tcBorders>
            <w:shd w:val="clear" w:color="auto" w:fill="auto"/>
            <w:noWrap/>
            <w:vAlign w:val="center"/>
            <w:hideMark/>
          </w:tcPr>
          <w:p w14:paraId="29B007C4" w14:textId="77777777" w:rsidR="00A23492" w:rsidRPr="000801F3" w:rsidRDefault="00A23492" w:rsidP="005B54E4">
            <w:pPr>
              <w:jc w:val="right"/>
              <w:rPr>
                <w:sz w:val="20"/>
                <w:szCs w:val="20"/>
                <w:lang w:val="es-419"/>
              </w:rPr>
            </w:pPr>
            <w:r w:rsidRPr="000801F3">
              <w:rPr>
                <w:sz w:val="20"/>
                <w:szCs w:val="20"/>
                <w:lang w:val="es-419"/>
              </w:rPr>
              <w:t>15 034 014</w:t>
            </w:r>
          </w:p>
        </w:tc>
        <w:tc>
          <w:tcPr>
            <w:tcW w:w="1275" w:type="dxa"/>
            <w:tcBorders>
              <w:top w:val="nil"/>
              <w:left w:val="nil"/>
              <w:bottom w:val="single" w:sz="4" w:space="0" w:color="auto"/>
              <w:right w:val="single" w:sz="4" w:space="0" w:color="auto"/>
            </w:tcBorders>
            <w:shd w:val="clear" w:color="auto" w:fill="auto"/>
            <w:noWrap/>
            <w:vAlign w:val="center"/>
            <w:hideMark/>
          </w:tcPr>
          <w:p w14:paraId="6126A073" w14:textId="77777777" w:rsidR="00A23492" w:rsidRPr="000801F3" w:rsidRDefault="00A23492" w:rsidP="005B54E4">
            <w:pPr>
              <w:jc w:val="right"/>
              <w:rPr>
                <w:sz w:val="20"/>
                <w:szCs w:val="20"/>
                <w:lang w:val="es-419"/>
              </w:rPr>
            </w:pPr>
            <w:r w:rsidRPr="000801F3">
              <w:rPr>
                <w:sz w:val="20"/>
                <w:szCs w:val="20"/>
                <w:lang w:val="es-419"/>
              </w:rPr>
              <w:t>5 046 206</w:t>
            </w:r>
          </w:p>
        </w:tc>
        <w:tc>
          <w:tcPr>
            <w:tcW w:w="1423" w:type="dxa"/>
            <w:tcBorders>
              <w:top w:val="nil"/>
              <w:left w:val="nil"/>
              <w:bottom w:val="single" w:sz="4" w:space="0" w:color="auto"/>
              <w:right w:val="single" w:sz="4" w:space="0" w:color="auto"/>
            </w:tcBorders>
            <w:shd w:val="clear" w:color="auto" w:fill="auto"/>
            <w:noWrap/>
            <w:vAlign w:val="center"/>
            <w:hideMark/>
          </w:tcPr>
          <w:p w14:paraId="21E6491A" w14:textId="77777777" w:rsidR="00A23492" w:rsidRPr="000801F3" w:rsidRDefault="00A23492" w:rsidP="005B54E4">
            <w:pPr>
              <w:jc w:val="right"/>
              <w:rPr>
                <w:sz w:val="20"/>
                <w:szCs w:val="20"/>
                <w:lang w:val="es-419"/>
              </w:rPr>
            </w:pPr>
            <w:r w:rsidRPr="000801F3">
              <w:rPr>
                <w:sz w:val="20"/>
                <w:szCs w:val="20"/>
                <w:lang w:val="es-419"/>
              </w:rPr>
              <w:t>21 841 660</w:t>
            </w:r>
          </w:p>
        </w:tc>
      </w:tr>
      <w:tr w:rsidR="00A23492" w:rsidRPr="000801F3" w14:paraId="054FB51E"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F8FD77F" w14:textId="77777777" w:rsidR="00A23492" w:rsidRPr="000801F3" w:rsidRDefault="00A23492" w:rsidP="005B54E4">
            <w:pPr>
              <w:jc w:val="left"/>
              <w:rPr>
                <w:sz w:val="20"/>
                <w:szCs w:val="20"/>
                <w:lang w:val="es-419"/>
              </w:rPr>
            </w:pPr>
            <w:r w:rsidRPr="000801F3">
              <w:rPr>
                <w:sz w:val="20"/>
                <w:szCs w:val="20"/>
                <w:lang w:val="es-419"/>
              </w:rPr>
              <w:t>Producción de HCFC– etapa II</w:t>
            </w:r>
          </w:p>
        </w:tc>
        <w:tc>
          <w:tcPr>
            <w:tcW w:w="1417" w:type="dxa"/>
            <w:tcBorders>
              <w:top w:val="nil"/>
              <w:left w:val="nil"/>
              <w:bottom w:val="single" w:sz="4" w:space="0" w:color="auto"/>
              <w:right w:val="single" w:sz="4" w:space="0" w:color="auto"/>
            </w:tcBorders>
            <w:shd w:val="clear" w:color="auto" w:fill="auto"/>
            <w:noWrap/>
            <w:vAlign w:val="center"/>
            <w:hideMark/>
          </w:tcPr>
          <w:p w14:paraId="4C4B2C68" w14:textId="77777777" w:rsidR="00A23492" w:rsidRPr="000801F3" w:rsidRDefault="00A23492" w:rsidP="005B54E4">
            <w:pPr>
              <w:jc w:val="right"/>
              <w:rPr>
                <w:sz w:val="20"/>
                <w:szCs w:val="20"/>
                <w:lang w:val="es-419"/>
              </w:rPr>
            </w:pPr>
            <w:r w:rsidRPr="000801F3">
              <w:rPr>
                <w:sz w:val="20"/>
                <w:szCs w:val="20"/>
                <w:lang w:val="es-419"/>
              </w:rPr>
              <w:t>23 496 000</w:t>
            </w:r>
          </w:p>
        </w:tc>
        <w:tc>
          <w:tcPr>
            <w:tcW w:w="1418" w:type="dxa"/>
            <w:tcBorders>
              <w:top w:val="nil"/>
              <w:left w:val="nil"/>
              <w:bottom w:val="single" w:sz="4" w:space="0" w:color="auto"/>
              <w:right w:val="single" w:sz="4" w:space="0" w:color="auto"/>
            </w:tcBorders>
            <w:shd w:val="clear" w:color="auto" w:fill="auto"/>
            <w:noWrap/>
            <w:vAlign w:val="center"/>
            <w:hideMark/>
          </w:tcPr>
          <w:p w14:paraId="7AF362A0" w14:textId="77777777" w:rsidR="00A23492" w:rsidRPr="000801F3" w:rsidRDefault="00A23492" w:rsidP="005B54E4">
            <w:pPr>
              <w:jc w:val="right"/>
              <w:rPr>
                <w:sz w:val="20"/>
                <w:szCs w:val="20"/>
                <w:lang w:val="es-419"/>
              </w:rPr>
            </w:pPr>
            <w:r w:rsidRPr="000801F3">
              <w:rPr>
                <w:sz w:val="20"/>
                <w:szCs w:val="20"/>
                <w:lang w:val="es-419"/>
              </w:rPr>
              <w:t>23 496 000</w:t>
            </w:r>
          </w:p>
        </w:tc>
        <w:tc>
          <w:tcPr>
            <w:tcW w:w="1275" w:type="dxa"/>
            <w:tcBorders>
              <w:top w:val="nil"/>
              <w:left w:val="nil"/>
              <w:bottom w:val="single" w:sz="4" w:space="0" w:color="auto"/>
              <w:right w:val="single" w:sz="4" w:space="0" w:color="auto"/>
            </w:tcBorders>
            <w:shd w:val="clear" w:color="auto" w:fill="auto"/>
            <w:noWrap/>
            <w:vAlign w:val="center"/>
            <w:hideMark/>
          </w:tcPr>
          <w:p w14:paraId="661B93F3" w14:textId="77777777" w:rsidR="00A23492" w:rsidRPr="000801F3" w:rsidRDefault="00A23492" w:rsidP="005B54E4">
            <w:pPr>
              <w:jc w:val="right"/>
              <w:rPr>
                <w:sz w:val="20"/>
                <w:szCs w:val="20"/>
                <w:lang w:val="es-419"/>
              </w:rPr>
            </w:pPr>
            <w:r w:rsidRPr="000801F3">
              <w:rPr>
                <w:sz w:val="20"/>
                <w:szCs w:val="20"/>
                <w:lang w:val="es-419"/>
              </w:rPr>
              <w:t>23 496 000</w:t>
            </w:r>
          </w:p>
        </w:tc>
        <w:tc>
          <w:tcPr>
            <w:tcW w:w="1423" w:type="dxa"/>
            <w:tcBorders>
              <w:top w:val="nil"/>
              <w:left w:val="nil"/>
              <w:bottom w:val="single" w:sz="4" w:space="0" w:color="auto"/>
              <w:right w:val="single" w:sz="4" w:space="0" w:color="auto"/>
            </w:tcBorders>
            <w:shd w:val="clear" w:color="auto" w:fill="auto"/>
            <w:noWrap/>
            <w:vAlign w:val="center"/>
            <w:hideMark/>
          </w:tcPr>
          <w:p w14:paraId="4B07CCFC" w14:textId="77777777" w:rsidR="00A23492" w:rsidRPr="000801F3" w:rsidRDefault="00A23492" w:rsidP="005B54E4">
            <w:pPr>
              <w:jc w:val="right"/>
              <w:rPr>
                <w:sz w:val="20"/>
                <w:szCs w:val="20"/>
                <w:lang w:val="es-419"/>
              </w:rPr>
            </w:pPr>
            <w:r w:rsidRPr="000801F3">
              <w:rPr>
                <w:sz w:val="20"/>
                <w:szCs w:val="20"/>
                <w:lang w:val="es-419"/>
              </w:rPr>
              <w:t>70 488 000</w:t>
            </w:r>
          </w:p>
        </w:tc>
      </w:tr>
      <w:tr w:rsidR="00A23492" w:rsidRPr="000801F3" w14:paraId="441289DA"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5DE40402" w14:textId="77777777" w:rsidR="00A23492" w:rsidRPr="000801F3" w:rsidRDefault="00A23492" w:rsidP="005B54E4">
            <w:pPr>
              <w:jc w:val="left"/>
              <w:rPr>
                <w:sz w:val="20"/>
                <w:szCs w:val="20"/>
                <w:lang w:val="es-419"/>
              </w:rPr>
            </w:pPr>
            <w:r w:rsidRPr="000801F3">
              <w:rPr>
                <w:sz w:val="20"/>
                <w:szCs w:val="20"/>
                <w:lang w:val="es-419"/>
              </w:rPr>
              <w:t>Preparación de proyectos de los PGEH – etapa III</w:t>
            </w:r>
          </w:p>
        </w:tc>
        <w:tc>
          <w:tcPr>
            <w:tcW w:w="1417" w:type="dxa"/>
            <w:tcBorders>
              <w:top w:val="nil"/>
              <w:left w:val="nil"/>
              <w:bottom w:val="single" w:sz="4" w:space="0" w:color="auto"/>
              <w:right w:val="single" w:sz="4" w:space="0" w:color="auto"/>
            </w:tcBorders>
            <w:shd w:val="clear" w:color="auto" w:fill="auto"/>
            <w:noWrap/>
            <w:vAlign w:val="center"/>
            <w:hideMark/>
          </w:tcPr>
          <w:p w14:paraId="0F7A9ED7" w14:textId="77777777" w:rsidR="00A23492" w:rsidRPr="000801F3" w:rsidRDefault="00A23492" w:rsidP="005B54E4">
            <w:pPr>
              <w:jc w:val="right"/>
              <w:rPr>
                <w:sz w:val="20"/>
                <w:szCs w:val="20"/>
                <w:lang w:val="es-419"/>
              </w:rPr>
            </w:pPr>
            <w:r w:rsidRPr="000801F3">
              <w:rPr>
                <w:sz w:val="20"/>
                <w:szCs w:val="20"/>
                <w:lang w:val="es-419"/>
              </w:rPr>
              <w:t>246 675</w:t>
            </w:r>
          </w:p>
        </w:tc>
        <w:tc>
          <w:tcPr>
            <w:tcW w:w="1418" w:type="dxa"/>
            <w:tcBorders>
              <w:top w:val="nil"/>
              <w:left w:val="nil"/>
              <w:bottom w:val="single" w:sz="4" w:space="0" w:color="auto"/>
              <w:right w:val="single" w:sz="4" w:space="0" w:color="auto"/>
            </w:tcBorders>
            <w:shd w:val="clear" w:color="auto" w:fill="auto"/>
            <w:noWrap/>
            <w:vAlign w:val="center"/>
            <w:hideMark/>
          </w:tcPr>
          <w:p w14:paraId="6E2C56F9" w14:textId="77777777" w:rsidR="00A23492" w:rsidRPr="000801F3" w:rsidRDefault="00A23492" w:rsidP="005B54E4">
            <w:pPr>
              <w:jc w:val="right"/>
              <w:rPr>
                <w:sz w:val="20"/>
                <w:szCs w:val="20"/>
                <w:lang w:val="es-419"/>
              </w:rPr>
            </w:pPr>
            <w:r w:rsidRPr="000801F3">
              <w:rPr>
                <w:sz w:val="20"/>
                <w:szCs w:val="20"/>
                <w:lang w:val="es-419"/>
              </w:rPr>
              <w:t>894 088</w:t>
            </w:r>
          </w:p>
        </w:tc>
        <w:tc>
          <w:tcPr>
            <w:tcW w:w="1275" w:type="dxa"/>
            <w:tcBorders>
              <w:top w:val="nil"/>
              <w:left w:val="nil"/>
              <w:bottom w:val="single" w:sz="4" w:space="0" w:color="auto"/>
              <w:right w:val="single" w:sz="4" w:space="0" w:color="auto"/>
            </w:tcBorders>
            <w:shd w:val="clear" w:color="auto" w:fill="auto"/>
            <w:noWrap/>
            <w:vAlign w:val="center"/>
            <w:hideMark/>
          </w:tcPr>
          <w:p w14:paraId="3611897D" w14:textId="77777777" w:rsidR="00A23492" w:rsidRPr="000801F3" w:rsidRDefault="00A23492" w:rsidP="005B54E4">
            <w:pPr>
              <w:jc w:val="right"/>
              <w:rPr>
                <w:sz w:val="20"/>
                <w:szCs w:val="20"/>
                <w:lang w:val="es-419"/>
              </w:rPr>
            </w:pPr>
            <w:r w:rsidRPr="000801F3">
              <w:rPr>
                <w:sz w:val="20"/>
                <w:szCs w:val="20"/>
                <w:lang w:val="es-419"/>
              </w:rPr>
              <w:t>160 500</w:t>
            </w:r>
          </w:p>
        </w:tc>
        <w:tc>
          <w:tcPr>
            <w:tcW w:w="1423" w:type="dxa"/>
            <w:tcBorders>
              <w:top w:val="nil"/>
              <w:left w:val="nil"/>
              <w:bottom w:val="single" w:sz="4" w:space="0" w:color="auto"/>
              <w:right w:val="single" w:sz="4" w:space="0" w:color="auto"/>
            </w:tcBorders>
            <w:shd w:val="clear" w:color="auto" w:fill="auto"/>
            <w:noWrap/>
            <w:vAlign w:val="center"/>
            <w:hideMark/>
          </w:tcPr>
          <w:p w14:paraId="59D46423" w14:textId="77777777" w:rsidR="00A23492" w:rsidRPr="000801F3" w:rsidRDefault="00A23492" w:rsidP="005B54E4">
            <w:pPr>
              <w:jc w:val="right"/>
              <w:rPr>
                <w:sz w:val="20"/>
                <w:szCs w:val="20"/>
                <w:lang w:val="es-419"/>
              </w:rPr>
            </w:pPr>
            <w:r w:rsidRPr="000801F3">
              <w:rPr>
                <w:sz w:val="20"/>
                <w:szCs w:val="20"/>
                <w:lang w:val="es-419"/>
              </w:rPr>
              <w:t>1 301 263</w:t>
            </w:r>
          </w:p>
        </w:tc>
      </w:tr>
      <w:tr w:rsidR="00A23492" w:rsidRPr="000801F3" w14:paraId="544A7E81"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63F42B2" w14:textId="77777777" w:rsidR="00A23492" w:rsidRPr="000801F3" w:rsidRDefault="00A23492" w:rsidP="005B54E4">
            <w:pPr>
              <w:jc w:val="left"/>
              <w:rPr>
                <w:sz w:val="20"/>
                <w:szCs w:val="20"/>
                <w:lang w:val="es-419"/>
              </w:rPr>
            </w:pPr>
            <w:r w:rsidRPr="000801F3">
              <w:rPr>
                <w:sz w:val="20"/>
                <w:szCs w:val="20"/>
                <w:lang w:val="es-419"/>
              </w:rPr>
              <w:t>PGEH, etapa III</w:t>
            </w:r>
          </w:p>
        </w:tc>
        <w:tc>
          <w:tcPr>
            <w:tcW w:w="1417" w:type="dxa"/>
            <w:tcBorders>
              <w:top w:val="nil"/>
              <w:left w:val="nil"/>
              <w:bottom w:val="single" w:sz="4" w:space="0" w:color="auto"/>
              <w:right w:val="single" w:sz="4" w:space="0" w:color="auto"/>
            </w:tcBorders>
            <w:shd w:val="clear" w:color="auto" w:fill="auto"/>
            <w:noWrap/>
            <w:vAlign w:val="center"/>
            <w:hideMark/>
          </w:tcPr>
          <w:p w14:paraId="13EE599E" w14:textId="77777777" w:rsidR="00A23492" w:rsidRPr="000801F3" w:rsidRDefault="00A23492" w:rsidP="005B54E4">
            <w:pPr>
              <w:jc w:val="right"/>
              <w:rPr>
                <w:sz w:val="20"/>
                <w:szCs w:val="20"/>
                <w:lang w:val="es-419"/>
              </w:rPr>
            </w:pPr>
            <w:r w:rsidRPr="000801F3">
              <w:rPr>
                <w:sz w:val="20"/>
                <w:szCs w:val="20"/>
                <w:lang w:val="es-419"/>
              </w:rPr>
              <w:t>0</w:t>
            </w:r>
          </w:p>
        </w:tc>
        <w:tc>
          <w:tcPr>
            <w:tcW w:w="1418" w:type="dxa"/>
            <w:tcBorders>
              <w:top w:val="nil"/>
              <w:left w:val="nil"/>
              <w:bottom w:val="single" w:sz="4" w:space="0" w:color="auto"/>
              <w:right w:val="single" w:sz="4" w:space="0" w:color="auto"/>
            </w:tcBorders>
            <w:shd w:val="clear" w:color="auto" w:fill="auto"/>
            <w:noWrap/>
            <w:vAlign w:val="center"/>
            <w:hideMark/>
          </w:tcPr>
          <w:p w14:paraId="39F0C9A8" w14:textId="77777777" w:rsidR="00A23492" w:rsidRPr="000801F3" w:rsidRDefault="00A23492" w:rsidP="005B54E4">
            <w:pPr>
              <w:jc w:val="right"/>
              <w:rPr>
                <w:sz w:val="20"/>
                <w:szCs w:val="20"/>
                <w:lang w:val="es-419"/>
              </w:rPr>
            </w:pPr>
            <w:r w:rsidRPr="000801F3">
              <w:rPr>
                <w:sz w:val="20"/>
                <w:szCs w:val="20"/>
                <w:lang w:val="es-419"/>
              </w:rPr>
              <w:t>1 299 272</w:t>
            </w:r>
          </w:p>
        </w:tc>
        <w:tc>
          <w:tcPr>
            <w:tcW w:w="1275" w:type="dxa"/>
            <w:tcBorders>
              <w:top w:val="nil"/>
              <w:left w:val="nil"/>
              <w:bottom w:val="single" w:sz="4" w:space="0" w:color="auto"/>
              <w:right w:val="single" w:sz="4" w:space="0" w:color="auto"/>
            </w:tcBorders>
            <w:shd w:val="clear" w:color="auto" w:fill="auto"/>
            <w:noWrap/>
            <w:vAlign w:val="center"/>
            <w:hideMark/>
          </w:tcPr>
          <w:p w14:paraId="657501E7" w14:textId="77777777" w:rsidR="00A23492" w:rsidRPr="000801F3" w:rsidRDefault="00A23492" w:rsidP="005B54E4">
            <w:pPr>
              <w:jc w:val="right"/>
              <w:rPr>
                <w:sz w:val="20"/>
                <w:szCs w:val="20"/>
                <w:lang w:val="es-419"/>
              </w:rPr>
            </w:pPr>
            <w:r w:rsidRPr="000801F3">
              <w:rPr>
                <w:sz w:val="20"/>
                <w:szCs w:val="20"/>
                <w:lang w:val="es-419"/>
              </w:rPr>
              <w:t>112 059</w:t>
            </w:r>
          </w:p>
        </w:tc>
        <w:tc>
          <w:tcPr>
            <w:tcW w:w="1423" w:type="dxa"/>
            <w:tcBorders>
              <w:top w:val="nil"/>
              <w:left w:val="nil"/>
              <w:bottom w:val="single" w:sz="4" w:space="0" w:color="auto"/>
              <w:right w:val="single" w:sz="4" w:space="0" w:color="auto"/>
            </w:tcBorders>
            <w:shd w:val="clear" w:color="auto" w:fill="auto"/>
            <w:noWrap/>
            <w:vAlign w:val="center"/>
            <w:hideMark/>
          </w:tcPr>
          <w:p w14:paraId="54D6ECE2" w14:textId="77777777" w:rsidR="00A23492" w:rsidRPr="000801F3" w:rsidRDefault="00A23492" w:rsidP="005B54E4">
            <w:pPr>
              <w:jc w:val="right"/>
              <w:rPr>
                <w:sz w:val="20"/>
                <w:szCs w:val="20"/>
                <w:lang w:val="es-419"/>
              </w:rPr>
            </w:pPr>
            <w:r w:rsidRPr="000801F3">
              <w:rPr>
                <w:sz w:val="20"/>
                <w:szCs w:val="20"/>
                <w:lang w:val="es-419"/>
              </w:rPr>
              <w:t>1 411 331</w:t>
            </w:r>
          </w:p>
        </w:tc>
      </w:tr>
      <w:tr w:rsidR="00A23492" w:rsidRPr="000801F3" w14:paraId="66356A73"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8E403FD" w14:textId="77777777" w:rsidR="00A23492" w:rsidRPr="000801F3" w:rsidRDefault="00A23492" w:rsidP="005B54E4">
            <w:pPr>
              <w:jc w:val="left"/>
              <w:rPr>
                <w:sz w:val="20"/>
                <w:szCs w:val="20"/>
                <w:lang w:val="es-419"/>
              </w:rPr>
            </w:pPr>
            <w:r w:rsidRPr="000801F3">
              <w:rPr>
                <w:sz w:val="20"/>
                <w:szCs w:val="20"/>
                <w:lang w:val="es-419"/>
              </w:rPr>
              <w:t>Verificación de PGEH</w:t>
            </w:r>
          </w:p>
        </w:tc>
        <w:tc>
          <w:tcPr>
            <w:tcW w:w="1417" w:type="dxa"/>
            <w:tcBorders>
              <w:top w:val="nil"/>
              <w:left w:val="nil"/>
              <w:bottom w:val="single" w:sz="4" w:space="0" w:color="auto"/>
              <w:right w:val="single" w:sz="4" w:space="0" w:color="auto"/>
            </w:tcBorders>
            <w:shd w:val="clear" w:color="auto" w:fill="auto"/>
            <w:noWrap/>
            <w:vAlign w:val="center"/>
            <w:hideMark/>
          </w:tcPr>
          <w:p w14:paraId="6E79D4AD" w14:textId="77777777" w:rsidR="00A23492" w:rsidRPr="000801F3" w:rsidRDefault="00A23492" w:rsidP="005B54E4">
            <w:pPr>
              <w:jc w:val="right"/>
              <w:rPr>
                <w:sz w:val="20"/>
                <w:szCs w:val="20"/>
                <w:lang w:val="es-419"/>
              </w:rPr>
            </w:pPr>
            <w:r w:rsidRPr="000801F3">
              <w:rPr>
                <w:sz w:val="20"/>
                <w:szCs w:val="20"/>
                <w:lang w:val="es-419"/>
              </w:rPr>
              <w:t>588 600</w:t>
            </w:r>
          </w:p>
        </w:tc>
        <w:tc>
          <w:tcPr>
            <w:tcW w:w="1418" w:type="dxa"/>
            <w:tcBorders>
              <w:top w:val="nil"/>
              <w:left w:val="nil"/>
              <w:bottom w:val="single" w:sz="4" w:space="0" w:color="auto"/>
              <w:right w:val="single" w:sz="4" w:space="0" w:color="auto"/>
            </w:tcBorders>
            <w:shd w:val="clear" w:color="auto" w:fill="auto"/>
            <w:noWrap/>
            <w:vAlign w:val="center"/>
            <w:hideMark/>
          </w:tcPr>
          <w:p w14:paraId="52E0F3E5" w14:textId="77777777" w:rsidR="00A23492" w:rsidRPr="000801F3" w:rsidRDefault="00A23492" w:rsidP="005B54E4">
            <w:pPr>
              <w:jc w:val="right"/>
              <w:rPr>
                <w:sz w:val="20"/>
                <w:szCs w:val="20"/>
                <w:lang w:val="es-419"/>
              </w:rPr>
            </w:pPr>
            <w:r w:rsidRPr="000801F3">
              <w:rPr>
                <w:sz w:val="20"/>
                <w:szCs w:val="20"/>
                <w:lang w:val="es-419"/>
              </w:rPr>
              <w:t>588 600</w:t>
            </w:r>
          </w:p>
        </w:tc>
        <w:tc>
          <w:tcPr>
            <w:tcW w:w="1275" w:type="dxa"/>
            <w:tcBorders>
              <w:top w:val="nil"/>
              <w:left w:val="nil"/>
              <w:bottom w:val="single" w:sz="4" w:space="0" w:color="auto"/>
              <w:right w:val="single" w:sz="4" w:space="0" w:color="auto"/>
            </w:tcBorders>
            <w:shd w:val="clear" w:color="auto" w:fill="auto"/>
            <w:noWrap/>
            <w:vAlign w:val="center"/>
            <w:hideMark/>
          </w:tcPr>
          <w:p w14:paraId="1AF98C8F" w14:textId="77777777" w:rsidR="00A23492" w:rsidRPr="000801F3" w:rsidRDefault="00A23492" w:rsidP="005B54E4">
            <w:pPr>
              <w:jc w:val="right"/>
              <w:rPr>
                <w:sz w:val="20"/>
                <w:szCs w:val="20"/>
                <w:lang w:val="es-419"/>
              </w:rPr>
            </w:pPr>
            <w:r w:rsidRPr="000801F3">
              <w:rPr>
                <w:sz w:val="20"/>
                <w:szCs w:val="20"/>
                <w:lang w:val="es-419"/>
              </w:rPr>
              <w:t>588 600</w:t>
            </w:r>
          </w:p>
        </w:tc>
        <w:tc>
          <w:tcPr>
            <w:tcW w:w="1423" w:type="dxa"/>
            <w:tcBorders>
              <w:top w:val="nil"/>
              <w:left w:val="nil"/>
              <w:bottom w:val="single" w:sz="4" w:space="0" w:color="auto"/>
              <w:right w:val="single" w:sz="4" w:space="0" w:color="auto"/>
            </w:tcBorders>
            <w:shd w:val="clear" w:color="auto" w:fill="auto"/>
            <w:noWrap/>
            <w:vAlign w:val="center"/>
            <w:hideMark/>
          </w:tcPr>
          <w:p w14:paraId="729200CB" w14:textId="77777777" w:rsidR="00A23492" w:rsidRPr="000801F3" w:rsidRDefault="00A23492" w:rsidP="005B54E4">
            <w:pPr>
              <w:jc w:val="right"/>
              <w:rPr>
                <w:sz w:val="20"/>
                <w:szCs w:val="20"/>
                <w:lang w:val="es-419"/>
              </w:rPr>
            </w:pPr>
            <w:r w:rsidRPr="000801F3">
              <w:rPr>
                <w:sz w:val="20"/>
                <w:szCs w:val="20"/>
                <w:lang w:val="es-419"/>
              </w:rPr>
              <w:t>1 765 800</w:t>
            </w:r>
          </w:p>
        </w:tc>
      </w:tr>
      <w:tr w:rsidR="00A23492" w:rsidRPr="000801F3" w14:paraId="72C642CA"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A419D9D" w14:textId="77777777" w:rsidR="00A23492" w:rsidRPr="000801F3" w:rsidRDefault="00A23492" w:rsidP="005B54E4">
            <w:pPr>
              <w:jc w:val="left"/>
              <w:rPr>
                <w:b/>
                <w:bCs/>
                <w:sz w:val="20"/>
                <w:szCs w:val="20"/>
                <w:lang w:val="es-419"/>
              </w:rPr>
            </w:pPr>
            <w:r w:rsidRPr="000801F3">
              <w:rPr>
                <w:b/>
                <w:bCs/>
                <w:sz w:val="20"/>
                <w:szCs w:val="20"/>
                <w:lang w:val="es-419"/>
              </w:rPr>
              <w:t>Subtotal requerido para el cumplimiento</w:t>
            </w:r>
          </w:p>
        </w:tc>
        <w:tc>
          <w:tcPr>
            <w:tcW w:w="1417" w:type="dxa"/>
            <w:tcBorders>
              <w:top w:val="nil"/>
              <w:left w:val="nil"/>
              <w:bottom w:val="single" w:sz="4" w:space="0" w:color="auto"/>
              <w:right w:val="single" w:sz="4" w:space="0" w:color="auto"/>
            </w:tcBorders>
            <w:shd w:val="clear" w:color="auto" w:fill="auto"/>
            <w:noWrap/>
            <w:vAlign w:val="center"/>
            <w:hideMark/>
          </w:tcPr>
          <w:p w14:paraId="32484FBA" w14:textId="77777777" w:rsidR="00A23492" w:rsidRPr="000801F3" w:rsidRDefault="00A23492" w:rsidP="005B54E4">
            <w:pPr>
              <w:jc w:val="right"/>
              <w:rPr>
                <w:b/>
                <w:bCs/>
                <w:sz w:val="20"/>
                <w:szCs w:val="20"/>
                <w:lang w:val="es-419"/>
              </w:rPr>
            </w:pPr>
            <w:r w:rsidRPr="000801F3">
              <w:rPr>
                <w:b/>
                <w:bCs/>
                <w:sz w:val="20"/>
                <w:szCs w:val="20"/>
                <w:lang w:val="es-419"/>
              </w:rPr>
              <w:t>123 886 528</w:t>
            </w:r>
          </w:p>
        </w:tc>
        <w:tc>
          <w:tcPr>
            <w:tcW w:w="1418" w:type="dxa"/>
            <w:tcBorders>
              <w:top w:val="nil"/>
              <w:left w:val="nil"/>
              <w:bottom w:val="single" w:sz="4" w:space="0" w:color="auto"/>
              <w:right w:val="single" w:sz="4" w:space="0" w:color="auto"/>
            </w:tcBorders>
            <w:shd w:val="clear" w:color="auto" w:fill="auto"/>
            <w:noWrap/>
            <w:vAlign w:val="center"/>
            <w:hideMark/>
          </w:tcPr>
          <w:p w14:paraId="1B27552F" w14:textId="77777777" w:rsidR="00A23492" w:rsidRPr="000801F3" w:rsidRDefault="00A23492" w:rsidP="005B54E4">
            <w:pPr>
              <w:jc w:val="right"/>
              <w:rPr>
                <w:b/>
                <w:bCs/>
                <w:sz w:val="20"/>
                <w:szCs w:val="20"/>
                <w:lang w:val="es-419"/>
              </w:rPr>
            </w:pPr>
            <w:r w:rsidRPr="000801F3">
              <w:rPr>
                <w:b/>
                <w:bCs/>
                <w:sz w:val="20"/>
                <w:szCs w:val="20"/>
                <w:lang w:val="es-419"/>
              </w:rPr>
              <w:t>154 555 459</w:t>
            </w:r>
          </w:p>
        </w:tc>
        <w:tc>
          <w:tcPr>
            <w:tcW w:w="1275" w:type="dxa"/>
            <w:tcBorders>
              <w:top w:val="nil"/>
              <w:left w:val="nil"/>
              <w:bottom w:val="single" w:sz="4" w:space="0" w:color="auto"/>
              <w:right w:val="single" w:sz="4" w:space="0" w:color="auto"/>
            </w:tcBorders>
            <w:shd w:val="clear" w:color="auto" w:fill="auto"/>
            <w:noWrap/>
            <w:vAlign w:val="center"/>
            <w:hideMark/>
          </w:tcPr>
          <w:p w14:paraId="4EFBB1E8" w14:textId="77777777" w:rsidR="00A23492" w:rsidRPr="000801F3" w:rsidRDefault="00A23492" w:rsidP="005B54E4">
            <w:pPr>
              <w:jc w:val="right"/>
              <w:rPr>
                <w:b/>
                <w:bCs/>
                <w:sz w:val="20"/>
                <w:szCs w:val="20"/>
                <w:lang w:val="es-419"/>
              </w:rPr>
            </w:pPr>
            <w:r w:rsidRPr="000801F3">
              <w:rPr>
                <w:b/>
                <w:bCs/>
                <w:sz w:val="20"/>
                <w:szCs w:val="20"/>
                <w:lang w:val="es-419"/>
              </w:rPr>
              <w:t>115 326 196</w:t>
            </w:r>
          </w:p>
        </w:tc>
        <w:tc>
          <w:tcPr>
            <w:tcW w:w="1423" w:type="dxa"/>
            <w:tcBorders>
              <w:top w:val="nil"/>
              <w:left w:val="nil"/>
              <w:bottom w:val="single" w:sz="4" w:space="0" w:color="auto"/>
              <w:right w:val="single" w:sz="4" w:space="0" w:color="auto"/>
            </w:tcBorders>
            <w:shd w:val="clear" w:color="auto" w:fill="auto"/>
            <w:noWrap/>
            <w:vAlign w:val="center"/>
            <w:hideMark/>
          </w:tcPr>
          <w:p w14:paraId="28E4F636" w14:textId="77777777" w:rsidR="00A23492" w:rsidRPr="000801F3" w:rsidRDefault="00A23492" w:rsidP="005B54E4">
            <w:pPr>
              <w:jc w:val="right"/>
              <w:rPr>
                <w:b/>
                <w:bCs/>
                <w:sz w:val="20"/>
                <w:szCs w:val="20"/>
                <w:lang w:val="es-419"/>
              </w:rPr>
            </w:pPr>
            <w:r w:rsidRPr="000801F3">
              <w:rPr>
                <w:b/>
                <w:bCs/>
                <w:sz w:val="20"/>
                <w:szCs w:val="20"/>
                <w:lang w:val="es-419"/>
              </w:rPr>
              <w:t>393 768 183</w:t>
            </w:r>
          </w:p>
        </w:tc>
      </w:tr>
      <w:tr w:rsidR="00A23492" w:rsidRPr="000801F3" w14:paraId="2101694B" w14:textId="77777777" w:rsidTr="005B54E4">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D4308" w14:textId="77777777" w:rsidR="00A23492" w:rsidRPr="000801F3" w:rsidRDefault="00A23492" w:rsidP="005B54E4">
            <w:pPr>
              <w:jc w:val="left"/>
              <w:rPr>
                <w:b/>
                <w:bCs/>
                <w:sz w:val="20"/>
                <w:szCs w:val="20"/>
                <w:lang w:val="es-419"/>
              </w:rPr>
            </w:pPr>
            <w:r w:rsidRPr="000801F3">
              <w:rPr>
                <w:b/>
                <w:bCs/>
                <w:sz w:val="20"/>
                <w:szCs w:val="20"/>
                <w:lang w:val="es-419"/>
              </w:rPr>
              <w:t>Actividades relativas al HFC</w:t>
            </w:r>
          </w:p>
        </w:tc>
      </w:tr>
      <w:tr w:rsidR="00A23492" w:rsidRPr="000801F3" w14:paraId="203B8154"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E311E7D" w14:textId="77777777" w:rsidR="00A23492" w:rsidRPr="000801F3" w:rsidRDefault="00A23492" w:rsidP="005B54E4">
            <w:pPr>
              <w:jc w:val="left"/>
              <w:rPr>
                <w:sz w:val="20"/>
                <w:szCs w:val="20"/>
                <w:lang w:val="es-419"/>
              </w:rPr>
            </w:pPr>
            <w:r w:rsidRPr="000801F3">
              <w:rPr>
                <w:sz w:val="20"/>
                <w:szCs w:val="20"/>
                <w:lang w:val="es-419"/>
              </w:rPr>
              <w:t>HFC - Actividades de apoyo</w:t>
            </w:r>
          </w:p>
        </w:tc>
        <w:tc>
          <w:tcPr>
            <w:tcW w:w="1417" w:type="dxa"/>
            <w:tcBorders>
              <w:top w:val="nil"/>
              <w:left w:val="nil"/>
              <w:bottom w:val="single" w:sz="4" w:space="0" w:color="auto"/>
              <w:right w:val="single" w:sz="4" w:space="0" w:color="auto"/>
            </w:tcBorders>
            <w:shd w:val="clear" w:color="auto" w:fill="auto"/>
            <w:noWrap/>
            <w:vAlign w:val="center"/>
            <w:hideMark/>
          </w:tcPr>
          <w:p w14:paraId="4D6B7CBF" w14:textId="77777777" w:rsidR="00A23492" w:rsidRPr="000801F3" w:rsidRDefault="00A23492" w:rsidP="005B54E4">
            <w:pPr>
              <w:jc w:val="right"/>
              <w:rPr>
                <w:sz w:val="20"/>
                <w:szCs w:val="20"/>
                <w:lang w:val="es-419"/>
              </w:rPr>
            </w:pPr>
            <w:r w:rsidRPr="000801F3">
              <w:rPr>
                <w:sz w:val="20"/>
                <w:szCs w:val="20"/>
                <w:lang w:val="es-419"/>
              </w:rPr>
              <w:t>679 450</w:t>
            </w:r>
          </w:p>
        </w:tc>
        <w:tc>
          <w:tcPr>
            <w:tcW w:w="1418" w:type="dxa"/>
            <w:tcBorders>
              <w:top w:val="nil"/>
              <w:left w:val="nil"/>
              <w:bottom w:val="single" w:sz="4" w:space="0" w:color="auto"/>
              <w:right w:val="single" w:sz="4" w:space="0" w:color="auto"/>
            </w:tcBorders>
            <w:shd w:val="clear" w:color="auto" w:fill="auto"/>
            <w:noWrap/>
            <w:vAlign w:val="center"/>
            <w:hideMark/>
          </w:tcPr>
          <w:p w14:paraId="2F9D9556" w14:textId="77777777" w:rsidR="00A23492" w:rsidRPr="000801F3" w:rsidRDefault="00A23492" w:rsidP="005B54E4">
            <w:pPr>
              <w:jc w:val="right"/>
              <w:rPr>
                <w:sz w:val="20"/>
                <w:szCs w:val="20"/>
                <w:lang w:val="es-419"/>
              </w:rPr>
            </w:pPr>
            <w:r w:rsidRPr="000801F3">
              <w:rPr>
                <w:sz w:val="20"/>
                <w:szCs w:val="20"/>
                <w:lang w:val="es-419"/>
              </w:rPr>
              <w:t>0</w:t>
            </w:r>
          </w:p>
        </w:tc>
        <w:tc>
          <w:tcPr>
            <w:tcW w:w="1275" w:type="dxa"/>
            <w:tcBorders>
              <w:top w:val="nil"/>
              <w:left w:val="nil"/>
              <w:bottom w:val="single" w:sz="4" w:space="0" w:color="auto"/>
              <w:right w:val="single" w:sz="4" w:space="0" w:color="auto"/>
            </w:tcBorders>
            <w:shd w:val="clear" w:color="auto" w:fill="auto"/>
            <w:noWrap/>
            <w:vAlign w:val="center"/>
            <w:hideMark/>
          </w:tcPr>
          <w:p w14:paraId="4B76D7F0" w14:textId="77777777" w:rsidR="00A23492" w:rsidRPr="000801F3" w:rsidRDefault="00A23492" w:rsidP="005B54E4">
            <w:pPr>
              <w:jc w:val="right"/>
              <w:rPr>
                <w:sz w:val="20"/>
                <w:szCs w:val="20"/>
                <w:lang w:val="es-419"/>
              </w:rPr>
            </w:pPr>
            <w:r w:rsidRPr="000801F3">
              <w:rPr>
                <w:sz w:val="20"/>
                <w:szCs w:val="20"/>
                <w:lang w:val="es-419"/>
              </w:rPr>
              <w:t>0</w:t>
            </w:r>
          </w:p>
        </w:tc>
        <w:tc>
          <w:tcPr>
            <w:tcW w:w="1423" w:type="dxa"/>
            <w:tcBorders>
              <w:top w:val="nil"/>
              <w:left w:val="nil"/>
              <w:bottom w:val="single" w:sz="4" w:space="0" w:color="auto"/>
              <w:right w:val="single" w:sz="4" w:space="0" w:color="auto"/>
            </w:tcBorders>
            <w:shd w:val="clear" w:color="auto" w:fill="auto"/>
            <w:noWrap/>
            <w:vAlign w:val="center"/>
            <w:hideMark/>
          </w:tcPr>
          <w:p w14:paraId="2946E7E8" w14:textId="77777777" w:rsidR="00A23492" w:rsidRPr="000801F3" w:rsidRDefault="00A23492" w:rsidP="005B54E4">
            <w:pPr>
              <w:jc w:val="right"/>
              <w:rPr>
                <w:sz w:val="20"/>
                <w:szCs w:val="20"/>
                <w:lang w:val="es-419"/>
              </w:rPr>
            </w:pPr>
            <w:r w:rsidRPr="000801F3">
              <w:rPr>
                <w:sz w:val="20"/>
                <w:szCs w:val="20"/>
                <w:lang w:val="es-419"/>
              </w:rPr>
              <w:t>679 450</w:t>
            </w:r>
          </w:p>
        </w:tc>
      </w:tr>
      <w:tr w:rsidR="00A23492" w:rsidRPr="000801F3" w14:paraId="21B98C36"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5DD4963" w14:textId="77777777" w:rsidR="00A23492" w:rsidRPr="000801F3" w:rsidRDefault="00A23492" w:rsidP="005B54E4">
            <w:pPr>
              <w:jc w:val="left"/>
              <w:rPr>
                <w:sz w:val="20"/>
                <w:szCs w:val="20"/>
                <w:lang w:val="es-419"/>
              </w:rPr>
            </w:pPr>
            <w:r w:rsidRPr="000801F3">
              <w:rPr>
                <w:sz w:val="20"/>
                <w:szCs w:val="20"/>
                <w:lang w:val="es-419"/>
              </w:rPr>
              <w:t>HFC - Preparación de proyectos de inversión</w:t>
            </w:r>
          </w:p>
        </w:tc>
        <w:tc>
          <w:tcPr>
            <w:tcW w:w="1417" w:type="dxa"/>
            <w:tcBorders>
              <w:top w:val="nil"/>
              <w:left w:val="nil"/>
              <w:bottom w:val="single" w:sz="4" w:space="0" w:color="auto"/>
              <w:right w:val="single" w:sz="4" w:space="0" w:color="auto"/>
            </w:tcBorders>
            <w:shd w:val="clear" w:color="auto" w:fill="auto"/>
            <w:noWrap/>
            <w:vAlign w:val="center"/>
            <w:hideMark/>
          </w:tcPr>
          <w:p w14:paraId="35551496" w14:textId="77777777" w:rsidR="00A23492" w:rsidRPr="000801F3" w:rsidRDefault="00A23492" w:rsidP="005B54E4">
            <w:pPr>
              <w:jc w:val="right"/>
              <w:rPr>
                <w:sz w:val="20"/>
                <w:szCs w:val="20"/>
                <w:lang w:val="es-419"/>
              </w:rPr>
            </w:pPr>
            <w:r w:rsidRPr="000801F3">
              <w:rPr>
                <w:sz w:val="20"/>
                <w:szCs w:val="20"/>
                <w:lang w:val="es-419"/>
              </w:rPr>
              <w:t>62 100</w:t>
            </w:r>
          </w:p>
        </w:tc>
        <w:tc>
          <w:tcPr>
            <w:tcW w:w="1418" w:type="dxa"/>
            <w:tcBorders>
              <w:top w:val="nil"/>
              <w:left w:val="nil"/>
              <w:bottom w:val="single" w:sz="4" w:space="0" w:color="auto"/>
              <w:right w:val="single" w:sz="4" w:space="0" w:color="auto"/>
            </w:tcBorders>
            <w:shd w:val="clear" w:color="auto" w:fill="auto"/>
            <w:noWrap/>
            <w:vAlign w:val="center"/>
            <w:hideMark/>
          </w:tcPr>
          <w:p w14:paraId="1C038C1F" w14:textId="77777777" w:rsidR="00A23492" w:rsidRPr="000801F3" w:rsidRDefault="00A23492" w:rsidP="005B54E4">
            <w:pPr>
              <w:jc w:val="right"/>
              <w:rPr>
                <w:sz w:val="20"/>
                <w:szCs w:val="20"/>
                <w:lang w:val="es-419"/>
              </w:rPr>
            </w:pPr>
            <w:r w:rsidRPr="000801F3">
              <w:rPr>
                <w:sz w:val="20"/>
                <w:szCs w:val="20"/>
                <w:lang w:val="es-419"/>
              </w:rPr>
              <w:t>0</w:t>
            </w:r>
          </w:p>
        </w:tc>
        <w:tc>
          <w:tcPr>
            <w:tcW w:w="1275" w:type="dxa"/>
            <w:tcBorders>
              <w:top w:val="nil"/>
              <w:left w:val="nil"/>
              <w:bottom w:val="single" w:sz="4" w:space="0" w:color="auto"/>
              <w:right w:val="single" w:sz="4" w:space="0" w:color="auto"/>
            </w:tcBorders>
            <w:shd w:val="clear" w:color="auto" w:fill="auto"/>
            <w:noWrap/>
            <w:vAlign w:val="center"/>
            <w:hideMark/>
          </w:tcPr>
          <w:p w14:paraId="4F233BA1" w14:textId="77777777" w:rsidR="00A23492" w:rsidRPr="000801F3" w:rsidRDefault="00A23492" w:rsidP="005B54E4">
            <w:pPr>
              <w:jc w:val="right"/>
              <w:rPr>
                <w:sz w:val="20"/>
                <w:szCs w:val="20"/>
                <w:lang w:val="es-419"/>
              </w:rPr>
            </w:pPr>
            <w:r w:rsidRPr="000801F3">
              <w:rPr>
                <w:sz w:val="20"/>
                <w:szCs w:val="20"/>
                <w:lang w:val="es-419"/>
              </w:rPr>
              <w:t>0</w:t>
            </w:r>
          </w:p>
        </w:tc>
        <w:tc>
          <w:tcPr>
            <w:tcW w:w="1423" w:type="dxa"/>
            <w:tcBorders>
              <w:top w:val="nil"/>
              <w:left w:val="nil"/>
              <w:bottom w:val="single" w:sz="4" w:space="0" w:color="auto"/>
              <w:right w:val="single" w:sz="4" w:space="0" w:color="auto"/>
            </w:tcBorders>
            <w:shd w:val="clear" w:color="auto" w:fill="auto"/>
            <w:noWrap/>
            <w:vAlign w:val="center"/>
            <w:hideMark/>
          </w:tcPr>
          <w:p w14:paraId="15B37C70" w14:textId="77777777" w:rsidR="00A23492" w:rsidRPr="000801F3" w:rsidRDefault="00A23492" w:rsidP="005B54E4">
            <w:pPr>
              <w:jc w:val="right"/>
              <w:rPr>
                <w:sz w:val="20"/>
                <w:szCs w:val="20"/>
                <w:lang w:val="es-419"/>
              </w:rPr>
            </w:pPr>
            <w:r w:rsidRPr="000801F3">
              <w:rPr>
                <w:sz w:val="20"/>
                <w:szCs w:val="20"/>
                <w:lang w:val="es-419"/>
              </w:rPr>
              <w:t>62 100</w:t>
            </w:r>
          </w:p>
        </w:tc>
      </w:tr>
      <w:tr w:rsidR="00A23492" w:rsidRPr="000801F3" w14:paraId="3E52D078"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644BDF2" w14:textId="77777777" w:rsidR="00A23492" w:rsidRPr="000801F3" w:rsidRDefault="00A23492" w:rsidP="005B54E4">
            <w:pPr>
              <w:jc w:val="left"/>
              <w:rPr>
                <w:sz w:val="20"/>
                <w:szCs w:val="20"/>
                <w:lang w:val="es-419"/>
              </w:rPr>
            </w:pPr>
            <w:r w:rsidRPr="000801F3">
              <w:rPr>
                <w:sz w:val="20"/>
                <w:szCs w:val="20"/>
                <w:lang w:val="es-419"/>
              </w:rPr>
              <w:t xml:space="preserve">HFC - inversión </w:t>
            </w:r>
          </w:p>
        </w:tc>
        <w:tc>
          <w:tcPr>
            <w:tcW w:w="1417" w:type="dxa"/>
            <w:tcBorders>
              <w:top w:val="nil"/>
              <w:left w:val="nil"/>
              <w:bottom w:val="single" w:sz="4" w:space="0" w:color="auto"/>
              <w:right w:val="single" w:sz="4" w:space="0" w:color="auto"/>
            </w:tcBorders>
            <w:shd w:val="clear" w:color="auto" w:fill="auto"/>
            <w:noWrap/>
            <w:vAlign w:val="center"/>
            <w:hideMark/>
          </w:tcPr>
          <w:p w14:paraId="7637CDF1" w14:textId="77777777" w:rsidR="00A23492" w:rsidRPr="000801F3" w:rsidRDefault="00A23492" w:rsidP="005B54E4">
            <w:pPr>
              <w:jc w:val="right"/>
              <w:rPr>
                <w:sz w:val="20"/>
                <w:szCs w:val="20"/>
                <w:lang w:val="es-419"/>
              </w:rPr>
            </w:pPr>
            <w:r w:rsidRPr="000801F3">
              <w:rPr>
                <w:sz w:val="20"/>
                <w:szCs w:val="20"/>
                <w:lang w:val="es-419"/>
              </w:rPr>
              <w:t>15 512 484</w:t>
            </w:r>
          </w:p>
        </w:tc>
        <w:tc>
          <w:tcPr>
            <w:tcW w:w="1418" w:type="dxa"/>
            <w:tcBorders>
              <w:top w:val="nil"/>
              <w:left w:val="nil"/>
              <w:bottom w:val="single" w:sz="4" w:space="0" w:color="auto"/>
              <w:right w:val="single" w:sz="4" w:space="0" w:color="auto"/>
            </w:tcBorders>
            <w:shd w:val="clear" w:color="auto" w:fill="auto"/>
            <w:noWrap/>
            <w:vAlign w:val="center"/>
            <w:hideMark/>
          </w:tcPr>
          <w:p w14:paraId="55E49F5E" w14:textId="77777777" w:rsidR="00A23492" w:rsidRPr="000801F3" w:rsidRDefault="00A23492" w:rsidP="005B54E4">
            <w:pPr>
              <w:jc w:val="right"/>
              <w:rPr>
                <w:sz w:val="20"/>
                <w:szCs w:val="20"/>
                <w:lang w:val="es-419"/>
              </w:rPr>
            </w:pPr>
            <w:r w:rsidRPr="000801F3">
              <w:rPr>
                <w:sz w:val="20"/>
                <w:szCs w:val="20"/>
                <w:lang w:val="es-419"/>
              </w:rPr>
              <w:t>0</w:t>
            </w:r>
          </w:p>
        </w:tc>
        <w:tc>
          <w:tcPr>
            <w:tcW w:w="1275" w:type="dxa"/>
            <w:tcBorders>
              <w:top w:val="nil"/>
              <w:left w:val="nil"/>
              <w:bottom w:val="single" w:sz="4" w:space="0" w:color="auto"/>
              <w:right w:val="single" w:sz="4" w:space="0" w:color="auto"/>
            </w:tcBorders>
            <w:shd w:val="clear" w:color="auto" w:fill="auto"/>
            <w:noWrap/>
            <w:vAlign w:val="center"/>
            <w:hideMark/>
          </w:tcPr>
          <w:p w14:paraId="3EC2CD10" w14:textId="77777777" w:rsidR="00A23492" w:rsidRPr="000801F3" w:rsidRDefault="00A23492" w:rsidP="005B54E4">
            <w:pPr>
              <w:jc w:val="right"/>
              <w:rPr>
                <w:sz w:val="20"/>
                <w:szCs w:val="20"/>
                <w:lang w:val="es-419"/>
              </w:rPr>
            </w:pPr>
            <w:r w:rsidRPr="000801F3">
              <w:rPr>
                <w:sz w:val="20"/>
                <w:szCs w:val="20"/>
                <w:lang w:val="es-419"/>
              </w:rPr>
              <w:t>0</w:t>
            </w:r>
          </w:p>
        </w:tc>
        <w:tc>
          <w:tcPr>
            <w:tcW w:w="1423" w:type="dxa"/>
            <w:tcBorders>
              <w:top w:val="nil"/>
              <w:left w:val="nil"/>
              <w:bottom w:val="single" w:sz="4" w:space="0" w:color="auto"/>
              <w:right w:val="single" w:sz="4" w:space="0" w:color="auto"/>
            </w:tcBorders>
            <w:shd w:val="clear" w:color="auto" w:fill="auto"/>
            <w:noWrap/>
            <w:vAlign w:val="center"/>
            <w:hideMark/>
          </w:tcPr>
          <w:p w14:paraId="5241B893" w14:textId="77777777" w:rsidR="00A23492" w:rsidRPr="000801F3" w:rsidRDefault="00A23492" w:rsidP="005B54E4">
            <w:pPr>
              <w:jc w:val="right"/>
              <w:rPr>
                <w:sz w:val="20"/>
                <w:szCs w:val="20"/>
                <w:lang w:val="es-419"/>
              </w:rPr>
            </w:pPr>
            <w:r w:rsidRPr="000801F3">
              <w:rPr>
                <w:sz w:val="20"/>
                <w:szCs w:val="20"/>
                <w:lang w:val="es-419"/>
              </w:rPr>
              <w:t>15 512 484</w:t>
            </w:r>
          </w:p>
        </w:tc>
      </w:tr>
      <w:tr w:rsidR="00A23492" w:rsidRPr="000801F3" w14:paraId="28C02F2F"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A14691C" w14:textId="77777777" w:rsidR="00A23492" w:rsidRPr="000801F3" w:rsidRDefault="00A23492" w:rsidP="005B54E4">
            <w:pPr>
              <w:jc w:val="left"/>
              <w:rPr>
                <w:b/>
                <w:bCs/>
                <w:sz w:val="20"/>
                <w:szCs w:val="20"/>
                <w:lang w:val="es-419"/>
              </w:rPr>
            </w:pPr>
            <w:r w:rsidRPr="000801F3">
              <w:rPr>
                <w:b/>
                <w:bCs/>
                <w:sz w:val="20"/>
                <w:szCs w:val="20"/>
                <w:lang w:val="es-419"/>
              </w:rPr>
              <w:t>Subtotal de las actividades relativas al HFC</w:t>
            </w:r>
          </w:p>
        </w:tc>
        <w:tc>
          <w:tcPr>
            <w:tcW w:w="1417" w:type="dxa"/>
            <w:tcBorders>
              <w:top w:val="nil"/>
              <w:left w:val="nil"/>
              <w:bottom w:val="single" w:sz="4" w:space="0" w:color="auto"/>
              <w:right w:val="single" w:sz="4" w:space="0" w:color="auto"/>
            </w:tcBorders>
            <w:shd w:val="clear" w:color="auto" w:fill="auto"/>
            <w:noWrap/>
            <w:vAlign w:val="center"/>
            <w:hideMark/>
          </w:tcPr>
          <w:p w14:paraId="4C10FEA9" w14:textId="77777777" w:rsidR="00A23492" w:rsidRPr="000801F3" w:rsidRDefault="00A23492" w:rsidP="005B54E4">
            <w:pPr>
              <w:jc w:val="right"/>
              <w:rPr>
                <w:b/>
                <w:bCs/>
                <w:sz w:val="20"/>
                <w:szCs w:val="20"/>
                <w:lang w:val="es-419"/>
              </w:rPr>
            </w:pPr>
            <w:r w:rsidRPr="000801F3">
              <w:rPr>
                <w:b/>
                <w:bCs/>
                <w:sz w:val="20"/>
                <w:szCs w:val="20"/>
                <w:lang w:val="es-419"/>
              </w:rPr>
              <w:t>16 254 034</w:t>
            </w:r>
          </w:p>
        </w:tc>
        <w:tc>
          <w:tcPr>
            <w:tcW w:w="1418" w:type="dxa"/>
            <w:tcBorders>
              <w:top w:val="nil"/>
              <w:left w:val="nil"/>
              <w:bottom w:val="single" w:sz="4" w:space="0" w:color="auto"/>
              <w:right w:val="single" w:sz="4" w:space="0" w:color="auto"/>
            </w:tcBorders>
            <w:shd w:val="clear" w:color="auto" w:fill="auto"/>
            <w:noWrap/>
            <w:vAlign w:val="center"/>
            <w:hideMark/>
          </w:tcPr>
          <w:p w14:paraId="430668AB" w14:textId="77777777" w:rsidR="00A23492" w:rsidRPr="000801F3" w:rsidRDefault="00A23492" w:rsidP="005B54E4">
            <w:pPr>
              <w:jc w:val="right"/>
              <w:rPr>
                <w:b/>
                <w:bCs/>
                <w:sz w:val="20"/>
                <w:szCs w:val="20"/>
                <w:lang w:val="es-419"/>
              </w:rPr>
            </w:pPr>
            <w:r w:rsidRPr="000801F3">
              <w:rPr>
                <w:b/>
                <w:bCs/>
                <w:sz w:val="20"/>
                <w:szCs w:val="20"/>
                <w:lang w:val="es-419"/>
              </w:rPr>
              <w:t>0</w:t>
            </w:r>
          </w:p>
        </w:tc>
        <w:tc>
          <w:tcPr>
            <w:tcW w:w="1275" w:type="dxa"/>
            <w:tcBorders>
              <w:top w:val="nil"/>
              <w:left w:val="nil"/>
              <w:bottom w:val="single" w:sz="4" w:space="0" w:color="auto"/>
              <w:right w:val="single" w:sz="4" w:space="0" w:color="auto"/>
            </w:tcBorders>
            <w:shd w:val="clear" w:color="auto" w:fill="auto"/>
            <w:noWrap/>
            <w:vAlign w:val="center"/>
            <w:hideMark/>
          </w:tcPr>
          <w:p w14:paraId="67EA48B4" w14:textId="77777777" w:rsidR="00A23492" w:rsidRPr="000801F3" w:rsidRDefault="00A23492" w:rsidP="005B54E4">
            <w:pPr>
              <w:jc w:val="right"/>
              <w:rPr>
                <w:b/>
                <w:bCs/>
                <w:sz w:val="20"/>
                <w:szCs w:val="20"/>
                <w:lang w:val="es-419"/>
              </w:rPr>
            </w:pPr>
            <w:r w:rsidRPr="000801F3">
              <w:rPr>
                <w:b/>
                <w:bCs/>
                <w:sz w:val="20"/>
                <w:szCs w:val="20"/>
                <w:lang w:val="es-419"/>
              </w:rPr>
              <w:t>0</w:t>
            </w:r>
          </w:p>
        </w:tc>
        <w:tc>
          <w:tcPr>
            <w:tcW w:w="1423" w:type="dxa"/>
            <w:tcBorders>
              <w:top w:val="nil"/>
              <w:left w:val="nil"/>
              <w:bottom w:val="single" w:sz="4" w:space="0" w:color="auto"/>
              <w:right w:val="single" w:sz="4" w:space="0" w:color="auto"/>
            </w:tcBorders>
            <w:shd w:val="clear" w:color="auto" w:fill="auto"/>
            <w:noWrap/>
            <w:vAlign w:val="center"/>
            <w:hideMark/>
          </w:tcPr>
          <w:p w14:paraId="21F40067" w14:textId="77777777" w:rsidR="00A23492" w:rsidRPr="000801F3" w:rsidRDefault="00A23492" w:rsidP="005B54E4">
            <w:pPr>
              <w:jc w:val="right"/>
              <w:rPr>
                <w:b/>
                <w:bCs/>
                <w:sz w:val="20"/>
                <w:szCs w:val="20"/>
                <w:lang w:val="es-419"/>
              </w:rPr>
            </w:pPr>
            <w:r w:rsidRPr="000801F3">
              <w:rPr>
                <w:b/>
                <w:bCs/>
                <w:sz w:val="20"/>
                <w:szCs w:val="20"/>
                <w:lang w:val="es-419"/>
              </w:rPr>
              <w:t>16 254 034</w:t>
            </w:r>
          </w:p>
        </w:tc>
      </w:tr>
      <w:tr w:rsidR="00A23492" w:rsidRPr="000801F3" w14:paraId="5569D9BE" w14:textId="77777777" w:rsidTr="005B54E4">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EE7A7" w14:textId="77777777" w:rsidR="00A23492" w:rsidRPr="000801F3" w:rsidRDefault="00A23492" w:rsidP="005B54E4">
            <w:pPr>
              <w:jc w:val="left"/>
              <w:rPr>
                <w:b/>
                <w:bCs/>
                <w:sz w:val="20"/>
                <w:szCs w:val="20"/>
                <w:lang w:val="es-419"/>
              </w:rPr>
            </w:pPr>
            <w:r w:rsidRPr="000801F3">
              <w:rPr>
                <w:b/>
                <w:bCs/>
                <w:sz w:val="20"/>
                <w:szCs w:val="20"/>
                <w:lang w:val="es-419"/>
              </w:rPr>
              <w:t>Actividades estándar</w:t>
            </w:r>
          </w:p>
        </w:tc>
      </w:tr>
      <w:tr w:rsidR="00A23492" w:rsidRPr="000801F3" w14:paraId="6CD86831"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58D33366" w14:textId="77777777" w:rsidR="00A23492" w:rsidRPr="000801F3" w:rsidRDefault="00A23492" w:rsidP="005B54E4">
            <w:pPr>
              <w:jc w:val="left"/>
              <w:rPr>
                <w:sz w:val="20"/>
                <w:szCs w:val="20"/>
                <w:lang w:val="es-419"/>
              </w:rPr>
            </w:pPr>
            <w:r w:rsidRPr="000801F3">
              <w:rPr>
                <w:sz w:val="20"/>
                <w:szCs w:val="20"/>
                <w:lang w:val="es-419"/>
              </w:rPr>
              <w:t>Programa de asistencia al cumplimiento</w:t>
            </w:r>
          </w:p>
        </w:tc>
        <w:tc>
          <w:tcPr>
            <w:tcW w:w="1417" w:type="dxa"/>
            <w:tcBorders>
              <w:top w:val="nil"/>
              <w:left w:val="nil"/>
              <w:bottom w:val="single" w:sz="4" w:space="0" w:color="auto"/>
              <w:right w:val="single" w:sz="4" w:space="0" w:color="auto"/>
            </w:tcBorders>
            <w:shd w:val="clear" w:color="auto" w:fill="auto"/>
            <w:noWrap/>
            <w:vAlign w:val="center"/>
            <w:hideMark/>
          </w:tcPr>
          <w:p w14:paraId="3967C70B" w14:textId="77777777" w:rsidR="00A23492" w:rsidRPr="000801F3" w:rsidRDefault="00A23492" w:rsidP="005B54E4">
            <w:pPr>
              <w:jc w:val="right"/>
              <w:rPr>
                <w:sz w:val="20"/>
                <w:szCs w:val="20"/>
                <w:lang w:val="es-419"/>
              </w:rPr>
            </w:pPr>
            <w:r w:rsidRPr="000801F3">
              <w:rPr>
                <w:sz w:val="20"/>
                <w:szCs w:val="20"/>
                <w:lang w:val="es-419"/>
              </w:rPr>
              <w:t>11 300 749</w:t>
            </w:r>
          </w:p>
        </w:tc>
        <w:tc>
          <w:tcPr>
            <w:tcW w:w="1418" w:type="dxa"/>
            <w:tcBorders>
              <w:top w:val="nil"/>
              <w:left w:val="nil"/>
              <w:bottom w:val="single" w:sz="4" w:space="0" w:color="auto"/>
              <w:right w:val="single" w:sz="4" w:space="0" w:color="auto"/>
            </w:tcBorders>
            <w:shd w:val="clear" w:color="auto" w:fill="auto"/>
            <w:noWrap/>
            <w:vAlign w:val="center"/>
            <w:hideMark/>
          </w:tcPr>
          <w:p w14:paraId="5D4BB58E" w14:textId="77777777" w:rsidR="00A23492" w:rsidRPr="000801F3" w:rsidRDefault="00A23492" w:rsidP="005B54E4">
            <w:pPr>
              <w:jc w:val="right"/>
              <w:rPr>
                <w:sz w:val="20"/>
                <w:szCs w:val="20"/>
                <w:lang w:val="es-419"/>
              </w:rPr>
            </w:pPr>
            <w:r w:rsidRPr="000801F3">
              <w:rPr>
                <w:sz w:val="20"/>
                <w:szCs w:val="20"/>
                <w:lang w:val="es-419"/>
              </w:rPr>
              <w:t>11 639 772</w:t>
            </w:r>
          </w:p>
        </w:tc>
        <w:tc>
          <w:tcPr>
            <w:tcW w:w="1275" w:type="dxa"/>
            <w:tcBorders>
              <w:top w:val="nil"/>
              <w:left w:val="nil"/>
              <w:bottom w:val="single" w:sz="4" w:space="0" w:color="auto"/>
              <w:right w:val="single" w:sz="4" w:space="0" w:color="auto"/>
            </w:tcBorders>
            <w:shd w:val="clear" w:color="auto" w:fill="auto"/>
            <w:noWrap/>
            <w:vAlign w:val="center"/>
            <w:hideMark/>
          </w:tcPr>
          <w:p w14:paraId="3C80EA25" w14:textId="77777777" w:rsidR="00A23492" w:rsidRPr="000801F3" w:rsidRDefault="00A23492" w:rsidP="005B54E4">
            <w:pPr>
              <w:jc w:val="right"/>
              <w:rPr>
                <w:sz w:val="20"/>
                <w:szCs w:val="20"/>
                <w:lang w:val="es-419"/>
              </w:rPr>
            </w:pPr>
            <w:r w:rsidRPr="000801F3">
              <w:rPr>
                <w:sz w:val="20"/>
                <w:szCs w:val="20"/>
                <w:lang w:val="es-419"/>
              </w:rPr>
              <w:t>11 988 965</w:t>
            </w:r>
          </w:p>
        </w:tc>
        <w:tc>
          <w:tcPr>
            <w:tcW w:w="1423" w:type="dxa"/>
            <w:tcBorders>
              <w:top w:val="nil"/>
              <w:left w:val="nil"/>
              <w:bottom w:val="single" w:sz="4" w:space="0" w:color="auto"/>
              <w:right w:val="single" w:sz="4" w:space="0" w:color="auto"/>
            </w:tcBorders>
            <w:shd w:val="clear" w:color="auto" w:fill="auto"/>
            <w:noWrap/>
            <w:vAlign w:val="center"/>
            <w:hideMark/>
          </w:tcPr>
          <w:p w14:paraId="38A353F3" w14:textId="77777777" w:rsidR="00A23492" w:rsidRPr="000801F3" w:rsidRDefault="00A23492" w:rsidP="005B54E4">
            <w:pPr>
              <w:jc w:val="right"/>
              <w:rPr>
                <w:sz w:val="20"/>
                <w:szCs w:val="20"/>
                <w:lang w:val="es-419"/>
              </w:rPr>
            </w:pPr>
            <w:r w:rsidRPr="000801F3">
              <w:rPr>
                <w:sz w:val="20"/>
                <w:szCs w:val="20"/>
                <w:lang w:val="es-419"/>
              </w:rPr>
              <w:t>34 929 486</w:t>
            </w:r>
          </w:p>
        </w:tc>
      </w:tr>
      <w:tr w:rsidR="00A23492" w:rsidRPr="000801F3" w14:paraId="790B6F84"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522149D" w14:textId="77777777" w:rsidR="00A23492" w:rsidRPr="000801F3" w:rsidRDefault="00A23492" w:rsidP="005B54E4">
            <w:pPr>
              <w:jc w:val="left"/>
              <w:rPr>
                <w:sz w:val="20"/>
                <w:szCs w:val="20"/>
                <w:lang w:val="es-419"/>
              </w:rPr>
            </w:pPr>
            <w:r w:rsidRPr="000801F3">
              <w:rPr>
                <w:sz w:val="20"/>
                <w:szCs w:val="20"/>
                <w:lang w:val="es-419"/>
              </w:rPr>
              <w:t>Unidad central</w:t>
            </w:r>
          </w:p>
        </w:tc>
        <w:tc>
          <w:tcPr>
            <w:tcW w:w="1417" w:type="dxa"/>
            <w:tcBorders>
              <w:top w:val="nil"/>
              <w:left w:val="nil"/>
              <w:bottom w:val="single" w:sz="4" w:space="0" w:color="auto"/>
              <w:right w:val="single" w:sz="4" w:space="0" w:color="auto"/>
            </w:tcBorders>
            <w:shd w:val="clear" w:color="auto" w:fill="auto"/>
            <w:noWrap/>
            <w:vAlign w:val="center"/>
            <w:hideMark/>
          </w:tcPr>
          <w:p w14:paraId="477DABC4" w14:textId="77777777" w:rsidR="00A23492" w:rsidRPr="000801F3" w:rsidRDefault="00A23492" w:rsidP="005B54E4">
            <w:pPr>
              <w:jc w:val="right"/>
              <w:rPr>
                <w:sz w:val="20"/>
                <w:szCs w:val="20"/>
                <w:lang w:val="es-419"/>
              </w:rPr>
            </w:pPr>
            <w:r w:rsidRPr="000801F3">
              <w:rPr>
                <w:sz w:val="20"/>
                <w:szCs w:val="20"/>
                <w:lang w:val="es-419"/>
              </w:rPr>
              <w:t>5 931 915</w:t>
            </w:r>
          </w:p>
        </w:tc>
        <w:tc>
          <w:tcPr>
            <w:tcW w:w="1418" w:type="dxa"/>
            <w:tcBorders>
              <w:top w:val="nil"/>
              <w:left w:val="nil"/>
              <w:bottom w:val="single" w:sz="4" w:space="0" w:color="auto"/>
              <w:right w:val="single" w:sz="4" w:space="0" w:color="auto"/>
            </w:tcBorders>
            <w:shd w:val="clear" w:color="auto" w:fill="auto"/>
            <w:noWrap/>
            <w:vAlign w:val="center"/>
            <w:hideMark/>
          </w:tcPr>
          <w:p w14:paraId="3B336B26" w14:textId="77777777" w:rsidR="00A23492" w:rsidRPr="000801F3" w:rsidRDefault="00A23492" w:rsidP="005B54E4">
            <w:pPr>
              <w:jc w:val="right"/>
              <w:rPr>
                <w:sz w:val="20"/>
                <w:szCs w:val="20"/>
                <w:lang w:val="es-419"/>
              </w:rPr>
            </w:pPr>
            <w:r w:rsidRPr="000801F3">
              <w:rPr>
                <w:sz w:val="20"/>
                <w:szCs w:val="20"/>
                <w:lang w:val="es-419"/>
              </w:rPr>
              <w:t>5 961 294</w:t>
            </w:r>
          </w:p>
        </w:tc>
        <w:tc>
          <w:tcPr>
            <w:tcW w:w="1275" w:type="dxa"/>
            <w:tcBorders>
              <w:top w:val="nil"/>
              <w:left w:val="nil"/>
              <w:bottom w:val="single" w:sz="4" w:space="0" w:color="auto"/>
              <w:right w:val="single" w:sz="4" w:space="0" w:color="auto"/>
            </w:tcBorders>
            <w:shd w:val="clear" w:color="auto" w:fill="auto"/>
            <w:noWrap/>
            <w:vAlign w:val="center"/>
            <w:hideMark/>
          </w:tcPr>
          <w:p w14:paraId="3EA26EB1" w14:textId="77777777" w:rsidR="00A23492" w:rsidRPr="000801F3" w:rsidRDefault="00A23492" w:rsidP="005B54E4">
            <w:pPr>
              <w:jc w:val="right"/>
              <w:rPr>
                <w:sz w:val="20"/>
                <w:szCs w:val="20"/>
                <w:lang w:val="es-419"/>
              </w:rPr>
            </w:pPr>
            <w:r w:rsidRPr="000801F3">
              <w:rPr>
                <w:sz w:val="20"/>
                <w:szCs w:val="20"/>
                <w:lang w:val="es-419"/>
              </w:rPr>
              <w:t>5 990 878</w:t>
            </w:r>
          </w:p>
        </w:tc>
        <w:tc>
          <w:tcPr>
            <w:tcW w:w="1423" w:type="dxa"/>
            <w:tcBorders>
              <w:top w:val="nil"/>
              <w:left w:val="nil"/>
              <w:bottom w:val="single" w:sz="4" w:space="0" w:color="auto"/>
              <w:right w:val="single" w:sz="4" w:space="0" w:color="auto"/>
            </w:tcBorders>
            <w:shd w:val="clear" w:color="auto" w:fill="auto"/>
            <w:noWrap/>
            <w:vAlign w:val="center"/>
            <w:hideMark/>
          </w:tcPr>
          <w:p w14:paraId="787D46A0" w14:textId="77777777" w:rsidR="00A23492" w:rsidRPr="000801F3" w:rsidRDefault="00A23492" w:rsidP="005B54E4">
            <w:pPr>
              <w:jc w:val="right"/>
              <w:rPr>
                <w:sz w:val="20"/>
                <w:szCs w:val="20"/>
                <w:lang w:val="es-419"/>
              </w:rPr>
            </w:pPr>
            <w:r w:rsidRPr="000801F3">
              <w:rPr>
                <w:sz w:val="20"/>
                <w:szCs w:val="20"/>
                <w:lang w:val="es-419"/>
              </w:rPr>
              <w:t>17 884 086</w:t>
            </w:r>
          </w:p>
        </w:tc>
      </w:tr>
      <w:tr w:rsidR="00A23492" w:rsidRPr="000801F3" w14:paraId="5D27A18D"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6C223D9" w14:textId="77777777" w:rsidR="00A23492" w:rsidRPr="000801F3" w:rsidRDefault="00A23492" w:rsidP="005B54E4">
            <w:pPr>
              <w:jc w:val="left"/>
              <w:rPr>
                <w:sz w:val="20"/>
                <w:szCs w:val="20"/>
                <w:lang w:val="es-419"/>
              </w:rPr>
            </w:pPr>
            <w:r w:rsidRPr="000801F3">
              <w:rPr>
                <w:sz w:val="20"/>
                <w:szCs w:val="20"/>
                <w:lang w:val="es-419"/>
              </w:rPr>
              <w:t>Fortalecimiento institucional</w:t>
            </w:r>
          </w:p>
        </w:tc>
        <w:tc>
          <w:tcPr>
            <w:tcW w:w="1417" w:type="dxa"/>
            <w:tcBorders>
              <w:top w:val="nil"/>
              <w:left w:val="nil"/>
              <w:bottom w:val="single" w:sz="4" w:space="0" w:color="auto"/>
              <w:right w:val="single" w:sz="4" w:space="0" w:color="auto"/>
            </w:tcBorders>
            <w:shd w:val="clear" w:color="auto" w:fill="auto"/>
            <w:noWrap/>
            <w:vAlign w:val="center"/>
            <w:hideMark/>
          </w:tcPr>
          <w:p w14:paraId="20E61047" w14:textId="77777777" w:rsidR="00A23492" w:rsidRPr="000801F3" w:rsidRDefault="00A23492" w:rsidP="005B54E4">
            <w:pPr>
              <w:jc w:val="right"/>
              <w:rPr>
                <w:sz w:val="20"/>
                <w:szCs w:val="20"/>
                <w:lang w:val="es-419"/>
              </w:rPr>
            </w:pPr>
            <w:r w:rsidRPr="000801F3">
              <w:rPr>
                <w:sz w:val="20"/>
                <w:szCs w:val="20"/>
                <w:lang w:val="es-419"/>
              </w:rPr>
              <w:t>10 461 285</w:t>
            </w:r>
          </w:p>
        </w:tc>
        <w:tc>
          <w:tcPr>
            <w:tcW w:w="1418" w:type="dxa"/>
            <w:tcBorders>
              <w:top w:val="nil"/>
              <w:left w:val="nil"/>
              <w:bottom w:val="single" w:sz="4" w:space="0" w:color="auto"/>
              <w:right w:val="single" w:sz="4" w:space="0" w:color="auto"/>
            </w:tcBorders>
            <w:shd w:val="clear" w:color="auto" w:fill="auto"/>
            <w:noWrap/>
            <w:vAlign w:val="center"/>
            <w:hideMark/>
          </w:tcPr>
          <w:p w14:paraId="350B4278" w14:textId="77777777" w:rsidR="00A23492" w:rsidRPr="000801F3" w:rsidRDefault="00A23492" w:rsidP="005B54E4">
            <w:pPr>
              <w:jc w:val="right"/>
              <w:rPr>
                <w:sz w:val="20"/>
                <w:szCs w:val="20"/>
                <w:lang w:val="es-419"/>
              </w:rPr>
            </w:pPr>
            <w:r w:rsidRPr="000801F3">
              <w:rPr>
                <w:sz w:val="20"/>
                <w:szCs w:val="20"/>
                <w:lang w:val="es-419"/>
              </w:rPr>
              <w:t>10 886 318</w:t>
            </w:r>
          </w:p>
        </w:tc>
        <w:tc>
          <w:tcPr>
            <w:tcW w:w="1275" w:type="dxa"/>
            <w:tcBorders>
              <w:top w:val="nil"/>
              <w:left w:val="nil"/>
              <w:bottom w:val="single" w:sz="4" w:space="0" w:color="auto"/>
              <w:right w:val="single" w:sz="4" w:space="0" w:color="auto"/>
            </w:tcBorders>
            <w:shd w:val="clear" w:color="auto" w:fill="auto"/>
            <w:noWrap/>
            <w:vAlign w:val="center"/>
            <w:hideMark/>
          </w:tcPr>
          <w:p w14:paraId="0C01C4CC" w14:textId="77777777" w:rsidR="00A23492" w:rsidRPr="000801F3" w:rsidRDefault="00A23492" w:rsidP="005B54E4">
            <w:pPr>
              <w:jc w:val="right"/>
              <w:rPr>
                <w:sz w:val="20"/>
                <w:szCs w:val="20"/>
                <w:lang w:val="es-419"/>
              </w:rPr>
            </w:pPr>
            <w:r w:rsidRPr="000801F3">
              <w:rPr>
                <w:sz w:val="20"/>
                <w:szCs w:val="20"/>
                <w:lang w:val="es-419"/>
              </w:rPr>
              <w:t>10 546 285</w:t>
            </w:r>
          </w:p>
        </w:tc>
        <w:tc>
          <w:tcPr>
            <w:tcW w:w="1423" w:type="dxa"/>
            <w:tcBorders>
              <w:top w:val="nil"/>
              <w:left w:val="nil"/>
              <w:bottom w:val="single" w:sz="4" w:space="0" w:color="auto"/>
              <w:right w:val="single" w:sz="4" w:space="0" w:color="auto"/>
            </w:tcBorders>
            <w:shd w:val="clear" w:color="auto" w:fill="auto"/>
            <w:noWrap/>
            <w:vAlign w:val="center"/>
            <w:hideMark/>
          </w:tcPr>
          <w:p w14:paraId="3AE7795C" w14:textId="77777777" w:rsidR="00A23492" w:rsidRPr="000801F3" w:rsidRDefault="00A23492" w:rsidP="005B54E4">
            <w:pPr>
              <w:jc w:val="right"/>
              <w:rPr>
                <w:sz w:val="20"/>
                <w:szCs w:val="20"/>
                <w:lang w:val="es-419"/>
              </w:rPr>
            </w:pPr>
            <w:r w:rsidRPr="000801F3">
              <w:rPr>
                <w:sz w:val="20"/>
                <w:szCs w:val="20"/>
                <w:lang w:val="es-419"/>
              </w:rPr>
              <w:t>31 893 889</w:t>
            </w:r>
          </w:p>
        </w:tc>
      </w:tr>
      <w:tr w:rsidR="00A23492" w:rsidRPr="000801F3" w14:paraId="0D4369F2"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546D83F9" w14:textId="77777777" w:rsidR="00A23492" w:rsidRPr="000801F3" w:rsidRDefault="00A23492" w:rsidP="005B54E4">
            <w:pPr>
              <w:jc w:val="left"/>
              <w:rPr>
                <w:sz w:val="20"/>
                <w:szCs w:val="20"/>
                <w:lang w:val="es-419"/>
              </w:rPr>
            </w:pPr>
            <w:r w:rsidRPr="000801F3">
              <w:rPr>
                <w:sz w:val="20"/>
                <w:szCs w:val="20"/>
                <w:lang w:val="es-419"/>
              </w:rPr>
              <w:t>Costos de Secretaría, Comité Ejecutivo y supervisión y evaluación menos la contraparte canadiense</w:t>
            </w:r>
          </w:p>
        </w:tc>
        <w:tc>
          <w:tcPr>
            <w:tcW w:w="1417" w:type="dxa"/>
            <w:tcBorders>
              <w:top w:val="nil"/>
              <w:left w:val="nil"/>
              <w:bottom w:val="single" w:sz="4" w:space="0" w:color="auto"/>
              <w:right w:val="single" w:sz="4" w:space="0" w:color="auto"/>
            </w:tcBorders>
            <w:shd w:val="clear" w:color="auto" w:fill="auto"/>
            <w:noWrap/>
            <w:vAlign w:val="center"/>
            <w:hideMark/>
          </w:tcPr>
          <w:p w14:paraId="086CDAED" w14:textId="77777777" w:rsidR="00A23492" w:rsidRPr="000801F3" w:rsidRDefault="00A23492" w:rsidP="005B54E4">
            <w:pPr>
              <w:jc w:val="right"/>
              <w:rPr>
                <w:sz w:val="20"/>
                <w:szCs w:val="20"/>
                <w:lang w:val="es-419"/>
              </w:rPr>
            </w:pPr>
            <w:r w:rsidRPr="000801F3">
              <w:rPr>
                <w:sz w:val="20"/>
                <w:szCs w:val="20"/>
                <w:lang w:val="es-419"/>
              </w:rPr>
              <w:t>6 799 233</w:t>
            </w:r>
          </w:p>
        </w:tc>
        <w:tc>
          <w:tcPr>
            <w:tcW w:w="1418" w:type="dxa"/>
            <w:tcBorders>
              <w:top w:val="nil"/>
              <w:left w:val="nil"/>
              <w:bottom w:val="single" w:sz="4" w:space="0" w:color="auto"/>
              <w:right w:val="single" w:sz="4" w:space="0" w:color="auto"/>
            </w:tcBorders>
            <w:shd w:val="clear" w:color="auto" w:fill="auto"/>
            <w:noWrap/>
            <w:vAlign w:val="center"/>
            <w:hideMark/>
          </w:tcPr>
          <w:p w14:paraId="5317660D" w14:textId="77777777" w:rsidR="00A23492" w:rsidRPr="000801F3" w:rsidRDefault="00A23492" w:rsidP="005B54E4">
            <w:pPr>
              <w:jc w:val="right"/>
              <w:rPr>
                <w:sz w:val="20"/>
                <w:szCs w:val="20"/>
                <w:lang w:val="es-419"/>
              </w:rPr>
            </w:pPr>
            <w:r w:rsidRPr="000801F3">
              <w:rPr>
                <w:sz w:val="20"/>
                <w:szCs w:val="20"/>
                <w:lang w:val="es-419"/>
              </w:rPr>
              <w:t>6 954 313</w:t>
            </w:r>
          </w:p>
        </w:tc>
        <w:tc>
          <w:tcPr>
            <w:tcW w:w="1275" w:type="dxa"/>
            <w:tcBorders>
              <w:top w:val="nil"/>
              <w:left w:val="nil"/>
              <w:bottom w:val="single" w:sz="4" w:space="0" w:color="auto"/>
              <w:right w:val="single" w:sz="4" w:space="0" w:color="auto"/>
            </w:tcBorders>
            <w:shd w:val="clear" w:color="auto" w:fill="auto"/>
            <w:noWrap/>
            <w:vAlign w:val="center"/>
            <w:hideMark/>
          </w:tcPr>
          <w:p w14:paraId="43B2E427" w14:textId="77777777" w:rsidR="00A23492" w:rsidRPr="000801F3" w:rsidRDefault="00A23492" w:rsidP="005B54E4">
            <w:pPr>
              <w:jc w:val="right"/>
              <w:rPr>
                <w:sz w:val="20"/>
                <w:szCs w:val="20"/>
                <w:lang w:val="es-419"/>
              </w:rPr>
            </w:pPr>
            <w:r w:rsidRPr="000801F3">
              <w:rPr>
                <w:sz w:val="20"/>
                <w:szCs w:val="20"/>
                <w:lang w:val="es-419"/>
              </w:rPr>
              <w:t>7 114 045</w:t>
            </w:r>
          </w:p>
        </w:tc>
        <w:tc>
          <w:tcPr>
            <w:tcW w:w="1423" w:type="dxa"/>
            <w:tcBorders>
              <w:top w:val="nil"/>
              <w:left w:val="nil"/>
              <w:bottom w:val="single" w:sz="4" w:space="0" w:color="auto"/>
              <w:right w:val="single" w:sz="4" w:space="0" w:color="auto"/>
            </w:tcBorders>
            <w:shd w:val="clear" w:color="auto" w:fill="auto"/>
            <w:noWrap/>
            <w:vAlign w:val="center"/>
            <w:hideMark/>
          </w:tcPr>
          <w:p w14:paraId="40E7876E" w14:textId="77777777" w:rsidR="00A23492" w:rsidRPr="000801F3" w:rsidRDefault="00A23492" w:rsidP="005B54E4">
            <w:pPr>
              <w:jc w:val="right"/>
              <w:rPr>
                <w:sz w:val="20"/>
                <w:szCs w:val="20"/>
                <w:lang w:val="es-419"/>
              </w:rPr>
            </w:pPr>
            <w:r w:rsidRPr="000801F3">
              <w:rPr>
                <w:sz w:val="20"/>
                <w:szCs w:val="20"/>
                <w:lang w:val="es-419"/>
              </w:rPr>
              <w:t>20 867 591</w:t>
            </w:r>
          </w:p>
        </w:tc>
      </w:tr>
      <w:tr w:rsidR="00A23492" w:rsidRPr="000801F3" w14:paraId="07BEEF64"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E441A5D" w14:textId="77777777" w:rsidR="00A23492" w:rsidRPr="000801F3" w:rsidRDefault="00A23492" w:rsidP="005B54E4">
            <w:pPr>
              <w:jc w:val="left"/>
              <w:rPr>
                <w:sz w:val="20"/>
                <w:szCs w:val="20"/>
                <w:lang w:val="es-419"/>
              </w:rPr>
            </w:pPr>
            <w:r w:rsidRPr="000801F3">
              <w:rPr>
                <w:sz w:val="20"/>
                <w:szCs w:val="20"/>
                <w:lang w:val="es-419"/>
              </w:rPr>
              <w:t>Tesorero</w:t>
            </w:r>
          </w:p>
        </w:tc>
        <w:tc>
          <w:tcPr>
            <w:tcW w:w="1417" w:type="dxa"/>
            <w:tcBorders>
              <w:top w:val="nil"/>
              <w:left w:val="nil"/>
              <w:bottom w:val="single" w:sz="4" w:space="0" w:color="auto"/>
              <w:right w:val="single" w:sz="4" w:space="0" w:color="auto"/>
            </w:tcBorders>
            <w:shd w:val="clear" w:color="auto" w:fill="auto"/>
            <w:noWrap/>
            <w:vAlign w:val="center"/>
            <w:hideMark/>
          </w:tcPr>
          <w:p w14:paraId="45B45D7E" w14:textId="77777777" w:rsidR="00A23492" w:rsidRPr="000801F3" w:rsidRDefault="00A23492" w:rsidP="005B54E4">
            <w:pPr>
              <w:jc w:val="right"/>
              <w:rPr>
                <w:sz w:val="20"/>
                <w:szCs w:val="20"/>
                <w:lang w:val="es-419"/>
              </w:rPr>
            </w:pPr>
            <w:r w:rsidRPr="000801F3">
              <w:rPr>
                <w:sz w:val="20"/>
                <w:szCs w:val="20"/>
                <w:lang w:val="es-419"/>
              </w:rPr>
              <w:t>500 000</w:t>
            </w:r>
          </w:p>
        </w:tc>
        <w:tc>
          <w:tcPr>
            <w:tcW w:w="1418" w:type="dxa"/>
            <w:tcBorders>
              <w:top w:val="nil"/>
              <w:left w:val="nil"/>
              <w:bottom w:val="single" w:sz="4" w:space="0" w:color="auto"/>
              <w:right w:val="single" w:sz="4" w:space="0" w:color="auto"/>
            </w:tcBorders>
            <w:shd w:val="clear" w:color="auto" w:fill="auto"/>
            <w:noWrap/>
            <w:vAlign w:val="center"/>
            <w:hideMark/>
          </w:tcPr>
          <w:p w14:paraId="3373806B" w14:textId="77777777" w:rsidR="00A23492" w:rsidRPr="000801F3" w:rsidRDefault="00A23492" w:rsidP="005B54E4">
            <w:pPr>
              <w:jc w:val="right"/>
              <w:rPr>
                <w:sz w:val="20"/>
                <w:szCs w:val="20"/>
                <w:lang w:val="es-419"/>
              </w:rPr>
            </w:pPr>
            <w:r w:rsidRPr="000801F3">
              <w:rPr>
                <w:sz w:val="20"/>
                <w:szCs w:val="20"/>
                <w:lang w:val="es-419"/>
              </w:rPr>
              <w:t>500 000</w:t>
            </w:r>
          </w:p>
        </w:tc>
        <w:tc>
          <w:tcPr>
            <w:tcW w:w="1275" w:type="dxa"/>
            <w:tcBorders>
              <w:top w:val="nil"/>
              <w:left w:val="nil"/>
              <w:bottom w:val="single" w:sz="4" w:space="0" w:color="auto"/>
              <w:right w:val="single" w:sz="4" w:space="0" w:color="auto"/>
            </w:tcBorders>
            <w:shd w:val="clear" w:color="auto" w:fill="auto"/>
            <w:noWrap/>
            <w:vAlign w:val="center"/>
            <w:hideMark/>
          </w:tcPr>
          <w:p w14:paraId="711253F2" w14:textId="77777777" w:rsidR="00A23492" w:rsidRPr="000801F3" w:rsidRDefault="00A23492" w:rsidP="005B54E4">
            <w:pPr>
              <w:jc w:val="right"/>
              <w:rPr>
                <w:sz w:val="20"/>
                <w:szCs w:val="20"/>
                <w:lang w:val="es-419"/>
              </w:rPr>
            </w:pPr>
            <w:r w:rsidRPr="000801F3">
              <w:rPr>
                <w:sz w:val="20"/>
                <w:szCs w:val="20"/>
                <w:lang w:val="es-419"/>
              </w:rPr>
              <w:t>500 000</w:t>
            </w:r>
          </w:p>
        </w:tc>
        <w:tc>
          <w:tcPr>
            <w:tcW w:w="1423" w:type="dxa"/>
            <w:tcBorders>
              <w:top w:val="nil"/>
              <w:left w:val="nil"/>
              <w:bottom w:val="single" w:sz="4" w:space="0" w:color="auto"/>
              <w:right w:val="single" w:sz="4" w:space="0" w:color="auto"/>
            </w:tcBorders>
            <w:shd w:val="clear" w:color="auto" w:fill="auto"/>
            <w:noWrap/>
            <w:vAlign w:val="center"/>
            <w:hideMark/>
          </w:tcPr>
          <w:p w14:paraId="672B6B44" w14:textId="77777777" w:rsidR="00A23492" w:rsidRPr="000801F3" w:rsidRDefault="00A23492" w:rsidP="005B54E4">
            <w:pPr>
              <w:jc w:val="right"/>
              <w:rPr>
                <w:sz w:val="20"/>
                <w:szCs w:val="20"/>
                <w:lang w:val="es-419"/>
              </w:rPr>
            </w:pPr>
            <w:r w:rsidRPr="000801F3">
              <w:rPr>
                <w:sz w:val="20"/>
                <w:szCs w:val="20"/>
                <w:lang w:val="es-419"/>
              </w:rPr>
              <w:t>1 500 000</w:t>
            </w:r>
          </w:p>
        </w:tc>
      </w:tr>
      <w:tr w:rsidR="00A23492" w:rsidRPr="000801F3" w14:paraId="014F26A7"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2F28115" w14:textId="77777777" w:rsidR="00A23492" w:rsidRPr="000801F3" w:rsidRDefault="00A23492" w:rsidP="005B54E4">
            <w:pPr>
              <w:jc w:val="left"/>
              <w:rPr>
                <w:b/>
                <w:bCs/>
                <w:sz w:val="20"/>
                <w:szCs w:val="20"/>
                <w:lang w:val="es-419"/>
              </w:rPr>
            </w:pPr>
            <w:r w:rsidRPr="000801F3">
              <w:rPr>
                <w:b/>
                <w:bCs/>
                <w:sz w:val="20"/>
                <w:szCs w:val="20"/>
                <w:lang w:val="es-419"/>
              </w:rPr>
              <w:t>Subtotal de las actividades estándar</w:t>
            </w:r>
          </w:p>
        </w:tc>
        <w:tc>
          <w:tcPr>
            <w:tcW w:w="1417" w:type="dxa"/>
            <w:tcBorders>
              <w:top w:val="nil"/>
              <w:left w:val="nil"/>
              <w:bottom w:val="single" w:sz="4" w:space="0" w:color="auto"/>
              <w:right w:val="single" w:sz="4" w:space="0" w:color="auto"/>
            </w:tcBorders>
            <w:shd w:val="clear" w:color="auto" w:fill="auto"/>
            <w:noWrap/>
            <w:vAlign w:val="center"/>
            <w:hideMark/>
          </w:tcPr>
          <w:p w14:paraId="6C4ECD7B" w14:textId="77777777" w:rsidR="00A23492" w:rsidRPr="000801F3" w:rsidRDefault="00A23492" w:rsidP="005B54E4">
            <w:pPr>
              <w:jc w:val="right"/>
              <w:rPr>
                <w:b/>
                <w:bCs/>
                <w:sz w:val="20"/>
                <w:szCs w:val="20"/>
                <w:lang w:val="es-419"/>
              </w:rPr>
            </w:pPr>
            <w:r w:rsidRPr="000801F3">
              <w:rPr>
                <w:b/>
                <w:bCs/>
                <w:sz w:val="20"/>
                <w:szCs w:val="20"/>
                <w:lang w:val="es-419"/>
              </w:rPr>
              <w:t>34 993 182</w:t>
            </w:r>
          </w:p>
        </w:tc>
        <w:tc>
          <w:tcPr>
            <w:tcW w:w="1418" w:type="dxa"/>
            <w:tcBorders>
              <w:top w:val="nil"/>
              <w:left w:val="nil"/>
              <w:bottom w:val="single" w:sz="4" w:space="0" w:color="auto"/>
              <w:right w:val="single" w:sz="4" w:space="0" w:color="auto"/>
            </w:tcBorders>
            <w:shd w:val="clear" w:color="auto" w:fill="auto"/>
            <w:noWrap/>
            <w:vAlign w:val="center"/>
            <w:hideMark/>
          </w:tcPr>
          <w:p w14:paraId="262DD322" w14:textId="77777777" w:rsidR="00A23492" w:rsidRPr="000801F3" w:rsidRDefault="00A23492" w:rsidP="005B54E4">
            <w:pPr>
              <w:jc w:val="right"/>
              <w:rPr>
                <w:b/>
                <w:bCs/>
                <w:sz w:val="20"/>
                <w:szCs w:val="20"/>
                <w:lang w:val="es-419"/>
              </w:rPr>
            </w:pPr>
            <w:r w:rsidRPr="000801F3">
              <w:rPr>
                <w:b/>
                <w:bCs/>
                <w:sz w:val="20"/>
                <w:szCs w:val="20"/>
                <w:lang w:val="es-419"/>
              </w:rPr>
              <w:t>35 941 697</w:t>
            </w:r>
          </w:p>
        </w:tc>
        <w:tc>
          <w:tcPr>
            <w:tcW w:w="1275" w:type="dxa"/>
            <w:tcBorders>
              <w:top w:val="nil"/>
              <w:left w:val="nil"/>
              <w:bottom w:val="single" w:sz="4" w:space="0" w:color="auto"/>
              <w:right w:val="single" w:sz="4" w:space="0" w:color="auto"/>
            </w:tcBorders>
            <w:shd w:val="clear" w:color="auto" w:fill="auto"/>
            <w:noWrap/>
            <w:vAlign w:val="center"/>
            <w:hideMark/>
          </w:tcPr>
          <w:p w14:paraId="4709851C" w14:textId="77777777" w:rsidR="00A23492" w:rsidRPr="000801F3" w:rsidRDefault="00A23492" w:rsidP="005B54E4">
            <w:pPr>
              <w:jc w:val="right"/>
              <w:rPr>
                <w:b/>
                <w:bCs/>
                <w:sz w:val="20"/>
                <w:szCs w:val="20"/>
                <w:lang w:val="es-419"/>
              </w:rPr>
            </w:pPr>
            <w:r w:rsidRPr="000801F3">
              <w:rPr>
                <w:b/>
                <w:bCs/>
                <w:sz w:val="20"/>
                <w:szCs w:val="20"/>
                <w:lang w:val="es-419"/>
              </w:rPr>
              <w:t>36 140 173</w:t>
            </w:r>
          </w:p>
        </w:tc>
        <w:tc>
          <w:tcPr>
            <w:tcW w:w="1423" w:type="dxa"/>
            <w:tcBorders>
              <w:top w:val="nil"/>
              <w:left w:val="nil"/>
              <w:bottom w:val="single" w:sz="4" w:space="0" w:color="auto"/>
              <w:right w:val="single" w:sz="4" w:space="0" w:color="auto"/>
            </w:tcBorders>
            <w:shd w:val="clear" w:color="auto" w:fill="auto"/>
            <w:noWrap/>
            <w:vAlign w:val="center"/>
            <w:hideMark/>
          </w:tcPr>
          <w:p w14:paraId="53446122" w14:textId="77777777" w:rsidR="00A23492" w:rsidRPr="000801F3" w:rsidRDefault="00A23492" w:rsidP="005B54E4">
            <w:pPr>
              <w:jc w:val="right"/>
              <w:rPr>
                <w:b/>
                <w:bCs/>
                <w:sz w:val="20"/>
                <w:szCs w:val="20"/>
                <w:lang w:val="es-419"/>
              </w:rPr>
            </w:pPr>
            <w:r w:rsidRPr="000801F3">
              <w:rPr>
                <w:b/>
                <w:bCs/>
                <w:sz w:val="20"/>
                <w:szCs w:val="20"/>
                <w:lang w:val="es-419"/>
              </w:rPr>
              <w:t>107 075 052</w:t>
            </w:r>
          </w:p>
        </w:tc>
      </w:tr>
      <w:tr w:rsidR="00A23492" w:rsidRPr="000801F3" w14:paraId="5CBF9130"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548A8B37" w14:textId="77777777" w:rsidR="00A23492" w:rsidRPr="000801F3" w:rsidRDefault="00A23492" w:rsidP="005B54E4">
            <w:pPr>
              <w:jc w:val="left"/>
              <w:rPr>
                <w:b/>
                <w:bCs/>
                <w:sz w:val="20"/>
                <w:szCs w:val="20"/>
                <w:lang w:val="es-419"/>
              </w:rPr>
            </w:pPr>
            <w:r w:rsidRPr="000801F3">
              <w:rPr>
                <w:b/>
                <w:bCs/>
                <w:sz w:val="20"/>
                <w:szCs w:val="20"/>
                <w:lang w:val="es-419"/>
              </w:rPr>
              <w:t>Gran total</w:t>
            </w:r>
          </w:p>
        </w:tc>
        <w:tc>
          <w:tcPr>
            <w:tcW w:w="1417" w:type="dxa"/>
            <w:tcBorders>
              <w:top w:val="nil"/>
              <w:left w:val="nil"/>
              <w:bottom w:val="single" w:sz="4" w:space="0" w:color="auto"/>
              <w:right w:val="single" w:sz="4" w:space="0" w:color="auto"/>
            </w:tcBorders>
            <w:shd w:val="clear" w:color="auto" w:fill="auto"/>
            <w:noWrap/>
            <w:vAlign w:val="center"/>
            <w:hideMark/>
          </w:tcPr>
          <w:p w14:paraId="620B9FCF" w14:textId="77777777" w:rsidR="00A23492" w:rsidRPr="000801F3" w:rsidRDefault="00A23492" w:rsidP="005B54E4">
            <w:pPr>
              <w:jc w:val="right"/>
              <w:rPr>
                <w:b/>
                <w:bCs/>
                <w:sz w:val="20"/>
                <w:szCs w:val="20"/>
                <w:lang w:val="es-419"/>
              </w:rPr>
            </w:pPr>
            <w:r w:rsidRPr="000801F3">
              <w:rPr>
                <w:b/>
                <w:bCs/>
                <w:sz w:val="20"/>
                <w:szCs w:val="20"/>
                <w:lang w:val="es-419"/>
              </w:rPr>
              <w:t>175 133 744</w:t>
            </w:r>
          </w:p>
        </w:tc>
        <w:tc>
          <w:tcPr>
            <w:tcW w:w="1418" w:type="dxa"/>
            <w:tcBorders>
              <w:top w:val="nil"/>
              <w:left w:val="nil"/>
              <w:bottom w:val="single" w:sz="4" w:space="0" w:color="auto"/>
              <w:right w:val="single" w:sz="4" w:space="0" w:color="auto"/>
            </w:tcBorders>
            <w:shd w:val="clear" w:color="auto" w:fill="auto"/>
            <w:noWrap/>
            <w:vAlign w:val="center"/>
            <w:hideMark/>
          </w:tcPr>
          <w:p w14:paraId="72FEC3E7" w14:textId="77777777" w:rsidR="00A23492" w:rsidRPr="000801F3" w:rsidRDefault="00A23492" w:rsidP="005B54E4">
            <w:pPr>
              <w:jc w:val="right"/>
              <w:rPr>
                <w:b/>
                <w:bCs/>
                <w:sz w:val="20"/>
                <w:szCs w:val="20"/>
                <w:lang w:val="es-419"/>
              </w:rPr>
            </w:pPr>
            <w:r w:rsidRPr="000801F3">
              <w:rPr>
                <w:b/>
                <w:bCs/>
                <w:sz w:val="20"/>
                <w:szCs w:val="20"/>
                <w:lang w:val="es-419"/>
              </w:rPr>
              <w:t>190 497 157</w:t>
            </w:r>
          </w:p>
        </w:tc>
        <w:tc>
          <w:tcPr>
            <w:tcW w:w="1275" w:type="dxa"/>
            <w:tcBorders>
              <w:top w:val="nil"/>
              <w:left w:val="nil"/>
              <w:bottom w:val="single" w:sz="4" w:space="0" w:color="auto"/>
              <w:right w:val="single" w:sz="4" w:space="0" w:color="auto"/>
            </w:tcBorders>
            <w:shd w:val="clear" w:color="auto" w:fill="auto"/>
            <w:noWrap/>
            <w:vAlign w:val="center"/>
            <w:hideMark/>
          </w:tcPr>
          <w:p w14:paraId="32AE70DA" w14:textId="77777777" w:rsidR="00A23492" w:rsidRPr="000801F3" w:rsidRDefault="00A23492" w:rsidP="005B54E4">
            <w:pPr>
              <w:jc w:val="right"/>
              <w:rPr>
                <w:b/>
                <w:bCs/>
                <w:sz w:val="20"/>
                <w:szCs w:val="20"/>
                <w:lang w:val="es-419"/>
              </w:rPr>
            </w:pPr>
            <w:r w:rsidRPr="000801F3">
              <w:rPr>
                <w:b/>
                <w:bCs/>
                <w:sz w:val="20"/>
                <w:szCs w:val="20"/>
                <w:lang w:val="es-419"/>
              </w:rPr>
              <w:t>151 466 369</w:t>
            </w:r>
          </w:p>
        </w:tc>
        <w:tc>
          <w:tcPr>
            <w:tcW w:w="1423" w:type="dxa"/>
            <w:tcBorders>
              <w:top w:val="nil"/>
              <w:left w:val="nil"/>
              <w:bottom w:val="single" w:sz="4" w:space="0" w:color="auto"/>
              <w:right w:val="single" w:sz="4" w:space="0" w:color="auto"/>
            </w:tcBorders>
            <w:shd w:val="clear" w:color="auto" w:fill="auto"/>
            <w:noWrap/>
            <w:vAlign w:val="center"/>
            <w:hideMark/>
          </w:tcPr>
          <w:p w14:paraId="692C1F74" w14:textId="77777777" w:rsidR="00A23492" w:rsidRPr="000801F3" w:rsidRDefault="00A23492" w:rsidP="005B54E4">
            <w:pPr>
              <w:jc w:val="right"/>
              <w:rPr>
                <w:b/>
                <w:bCs/>
                <w:sz w:val="20"/>
                <w:szCs w:val="20"/>
                <w:lang w:val="es-419"/>
              </w:rPr>
            </w:pPr>
            <w:r w:rsidRPr="000801F3">
              <w:rPr>
                <w:b/>
                <w:bCs/>
                <w:sz w:val="20"/>
                <w:szCs w:val="20"/>
                <w:lang w:val="es-419"/>
              </w:rPr>
              <w:t>517 097 269</w:t>
            </w:r>
          </w:p>
        </w:tc>
      </w:tr>
      <w:tr w:rsidR="00A23492" w:rsidRPr="000801F3" w14:paraId="22CBC44B"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C31B56E" w14:textId="77777777" w:rsidR="00A23492" w:rsidRPr="000801F3" w:rsidRDefault="00A23492" w:rsidP="005B54E4">
            <w:pPr>
              <w:jc w:val="left"/>
              <w:rPr>
                <w:sz w:val="20"/>
                <w:szCs w:val="20"/>
                <w:lang w:val="es-419"/>
              </w:rPr>
            </w:pPr>
            <w:r w:rsidRPr="000801F3">
              <w:rPr>
                <w:sz w:val="20"/>
                <w:szCs w:val="20"/>
                <w:lang w:val="es-419"/>
              </w:rPr>
              <w:t>Presupuesto indicativo</w:t>
            </w:r>
          </w:p>
        </w:tc>
        <w:tc>
          <w:tcPr>
            <w:tcW w:w="1417" w:type="dxa"/>
            <w:tcBorders>
              <w:top w:val="nil"/>
              <w:left w:val="nil"/>
              <w:bottom w:val="single" w:sz="4" w:space="0" w:color="auto"/>
              <w:right w:val="single" w:sz="4" w:space="0" w:color="auto"/>
            </w:tcBorders>
            <w:shd w:val="clear" w:color="auto" w:fill="auto"/>
            <w:noWrap/>
            <w:vAlign w:val="center"/>
            <w:hideMark/>
          </w:tcPr>
          <w:p w14:paraId="5A0A1261" w14:textId="77777777" w:rsidR="00A23492" w:rsidRPr="000801F3" w:rsidRDefault="00A23492" w:rsidP="005B54E4">
            <w:pPr>
              <w:jc w:val="right"/>
              <w:rPr>
                <w:sz w:val="20"/>
                <w:szCs w:val="20"/>
                <w:lang w:val="es-419"/>
              </w:rPr>
            </w:pPr>
            <w:r w:rsidRPr="000801F3">
              <w:rPr>
                <w:sz w:val="20"/>
                <w:szCs w:val="20"/>
                <w:lang w:val="es-419"/>
              </w:rPr>
              <w:t>174 600 000</w:t>
            </w:r>
          </w:p>
        </w:tc>
        <w:tc>
          <w:tcPr>
            <w:tcW w:w="1418" w:type="dxa"/>
            <w:tcBorders>
              <w:top w:val="nil"/>
              <w:left w:val="nil"/>
              <w:bottom w:val="single" w:sz="4" w:space="0" w:color="auto"/>
              <w:right w:val="single" w:sz="4" w:space="0" w:color="auto"/>
            </w:tcBorders>
            <w:shd w:val="clear" w:color="auto" w:fill="auto"/>
            <w:noWrap/>
            <w:vAlign w:val="center"/>
            <w:hideMark/>
          </w:tcPr>
          <w:p w14:paraId="4F6FEFC6" w14:textId="77777777" w:rsidR="00A23492" w:rsidRPr="000801F3" w:rsidRDefault="00A23492" w:rsidP="005B54E4">
            <w:pPr>
              <w:jc w:val="right"/>
              <w:rPr>
                <w:sz w:val="20"/>
                <w:szCs w:val="20"/>
                <w:lang w:val="es-419"/>
              </w:rPr>
            </w:pPr>
            <w:r w:rsidRPr="000801F3">
              <w:rPr>
                <w:sz w:val="20"/>
                <w:szCs w:val="20"/>
                <w:lang w:val="es-419"/>
              </w:rPr>
              <w:t>171 000 000</w:t>
            </w:r>
          </w:p>
        </w:tc>
        <w:tc>
          <w:tcPr>
            <w:tcW w:w="1275" w:type="dxa"/>
            <w:tcBorders>
              <w:top w:val="nil"/>
              <w:left w:val="nil"/>
              <w:bottom w:val="single" w:sz="4" w:space="0" w:color="auto"/>
              <w:right w:val="single" w:sz="4" w:space="0" w:color="auto"/>
            </w:tcBorders>
            <w:shd w:val="clear" w:color="auto" w:fill="auto"/>
            <w:noWrap/>
            <w:vAlign w:val="center"/>
            <w:hideMark/>
          </w:tcPr>
          <w:p w14:paraId="144E6549" w14:textId="77777777" w:rsidR="00A23492" w:rsidRPr="000801F3" w:rsidRDefault="00A23492" w:rsidP="005B54E4">
            <w:pPr>
              <w:jc w:val="right"/>
              <w:rPr>
                <w:sz w:val="20"/>
                <w:szCs w:val="20"/>
                <w:lang w:val="es-419"/>
              </w:rPr>
            </w:pPr>
            <w:r w:rsidRPr="000801F3">
              <w:rPr>
                <w:sz w:val="20"/>
                <w:szCs w:val="20"/>
                <w:lang w:val="es-419"/>
              </w:rPr>
              <w:t>180 000 000</w:t>
            </w:r>
          </w:p>
        </w:tc>
        <w:tc>
          <w:tcPr>
            <w:tcW w:w="1423" w:type="dxa"/>
            <w:tcBorders>
              <w:top w:val="nil"/>
              <w:left w:val="nil"/>
              <w:bottom w:val="single" w:sz="4" w:space="0" w:color="auto"/>
              <w:right w:val="single" w:sz="4" w:space="0" w:color="auto"/>
            </w:tcBorders>
            <w:shd w:val="clear" w:color="auto" w:fill="auto"/>
            <w:noWrap/>
            <w:vAlign w:val="center"/>
            <w:hideMark/>
          </w:tcPr>
          <w:p w14:paraId="1E9059A5" w14:textId="77777777" w:rsidR="00A23492" w:rsidRPr="000801F3" w:rsidRDefault="00A23492" w:rsidP="005B54E4">
            <w:pPr>
              <w:jc w:val="right"/>
              <w:rPr>
                <w:sz w:val="20"/>
                <w:szCs w:val="20"/>
                <w:lang w:val="es-419"/>
              </w:rPr>
            </w:pPr>
            <w:r w:rsidRPr="000801F3">
              <w:rPr>
                <w:sz w:val="20"/>
                <w:szCs w:val="20"/>
                <w:lang w:val="es-419"/>
              </w:rPr>
              <w:t>525 600 000</w:t>
            </w:r>
          </w:p>
        </w:tc>
      </w:tr>
      <w:tr w:rsidR="00A23492" w:rsidRPr="000801F3" w14:paraId="72F1816C"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E36314E" w14:textId="77777777" w:rsidR="00A23492" w:rsidRPr="000801F3" w:rsidRDefault="00A23492" w:rsidP="005B54E4">
            <w:pPr>
              <w:jc w:val="left"/>
              <w:rPr>
                <w:sz w:val="20"/>
                <w:szCs w:val="20"/>
                <w:lang w:val="es-419"/>
              </w:rPr>
            </w:pPr>
            <w:r w:rsidRPr="000801F3">
              <w:rPr>
                <w:sz w:val="20"/>
                <w:szCs w:val="20"/>
                <w:lang w:val="es-419"/>
              </w:rPr>
              <w:t>Diferencia</w:t>
            </w:r>
          </w:p>
        </w:tc>
        <w:tc>
          <w:tcPr>
            <w:tcW w:w="1417" w:type="dxa"/>
            <w:tcBorders>
              <w:top w:val="nil"/>
              <w:left w:val="nil"/>
              <w:bottom w:val="single" w:sz="4" w:space="0" w:color="auto"/>
              <w:right w:val="single" w:sz="4" w:space="0" w:color="auto"/>
            </w:tcBorders>
            <w:shd w:val="clear" w:color="auto" w:fill="auto"/>
            <w:noWrap/>
            <w:vAlign w:val="center"/>
            <w:hideMark/>
          </w:tcPr>
          <w:p w14:paraId="000E8928" w14:textId="77777777" w:rsidR="00A23492" w:rsidRPr="000801F3" w:rsidRDefault="00A23492" w:rsidP="005B54E4">
            <w:pPr>
              <w:jc w:val="right"/>
              <w:rPr>
                <w:sz w:val="20"/>
                <w:szCs w:val="20"/>
                <w:lang w:val="es-419"/>
              </w:rPr>
            </w:pPr>
            <w:r w:rsidRPr="000801F3">
              <w:rPr>
                <w:sz w:val="20"/>
                <w:szCs w:val="20"/>
                <w:lang w:val="es-419"/>
              </w:rPr>
              <w:t>533 744</w:t>
            </w:r>
          </w:p>
        </w:tc>
        <w:tc>
          <w:tcPr>
            <w:tcW w:w="1418" w:type="dxa"/>
            <w:tcBorders>
              <w:top w:val="nil"/>
              <w:left w:val="nil"/>
              <w:bottom w:val="single" w:sz="4" w:space="0" w:color="auto"/>
              <w:right w:val="single" w:sz="4" w:space="0" w:color="auto"/>
            </w:tcBorders>
            <w:shd w:val="clear" w:color="auto" w:fill="auto"/>
            <w:noWrap/>
            <w:vAlign w:val="center"/>
            <w:hideMark/>
          </w:tcPr>
          <w:p w14:paraId="48B074E9" w14:textId="77777777" w:rsidR="00A23492" w:rsidRPr="000801F3" w:rsidRDefault="00A23492" w:rsidP="005B54E4">
            <w:pPr>
              <w:jc w:val="right"/>
              <w:rPr>
                <w:sz w:val="20"/>
                <w:szCs w:val="20"/>
                <w:lang w:val="es-419"/>
              </w:rPr>
            </w:pPr>
            <w:r w:rsidRPr="000801F3">
              <w:rPr>
                <w:sz w:val="20"/>
                <w:szCs w:val="20"/>
                <w:lang w:val="es-419"/>
              </w:rPr>
              <w:t>19 497 157</w:t>
            </w:r>
          </w:p>
        </w:tc>
        <w:tc>
          <w:tcPr>
            <w:tcW w:w="1275" w:type="dxa"/>
            <w:tcBorders>
              <w:top w:val="nil"/>
              <w:left w:val="nil"/>
              <w:bottom w:val="single" w:sz="4" w:space="0" w:color="auto"/>
              <w:right w:val="single" w:sz="4" w:space="0" w:color="auto"/>
            </w:tcBorders>
            <w:shd w:val="clear" w:color="auto" w:fill="auto"/>
            <w:noWrap/>
            <w:vAlign w:val="center"/>
            <w:hideMark/>
          </w:tcPr>
          <w:p w14:paraId="3481DD06" w14:textId="77777777" w:rsidR="00A23492" w:rsidRPr="000801F3" w:rsidRDefault="00A23492" w:rsidP="005B54E4">
            <w:pPr>
              <w:jc w:val="right"/>
              <w:rPr>
                <w:sz w:val="20"/>
                <w:szCs w:val="20"/>
                <w:lang w:val="es-419"/>
              </w:rPr>
            </w:pPr>
            <w:r w:rsidRPr="000801F3">
              <w:rPr>
                <w:sz w:val="20"/>
                <w:szCs w:val="20"/>
                <w:lang w:val="es-419"/>
              </w:rPr>
              <w:t>-28 533 631</w:t>
            </w:r>
          </w:p>
        </w:tc>
        <w:tc>
          <w:tcPr>
            <w:tcW w:w="1423" w:type="dxa"/>
            <w:tcBorders>
              <w:top w:val="nil"/>
              <w:left w:val="nil"/>
              <w:bottom w:val="single" w:sz="4" w:space="0" w:color="auto"/>
              <w:right w:val="single" w:sz="4" w:space="0" w:color="auto"/>
            </w:tcBorders>
            <w:shd w:val="clear" w:color="auto" w:fill="auto"/>
            <w:noWrap/>
            <w:vAlign w:val="center"/>
            <w:hideMark/>
          </w:tcPr>
          <w:p w14:paraId="7508F024" w14:textId="77777777" w:rsidR="00A23492" w:rsidRPr="000801F3" w:rsidRDefault="00A23492" w:rsidP="005B54E4">
            <w:pPr>
              <w:jc w:val="right"/>
              <w:rPr>
                <w:sz w:val="20"/>
                <w:szCs w:val="20"/>
                <w:lang w:val="es-419"/>
              </w:rPr>
            </w:pPr>
            <w:r w:rsidRPr="000801F3">
              <w:rPr>
                <w:sz w:val="20"/>
                <w:szCs w:val="20"/>
                <w:lang w:val="es-419"/>
              </w:rPr>
              <w:t>-8 502 731</w:t>
            </w:r>
          </w:p>
        </w:tc>
      </w:tr>
      <w:tr w:rsidR="00A23492" w:rsidRPr="00B50987" w14:paraId="4C0F9087"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5FEFF40" w14:textId="77777777" w:rsidR="00A23492" w:rsidRPr="000801F3" w:rsidRDefault="00A23492" w:rsidP="005B54E4">
            <w:pPr>
              <w:jc w:val="left"/>
              <w:rPr>
                <w:b/>
                <w:bCs/>
                <w:sz w:val="20"/>
                <w:szCs w:val="20"/>
                <w:lang w:val="es-419"/>
              </w:rPr>
            </w:pPr>
            <w:r w:rsidRPr="000801F3">
              <w:rPr>
                <w:b/>
                <w:bCs/>
                <w:sz w:val="20"/>
                <w:szCs w:val="20"/>
                <w:lang w:val="es-419"/>
              </w:rPr>
              <w:t>Distribución de la financiación por organismo</w:t>
            </w:r>
          </w:p>
        </w:tc>
        <w:tc>
          <w:tcPr>
            <w:tcW w:w="1417" w:type="dxa"/>
            <w:tcBorders>
              <w:top w:val="nil"/>
              <w:left w:val="nil"/>
              <w:bottom w:val="single" w:sz="4" w:space="0" w:color="auto"/>
              <w:right w:val="single" w:sz="4" w:space="0" w:color="auto"/>
            </w:tcBorders>
            <w:shd w:val="clear" w:color="auto" w:fill="auto"/>
            <w:noWrap/>
            <w:vAlign w:val="center"/>
            <w:hideMark/>
          </w:tcPr>
          <w:p w14:paraId="12930D33" w14:textId="77777777" w:rsidR="00A23492" w:rsidRPr="000801F3" w:rsidRDefault="00A23492" w:rsidP="005B54E4">
            <w:pPr>
              <w:jc w:val="right"/>
              <w:rPr>
                <w:sz w:val="20"/>
                <w:szCs w:val="20"/>
                <w:lang w:val="es-419"/>
              </w:rPr>
            </w:pPr>
            <w:r w:rsidRPr="000801F3">
              <w:rPr>
                <w:sz w:val="20"/>
                <w:szCs w:val="20"/>
                <w:lang w:val="es-419"/>
              </w:rPr>
              <w:t> </w:t>
            </w:r>
          </w:p>
        </w:tc>
        <w:tc>
          <w:tcPr>
            <w:tcW w:w="1418" w:type="dxa"/>
            <w:tcBorders>
              <w:top w:val="nil"/>
              <w:left w:val="nil"/>
              <w:bottom w:val="single" w:sz="4" w:space="0" w:color="auto"/>
              <w:right w:val="single" w:sz="4" w:space="0" w:color="auto"/>
            </w:tcBorders>
            <w:shd w:val="clear" w:color="auto" w:fill="auto"/>
            <w:noWrap/>
            <w:vAlign w:val="center"/>
            <w:hideMark/>
          </w:tcPr>
          <w:p w14:paraId="2E6E13ED" w14:textId="77777777" w:rsidR="00A23492" w:rsidRPr="000801F3" w:rsidRDefault="00A23492" w:rsidP="005B54E4">
            <w:pPr>
              <w:jc w:val="right"/>
              <w:rPr>
                <w:sz w:val="20"/>
                <w:szCs w:val="20"/>
                <w:lang w:val="es-419"/>
              </w:rPr>
            </w:pPr>
            <w:r w:rsidRPr="000801F3">
              <w:rPr>
                <w:sz w:val="20"/>
                <w:szCs w:val="20"/>
                <w:lang w:val="es-419"/>
              </w:rPr>
              <w:t> </w:t>
            </w:r>
          </w:p>
        </w:tc>
        <w:tc>
          <w:tcPr>
            <w:tcW w:w="1275" w:type="dxa"/>
            <w:tcBorders>
              <w:top w:val="nil"/>
              <w:left w:val="nil"/>
              <w:bottom w:val="single" w:sz="4" w:space="0" w:color="auto"/>
              <w:right w:val="single" w:sz="4" w:space="0" w:color="auto"/>
            </w:tcBorders>
            <w:shd w:val="clear" w:color="auto" w:fill="auto"/>
            <w:noWrap/>
            <w:vAlign w:val="center"/>
            <w:hideMark/>
          </w:tcPr>
          <w:p w14:paraId="4FFF3FFE" w14:textId="77777777" w:rsidR="00A23492" w:rsidRPr="000801F3" w:rsidRDefault="00A23492" w:rsidP="005B54E4">
            <w:pPr>
              <w:jc w:val="right"/>
              <w:rPr>
                <w:sz w:val="20"/>
                <w:szCs w:val="20"/>
                <w:lang w:val="es-419"/>
              </w:rPr>
            </w:pPr>
            <w:r w:rsidRPr="000801F3">
              <w:rPr>
                <w:sz w:val="20"/>
                <w:szCs w:val="20"/>
                <w:lang w:val="es-419"/>
              </w:rPr>
              <w:t> </w:t>
            </w:r>
          </w:p>
        </w:tc>
        <w:tc>
          <w:tcPr>
            <w:tcW w:w="1423" w:type="dxa"/>
            <w:tcBorders>
              <w:top w:val="nil"/>
              <w:left w:val="nil"/>
              <w:bottom w:val="single" w:sz="4" w:space="0" w:color="auto"/>
              <w:right w:val="single" w:sz="4" w:space="0" w:color="auto"/>
            </w:tcBorders>
            <w:shd w:val="clear" w:color="auto" w:fill="auto"/>
            <w:noWrap/>
            <w:vAlign w:val="center"/>
            <w:hideMark/>
          </w:tcPr>
          <w:p w14:paraId="0E46C566" w14:textId="77777777" w:rsidR="00A23492" w:rsidRPr="000801F3" w:rsidRDefault="00A23492" w:rsidP="005B54E4">
            <w:pPr>
              <w:jc w:val="right"/>
              <w:rPr>
                <w:sz w:val="20"/>
                <w:szCs w:val="20"/>
                <w:lang w:val="es-419"/>
              </w:rPr>
            </w:pPr>
            <w:r w:rsidRPr="000801F3">
              <w:rPr>
                <w:sz w:val="20"/>
                <w:szCs w:val="20"/>
                <w:lang w:val="es-419"/>
              </w:rPr>
              <w:t> </w:t>
            </w:r>
          </w:p>
        </w:tc>
      </w:tr>
      <w:tr w:rsidR="00A23492" w:rsidRPr="000801F3" w14:paraId="5F3C60B4"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C2866E9" w14:textId="77777777" w:rsidR="00A23492" w:rsidRPr="000801F3" w:rsidRDefault="00A23492" w:rsidP="005B54E4">
            <w:pPr>
              <w:jc w:val="left"/>
              <w:rPr>
                <w:sz w:val="20"/>
                <w:szCs w:val="20"/>
                <w:lang w:val="es-419"/>
              </w:rPr>
            </w:pPr>
            <w:r w:rsidRPr="000801F3">
              <w:rPr>
                <w:sz w:val="20"/>
                <w:szCs w:val="20"/>
                <w:lang w:val="es-419"/>
              </w:rPr>
              <w:t>Francia</w:t>
            </w:r>
          </w:p>
        </w:tc>
        <w:tc>
          <w:tcPr>
            <w:tcW w:w="1417" w:type="dxa"/>
            <w:tcBorders>
              <w:top w:val="nil"/>
              <w:left w:val="nil"/>
              <w:bottom w:val="single" w:sz="4" w:space="0" w:color="auto"/>
              <w:right w:val="single" w:sz="4" w:space="0" w:color="auto"/>
            </w:tcBorders>
            <w:shd w:val="clear" w:color="auto" w:fill="auto"/>
            <w:noWrap/>
            <w:vAlign w:val="center"/>
            <w:hideMark/>
          </w:tcPr>
          <w:p w14:paraId="0500A049" w14:textId="77777777" w:rsidR="00A23492" w:rsidRPr="000801F3" w:rsidRDefault="00A23492" w:rsidP="005B54E4">
            <w:pPr>
              <w:jc w:val="right"/>
              <w:rPr>
                <w:sz w:val="20"/>
                <w:szCs w:val="20"/>
                <w:lang w:val="es-419"/>
              </w:rPr>
            </w:pPr>
            <w:r w:rsidRPr="000801F3">
              <w:rPr>
                <w:sz w:val="20"/>
                <w:szCs w:val="20"/>
                <w:lang w:val="es-419"/>
              </w:rPr>
              <w:t>78 769</w:t>
            </w:r>
          </w:p>
        </w:tc>
        <w:tc>
          <w:tcPr>
            <w:tcW w:w="1418" w:type="dxa"/>
            <w:tcBorders>
              <w:top w:val="nil"/>
              <w:left w:val="nil"/>
              <w:bottom w:val="single" w:sz="4" w:space="0" w:color="auto"/>
              <w:right w:val="single" w:sz="4" w:space="0" w:color="auto"/>
            </w:tcBorders>
            <w:shd w:val="clear" w:color="auto" w:fill="auto"/>
            <w:noWrap/>
            <w:vAlign w:val="center"/>
            <w:hideMark/>
          </w:tcPr>
          <w:p w14:paraId="0411C75F" w14:textId="77777777" w:rsidR="00A23492" w:rsidRPr="000801F3" w:rsidRDefault="00A23492" w:rsidP="005B54E4">
            <w:pPr>
              <w:jc w:val="right"/>
              <w:rPr>
                <w:sz w:val="20"/>
                <w:szCs w:val="20"/>
                <w:lang w:val="es-419"/>
              </w:rPr>
            </w:pPr>
            <w:r w:rsidRPr="000801F3">
              <w:rPr>
                <w:sz w:val="20"/>
                <w:szCs w:val="20"/>
                <w:lang w:val="es-419"/>
              </w:rPr>
              <w:t>692 895</w:t>
            </w:r>
          </w:p>
        </w:tc>
        <w:tc>
          <w:tcPr>
            <w:tcW w:w="1275" w:type="dxa"/>
            <w:tcBorders>
              <w:top w:val="nil"/>
              <w:left w:val="nil"/>
              <w:bottom w:val="single" w:sz="4" w:space="0" w:color="auto"/>
              <w:right w:val="single" w:sz="4" w:space="0" w:color="auto"/>
            </w:tcBorders>
            <w:shd w:val="clear" w:color="auto" w:fill="auto"/>
            <w:noWrap/>
            <w:vAlign w:val="center"/>
            <w:hideMark/>
          </w:tcPr>
          <w:p w14:paraId="391A397D" w14:textId="77777777" w:rsidR="00A23492" w:rsidRPr="000801F3" w:rsidRDefault="00A23492" w:rsidP="005B54E4">
            <w:pPr>
              <w:jc w:val="right"/>
              <w:rPr>
                <w:sz w:val="20"/>
                <w:szCs w:val="20"/>
                <w:lang w:val="es-419"/>
              </w:rPr>
            </w:pPr>
            <w:r w:rsidRPr="000801F3">
              <w:rPr>
                <w:sz w:val="20"/>
                <w:szCs w:val="20"/>
                <w:lang w:val="es-419"/>
              </w:rPr>
              <w:t>0</w:t>
            </w:r>
          </w:p>
        </w:tc>
        <w:tc>
          <w:tcPr>
            <w:tcW w:w="1423" w:type="dxa"/>
            <w:tcBorders>
              <w:top w:val="nil"/>
              <w:left w:val="nil"/>
              <w:bottom w:val="single" w:sz="4" w:space="0" w:color="auto"/>
              <w:right w:val="single" w:sz="4" w:space="0" w:color="auto"/>
            </w:tcBorders>
            <w:shd w:val="clear" w:color="auto" w:fill="auto"/>
            <w:noWrap/>
            <w:vAlign w:val="center"/>
            <w:hideMark/>
          </w:tcPr>
          <w:p w14:paraId="3E1C502B" w14:textId="77777777" w:rsidR="00A23492" w:rsidRPr="000801F3" w:rsidRDefault="00A23492" w:rsidP="005B54E4">
            <w:pPr>
              <w:jc w:val="right"/>
              <w:rPr>
                <w:sz w:val="20"/>
                <w:szCs w:val="20"/>
                <w:lang w:val="es-419"/>
              </w:rPr>
            </w:pPr>
            <w:r w:rsidRPr="000801F3">
              <w:rPr>
                <w:sz w:val="20"/>
                <w:szCs w:val="20"/>
                <w:lang w:val="es-419"/>
              </w:rPr>
              <w:t>771 664</w:t>
            </w:r>
          </w:p>
        </w:tc>
      </w:tr>
      <w:tr w:rsidR="00A23492" w:rsidRPr="000801F3" w14:paraId="37026195"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A56C67D" w14:textId="77777777" w:rsidR="00A23492" w:rsidRPr="000801F3" w:rsidRDefault="00A23492" w:rsidP="005B54E4">
            <w:pPr>
              <w:jc w:val="left"/>
              <w:rPr>
                <w:sz w:val="20"/>
                <w:szCs w:val="20"/>
                <w:lang w:val="es-419"/>
              </w:rPr>
            </w:pPr>
            <w:r w:rsidRPr="000801F3">
              <w:rPr>
                <w:sz w:val="20"/>
                <w:szCs w:val="20"/>
                <w:lang w:val="es-419"/>
              </w:rPr>
              <w:t>Alemania</w:t>
            </w:r>
          </w:p>
        </w:tc>
        <w:tc>
          <w:tcPr>
            <w:tcW w:w="1417" w:type="dxa"/>
            <w:tcBorders>
              <w:top w:val="nil"/>
              <w:left w:val="nil"/>
              <w:bottom w:val="single" w:sz="4" w:space="0" w:color="auto"/>
              <w:right w:val="single" w:sz="4" w:space="0" w:color="auto"/>
            </w:tcBorders>
            <w:shd w:val="clear" w:color="auto" w:fill="auto"/>
            <w:noWrap/>
            <w:vAlign w:val="center"/>
            <w:hideMark/>
          </w:tcPr>
          <w:p w14:paraId="5E096EDE" w14:textId="77777777" w:rsidR="00A23492" w:rsidRPr="000801F3" w:rsidRDefault="00A23492" w:rsidP="005B54E4">
            <w:pPr>
              <w:jc w:val="right"/>
              <w:rPr>
                <w:sz w:val="20"/>
                <w:szCs w:val="20"/>
                <w:lang w:val="es-419"/>
              </w:rPr>
            </w:pPr>
            <w:r w:rsidRPr="000801F3">
              <w:rPr>
                <w:sz w:val="20"/>
                <w:szCs w:val="20"/>
                <w:lang w:val="es-419"/>
              </w:rPr>
              <w:t>1 628 838</w:t>
            </w:r>
          </w:p>
        </w:tc>
        <w:tc>
          <w:tcPr>
            <w:tcW w:w="1418" w:type="dxa"/>
            <w:tcBorders>
              <w:top w:val="nil"/>
              <w:left w:val="nil"/>
              <w:bottom w:val="single" w:sz="4" w:space="0" w:color="auto"/>
              <w:right w:val="single" w:sz="4" w:space="0" w:color="auto"/>
            </w:tcBorders>
            <w:shd w:val="clear" w:color="auto" w:fill="auto"/>
            <w:noWrap/>
            <w:vAlign w:val="center"/>
            <w:hideMark/>
          </w:tcPr>
          <w:p w14:paraId="2AEF231A" w14:textId="77777777" w:rsidR="00A23492" w:rsidRPr="000801F3" w:rsidRDefault="00A23492" w:rsidP="005B54E4">
            <w:pPr>
              <w:jc w:val="right"/>
              <w:rPr>
                <w:sz w:val="20"/>
                <w:szCs w:val="20"/>
                <w:lang w:val="es-419"/>
              </w:rPr>
            </w:pPr>
            <w:r w:rsidRPr="000801F3">
              <w:rPr>
                <w:sz w:val="20"/>
                <w:szCs w:val="20"/>
                <w:lang w:val="es-419"/>
              </w:rPr>
              <w:t>2 611 677</w:t>
            </w:r>
          </w:p>
        </w:tc>
        <w:tc>
          <w:tcPr>
            <w:tcW w:w="1275" w:type="dxa"/>
            <w:tcBorders>
              <w:top w:val="nil"/>
              <w:left w:val="nil"/>
              <w:bottom w:val="single" w:sz="4" w:space="0" w:color="auto"/>
              <w:right w:val="single" w:sz="4" w:space="0" w:color="auto"/>
            </w:tcBorders>
            <w:shd w:val="clear" w:color="auto" w:fill="auto"/>
            <w:noWrap/>
            <w:vAlign w:val="center"/>
            <w:hideMark/>
          </w:tcPr>
          <w:p w14:paraId="332257DD" w14:textId="77777777" w:rsidR="00A23492" w:rsidRPr="000801F3" w:rsidRDefault="00A23492" w:rsidP="005B54E4">
            <w:pPr>
              <w:jc w:val="right"/>
              <w:rPr>
                <w:sz w:val="20"/>
                <w:szCs w:val="20"/>
                <w:lang w:val="es-419"/>
              </w:rPr>
            </w:pPr>
            <w:r w:rsidRPr="000801F3">
              <w:rPr>
                <w:sz w:val="20"/>
                <w:szCs w:val="20"/>
                <w:lang w:val="es-419"/>
              </w:rPr>
              <w:t>2 394 232</w:t>
            </w:r>
          </w:p>
        </w:tc>
        <w:tc>
          <w:tcPr>
            <w:tcW w:w="1423" w:type="dxa"/>
            <w:tcBorders>
              <w:top w:val="nil"/>
              <w:left w:val="nil"/>
              <w:bottom w:val="single" w:sz="4" w:space="0" w:color="auto"/>
              <w:right w:val="single" w:sz="4" w:space="0" w:color="auto"/>
            </w:tcBorders>
            <w:shd w:val="clear" w:color="auto" w:fill="auto"/>
            <w:noWrap/>
            <w:vAlign w:val="center"/>
            <w:hideMark/>
          </w:tcPr>
          <w:p w14:paraId="479194B3" w14:textId="77777777" w:rsidR="00A23492" w:rsidRPr="000801F3" w:rsidRDefault="00A23492" w:rsidP="005B54E4">
            <w:pPr>
              <w:jc w:val="right"/>
              <w:rPr>
                <w:sz w:val="20"/>
                <w:szCs w:val="20"/>
                <w:lang w:val="es-419"/>
              </w:rPr>
            </w:pPr>
            <w:r w:rsidRPr="000801F3">
              <w:rPr>
                <w:sz w:val="20"/>
                <w:szCs w:val="20"/>
                <w:lang w:val="es-419"/>
              </w:rPr>
              <w:t>6 634 747</w:t>
            </w:r>
          </w:p>
        </w:tc>
      </w:tr>
      <w:tr w:rsidR="00A23492" w:rsidRPr="000801F3" w14:paraId="6F240882"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16660B3" w14:textId="77777777" w:rsidR="00A23492" w:rsidRPr="000801F3" w:rsidRDefault="00A23492" w:rsidP="005B54E4">
            <w:pPr>
              <w:jc w:val="left"/>
              <w:rPr>
                <w:sz w:val="20"/>
                <w:szCs w:val="20"/>
                <w:lang w:val="es-419"/>
              </w:rPr>
            </w:pPr>
            <w:r w:rsidRPr="000801F3">
              <w:rPr>
                <w:sz w:val="20"/>
                <w:szCs w:val="20"/>
                <w:lang w:val="es-419"/>
              </w:rPr>
              <w:t>Italia</w:t>
            </w:r>
          </w:p>
        </w:tc>
        <w:tc>
          <w:tcPr>
            <w:tcW w:w="1417" w:type="dxa"/>
            <w:tcBorders>
              <w:top w:val="nil"/>
              <w:left w:val="nil"/>
              <w:bottom w:val="single" w:sz="4" w:space="0" w:color="auto"/>
              <w:right w:val="single" w:sz="4" w:space="0" w:color="auto"/>
            </w:tcBorders>
            <w:shd w:val="clear" w:color="auto" w:fill="auto"/>
            <w:noWrap/>
            <w:vAlign w:val="center"/>
            <w:hideMark/>
          </w:tcPr>
          <w:p w14:paraId="7F98AF7B" w14:textId="77777777" w:rsidR="00A23492" w:rsidRPr="000801F3" w:rsidRDefault="00A23492" w:rsidP="005B54E4">
            <w:pPr>
              <w:jc w:val="right"/>
              <w:rPr>
                <w:sz w:val="20"/>
                <w:szCs w:val="20"/>
                <w:lang w:val="es-419"/>
              </w:rPr>
            </w:pPr>
            <w:r w:rsidRPr="000801F3">
              <w:rPr>
                <w:sz w:val="20"/>
                <w:szCs w:val="20"/>
                <w:lang w:val="es-419"/>
              </w:rPr>
              <w:t>565 000</w:t>
            </w:r>
          </w:p>
        </w:tc>
        <w:tc>
          <w:tcPr>
            <w:tcW w:w="1418" w:type="dxa"/>
            <w:tcBorders>
              <w:top w:val="nil"/>
              <w:left w:val="nil"/>
              <w:bottom w:val="single" w:sz="4" w:space="0" w:color="auto"/>
              <w:right w:val="single" w:sz="4" w:space="0" w:color="auto"/>
            </w:tcBorders>
            <w:shd w:val="clear" w:color="auto" w:fill="auto"/>
            <w:noWrap/>
            <w:vAlign w:val="center"/>
            <w:hideMark/>
          </w:tcPr>
          <w:p w14:paraId="1F90F6A6" w14:textId="77777777" w:rsidR="00A23492" w:rsidRPr="000801F3" w:rsidRDefault="00A23492" w:rsidP="005B54E4">
            <w:pPr>
              <w:jc w:val="right"/>
              <w:rPr>
                <w:sz w:val="20"/>
                <w:szCs w:val="20"/>
                <w:lang w:val="es-419"/>
              </w:rPr>
            </w:pPr>
            <w:r w:rsidRPr="000801F3">
              <w:rPr>
                <w:sz w:val="20"/>
                <w:szCs w:val="20"/>
                <w:lang w:val="es-419"/>
              </w:rPr>
              <w:t>264 840</w:t>
            </w:r>
          </w:p>
        </w:tc>
        <w:tc>
          <w:tcPr>
            <w:tcW w:w="1275" w:type="dxa"/>
            <w:tcBorders>
              <w:top w:val="nil"/>
              <w:left w:val="nil"/>
              <w:bottom w:val="single" w:sz="4" w:space="0" w:color="auto"/>
              <w:right w:val="single" w:sz="4" w:space="0" w:color="auto"/>
            </w:tcBorders>
            <w:shd w:val="clear" w:color="auto" w:fill="auto"/>
            <w:noWrap/>
            <w:vAlign w:val="center"/>
            <w:hideMark/>
          </w:tcPr>
          <w:p w14:paraId="1753069D" w14:textId="77777777" w:rsidR="00A23492" w:rsidRPr="000801F3" w:rsidRDefault="00A23492" w:rsidP="005B54E4">
            <w:pPr>
              <w:jc w:val="right"/>
              <w:rPr>
                <w:sz w:val="20"/>
                <w:szCs w:val="20"/>
                <w:lang w:val="es-419"/>
              </w:rPr>
            </w:pPr>
            <w:r w:rsidRPr="000801F3">
              <w:rPr>
                <w:sz w:val="20"/>
                <w:szCs w:val="20"/>
                <w:lang w:val="es-419"/>
              </w:rPr>
              <w:t>0</w:t>
            </w:r>
          </w:p>
        </w:tc>
        <w:tc>
          <w:tcPr>
            <w:tcW w:w="1423" w:type="dxa"/>
            <w:tcBorders>
              <w:top w:val="nil"/>
              <w:left w:val="nil"/>
              <w:bottom w:val="single" w:sz="4" w:space="0" w:color="auto"/>
              <w:right w:val="single" w:sz="4" w:space="0" w:color="auto"/>
            </w:tcBorders>
            <w:shd w:val="clear" w:color="auto" w:fill="auto"/>
            <w:noWrap/>
            <w:vAlign w:val="center"/>
            <w:hideMark/>
          </w:tcPr>
          <w:p w14:paraId="67317360" w14:textId="77777777" w:rsidR="00A23492" w:rsidRPr="000801F3" w:rsidRDefault="00A23492" w:rsidP="005B54E4">
            <w:pPr>
              <w:jc w:val="right"/>
              <w:rPr>
                <w:sz w:val="20"/>
                <w:szCs w:val="20"/>
                <w:lang w:val="es-419"/>
              </w:rPr>
            </w:pPr>
            <w:r w:rsidRPr="000801F3">
              <w:rPr>
                <w:sz w:val="20"/>
                <w:szCs w:val="20"/>
                <w:lang w:val="es-419"/>
              </w:rPr>
              <w:t>829 840</w:t>
            </w:r>
          </w:p>
        </w:tc>
      </w:tr>
      <w:tr w:rsidR="00A23492" w:rsidRPr="000801F3" w14:paraId="5DE0CDBD"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54674CE0" w14:textId="77777777" w:rsidR="00A23492" w:rsidRPr="000801F3" w:rsidRDefault="00A23492" w:rsidP="005B54E4">
            <w:pPr>
              <w:jc w:val="left"/>
              <w:rPr>
                <w:sz w:val="20"/>
                <w:szCs w:val="20"/>
                <w:lang w:val="es-419"/>
              </w:rPr>
            </w:pPr>
            <w:r w:rsidRPr="000801F3">
              <w:rPr>
                <w:sz w:val="20"/>
                <w:szCs w:val="20"/>
                <w:lang w:val="es-419"/>
              </w:rPr>
              <w:t>Japón</w:t>
            </w:r>
          </w:p>
        </w:tc>
        <w:tc>
          <w:tcPr>
            <w:tcW w:w="1417" w:type="dxa"/>
            <w:tcBorders>
              <w:top w:val="nil"/>
              <w:left w:val="nil"/>
              <w:bottom w:val="single" w:sz="4" w:space="0" w:color="auto"/>
              <w:right w:val="single" w:sz="4" w:space="0" w:color="auto"/>
            </w:tcBorders>
            <w:shd w:val="clear" w:color="auto" w:fill="auto"/>
            <w:noWrap/>
            <w:vAlign w:val="center"/>
            <w:hideMark/>
          </w:tcPr>
          <w:p w14:paraId="19FD0BB6" w14:textId="77777777" w:rsidR="00A23492" w:rsidRPr="000801F3" w:rsidRDefault="00A23492" w:rsidP="005B54E4">
            <w:pPr>
              <w:jc w:val="right"/>
              <w:rPr>
                <w:sz w:val="20"/>
                <w:szCs w:val="20"/>
                <w:lang w:val="es-419"/>
              </w:rPr>
            </w:pPr>
            <w:r w:rsidRPr="000801F3">
              <w:rPr>
                <w:sz w:val="20"/>
                <w:szCs w:val="20"/>
                <w:lang w:val="es-419"/>
              </w:rPr>
              <w:t>305 529</w:t>
            </w:r>
          </w:p>
        </w:tc>
        <w:tc>
          <w:tcPr>
            <w:tcW w:w="1418" w:type="dxa"/>
            <w:tcBorders>
              <w:top w:val="nil"/>
              <w:left w:val="nil"/>
              <w:bottom w:val="single" w:sz="4" w:space="0" w:color="auto"/>
              <w:right w:val="single" w:sz="4" w:space="0" w:color="auto"/>
            </w:tcBorders>
            <w:shd w:val="clear" w:color="auto" w:fill="auto"/>
            <w:noWrap/>
            <w:vAlign w:val="center"/>
            <w:hideMark/>
          </w:tcPr>
          <w:p w14:paraId="1BB712E5" w14:textId="77777777" w:rsidR="00A23492" w:rsidRPr="000801F3" w:rsidRDefault="00A23492" w:rsidP="005B54E4">
            <w:pPr>
              <w:jc w:val="right"/>
              <w:rPr>
                <w:sz w:val="20"/>
                <w:szCs w:val="20"/>
                <w:lang w:val="es-419"/>
              </w:rPr>
            </w:pPr>
            <w:r w:rsidRPr="000801F3">
              <w:rPr>
                <w:sz w:val="20"/>
                <w:szCs w:val="20"/>
                <w:lang w:val="es-419"/>
              </w:rPr>
              <w:t>90 400</w:t>
            </w:r>
          </w:p>
        </w:tc>
        <w:tc>
          <w:tcPr>
            <w:tcW w:w="1275" w:type="dxa"/>
            <w:tcBorders>
              <w:top w:val="nil"/>
              <w:left w:val="nil"/>
              <w:bottom w:val="single" w:sz="4" w:space="0" w:color="auto"/>
              <w:right w:val="single" w:sz="4" w:space="0" w:color="auto"/>
            </w:tcBorders>
            <w:shd w:val="clear" w:color="auto" w:fill="auto"/>
            <w:noWrap/>
            <w:vAlign w:val="center"/>
            <w:hideMark/>
          </w:tcPr>
          <w:p w14:paraId="595CA37F" w14:textId="77777777" w:rsidR="00A23492" w:rsidRPr="000801F3" w:rsidRDefault="00A23492" w:rsidP="005B54E4">
            <w:pPr>
              <w:jc w:val="right"/>
              <w:rPr>
                <w:sz w:val="20"/>
                <w:szCs w:val="20"/>
                <w:lang w:val="es-419"/>
              </w:rPr>
            </w:pPr>
            <w:r w:rsidRPr="000801F3">
              <w:rPr>
                <w:sz w:val="20"/>
                <w:szCs w:val="20"/>
                <w:lang w:val="es-419"/>
              </w:rPr>
              <w:t>90 400</w:t>
            </w:r>
          </w:p>
        </w:tc>
        <w:tc>
          <w:tcPr>
            <w:tcW w:w="1423" w:type="dxa"/>
            <w:tcBorders>
              <w:top w:val="nil"/>
              <w:left w:val="nil"/>
              <w:bottom w:val="single" w:sz="4" w:space="0" w:color="auto"/>
              <w:right w:val="single" w:sz="4" w:space="0" w:color="auto"/>
            </w:tcBorders>
            <w:shd w:val="clear" w:color="auto" w:fill="auto"/>
            <w:noWrap/>
            <w:vAlign w:val="center"/>
            <w:hideMark/>
          </w:tcPr>
          <w:p w14:paraId="51F923D7" w14:textId="77777777" w:rsidR="00A23492" w:rsidRPr="000801F3" w:rsidRDefault="00A23492" w:rsidP="005B54E4">
            <w:pPr>
              <w:jc w:val="right"/>
              <w:rPr>
                <w:sz w:val="20"/>
                <w:szCs w:val="20"/>
                <w:lang w:val="es-419"/>
              </w:rPr>
            </w:pPr>
            <w:r w:rsidRPr="000801F3">
              <w:rPr>
                <w:sz w:val="20"/>
                <w:szCs w:val="20"/>
                <w:lang w:val="es-419"/>
              </w:rPr>
              <w:t>486 329</w:t>
            </w:r>
          </w:p>
        </w:tc>
      </w:tr>
      <w:tr w:rsidR="00A23492" w:rsidRPr="000801F3" w14:paraId="7CF551C3"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441B550" w14:textId="77777777" w:rsidR="00A23492" w:rsidRPr="000801F3" w:rsidRDefault="00A23492" w:rsidP="005B54E4">
            <w:pPr>
              <w:jc w:val="left"/>
              <w:rPr>
                <w:sz w:val="20"/>
                <w:szCs w:val="20"/>
                <w:lang w:val="es-419"/>
              </w:rPr>
            </w:pPr>
            <w:r w:rsidRPr="000801F3">
              <w:rPr>
                <w:sz w:val="20"/>
                <w:szCs w:val="20"/>
                <w:lang w:val="es-419"/>
              </w:rPr>
              <w:t>PNUD</w:t>
            </w:r>
          </w:p>
        </w:tc>
        <w:tc>
          <w:tcPr>
            <w:tcW w:w="1417" w:type="dxa"/>
            <w:tcBorders>
              <w:top w:val="nil"/>
              <w:left w:val="nil"/>
              <w:bottom w:val="single" w:sz="4" w:space="0" w:color="auto"/>
              <w:right w:val="single" w:sz="4" w:space="0" w:color="auto"/>
            </w:tcBorders>
            <w:shd w:val="clear" w:color="auto" w:fill="auto"/>
            <w:noWrap/>
            <w:vAlign w:val="center"/>
            <w:hideMark/>
          </w:tcPr>
          <w:p w14:paraId="37D575E3" w14:textId="77777777" w:rsidR="00A23492" w:rsidRPr="000801F3" w:rsidRDefault="00A23492" w:rsidP="005B54E4">
            <w:pPr>
              <w:jc w:val="right"/>
              <w:rPr>
                <w:sz w:val="20"/>
                <w:szCs w:val="20"/>
                <w:lang w:val="es-419"/>
              </w:rPr>
            </w:pPr>
            <w:r w:rsidRPr="000801F3">
              <w:rPr>
                <w:sz w:val="20"/>
                <w:szCs w:val="20"/>
                <w:lang w:val="es-419"/>
              </w:rPr>
              <w:t>31 787 842</w:t>
            </w:r>
          </w:p>
        </w:tc>
        <w:tc>
          <w:tcPr>
            <w:tcW w:w="1418" w:type="dxa"/>
            <w:tcBorders>
              <w:top w:val="nil"/>
              <w:left w:val="nil"/>
              <w:bottom w:val="single" w:sz="4" w:space="0" w:color="auto"/>
              <w:right w:val="single" w:sz="4" w:space="0" w:color="auto"/>
            </w:tcBorders>
            <w:shd w:val="clear" w:color="auto" w:fill="auto"/>
            <w:noWrap/>
            <w:vAlign w:val="center"/>
            <w:hideMark/>
          </w:tcPr>
          <w:p w14:paraId="1318454F" w14:textId="77777777" w:rsidR="00A23492" w:rsidRPr="000801F3" w:rsidRDefault="00A23492" w:rsidP="005B54E4">
            <w:pPr>
              <w:jc w:val="right"/>
              <w:rPr>
                <w:sz w:val="20"/>
                <w:szCs w:val="20"/>
                <w:lang w:val="es-419"/>
              </w:rPr>
            </w:pPr>
            <w:r w:rsidRPr="000801F3">
              <w:rPr>
                <w:sz w:val="20"/>
                <w:szCs w:val="20"/>
                <w:lang w:val="es-419"/>
              </w:rPr>
              <w:t>53 743 937</w:t>
            </w:r>
          </w:p>
        </w:tc>
        <w:tc>
          <w:tcPr>
            <w:tcW w:w="1275" w:type="dxa"/>
            <w:tcBorders>
              <w:top w:val="nil"/>
              <w:left w:val="nil"/>
              <w:bottom w:val="single" w:sz="4" w:space="0" w:color="auto"/>
              <w:right w:val="single" w:sz="4" w:space="0" w:color="auto"/>
            </w:tcBorders>
            <w:shd w:val="clear" w:color="auto" w:fill="auto"/>
            <w:noWrap/>
            <w:vAlign w:val="center"/>
            <w:hideMark/>
          </w:tcPr>
          <w:p w14:paraId="252791E3" w14:textId="77777777" w:rsidR="00A23492" w:rsidRPr="000801F3" w:rsidRDefault="00A23492" w:rsidP="005B54E4">
            <w:pPr>
              <w:jc w:val="right"/>
              <w:rPr>
                <w:sz w:val="20"/>
                <w:szCs w:val="20"/>
                <w:lang w:val="es-419"/>
              </w:rPr>
            </w:pPr>
            <w:r w:rsidRPr="000801F3">
              <w:rPr>
                <w:sz w:val="20"/>
                <w:szCs w:val="20"/>
                <w:lang w:val="es-419"/>
              </w:rPr>
              <w:t>32 001 629</w:t>
            </w:r>
          </w:p>
        </w:tc>
        <w:tc>
          <w:tcPr>
            <w:tcW w:w="1423" w:type="dxa"/>
            <w:tcBorders>
              <w:top w:val="nil"/>
              <w:left w:val="nil"/>
              <w:bottom w:val="single" w:sz="4" w:space="0" w:color="auto"/>
              <w:right w:val="single" w:sz="4" w:space="0" w:color="auto"/>
            </w:tcBorders>
            <w:shd w:val="clear" w:color="auto" w:fill="auto"/>
            <w:noWrap/>
            <w:vAlign w:val="center"/>
            <w:hideMark/>
          </w:tcPr>
          <w:p w14:paraId="7A146F0D" w14:textId="77777777" w:rsidR="00A23492" w:rsidRPr="000801F3" w:rsidRDefault="00A23492" w:rsidP="005B54E4">
            <w:pPr>
              <w:jc w:val="right"/>
              <w:rPr>
                <w:sz w:val="20"/>
                <w:szCs w:val="20"/>
                <w:lang w:val="es-419"/>
              </w:rPr>
            </w:pPr>
            <w:r w:rsidRPr="000801F3">
              <w:rPr>
                <w:sz w:val="20"/>
                <w:szCs w:val="20"/>
                <w:lang w:val="es-419"/>
              </w:rPr>
              <w:t>117 533 408</w:t>
            </w:r>
          </w:p>
        </w:tc>
      </w:tr>
      <w:tr w:rsidR="00A23492" w:rsidRPr="000801F3" w14:paraId="1E8E1F12"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A4E9269" w14:textId="77777777" w:rsidR="00A23492" w:rsidRPr="000801F3" w:rsidRDefault="00A23492" w:rsidP="005B54E4">
            <w:pPr>
              <w:jc w:val="left"/>
              <w:rPr>
                <w:sz w:val="20"/>
                <w:szCs w:val="20"/>
                <w:lang w:val="es-419"/>
              </w:rPr>
            </w:pPr>
            <w:r w:rsidRPr="000801F3">
              <w:rPr>
                <w:sz w:val="20"/>
                <w:szCs w:val="20"/>
                <w:lang w:val="es-419"/>
              </w:rPr>
              <w:t>PNUMA</w:t>
            </w:r>
          </w:p>
        </w:tc>
        <w:tc>
          <w:tcPr>
            <w:tcW w:w="1417" w:type="dxa"/>
            <w:tcBorders>
              <w:top w:val="nil"/>
              <w:left w:val="nil"/>
              <w:bottom w:val="single" w:sz="4" w:space="0" w:color="auto"/>
              <w:right w:val="single" w:sz="4" w:space="0" w:color="auto"/>
            </w:tcBorders>
            <w:shd w:val="clear" w:color="auto" w:fill="auto"/>
            <w:noWrap/>
            <w:vAlign w:val="center"/>
            <w:hideMark/>
          </w:tcPr>
          <w:p w14:paraId="6353A7A0" w14:textId="77777777" w:rsidR="00A23492" w:rsidRPr="000801F3" w:rsidRDefault="00A23492" w:rsidP="005B54E4">
            <w:pPr>
              <w:jc w:val="right"/>
              <w:rPr>
                <w:sz w:val="20"/>
                <w:szCs w:val="20"/>
                <w:lang w:val="es-419"/>
              </w:rPr>
            </w:pPr>
            <w:r w:rsidRPr="000801F3">
              <w:rPr>
                <w:sz w:val="20"/>
                <w:szCs w:val="20"/>
                <w:lang w:val="es-419"/>
              </w:rPr>
              <w:t>27 470 794</w:t>
            </w:r>
          </w:p>
        </w:tc>
        <w:tc>
          <w:tcPr>
            <w:tcW w:w="1418" w:type="dxa"/>
            <w:tcBorders>
              <w:top w:val="nil"/>
              <w:left w:val="nil"/>
              <w:bottom w:val="single" w:sz="4" w:space="0" w:color="auto"/>
              <w:right w:val="single" w:sz="4" w:space="0" w:color="auto"/>
            </w:tcBorders>
            <w:shd w:val="clear" w:color="auto" w:fill="auto"/>
            <w:noWrap/>
            <w:vAlign w:val="center"/>
            <w:hideMark/>
          </w:tcPr>
          <w:p w14:paraId="1B528B08" w14:textId="77777777" w:rsidR="00A23492" w:rsidRPr="000801F3" w:rsidRDefault="00A23492" w:rsidP="005B54E4">
            <w:pPr>
              <w:jc w:val="right"/>
              <w:rPr>
                <w:sz w:val="20"/>
                <w:szCs w:val="20"/>
                <w:lang w:val="es-419"/>
              </w:rPr>
            </w:pPr>
            <w:r w:rsidRPr="000801F3">
              <w:rPr>
                <w:sz w:val="20"/>
                <w:szCs w:val="20"/>
                <w:lang w:val="es-419"/>
              </w:rPr>
              <w:t>28 440 307</w:t>
            </w:r>
          </w:p>
        </w:tc>
        <w:tc>
          <w:tcPr>
            <w:tcW w:w="1275" w:type="dxa"/>
            <w:tcBorders>
              <w:top w:val="nil"/>
              <w:left w:val="nil"/>
              <w:bottom w:val="single" w:sz="4" w:space="0" w:color="auto"/>
              <w:right w:val="single" w:sz="4" w:space="0" w:color="auto"/>
            </w:tcBorders>
            <w:shd w:val="clear" w:color="auto" w:fill="auto"/>
            <w:noWrap/>
            <w:vAlign w:val="center"/>
            <w:hideMark/>
          </w:tcPr>
          <w:p w14:paraId="48AC6695" w14:textId="77777777" w:rsidR="00A23492" w:rsidRPr="000801F3" w:rsidRDefault="00A23492" w:rsidP="005B54E4">
            <w:pPr>
              <w:jc w:val="right"/>
              <w:rPr>
                <w:sz w:val="20"/>
                <w:szCs w:val="20"/>
                <w:lang w:val="es-419"/>
              </w:rPr>
            </w:pPr>
            <w:r w:rsidRPr="000801F3">
              <w:rPr>
                <w:sz w:val="20"/>
                <w:szCs w:val="20"/>
                <w:lang w:val="es-419"/>
              </w:rPr>
              <w:t>25 909 156</w:t>
            </w:r>
          </w:p>
        </w:tc>
        <w:tc>
          <w:tcPr>
            <w:tcW w:w="1423" w:type="dxa"/>
            <w:tcBorders>
              <w:top w:val="nil"/>
              <w:left w:val="nil"/>
              <w:bottom w:val="single" w:sz="4" w:space="0" w:color="auto"/>
              <w:right w:val="single" w:sz="4" w:space="0" w:color="auto"/>
            </w:tcBorders>
            <w:shd w:val="clear" w:color="auto" w:fill="auto"/>
            <w:noWrap/>
            <w:vAlign w:val="center"/>
            <w:hideMark/>
          </w:tcPr>
          <w:p w14:paraId="18E83035" w14:textId="77777777" w:rsidR="00A23492" w:rsidRPr="000801F3" w:rsidRDefault="00A23492" w:rsidP="005B54E4">
            <w:pPr>
              <w:jc w:val="right"/>
              <w:rPr>
                <w:sz w:val="20"/>
                <w:szCs w:val="20"/>
                <w:lang w:val="es-419"/>
              </w:rPr>
            </w:pPr>
            <w:r w:rsidRPr="000801F3">
              <w:rPr>
                <w:sz w:val="20"/>
                <w:szCs w:val="20"/>
                <w:lang w:val="es-419"/>
              </w:rPr>
              <w:t>81 820 258</w:t>
            </w:r>
          </w:p>
        </w:tc>
      </w:tr>
      <w:tr w:rsidR="00A23492" w:rsidRPr="000801F3" w14:paraId="3AE193D3"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D4AC9C2" w14:textId="77777777" w:rsidR="00A23492" w:rsidRPr="000801F3" w:rsidRDefault="00A23492" w:rsidP="005B54E4">
            <w:pPr>
              <w:jc w:val="left"/>
              <w:rPr>
                <w:sz w:val="20"/>
                <w:szCs w:val="20"/>
                <w:lang w:val="es-419"/>
              </w:rPr>
            </w:pPr>
            <w:r w:rsidRPr="000801F3">
              <w:rPr>
                <w:sz w:val="20"/>
                <w:szCs w:val="20"/>
                <w:lang w:val="es-419"/>
              </w:rPr>
              <w:t>ONUDI</w:t>
            </w:r>
          </w:p>
        </w:tc>
        <w:tc>
          <w:tcPr>
            <w:tcW w:w="1417" w:type="dxa"/>
            <w:tcBorders>
              <w:top w:val="nil"/>
              <w:left w:val="nil"/>
              <w:bottom w:val="single" w:sz="4" w:space="0" w:color="auto"/>
              <w:right w:val="single" w:sz="4" w:space="0" w:color="auto"/>
            </w:tcBorders>
            <w:shd w:val="clear" w:color="auto" w:fill="auto"/>
            <w:noWrap/>
            <w:vAlign w:val="center"/>
            <w:hideMark/>
          </w:tcPr>
          <w:p w14:paraId="492AF79C" w14:textId="77777777" w:rsidR="00A23492" w:rsidRPr="000801F3" w:rsidRDefault="00A23492" w:rsidP="005B54E4">
            <w:pPr>
              <w:jc w:val="right"/>
              <w:rPr>
                <w:sz w:val="20"/>
                <w:szCs w:val="20"/>
                <w:lang w:val="es-419"/>
              </w:rPr>
            </w:pPr>
            <w:r w:rsidRPr="000801F3">
              <w:rPr>
                <w:sz w:val="20"/>
                <w:szCs w:val="20"/>
                <w:lang w:val="es-419"/>
              </w:rPr>
              <w:t>59 822 423</w:t>
            </w:r>
          </w:p>
        </w:tc>
        <w:tc>
          <w:tcPr>
            <w:tcW w:w="1418" w:type="dxa"/>
            <w:tcBorders>
              <w:top w:val="nil"/>
              <w:left w:val="nil"/>
              <w:bottom w:val="single" w:sz="4" w:space="0" w:color="auto"/>
              <w:right w:val="single" w:sz="4" w:space="0" w:color="auto"/>
            </w:tcBorders>
            <w:shd w:val="clear" w:color="auto" w:fill="auto"/>
            <w:noWrap/>
            <w:vAlign w:val="center"/>
            <w:hideMark/>
          </w:tcPr>
          <w:p w14:paraId="1069F73D" w14:textId="77777777" w:rsidR="00A23492" w:rsidRPr="000801F3" w:rsidRDefault="00A23492" w:rsidP="005B54E4">
            <w:pPr>
              <w:jc w:val="right"/>
              <w:rPr>
                <w:sz w:val="20"/>
                <w:szCs w:val="20"/>
                <w:lang w:val="es-419"/>
              </w:rPr>
            </w:pPr>
            <w:r w:rsidRPr="000801F3">
              <w:rPr>
                <w:sz w:val="20"/>
                <w:szCs w:val="20"/>
                <w:lang w:val="es-419"/>
              </w:rPr>
              <w:t>50 437 927</w:t>
            </w:r>
          </w:p>
        </w:tc>
        <w:tc>
          <w:tcPr>
            <w:tcW w:w="1275" w:type="dxa"/>
            <w:tcBorders>
              <w:top w:val="nil"/>
              <w:left w:val="nil"/>
              <w:bottom w:val="single" w:sz="4" w:space="0" w:color="auto"/>
              <w:right w:val="single" w:sz="4" w:space="0" w:color="auto"/>
            </w:tcBorders>
            <w:shd w:val="clear" w:color="auto" w:fill="auto"/>
            <w:noWrap/>
            <w:vAlign w:val="center"/>
            <w:hideMark/>
          </w:tcPr>
          <w:p w14:paraId="4C3E9149" w14:textId="77777777" w:rsidR="00A23492" w:rsidRPr="000801F3" w:rsidRDefault="00A23492" w:rsidP="005B54E4">
            <w:pPr>
              <w:jc w:val="right"/>
              <w:rPr>
                <w:sz w:val="20"/>
                <w:szCs w:val="20"/>
                <w:lang w:val="es-419"/>
              </w:rPr>
            </w:pPr>
            <w:r w:rsidRPr="000801F3">
              <w:rPr>
                <w:sz w:val="20"/>
                <w:szCs w:val="20"/>
                <w:lang w:val="es-419"/>
              </w:rPr>
              <w:t>41 319 974</w:t>
            </w:r>
          </w:p>
        </w:tc>
        <w:tc>
          <w:tcPr>
            <w:tcW w:w="1423" w:type="dxa"/>
            <w:tcBorders>
              <w:top w:val="nil"/>
              <w:left w:val="nil"/>
              <w:bottom w:val="single" w:sz="4" w:space="0" w:color="auto"/>
              <w:right w:val="single" w:sz="4" w:space="0" w:color="auto"/>
            </w:tcBorders>
            <w:shd w:val="clear" w:color="auto" w:fill="auto"/>
            <w:noWrap/>
            <w:vAlign w:val="center"/>
            <w:hideMark/>
          </w:tcPr>
          <w:p w14:paraId="17588B38" w14:textId="77777777" w:rsidR="00A23492" w:rsidRPr="000801F3" w:rsidRDefault="00A23492" w:rsidP="005B54E4">
            <w:pPr>
              <w:jc w:val="right"/>
              <w:rPr>
                <w:sz w:val="20"/>
                <w:szCs w:val="20"/>
                <w:lang w:val="es-419"/>
              </w:rPr>
            </w:pPr>
            <w:r w:rsidRPr="000801F3">
              <w:rPr>
                <w:sz w:val="20"/>
                <w:szCs w:val="20"/>
                <w:lang w:val="es-419"/>
              </w:rPr>
              <w:t>151 580 323</w:t>
            </w:r>
          </w:p>
        </w:tc>
      </w:tr>
      <w:tr w:rsidR="00A23492" w:rsidRPr="000801F3" w14:paraId="35002513"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tcPr>
          <w:p w14:paraId="7AF0CD21" w14:textId="77777777" w:rsidR="00A23492" w:rsidRPr="000801F3" w:rsidRDefault="00A23492" w:rsidP="005B54E4">
            <w:pPr>
              <w:jc w:val="left"/>
              <w:rPr>
                <w:sz w:val="20"/>
                <w:szCs w:val="20"/>
                <w:lang w:val="es-419"/>
              </w:rPr>
            </w:pPr>
            <w:r w:rsidRPr="000801F3">
              <w:rPr>
                <w:sz w:val="20"/>
                <w:szCs w:val="20"/>
                <w:lang w:val="es-419"/>
              </w:rPr>
              <w:t>Banco Mundial</w:t>
            </w:r>
          </w:p>
        </w:tc>
        <w:tc>
          <w:tcPr>
            <w:tcW w:w="1417" w:type="dxa"/>
            <w:tcBorders>
              <w:top w:val="nil"/>
              <w:left w:val="nil"/>
              <w:bottom w:val="single" w:sz="4" w:space="0" w:color="auto"/>
              <w:right w:val="single" w:sz="4" w:space="0" w:color="auto"/>
            </w:tcBorders>
            <w:shd w:val="clear" w:color="auto" w:fill="auto"/>
            <w:noWrap/>
            <w:vAlign w:val="center"/>
          </w:tcPr>
          <w:p w14:paraId="02FA7622" w14:textId="77777777" w:rsidR="00A23492" w:rsidRPr="000801F3" w:rsidRDefault="00A23492" w:rsidP="005B54E4">
            <w:pPr>
              <w:jc w:val="right"/>
              <w:rPr>
                <w:sz w:val="20"/>
                <w:szCs w:val="20"/>
                <w:lang w:val="es-419"/>
              </w:rPr>
            </w:pPr>
            <w:r w:rsidRPr="000801F3">
              <w:rPr>
                <w:sz w:val="20"/>
                <w:szCs w:val="20"/>
                <w:lang w:val="es-419"/>
              </w:rPr>
              <w:t>45 586 716</w:t>
            </w:r>
          </w:p>
        </w:tc>
        <w:tc>
          <w:tcPr>
            <w:tcW w:w="1418" w:type="dxa"/>
            <w:tcBorders>
              <w:top w:val="nil"/>
              <w:left w:val="nil"/>
              <w:bottom w:val="single" w:sz="4" w:space="0" w:color="auto"/>
              <w:right w:val="single" w:sz="4" w:space="0" w:color="auto"/>
            </w:tcBorders>
            <w:shd w:val="clear" w:color="auto" w:fill="auto"/>
            <w:noWrap/>
            <w:vAlign w:val="center"/>
          </w:tcPr>
          <w:p w14:paraId="5D92B5AA" w14:textId="77777777" w:rsidR="00A23492" w:rsidRPr="000801F3" w:rsidRDefault="00A23492" w:rsidP="005B54E4">
            <w:pPr>
              <w:jc w:val="right"/>
              <w:rPr>
                <w:sz w:val="20"/>
                <w:szCs w:val="20"/>
                <w:lang w:val="es-419"/>
              </w:rPr>
            </w:pPr>
            <w:r w:rsidRPr="000801F3">
              <w:rPr>
                <w:sz w:val="20"/>
                <w:szCs w:val="20"/>
                <w:lang w:val="es-419"/>
              </w:rPr>
              <w:t>46 172 260</w:t>
            </w:r>
          </w:p>
        </w:tc>
        <w:tc>
          <w:tcPr>
            <w:tcW w:w="1275" w:type="dxa"/>
            <w:tcBorders>
              <w:top w:val="nil"/>
              <w:left w:val="nil"/>
              <w:bottom w:val="single" w:sz="4" w:space="0" w:color="auto"/>
              <w:right w:val="single" w:sz="4" w:space="0" w:color="auto"/>
            </w:tcBorders>
            <w:shd w:val="clear" w:color="auto" w:fill="auto"/>
            <w:noWrap/>
            <w:vAlign w:val="center"/>
          </w:tcPr>
          <w:p w14:paraId="60502741" w14:textId="77777777" w:rsidR="00A23492" w:rsidRPr="000801F3" w:rsidRDefault="00A23492" w:rsidP="005B54E4">
            <w:pPr>
              <w:jc w:val="right"/>
              <w:rPr>
                <w:sz w:val="20"/>
                <w:szCs w:val="20"/>
                <w:lang w:val="es-419"/>
              </w:rPr>
            </w:pPr>
            <w:r w:rsidRPr="000801F3">
              <w:rPr>
                <w:sz w:val="20"/>
                <w:szCs w:val="20"/>
                <w:lang w:val="es-419"/>
              </w:rPr>
              <w:t>41 548 333</w:t>
            </w:r>
          </w:p>
        </w:tc>
        <w:tc>
          <w:tcPr>
            <w:tcW w:w="1423" w:type="dxa"/>
            <w:tcBorders>
              <w:top w:val="nil"/>
              <w:left w:val="nil"/>
              <w:bottom w:val="single" w:sz="4" w:space="0" w:color="auto"/>
              <w:right w:val="single" w:sz="4" w:space="0" w:color="auto"/>
            </w:tcBorders>
            <w:shd w:val="clear" w:color="auto" w:fill="auto"/>
            <w:noWrap/>
            <w:vAlign w:val="center"/>
          </w:tcPr>
          <w:p w14:paraId="7DFEDA0D" w14:textId="77777777" w:rsidR="00A23492" w:rsidRPr="000801F3" w:rsidRDefault="00A23492" w:rsidP="005B54E4">
            <w:pPr>
              <w:jc w:val="right"/>
              <w:rPr>
                <w:sz w:val="20"/>
                <w:szCs w:val="20"/>
                <w:lang w:val="es-419"/>
              </w:rPr>
            </w:pPr>
            <w:r w:rsidRPr="000801F3">
              <w:rPr>
                <w:sz w:val="20"/>
                <w:szCs w:val="20"/>
                <w:lang w:val="es-419"/>
              </w:rPr>
              <w:t>133 307 309</w:t>
            </w:r>
          </w:p>
        </w:tc>
      </w:tr>
      <w:tr w:rsidR="00A23492" w:rsidRPr="000801F3" w14:paraId="408DB659"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19B2996" w14:textId="77777777" w:rsidR="00A23492" w:rsidRPr="000801F3" w:rsidRDefault="00A23492" w:rsidP="005B54E4">
            <w:pPr>
              <w:jc w:val="left"/>
              <w:rPr>
                <w:sz w:val="20"/>
                <w:szCs w:val="20"/>
                <w:lang w:val="es-419"/>
              </w:rPr>
            </w:pPr>
            <w:r w:rsidRPr="000801F3">
              <w:rPr>
                <w:sz w:val="20"/>
                <w:szCs w:val="20"/>
                <w:lang w:val="es-419"/>
              </w:rPr>
              <w:t>Verificación del PGEH*</w:t>
            </w:r>
          </w:p>
        </w:tc>
        <w:tc>
          <w:tcPr>
            <w:tcW w:w="1417" w:type="dxa"/>
            <w:tcBorders>
              <w:top w:val="nil"/>
              <w:left w:val="nil"/>
              <w:bottom w:val="single" w:sz="4" w:space="0" w:color="auto"/>
              <w:right w:val="single" w:sz="4" w:space="0" w:color="auto"/>
            </w:tcBorders>
            <w:shd w:val="clear" w:color="auto" w:fill="auto"/>
            <w:noWrap/>
            <w:vAlign w:val="center"/>
            <w:hideMark/>
          </w:tcPr>
          <w:p w14:paraId="1897379C" w14:textId="77777777" w:rsidR="00A23492" w:rsidRPr="000801F3" w:rsidRDefault="00A23492" w:rsidP="005B54E4">
            <w:pPr>
              <w:jc w:val="right"/>
              <w:rPr>
                <w:sz w:val="20"/>
                <w:szCs w:val="20"/>
                <w:lang w:val="es-419"/>
              </w:rPr>
            </w:pPr>
            <w:r w:rsidRPr="000801F3">
              <w:rPr>
                <w:sz w:val="20"/>
                <w:szCs w:val="20"/>
                <w:lang w:val="es-419"/>
              </w:rPr>
              <w:t>588 600</w:t>
            </w:r>
          </w:p>
        </w:tc>
        <w:tc>
          <w:tcPr>
            <w:tcW w:w="1418" w:type="dxa"/>
            <w:tcBorders>
              <w:top w:val="nil"/>
              <w:left w:val="nil"/>
              <w:bottom w:val="single" w:sz="4" w:space="0" w:color="auto"/>
              <w:right w:val="single" w:sz="4" w:space="0" w:color="auto"/>
            </w:tcBorders>
            <w:shd w:val="clear" w:color="auto" w:fill="auto"/>
            <w:noWrap/>
            <w:vAlign w:val="center"/>
            <w:hideMark/>
          </w:tcPr>
          <w:p w14:paraId="7C3D2686" w14:textId="77777777" w:rsidR="00A23492" w:rsidRPr="000801F3" w:rsidRDefault="00A23492" w:rsidP="005B54E4">
            <w:pPr>
              <w:jc w:val="right"/>
              <w:rPr>
                <w:sz w:val="20"/>
                <w:szCs w:val="20"/>
                <w:lang w:val="es-419"/>
              </w:rPr>
            </w:pPr>
            <w:r w:rsidRPr="000801F3">
              <w:rPr>
                <w:sz w:val="20"/>
                <w:szCs w:val="20"/>
                <w:lang w:val="es-419"/>
              </w:rPr>
              <w:t>588 600</w:t>
            </w:r>
          </w:p>
        </w:tc>
        <w:tc>
          <w:tcPr>
            <w:tcW w:w="1275" w:type="dxa"/>
            <w:tcBorders>
              <w:top w:val="nil"/>
              <w:left w:val="nil"/>
              <w:bottom w:val="single" w:sz="4" w:space="0" w:color="auto"/>
              <w:right w:val="single" w:sz="4" w:space="0" w:color="auto"/>
            </w:tcBorders>
            <w:shd w:val="clear" w:color="auto" w:fill="auto"/>
            <w:noWrap/>
            <w:vAlign w:val="center"/>
            <w:hideMark/>
          </w:tcPr>
          <w:p w14:paraId="50FBCE20" w14:textId="77777777" w:rsidR="00A23492" w:rsidRPr="000801F3" w:rsidRDefault="00A23492" w:rsidP="005B54E4">
            <w:pPr>
              <w:jc w:val="right"/>
              <w:rPr>
                <w:sz w:val="20"/>
                <w:szCs w:val="20"/>
                <w:lang w:val="es-419"/>
              </w:rPr>
            </w:pPr>
            <w:r w:rsidRPr="000801F3">
              <w:rPr>
                <w:sz w:val="20"/>
                <w:szCs w:val="20"/>
                <w:lang w:val="es-419"/>
              </w:rPr>
              <w:t>588 600</w:t>
            </w:r>
          </w:p>
        </w:tc>
        <w:tc>
          <w:tcPr>
            <w:tcW w:w="1423" w:type="dxa"/>
            <w:tcBorders>
              <w:top w:val="nil"/>
              <w:left w:val="nil"/>
              <w:bottom w:val="single" w:sz="4" w:space="0" w:color="auto"/>
              <w:right w:val="single" w:sz="4" w:space="0" w:color="auto"/>
            </w:tcBorders>
            <w:shd w:val="clear" w:color="auto" w:fill="auto"/>
            <w:noWrap/>
            <w:vAlign w:val="center"/>
            <w:hideMark/>
          </w:tcPr>
          <w:p w14:paraId="671F8DBF" w14:textId="77777777" w:rsidR="00A23492" w:rsidRPr="000801F3" w:rsidRDefault="00A23492" w:rsidP="005B54E4">
            <w:pPr>
              <w:jc w:val="right"/>
              <w:rPr>
                <w:sz w:val="20"/>
                <w:szCs w:val="20"/>
                <w:lang w:val="es-419"/>
              </w:rPr>
            </w:pPr>
            <w:r w:rsidRPr="000801F3">
              <w:rPr>
                <w:sz w:val="20"/>
                <w:szCs w:val="20"/>
                <w:lang w:val="es-419"/>
              </w:rPr>
              <w:t>1 765 800</w:t>
            </w:r>
          </w:p>
        </w:tc>
      </w:tr>
      <w:tr w:rsidR="00A23492" w:rsidRPr="000801F3" w14:paraId="4A56424C"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79945A2" w14:textId="77777777" w:rsidR="00A23492" w:rsidRPr="000801F3" w:rsidRDefault="00A23492" w:rsidP="005B54E4">
            <w:pPr>
              <w:jc w:val="left"/>
              <w:rPr>
                <w:sz w:val="20"/>
                <w:szCs w:val="20"/>
                <w:lang w:val="es-419"/>
              </w:rPr>
            </w:pPr>
            <w:r w:rsidRPr="000801F3">
              <w:rPr>
                <w:sz w:val="20"/>
                <w:szCs w:val="20"/>
                <w:lang w:val="es-419"/>
              </w:rPr>
              <w:t>Costos de Secretaría, Comité Ejecutivo y supervisión y evaluación menos la contraparte canadiense</w:t>
            </w:r>
          </w:p>
        </w:tc>
        <w:tc>
          <w:tcPr>
            <w:tcW w:w="1417" w:type="dxa"/>
            <w:tcBorders>
              <w:top w:val="nil"/>
              <w:left w:val="nil"/>
              <w:bottom w:val="single" w:sz="4" w:space="0" w:color="auto"/>
              <w:right w:val="single" w:sz="4" w:space="0" w:color="auto"/>
            </w:tcBorders>
            <w:shd w:val="clear" w:color="auto" w:fill="auto"/>
            <w:noWrap/>
            <w:vAlign w:val="center"/>
            <w:hideMark/>
          </w:tcPr>
          <w:p w14:paraId="6E110E66" w14:textId="77777777" w:rsidR="00A23492" w:rsidRPr="000801F3" w:rsidRDefault="00A23492" w:rsidP="005B54E4">
            <w:pPr>
              <w:jc w:val="right"/>
              <w:rPr>
                <w:sz w:val="20"/>
                <w:szCs w:val="20"/>
                <w:lang w:val="es-419"/>
              </w:rPr>
            </w:pPr>
            <w:r w:rsidRPr="000801F3">
              <w:rPr>
                <w:sz w:val="20"/>
                <w:szCs w:val="20"/>
                <w:lang w:val="es-419"/>
              </w:rPr>
              <w:t>6 799 233</w:t>
            </w:r>
          </w:p>
        </w:tc>
        <w:tc>
          <w:tcPr>
            <w:tcW w:w="1418" w:type="dxa"/>
            <w:tcBorders>
              <w:top w:val="nil"/>
              <w:left w:val="nil"/>
              <w:bottom w:val="single" w:sz="4" w:space="0" w:color="auto"/>
              <w:right w:val="single" w:sz="4" w:space="0" w:color="auto"/>
            </w:tcBorders>
            <w:shd w:val="clear" w:color="auto" w:fill="auto"/>
            <w:noWrap/>
            <w:vAlign w:val="center"/>
            <w:hideMark/>
          </w:tcPr>
          <w:p w14:paraId="1F6241E3" w14:textId="77777777" w:rsidR="00A23492" w:rsidRPr="000801F3" w:rsidRDefault="00A23492" w:rsidP="005B54E4">
            <w:pPr>
              <w:jc w:val="right"/>
              <w:rPr>
                <w:sz w:val="20"/>
                <w:szCs w:val="20"/>
                <w:lang w:val="es-419"/>
              </w:rPr>
            </w:pPr>
            <w:r w:rsidRPr="000801F3">
              <w:rPr>
                <w:sz w:val="20"/>
                <w:szCs w:val="20"/>
                <w:lang w:val="es-419"/>
              </w:rPr>
              <w:t>6 954 313</w:t>
            </w:r>
          </w:p>
        </w:tc>
        <w:tc>
          <w:tcPr>
            <w:tcW w:w="1275" w:type="dxa"/>
            <w:tcBorders>
              <w:top w:val="nil"/>
              <w:left w:val="nil"/>
              <w:bottom w:val="single" w:sz="4" w:space="0" w:color="auto"/>
              <w:right w:val="single" w:sz="4" w:space="0" w:color="auto"/>
            </w:tcBorders>
            <w:shd w:val="clear" w:color="auto" w:fill="auto"/>
            <w:noWrap/>
            <w:vAlign w:val="center"/>
            <w:hideMark/>
          </w:tcPr>
          <w:p w14:paraId="17866B6C" w14:textId="77777777" w:rsidR="00A23492" w:rsidRPr="000801F3" w:rsidRDefault="00A23492" w:rsidP="005B54E4">
            <w:pPr>
              <w:jc w:val="right"/>
              <w:rPr>
                <w:sz w:val="20"/>
                <w:szCs w:val="20"/>
                <w:lang w:val="es-419"/>
              </w:rPr>
            </w:pPr>
            <w:r w:rsidRPr="000801F3">
              <w:rPr>
                <w:sz w:val="20"/>
                <w:szCs w:val="20"/>
                <w:lang w:val="es-419"/>
              </w:rPr>
              <w:t>7 114 045</w:t>
            </w:r>
          </w:p>
        </w:tc>
        <w:tc>
          <w:tcPr>
            <w:tcW w:w="1423" w:type="dxa"/>
            <w:tcBorders>
              <w:top w:val="nil"/>
              <w:left w:val="nil"/>
              <w:bottom w:val="single" w:sz="4" w:space="0" w:color="auto"/>
              <w:right w:val="single" w:sz="4" w:space="0" w:color="auto"/>
            </w:tcBorders>
            <w:shd w:val="clear" w:color="auto" w:fill="auto"/>
            <w:noWrap/>
            <w:vAlign w:val="center"/>
            <w:hideMark/>
          </w:tcPr>
          <w:p w14:paraId="1AD3CC6D" w14:textId="77777777" w:rsidR="00A23492" w:rsidRPr="000801F3" w:rsidRDefault="00A23492" w:rsidP="005B54E4">
            <w:pPr>
              <w:jc w:val="right"/>
              <w:rPr>
                <w:sz w:val="20"/>
                <w:szCs w:val="20"/>
                <w:lang w:val="es-419"/>
              </w:rPr>
            </w:pPr>
            <w:r w:rsidRPr="000801F3">
              <w:rPr>
                <w:sz w:val="20"/>
                <w:szCs w:val="20"/>
                <w:lang w:val="es-419"/>
              </w:rPr>
              <w:t>20 867 591</w:t>
            </w:r>
          </w:p>
        </w:tc>
      </w:tr>
      <w:tr w:rsidR="00A23492" w:rsidRPr="000801F3" w14:paraId="54D7D357" w14:textId="77777777" w:rsidTr="005B54E4">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A3A2923" w14:textId="77777777" w:rsidR="00A23492" w:rsidRPr="000801F3" w:rsidRDefault="00A23492" w:rsidP="005B54E4">
            <w:pPr>
              <w:jc w:val="left"/>
              <w:rPr>
                <w:sz w:val="20"/>
                <w:szCs w:val="20"/>
                <w:lang w:val="es-419"/>
              </w:rPr>
            </w:pPr>
            <w:r w:rsidRPr="000801F3">
              <w:rPr>
                <w:sz w:val="20"/>
                <w:szCs w:val="20"/>
                <w:lang w:val="es-419"/>
              </w:rPr>
              <w:t>Tesorero</w:t>
            </w:r>
          </w:p>
        </w:tc>
        <w:tc>
          <w:tcPr>
            <w:tcW w:w="1417" w:type="dxa"/>
            <w:tcBorders>
              <w:top w:val="nil"/>
              <w:left w:val="nil"/>
              <w:bottom w:val="single" w:sz="4" w:space="0" w:color="auto"/>
              <w:right w:val="single" w:sz="4" w:space="0" w:color="auto"/>
            </w:tcBorders>
            <w:shd w:val="clear" w:color="auto" w:fill="auto"/>
            <w:noWrap/>
            <w:vAlign w:val="center"/>
            <w:hideMark/>
          </w:tcPr>
          <w:p w14:paraId="54490126" w14:textId="77777777" w:rsidR="00A23492" w:rsidRPr="000801F3" w:rsidRDefault="00A23492" w:rsidP="005B54E4">
            <w:pPr>
              <w:jc w:val="right"/>
              <w:rPr>
                <w:sz w:val="20"/>
                <w:szCs w:val="20"/>
                <w:lang w:val="es-419"/>
              </w:rPr>
            </w:pPr>
            <w:r w:rsidRPr="000801F3">
              <w:rPr>
                <w:sz w:val="20"/>
                <w:szCs w:val="20"/>
                <w:lang w:val="es-419"/>
              </w:rPr>
              <w:t>500 000</w:t>
            </w:r>
          </w:p>
        </w:tc>
        <w:tc>
          <w:tcPr>
            <w:tcW w:w="1418" w:type="dxa"/>
            <w:tcBorders>
              <w:top w:val="nil"/>
              <w:left w:val="nil"/>
              <w:bottom w:val="single" w:sz="4" w:space="0" w:color="auto"/>
              <w:right w:val="single" w:sz="4" w:space="0" w:color="auto"/>
            </w:tcBorders>
            <w:shd w:val="clear" w:color="auto" w:fill="auto"/>
            <w:noWrap/>
            <w:vAlign w:val="center"/>
            <w:hideMark/>
          </w:tcPr>
          <w:p w14:paraId="0FBDFC0E" w14:textId="77777777" w:rsidR="00A23492" w:rsidRPr="000801F3" w:rsidRDefault="00A23492" w:rsidP="005B54E4">
            <w:pPr>
              <w:jc w:val="right"/>
              <w:rPr>
                <w:sz w:val="20"/>
                <w:szCs w:val="20"/>
                <w:lang w:val="es-419"/>
              </w:rPr>
            </w:pPr>
            <w:r w:rsidRPr="000801F3">
              <w:rPr>
                <w:sz w:val="20"/>
                <w:szCs w:val="20"/>
                <w:lang w:val="es-419"/>
              </w:rPr>
              <w:t>500 000</w:t>
            </w:r>
          </w:p>
        </w:tc>
        <w:tc>
          <w:tcPr>
            <w:tcW w:w="1275" w:type="dxa"/>
            <w:tcBorders>
              <w:top w:val="nil"/>
              <w:left w:val="nil"/>
              <w:bottom w:val="single" w:sz="4" w:space="0" w:color="auto"/>
              <w:right w:val="single" w:sz="4" w:space="0" w:color="auto"/>
            </w:tcBorders>
            <w:shd w:val="clear" w:color="auto" w:fill="auto"/>
            <w:noWrap/>
            <w:vAlign w:val="center"/>
            <w:hideMark/>
          </w:tcPr>
          <w:p w14:paraId="067B521F" w14:textId="77777777" w:rsidR="00A23492" w:rsidRPr="000801F3" w:rsidRDefault="00A23492" w:rsidP="005B54E4">
            <w:pPr>
              <w:jc w:val="right"/>
              <w:rPr>
                <w:sz w:val="20"/>
                <w:szCs w:val="20"/>
                <w:lang w:val="es-419"/>
              </w:rPr>
            </w:pPr>
            <w:r w:rsidRPr="000801F3">
              <w:rPr>
                <w:sz w:val="20"/>
                <w:szCs w:val="20"/>
                <w:lang w:val="es-419"/>
              </w:rPr>
              <w:t>500 000</w:t>
            </w:r>
          </w:p>
        </w:tc>
        <w:tc>
          <w:tcPr>
            <w:tcW w:w="1423" w:type="dxa"/>
            <w:tcBorders>
              <w:top w:val="nil"/>
              <w:left w:val="nil"/>
              <w:bottom w:val="single" w:sz="4" w:space="0" w:color="auto"/>
              <w:right w:val="single" w:sz="4" w:space="0" w:color="auto"/>
            </w:tcBorders>
            <w:shd w:val="clear" w:color="auto" w:fill="auto"/>
            <w:noWrap/>
            <w:vAlign w:val="center"/>
            <w:hideMark/>
          </w:tcPr>
          <w:p w14:paraId="440A291B" w14:textId="77777777" w:rsidR="00A23492" w:rsidRPr="000801F3" w:rsidRDefault="00A23492" w:rsidP="005B54E4">
            <w:pPr>
              <w:jc w:val="right"/>
              <w:rPr>
                <w:sz w:val="20"/>
                <w:szCs w:val="20"/>
                <w:lang w:val="es-419"/>
              </w:rPr>
            </w:pPr>
            <w:r w:rsidRPr="000801F3">
              <w:rPr>
                <w:sz w:val="20"/>
                <w:szCs w:val="20"/>
                <w:lang w:val="es-419"/>
              </w:rPr>
              <w:t>1 500 000</w:t>
            </w:r>
          </w:p>
        </w:tc>
      </w:tr>
    </w:tbl>
    <w:p w14:paraId="76D384F9" w14:textId="77777777" w:rsidR="00A23492" w:rsidRPr="000801F3" w:rsidRDefault="00A23492" w:rsidP="00A23492">
      <w:pPr>
        <w:widowControl w:val="0"/>
        <w:rPr>
          <w:bCs/>
          <w:sz w:val="18"/>
          <w:szCs w:val="18"/>
          <w:lang w:val="es-419"/>
        </w:rPr>
      </w:pPr>
      <w:r w:rsidRPr="000801F3">
        <w:rPr>
          <w:bCs/>
          <w:sz w:val="18"/>
          <w:szCs w:val="18"/>
          <w:lang w:val="es-419"/>
        </w:rPr>
        <w:t>*La financiación para la preparación de los informes de verificación de los planes de gestión de la eliminación de HCFC (PGEH) para países de bajo consumo es aprobada por el Comité Ejecutivo anualmente.</w:t>
      </w:r>
    </w:p>
    <w:p w14:paraId="2BA13287" w14:textId="77777777" w:rsidR="00A23492" w:rsidRPr="000801F3" w:rsidRDefault="00A23492" w:rsidP="00A23492">
      <w:pPr>
        <w:tabs>
          <w:tab w:val="left" w:pos="8280"/>
        </w:tabs>
        <w:rPr>
          <w:lang w:val="es-419"/>
        </w:rPr>
      </w:pPr>
    </w:p>
    <w:p w14:paraId="621C3870" w14:textId="77777777" w:rsidR="00A23492" w:rsidRPr="000801F3" w:rsidRDefault="00A23492" w:rsidP="00A23492">
      <w:pPr>
        <w:keepNext/>
        <w:jc w:val="left"/>
        <w:rPr>
          <w:b/>
          <w:color w:val="000000" w:themeColor="text1"/>
          <w:lang w:val="es-419"/>
        </w:rPr>
      </w:pPr>
      <w:r w:rsidRPr="000801F3">
        <w:rPr>
          <w:b/>
          <w:color w:val="000000" w:themeColor="text1"/>
          <w:lang w:val="es-419"/>
        </w:rPr>
        <w:lastRenderedPageBreak/>
        <w:t>Estado de ejecución de los planes administrativos de 2019</w:t>
      </w:r>
    </w:p>
    <w:p w14:paraId="6FAE00E5" w14:textId="77777777" w:rsidR="00A23492" w:rsidRPr="000801F3" w:rsidRDefault="00A23492" w:rsidP="00A23492">
      <w:pPr>
        <w:keepNext/>
        <w:jc w:val="left"/>
        <w:rPr>
          <w:b/>
          <w:color w:val="000000" w:themeColor="text1"/>
          <w:lang w:val="es-419"/>
        </w:rPr>
      </w:pPr>
    </w:p>
    <w:p w14:paraId="016533BA" w14:textId="77777777" w:rsidR="00A23492" w:rsidRPr="000801F3" w:rsidRDefault="00A23492" w:rsidP="00A23492">
      <w:pPr>
        <w:pStyle w:val="Heading1"/>
        <w:rPr>
          <w:lang w:val="es-419"/>
        </w:rPr>
      </w:pPr>
      <w:r w:rsidRPr="000801F3">
        <w:rPr>
          <w:lang w:val="es-419"/>
        </w:rPr>
        <w:t>El total de fondos disponibles para 2019 asciende a 174 600 000 $EUA. De esta cantidad, 9 520 278 $EUA fueron aprobados en la 83</w:t>
      </w:r>
      <w:r w:rsidRPr="000801F3">
        <w:rPr>
          <w:vertAlign w:val="superscript"/>
          <w:lang w:val="es-419"/>
        </w:rPr>
        <w:t>ª</w:t>
      </w:r>
      <w:r w:rsidRPr="000801F3">
        <w:rPr>
          <w:lang w:val="es-419"/>
        </w:rPr>
        <w:t xml:space="preserve"> reunión. </w:t>
      </w:r>
      <w:r w:rsidRPr="000801F3">
        <w:rPr>
          <w:color w:val="000000" w:themeColor="text1"/>
          <w:lang w:val="es-419"/>
        </w:rPr>
        <w:t>Las solicitudes de financiación presentadas en la 84</w:t>
      </w:r>
      <w:r w:rsidRPr="000801F3">
        <w:rPr>
          <w:color w:val="000000" w:themeColor="text1"/>
          <w:vertAlign w:val="superscript"/>
          <w:lang w:val="es-419"/>
        </w:rPr>
        <w:t>ª</w:t>
      </w:r>
      <w:r w:rsidRPr="000801F3">
        <w:rPr>
          <w:color w:val="000000" w:themeColor="text1"/>
          <w:lang w:val="es-419"/>
        </w:rPr>
        <w:t xml:space="preserve"> reunión ascienden a 130 778 657 $EUA. Si las solicitudes de financiación para todas las propuestas de proyectos presentadas son aprobadas, habría un saldo disponible de 34 834 809 $EUA de los planes administrativos de 2019, como puede verse en la tabla 2. </w:t>
      </w:r>
    </w:p>
    <w:p w14:paraId="227E14A7" w14:textId="77777777" w:rsidR="00A23492" w:rsidRPr="000801F3" w:rsidRDefault="00A23492" w:rsidP="00A23492">
      <w:pPr>
        <w:tabs>
          <w:tab w:val="left" w:pos="8280"/>
        </w:tabs>
        <w:rPr>
          <w:b/>
          <w:lang w:val="es-419"/>
        </w:rPr>
      </w:pPr>
      <w:r w:rsidRPr="000801F3">
        <w:rPr>
          <w:b/>
          <w:lang w:val="es-419"/>
        </w:rPr>
        <w:t>Tabla 2. Plan administrativo refundido de 2019, presentaciones hechas en la 84</w:t>
      </w:r>
      <w:r w:rsidRPr="000801F3">
        <w:rPr>
          <w:b/>
          <w:vertAlign w:val="superscript"/>
          <w:lang w:val="es-419"/>
        </w:rPr>
        <w:t>a</w:t>
      </w:r>
      <w:r w:rsidRPr="000801F3">
        <w:rPr>
          <w:b/>
          <w:lang w:val="es-419"/>
        </w:rPr>
        <w:t xml:space="preserve"> reunión, y saldo ($EUA)*</w:t>
      </w:r>
    </w:p>
    <w:tbl>
      <w:tblPr>
        <w:tblW w:w="9400" w:type="dxa"/>
        <w:tblInd w:w="-5" w:type="dxa"/>
        <w:tblLayout w:type="fixed"/>
        <w:tblLook w:val="04A0" w:firstRow="1" w:lastRow="0" w:firstColumn="1" w:lastColumn="0" w:noHBand="0" w:noVBand="1"/>
      </w:tblPr>
      <w:tblGrid>
        <w:gridCol w:w="2880"/>
        <w:gridCol w:w="1276"/>
        <w:gridCol w:w="1276"/>
        <w:gridCol w:w="1276"/>
        <w:gridCol w:w="1276"/>
        <w:gridCol w:w="1416"/>
      </w:tblGrid>
      <w:tr w:rsidR="00A23492" w:rsidRPr="00B50987" w14:paraId="1E82FDB1" w14:textId="77777777" w:rsidTr="005B54E4">
        <w:trPr>
          <w:tblHeader/>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B1958" w14:textId="77777777" w:rsidR="00A23492" w:rsidRPr="000801F3" w:rsidRDefault="00A23492" w:rsidP="005B54E4">
            <w:pPr>
              <w:rPr>
                <w:b/>
                <w:bCs/>
                <w:color w:val="000000"/>
                <w:sz w:val="20"/>
                <w:szCs w:val="20"/>
                <w:lang w:val="es-419"/>
              </w:rPr>
            </w:pPr>
            <w:r w:rsidRPr="000801F3">
              <w:rPr>
                <w:b/>
                <w:bCs/>
                <w:color w:val="000000"/>
                <w:sz w:val="20"/>
                <w:szCs w:val="20"/>
                <w:lang w:val="es-419"/>
              </w:rPr>
              <w:t>Partidas presupuestarias</w:t>
            </w:r>
          </w:p>
        </w:tc>
        <w:tc>
          <w:tcPr>
            <w:tcW w:w="1276"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2B381FAC" w14:textId="77777777" w:rsidR="00A23492" w:rsidRPr="000801F3" w:rsidRDefault="00A23492" w:rsidP="005B54E4">
            <w:pPr>
              <w:jc w:val="center"/>
              <w:rPr>
                <w:b/>
                <w:bCs/>
                <w:color w:val="000000"/>
                <w:sz w:val="20"/>
                <w:szCs w:val="20"/>
                <w:lang w:val="es-419"/>
              </w:rPr>
            </w:pPr>
            <w:r w:rsidRPr="000801F3">
              <w:rPr>
                <w:b/>
                <w:bCs/>
                <w:color w:val="000000"/>
                <w:sz w:val="20"/>
                <w:szCs w:val="20"/>
                <w:lang w:val="es-419"/>
              </w:rPr>
              <w:t>Valor total en el plan administrativo</w:t>
            </w:r>
          </w:p>
        </w:tc>
        <w:tc>
          <w:tcPr>
            <w:tcW w:w="1276"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2323CB6C" w14:textId="77777777" w:rsidR="00A23492" w:rsidRPr="000801F3" w:rsidRDefault="00A23492" w:rsidP="005B54E4">
            <w:pPr>
              <w:jc w:val="center"/>
              <w:rPr>
                <w:b/>
                <w:bCs/>
                <w:color w:val="000000"/>
                <w:sz w:val="20"/>
                <w:szCs w:val="20"/>
                <w:lang w:val="es-419"/>
              </w:rPr>
            </w:pPr>
            <w:r w:rsidRPr="000801F3">
              <w:rPr>
                <w:b/>
                <w:bCs/>
                <w:color w:val="000000"/>
                <w:sz w:val="20"/>
                <w:szCs w:val="20"/>
                <w:lang w:val="es-419"/>
              </w:rPr>
              <w:t>Aprobaciones en la 83</w:t>
            </w:r>
            <w:r w:rsidRPr="000801F3">
              <w:rPr>
                <w:b/>
                <w:bCs/>
                <w:color w:val="000000"/>
                <w:sz w:val="20"/>
                <w:szCs w:val="20"/>
                <w:vertAlign w:val="superscript"/>
                <w:lang w:val="es-419"/>
              </w:rPr>
              <w:t>a</w:t>
            </w:r>
            <w:r w:rsidRPr="000801F3">
              <w:rPr>
                <w:b/>
                <w:bCs/>
                <w:color w:val="000000"/>
                <w:sz w:val="20"/>
                <w:szCs w:val="20"/>
                <w:lang w:val="es-419"/>
              </w:rPr>
              <w:t xml:space="preserve"> reunión</w:t>
            </w:r>
          </w:p>
        </w:tc>
        <w:tc>
          <w:tcPr>
            <w:tcW w:w="1276" w:type="dxa"/>
            <w:tcBorders>
              <w:top w:val="single" w:sz="4" w:space="0" w:color="auto"/>
              <w:left w:val="nil"/>
              <w:bottom w:val="single" w:sz="4" w:space="0" w:color="auto"/>
              <w:right w:val="single" w:sz="4" w:space="0" w:color="auto"/>
            </w:tcBorders>
          </w:tcPr>
          <w:p w14:paraId="2F3FC215" w14:textId="77777777" w:rsidR="00A23492" w:rsidRPr="000801F3" w:rsidRDefault="00A23492" w:rsidP="005B54E4">
            <w:pPr>
              <w:jc w:val="center"/>
              <w:rPr>
                <w:b/>
                <w:bCs/>
                <w:color w:val="000000"/>
                <w:sz w:val="20"/>
                <w:szCs w:val="20"/>
                <w:lang w:val="es-419"/>
              </w:rPr>
            </w:pPr>
            <w:r w:rsidRPr="000801F3">
              <w:rPr>
                <w:b/>
                <w:color w:val="000000"/>
                <w:sz w:val="20"/>
                <w:szCs w:val="20"/>
                <w:lang w:val="es-419"/>
              </w:rPr>
              <w:t>Presentaciones en la 84</w:t>
            </w:r>
            <w:r w:rsidRPr="000801F3">
              <w:rPr>
                <w:b/>
                <w:color w:val="000000"/>
                <w:sz w:val="20"/>
                <w:szCs w:val="20"/>
                <w:vertAlign w:val="superscript"/>
                <w:lang w:val="es-419"/>
              </w:rPr>
              <w:t>a</w:t>
            </w:r>
            <w:r w:rsidRPr="000801F3">
              <w:rPr>
                <w:b/>
                <w:color w:val="000000"/>
                <w:sz w:val="20"/>
                <w:szCs w:val="20"/>
                <w:lang w:val="es-419"/>
              </w:rPr>
              <w:t xml:space="preserve"> reunión**</w:t>
            </w:r>
          </w:p>
        </w:tc>
        <w:tc>
          <w:tcPr>
            <w:tcW w:w="1276" w:type="dxa"/>
            <w:tcBorders>
              <w:top w:val="single" w:sz="4" w:space="0" w:color="auto"/>
              <w:left w:val="single" w:sz="4" w:space="0" w:color="auto"/>
              <w:bottom w:val="single" w:sz="4" w:space="0" w:color="auto"/>
              <w:right w:val="single" w:sz="4" w:space="0" w:color="auto"/>
            </w:tcBorders>
          </w:tcPr>
          <w:p w14:paraId="3C055CEC" w14:textId="77777777" w:rsidR="00A23492" w:rsidRPr="000801F3" w:rsidRDefault="00A23492" w:rsidP="005B54E4">
            <w:pPr>
              <w:jc w:val="center"/>
              <w:rPr>
                <w:b/>
                <w:color w:val="000000"/>
                <w:sz w:val="20"/>
                <w:szCs w:val="20"/>
                <w:lang w:val="es-419"/>
              </w:rPr>
            </w:pPr>
            <w:r w:rsidRPr="000801F3">
              <w:rPr>
                <w:b/>
                <w:color w:val="000000"/>
                <w:sz w:val="20"/>
                <w:szCs w:val="20"/>
                <w:lang w:val="es-419"/>
              </w:rPr>
              <w:t xml:space="preserve">Total </w:t>
            </w:r>
          </w:p>
          <w:p w14:paraId="34CA938A" w14:textId="77777777" w:rsidR="00A23492" w:rsidRPr="000801F3" w:rsidRDefault="00A23492" w:rsidP="005B54E4">
            <w:pPr>
              <w:ind w:left="-106" w:right="-110"/>
              <w:jc w:val="center"/>
              <w:rPr>
                <w:b/>
                <w:bCs/>
                <w:color w:val="000000"/>
                <w:sz w:val="20"/>
                <w:szCs w:val="20"/>
                <w:lang w:val="es-419"/>
              </w:rPr>
            </w:pPr>
            <w:r w:rsidRPr="000801F3">
              <w:rPr>
                <w:b/>
                <w:color w:val="000000"/>
                <w:sz w:val="20"/>
                <w:szCs w:val="20"/>
                <w:lang w:val="es-419"/>
              </w:rPr>
              <w:t>(83</w:t>
            </w:r>
            <w:r w:rsidRPr="000801F3">
              <w:rPr>
                <w:b/>
                <w:color w:val="000000"/>
                <w:sz w:val="20"/>
                <w:szCs w:val="20"/>
                <w:vertAlign w:val="superscript"/>
                <w:lang w:val="es-419"/>
              </w:rPr>
              <w:t>ª</w:t>
            </w:r>
            <w:r w:rsidRPr="000801F3">
              <w:rPr>
                <w:b/>
                <w:color w:val="000000"/>
                <w:sz w:val="20"/>
                <w:szCs w:val="20"/>
                <w:lang w:val="es-419"/>
              </w:rPr>
              <w:t xml:space="preserve"> y 84</w:t>
            </w:r>
            <w:r w:rsidRPr="000801F3">
              <w:rPr>
                <w:b/>
                <w:color w:val="000000"/>
                <w:sz w:val="20"/>
                <w:szCs w:val="20"/>
                <w:vertAlign w:val="superscript"/>
                <w:lang w:val="es-419"/>
              </w:rPr>
              <w:t>ª</w:t>
            </w:r>
            <w:r w:rsidRPr="000801F3">
              <w:rPr>
                <w:b/>
                <w:color w:val="000000"/>
                <w:sz w:val="20"/>
                <w:szCs w:val="20"/>
                <w:lang w:val="es-419"/>
              </w:rPr>
              <w:t>)</w:t>
            </w:r>
          </w:p>
        </w:tc>
        <w:tc>
          <w:tcPr>
            <w:tcW w:w="141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A8AEBC0" w14:textId="77777777" w:rsidR="00A23492" w:rsidRPr="000801F3" w:rsidRDefault="00A23492" w:rsidP="005B54E4">
            <w:pPr>
              <w:jc w:val="center"/>
              <w:rPr>
                <w:b/>
                <w:bCs/>
                <w:color w:val="000000"/>
                <w:sz w:val="20"/>
                <w:szCs w:val="20"/>
                <w:lang w:val="es-419"/>
              </w:rPr>
            </w:pPr>
            <w:r w:rsidRPr="000801F3">
              <w:rPr>
                <w:b/>
                <w:color w:val="000000"/>
                <w:sz w:val="20"/>
                <w:szCs w:val="20"/>
                <w:lang w:val="es-419"/>
              </w:rPr>
              <w:t>Saldo (por encima)/por debajo</w:t>
            </w:r>
          </w:p>
        </w:tc>
      </w:tr>
      <w:tr w:rsidR="00A23492" w:rsidRPr="000801F3" w14:paraId="3D038DB7" w14:textId="77777777" w:rsidTr="005B54E4">
        <w:tc>
          <w:tcPr>
            <w:tcW w:w="2880" w:type="dxa"/>
            <w:tcBorders>
              <w:top w:val="nil"/>
              <w:left w:val="single" w:sz="4" w:space="0" w:color="auto"/>
              <w:bottom w:val="single" w:sz="4" w:space="0" w:color="auto"/>
              <w:right w:val="single" w:sz="4" w:space="0" w:color="auto"/>
            </w:tcBorders>
            <w:shd w:val="clear" w:color="auto" w:fill="auto"/>
            <w:hideMark/>
          </w:tcPr>
          <w:p w14:paraId="224B3A15" w14:textId="77777777" w:rsidR="00A23492" w:rsidRPr="000801F3" w:rsidRDefault="00A23492" w:rsidP="005B54E4">
            <w:pPr>
              <w:rPr>
                <w:color w:val="000000"/>
                <w:sz w:val="20"/>
                <w:szCs w:val="20"/>
                <w:lang w:val="es-419"/>
              </w:rPr>
            </w:pPr>
            <w:r w:rsidRPr="000801F3">
              <w:rPr>
                <w:color w:val="000000"/>
                <w:sz w:val="20"/>
                <w:szCs w:val="20"/>
                <w:lang w:val="es-419"/>
              </w:rPr>
              <w:t>Organismos bilaterales</w:t>
            </w:r>
          </w:p>
        </w:tc>
        <w:tc>
          <w:tcPr>
            <w:tcW w:w="1276" w:type="dxa"/>
            <w:tcBorders>
              <w:top w:val="nil"/>
              <w:left w:val="nil"/>
              <w:bottom w:val="single" w:sz="4" w:space="0" w:color="auto"/>
              <w:right w:val="single" w:sz="4" w:space="0" w:color="auto"/>
            </w:tcBorders>
            <w:shd w:val="clear" w:color="auto" w:fill="auto"/>
          </w:tcPr>
          <w:p w14:paraId="3AFFF5BF" w14:textId="77777777" w:rsidR="00A23492" w:rsidRPr="000801F3" w:rsidRDefault="00A23492" w:rsidP="005B54E4">
            <w:pPr>
              <w:jc w:val="right"/>
              <w:rPr>
                <w:color w:val="000000"/>
                <w:sz w:val="20"/>
                <w:szCs w:val="20"/>
                <w:lang w:val="es-419"/>
              </w:rPr>
            </w:pPr>
            <w:r w:rsidRPr="000801F3">
              <w:rPr>
                <w:color w:val="000000"/>
                <w:sz w:val="20"/>
                <w:szCs w:val="20"/>
                <w:lang w:val="es-419"/>
              </w:rPr>
              <w:t>2 578 136</w:t>
            </w:r>
          </w:p>
        </w:tc>
        <w:tc>
          <w:tcPr>
            <w:tcW w:w="1276" w:type="dxa"/>
            <w:tcBorders>
              <w:top w:val="nil"/>
              <w:left w:val="nil"/>
              <w:bottom w:val="single" w:sz="4" w:space="0" w:color="auto"/>
              <w:right w:val="single" w:sz="4" w:space="0" w:color="auto"/>
            </w:tcBorders>
            <w:shd w:val="clear" w:color="auto" w:fill="auto"/>
          </w:tcPr>
          <w:p w14:paraId="08836A1F" w14:textId="77777777" w:rsidR="00A23492" w:rsidRPr="000801F3" w:rsidRDefault="00A23492" w:rsidP="005B54E4">
            <w:pPr>
              <w:jc w:val="right"/>
              <w:rPr>
                <w:color w:val="000000"/>
                <w:sz w:val="20"/>
                <w:szCs w:val="20"/>
                <w:lang w:val="es-419"/>
              </w:rPr>
            </w:pPr>
            <w:r w:rsidRPr="000801F3">
              <w:rPr>
                <w:color w:val="000000"/>
                <w:sz w:val="20"/>
                <w:szCs w:val="20"/>
                <w:lang w:val="es-419"/>
              </w:rPr>
              <w:t>0</w:t>
            </w:r>
          </w:p>
        </w:tc>
        <w:tc>
          <w:tcPr>
            <w:tcW w:w="1276" w:type="dxa"/>
            <w:tcBorders>
              <w:top w:val="single" w:sz="4" w:space="0" w:color="auto"/>
              <w:left w:val="nil"/>
              <w:bottom w:val="single" w:sz="4" w:space="0" w:color="auto"/>
              <w:right w:val="single" w:sz="4" w:space="0" w:color="auto"/>
            </w:tcBorders>
          </w:tcPr>
          <w:p w14:paraId="348AD08C" w14:textId="77777777" w:rsidR="00A23492" w:rsidRPr="000801F3" w:rsidRDefault="00A23492" w:rsidP="005B54E4">
            <w:pPr>
              <w:jc w:val="right"/>
              <w:rPr>
                <w:sz w:val="20"/>
                <w:szCs w:val="20"/>
                <w:lang w:val="es-419"/>
              </w:rPr>
            </w:pPr>
            <w:r w:rsidRPr="000801F3">
              <w:rPr>
                <w:sz w:val="20"/>
                <w:szCs w:val="20"/>
                <w:lang w:val="es-419"/>
              </w:rPr>
              <w:t>2 822 543</w:t>
            </w:r>
          </w:p>
        </w:tc>
        <w:tc>
          <w:tcPr>
            <w:tcW w:w="1276" w:type="dxa"/>
            <w:tcBorders>
              <w:top w:val="single" w:sz="4" w:space="0" w:color="auto"/>
              <w:left w:val="single" w:sz="4" w:space="0" w:color="auto"/>
              <w:bottom w:val="single" w:sz="4" w:space="0" w:color="auto"/>
              <w:right w:val="single" w:sz="4" w:space="0" w:color="auto"/>
            </w:tcBorders>
          </w:tcPr>
          <w:p w14:paraId="4C6F67EB" w14:textId="77777777" w:rsidR="00A23492" w:rsidRPr="000801F3" w:rsidRDefault="00A23492" w:rsidP="005B54E4">
            <w:pPr>
              <w:jc w:val="right"/>
              <w:rPr>
                <w:sz w:val="20"/>
                <w:szCs w:val="20"/>
                <w:lang w:val="es-419"/>
              </w:rPr>
            </w:pPr>
            <w:r w:rsidRPr="000801F3">
              <w:rPr>
                <w:sz w:val="20"/>
                <w:szCs w:val="20"/>
                <w:lang w:val="es-419"/>
              </w:rPr>
              <w:t>2 822 543</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F29323" w14:textId="77777777" w:rsidR="00A23492" w:rsidRPr="000801F3" w:rsidRDefault="00A23492" w:rsidP="005B54E4">
            <w:pPr>
              <w:jc w:val="right"/>
              <w:rPr>
                <w:sz w:val="20"/>
                <w:szCs w:val="20"/>
                <w:lang w:val="es-419"/>
              </w:rPr>
            </w:pPr>
            <w:r w:rsidRPr="000801F3">
              <w:rPr>
                <w:sz w:val="20"/>
                <w:szCs w:val="20"/>
                <w:lang w:val="es-419"/>
              </w:rPr>
              <w:t>(244 407)</w:t>
            </w:r>
          </w:p>
        </w:tc>
      </w:tr>
      <w:tr w:rsidR="00A23492" w:rsidRPr="000801F3" w14:paraId="5F292085" w14:textId="77777777" w:rsidTr="005B54E4">
        <w:tc>
          <w:tcPr>
            <w:tcW w:w="2880" w:type="dxa"/>
            <w:tcBorders>
              <w:top w:val="nil"/>
              <w:left w:val="single" w:sz="4" w:space="0" w:color="auto"/>
              <w:bottom w:val="single" w:sz="4" w:space="0" w:color="auto"/>
              <w:right w:val="single" w:sz="4" w:space="0" w:color="auto"/>
            </w:tcBorders>
            <w:shd w:val="clear" w:color="auto" w:fill="auto"/>
            <w:hideMark/>
          </w:tcPr>
          <w:p w14:paraId="4C6083D1" w14:textId="77777777" w:rsidR="00A23492" w:rsidRPr="000801F3" w:rsidRDefault="00A23492" w:rsidP="005B54E4">
            <w:pPr>
              <w:rPr>
                <w:color w:val="000000"/>
                <w:sz w:val="20"/>
                <w:szCs w:val="20"/>
                <w:lang w:val="es-419"/>
              </w:rPr>
            </w:pPr>
            <w:r w:rsidRPr="000801F3">
              <w:rPr>
                <w:color w:val="000000"/>
                <w:sz w:val="20"/>
                <w:szCs w:val="20"/>
                <w:lang w:val="es-419"/>
              </w:rPr>
              <w:t>PNUD</w:t>
            </w:r>
          </w:p>
        </w:tc>
        <w:tc>
          <w:tcPr>
            <w:tcW w:w="1276" w:type="dxa"/>
            <w:tcBorders>
              <w:top w:val="nil"/>
              <w:left w:val="nil"/>
              <w:bottom w:val="single" w:sz="4" w:space="0" w:color="auto"/>
              <w:right w:val="single" w:sz="4" w:space="0" w:color="auto"/>
            </w:tcBorders>
            <w:shd w:val="clear" w:color="auto" w:fill="auto"/>
          </w:tcPr>
          <w:p w14:paraId="2DADB6B4" w14:textId="77777777" w:rsidR="00A23492" w:rsidRPr="000801F3" w:rsidRDefault="00A23492" w:rsidP="005B54E4">
            <w:pPr>
              <w:jc w:val="right"/>
              <w:rPr>
                <w:color w:val="000000"/>
                <w:sz w:val="20"/>
                <w:szCs w:val="20"/>
                <w:lang w:val="es-419"/>
              </w:rPr>
            </w:pPr>
            <w:r w:rsidRPr="000801F3">
              <w:rPr>
                <w:color w:val="000000"/>
                <w:sz w:val="20"/>
                <w:szCs w:val="20"/>
                <w:lang w:val="es-419"/>
              </w:rPr>
              <w:t xml:space="preserve"> 31 787 842 </w:t>
            </w:r>
          </w:p>
        </w:tc>
        <w:tc>
          <w:tcPr>
            <w:tcW w:w="1276" w:type="dxa"/>
            <w:tcBorders>
              <w:top w:val="nil"/>
              <w:left w:val="nil"/>
              <w:bottom w:val="single" w:sz="4" w:space="0" w:color="auto"/>
              <w:right w:val="single" w:sz="4" w:space="0" w:color="auto"/>
            </w:tcBorders>
            <w:shd w:val="clear" w:color="auto" w:fill="auto"/>
          </w:tcPr>
          <w:p w14:paraId="7C46DFB1" w14:textId="77777777" w:rsidR="00A23492" w:rsidRPr="000801F3" w:rsidRDefault="00A23492" w:rsidP="005B54E4">
            <w:pPr>
              <w:jc w:val="right"/>
              <w:rPr>
                <w:sz w:val="20"/>
                <w:szCs w:val="20"/>
                <w:lang w:val="es-419"/>
              </w:rPr>
            </w:pPr>
            <w:r w:rsidRPr="000801F3">
              <w:rPr>
                <w:sz w:val="20"/>
                <w:szCs w:val="20"/>
                <w:lang w:val="es-419"/>
              </w:rPr>
              <w:t>1 647 767</w:t>
            </w:r>
          </w:p>
        </w:tc>
        <w:tc>
          <w:tcPr>
            <w:tcW w:w="1276" w:type="dxa"/>
            <w:tcBorders>
              <w:top w:val="single" w:sz="4" w:space="0" w:color="auto"/>
              <w:left w:val="nil"/>
              <w:bottom w:val="single" w:sz="4" w:space="0" w:color="auto"/>
              <w:right w:val="single" w:sz="4" w:space="0" w:color="auto"/>
            </w:tcBorders>
          </w:tcPr>
          <w:p w14:paraId="4600945E" w14:textId="77777777" w:rsidR="00A23492" w:rsidRPr="000801F3" w:rsidRDefault="00A23492" w:rsidP="005B54E4">
            <w:pPr>
              <w:jc w:val="right"/>
              <w:rPr>
                <w:sz w:val="20"/>
                <w:szCs w:val="20"/>
                <w:lang w:val="es-419"/>
              </w:rPr>
            </w:pPr>
            <w:r w:rsidRPr="000801F3">
              <w:rPr>
                <w:sz w:val="20"/>
                <w:szCs w:val="20"/>
                <w:lang w:val="es-419"/>
              </w:rPr>
              <w:t>30 536 587</w:t>
            </w:r>
          </w:p>
        </w:tc>
        <w:tc>
          <w:tcPr>
            <w:tcW w:w="1276" w:type="dxa"/>
            <w:tcBorders>
              <w:top w:val="single" w:sz="4" w:space="0" w:color="auto"/>
              <w:left w:val="single" w:sz="4" w:space="0" w:color="auto"/>
              <w:bottom w:val="single" w:sz="4" w:space="0" w:color="auto"/>
              <w:right w:val="single" w:sz="4" w:space="0" w:color="auto"/>
            </w:tcBorders>
          </w:tcPr>
          <w:p w14:paraId="1F48B8C9" w14:textId="77777777" w:rsidR="00A23492" w:rsidRPr="000801F3" w:rsidRDefault="00A23492" w:rsidP="005B54E4">
            <w:pPr>
              <w:jc w:val="right"/>
              <w:rPr>
                <w:sz w:val="20"/>
                <w:szCs w:val="20"/>
                <w:lang w:val="es-419"/>
              </w:rPr>
            </w:pPr>
            <w:r w:rsidRPr="000801F3">
              <w:rPr>
                <w:sz w:val="20"/>
                <w:szCs w:val="20"/>
                <w:lang w:val="es-419"/>
              </w:rPr>
              <w:t>32 184 354</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3E5BA4E" w14:textId="77777777" w:rsidR="00A23492" w:rsidRPr="000801F3" w:rsidRDefault="00A23492" w:rsidP="005B54E4">
            <w:pPr>
              <w:jc w:val="right"/>
              <w:rPr>
                <w:sz w:val="20"/>
                <w:szCs w:val="20"/>
                <w:lang w:val="es-419"/>
              </w:rPr>
            </w:pPr>
            <w:r w:rsidRPr="000801F3">
              <w:rPr>
                <w:sz w:val="20"/>
                <w:szCs w:val="20"/>
                <w:lang w:val="es-419"/>
              </w:rPr>
              <w:t>(396 512)</w:t>
            </w:r>
          </w:p>
        </w:tc>
      </w:tr>
      <w:tr w:rsidR="00A23492" w:rsidRPr="000801F3" w14:paraId="250E8DA4" w14:textId="77777777" w:rsidTr="005B54E4">
        <w:tc>
          <w:tcPr>
            <w:tcW w:w="2880" w:type="dxa"/>
            <w:tcBorders>
              <w:top w:val="nil"/>
              <w:left w:val="single" w:sz="4" w:space="0" w:color="auto"/>
              <w:bottom w:val="single" w:sz="4" w:space="0" w:color="auto"/>
              <w:right w:val="single" w:sz="4" w:space="0" w:color="auto"/>
            </w:tcBorders>
            <w:shd w:val="clear" w:color="auto" w:fill="auto"/>
            <w:hideMark/>
          </w:tcPr>
          <w:p w14:paraId="47D17485" w14:textId="77777777" w:rsidR="00A23492" w:rsidRPr="000801F3" w:rsidRDefault="00A23492" w:rsidP="005B54E4">
            <w:pPr>
              <w:rPr>
                <w:color w:val="000000"/>
                <w:sz w:val="20"/>
                <w:szCs w:val="20"/>
                <w:lang w:val="es-419"/>
              </w:rPr>
            </w:pPr>
            <w:r w:rsidRPr="000801F3">
              <w:rPr>
                <w:color w:val="000000"/>
                <w:sz w:val="20"/>
                <w:szCs w:val="20"/>
                <w:lang w:val="es-419"/>
              </w:rPr>
              <w:t>PNUMA</w:t>
            </w:r>
          </w:p>
        </w:tc>
        <w:tc>
          <w:tcPr>
            <w:tcW w:w="1276" w:type="dxa"/>
            <w:tcBorders>
              <w:top w:val="nil"/>
              <w:left w:val="nil"/>
              <w:bottom w:val="single" w:sz="4" w:space="0" w:color="auto"/>
              <w:right w:val="single" w:sz="4" w:space="0" w:color="auto"/>
            </w:tcBorders>
            <w:shd w:val="clear" w:color="auto" w:fill="auto"/>
          </w:tcPr>
          <w:p w14:paraId="496FE2DD" w14:textId="77777777" w:rsidR="00A23492" w:rsidRPr="000801F3" w:rsidRDefault="00A23492" w:rsidP="005B54E4">
            <w:pPr>
              <w:jc w:val="right"/>
              <w:rPr>
                <w:color w:val="000000"/>
                <w:sz w:val="20"/>
                <w:szCs w:val="20"/>
                <w:lang w:val="es-419"/>
              </w:rPr>
            </w:pPr>
            <w:r w:rsidRPr="000801F3">
              <w:rPr>
                <w:color w:val="000000"/>
                <w:sz w:val="20"/>
                <w:szCs w:val="20"/>
                <w:lang w:val="es-419"/>
              </w:rPr>
              <w:t xml:space="preserve"> 27 470 794 </w:t>
            </w:r>
          </w:p>
        </w:tc>
        <w:tc>
          <w:tcPr>
            <w:tcW w:w="1276" w:type="dxa"/>
            <w:tcBorders>
              <w:top w:val="nil"/>
              <w:left w:val="nil"/>
              <w:bottom w:val="single" w:sz="4" w:space="0" w:color="auto"/>
              <w:right w:val="single" w:sz="4" w:space="0" w:color="auto"/>
            </w:tcBorders>
            <w:shd w:val="clear" w:color="auto" w:fill="auto"/>
          </w:tcPr>
          <w:p w14:paraId="645F1C3D" w14:textId="77777777" w:rsidR="00A23492" w:rsidRPr="000801F3" w:rsidRDefault="00A23492" w:rsidP="005B54E4">
            <w:pPr>
              <w:jc w:val="right"/>
              <w:rPr>
                <w:sz w:val="20"/>
                <w:szCs w:val="20"/>
                <w:lang w:val="es-419"/>
              </w:rPr>
            </w:pPr>
            <w:r w:rsidRPr="000801F3">
              <w:rPr>
                <w:sz w:val="20"/>
                <w:szCs w:val="20"/>
                <w:lang w:val="es-419"/>
              </w:rPr>
              <w:t>3 711 600</w:t>
            </w:r>
          </w:p>
        </w:tc>
        <w:tc>
          <w:tcPr>
            <w:tcW w:w="1276" w:type="dxa"/>
            <w:tcBorders>
              <w:top w:val="single" w:sz="4" w:space="0" w:color="auto"/>
              <w:left w:val="nil"/>
              <w:bottom w:val="single" w:sz="4" w:space="0" w:color="auto"/>
              <w:right w:val="single" w:sz="4" w:space="0" w:color="auto"/>
            </w:tcBorders>
          </w:tcPr>
          <w:p w14:paraId="2FCB35D7" w14:textId="77777777" w:rsidR="00A23492" w:rsidRPr="000801F3" w:rsidRDefault="00A23492" w:rsidP="005B54E4">
            <w:pPr>
              <w:jc w:val="right"/>
              <w:rPr>
                <w:sz w:val="20"/>
                <w:szCs w:val="20"/>
                <w:lang w:val="es-419"/>
              </w:rPr>
            </w:pPr>
            <w:r w:rsidRPr="000801F3">
              <w:rPr>
                <w:sz w:val="20"/>
                <w:szCs w:val="20"/>
                <w:lang w:val="es-419"/>
              </w:rPr>
              <w:t>19 194 030</w:t>
            </w:r>
          </w:p>
        </w:tc>
        <w:tc>
          <w:tcPr>
            <w:tcW w:w="1276" w:type="dxa"/>
            <w:tcBorders>
              <w:top w:val="single" w:sz="4" w:space="0" w:color="auto"/>
              <w:left w:val="single" w:sz="4" w:space="0" w:color="auto"/>
              <w:bottom w:val="single" w:sz="4" w:space="0" w:color="auto"/>
              <w:right w:val="single" w:sz="4" w:space="0" w:color="auto"/>
            </w:tcBorders>
          </w:tcPr>
          <w:p w14:paraId="21DD3F3E" w14:textId="77777777" w:rsidR="00A23492" w:rsidRPr="000801F3" w:rsidRDefault="00A23492" w:rsidP="005B54E4">
            <w:pPr>
              <w:jc w:val="right"/>
              <w:rPr>
                <w:sz w:val="20"/>
                <w:szCs w:val="20"/>
                <w:lang w:val="es-419"/>
              </w:rPr>
            </w:pPr>
            <w:r w:rsidRPr="000801F3">
              <w:rPr>
                <w:sz w:val="20"/>
                <w:szCs w:val="20"/>
                <w:lang w:val="es-419"/>
              </w:rPr>
              <w:t>22 905 630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CFE199" w14:textId="77777777" w:rsidR="00A23492" w:rsidRPr="000801F3" w:rsidRDefault="00A23492" w:rsidP="005B54E4">
            <w:pPr>
              <w:jc w:val="right"/>
              <w:rPr>
                <w:sz w:val="20"/>
                <w:szCs w:val="20"/>
                <w:lang w:val="es-419"/>
              </w:rPr>
            </w:pPr>
            <w:r w:rsidRPr="000801F3">
              <w:rPr>
                <w:sz w:val="20"/>
                <w:szCs w:val="20"/>
                <w:lang w:val="es-419"/>
              </w:rPr>
              <w:t>4 565 164</w:t>
            </w:r>
          </w:p>
        </w:tc>
      </w:tr>
      <w:tr w:rsidR="00A23492" w:rsidRPr="000801F3" w14:paraId="718673CE" w14:textId="77777777" w:rsidTr="005B54E4">
        <w:tc>
          <w:tcPr>
            <w:tcW w:w="2880" w:type="dxa"/>
            <w:tcBorders>
              <w:top w:val="nil"/>
              <w:left w:val="single" w:sz="4" w:space="0" w:color="auto"/>
              <w:bottom w:val="single" w:sz="4" w:space="0" w:color="auto"/>
              <w:right w:val="single" w:sz="4" w:space="0" w:color="auto"/>
            </w:tcBorders>
            <w:shd w:val="clear" w:color="auto" w:fill="auto"/>
            <w:hideMark/>
          </w:tcPr>
          <w:p w14:paraId="3A5C8500" w14:textId="77777777" w:rsidR="00A23492" w:rsidRPr="000801F3" w:rsidRDefault="00A23492" w:rsidP="005B54E4">
            <w:pPr>
              <w:rPr>
                <w:color w:val="000000"/>
                <w:sz w:val="20"/>
                <w:szCs w:val="20"/>
                <w:lang w:val="es-419"/>
              </w:rPr>
            </w:pPr>
            <w:r w:rsidRPr="000801F3">
              <w:rPr>
                <w:color w:val="000000"/>
                <w:sz w:val="20"/>
                <w:szCs w:val="20"/>
                <w:lang w:val="es-419"/>
              </w:rPr>
              <w:t>ONUDI</w:t>
            </w:r>
          </w:p>
        </w:tc>
        <w:tc>
          <w:tcPr>
            <w:tcW w:w="1276" w:type="dxa"/>
            <w:tcBorders>
              <w:top w:val="nil"/>
              <w:left w:val="nil"/>
              <w:bottom w:val="single" w:sz="4" w:space="0" w:color="auto"/>
              <w:right w:val="single" w:sz="4" w:space="0" w:color="auto"/>
            </w:tcBorders>
            <w:shd w:val="clear" w:color="auto" w:fill="auto"/>
          </w:tcPr>
          <w:p w14:paraId="0A67223A" w14:textId="77777777" w:rsidR="00A23492" w:rsidRPr="000801F3" w:rsidRDefault="00A23492" w:rsidP="005B54E4">
            <w:pPr>
              <w:jc w:val="right"/>
              <w:rPr>
                <w:color w:val="000000"/>
                <w:sz w:val="20"/>
                <w:szCs w:val="20"/>
                <w:lang w:val="es-419"/>
              </w:rPr>
            </w:pPr>
            <w:r w:rsidRPr="000801F3">
              <w:rPr>
                <w:color w:val="000000"/>
                <w:sz w:val="20"/>
                <w:szCs w:val="20"/>
                <w:lang w:val="es-419"/>
              </w:rPr>
              <w:t xml:space="preserve"> 59 822 423 </w:t>
            </w:r>
          </w:p>
        </w:tc>
        <w:tc>
          <w:tcPr>
            <w:tcW w:w="1276" w:type="dxa"/>
            <w:tcBorders>
              <w:top w:val="nil"/>
              <w:left w:val="nil"/>
              <w:bottom w:val="single" w:sz="4" w:space="0" w:color="auto"/>
              <w:right w:val="single" w:sz="4" w:space="0" w:color="auto"/>
            </w:tcBorders>
            <w:shd w:val="clear" w:color="auto" w:fill="auto"/>
          </w:tcPr>
          <w:p w14:paraId="3198BAA7" w14:textId="77777777" w:rsidR="00A23492" w:rsidRPr="000801F3" w:rsidRDefault="00A23492" w:rsidP="005B54E4">
            <w:pPr>
              <w:jc w:val="right"/>
              <w:rPr>
                <w:sz w:val="20"/>
                <w:szCs w:val="20"/>
                <w:lang w:val="es-419"/>
              </w:rPr>
            </w:pPr>
            <w:r w:rsidRPr="000801F3">
              <w:rPr>
                <w:sz w:val="20"/>
                <w:szCs w:val="20"/>
                <w:lang w:val="es-419"/>
              </w:rPr>
              <w:t>4 160 911</w:t>
            </w:r>
          </w:p>
        </w:tc>
        <w:tc>
          <w:tcPr>
            <w:tcW w:w="1276" w:type="dxa"/>
            <w:tcBorders>
              <w:top w:val="single" w:sz="4" w:space="0" w:color="auto"/>
              <w:left w:val="nil"/>
              <w:bottom w:val="single" w:sz="4" w:space="0" w:color="auto"/>
              <w:right w:val="single" w:sz="4" w:space="0" w:color="auto"/>
            </w:tcBorders>
          </w:tcPr>
          <w:p w14:paraId="4B3D5941" w14:textId="77777777" w:rsidR="00A23492" w:rsidRPr="000801F3" w:rsidRDefault="00A23492" w:rsidP="005B54E4">
            <w:pPr>
              <w:jc w:val="right"/>
              <w:rPr>
                <w:sz w:val="20"/>
                <w:szCs w:val="20"/>
                <w:lang w:val="es-419"/>
              </w:rPr>
            </w:pPr>
            <w:r w:rsidRPr="000801F3">
              <w:rPr>
                <w:sz w:val="20"/>
                <w:szCs w:val="20"/>
                <w:lang w:val="es-419"/>
              </w:rPr>
              <w:t>28 312 527</w:t>
            </w:r>
          </w:p>
        </w:tc>
        <w:tc>
          <w:tcPr>
            <w:tcW w:w="1276" w:type="dxa"/>
            <w:tcBorders>
              <w:top w:val="single" w:sz="4" w:space="0" w:color="auto"/>
              <w:left w:val="single" w:sz="4" w:space="0" w:color="auto"/>
              <w:bottom w:val="single" w:sz="4" w:space="0" w:color="auto"/>
              <w:right w:val="single" w:sz="4" w:space="0" w:color="auto"/>
            </w:tcBorders>
          </w:tcPr>
          <w:p w14:paraId="0B96027C" w14:textId="77777777" w:rsidR="00A23492" w:rsidRPr="000801F3" w:rsidRDefault="00A23492" w:rsidP="005B54E4">
            <w:pPr>
              <w:jc w:val="right"/>
              <w:rPr>
                <w:sz w:val="20"/>
                <w:szCs w:val="20"/>
                <w:lang w:val="es-419"/>
              </w:rPr>
            </w:pPr>
            <w:r w:rsidRPr="000801F3">
              <w:rPr>
                <w:sz w:val="20"/>
                <w:szCs w:val="20"/>
                <w:lang w:val="es-419"/>
              </w:rPr>
              <w:t>32 473 438</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EA09CB" w14:textId="77777777" w:rsidR="00A23492" w:rsidRPr="000801F3" w:rsidRDefault="00A23492" w:rsidP="005B54E4">
            <w:pPr>
              <w:jc w:val="right"/>
              <w:rPr>
                <w:sz w:val="20"/>
                <w:szCs w:val="20"/>
                <w:lang w:val="es-419"/>
              </w:rPr>
            </w:pPr>
            <w:r w:rsidRPr="000801F3">
              <w:rPr>
                <w:sz w:val="20"/>
                <w:szCs w:val="20"/>
                <w:lang w:val="es-419"/>
              </w:rPr>
              <w:t>27 348 985</w:t>
            </w:r>
          </w:p>
        </w:tc>
      </w:tr>
      <w:tr w:rsidR="00A23492" w:rsidRPr="000801F3" w14:paraId="6FA63F0C" w14:textId="77777777" w:rsidTr="005B54E4">
        <w:tc>
          <w:tcPr>
            <w:tcW w:w="2880" w:type="dxa"/>
            <w:tcBorders>
              <w:top w:val="nil"/>
              <w:left w:val="single" w:sz="4" w:space="0" w:color="auto"/>
              <w:bottom w:val="single" w:sz="4" w:space="0" w:color="auto"/>
              <w:right w:val="single" w:sz="4" w:space="0" w:color="auto"/>
            </w:tcBorders>
            <w:shd w:val="clear" w:color="auto" w:fill="auto"/>
            <w:hideMark/>
          </w:tcPr>
          <w:p w14:paraId="4E15957B" w14:textId="77777777" w:rsidR="00A23492" w:rsidRPr="000801F3" w:rsidRDefault="00A23492" w:rsidP="005B54E4">
            <w:pPr>
              <w:rPr>
                <w:color w:val="000000"/>
                <w:sz w:val="20"/>
                <w:szCs w:val="20"/>
                <w:lang w:val="es-419"/>
              </w:rPr>
            </w:pPr>
            <w:r w:rsidRPr="000801F3">
              <w:rPr>
                <w:color w:val="000000"/>
                <w:sz w:val="20"/>
                <w:szCs w:val="20"/>
                <w:lang w:val="es-419"/>
              </w:rPr>
              <w:t>Banco Mundial</w:t>
            </w:r>
          </w:p>
        </w:tc>
        <w:tc>
          <w:tcPr>
            <w:tcW w:w="1276" w:type="dxa"/>
            <w:tcBorders>
              <w:top w:val="nil"/>
              <w:left w:val="nil"/>
              <w:bottom w:val="single" w:sz="4" w:space="0" w:color="auto"/>
              <w:right w:val="single" w:sz="4" w:space="0" w:color="auto"/>
            </w:tcBorders>
            <w:shd w:val="clear" w:color="auto" w:fill="auto"/>
          </w:tcPr>
          <w:p w14:paraId="2D145C09" w14:textId="77777777" w:rsidR="00A23492" w:rsidRPr="000801F3" w:rsidRDefault="00A23492" w:rsidP="005B54E4">
            <w:pPr>
              <w:jc w:val="right"/>
              <w:rPr>
                <w:color w:val="000000"/>
                <w:sz w:val="20"/>
                <w:szCs w:val="20"/>
                <w:lang w:val="es-419"/>
              </w:rPr>
            </w:pPr>
            <w:r w:rsidRPr="000801F3">
              <w:rPr>
                <w:color w:val="000000"/>
                <w:sz w:val="20"/>
                <w:szCs w:val="20"/>
                <w:lang w:val="es-419"/>
              </w:rPr>
              <w:t>45 586 716</w:t>
            </w:r>
          </w:p>
        </w:tc>
        <w:tc>
          <w:tcPr>
            <w:tcW w:w="1276" w:type="dxa"/>
            <w:tcBorders>
              <w:top w:val="nil"/>
              <w:left w:val="nil"/>
              <w:bottom w:val="single" w:sz="4" w:space="0" w:color="auto"/>
              <w:right w:val="single" w:sz="4" w:space="0" w:color="auto"/>
            </w:tcBorders>
            <w:shd w:val="clear" w:color="auto" w:fill="auto"/>
          </w:tcPr>
          <w:p w14:paraId="011BA2A2" w14:textId="77777777" w:rsidR="00A23492" w:rsidRPr="000801F3" w:rsidRDefault="00A23492" w:rsidP="005B54E4">
            <w:pPr>
              <w:jc w:val="right"/>
              <w:rPr>
                <w:color w:val="000000"/>
                <w:sz w:val="20"/>
                <w:szCs w:val="20"/>
                <w:lang w:val="es-419"/>
              </w:rPr>
            </w:pPr>
            <w:r w:rsidRPr="000801F3">
              <w:rPr>
                <w:color w:val="000000"/>
                <w:sz w:val="20"/>
                <w:szCs w:val="20"/>
                <w:lang w:val="es-419"/>
              </w:rPr>
              <w:t>0</w:t>
            </w:r>
          </w:p>
        </w:tc>
        <w:tc>
          <w:tcPr>
            <w:tcW w:w="1276" w:type="dxa"/>
            <w:tcBorders>
              <w:top w:val="single" w:sz="4" w:space="0" w:color="auto"/>
              <w:left w:val="nil"/>
              <w:bottom w:val="single" w:sz="4" w:space="0" w:color="auto"/>
              <w:right w:val="single" w:sz="4" w:space="0" w:color="auto"/>
            </w:tcBorders>
          </w:tcPr>
          <w:p w14:paraId="1C3AE0C5" w14:textId="77777777" w:rsidR="00A23492" w:rsidRPr="000801F3" w:rsidRDefault="00A23492" w:rsidP="005B54E4">
            <w:pPr>
              <w:jc w:val="right"/>
              <w:rPr>
                <w:sz w:val="20"/>
                <w:szCs w:val="20"/>
                <w:lang w:val="es-419"/>
              </w:rPr>
            </w:pPr>
            <w:r w:rsidRPr="000801F3">
              <w:rPr>
                <w:sz w:val="20"/>
                <w:szCs w:val="20"/>
                <w:lang w:val="es-419"/>
              </w:rPr>
              <w:t>42 044 637</w:t>
            </w:r>
          </w:p>
        </w:tc>
        <w:tc>
          <w:tcPr>
            <w:tcW w:w="1276" w:type="dxa"/>
            <w:tcBorders>
              <w:top w:val="single" w:sz="4" w:space="0" w:color="auto"/>
              <w:left w:val="single" w:sz="4" w:space="0" w:color="auto"/>
              <w:bottom w:val="single" w:sz="4" w:space="0" w:color="auto"/>
              <w:right w:val="single" w:sz="4" w:space="0" w:color="auto"/>
            </w:tcBorders>
          </w:tcPr>
          <w:p w14:paraId="19CD96B9" w14:textId="77777777" w:rsidR="00A23492" w:rsidRPr="000801F3" w:rsidRDefault="00A23492" w:rsidP="005B54E4">
            <w:pPr>
              <w:jc w:val="right"/>
              <w:rPr>
                <w:sz w:val="20"/>
                <w:szCs w:val="20"/>
                <w:lang w:val="es-419"/>
              </w:rPr>
            </w:pPr>
            <w:r w:rsidRPr="000801F3">
              <w:rPr>
                <w:sz w:val="20"/>
                <w:szCs w:val="20"/>
                <w:lang w:val="es-419"/>
              </w:rPr>
              <w:t>42 044 637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1BFC2D" w14:textId="77777777" w:rsidR="00A23492" w:rsidRPr="000801F3" w:rsidRDefault="00A23492" w:rsidP="005B54E4">
            <w:pPr>
              <w:jc w:val="right"/>
              <w:rPr>
                <w:sz w:val="20"/>
                <w:szCs w:val="20"/>
                <w:lang w:val="es-419"/>
              </w:rPr>
            </w:pPr>
            <w:r w:rsidRPr="000801F3">
              <w:rPr>
                <w:sz w:val="20"/>
                <w:szCs w:val="20"/>
                <w:lang w:val="es-419"/>
              </w:rPr>
              <w:t>3 542 079</w:t>
            </w:r>
          </w:p>
        </w:tc>
      </w:tr>
      <w:tr w:rsidR="00A23492" w:rsidRPr="000801F3" w14:paraId="6166AB26" w14:textId="77777777" w:rsidTr="005B54E4">
        <w:tc>
          <w:tcPr>
            <w:tcW w:w="2880" w:type="dxa"/>
            <w:tcBorders>
              <w:top w:val="nil"/>
              <w:left w:val="single" w:sz="4" w:space="0" w:color="auto"/>
              <w:bottom w:val="single" w:sz="4" w:space="0" w:color="auto"/>
              <w:right w:val="single" w:sz="4" w:space="0" w:color="auto"/>
            </w:tcBorders>
            <w:shd w:val="clear" w:color="auto" w:fill="auto"/>
            <w:hideMark/>
          </w:tcPr>
          <w:p w14:paraId="57CD98C8" w14:textId="77777777" w:rsidR="00A23492" w:rsidRPr="000801F3" w:rsidRDefault="00A23492" w:rsidP="005B54E4">
            <w:pPr>
              <w:rPr>
                <w:color w:val="000000"/>
                <w:sz w:val="20"/>
                <w:szCs w:val="20"/>
                <w:lang w:val="es-419"/>
              </w:rPr>
            </w:pPr>
            <w:r w:rsidRPr="000801F3">
              <w:rPr>
                <w:color w:val="000000"/>
                <w:sz w:val="20"/>
                <w:szCs w:val="20"/>
                <w:lang w:val="es-419"/>
              </w:rPr>
              <w:t>Verificación del PGEH</w:t>
            </w:r>
          </w:p>
        </w:tc>
        <w:tc>
          <w:tcPr>
            <w:tcW w:w="1276" w:type="dxa"/>
            <w:tcBorders>
              <w:top w:val="nil"/>
              <w:left w:val="nil"/>
              <w:bottom w:val="single" w:sz="4" w:space="0" w:color="auto"/>
              <w:right w:val="single" w:sz="4" w:space="0" w:color="auto"/>
            </w:tcBorders>
            <w:shd w:val="clear" w:color="auto" w:fill="auto"/>
            <w:noWrap/>
          </w:tcPr>
          <w:p w14:paraId="056B2061" w14:textId="77777777" w:rsidR="00A23492" w:rsidRPr="000801F3" w:rsidRDefault="00A23492" w:rsidP="005B54E4">
            <w:pPr>
              <w:jc w:val="right"/>
              <w:rPr>
                <w:color w:val="000000"/>
                <w:sz w:val="20"/>
                <w:szCs w:val="20"/>
                <w:lang w:val="es-419"/>
              </w:rPr>
            </w:pPr>
            <w:r w:rsidRPr="000801F3">
              <w:rPr>
                <w:color w:val="000000"/>
                <w:sz w:val="20"/>
                <w:szCs w:val="20"/>
                <w:lang w:val="es-419"/>
              </w:rPr>
              <w:t>588 600</w:t>
            </w:r>
          </w:p>
        </w:tc>
        <w:tc>
          <w:tcPr>
            <w:tcW w:w="1276" w:type="dxa"/>
            <w:tcBorders>
              <w:top w:val="nil"/>
              <w:left w:val="nil"/>
              <w:bottom w:val="single" w:sz="4" w:space="0" w:color="auto"/>
              <w:right w:val="single" w:sz="4" w:space="0" w:color="auto"/>
            </w:tcBorders>
            <w:shd w:val="clear" w:color="auto" w:fill="auto"/>
          </w:tcPr>
          <w:p w14:paraId="79C5D60B" w14:textId="77777777" w:rsidR="00A23492" w:rsidRPr="000801F3" w:rsidRDefault="00A23492" w:rsidP="005B54E4">
            <w:pPr>
              <w:jc w:val="right"/>
              <w:rPr>
                <w:color w:val="000000"/>
                <w:sz w:val="20"/>
                <w:szCs w:val="20"/>
                <w:lang w:val="es-419"/>
              </w:rPr>
            </w:pPr>
            <w:r w:rsidRPr="000801F3">
              <w:rPr>
                <w:color w:val="000000"/>
                <w:sz w:val="20"/>
                <w:szCs w:val="20"/>
                <w:lang w:val="es-419"/>
              </w:rPr>
              <w:t>0</w:t>
            </w:r>
          </w:p>
        </w:tc>
        <w:tc>
          <w:tcPr>
            <w:tcW w:w="1276" w:type="dxa"/>
            <w:tcBorders>
              <w:top w:val="single" w:sz="4" w:space="0" w:color="auto"/>
              <w:left w:val="nil"/>
              <w:bottom w:val="single" w:sz="4" w:space="0" w:color="auto"/>
              <w:right w:val="single" w:sz="4" w:space="0" w:color="auto"/>
            </w:tcBorders>
          </w:tcPr>
          <w:p w14:paraId="35B155AA" w14:textId="77777777" w:rsidR="00A23492" w:rsidRPr="000801F3" w:rsidRDefault="00A23492" w:rsidP="005B54E4">
            <w:pPr>
              <w:jc w:val="right"/>
              <w:rPr>
                <w:sz w:val="20"/>
                <w:szCs w:val="20"/>
                <w:lang w:val="es-419"/>
              </w:rPr>
            </w:pPr>
            <w:r w:rsidRPr="000801F3">
              <w:rPr>
                <w:sz w:val="20"/>
                <w:szCs w:val="20"/>
                <w:lang w:val="es-419"/>
              </w:rPr>
              <w:t>569 100</w:t>
            </w:r>
          </w:p>
        </w:tc>
        <w:tc>
          <w:tcPr>
            <w:tcW w:w="1276" w:type="dxa"/>
            <w:tcBorders>
              <w:top w:val="single" w:sz="4" w:space="0" w:color="auto"/>
              <w:left w:val="single" w:sz="4" w:space="0" w:color="auto"/>
              <w:bottom w:val="single" w:sz="4" w:space="0" w:color="auto"/>
              <w:right w:val="single" w:sz="4" w:space="0" w:color="auto"/>
            </w:tcBorders>
          </w:tcPr>
          <w:p w14:paraId="6F30235C" w14:textId="77777777" w:rsidR="00A23492" w:rsidRPr="000801F3" w:rsidRDefault="00A23492" w:rsidP="005B54E4">
            <w:pPr>
              <w:jc w:val="right"/>
              <w:rPr>
                <w:sz w:val="20"/>
                <w:szCs w:val="20"/>
                <w:lang w:val="es-419"/>
              </w:rPr>
            </w:pPr>
            <w:r w:rsidRPr="000801F3">
              <w:rPr>
                <w:sz w:val="20"/>
                <w:szCs w:val="20"/>
                <w:lang w:val="es-419"/>
              </w:rPr>
              <w:t>569 100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C98100" w14:textId="77777777" w:rsidR="00A23492" w:rsidRPr="000801F3" w:rsidRDefault="00A23492" w:rsidP="005B54E4">
            <w:pPr>
              <w:jc w:val="right"/>
              <w:rPr>
                <w:sz w:val="20"/>
                <w:szCs w:val="20"/>
                <w:lang w:val="es-419"/>
              </w:rPr>
            </w:pPr>
            <w:r w:rsidRPr="000801F3">
              <w:rPr>
                <w:sz w:val="20"/>
                <w:szCs w:val="20"/>
                <w:lang w:val="es-419"/>
              </w:rPr>
              <w:t>19 500</w:t>
            </w:r>
          </w:p>
        </w:tc>
      </w:tr>
      <w:tr w:rsidR="00A23492" w:rsidRPr="000801F3" w14:paraId="26BC260A" w14:textId="77777777" w:rsidTr="005B54E4">
        <w:tc>
          <w:tcPr>
            <w:tcW w:w="2880" w:type="dxa"/>
            <w:tcBorders>
              <w:top w:val="nil"/>
              <w:left w:val="single" w:sz="4" w:space="0" w:color="auto"/>
              <w:bottom w:val="single" w:sz="4" w:space="0" w:color="auto"/>
              <w:right w:val="single" w:sz="4" w:space="0" w:color="auto"/>
            </w:tcBorders>
            <w:shd w:val="clear" w:color="auto" w:fill="auto"/>
            <w:hideMark/>
          </w:tcPr>
          <w:p w14:paraId="3AC0BBF4" w14:textId="77777777" w:rsidR="00A23492" w:rsidRPr="000801F3" w:rsidRDefault="00A23492" w:rsidP="005B54E4">
            <w:pPr>
              <w:rPr>
                <w:b/>
                <w:bCs/>
                <w:color w:val="000000"/>
                <w:sz w:val="20"/>
                <w:szCs w:val="20"/>
                <w:lang w:val="es-419"/>
              </w:rPr>
            </w:pPr>
            <w:r w:rsidRPr="000801F3">
              <w:rPr>
                <w:b/>
                <w:bCs/>
                <w:color w:val="000000"/>
                <w:sz w:val="20"/>
                <w:szCs w:val="20"/>
                <w:lang w:val="es-419"/>
              </w:rPr>
              <w:t>Subtotal (organismos)</w:t>
            </w:r>
          </w:p>
        </w:tc>
        <w:tc>
          <w:tcPr>
            <w:tcW w:w="1276" w:type="dxa"/>
            <w:tcBorders>
              <w:top w:val="nil"/>
              <w:left w:val="nil"/>
              <w:bottom w:val="single" w:sz="4" w:space="0" w:color="auto"/>
              <w:right w:val="single" w:sz="4" w:space="0" w:color="auto"/>
            </w:tcBorders>
            <w:shd w:val="clear" w:color="auto" w:fill="auto"/>
          </w:tcPr>
          <w:p w14:paraId="0EF74FBE" w14:textId="77777777" w:rsidR="00A23492" w:rsidRPr="000801F3" w:rsidRDefault="00A23492" w:rsidP="005B54E4">
            <w:pPr>
              <w:jc w:val="right"/>
              <w:rPr>
                <w:b/>
                <w:sz w:val="20"/>
                <w:szCs w:val="20"/>
                <w:lang w:val="es-419"/>
              </w:rPr>
            </w:pPr>
            <w:r w:rsidRPr="000801F3">
              <w:rPr>
                <w:b/>
                <w:sz w:val="20"/>
                <w:szCs w:val="20"/>
                <w:lang w:val="es-419"/>
              </w:rPr>
              <w:t>167 834 511</w:t>
            </w:r>
          </w:p>
        </w:tc>
        <w:tc>
          <w:tcPr>
            <w:tcW w:w="1276" w:type="dxa"/>
            <w:tcBorders>
              <w:top w:val="nil"/>
              <w:left w:val="nil"/>
              <w:bottom w:val="single" w:sz="4" w:space="0" w:color="auto"/>
              <w:right w:val="single" w:sz="4" w:space="0" w:color="auto"/>
            </w:tcBorders>
            <w:shd w:val="clear" w:color="auto" w:fill="auto"/>
          </w:tcPr>
          <w:p w14:paraId="40BAE62B" w14:textId="77777777" w:rsidR="00A23492" w:rsidRPr="000801F3" w:rsidRDefault="00A23492" w:rsidP="005B54E4">
            <w:pPr>
              <w:jc w:val="right"/>
              <w:rPr>
                <w:b/>
                <w:sz w:val="20"/>
                <w:szCs w:val="20"/>
                <w:lang w:val="es-419"/>
              </w:rPr>
            </w:pPr>
            <w:r w:rsidRPr="000801F3">
              <w:rPr>
                <w:b/>
                <w:sz w:val="20"/>
                <w:szCs w:val="20"/>
                <w:lang w:val="es-419"/>
              </w:rPr>
              <w:t>9 520 278</w:t>
            </w:r>
          </w:p>
        </w:tc>
        <w:tc>
          <w:tcPr>
            <w:tcW w:w="1276" w:type="dxa"/>
            <w:tcBorders>
              <w:top w:val="single" w:sz="4" w:space="0" w:color="auto"/>
              <w:left w:val="nil"/>
              <w:bottom w:val="single" w:sz="4" w:space="0" w:color="auto"/>
              <w:right w:val="single" w:sz="4" w:space="0" w:color="auto"/>
            </w:tcBorders>
          </w:tcPr>
          <w:p w14:paraId="5D1CD7A9" w14:textId="77777777" w:rsidR="00A23492" w:rsidRPr="000801F3" w:rsidRDefault="00A23492" w:rsidP="005B54E4">
            <w:pPr>
              <w:jc w:val="right"/>
              <w:rPr>
                <w:b/>
                <w:sz w:val="20"/>
                <w:szCs w:val="20"/>
                <w:lang w:val="es-419"/>
              </w:rPr>
            </w:pPr>
            <w:bookmarkStart w:id="1" w:name="OLE_LINK1"/>
            <w:r w:rsidRPr="000801F3">
              <w:rPr>
                <w:b/>
                <w:sz w:val="20"/>
                <w:szCs w:val="20"/>
                <w:lang w:val="es-419"/>
              </w:rPr>
              <w:t>123 479 424</w:t>
            </w:r>
            <w:bookmarkEnd w:id="1"/>
          </w:p>
        </w:tc>
        <w:tc>
          <w:tcPr>
            <w:tcW w:w="1276" w:type="dxa"/>
            <w:tcBorders>
              <w:top w:val="single" w:sz="4" w:space="0" w:color="auto"/>
              <w:left w:val="single" w:sz="4" w:space="0" w:color="auto"/>
              <w:bottom w:val="single" w:sz="4" w:space="0" w:color="auto"/>
              <w:right w:val="single" w:sz="4" w:space="0" w:color="auto"/>
            </w:tcBorders>
          </w:tcPr>
          <w:p w14:paraId="368A58A5" w14:textId="77777777" w:rsidR="00A23492" w:rsidRPr="000801F3" w:rsidRDefault="00A23492" w:rsidP="005B54E4">
            <w:pPr>
              <w:jc w:val="right"/>
              <w:rPr>
                <w:b/>
                <w:sz w:val="20"/>
                <w:szCs w:val="20"/>
                <w:lang w:val="es-419"/>
              </w:rPr>
            </w:pPr>
            <w:r w:rsidRPr="000801F3">
              <w:rPr>
                <w:b/>
                <w:sz w:val="20"/>
                <w:szCs w:val="20"/>
                <w:lang w:val="es-419"/>
              </w:rPr>
              <w:t>132 999 702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777B25" w14:textId="77777777" w:rsidR="00A23492" w:rsidRPr="000801F3" w:rsidRDefault="00A23492" w:rsidP="005B54E4">
            <w:pPr>
              <w:jc w:val="right"/>
              <w:rPr>
                <w:b/>
                <w:sz w:val="20"/>
                <w:szCs w:val="20"/>
                <w:lang w:val="es-419"/>
              </w:rPr>
            </w:pPr>
            <w:r w:rsidRPr="000801F3">
              <w:rPr>
                <w:b/>
                <w:sz w:val="20"/>
                <w:szCs w:val="20"/>
                <w:lang w:val="es-419"/>
              </w:rPr>
              <w:t>34 834 809</w:t>
            </w:r>
          </w:p>
        </w:tc>
      </w:tr>
      <w:tr w:rsidR="00A23492" w:rsidRPr="000801F3" w14:paraId="3B260609" w14:textId="77777777" w:rsidTr="005B54E4">
        <w:tc>
          <w:tcPr>
            <w:tcW w:w="2880" w:type="dxa"/>
            <w:tcBorders>
              <w:top w:val="nil"/>
              <w:left w:val="single" w:sz="4" w:space="0" w:color="auto"/>
              <w:bottom w:val="single" w:sz="4" w:space="0" w:color="auto"/>
              <w:right w:val="single" w:sz="4" w:space="0" w:color="auto"/>
            </w:tcBorders>
            <w:shd w:val="clear" w:color="auto" w:fill="auto"/>
            <w:hideMark/>
          </w:tcPr>
          <w:p w14:paraId="1B0C212E" w14:textId="77777777" w:rsidR="00A23492" w:rsidRPr="000801F3" w:rsidRDefault="00A23492" w:rsidP="005B54E4">
            <w:pPr>
              <w:ind w:right="-113"/>
              <w:jc w:val="left"/>
              <w:rPr>
                <w:color w:val="000000"/>
                <w:sz w:val="20"/>
                <w:szCs w:val="20"/>
                <w:lang w:val="es-419"/>
              </w:rPr>
            </w:pPr>
            <w:r w:rsidRPr="000801F3">
              <w:rPr>
                <w:color w:val="000000"/>
                <w:sz w:val="20"/>
                <w:szCs w:val="20"/>
                <w:lang w:val="es-419"/>
              </w:rPr>
              <w:t>Secretaría/Comité Ejecutivo/Supervisión y evaluación (excluyendo la contraparte canadiense)</w:t>
            </w:r>
          </w:p>
        </w:tc>
        <w:tc>
          <w:tcPr>
            <w:tcW w:w="1276" w:type="dxa"/>
            <w:tcBorders>
              <w:top w:val="nil"/>
              <w:left w:val="nil"/>
              <w:bottom w:val="single" w:sz="4" w:space="0" w:color="auto"/>
              <w:right w:val="single" w:sz="4" w:space="0" w:color="auto"/>
            </w:tcBorders>
            <w:shd w:val="clear" w:color="auto" w:fill="auto"/>
            <w:noWrap/>
          </w:tcPr>
          <w:p w14:paraId="3B61A97E" w14:textId="77777777" w:rsidR="00A23492" w:rsidRPr="000801F3" w:rsidRDefault="00A23492" w:rsidP="005B54E4">
            <w:pPr>
              <w:jc w:val="right"/>
              <w:rPr>
                <w:sz w:val="20"/>
                <w:szCs w:val="20"/>
                <w:lang w:val="es-419"/>
              </w:rPr>
            </w:pPr>
            <w:r w:rsidRPr="000801F3">
              <w:rPr>
                <w:color w:val="000000"/>
                <w:sz w:val="20"/>
                <w:szCs w:val="20"/>
                <w:lang w:val="es-419"/>
              </w:rPr>
              <w:t>6 799 233</w:t>
            </w:r>
          </w:p>
        </w:tc>
        <w:tc>
          <w:tcPr>
            <w:tcW w:w="1276" w:type="dxa"/>
            <w:tcBorders>
              <w:top w:val="nil"/>
              <w:left w:val="nil"/>
              <w:bottom w:val="single" w:sz="4" w:space="0" w:color="auto"/>
              <w:right w:val="single" w:sz="4" w:space="0" w:color="auto"/>
            </w:tcBorders>
            <w:shd w:val="clear" w:color="auto" w:fill="auto"/>
          </w:tcPr>
          <w:p w14:paraId="2CB02110" w14:textId="77777777" w:rsidR="00A23492" w:rsidRPr="000801F3" w:rsidRDefault="00A23492" w:rsidP="005B54E4">
            <w:pPr>
              <w:jc w:val="right"/>
              <w:rPr>
                <w:color w:val="000000"/>
                <w:sz w:val="20"/>
                <w:szCs w:val="20"/>
                <w:lang w:val="es-419"/>
              </w:rPr>
            </w:pPr>
          </w:p>
        </w:tc>
        <w:tc>
          <w:tcPr>
            <w:tcW w:w="1276" w:type="dxa"/>
            <w:tcBorders>
              <w:top w:val="single" w:sz="4" w:space="0" w:color="auto"/>
              <w:left w:val="nil"/>
              <w:bottom w:val="single" w:sz="4" w:space="0" w:color="auto"/>
              <w:right w:val="single" w:sz="4" w:space="0" w:color="auto"/>
            </w:tcBorders>
          </w:tcPr>
          <w:p w14:paraId="7BF137ED" w14:textId="77777777" w:rsidR="00A23492" w:rsidRPr="000801F3" w:rsidRDefault="00A23492" w:rsidP="005B54E4">
            <w:pPr>
              <w:jc w:val="right"/>
              <w:rPr>
                <w:sz w:val="20"/>
                <w:szCs w:val="20"/>
                <w:lang w:val="es-419"/>
              </w:rPr>
            </w:pPr>
            <w:r w:rsidRPr="000801F3">
              <w:rPr>
                <w:sz w:val="20"/>
                <w:szCs w:val="20"/>
                <w:lang w:val="es-419"/>
              </w:rPr>
              <w:t>6 799 233</w:t>
            </w:r>
          </w:p>
        </w:tc>
        <w:tc>
          <w:tcPr>
            <w:tcW w:w="1276" w:type="dxa"/>
            <w:tcBorders>
              <w:top w:val="single" w:sz="4" w:space="0" w:color="auto"/>
              <w:left w:val="single" w:sz="4" w:space="0" w:color="auto"/>
              <w:bottom w:val="single" w:sz="4" w:space="0" w:color="auto"/>
              <w:right w:val="single" w:sz="4" w:space="0" w:color="auto"/>
            </w:tcBorders>
          </w:tcPr>
          <w:p w14:paraId="6FFB8C7C" w14:textId="77777777" w:rsidR="00A23492" w:rsidRPr="000801F3" w:rsidRDefault="00A23492" w:rsidP="005B54E4">
            <w:pPr>
              <w:jc w:val="right"/>
              <w:rPr>
                <w:sz w:val="20"/>
                <w:szCs w:val="20"/>
                <w:lang w:val="es-419"/>
              </w:rPr>
            </w:pPr>
            <w:r w:rsidRPr="000801F3">
              <w:rPr>
                <w:sz w:val="20"/>
                <w:szCs w:val="20"/>
                <w:lang w:val="es-419"/>
              </w:rPr>
              <w:t>6 799 233</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04967F6" w14:textId="77777777" w:rsidR="00A23492" w:rsidRPr="000801F3" w:rsidRDefault="00A23492" w:rsidP="005B54E4">
            <w:pPr>
              <w:jc w:val="right"/>
              <w:rPr>
                <w:sz w:val="20"/>
                <w:szCs w:val="20"/>
                <w:lang w:val="es-419"/>
              </w:rPr>
            </w:pPr>
            <w:r w:rsidRPr="000801F3">
              <w:rPr>
                <w:sz w:val="20"/>
                <w:szCs w:val="20"/>
                <w:lang w:val="es-419"/>
              </w:rPr>
              <w:t>0</w:t>
            </w:r>
          </w:p>
        </w:tc>
      </w:tr>
      <w:tr w:rsidR="00A23492" w:rsidRPr="000801F3" w14:paraId="51195BBE" w14:textId="77777777" w:rsidTr="005B54E4">
        <w:tc>
          <w:tcPr>
            <w:tcW w:w="2880" w:type="dxa"/>
            <w:tcBorders>
              <w:top w:val="nil"/>
              <w:left w:val="single" w:sz="4" w:space="0" w:color="auto"/>
              <w:bottom w:val="single" w:sz="4" w:space="0" w:color="auto"/>
              <w:right w:val="single" w:sz="4" w:space="0" w:color="auto"/>
            </w:tcBorders>
            <w:shd w:val="clear" w:color="auto" w:fill="auto"/>
            <w:hideMark/>
          </w:tcPr>
          <w:p w14:paraId="3CC24D8E" w14:textId="77777777" w:rsidR="00A23492" w:rsidRPr="000801F3" w:rsidRDefault="00A23492" w:rsidP="005B54E4">
            <w:pPr>
              <w:rPr>
                <w:color w:val="000000"/>
                <w:sz w:val="20"/>
                <w:szCs w:val="20"/>
                <w:lang w:val="es-419"/>
              </w:rPr>
            </w:pPr>
            <w:r w:rsidRPr="000801F3">
              <w:rPr>
                <w:color w:val="000000"/>
                <w:sz w:val="20"/>
                <w:szCs w:val="20"/>
                <w:lang w:val="es-419"/>
              </w:rPr>
              <w:t>Tesorero</w:t>
            </w:r>
          </w:p>
        </w:tc>
        <w:tc>
          <w:tcPr>
            <w:tcW w:w="1276" w:type="dxa"/>
            <w:tcBorders>
              <w:top w:val="nil"/>
              <w:left w:val="nil"/>
              <w:bottom w:val="single" w:sz="4" w:space="0" w:color="auto"/>
              <w:right w:val="single" w:sz="4" w:space="0" w:color="auto"/>
            </w:tcBorders>
            <w:shd w:val="clear" w:color="auto" w:fill="auto"/>
            <w:noWrap/>
          </w:tcPr>
          <w:p w14:paraId="0526029A" w14:textId="77777777" w:rsidR="00A23492" w:rsidRPr="000801F3" w:rsidRDefault="00A23492" w:rsidP="005B54E4">
            <w:pPr>
              <w:jc w:val="right"/>
              <w:rPr>
                <w:sz w:val="20"/>
                <w:szCs w:val="20"/>
                <w:lang w:val="es-419"/>
              </w:rPr>
            </w:pPr>
            <w:r w:rsidRPr="000801F3">
              <w:rPr>
                <w:sz w:val="20"/>
                <w:szCs w:val="20"/>
                <w:lang w:val="es-419"/>
              </w:rPr>
              <w:t>500 000</w:t>
            </w:r>
          </w:p>
        </w:tc>
        <w:tc>
          <w:tcPr>
            <w:tcW w:w="1276" w:type="dxa"/>
            <w:tcBorders>
              <w:top w:val="nil"/>
              <w:left w:val="nil"/>
              <w:bottom w:val="single" w:sz="4" w:space="0" w:color="auto"/>
              <w:right w:val="single" w:sz="4" w:space="0" w:color="auto"/>
            </w:tcBorders>
            <w:shd w:val="clear" w:color="auto" w:fill="auto"/>
          </w:tcPr>
          <w:p w14:paraId="1E3E8266" w14:textId="77777777" w:rsidR="00A23492" w:rsidRPr="000801F3" w:rsidRDefault="00A23492" w:rsidP="005B54E4">
            <w:pPr>
              <w:jc w:val="right"/>
              <w:rPr>
                <w:color w:val="000000"/>
                <w:sz w:val="20"/>
                <w:szCs w:val="20"/>
                <w:lang w:val="es-419"/>
              </w:rPr>
            </w:pPr>
          </w:p>
        </w:tc>
        <w:tc>
          <w:tcPr>
            <w:tcW w:w="1276" w:type="dxa"/>
            <w:tcBorders>
              <w:top w:val="single" w:sz="4" w:space="0" w:color="auto"/>
              <w:left w:val="nil"/>
              <w:bottom w:val="single" w:sz="4" w:space="0" w:color="auto"/>
              <w:right w:val="single" w:sz="4" w:space="0" w:color="auto"/>
            </w:tcBorders>
          </w:tcPr>
          <w:p w14:paraId="5F1D3C39" w14:textId="77777777" w:rsidR="00A23492" w:rsidRPr="000801F3" w:rsidRDefault="00A23492" w:rsidP="005B54E4">
            <w:pPr>
              <w:jc w:val="right"/>
              <w:rPr>
                <w:sz w:val="20"/>
                <w:szCs w:val="20"/>
                <w:lang w:val="es-419"/>
              </w:rPr>
            </w:pPr>
            <w:r w:rsidRPr="000801F3">
              <w:rPr>
                <w:sz w:val="20"/>
                <w:szCs w:val="20"/>
                <w:lang w:val="es-419"/>
              </w:rPr>
              <w:t>500 000</w:t>
            </w:r>
          </w:p>
        </w:tc>
        <w:tc>
          <w:tcPr>
            <w:tcW w:w="1276" w:type="dxa"/>
            <w:tcBorders>
              <w:top w:val="single" w:sz="4" w:space="0" w:color="auto"/>
              <w:left w:val="single" w:sz="4" w:space="0" w:color="auto"/>
              <w:bottom w:val="single" w:sz="4" w:space="0" w:color="auto"/>
              <w:right w:val="single" w:sz="4" w:space="0" w:color="auto"/>
            </w:tcBorders>
          </w:tcPr>
          <w:p w14:paraId="7F9C473F" w14:textId="77777777" w:rsidR="00A23492" w:rsidRPr="000801F3" w:rsidRDefault="00A23492" w:rsidP="005B54E4">
            <w:pPr>
              <w:jc w:val="right"/>
              <w:rPr>
                <w:sz w:val="20"/>
                <w:szCs w:val="20"/>
                <w:lang w:val="es-419"/>
              </w:rPr>
            </w:pPr>
            <w:r w:rsidRPr="000801F3">
              <w:rPr>
                <w:sz w:val="20"/>
                <w:szCs w:val="20"/>
                <w:lang w:val="es-419"/>
              </w:rPr>
              <w:t>500 000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663559" w14:textId="77777777" w:rsidR="00A23492" w:rsidRPr="000801F3" w:rsidRDefault="00A23492" w:rsidP="005B54E4">
            <w:pPr>
              <w:jc w:val="right"/>
              <w:rPr>
                <w:sz w:val="20"/>
                <w:szCs w:val="20"/>
                <w:lang w:val="es-419"/>
              </w:rPr>
            </w:pPr>
            <w:r w:rsidRPr="000801F3">
              <w:rPr>
                <w:sz w:val="20"/>
                <w:szCs w:val="20"/>
                <w:lang w:val="es-419"/>
              </w:rPr>
              <w:t>0</w:t>
            </w:r>
          </w:p>
        </w:tc>
      </w:tr>
      <w:tr w:rsidR="00A23492" w:rsidRPr="000801F3" w14:paraId="0FB643E7" w14:textId="77777777" w:rsidTr="005B54E4">
        <w:tc>
          <w:tcPr>
            <w:tcW w:w="2880" w:type="dxa"/>
            <w:tcBorders>
              <w:top w:val="nil"/>
              <w:left w:val="single" w:sz="4" w:space="0" w:color="auto"/>
              <w:bottom w:val="single" w:sz="4" w:space="0" w:color="auto"/>
              <w:right w:val="single" w:sz="4" w:space="0" w:color="auto"/>
            </w:tcBorders>
            <w:shd w:val="clear" w:color="auto" w:fill="auto"/>
          </w:tcPr>
          <w:p w14:paraId="54E15BA4" w14:textId="77777777" w:rsidR="00A23492" w:rsidRPr="000801F3" w:rsidRDefault="00A23492" w:rsidP="005B54E4">
            <w:pPr>
              <w:rPr>
                <w:b/>
                <w:bCs/>
                <w:color w:val="000000"/>
                <w:sz w:val="20"/>
                <w:szCs w:val="20"/>
                <w:lang w:val="es-419"/>
              </w:rPr>
            </w:pPr>
            <w:r w:rsidRPr="000801F3">
              <w:rPr>
                <w:b/>
                <w:bCs/>
                <w:color w:val="000000"/>
                <w:sz w:val="20"/>
                <w:szCs w:val="20"/>
                <w:lang w:val="es-419"/>
              </w:rPr>
              <w:t>Subtotal (costos corrientes)</w:t>
            </w:r>
          </w:p>
        </w:tc>
        <w:tc>
          <w:tcPr>
            <w:tcW w:w="1276" w:type="dxa"/>
            <w:tcBorders>
              <w:top w:val="nil"/>
              <w:left w:val="nil"/>
              <w:bottom w:val="single" w:sz="4" w:space="0" w:color="auto"/>
              <w:right w:val="single" w:sz="4" w:space="0" w:color="auto"/>
            </w:tcBorders>
            <w:shd w:val="clear" w:color="auto" w:fill="auto"/>
            <w:vAlign w:val="center"/>
          </w:tcPr>
          <w:p w14:paraId="648597B0"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7 299 233</w:t>
            </w:r>
          </w:p>
        </w:tc>
        <w:tc>
          <w:tcPr>
            <w:tcW w:w="1276" w:type="dxa"/>
            <w:tcBorders>
              <w:top w:val="nil"/>
              <w:left w:val="nil"/>
              <w:bottom w:val="single" w:sz="4" w:space="0" w:color="auto"/>
              <w:right w:val="single" w:sz="4" w:space="0" w:color="auto"/>
            </w:tcBorders>
            <w:shd w:val="clear" w:color="auto" w:fill="auto"/>
          </w:tcPr>
          <w:p w14:paraId="74193777" w14:textId="77777777" w:rsidR="00A23492" w:rsidRPr="000801F3" w:rsidRDefault="00A23492" w:rsidP="005B54E4">
            <w:pPr>
              <w:jc w:val="right"/>
              <w:rPr>
                <w:b/>
                <w:bCs/>
                <w:color w:val="000000"/>
                <w:sz w:val="20"/>
                <w:szCs w:val="20"/>
                <w:lang w:val="es-419"/>
              </w:rPr>
            </w:pPr>
          </w:p>
        </w:tc>
        <w:tc>
          <w:tcPr>
            <w:tcW w:w="1276" w:type="dxa"/>
            <w:tcBorders>
              <w:top w:val="single" w:sz="4" w:space="0" w:color="auto"/>
              <w:left w:val="nil"/>
              <w:bottom w:val="single" w:sz="4" w:space="0" w:color="auto"/>
              <w:right w:val="single" w:sz="4" w:space="0" w:color="auto"/>
            </w:tcBorders>
          </w:tcPr>
          <w:p w14:paraId="0671CC17" w14:textId="77777777" w:rsidR="00A23492" w:rsidRPr="000801F3" w:rsidRDefault="00A23492" w:rsidP="005B54E4">
            <w:pPr>
              <w:jc w:val="right"/>
              <w:rPr>
                <w:sz w:val="20"/>
                <w:szCs w:val="20"/>
                <w:lang w:val="es-419"/>
              </w:rPr>
            </w:pPr>
            <w:r w:rsidRPr="000801F3">
              <w:rPr>
                <w:sz w:val="20"/>
                <w:szCs w:val="20"/>
                <w:lang w:val="es-419"/>
              </w:rPr>
              <w:t>7 299 233</w:t>
            </w:r>
          </w:p>
        </w:tc>
        <w:tc>
          <w:tcPr>
            <w:tcW w:w="1276" w:type="dxa"/>
            <w:tcBorders>
              <w:top w:val="single" w:sz="4" w:space="0" w:color="auto"/>
              <w:left w:val="single" w:sz="4" w:space="0" w:color="auto"/>
              <w:bottom w:val="single" w:sz="4" w:space="0" w:color="auto"/>
              <w:right w:val="single" w:sz="4" w:space="0" w:color="auto"/>
            </w:tcBorders>
          </w:tcPr>
          <w:p w14:paraId="56AF4B92" w14:textId="77777777" w:rsidR="00A23492" w:rsidRPr="000801F3" w:rsidRDefault="00A23492" w:rsidP="005B54E4">
            <w:pPr>
              <w:jc w:val="right"/>
              <w:rPr>
                <w:sz w:val="20"/>
                <w:szCs w:val="20"/>
                <w:lang w:val="es-419"/>
              </w:rPr>
            </w:pPr>
            <w:r w:rsidRPr="000801F3">
              <w:rPr>
                <w:sz w:val="20"/>
                <w:szCs w:val="20"/>
                <w:lang w:val="es-419"/>
              </w:rPr>
              <w:t>7 299 233</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F3093E" w14:textId="77777777" w:rsidR="00A23492" w:rsidRPr="000801F3" w:rsidRDefault="00A23492" w:rsidP="005B54E4">
            <w:pPr>
              <w:jc w:val="right"/>
              <w:rPr>
                <w:sz w:val="20"/>
                <w:szCs w:val="20"/>
                <w:lang w:val="es-419"/>
              </w:rPr>
            </w:pPr>
            <w:r w:rsidRPr="000801F3">
              <w:rPr>
                <w:sz w:val="20"/>
                <w:szCs w:val="20"/>
                <w:lang w:val="es-419"/>
              </w:rPr>
              <w:t>0</w:t>
            </w:r>
          </w:p>
        </w:tc>
      </w:tr>
      <w:tr w:rsidR="00A23492" w:rsidRPr="000801F3" w14:paraId="67528739" w14:textId="77777777" w:rsidTr="005B54E4">
        <w:tc>
          <w:tcPr>
            <w:tcW w:w="2880" w:type="dxa"/>
            <w:tcBorders>
              <w:top w:val="nil"/>
              <w:left w:val="single" w:sz="4" w:space="0" w:color="auto"/>
              <w:bottom w:val="single" w:sz="4" w:space="0" w:color="auto"/>
              <w:right w:val="single" w:sz="4" w:space="0" w:color="auto"/>
            </w:tcBorders>
            <w:shd w:val="clear" w:color="auto" w:fill="auto"/>
          </w:tcPr>
          <w:p w14:paraId="5E57A71E" w14:textId="77777777" w:rsidR="00A23492" w:rsidRPr="000801F3" w:rsidRDefault="00A23492" w:rsidP="005B54E4">
            <w:pPr>
              <w:rPr>
                <w:b/>
                <w:bCs/>
                <w:color w:val="000000"/>
                <w:sz w:val="20"/>
                <w:szCs w:val="20"/>
                <w:lang w:val="es-419"/>
              </w:rPr>
            </w:pPr>
            <w:r w:rsidRPr="000801F3">
              <w:rPr>
                <w:b/>
                <w:bCs/>
                <w:color w:val="000000"/>
                <w:sz w:val="20"/>
                <w:szCs w:val="20"/>
                <w:lang w:val="es-419"/>
              </w:rPr>
              <w:t>Total</w:t>
            </w:r>
          </w:p>
        </w:tc>
        <w:tc>
          <w:tcPr>
            <w:tcW w:w="1276" w:type="dxa"/>
            <w:tcBorders>
              <w:top w:val="nil"/>
              <w:left w:val="nil"/>
              <w:bottom w:val="single" w:sz="4" w:space="0" w:color="auto"/>
              <w:right w:val="single" w:sz="4" w:space="0" w:color="auto"/>
            </w:tcBorders>
            <w:shd w:val="clear" w:color="auto" w:fill="auto"/>
            <w:vAlign w:val="center"/>
          </w:tcPr>
          <w:p w14:paraId="63B31E8F"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175 133 744</w:t>
            </w:r>
          </w:p>
        </w:tc>
        <w:tc>
          <w:tcPr>
            <w:tcW w:w="1276" w:type="dxa"/>
            <w:tcBorders>
              <w:top w:val="nil"/>
              <w:left w:val="nil"/>
              <w:bottom w:val="single" w:sz="4" w:space="0" w:color="auto"/>
              <w:right w:val="single" w:sz="4" w:space="0" w:color="auto"/>
            </w:tcBorders>
            <w:shd w:val="clear" w:color="auto" w:fill="auto"/>
          </w:tcPr>
          <w:p w14:paraId="69A84D08" w14:textId="77777777" w:rsidR="00A23492" w:rsidRPr="000801F3" w:rsidRDefault="00A23492" w:rsidP="005B54E4">
            <w:pPr>
              <w:jc w:val="right"/>
              <w:rPr>
                <w:b/>
                <w:bCs/>
                <w:color w:val="000000"/>
                <w:sz w:val="20"/>
                <w:szCs w:val="20"/>
                <w:lang w:val="es-419"/>
              </w:rPr>
            </w:pPr>
            <w:r w:rsidRPr="000801F3">
              <w:rPr>
                <w:b/>
                <w:sz w:val="20"/>
                <w:szCs w:val="20"/>
                <w:lang w:val="es-419"/>
              </w:rPr>
              <w:t>9 520 278</w:t>
            </w:r>
          </w:p>
        </w:tc>
        <w:tc>
          <w:tcPr>
            <w:tcW w:w="1276" w:type="dxa"/>
            <w:tcBorders>
              <w:top w:val="single" w:sz="4" w:space="0" w:color="auto"/>
              <w:left w:val="nil"/>
              <w:bottom w:val="single" w:sz="4" w:space="0" w:color="auto"/>
              <w:right w:val="single" w:sz="4" w:space="0" w:color="auto"/>
            </w:tcBorders>
          </w:tcPr>
          <w:p w14:paraId="78A01A1F" w14:textId="77777777" w:rsidR="00A23492" w:rsidRPr="000801F3" w:rsidRDefault="00A23492" w:rsidP="005B54E4">
            <w:pPr>
              <w:jc w:val="right"/>
              <w:rPr>
                <w:b/>
                <w:sz w:val="20"/>
                <w:szCs w:val="20"/>
                <w:lang w:val="es-419"/>
              </w:rPr>
            </w:pPr>
            <w:r w:rsidRPr="000801F3">
              <w:rPr>
                <w:b/>
                <w:sz w:val="20"/>
                <w:szCs w:val="20"/>
                <w:lang w:val="es-419"/>
              </w:rPr>
              <w:t>130 778 657</w:t>
            </w:r>
          </w:p>
        </w:tc>
        <w:tc>
          <w:tcPr>
            <w:tcW w:w="1276" w:type="dxa"/>
            <w:tcBorders>
              <w:top w:val="single" w:sz="4" w:space="0" w:color="auto"/>
              <w:left w:val="single" w:sz="4" w:space="0" w:color="auto"/>
              <w:bottom w:val="single" w:sz="4" w:space="0" w:color="auto"/>
              <w:right w:val="single" w:sz="4" w:space="0" w:color="auto"/>
            </w:tcBorders>
          </w:tcPr>
          <w:p w14:paraId="31171EE2" w14:textId="77777777" w:rsidR="00A23492" w:rsidRPr="000801F3" w:rsidRDefault="00A23492" w:rsidP="005B54E4">
            <w:pPr>
              <w:jc w:val="right"/>
              <w:rPr>
                <w:b/>
                <w:sz w:val="20"/>
                <w:szCs w:val="20"/>
                <w:lang w:val="es-419"/>
              </w:rPr>
            </w:pPr>
            <w:r w:rsidRPr="000801F3">
              <w:rPr>
                <w:b/>
                <w:sz w:val="20"/>
                <w:szCs w:val="20"/>
                <w:lang w:val="es-419"/>
              </w:rPr>
              <w:t>140 298 935</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F08953F" w14:textId="77777777" w:rsidR="00A23492" w:rsidRPr="000801F3" w:rsidRDefault="00A23492" w:rsidP="005B54E4">
            <w:pPr>
              <w:jc w:val="right"/>
              <w:rPr>
                <w:b/>
                <w:sz w:val="20"/>
                <w:szCs w:val="20"/>
                <w:lang w:val="es-419"/>
              </w:rPr>
            </w:pPr>
            <w:r w:rsidRPr="000801F3">
              <w:rPr>
                <w:b/>
                <w:sz w:val="20"/>
                <w:szCs w:val="20"/>
                <w:lang w:val="es-419"/>
              </w:rPr>
              <w:t>34 834 809</w:t>
            </w:r>
          </w:p>
        </w:tc>
      </w:tr>
    </w:tbl>
    <w:p w14:paraId="641A80C7" w14:textId="77777777" w:rsidR="00A23492" w:rsidRPr="000801F3" w:rsidRDefault="00A23492" w:rsidP="00A23492">
      <w:pPr>
        <w:tabs>
          <w:tab w:val="left" w:pos="360"/>
        </w:tabs>
        <w:rPr>
          <w:color w:val="000000" w:themeColor="text1"/>
          <w:sz w:val="18"/>
          <w:szCs w:val="18"/>
          <w:lang w:val="es-419"/>
        </w:rPr>
      </w:pPr>
      <w:r w:rsidRPr="000801F3">
        <w:rPr>
          <w:color w:val="000000" w:themeColor="text1"/>
          <w:sz w:val="18"/>
          <w:szCs w:val="18"/>
          <w:lang w:val="es-419"/>
        </w:rPr>
        <w:t>* Incluyendo los costos de las unidades centrales.</w:t>
      </w:r>
    </w:p>
    <w:p w14:paraId="67CB41C9" w14:textId="77777777" w:rsidR="00A23492" w:rsidRPr="000801F3" w:rsidRDefault="00A23492" w:rsidP="00A23492">
      <w:pPr>
        <w:tabs>
          <w:tab w:val="left" w:pos="360"/>
        </w:tabs>
        <w:rPr>
          <w:color w:val="000000" w:themeColor="text1"/>
          <w:sz w:val="18"/>
          <w:szCs w:val="18"/>
          <w:lang w:val="es-419"/>
        </w:rPr>
      </w:pPr>
      <w:r w:rsidRPr="000801F3">
        <w:rPr>
          <w:color w:val="000000" w:themeColor="text1"/>
          <w:sz w:val="18"/>
          <w:szCs w:val="18"/>
          <w:lang w:val="es-419"/>
        </w:rPr>
        <w:t>** Al 2 de diciembre de 2019</w:t>
      </w:r>
    </w:p>
    <w:p w14:paraId="7BA7A0A5" w14:textId="77777777" w:rsidR="00A23492" w:rsidRPr="000801F3" w:rsidRDefault="00A23492" w:rsidP="00A23492">
      <w:pPr>
        <w:tabs>
          <w:tab w:val="left" w:pos="360"/>
        </w:tabs>
        <w:rPr>
          <w:color w:val="000000" w:themeColor="text1"/>
          <w:sz w:val="18"/>
          <w:szCs w:val="18"/>
          <w:lang w:val="es-419"/>
        </w:rPr>
      </w:pPr>
    </w:p>
    <w:p w14:paraId="68CAD7F8" w14:textId="77777777" w:rsidR="00A23492" w:rsidRPr="000801F3" w:rsidRDefault="00A23492" w:rsidP="00A23492">
      <w:pPr>
        <w:pStyle w:val="Heading1"/>
        <w:rPr>
          <w:lang w:val="es-419"/>
        </w:rPr>
      </w:pPr>
      <w:r w:rsidRPr="000801F3">
        <w:rPr>
          <w:lang w:val="es-419"/>
        </w:rPr>
        <w:t>El valor de las propuestas de proyectos presentadas en la 84</w:t>
      </w:r>
      <w:r w:rsidRPr="000801F3">
        <w:rPr>
          <w:vertAlign w:val="superscript"/>
          <w:lang w:val="es-419"/>
        </w:rPr>
        <w:t>ª</w:t>
      </w:r>
      <w:r w:rsidRPr="000801F3">
        <w:rPr>
          <w:lang w:val="es-419"/>
        </w:rPr>
        <w:t xml:space="preserve"> reunión de </w:t>
      </w:r>
      <w:r w:rsidRPr="000801F3">
        <w:rPr>
          <w:color w:val="000000" w:themeColor="text1"/>
          <w:lang w:val="es-419"/>
        </w:rPr>
        <w:t>123 479 424 $EUA supera en 355 330 $EUA</w:t>
      </w:r>
      <w:r w:rsidRPr="000801F3">
        <w:rPr>
          <w:lang w:val="es-419"/>
        </w:rPr>
        <w:t xml:space="preserve"> su valor en el plan administrativo de 2019, incluidos los 3 580 552 $EUA asociados con propuestas de proyectos no incluidas en el plan administrativo de 2019</w:t>
      </w:r>
      <w:r w:rsidRPr="000801F3">
        <w:rPr>
          <w:vertAlign w:val="superscript"/>
          <w:lang w:val="es-419"/>
        </w:rPr>
        <w:footnoteReference w:id="1"/>
      </w:r>
      <w:r w:rsidRPr="000801F3">
        <w:rPr>
          <w:lang w:val="es-419"/>
        </w:rPr>
        <w:t>.</w:t>
      </w:r>
    </w:p>
    <w:p w14:paraId="48CC3303" w14:textId="77777777" w:rsidR="00A23492" w:rsidRPr="000801F3" w:rsidRDefault="00A23492" w:rsidP="00A23492">
      <w:pPr>
        <w:pStyle w:val="Heading1"/>
        <w:rPr>
          <w:lang w:val="es-419"/>
        </w:rPr>
      </w:pPr>
      <w:r w:rsidRPr="000801F3">
        <w:rPr>
          <w:lang w:val="es-419"/>
        </w:rPr>
        <w:t>El valor de las actividades de reducción del HFC presentadas en la 84</w:t>
      </w:r>
      <w:r w:rsidRPr="000801F3">
        <w:rPr>
          <w:vertAlign w:val="superscript"/>
          <w:lang w:val="es-419"/>
        </w:rPr>
        <w:t xml:space="preserve">ª </w:t>
      </w:r>
      <w:r w:rsidRPr="000801F3">
        <w:rPr>
          <w:lang w:val="es-419"/>
        </w:rPr>
        <w:t xml:space="preserve">reunión es de 2 539 511 $EUA, de los cuales 1 101 777 $EUA están asociados a propuestas de proyectos no incluidas en el plan administrativo de 2019. </w:t>
      </w:r>
      <w:r w:rsidRPr="000801F3">
        <w:rPr>
          <w:color w:val="000000" w:themeColor="text1"/>
          <w:lang w:val="es-419"/>
        </w:rPr>
        <w:t>En el anexo I del presente documento figura una lista de los proyectos relacionados con el HFC presentados por los organismos de ejecución en la 84</w:t>
      </w:r>
      <w:r w:rsidRPr="000801F3">
        <w:rPr>
          <w:color w:val="000000" w:themeColor="text1"/>
          <w:vertAlign w:val="superscript"/>
          <w:lang w:val="es-419"/>
        </w:rPr>
        <w:t>ª</w:t>
      </w:r>
      <w:r w:rsidRPr="000801F3">
        <w:rPr>
          <w:color w:val="000000" w:themeColor="text1"/>
          <w:lang w:val="es-419"/>
        </w:rPr>
        <w:t xml:space="preserve"> reunión.</w:t>
      </w:r>
    </w:p>
    <w:p w14:paraId="5CCDE5D6" w14:textId="77777777" w:rsidR="00A23492" w:rsidRPr="000801F3" w:rsidRDefault="00A23492" w:rsidP="00A23492">
      <w:pPr>
        <w:pStyle w:val="Heading1"/>
        <w:rPr>
          <w:color w:val="000000" w:themeColor="text1"/>
          <w:lang w:val="es-419"/>
        </w:rPr>
      </w:pPr>
      <w:r w:rsidRPr="000801F3">
        <w:rPr>
          <w:lang w:val="es-419"/>
        </w:rPr>
        <w:t>No se presentaron en la 84</w:t>
      </w:r>
      <w:r w:rsidRPr="000801F3">
        <w:rPr>
          <w:vertAlign w:val="superscript"/>
          <w:lang w:val="es-419"/>
        </w:rPr>
        <w:t>a</w:t>
      </w:r>
      <w:r w:rsidRPr="000801F3">
        <w:rPr>
          <w:lang w:val="es-419"/>
        </w:rPr>
        <w:t xml:space="preserve"> reunión propuestas de proyectos por un valor de 44 710 417 $EUA</w:t>
      </w:r>
      <w:r w:rsidRPr="000801F3">
        <w:rPr>
          <w:rStyle w:val="FootnoteReference"/>
          <w:lang w:val="es-419"/>
        </w:rPr>
        <w:footnoteReference w:id="2"/>
      </w:r>
      <w:r w:rsidRPr="000801F3">
        <w:rPr>
          <w:lang w:val="es-419"/>
        </w:rPr>
        <w:t xml:space="preserve"> que se incluyeron en el plan administrativo de 2019. Estas propuestas se han incluido en el plan administrativo refundido del Fondo Multilateral para 2020-2022</w:t>
      </w:r>
      <w:r w:rsidRPr="000801F3">
        <w:rPr>
          <w:rStyle w:val="FootnoteReference"/>
          <w:lang w:val="es-419"/>
        </w:rPr>
        <w:footnoteReference w:id="3"/>
      </w:r>
      <w:r w:rsidRPr="000801F3">
        <w:rPr>
          <w:lang w:val="es-419"/>
        </w:rPr>
        <w:t>.</w:t>
      </w:r>
    </w:p>
    <w:p w14:paraId="61F72439" w14:textId="77777777" w:rsidR="00A23492" w:rsidRPr="000801F3" w:rsidRDefault="00A23492" w:rsidP="00A23492">
      <w:pPr>
        <w:pStyle w:val="Heading1"/>
        <w:keepNext/>
        <w:numPr>
          <w:ilvl w:val="0"/>
          <w:numId w:val="0"/>
        </w:numPr>
        <w:rPr>
          <w:b/>
          <w:bCs/>
          <w:color w:val="000000" w:themeColor="text1"/>
          <w:lang w:val="es-419"/>
        </w:rPr>
      </w:pPr>
      <w:r w:rsidRPr="000801F3">
        <w:rPr>
          <w:b/>
          <w:bCs/>
          <w:color w:val="000000" w:themeColor="text1"/>
          <w:lang w:val="es-419"/>
        </w:rPr>
        <w:lastRenderedPageBreak/>
        <w:t>Compromisos futuros</w:t>
      </w:r>
    </w:p>
    <w:p w14:paraId="6135849C" w14:textId="77777777" w:rsidR="00A23492" w:rsidRPr="000801F3" w:rsidRDefault="00A23492" w:rsidP="00A23492">
      <w:pPr>
        <w:pStyle w:val="Heading1"/>
        <w:rPr>
          <w:lang w:val="es-419"/>
        </w:rPr>
      </w:pPr>
      <w:r w:rsidRPr="000801F3">
        <w:rPr>
          <w:lang w:val="es-419"/>
        </w:rPr>
        <w:t>El volumen total de los compromisos futuros vigentes para acuerdos plurianuales, para el periodo 2019 a 2031, es de 647,24 millones de $EUA, presuponiéndose que las solicitudes de financiación de acuerdos plurianuales presentadas en la 84ª reunión sean aprobadas en principio, como se ve en la tabla 3.</w:t>
      </w:r>
    </w:p>
    <w:p w14:paraId="298C2732" w14:textId="77777777" w:rsidR="00A23492" w:rsidRPr="000801F3" w:rsidRDefault="00A23492" w:rsidP="00A23492">
      <w:pPr>
        <w:keepNext/>
        <w:rPr>
          <w:b/>
          <w:bCs/>
          <w:color w:val="000000" w:themeColor="text1"/>
          <w:lang w:val="es-419"/>
        </w:rPr>
      </w:pPr>
      <w:r w:rsidRPr="000801F3">
        <w:rPr>
          <w:b/>
          <w:bCs/>
          <w:color w:val="000000" w:themeColor="text1"/>
          <w:lang w:val="es-419"/>
        </w:rPr>
        <w:t>Tabla 3. Compromisos futuros (2019-2031) (en miles $EUA)</w:t>
      </w:r>
    </w:p>
    <w:tbl>
      <w:tblPr>
        <w:tblW w:w="9355" w:type="dxa"/>
        <w:tblLayout w:type="fixed"/>
        <w:tblLook w:val="04A0" w:firstRow="1" w:lastRow="0" w:firstColumn="1" w:lastColumn="0" w:noHBand="0" w:noVBand="1"/>
      </w:tblPr>
      <w:tblGrid>
        <w:gridCol w:w="985"/>
        <w:gridCol w:w="697"/>
        <w:gridCol w:w="698"/>
        <w:gridCol w:w="697"/>
        <w:gridCol w:w="698"/>
        <w:gridCol w:w="697"/>
        <w:gridCol w:w="698"/>
        <w:gridCol w:w="697"/>
        <w:gridCol w:w="698"/>
        <w:gridCol w:w="697"/>
        <w:gridCol w:w="698"/>
        <w:gridCol w:w="697"/>
        <w:gridCol w:w="698"/>
      </w:tblGrid>
      <w:tr w:rsidR="00A23492" w:rsidRPr="000801F3" w14:paraId="255FB8BD" w14:textId="77777777" w:rsidTr="005B54E4">
        <w:tc>
          <w:tcPr>
            <w:tcW w:w="98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0C866FC" w14:textId="77777777" w:rsidR="00A23492" w:rsidRPr="000801F3" w:rsidRDefault="00A23492" w:rsidP="005B54E4">
            <w:pPr>
              <w:jc w:val="center"/>
              <w:rPr>
                <w:b/>
                <w:bCs/>
                <w:color w:val="000000"/>
                <w:sz w:val="18"/>
                <w:szCs w:val="18"/>
                <w:lang w:val="es-419"/>
              </w:rPr>
            </w:pPr>
            <w:r w:rsidRPr="000801F3">
              <w:rPr>
                <w:b/>
                <w:bCs/>
                <w:color w:val="000000"/>
                <w:sz w:val="18"/>
                <w:szCs w:val="18"/>
                <w:lang w:val="es-419"/>
              </w:rPr>
              <w:t>Descripción</w:t>
            </w:r>
          </w:p>
        </w:tc>
        <w:tc>
          <w:tcPr>
            <w:tcW w:w="697"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23237F68" w14:textId="77777777" w:rsidR="00A23492" w:rsidRPr="000801F3" w:rsidRDefault="00A23492" w:rsidP="005B54E4">
            <w:pPr>
              <w:jc w:val="center"/>
              <w:rPr>
                <w:b/>
                <w:bCs/>
                <w:sz w:val="18"/>
                <w:szCs w:val="18"/>
                <w:lang w:val="es-419"/>
              </w:rPr>
            </w:pPr>
            <w:r w:rsidRPr="000801F3">
              <w:rPr>
                <w:b/>
                <w:bCs/>
                <w:sz w:val="18"/>
                <w:szCs w:val="18"/>
                <w:lang w:val="es-419"/>
              </w:rPr>
              <w:t>2019</w:t>
            </w:r>
          </w:p>
        </w:tc>
        <w:tc>
          <w:tcPr>
            <w:tcW w:w="698"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23DB728E" w14:textId="77777777" w:rsidR="00A23492" w:rsidRPr="000801F3" w:rsidRDefault="00A23492" w:rsidP="005B54E4">
            <w:pPr>
              <w:jc w:val="center"/>
              <w:rPr>
                <w:b/>
                <w:bCs/>
                <w:sz w:val="18"/>
                <w:szCs w:val="18"/>
                <w:lang w:val="es-419"/>
              </w:rPr>
            </w:pPr>
            <w:r w:rsidRPr="000801F3">
              <w:rPr>
                <w:b/>
                <w:bCs/>
                <w:sz w:val="18"/>
                <w:szCs w:val="18"/>
                <w:lang w:val="es-419"/>
              </w:rPr>
              <w:t>2020</w:t>
            </w:r>
          </w:p>
        </w:tc>
        <w:tc>
          <w:tcPr>
            <w:tcW w:w="697"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34C6724A" w14:textId="77777777" w:rsidR="00A23492" w:rsidRPr="000801F3" w:rsidRDefault="00A23492" w:rsidP="005B54E4">
            <w:pPr>
              <w:jc w:val="center"/>
              <w:rPr>
                <w:b/>
                <w:bCs/>
                <w:sz w:val="18"/>
                <w:szCs w:val="18"/>
                <w:lang w:val="es-419"/>
              </w:rPr>
            </w:pPr>
            <w:r w:rsidRPr="000801F3">
              <w:rPr>
                <w:b/>
                <w:bCs/>
                <w:sz w:val="18"/>
                <w:szCs w:val="18"/>
                <w:lang w:val="es-419"/>
              </w:rPr>
              <w:t>2021</w:t>
            </w:r>
          </w:p>
        </w:tc>
        <w:tc>
          <w:tcPr>
            <w:tcW w:w="698"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3C1B41A9" w14:textId="77777777" w:rsidR="00A23492" w:rsidRPr="000801F3" w:rsidRDefault="00A23492" w:rsidP="005B54E4">
            <w:pPr>
              <w:jc w:val="center"/>
              <w:rPr>
                <w:b/>
                <w:bCs/>
                <w:sz w:val="18"/>
                <w:szCs w:val="18"/>
                <w:lang w:val="es-419"/>
              </w:rPr>
            </w:pPr>
            <w:r w:rsidRPr="000801F3">
              <w:rPr>
                <w:b/>
                <w:bCs/>
                <w:sz w:val="18"/>
                <w:szCs w:val="18"/>
                <w:lang w:val="es-419"/>
              </w:rPr>
              <w:t>2022</w:t>
            </w:r>
          </w:p>
        </w:tc>
        <w:tc>
          <w:tcPr>
            <w:tcW w:w="697"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7CB2B823" w14:textId="77777777" w:rsidR="00A23492" w:rsidRPr="000801F3" w:rsidRDefault="00A23492" w:rsidP="005B54E4">
            <w:pPr>
              <w:jc w:val="center"/>
              <w:rPr>
                <w:b/>
                <w:bCs/>
                <w:sz w:val="18"/>
                <w:szCs w:val="18"/>
                <w:lang w:val="es-419"/>
              </w:rPr>
            </w:pPr>
            <w:r w:rsidRPr="000801F3">
              <w:rPr>
                <w:b/>
                <w:bCs/>
                <w:sz w:val="18"/>
                <w:szCs w:val="18"/>
                <w:lang w:val="es-419"/>
              </w:rPr>
              <w:t>2023</w:t>
            </w:r>
          </w:p>
        </w:tc>
        <w:tc>
          <w:tcPr>
            <w:tcW w:w="698"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6F4F00A9" w14:textId="77777777" w:rsidR="00A23492" w:rsidRPr="000801F3" w:rsidRDefault="00A23492" w:rsidP="005B54E4">
            <w:pPr>
              <w:jc w:val="center"/>
              <w:rPr>
                <w:b/>
                <w:bCs/>
                <w:sz w:val="18"/>
                <w:szCs w:val="18"/>
                <w:lang w:val="es-419"/>
              </w:rPr>
            </w:pPr>
            <w:r w:rsidRPr="000801F3">
              <w:rPr>
                <w:b/>
                <w:bCs/>
                <w:sz w:val="18"/>
                <w:szCs w:val="18"/>
                <w:lang w:val="es-419"/>
              </w:rPr>
              <w:t>2024</w:t>
            </w:r>
          </w:p>
        </w:tc>
        <w:tc>
          <w:tcPr>
            <w:tcW w:w="697"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44D94D9A" w14:textId="77777777" w:rsidR="00A23492" w:rsidRPr="000801F3" w:rsidRDefault="00A23492" w:rsidP="005B54E4">
            <w:pPr>
              <w:jc w:val="center"/>
              <w:rPr>
                <w:b/>
                <w:bCs/>
                <w:sz w:val="18"/>
                <w:szCs w:val="18"/>
                <w:lang w:val="es-419"/>
              </w:rPr>
            </w:pPr>
            <w:r w:rsidRPr="000801F3">
              <w:rPr>
                <w:b/>
                <w:bCs/>
                <w:sz w:val="18"/>
                <w:szCs w:val="18"/>
                <w:lang w:val="es-419"/>
              </w:rPr>
              <w:t>2025</w:t>
            </w:r>
          </w:p>
        </w:tc>
        <w:tc>
          <w:tcPr>
            <w:tcW w:w="698"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5F82F0AC" w14:textId="77777777" w:rsidR="00A23492" w:rsidRPr="000801F3" w:rsidRDefault="00A23492" w:rsidP="005B54E4">
            <w:pPr>
              <w:jc w:val="center"/>
              <w:rPr>
                <w:b/>
                <w:bCs/>
                <w:sz w:val="18"/>
                <w:szCs w:val="18"/>
                <w:lang w:val="es-419"/>
              </w:rPr>
            </w:pPr>
            <w:r w:rsidRPr="000801F3">
              <w:rPr>
                <w:b/>
                <w:bCs/>
                <w:sz w:val="18"/>
                <w:szCs w:val="18"/>
                <w:lang w:val="es-419"/>
              </w:rPr>
              <w:t>2026</w:t>
            </w:r>
          </w:p>
        </w:tc>
        <w:tc>
          <w:tcPr>
            <w:tcW w:w="697"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3D57ED9F" w14:textId="77777777" w:rsidR="00A23492" w:rsidRPr="000801F3" w:rsidRDefault="00A23492" w:rsidP="005B54E4">
            <w:pPr>
              <w:jc w:val="center"/>
              <w:rPr>
                <w:b/>
                <w:bCs/>
                <w:sz w:val="18"/>
                <w:szCs w:val="18"/>
                <w:lang w:val="es-419"/>
              </w:rPr>
            </w:pPr>
            <w:r w:rsidRPr="000801F3">
              <w:rPr>
                <w:b/>
                <w:bCs/>
                <w:sz w:val="18"/>
                <w:szCs w:val="18"/>
                <w:lang w:val="es-419"/>
              </w:rPr>
              <w:t>2027</w:t>
            </w:r>
          </w:p>
        </w:tc>
        <w:tc>
          <w:tcPr>
            <w:tcW w:w="698"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7143BF41" w14:textId="77777777" w:rsidR="00A23492" w:rsidRPr="000801F3" w:rsidRDefault="00A23492" w:rsidP="005B54E4">
            <w:pPr>
              <w:jc w:val="center"/>
              <w:rPr>
                <w:b/>
                <w:bCs/>
                <w:sz w:val="18"/>
                <w:szCs w:val="18"/>
                <w:lang w:val="es-419"/>
              </w:rPr>
            </w:pPr>
            <w:r w:rsidRPr="000801F3">
              <w:rPr>
                <w:b/>
                <w:bCs/>
                <w:sz w:val="18"/>
                <w:szCs w:val="18"/>
                <w:lang w:val="es-419"/>
              </w:rPr>
              <w:t>2030</w:t>
            </w:r>
          </w:p>
        </w:tc>
        <w:tc>
          <w:tcPr>
            <w:tcW w:w="697"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4F0D204A" w14:textId="77777777" w:rsidR="00A23492" w:rsidRPr="000801F3" w:rsidRDefault="00A23492" w:rsidP="005B54E4">
            <w:pPr>
              <w:jc w:val="center"/>
              <w:rPr>
                <w:b/>
                <w:bCs/>
                <w:sz w:val="18"/>
                <w:szCs w:val="18"/>
                <w:lang w:val="es-419"/>
              </w:rPr>
            </w:pPr>
            <w:r w:rsidRPr="000801F3">
              <w:rPr>
                <w:b/>
                <w:bCs/>
                <w:sz w:val="18"/>
                <w:szCs w:val="18"/>
                <w:lang w:val="es-419"/>
              </w:rPr>
              <w:t>2031</w:t>
            </w:r>
          </w:p>
        </w:tc>
        <w:tc>
          <w:tcPr>
            <w:tcW w:w="698"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459CA481" w14:textId="77777777" w:rsidR="00A23492" w:rsidRPr="000801F3" w:rsidRDefault="00A23492" w:rsidP="005B54E4">
            <w:pPr>
              <w:jc w:val="center"/>
              <w:rPr>
                <w:b/>
                <w:bCs/>
                <w:color w:val="000000"/>
                <w:sz w:val="18"/>
                <w:szCs w:val="18"/>
                <w:lang w:val="es-419"/>
              </w:rPr>
            </w:pPr>
            <w:r w:rsidRPr="000801F3">
              <w:rPr>
                <w:b/>
                <w:bCs/>
                <w:color w:val="000000"/>
                <w:sz w:val="18"/>
                <w:szCs w:val="18"/>
                <w:lang w:val="es-419"/>
              </w:rPr>
              <w:t>Total</w:t>
            </w:r>
          </w:p>
        </w:tc>
      </w:tr>
      <w:tr w:rsidR="00A23492" w:rsidRPr="000801F3" w14:paraId="3300270E" w14:textId="77777777" w:rsidTr="005B54E4">
        <w:tc>
          <w:tcPr>
            <w:tcW w:w="985"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14:paraId="643EF643" w14:textId="77777777" w:rsidR="00A23492" w:rsidRPr="000801F3" w:rsidRDefault="00A23492" w:rsidP="005B54E4">
            <w:pPr>
              <w:jc w:val="left"/>
              <w:rPr>
                <w:color w:val="000000"/>
                <w:sz w:val="18"/>
                <w:szCs w:val="18"/>
                <w:lang w:val="es-419"/>
              </w:rPr>
            </w:pPr>
            <w:r w:rsidRPr="000801F3">
              <w:rPr>
                <w:color w:val="000000"/>
                <w:sz w:val="18"/>
                <w:szCs w:val="18"/>
                <w:lang w:val="es-419"/>
              </w:rPr>
              <w:t>Aprobados en principio*</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5E7A4CBE" w14:textId="77777777" w:rsidR="00A23492" w:rsidRPr="000801F3" w:rsidRDefault="00A23492" w:rsidP="005B54E4">
            <w:pPr>
              <w:jc w:val="right"/>
              <w:rPr>
                <w:sz w:val="18"/>
                <w:szCs w:val="18"/>
                <w:lang w:val="es-419"/>
              </w:rPr>
            </w:pPr>
            <w:r w:rsidRPr="000801F3">
              <w:rPr>
                <w:sz w:val="18"/>
                <w:szCs w:val="18"/>
                <w:lang w:val="es-419"/>
              </w:rPr>
              <w:t>79 440</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14DEFE27" w14:textId="77777777" w:rsidR="00A23492" w:rsidRPr="000801F3" w:rsidRDefault="00A23492" w:rsidP="005B54E4">
            <w:pPr>
              <w:jc w:val="right"/>
              <w:rPr>
                <w:sz w:val="18"/>
                <w:szCs w:val="18"/>
                <w:lang w:val="es-419"/>
              </w:rPr>
            </w:pPr>
            <w:r w:rsidRPr="000801F3">
              <w:rPr>
                <w:sz w:val="18"/>
                <w:szCs w:val="18"/>
                <w:lang w:val="es-419"/>
              </w:rPr>
              <w:t>135 145</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49C8CB93" w14:textId="77777777" w:rsidR="00A23492" w:rsidRPr="000801F3" w:rsidRDefault="00A23492" w:rsidP="005B54E4">
            <w:pPr>
              <w:jc w:val="right"/>
              <w:rPr>
                <w:sz w:val="18"/>
                <w:szCs w:val="18"/>
                <w:lang w:val="es-419"/>
              </w:rPr>
            </w:pPr>
            <w:r w:rsidRPr="000801F3">
              <w:rPr>
                <w:sz w:val="18"/>
                <w:szCs w:val="18"/>
                <w:lang w:val="es-419"/>
              </w:rPr>
              <w:t>104 089</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3736A317" w14:textId="77777777" w:rsidR="00A23492" w:rsidRPr="000801F3" w:rsidRDefault="00A23492" w:rsidP="005B54E4">
            <w:pPr>
              <w:jc w:val="right"/>
              <w:rPr>
                <w:sz w:val="18"/>
                <w:szCs w:val="18"/>
                <w:lang w:val="es-419"/>
              </w:rPr>
            </w:pPr>
            <w:r w:rsidRPr="000801F3">
              <w:rPr>
                <w:sz w:val="18"/>
                <w:szCs w:val="18"/>
                <w:lang w:val="es-419"/>
              </w:rPr>
              <w:t>81 455</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461B7748" w14:textId="77777777" w:rsidR="00A23492" w:rsidRPr="000801F3" w:rsidRDefault="00A23492" w:rsidP="005B54E4">
            <w:pPr>
              <w:jc w:val="right"/>
              <w:rPr>
                <w:sz w:val="18"/>
                <w:szCs w:val="18"/>
                <w:lang w:val="es-419"/>
              </w:rPr>
            </w:pPr>
            <w:r w:rsidRPr="000801F3">
              <w:rPr>
                <w:sz w:val="18"/>
                <w:szCs w:val="18"/>
                <w:lang w:val="es-419"/>
              </w:rPr>
              <w:t>58 556</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26BBDB67" w14:textId="77777777" w:rsidR="00A23492" w:rsidRPr="000801F3" w:rsidRDefault="00A23492" w:rsidP="005B54E4">
            <w:pPr>
              <w:jc w:val="right"/>
              <w:rPr>
                <w:sz w:val="18"/>
                <w:szCs w:val="18"/>
                <w:lang w:val="es-419"/>
              </w:rPr>
            </w:pPr>
            <w:r w:rsidRPr="000801F3">
              <w:rPr>
                <w:sz w:val="18"/>
                <w:szCs w:val="18"/>
                <w:lang w:val="es-419"/>
              </w:rPr>
              <w:t>29 137</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0FDCB485" w14:textId="77777777" w:rsidR="00A23492" w:rsidRPr="000801F3" w:rsidRDefault="00A23492" w:rsidP="005B54E4">
            <w:pPr>
              <w:jc w:val="right"/>
              <w:rPr>
                <w:sz w:val="18"/>
                <w:szCs w:val="18"/>
                <w:lang w:val="es-419"/>
              </w:rPr>
            </w:pPr>
            <w:r w:rsidRPr="000801F3">
              <w:rPr>
                <w:sz w:val="18"/>
                <w:szCs w:val="18"/>
                <w:lang w:val="es-419"/>
              </w:rPr>
              <w:t>30 319</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21060B57" w14:textId="77777777" w:rsidR="00A23492" w:rsidRPr="000801F3" w:rsidRDefault="00A23492" w:rsidP="005B54E4">
            <w:pPr>
              <w:jc w:val="right"/>
              <w:rPr>
                <w:sz w:val="18"/>
                <w:szCs w:val="18"/>
                <w:lang w:val="es-419"/>
              </w:rPr>
            </w:pPr>
            <w:r w:rsidRPr="000801F3">
              <w:rPr>
                <w:sz w:val="18"/>
                <w:szCs w:val="18"/>
                <w:lang w:val="es-419"/>
              </w:rPr>
              <w:t>33 237</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7FEDC4D8" w14:textId="77777777" w:rsidR="00A23492" w:rsidRPr="000801F3" w:rsidRDefault="00A23492" w:rsidP="005B54E4">
            <w:pPr>
              <w:jc w:val="right"/>
              <w:rPr>
                <w:sz w:val="18"/>
                <w:szCs w:val="18"/>
                <w:lang w:val="es-419"/>
              </w:rPr>
            </w:pPr>
            <w:r w:rsidRPr="000801F3">
              <w:rPr>
                <w:sz w:val="18"/>
                <w:szCs w:val="18"/>
                <w:lang w:val="es-419"/>
              </w:rPr>
              <w:t>16 078</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5FA5942B" w14:textId="77777777" w:rsidR="00A23492" w:rsidRPr="000801F3" w:rsidRDefault="00A23492" w:rsidP="005B54E4">
            <w:pPr>
              <w:jc w:val="right"/>
              <w:rPr>
                <w:sz w:val="18"/>
                <w:szCs w:val="18"/>
                <w:lang w:val="es-419"/>
              </w:rPr>
            </w:pPr>
            <w:r w:rsidRPr="000801F3">
              <w:rPr>
                <w:sz w:val="18"/>
                <w:szCs w:val="18"/>
                <w:lang w:val="es-419"/>
              </w:rPr>
              <w:t>212</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6E321FA4" w14:textId="77777777" w:rsidR="00A23492" w:rsidRPr="000801F3" w:rsidRDefault="00A23492" w:rsidP="005B54E4">
            <w:pPr>
              <w:jc w:val="right"/>
              <w:rPr>
                <w:sz w:val="18"/>
                <w:szCs w:val="18"/>
                <w:lang w:val="es-419"/>
              </w:rPr>
            </w:pPr>
            <w:r w:rsidRPr="000801F3">
              <w:rPr>
                <w:sz w:val="18"/>
                <w:szCs w:val="18"/>
                <w:lang w:val="es-419"/>
              </w:rPr>
              <w:t>57</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13F4D79C" w14:textId="77777777" w:rsidR="00A23492" w:rsidRPr="000801F3" w:rsidRDefault="00A23492" w:rsidP="005B54E4">
            <w:pPr>
              <w:jc w:val="right"/>
              <w:rPr>
                <w:sz w:val="18"/>
                <w:szCs w:val="18"/>
                <w:lang w:val="es-419"/>
              </w:rPr>
            </w:pPr>
            <w:r w:rsidRPr="000801F3">
              <w:rPr>
                <w:sz w:val="18"/>
                <w:szCs w:val="18"/>
                <w:lang w:val="es-419"/>
              </w:rPr>
              <w:t>567 725</w:t>
            </w:r>
          </w:p>
        </w:tc>
      </w:tr>
      <w:tr w:rsidR="00A23492" w:rsidRPr="000801F3" w14:paraId="6A4B9B12" w14:textId="77777777" w:rsidTr="005B54E4">
        <w:tc>
          <w:tcPr>
            <w:tcW w:w="985"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14:paraId="27E72472" w14:textId="77777777" w:rsidR="00A23492" w:rsidRPr="000801F3" w:rsidRDefault="00A23492" w:rsidP="005B54E4">
            <w:pPr>
              <w:ind w:right="-136"/>
              <w:jc w:val="left"/>
              <w:rPr>
                <w:color w:val="000000"/>
                <w:sz w:val="18"/>
                <w:szCs w:val="18"/>
                <w:lang w:val="es-419"/>
              </w:rPr>
            </w:pPr>
            <w:r w:rsidRPr="000801F3">
              <w:rPr>
                <w:color w:val="000000"/>
                <w:sz w:val="18"/>
                <w:szCs w:val="18"/>
                <w:lang w:val="es-419"/>
              </w:rPr>
              <w:t>Presentados en la 84</w:t>
            </w:r>
            <w:r w:rsidRPr="000801F3">
              <w:rPr>
                <w:color w:val="000000"/>
                <w:sz w:val="18"/>
                <w:szCs w:val="18"/>
                <w:vertAlign w:val="superscript"/>
                <w:lang w:val="es-419"/>
              </w:rPr>
              <w:t>a</w:t>
            </w:r>
            <w:r w:rsidRPr="000801F3">
              <w:rPr>
                <w:color w:val="000000"/>
                <w:sz w:val="18"/>
                <w:szCs w:val="18"/>
                <w:lang w:val="es-419"/>
              </w:rPr>
              <w:t xml:space="preserve"> reunión</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696DF384" w14:textId="77777777" w:rsidR="00A23492" w:rsidRPr="000801F3" w:rsidRDefault="00A23492" w:rsidP="005B54E4">
            <w:pPr>
              <w:jc w:val="right"/>
              <w:rPr>
                <w:sz w:val="18"/>
                <w:szCs w:val="18"/>
                <w:lang w:val="es-419"/>
              </w:rPr>
            </w:pPr>
            <w:r w:rsidRPr="000801F3">
              <w:rPr>
                <w:sz w:val="18"/>
                <w:szCs w:val="18"/>
                <w:lang w:val="es-419"/>
              </w:rPr>
              <w:t>26 756</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3A240172" w14:textId="77777777" w:rsidR="00A23492" w:rsidRPr="000801F3" w:rsidRDefault="00A23492" w:rsidP="005B54E4">
            <w:pPr>
              <w:jc w:val="right"/>
              <w:rPr>
                <w:sz w:val="18"/>
                <w:szCs w:val="18"/>
                <w:lang w:val="es-419"/>
              </w:rPr>
            </w:pPr>
            <w:r w:rsidRPr="000801F3">
              <w:rPr>
                <w:sz w:val="18"/>
                <w:szCs w:val="18"/>
                <w:lang w:val="es-419"/>
              </w:rPr>
              <w:t>25 551</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12583ADF" w14:textId="77777777" w:rsidR="00A23492" w:rsidRPr="000801F3" w:rsidRDefault="00A23492" w:rsidP="005B54E4">
            <w:pPr>
              <w:jc w:val="right"/>
              <w:rPr>
                <w:sz w:val="18"/>
                <w:szCs w:val="18"/>
                <w:lang w:val="es-419"/>
              </w:rPr>
            </w:pPr>
            <w:r w:rsidRPr="000801F3">
              <w:rPr>
                <w:sz w:val="18"/>
                <w:szCs w:val="18"/>
                <w:lang w:val="es-419"/>
              </w:rPr>
              <w:t>25 964</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5DD7494A" w14:textId="77777777" w:rsidR="00A23492" w:rsidRPr="000801F3" w:rsidRDefault="00A23492" w:rsidP="005B54E4">
            <w:pPr>
              <w:jc w:val="right"/>
              <w:rPr>
                <w:sz w:val="18"/>
                <w:szCs w:val="18"/>
                <w:lang w:val="es-419"/>
              </w:rPr>
            </w:pPr>
            <w:r w:rsidRPr="000801F3">
              <w:rPr>
                <w:sz w:val="18"/>
                <w:szCs w:val="18"/>
                <w:lang w:val="es-419"/>
              </w:rPr>
              <w:t>527</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27237247" w14:textId="77777777" w:rsidR="00A23492" w:rsidRPr="000801F3" w:rsidRDefault="00A23492" w:rsidP="005B54E4">
            <w:pPr>
              <w:jc w:val="right"/>
              <w:rPr>
                <w:sz w:val="18"/>
                <w:szCs w:val="18"/>
                <w:lang w:val="es-419"/>
              </w:rPr>
            </w:pPr>
            <w:r w:rsidRPr="000801F3">
              <w:rPr>
                <w:sz w:val="18"/>
                <w:szCs w:val="18"/>
                <w:lang w:val="es-419"/>
              </w:rPr>
              <w:t>0</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15E3D1D5" w14:textId="77777777" w:rsidR="00A23492" w:rsidRPr="000801F3" w:rsidRDefault="00A23492" w:rsidP="005B54E4">
            <w:pPr>
              <w:jc w:val="right"/>
              <w:rPr>
                <w:sz w:val="18"/>
                <w:szCs w:val="18"/>
                <w:lang w:val="es-419"/>
              </w:rPr>
            </w:pPr>
            <w:r w:rsidRPr="000801F3">
              <w:rPr>
                <w:sz w:val="18"/>
                <w:szCs w:val="18"/>
                <w:lang w:val="es-419"/>
              </w:rPr>
              <w:t>316</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5FF58928" w14:textId="77777777" w:rsidR="00A23492" w:rsidRPr="000801F3" w:rsidRDefault="00A23492" w:rsidP="005B54E4">
            <w:pPr>
              <w:jc w:val="right"/>
              <w:rPr>
                <w:sz w:val="18"/>
                <w:szCs w:val="18"/>
                <w:lang w:val="es-419"/>
              </w:rPr>
            </w:pPr>
            <w:r w:rsidRPr="000801F3">
              <w:rPr>
                <w:sz w:val="18"/>
                <w:szCs w:val="18"/>
                <w:lang w:val="es-419"/>
              </w:rPr>
              <w:t>156</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699BA6E2" w14:textId="77777777" w:rsidR="00A23492" w:rsidRPr="000801F3" w:rsidRDefault="00A23492" w:rsidP="005B54E4">
            <w:pPr>
              <w:jc w:val="right"/>
              <w:rPr>
                <w:sz w:val="18"/>
                <w:szCs w:val="18"/>
                <w:lang w:val="es-419"/>
              </w:rPr>
            </w:pPr>
            <w:r w:rsidRPr="000801F3">
              <w:rPr>
                <w:sz w:val="18"/>
                <w:szCs w:val="18"/>
                <w:lang w:val="es-419"/>
              </w:rPr>
              <w:t>0</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135E26C3" w14:textId="77777777" w:rsidR="00A23492" w:rsidRPr="000801F3" w:rsidRDefault="00A23492" w:rsidP="005B54E4">
            <w:pPr>
              <w:jc w:val="right"/>
              <w:rPr>
                <w:sz w:val="18"/>
                <w:szCs w:val="18"/>
                <w:lang w:val="es-419"/>
              </w:rPr>
            </w:pPr>
            <w:r w:rsidRPr="000801F3">
              <w:rPr>
                <w:sz w:val="18"/>
                <w:szCs w:val="18"/>
                <w:lang w:val="es-419"/>
              </w:rPr>
              <w:t>135</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1E01C795" w14:textId="77777777" w:rsidR="00A23492" w:rsidRPr="000801F3" w:rsidRDefault="00A23492" w:rsidP="005B54E4">
            <w:pPr>
              <w:jc w:val="right"/>
              <w:rPr>
                <w:sz w:val="18"/>
                <w:szCs w:val="18"/>
                <w:lang w:val="es-419"/>
              </w:rPr>
            </w:pPr>
            <w:r w:rsidRPr="000801F3">
              <w:rPr>
                <w:sz w:val="18"/>
                <w:szCs w:val="18"/>
                <w:lang w:val="es-419"/>
              </w:rPr>
              <w:t>111</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45525035" w14:textId="77777777" w:rsidR="00A23492" w:rsidRPr="000801F3" w:rsidRDefault="00A23492" w:rsidP="005B54E4">
            <w:pPr>
              <w:jc w:val="right"/>
              <w:rPr>
                <w:sz w:val="18"/>
                <w:szCs w:val="18"/>
                <w:lang w:val="es-419"/>
              </w:rPr>
            </w:pPr>
            <w:r w:rsidRPr="000801F3">
              <w:rPr>
                <w:sz w:val="18"/>
                <w:szCs w:val="18"/>
                <w:lang w:val="es-419"/>
              </w:rPr>
              <w:t>0</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01DBDA1F" w14:textId="77777777" w:rsidR="00A23492" w:rsidRPr="000801F3" w:rsidRDefault="00A23492" w:rsidP="005B54E4">
            <w:pPr>
              <w:jc w:val="right"/>
              <w:rPr>
                <w:sz w:val="18"/>
                <w:szCs w:val="18"/>
                <w:lang w:val="es-419"/>
              </w:rPr>
            </w:pPr>
            <w:r w:rsidRPr="000801F3">
              <w:rPr>
                <w:sz w:val="18"/>
                <w:szCs w:val="18"/>
                <w:lang w:val="es-419"/>
              </w:rPr>
              <w:t>79 516</w:t>
            </w:r>
          </w:p>
        </w:tc>
      </w:tr>
      <w:tr w:rsidR="00A23492" w:rsidRPr="000801F3" w14:paraId="2D099B74" w14:textId="77777777" w:rsidTr="005B54E4">
        <w:tc>
          <w:tcPr>
            <w:tcW w:w="985"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14:paraId="7188EA23" w14:textId="77777777" w:rsidR="00A23492" w:rsidRPr="000801F3" w:rsidRDefault="00A23492" w:rsidP="005B54E4">
            <w:pPr>
              <w:jc w:val="left"/>
              <w:rPr>
                <w:color w:val="000000"/>
                <w:sz w:val="18"/>
                <w:szCs w:val="18"/>
                <w:lang w:val="es-419"/>
              </w:rPr>
            </w:pPr>
            <w:r w:rsidRPr="000801F3">
              <w:rPr>
                <w:color w:val="000000"/>
                <w:sz w:val="18"/>
                <w:szCs w:val="18"/>
                <w:lang w:val="es-419"/>
              </w:rPr>
              <w:t xml:space="preserve">Total </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2C8B4770" w14:textId="77777777" w:rsidR="00A23492" w:rsidRPr="000801F3" w:rsidRDefault="00A23492" w:rsidP="005B54E4">
            <w:pPr>
              <w:jc w:val="right"/>
              <w:rPr>
                <w:b/>
                <w:bCs/>
                <w:sz w:val="18"/>
                <w:szCs w:val="18"/>
                <w:lang w:val="es-419"/>
              </w:rPr>
            </w:pPr>
            <w:r w:rsidRPr="000801F3">
              <w:rPr>
                <w:b/>
                <w:bCs/>
                <w:sz w:val="18"/>
                <w:szCs w:val="18"/>
                <w:lang w:val="es-419"/>
              </w:rPr>
              <w:t>106 196</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76405DF0" w14:textId="77777777" w:rsidR="00A23492" w:rsidRPr="000801F3" w:rsidRDefault="00A23492" w:rsidP="005B54E4">
            <w:pPr>
              <w:jc w:val="right"/>
              <w:rPr>
                <w:b/>
                <w:bCs/>
                <w:sz w:val="18"/>
                <w:szCs w:val="18"/>
                <w:lang w:val="es-419"/>
              </w:rPr>
            </w:pPr>
            <w:r w:rsidRPr="000801F3">
              <w:rPr>
                <w:b/>
                <w:bCs/>
                <w:sz w:val="18"/>
                <w:szCs w:val="18"/>
                <w:lang w:val="es-419"/>
              </w:rPr>
              <w:t>160 696</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1E60C09E" w14:textId="77777777" w:rsidR="00A23492" w:rsidRPr="000801F3" w:rsidRDefault="00A23492" w:rsidP="005B54E4">
            <w:pPr>
              <w:jc w:val="right"/>
              <w:rPr>
                <w:b/>
                <w:bCs/>
                <w:sz w:val="18"/>
                <w:szCs w:val="18"/>
                <w:lang w:val="es-419"/>
              </w:rPr>
            </w:pPr>
            <w:r w:rsidRPr="000801F3">
              <w:rPr>
                <w:b/>
                <w:bCs/>
                <w:sz w:val="18"/>
                <w:szCs w:val="18"/>
                <w:lang w:val="es-419"/>
              </w:rPr>
              <w:t>130 053</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00CA2DC4" w14:textId="77777777" w:rsidR="00A23492" w:rsidRPr="000801F3" w:rsidRDefault="00A23492" w:rsidP="005B54E4">
            <w:pPr>
              <w:jc w:val="right"/>
              <w:rPr>
                <w:b/>
                <w:bCs/>
                <w:sz w:val="18"/>
                <w:szCs w:val="18"/>
                <w:lang w:val="es-419"/>
              </w:rPr>
            </w:pPr>
            <w:r w:rsidRPr="000801F3">
              <w:rPr>
                <w:b/>
                <w:bCs/>
                <w:sz w:val="18"/>
                <w:szCs w:val="18"/>
                <w:lang w:val="es-419"/>
              </w:rPr>
              <w:t>81 982</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674A6CCD" w14:textId="77777777" w:rsidR="00A23492" w:rsidRPr="000801F3" w:rsidRDefault="00A23492" w:rsidP="005B54E4">
            <w:pPr>
              <w:jc w:val="right"/>
              <w:rPr>
                <w:b/>
                <w:bCs/>
                <w:sz w:val="18"/>
                <w:szCs w:val="18"/>
                <w:lang w:val="es-419"/>
              </w:rPr>
            </w:pPr>
            <w:r w:rsidRPr="000801F3">
              <w:rPr>
                <w:b/>
                <w:bCs/>
                <w:sz w:val="18"/>
                <w:szCs w:val="18"/>
                <w:lang w:val="es-419"/>
              </w:rPr>
              <w:t>58 556</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2D3CE1F2" w14:textId="77777777" w:rsidR="00A23492" w:rsidRPr="000801F3" w:rsidRDefault="00A23492" w:rsidP="005B54E4">
            <w:pPr>
              <w:jc w:val="right"/>
              <w:rPr>
                <w:b/>
                <w:bCs/>
                <w:sz w:val="18"/>
                <w:szCs w:val="18"/>
                <w:lang w:val="es-419"/>
              </w:rPr>
            </w:pPr>
            <w:r w:rsidRPr="000801F3">
              <w:rPr>
                <w:b/>
                <w:bCs/>
                <w:sz w:val="18"/>
                <w:szCs w:val="18"/>
                <w:lang w:val="es-419"/>
              </w:rPr>
              <w:t>29 453</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13B4CE51" w14:textId="77777777" w:rsidR="00A23492" w:rsidRPr="000801F3" w:rsidRDefault="00A23492" w:rsidP="005B54E4">
            <w:pPr>
              <w:jc w:val="right"/>
              <w:rPr>
                <w:b/>
                <w:bCs/>
                <w:sz w:val="18"/>
                <w:szCs w:val="18"/>
                <w:lang w:val="es-419"/>
              </w:rPr>
            </w:pPr>
            <w:r w:rsidRPr="000801F3">
              <w:rPr>
                <w:b/>
                <w:bCs/>
                <w:sz w:val="18"/>
                <w:szCs w:val="18"/>
                <w:lang w:val="es-419"/>
              </w:rPr>
              <w:t>30 475</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1A5BC541" w14:textId="77777777" w:rsidR="00A23492" w:rsidRPr="000801F3" w:rsidRDefault="00A23492" w:rsidP="005B54E4">
            <w:pPr>
              <w:jc w:val="right"/>
              <w:rPr>
                <w:b/>
                <w:bCs/>
                <w:sz w:val="18"/>
                <w:szCs w:val="18"/>
                <w:lang w:val="es-419"/>
              </w:rPr>
            </w:pPr>
            <w:r w:rsidRPr="000801F3">
              <w:rPr>
                <w:b/>
                <w:bCs/>
                <w:sz w:val="18"/>
                <w:szCs w:val="18"/>
                <w:lang w:val="es-419"/>
              </w:rPr>
              <w:t>33 237</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4DAB218F" w14:textId="77777777" w:rsidR="00A23492" w:rsidRPr="000801F3" w:rsidRDefault="00A23492" w:rsidP="005B54E4">
            <w:pPr>
              <w:jc w:val="right"/>
              <w:rPr>
                <w:b/>
                <w:bCs/>
                <w:sz w:val="18"/>
                <w:szCs w:val="18"/>
                <w:lang w:val="es-419"/>
              </w:rPr>
            </w:pPr>
            <w:r w:rsidRPr="000801F3">
              <w:rPr>
                <w:b/>
                <w:bCs/>
                <w:sz w:val="18"/>
                <w:szCs w:val="18"/>
                <w:lang w:val="es-419"/>
              </w:rPr>
              <w:t>16 213</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393347B6" w14:textId="77777777" w:rsidR="00A23492" w:rsidRPr="000801F3" w:rsidRDefault="00A23492" w:rsidP="005B54E4">
            <w:pPr>
              <w:jc w:val="right"/>
              <w:rPr>
                <w:b/>
                <w:bCs/>
                <w:sz w:val="18"/>
                <w:szCs w:val="18"/>
                <w:lang w:val="es-419"/>
              </w:rPr>
            </w:pPr>
            <w:r w:rsidRPr="000801F3">
              <w:rPr>
                <w:b/>
                <w:bCs/>
                <w:sz w:val="18"/>
                <w:szCs w:val="18"/>
                <w:lang w:val="es-419"/>
              </w:rPr>
              <w:t>323</w:t>
            </w:r>
          </w:p>
        </w:tc>
        <w:tc>
          <w:tcPr>
            <w:tcW w:w="697" w:type="dxa"/>
            <w:tcBorders>
              <w:top w:val="nil"/>
              <w:left w:val="nil"/>
              <w:bottom w:val="single" w:sz="4" w:space="0" w:color="auto"/>
              <w:right w:val="single" w:sz="4" w:space="0" w:color="auto"/>
            </w:tcBorders>
            <w:shd w:val="clear" w:color="auto" w:fill="auto"/>
            <w:tcMar>
              <w:left w:w="29" w:type="dxa"/>
              <w:right w:w="29" w:type="dxa"/>
            </w:tcMar>
            <w:hideMark/>
          </w:tcPr>
          <w:p w14:paraId="7F52E602" w14:textId="77777777" w:rsidR="00A23492" w:rsidRPr="000801F3" w:rsidRDefault="00A23492" w:rsidP="005B54E4">
            <w:pPr>
              <w:jc w:val="right"/>
              <w:rPr>
                <w:b/>
                <w:bCs/>
                <w:sz w:val="18"/>
                <w:szCs w:val="18"/>
                <w:lang w:val="es-419"/>
              </w:rPr>
            </w:pPr>
            <w:r w:rsidRPr="000801F3">
              <w:rPr>
                <w:b/>
                <w:bCs/>
                <w:sz w:val="18"/>
                <w:szCs w:val="18"/>
                <w:lang w:val="es-419"/>
              </w:rPr>
              <w:t>57</w:t>
            </w:r>
          </w:p>
        </w:tc>
        <w:tc>
          <w:tcPr>
            <w:tcW w:w="698" w:type="dxa"/>
            <w:tcBorders>
              <w:top w:val="nil"/>
              <w:left w:val="nil"/>
              <w:bottom w:val="single" w:sz="4" w:space="0" w:color="auto"/>
              <w:right w:val="single" w:sz="4" w:space="0" w:color="auto"/>
            </w:tcBorders>
            <w:shd w:val="clear" w:color="auto" w:fill="auto"/>
            <w:tcMar>
              <w:left w:w="29" w:type="dxa"/>
              <w:right w:w="29" w:type="dxa"/>
            </w:tcMar>
            <w:hideMark/>
          </w:tcPr>
          <w:p w14:paraId="2A4ED337" w14:textId="77777777" w:rsidR="00A23492" w:rsidRPr="000801F3" w:rsidRDefault="00A23492" w:rsidP="005B54E4">
            <w:pPr>
              <w:jc w:val="right"/>
              <w:rPr>
                <w:b/>
                <w:bCs/>
                <w:sz w:val="18"/>
                <w:szCs w:val="18"/>
                <w:lang w:val="es-419"/>
              </w:rPr>
            </w:pPr>
            <w:r w:rsidRPr="000801F3">
              <w:rPr>
                <w:b/>
                <w:bCs/>
                <w:sz w:val="18"/>
                <w:szCs w:val="18"/>
                <w:lang w:val="es-419"/>
              </w:rPr>
              <w:t>647 240</w:t>
            </w:r>
          </w:p>
        </w:tc>
      </w:tr>
    </w:tbl>
    <w:p w14:paraId="649D8D00" w14:textId="77777777" w:rsidR="00A23492" w:rsidRPr="000801F3" w:rsidRDefault="00A23492" w:rsidP="00A23492">
      <w:pPr>
        <w:keepNext/>
        <w:rPr>
          <w:bCs/>
          <w:color w:val="000000" w:themeColor="text1"/>
          <w:sz w:val="18"/>
          <w:szCs w:val="20"/>
          <w:lang w:val="es-419"/>
        </w:rPr>
      </w:pPr>
      <w:r w:rsidRPr="000801F3">
        <w:rPr>
          <w:bCs/>
          <w:color w:val="000000" w:themeColor="text1"/>
          <w:sz w:val="18"/>
          <w:szCs w:val="20"/>
          <w:lang w:val="es-419"/>
        </w:rPr>
        <w:t>*Incluyendo los acuerdos de PGEH revisados.</w:t>
      </w:r>
    </w:p>
    <w:p w14:paraId="0B372D5E" w14:textId="77777777" w:rsidR="00A23492" w:rsidRPr="000801F3" w:rsidRDefault="00A23492" w:rsidP="00A23492">
      <w:pPr>
        <w:keepNext/>
        <w:rPr>
          <w:bCs/>
          <w:color w:val="000000" w:themeColor="text1"/>
          <w:sz w:val="20"/>
          <w:szCs w:val="20"/>
          <w:lang w:val="es-419"/>
        </w:rPr>
      </w:pPr>
    </w:p>
    <w:p w14:paraId="5ED425FF" w14:textId="77777777" w:rsidR="00A23492" w:rsidRPr="000801F3" w:rsidRDefault="00A23492" w:rsidP="00A23492">
      <w:pPr>
        <w:pStyle w:val="Heading2"/>
        <w:numPr>
          <w:ilvl w:val="0"/>
          <w:numId w:val="0"/>
        </w:numPr>
        <w:spacing w:after="0"/>
        <w:rPr>
          <w:b/>
          <w:color w:val="000000" w:themeColor="text1"/>
          <w:lang w:val="es-419"/>
        </w:rPr>
      </w:pPr>
      <w:r w:rsidRPr="000801F3">
        <w:rPr>
          <w:b/>
          <w:color w:val="000000" w:themeColor="text1"/>
          <w:lang w:val="es-419"/>
        </w:rPr>
        <w:t>PARTE II: ASIGNACIÓN DE RECURSOS PARA EL TRIENIO 2018-2020</w:t>
      </w:r>
    </w:p>
    <w:p w14:paraId="0BC27FFB" w14:textId="77777777" w:rsidR="00A23492" w:rsidRPr="000801F3" w:rsidRDefault="00A23492" w:rsidP="00A23492">
      <w:pPr>
        <w:rPr>
          <w:lang w:val="es-419"/>
        </w:rPr>
      </w:pPr>
    </w:p>
    <w:p w14:paraId="3FB47994" w14:textId="77777777" w:rsidR="00A23492" w:rsidRPr="000801F3" w:rsidRDefault="00A23492" w:rsidP="00A23492">
      <w:pPr>
        <w:pStyle w:val="Heading1"/>
        <w:rPr>
          <w:lang w:val="es-419"/>
        </w:rPr>
      </w:pPr>
      <w:r w:rsidRPr="000801F3">
        <w:rPr>
          <w:lang w:val="es-419"/>
        </w:rPr>
        <w:t>Los recursos aprobados por las Partes del Protocolo de Montreal para el trienio 2018-2020</w:t>
      </w:r>
      <w:r w:rsidRPr="000801F3">
        <w:rPr>
          <w:rStyle w:val="FootnoteReference"/>
          <w:lang w:val="es-419"/>
        </w:rPr>
        <w:footnoteReference w:id="4"/>
      </w:r>
      <w:r w:rsidRPr="000801F3">
        <w:rPr>
          <w:lang w:val="es-419"/>
        </w:rPr>
        <w:t xml:space="preserve"> totalizan 540 000 000 $EUA. De esta cantidad, 144 921 792 $EUA habían sido asignados a actividades aprobadas en 2018, quedando así 395 078 208 $EUA para 2019 y 2020. </w:t>
      </w:r>
    </w:p>
    <w:p w14:paraId="09A901DA" w14:textId="77777777" w:rsidR="00A23492" w:rsidRPr="000801F3" w:rsidRDefault="00A23492" w:rsidP="00A23492">
      <w:pPr>
        <w:pStyle w:val="Heading1"/>
        <w:rPr>
          <w:lang w:val="es-419"/>
        </w:rPr>
      </w:pPr>
      <w:r w:rsidRPr="000801F3">
        <w:rPr>
          <w:lang w:val="es-419"/>
        </w:rPr>
        <w:t>Teniendo en cuenta las aprobaciones en la 81</w:t>
      </w:r>
      <w:r w:rsidRPr="000801F3">
        <w:rPr>
          <w:vertAlign w:val="superscript"/>
          <w:lang w:val="es-419"/>
        </w:rPr>
        <w:t>ª</w:t>
      </w:r>
      <w:r w:rsidRPr="000801F3">
        <w:rPr>
          <w:lang w:val="es-419"/>
        </w:rPr>
        <w:t>, 82</w:t>
      </w:r>
      <w:r w:rsidRPr="000801F3">
        <w:rPr>
          <w:vertAlign w:val="superscript"/>
          <w:lang w:val="es-419"/>
        </w:rPr>
        <w:t>ª</w:t>
      </w:r>
      <w:r w:rsidRPr="000801F3">
        <w:rPr>
          <w:lang w:val="es-419"/>
        </w:rPr>
        <w:t xml:space="preserve"> y 83</w:t>
      </w:r>
      <w:r w:rsidRPr="000801F3">
        <w:rPr>
          <w:vertAlign w:val="superscript"/>
          <w:lang w:val="es-419"/>
        </w:rPr>
        <w:t xml:space="preserve">ª </w:t>
      </w:r>
      <w:r w:rsidRPr="000801F3">
        <w:rPr>
          <w:lang w:val="es-419"/>
        </w:rPr>
        <w:t>reuniones, las presentaciones en la 84</w:t>
      </w:r>
      <w:r w:rsidRPr="000801F3">
        <w:rPr>
          <w:vertAlign w:val="superscript"/>
          <w:lang w:val="es-419"/>
        </w:rPr>
        <w:t>ª</w:t>
      </w:r>
      <w:r w:rsidRPr="000801F3">
        <w:rPr>
          <w:lang w:val="es-419"/>
        </w:rPr>
        <w:t xml:space="preserve"> reunión, y los costos de la Secretaría, el Comité Ejecutivo y el Tesorero, los recursos remanentes disponibles para el trienio 2018-2020 serían de 64,28 millones de $EUA, como se indica en la tabla 4.</w:t>
      </w:r>
    </w:p>
    <w:p w14:paraId="33B8CEEE" w14:textId="77777777" w:rsidR="00A23492" w:rsidRPr="000801F3" w:rsidRDefault="00A23492" w:rsidP="00A23492">
      <w:pPr>
        <w:jc w:val="left"/>
        <w:rPr>
          <w:b/>
          <w:lang w:val="es-419"/>
        </w:rPr>
      </w:pPr>
      <w:r w:rsidRPr="000801F3">
        <w:rPr>
          <w:b/>
          <w:lang w:val="es-419"/>
        </w:rPr>
        <w:t>Tabla 4: ASIGNACIÓN DE RECURSOS PARA EL TRIENIO CORRIENTE 2018-2020 ($EUA)</w:t>
      </w:r>
    </w:p>
    <w:tbl>
      <w:tblPr>
        <w:tblW w:w="9355" w:type="dxa"/>
        <w:tblLook w:val="04A0" w:firstRow="1" w:lastRow="0" w:firstColumn="1" w:lastColumn="0" w:noHBand="0" w:noVBand="1"/>
      </w:tblPr>
      <w:tblGrid>
        <w:gridCol w:w="3160"/>
        <w:gridCol w:w="1548"/>
        <w:gridCol w:w="1549"/>
        <w:gridCol w:w="1549"/>
        <w:gridCol w:w="1549"/>
      </w:tblGrid>
      <w:tr w:rsidR="00A23492" w:rsidRPr="000801F3" w14:paraId="718A03BC" w14:textId="77777777" w:rsidTr="005B54E4">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745EB" w14:textId="77777777" w:rsidR="00A23492" w:rsidRPr="000801F3" w:rsidRDefault="00A23492" w:rsidP="005B54E4">
            <w:pPr>
              <w:rPr>
                <w:b/>
                <w:bCs/>
                <w:color w:val="000000"/>
                <w:sz w:val="20"/>
                <w:szCs w:val="20"/>
                <w:lang w:val="es-419"/>
              </w:rPr>
            </w:pPr>
            <w:r w:rsidRPr="000801F3">
              <w:rPr>
                <w:b/>
                <w:bCs/>
                <w:color w:val="000000"/>
                <w:sz w:val="20"/>
                <w:szCs w:val="20"/>
                <w:lang w:val="es-419"/>
              </w:rPr>
              <w:t> Descripción</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6A7230D2" w14:textId="77777777" w:rsidR="00A23492" w:rsidRPr="000801F3" w:rsidRDefault="00A23492" w:rsidP="005B54E4">
            <w:pPr>
              <w:jc w:val="center"/>
              <w:rPr>
                <w:b/>
                <w:bCs/>
                <w:color w:val="000000"/>
                <w:sz w:val="20"/>
                <w:szCs w:val="20"/>
                <w:lang w:val="es-419"/>
              </w:rPr>
            </w:pPr>
            <w:r w:rsidRPr="000801F3">
              <w:rPr>
                <w:b/>
                <w:bCs/>
                <w:color w:val="000000"/>
                <w:sz w:val="20"/>
                <w:szCs w:val="20"/>
                <w:lang w:val="es-419"/>
              </w:rPr>
              <w:t>2018</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39C7CA12" w14:textId="77777777" w:rsidR="00A23492" w:rsidRPr="000801F3" w:rsidRDefault="00A23492" w:rsidP="005B54E4">
            <w:pPr>
              <w:jc w:val="center"/>
              <w:rPr>
                <w:b/>
                <w:bCs/>
                <w:color w:val="000000"/>
                <w:sz w:val="20"/>
                <w:szCs w:val="20"/>
                <w:lang w:val="es-419"/>
              </w:rPr>
            </w:pPr>
            <w:r w:rsidRPr="000801F3">
              <w:rPr>
                <w:b/>
                <w:bCs/>
                <w:color w:val="000000"/>
                <w:sz w:val="20"/>
                <w:szCs w:val="20"/>
                <w:lang w:val="es-419"/>
              </w:rPr>
              <w:t>2019</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409FEFF4" w14:textId="77777777" w:rsidR="00A23492" w:rsidRPr="000801F3" w:rsidRDefault="00A23492" w:rsidP="005B54E4">
            <w:pPr>
              <w:jc w:val="center"/>
              <w:rPr>
                <w:b/>
                <w:bCs/>
                <w:color w:val="000000"/>
                <w:sz w:val="20"/>
                <w:szCs w:val="20"/>
                <w:lang w:val="es-419"/>
              </w:rPr>
            </w:pPr>
            <w:r w:rsidRPr="000801F3">
              <w:rPr>
                <w:b/>
                <w:bCs/>
                <w:color w:val="000000"/>
                <w:sz w:val="20"/>
                <w:szCs w:val="20"/>
                <w:lang w:val="es-419"/>
              </w:rPr>
              <w:t>2020</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52C52E32" w14:textId="77777777" w:rsidR="00A23492" w:rsidRPr="000801F3" w:rsidRDefault="00A23492" w:rsidP="005B54E4">
            <w:pPr>
              <w:jc w:val="center"/>
              <w:rPr>
                <w:b/>
                <w:bCs/>
                <w:color w:val="000000"/>
                <w:sz w:val="20"/>
                <w:szCs w:val="20"/>
                <w:lang w:val="es-419"/>
              </w:rPr>
            </w:pPr>
            <w:r w:rsidRPr="000801F3">
              <w:rPr>
                <w:b/>
                <w:bCs/>
                <w:color w:val="000000"/>
                <w:sz w:val="20"/>
                <w:szCs w:val="20"/>
                <w:lang w:val="es-419"/>
              </w:rPr>
              <w:t>Total</w:t>
            </w:r>
          </w:p>
        </w:tc>
      </w:tr>
      <w:tr w:rsidR="00A23492" w:rsidRPr="000801F3" w14:paraId="28BA388E" w14:textId="77777777" w:rsidTr="005B54E4">
        <w:tc>
          <w:tcPr>
            <w:tcW w:w="3160" w:type="dxa"/>
            <w:tcBorders>
              <w:top w:val="nil"/>
              <w:left w:val="single" w:sz="4" w:space="0" w:color="auto"/>
              <w:bottom w:val="single" w:sz="4" w:space="0" w:color="auto"/>
              <w:right w:val="single" w:sz="4" w:space="0" w:color="auto"/>
            </w:tcBorders>
            <w:shd w:val="clear" w:color="auto" w:fill="auto"/>
            <w:vAlign w:val="center"/>
            <w:hideMark/>
          </w:tcPr>
          <w:p w14:paraId="56BE3FC0" w14:textId="77777777" w:rsidR="00A23492" w:rsidRPr="000801F3" w:rsidRDefault="00A23492" w:rsidP="005B54E4">
            <w:pPr>
              <w:rPr>
                <w:b/>
                <w:bCs/>
                <w:color w:val="000000"/>
                <w:sz w:val="20"/>
                <w:szCs w:val="20"/>
                <w:lang w:val="es-419"/>
              </w:rPr>
            </w:pPr>
            <w:r w:rsidRPr="000801F3">
              <w:rPr>
                <w:b/>
                <w:bCs/>
                <w:color w:val="000000"/>
                <w:sz w:val="20"/>
                <w:szCs w:val="20"/>
                <w:lang w:val="es-419"/>
              </w:rPr>
              <w:t>Asignación de recursos</w:t>
            </w:r>
          </w:p>
        </w:tc>
        <w:tc>
          <w:tcPr>
            <w:tcW w:w="1548" w:type="dxa"/>
            <w:tcBorders>
              <w:top w:val="nil"/>
              <w:left w:val="nil"/>
              <w:bottom w:val="single" w:sz="4" w:space="0" w:color="auto"/>
              <w:right w:val="single" w:sz="4" w:space="0" w:color="auto"/>
            </w:tcBorders>
            <w:shd w:val="clear" w:color="auto" w:fill="auto"/>
            <w:vAlign w:val="center"/>
            <w:hideMark/>
          </w:tcPr>
          <w:p w14:paraId="5BA09DB6" w14:textId="77777777" w:rsidR="00A23492" w:rsidRPr="000801F3" w:rsidRDefault="00A23492" w:rsidP="005B54E4">
            <w:pPr>
              <w:jc w:val="center"/>
              <w:rPr>
                <w:b/>
                <w:bCs/>
                <w:color w:val="000000"/>
                <w:sz w:val="20"/>
                <w:szCs w:val="20"/>
                <w:lang w:val="es-419"/>
              </w:rPr>
            </w:pPr>
            <w:r w:rsidRPr="000801F3">
              <w:rPr>
                <w:b/>
                <w:bCs/>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3BCF3DB6" w14:textId="77777777" w:rsidR="00A23492" w:rsidRPr="000801F3" w:rsidRDefault="00A23492" w:rsidP="005B54E4">
            <w:pPr>
              <w:jc w:val="center"/>
              <w:rPr>
                <w:b/>
                <w:bCs/>
                <w:color w:val="000000"/>
                <w:sz w:val="20"/>
                <w:szCs w:val="20"/>
                <w:lang w:val="es-419"/>
              </w:rPr>
            </w:pPr>
            <w:r w:rsidRPr="000801F3">
              <w:rPr>
                <w:b/>
                <w:bCs/>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187F4CDB" w14:textId="77777777" w:rsidR="00A23492" w:rsidRPr="000801F3" w:rsidRDefault="00A23492" w:rsidP="005B54E4">
            <w:pPr>
              <w:jc w:val="center"/>
              <w:rPr>
                <w:b/>
                <w:bCs/>
                <w:color w:val="000000"/>
                <w:sz w:val="20"/>
                <w:szCs w:val="20"/>
                <w:lang w:val="es-419"/>
              </w:rPr>
            </w:pPr>
            <w:r w:rsidRPr="000801F3">
              <w:rPr>
                <w:b/>
                <w:bCs/>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66B429F3" w14:textId="77777777" w:rsidR="00A23492" w:rsidRPr="000801F3" w:rsidRDefault="00A23492" w:rsidP="005B54E4">
            <w:pPr>
              <w:jc w:val="center"/>
              <w:rPr>
                <w:b/>
                <w:bCs/>
                <w:color w:val="000000"/>
                <w:sz w:val="20"/>
                <w:szCs w:val="20"/>
                <w:lang w:val="es-419"/>
              </w:rPr>
            </w:pPr>
            <w:r w:rsidRPr="000801F3">
              <w:rPr>
                <w:b/>
                <w:bCs/>
                <w:color w:val="000000"/>
                <w:sz w:val="20"/>
                <w:szCs w:val="20"/>
                <w:lang w:val="es-419"/>
              </w:rPr>
              <w:t> </w:t>
            </w:r>
          </w:p>
        </w:tc>
      </w:tr>
      <w:tr w:rsidR="00A23492" w:rsidRPr="000801F3" w14:paraId="36B20BFF" w14:textId="77777777" w:rsidTr="005B54E4">
        <w:tc>
          <w:tcPr>
            <w:tcW w:w="3160" w:type="dxa"/>
            <w:tcBorders>
              <w:top w:val="nil"/>
              <w:left w:val="single" w:sz="4" w:space="0" w:color="auto"/>
              <w:bottom w:val="single" w:sz="4" w:space="0" w:color="auto"/>
              <w:right w:val="single" w:sz="4" w:space="0" w:color="auto"/>
            </w:tcBorders>
            <w:shd w:val="clear" w:color="auto" w:fill="auto"/>
            <w:vAlign w:val="center"/>
            <w:hideMark/>
          </w:tcPr>
          <w:p w14:paraId="0B185AEF" w14:textId="77777777" w:rsidR="00A23492" w:rsidRPr="000801F3" w:rsidRDefault="00A23492" w:rsidP="005B54E4">
            <w:pPr>
              <w:rPr>
                <w:color w:val="000000"/>
                <w:sz w:val="20"/>
                <w:szCs w:val="20"/>
                <w:lang w:val="es-419"/>
              </w:rPr>
            </w:pPr>
            <w:r w:rsidRPr="000801F3">
              <w:rPr>
                <w:color w:val="000000"/>
                <w:sz w:val="20"/>
                <w:szCs w:val="20"/>
                <w:lang w:val="es-419"/>
              </w:rPr>
              <w:t>Asignación de recursos inicial (a)</w:t>
            </w:r>
          </w:p>
        </w:tc>
        <w:tc>
          <w:tcPr>
            <w:tcW w:w="1548" w:type="dxa"/>
            <w:tcBorders>
              <w:top w:val="nil"/>
              <w:left w:val="nil"/>
              <w:bottom w:val="single" w:sz="4" w:space="0" w:color="auto"/>
              <w:right w:val="single" w:sz="4" w:space="0" w:color="auto"/>
            </w:tcBorders>
            <w:shd w:val="clear" w:color="auto" w:fill="auto"/>
            <w:vAlign w:val="center"/>
            <w:hideMark/>
          </w:tcPr>
          <w:p w14:paraId="406530E8" w14:textId="77777777" w:rsidR="00A23492" w:rsidRPr="000801F3" w:rsidRDefault="00A23492" w:rsidP="005B54E4">
            <w:pPr>
              <w:jc w:val="right"/>
              <w:rPr>
                <w:color w:val="000000"/>
                <w:sz w:val="20"/>
                <w:szCs w:val="20"/>
                <w:lang w:val="es-419"/>
              </w:rPr>
            </w:pPr>
            <w:r w:rsidRPr="000801F3">
              <w:rPr>
                <w:color w:val="000000"/>
                <w:sz w:val="20"/>
                <w:szCs w:val="20"/>
                <w:lang w:val="es-419"/>
              </w:rPr>
              <w:t>194 400 000</w:t>
            </w:r>
          </w:p>
        </w:tc>
        <w:tc>
          <w:tcPr>
            <w:tcW w:w="1549" w:type="dxa"/>
            <w:tcBorders>
              <w:top w:val="nil"/>
              <w:left w:val="nil"/>
              <w:bottom w:val="single" w:sz="4" w:space="0" w:color="auto"/>
              <w:right w:val="single" w:sz="4" w:space="0" w:color="auto"/>
            </w:tcBorders>
            <w:shd w:val="clear" w:color="auto" w:fill="auto"/>
            <w:vAlign w:val="center"/>
            <w:hideMark/>
          </w:tcPr>
          <w:p w14:paraId="051202F6" w14:textId="77777777" w:rsidR="00A23492" w:rsidRPr="000801F3" w:rsidRDefault="00A23492" w:rsidP="005B54E4">
            <w:pPr>
              <w:jc w:val="right"/>
              <w:rPr>
                <w:color w:val="000000"/>
                <w:sz w:val="20"/>
                <w:szCs w:val="20"/>
                <w:lang w:val="es-419"/>
              </w:rPr>
            </w:pPr>
            <w:r w:rsidRPr="000801F3">
              <w:rPr>
                <w:color w:val="000000"/>
                <w:sz w:val="20"/>
                <w:szCs w:val="20"/>
                <w:lang w:val="es-419"/>
              </w:rPr>
              <w:t>174 600 000</w:t>
            </w:r>
          </w:p>
        </w:tc>
        <w:tc>
          <w:tcPr>
            <w:tcW w:w="1549" w:type="dxa"/>
            <w:tcBorders>
              <w:top w:val="nil"/>
              <w:left w:val="nil"/>
              <w:bottom w:val="single" w:sz="4" w:space="0" w:color="auto"/>
              <w:right w:val="single" w:sz="4" w:space="0" w:color="auto"/>
            </w:tcBorders>
            <w:shd w:val="clear" w:color="auto" w:fill="auto"/>
            <w:vAlign w:val="center"/>
            <w:hideMark/>
          </w:tcPr>
          <w:p w14:paraId="1F084035" w14:textId="77777777" w:rsidR="00A23492" w:rsidRPr="000801F3" w:rsidRDefault="00A23492" w:rsidP="005B54E4">
            <w:pPr>
              <w:jc w:val="right"/>
              <w:rPr>
                <w:color w:val="000000"/>
                <w:sz w:val="20"/>
                <w:szCs w:val="20"/>
                <w:lang w:val="es-419"/>
              </w:rPr>
            </w:pPr>
            <w:r w:rsidRPr="000801F3">
              <w:rPr>
                <w:color w:val="000000"/>
                <w:sz w:val="20"/>
                <w:szCs w:val="20"/>
                <w:lang w:val="es-419"/>
              </w:rPr>
              <w:t>171 000 000</w:t>
            </w:r>
          </w:p>
        </w:tc>
        <w:tc>
          <w:tcPr>
            <w:tcW w:w="1549" w:type="dxa"/>
            <w:tcBorders>
              <w:top w:val="nil"/>
              <w:left w:val="nil"/>
              <w:bottom w:val="single" w:sz="4" w:space="0" w:color="auto"/>
              <w:right w:val="single" w:sz="4" w:space="0" w:color="auto"/>
            </w:tcBorders>
            <w:shd w:val="clear" w:color="auto" w:fill="auto"/>
            <w:vAlign w:val="center"/>
            <w:hideMark/>
          </w:tcPr>
          <w:p w14:paraId="1A93E482" w14:textId="77777777" w:rsidR="00A23492" w:rsidRPr="000801F3" w:rsidRDefault="00A23492" w:rsidP="005B54E4">
            <w:pPr>
              <w:jc w:val="right"/>
              <w:rPr>
                <w:color w:val="000000"/>
                <w:sz w:val="20"/>
                <w:szCs w:val="20"/>
                <w:lang w:val="es-419"/>
              </w:rPr>
            </w:pPr>
            <w:r w:rsidRPr="000801F3">
              <w:rPr>
                <w:color w:val="000000"/>
                <w:sz w:val="20"/>
                <w:szCs w:val="20"/>
                <w:lang w:val="es-419"/>
              </w:rPr>
              <w:t>540 000 000</w:t>
            </w:r>
          </w:p>
        </w:tc>
      </w:tr>
      <w:tr w:rsidR="00A23492" w:rsidRPr="000801F3" w14:paraId="1AF89EFB" w14:textId="77777777" w:rsidTr="005B54E4">
        <w:tc>
          <w:tcPr>
            <w:tcW w:w="3160" w:type="dxa"/>
            <w:tcBorders>
              <w:top w:val="nil"/>
              <w:left w:val="single" w:sz="4" w:space="0" w:color="auto"/>
              <w:bottom w:val="single" w:sz="4" w:space="0" w:color="auto"/>
              <w:right w:val="single" w:sz="4" w:space="0" w:color="auto"/>
            </w:tcBorders>
            <w:shd w:val="clear" w:color="auto" w:fill="auto"/>
            <w:vAlign w:val="center"/>
            <w:hideMark/>
          </w:tcPr>
          <w:p w14:paraId="6782F506" w14:textId="77777777" w:rsidR="00A23492" w:rsidRPr="000801F3" w:rsidRDefault="00A23492" w:rsidP="005B54E4">
            <w:pPr>
              <w:rPr>
                <w:b/>
                <w:bCs/>
                <w:color w:val="000000"/>
                <w:sz w:val="20"/>
                <w:szCs w:val="20"/>
                <w:lang w:val="es-419"/>
              </w:rPr>
            </w:pPr>
            <w:r w:rsidRPr="000801F3">
              <w:rPr>
                <w:b/>
                <w:bCs/>
                <w:color w:val="000000"/>
                <w:sz w:val="20"/>
                <w:szCs w:val="20"/>
                <w:lang w:val="es-419"/>
              </w:rPr>
              <w:t>Asignación de recursos revisada (b)*</w:t>
            </w:r>
          </w:p>
        </w:tc>
        <w:tc>
          <w:tcPr>
            <w:tcW w:w="1548" w:type="dxa"/>
            <w:tcBorders>
              <w:top w:val="nil"/>
              <w:left w:val="nil"/>
              <w:bottom w:val="single" w:sz="4" w:space="0" w:color="auto"/>
              <w:right w:val="single" w:sz="4" w:space="0" w:color="auto"/>
            </w:tcBorders>
            <w:shd w:val="clear" w:color="auto" w:fill="auto"/>
            <w:vAlign w:val="center"/>
            <w:hideMark/>
          </w:tcPr>
          <w:p w14:paraId="25FEDAA5"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144 921 792</w:t>
            </w:r>
          </w:p>
        </w:tc>
        <w:tc>
          <w:tcPr>
            <w:tcW w:w="1549" w:type="dxa"/>
            <w:tcBorders>
              <w:top w:val="nil"/>
              <w:left w:val="nil"/>
              <w:bottom w:val="single" w:sz="4" w:space="0" w:color="auto"/>
              <w:right w:val="single" w:sz="4" w:space="0" w:color="auto"/>
            </w:tcBorders>
            <w:shd w:val="clear" w:color="auto" w:fill="auto"/>
            <w:vAlign w:val="center"/>
            <w:hideMark/>
          </w:tcPr>
          <w:p w14:paraId="3D16C242"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224 078 208</w:t>
            </w:r>
          </w:p>
        </w:tc>
        <w:tc>
          <w:tcPr>
            <w:tcW w:w="1549" w:type="dxa"/>
            <w:tcBorders>
              <w:top w:val="nil"/>
              <w:left w:val="nil"/>
              <w:bottom w:val="single" w:sz="4" w:space="0" w:color="auto"/>
              <w:right w:val="single" w:sz="4" w:space="0" w:color="auto"/>
            </w:tcBorders>
            <w:shd w:val="clear" w:color="auto" w:fill="auto"/>
            <w:vAlign w:val="center"/>
            <w:hideMark/>
          </w:tcPr>
          <w:p w14:paraId="2D274168"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171 000 000</w:t>
            </w:r>
          </w:p>
        </w:tc>
        <w:tc>
          <w:tcPr>
            <w:tcW w:w="1549" w:type="dxa"/>
            <w:tcBorders>
              <w:top w:val="nil"/>
              <w:left w:val="nil"/>
              <w:bottom w:val="single" w:sz="4" w:space="0" w:color="auto"/>
              <w:right w:val="single" w:sz="4" w:space="0" w:color="auto"/>
            </w:tcBorders>
            <w:shd w:val="clear" w:color="auto" w:fill="auto"/>
            <w:vAlign w:val="center"/>
            <w:hideMark/>
          </w:tcPr>
          <w:p w14:paraId="56050E0B"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540 000 000</w:t>
            </w:r>
          </w:p>
        </w:tc>
      </w:tr>
      <w:tr w:rsidR="00A23492" w:rsidRPr="000801F3" w14:paraId="4FE91CFD" w14:textId="77777777" w:rsidTr="005B54E4">
        <w:tc>
          <w:tcPr>
            <w:tcW w:w="3160" w:type="dxa"/>
            <w:tcBorders>
              <w:top w:val="nil"/>
              <w:left w:val="single" w:sz="4" w:space="0" w:color="auto"/>
              <w:bottom w:val="single" w:sz="4" w:space="0" w:color="auto"/>
              <w:right w:val="single" w:sz="4" w:space="0" w:color="auto"/>
            </w:tcBorders>
            <w:shd w:val="clear" w:color="auto" w:fill="auto"/>
            <w:vAlign w:val="center"/>
            <w:hideMark/>
          </w:tcPr>
          <w:p w14:paraId="4EF7B4A3" w14:textId="77777777" w:rsidR="00A23492" w:rsidRPr="000801F3" w:rsidRDefault="00A23492" w:rsidP="005B54E4">
            <w:pPr>
              <w:rPr>
                <w:b/>
                <w:bCs/>
                <w:color w:val="000000"/>
                <w:sz w:val="20"/>
                <w:szCs w:val="20"/>
                <w:lang w:val="es-419"/>
              </w:rPr>
            </w:pPr>
            <w:r w:rsidRPr="000801F3">
              <w:rPr>
                <w:b/>
                <w:bCs/>
                <w:color w:val="000000"/>
                <w:sz w:val="20"/>
                <w:szCs w:val="20"/>
                <w:lang w:val="es-419"/>
              </w:rPr>
              <w:t>Financiación aprobada</w:t>
            </w:r>
          </w:p>
        </w:tc>
        <w:tc>
          <w:tcPr>
            <w:tcW w:w="1548" w:type="dxa"/>
            <w:tcBorders>
              <w:top w:val="nil"/>
              <w:left w:val="nil"/>
              <w:bottom w:val="single" w:sz="4" w:space="0" w:color="auto"/>
              <w:right w:val="single" w:sz="4" w:space="0" w:color="auto"/>
            </w:tcBorders>
            <w:shd w:val="clear" w:color="auto" w:fill="auto"/>
            <w:vAlign w:val="center"/>
            <w:hideMark/>
          </w:tcPr>
          <w:p w14:paraId="0FD9A690"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2BD79185"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07F65F6E"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11B7B6B6"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 </w:t>
            </w:r>
          </w:p>
        </w:tc>
      </w:tr>
      <w:tr w:rsidR="00A23492" w:rsidRPr="000801F3" w14:paraId="5C92C115" w14:textId="77777777" w:rsidTr="005B54E4">
        <w:tc>
          <w:tcPr>
            <w:tcW w:w="3160" w:type="dxa"/>
            <w:tcBorders>
              <w:top w:val="nil"/>
              <w:left w:val="single" w:sz="4" w:space="0" w:color="auto"/>
              <w:bottom w:val="single" w:sz="4" w:space="0" w:color="auto"/>
              <w:right w:val="single" w:sz="4" w:space="0" w:color="auto"/>
            </w:tcBorders>
            <w:shd w:val="clear" w:color="auto" w:fill="auto"/>
            <w:vAlign w:val="center"/>
            <w:hideMark/>
          </w:tcPr>
          <w:p w14:paraId="3D09EA94" w14:textId="77777777" w:rsidR="00A23492" w:rsidRPr="000801F3" w:rsidRDefault="00A23492" w:rsidP="005B54E4">
            <w:pPr>
              <w:rPr>
                <w:color w:val="000000"/>
                <w:sz w:val="20"/>
                <w:szCs w:val="20"/>
                <w:lang w:val="es-419"/>
              </w:rPr>
            </w:pPr>
            <w:r w:rsidRPr="000801F3">
              <w:rPr>
                <w:color w:val="000000"/>
                <w:sz w:val="20"/>
                <w:szCs w:val="20"/>
                <w:lang w:val="es-419"/>
              </w:rPr>
              <w:t>Aprobaciones en la 81</w:t>
            </w:r>
            <w:r w:rsidRPr="000801F3">
              <w:rPr>
                <w:color w:val="000000"/>
                <w:sz w:val="20"/>
                <w:szCs w:val="20"/>
                <w:vertAlign w:val="superscript"/>
                <w:lang w:val="es-419"/>
              </w:rPr>
              <w:t>a</w:t>
            </w:r>
            <w:r w:rsidRPr="000801F3">
              <w:rPr>
                <w:color w:val="000000"/>
                <w:sz w:val="20"/>
                <w:szCs w:val="20"/>
                <w:lang w:val="es-419"/>
              </w:rPr>
              <w:t xml:space="preserve"> reunión</w:t>
            </w:r>
          </w:p>
        </w:tc>
        <w:tc>
          <w:tcPr>
            <w:tcW w:w="1548" w:type="dxa"/>
            <w:tcBorders>
              <w:top w:val="nil"/>
              <w:left w:val="nil"/>
              <w:bottom w:val="single" w:sz="4" w:space="0" w:color="auto"/>
              <w:right w:val="single" w:sz="4" w:space="0" w:color="auto"/>
            </w:tcBorders>
            <w:shd w:val="clear" w:color="auto" w:fill="auto"/>
            <w:vAlign w:val="center"/>
            <w:hideMark/>
          </w:tcPr>
          <w:p w14:paraId="40791358" w14:textId="77777777" w:rsidR="00A23492" w:rsidRPr="000801F3" w:rsidRDefault="00A23492" w:rsidP="005B54E4">
            <w:pPr>
              <w:jc w:val="right"/>
              <w:rPr>
                <w:color w:val="000000"/>
                <w:sz w:val="20"/>
                <w:szCs w:val="20"/>
                <w:lang w:val="es-419"/>
              </w:rPr>
            </w:pPr>
            <w:r w:rsidRPr="000801F3">
              <w:rPr>
                <w:color w:val="000000"/>
                <w:sz w:val="20"/>
                <w:szCs w:val="20"/>
                <w:lang w:val="es-419"/>
              </w:rPr>
              <w:t>73 930 598</w:t>
            </w:r>
          </w:p>
        </w:tc>
        <w:tc>
          <w:tcPr>
            <w:tcW w:w="1549" w:type="dxa"/>
            <w:tcBorders>
              <w:top w:val="nil"/>
              <w:left w:val="nil"/>
              <w:bottom w:val="single" w:sz="4" w:space="0" w:color="auto"/>
              <w:right w:val="single" w:sz="4" w:space="0" w:color="auto"/>
            </w:tcBorders>
            <w:shd w:val="clear" w:color="auto" w:fill="auto"/>
            <w:vAlign w:val="center"/>
            <w:hideMark/>
          </w:tcPr>
          <w:p w14:paraId="7FE8002A" w14:textId="77777777" w:rsidR="00A23492" w:rsidRPr="000801F3" w:rsidRDefault="00A23492" w:rsidP="005B54E4">
            <w:pPr>
              <w:jc w:val="right"/>
              <w:rPr>
                <w:color w:val="000000"/>
                <w:sz w:val="20"/>
                <w:szCs w:val="20"/>
                <w:lang w:val="es-419"/>
              </w:rPr>
            </w:pPr>
            <w:r w:rsidRPr="000801F3">
              <w:rPr>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025B4C5D" w14:textId="77777777" w:rsidR="00A23492" w:rsidRPr="000801F3" w:rsidRDefault="00A23492" w:rsidP="005B54E4">
            <w:pPr>
              <w:jc w:val="right"/>
              <w:rPr>
                <w:color w:val="000000"/>
                <w:sz w:val="20"/>
                <w:szCs w:val="20"/>
                <w:lang w:val="es-419"/>
              </w:rPr>
            </w:pPr>
            <w:r w:rsidRPr="000801F3">
              <w:rPr>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038D3E11" w14:textId="77777777" w:rsidR="00A23492" w:rsidRPr="000801F3" w:rsidRDefault="00A23492" w:rsidP="005B54E4">
            <w:pPr>
              <w:jc w:val="right"/>
              <w:rPr>
                <w:color w:val="000000"/>
                <w:sz w:val="20"/>
                <w:szCs w:val="20"/>
                <w:lang w:val="es-419"/>
              </w:rPr>
            </w:pPr>
            <w:r w:rsidRPr="000801F3">
              <w:rPr>
                <w:color w:val="000000"/>
                <w:sz w:val="20"/>
                <w:szCs w:val="20"/>
                <w:lang w:val="es-419"/>
              </w:rPr>
              <w:t>73 930 598</w:t>
            </w:r>
          </w:p>
        </w:tc>
      </w:tr>
      <w:tr w:rsidR="00A23492" w:rsidRPr="000801F3" w14:paraId="6DAD3F27" w14:textId="77777777" w:rsidTr="005B54E4">
        <w:tc>
          <w:tcPr>
            <w:tcW w:w="3160" w:type="dxa"/>
            <w:tcBorders>
              <w:top w:val="nil"/>
              <w:left w:val="single" w:sz="4" w:space="0" w:color="auto"/>
              <w:bottom w:val="single" w:sz="4" w:space="0" w:color="auto"/>
              <w:right w:val="single" w:sz="4" w:space="0" w:color="auto"/>
            </w:tcBorders>
            <w:shd w:val="clear" w:color="auto" w:fill="auto"/>
            <w:vAlign w:val="center"/>
            <w:hideMark/>
          </w:tcPr>
          <w:p w14:paraId="0506283A" w14:textId="77777777" w:rsidR="00A23492" w:rsidRPr="000801F3" w:rsidRDefault="00A23492" w:rsidP="005B54E4">
            <w:pPr>
              <w:rPr>
                <w:color w:val="000000"/>
                <w:sz w:val="20"/>
                <w:szCs w:val="20"/>
                <w:lang w:val="es-419"/>
              </w:rPr>
            </w:pPr>
            <w:r w:rsidRPr="000801F3">
              <w:rPr>
                <w:color w:val="000000"/>
                <w:sz w:val="20"/>
                <w:szCs w:val="20"/>
                <w:lang w:val="es-419"/>
              </w:rPr>
              <w:t>Aprobaciones en la 82</w:t>
            </w:r>
            <w:r w:rsidRPr="000801F3">
              <w:rPr>
                <w:color w:val="000000"/>
                <w:sz w:val="20"/>
                <w:szCs w:val="20"/>
                <w:vertAlign w:val="superscript"/>
                <w:lang w:val="es-419"/>
              </w:rPr>
              <w:t>a</w:t>
            </w:r>
            <w:r w:rsidRPr="000801F3">
              <w:rPr>
                <w:color w:val="000000"/>
                <w:sz w:val="20"/>
                <w:szCs w:val="20"/>
                <w:lang w:val="es-419"/>
              </w:rPr>
              <w:t xml:space="preserve"> reunión</w:t>
            </w:r>
          </w:p>
        </w:tc>
        <w:tc>
          <w:tcPr>
            <w:tcW w:w="1548" w:type="dxa"/>
            <w:tcBorders>
              <w:top w:val="nil"/>
              <w:left w:val="nil"/>
              <w:bottom w:val="single" w:sz="4" w:space="0" w:color="auto"/>
              <w:right w:val="single" w:sz="4" w:space="0" w:color="auto"/>
            </w:tcBorders>
            <w:shd w:val="clear" w:color="auto" w:fill="auto"/>
            <w:vAlign w:val="center"/>
            <w:hideMark/>
          </w:tcPr>
          <w:p w14:paraId="5841E8F3" w14:textId="77777777" w:rsidR="00A23492" w:rsidRPr="000801F3" w:rsidRDefault="00A23492" w:rsidP="005B54E4">
            <w:pPr>
              <w:jc w:val="right"/>
              <w:rPr>
                <w:color w:val="000000"/>
                <w:sz w:val="20"/>
                <w:szCs w:val="20"/>
                <w:lang w:val="es-419"/>
              </w:rPr>
            </w:pPr>
            <w:r w:rsidRPr="000801F3">
              <w:rPr>
                <w:color w:val="000000"/>
                <w:sz w:val="20"/>
                <w:szCs w:val="20"/>
                <w:lang w:val="es-419"/>
              </w:rPr>
              <w:t>64 546 960</w:t>
            </w:r>
          </w:p>
        </w:tc>
        <w:tc>
          <w:tcPr>
            <w:tcW w:w="1549" w:type="dxa"/>
            <w:tcBorders>
              <w:top w:val="nil"/>
              <w:left w:val="nil"/>
              <w:bottom w:val="single" w:sz="4" w:space="0" w:color="auto"/>
              <w:right w:val="single" w:sz="4" w:space="0" w:color="auto"/>
            </w:tcBorders>
            <w:shd w:val="clear" w:color="auto" w:fill="auto"/>
            <w:vAlign w:val="center"/>
            <w:hideMark/>
          </w:tcPr>
          <w:p w14:paraId="73928EBC" w14:textId="77777777" w:rsidR="00A23492" w:rsidRPr="000801F3" w:rsidRDefault="00A23492" w:rsidP="005B54E4">
            <w:pPr>
              <w:jc w:val="right"/>
              <w:rPr>
                <w:color w:val="000000"/>
                <w:sz w:val="20"/>
                <w:szCs w:val="20"/>
                <w:lang w:val="es-419"/>
              </w:rPr>
            </w:pPr>
            <w:r w:rsidRPr="000801F3">
              <w:rPr>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587AC80B" w14:textId="77777777" w:rsidR="00A23492" w:rsidRPr="000801F3" w:rsidRDefault="00A23492" w:rsidP="005B54E4">
            <w:pPr>
              <w:jc w:val="right"/>
              <w:rPr>
                <w:color w:val="000000"/>
                <w:sz w:val="20"/>
                <w:szCs w:val="20"/>
                <w:lang w:val="es-419"/>
              </w:rPr>
            </w:pPr>
            <w:r w:rsidRPr="000801F3">
              <w:rPr>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795930AC" w14:textId="77777777" w:rsidR="00A23492" w:rsidRPr="000801F3" w:rsidRDefault="00A23492" w:rsidP="005B54E4">
            <w:pPr>
              <w:jc w:val="right"/>
              <w:rPr>
                <w:color w:val="000000"/>
                <w:sz w:val="20"/>
                <w:szCs w:val="20"/>
                <w:lang w:val="es-419"/>
              </w:rPr>
            </w:pPr>
            <w:r w:rsidRPr="000801F3">
              <w:rPr>
                <w:color w:val="000000"/>
                <w:sz w:val="20"/>
                <w:szCs w:val="20"/>
                <w:lang w:val="es-419"/>
              </w:rPr>
              <w:t>64 546 960</w:t>
            </w:r>
          </w:p>
        </w:tc>
      </w:tr>
      <w:tr w:rsidR="00A23492" w:rsidRPr="000801F3" w14:paraId="22660842" w14:textId="77777777" w:rsidTr="005B54E4">
        <w:tc>
          <w:tcPr>
            <w:tcW w:w="3160" w:type="dxa"/>
            <w:tcBorders>
              <w:top w:val="nil"/>
              <w:left w:val="single" w:sz="4" w:space="0" w:color="auto"/>
              <w:bottom w:val="single" w:sz="4" w:space="0" w:color="auto"/>
              <w:right w:val="single" w:sz="4" w:space="0" w:color="auto"/>
            </w:tcBorders>
            <w:shd w:val="clear" w:color="auto" w:fill="auto"/>
            <w:vAlign w:val="center"/>
            <w:hideMark/>
          </w:tcPr>
          <w:p w14:paraId="2A5CA0FF" w14:textId="77777777" w:rsidR="00A23492" w:rsidRPr="000801F3" w:rsidRDefault="00A23492" w:rsidP="005B54E4">
            <w:pPr>
              <w:rPr>
                <w:color w:val="000000"/>
                <w:sz w:val="20"/>
                <w:szCs w:val="20"/>
                <w:lang w:val="es-419"/>
              </w:rPr>
            </w:pPr>
            <w:r w:rsidRPr="000801F3">
              <w:rPr>
                <w:color w:val="000000"/>
                <w:sz w:val="20"/>
                <w:szCs w:val="20"/>
                <w:lang w:val="es-419"/>
              </w:rPr>
              <w:t>Aprobaciones en la 83</w:t>
            </w:r>
            <w:r w:rsidRPr="000801F3">
              <w:rPr>
                <w:color w:val="000000"/>
                <w:sz w:val="20"/>
                <w:szCs w:val="20"/>
                <w:vertAlign w:val="superscript"/>
                <w:lang w:val="es-419"/>
              </w:rPr>
              <w:t>a</w:t>
            </w:r>
            <w:r w:rsidRPr="000801F3">
              <w:rPr>
                <w:color w:val="000000"/>
                <w:sz w:val="20"/>
                <w:szCs w:val="20"/>
                <w:lang w:val="es-419"/>
              </w:rPr>
              <w:t xml:space="preserve"> reunión</w:t>
            </w:r>
          </w:p>
        </w:tc>
        <w:tc>
          <w:tcPr>
            <w:tcW w:w="1548" w:type="dxa"/>
            <w:tcBorders>
              <w:top w:val="nil"/>
              <w:left w:val="nil"/>
              <w:bottom w:val="single" w:sz="4" w:space="0" w:color="auto"/>
              <w:right w:val="single" w:sz="4" w:space="0" w:color="auto"/>
            </w:tcBorders>
            <w:shd w:val="clear" w:color="auto" w:fill="auto"/>
            <w:vAlign w:val="center"/>
            <w:hideMark/>
          </w:tcPr>
          <w:p w14:paraId="3E992AC8" w14:textId="77777777" w:rsidR="00A23492" w:rsidRPr="000801F3" w:rsidRDefault="00A23492" w:rsidP="005B54E4">
            <w:pPr>
              <w:jc w:val="right"/>
              <w:rPr>
                <w:color w:val="000000"/>
                <w:sz w:val="20"/>
                <w:szCs w:val="20"/>
                <w:lang w:val="es-419"/>
              </w:rPr>
            </w:pPr>
            <w:r w:rsidRPr="000801F3">
              <w:rPr>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150B13D3" w14:textId="77777777" w:rsidR="00A23492" w:rsidRPr="000801F3" w:rsidRDefault="00A23492" w:rsidP="005B54E4">
            <w:pPr>
              <w:jc w:val="right"/>
              <w:rPr>
                <w:color w:val="000000"/>
                <w:sz w:val="20"/>
                <w:szCs w:val="20"/>
                <w:lang w:val="es-419"/>
              </w:rPr>
            </w:pPr>
            <w:r w:rsidRPr="000801F3">
              <w:rPr>
                <w:color w:val="000000"/>
                <w:sz w:val="20"/>
                <w:szCs w:val="20"/>
                <w:lang w:val="es-419"/>
              </w:rPr>
              <w:t>9 520 278</w:t>
            </w:r>
          </w:p>
        </w:tc>
        <w:tc>
          <w:tcPr>
            <w:tcW w:w="1549" w:type="dxa"/>
            <w:tcBorders>
              <w:top w:val="nil"/>
              <w:left w:val="nil"/>
              <w:bottom w:val="single" w:sz="4" w:space="0" w:color="auto"/>
              <w:right w:val="single" w:sz="4" w:space="0" w:color="auto"/>
            </w:tcBorders>
            <w:shd w:val="clear" w:color="auto" w:fill="auto"/>
            <w:vAlign w:val="center"/>
            <w:hideMark/>
          </w:tcPr>
          <w:p w14:paraId="65043EF8" w14:textId="77777777" w:rsidR="00A23492" w:rsidRPr="000801F3" w:rsidRDefault="00A23492" w:rsidP="005B54E4">
            <w:pPr>
              <w:jc w:val="right"/>
              <w:rPr>
                <w:color w:val="000000"/>
                <w:sz w:val="20"/>
                <w:szCs w:val="20"/>
                <w:lang w:val="es-419"/>
              </w:rPr>
            </w:pPr>
            <w:r w:rsidRPr="000801F3">
              <w:rPr>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6EF0AE92" w14:textId="77777777" w:rsidR="00A23492" w:rsidRPr="000801F3" w:rsidRDefault="00A23492" w:rsidP="005B54E4">
            <w:pPr>
              <w:jc w:val="right"/>
              <w:rPr>
                <w:color w:val="000000"/>
                <w:sz w:val="20"/>
                <w:szCs w:val="20"/>
                <w:lang w:val="es-419"/>
              </w:rPr>
            </w:pPr>
            <w:r w:rsidRPr="000801F3">
              <w:rPr>
                <w:color w:val="000000"/>
                <w:sz w:val="20"/>
                <w:szCs w:val="20"/>
                <w:lang w:val="es-419"/>
              </w:rPr>
              <w:t>9 520 278</w:t>
            </w:r>
          </w:p>
        </w:tc>
      </w:tr>
      <w:tr w:rsidR="00A23492" w:rsidRPr="000801F3" w14:paraId="1613D165" w14:textId="77777777" w:rsidTr="005B54E4">
        <w:tc>
          <w:tcPr>
            <w:tcW w:w="3160" w:type="dxa"/>
            <w:tcBorders>
              <w:top w:val="nil"/>
              <w:left w:val="single" w:sz="4" w:space="0" w:color="auto"/>
              <w:bottom w:val="single" w:sz="4" w:space="0" w:color="auto"/>
              <w:right w:val="single" w:sz="4" w:space="0" w:color="auto"/>
            </w:tcBorders>
            <w:shd w:val="clear" w:color="auto" w:fill="auto"/>
            <w:vAlign w:val="center"/>
            <w:hideMark/>
          </w:tcPr>
          <w:p w14:paraId="3F579123" w14:textId="77777777" w:rsidR="00A23492" w:rsidRPr="000801F3" w:rsidRDefault="00A23492" w:rsidP="005B54E4">
            <w:pPr>
              <w:rPr>
                <w:color w:val="000000"/>
                <w:sz w:val="20"/>
                <w:szCs w:val="20"/>
                <w:lang w:val="es-419"/>
              </w:rPr>
            </w:pPr>
            <w:r w:rsidRPr="000801F3">
              <w:rPr>
                <w:color w:val="000000"/>
                <w:sz w:val="20"/>
                <w:szCs w:val="20"/>
                <w:lang w:val="es-419"/>
              </w:rPr>
              <w:t>Presentaciones ante la 84</w:t>
            </w:r>
            <w:r w:rsidRPr="000801F3">
              <w:rPr>
                <w:color w:val="000000"/>
                <w:sz w:val="20"/>
                <w:szCs w:val="20"/>
                <w:vertAlign w:val="superscript"/>
                <w:lang w:val="es-419"/>
              </w:rPr>
              <w:t>a</w:t>
            </w:r>
            <w:r w:rsidRPr="000801F3">
              <w:rPr>
                <w:color w:val="000000"/>
                <w:sz w:val="20"/>
                <w:szCs w:val="20"/>
                <w:lang w:val="es-419"/>
              </w:rPr>
              <w:t xml:space="preserve"> reunión</w:t>
            </w:r>
          </w:p>
        </w:tc>
        <w:tc>
          <w:tcPr>
            <w:tcW w:w="1548" w:type="dxa"/>
            <w:tcBorders>
              <w:top w:val="nil"/>
              <w:left w:val="nil"/>
              <w:bottom w:val="single" w:sz="4" w:space="0" w:color="auto"/>
              <w:right w:val="single" w:sz="4" w:space="0" w:color="auto"/>
            </w:tcBorders>
            <w:shd w:val="clear" w:color="auto" w:fill="auto"/>
            <w:vAlign w:val="center"/>
            <w:hideMark/>
          </w:tcPr>
          <w:p w14:paraId="1D67B84B" w14:textId="77777777" w:rsidR="00A23492" w:rsidRPr="000801F3" w:rsidRDefault="00A23492" w:rsidP="005B54E4">
            <w:pPr>
              <w:jc w:val="right"/>
              <w:rPr>
                <w:color w:val="000000"/>
                <w:sz w:val="20"/>
                <w:szCs w:val="20"/>
                <w:lang w:val="es-419"/>
              </w:rPr>
            </w:pPr>
            <w:r w:rsidRPr="000801F3">
              <w:rPr>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2F15E126" w14:textId="77777777" w:rsidR="00A23492" w:rsidRPr="000801F3" w:rsidRDefault="00A23492" w:rsidP="005B54E4">
            <w:pPr>
              <w:jc w:val="right"/>
              <w:rPr>
                <w:color w:val="000000"/>
                <w:sz w:val="20"/>
                <w:szCs w:val="20"/>
                <w:lang w:val="es-419"/>
              </w:rPr>
            </w:pPr>
            <w:r w:rsidRPr="000801F3">
              <w:rPr>
                <w:color w:val="000000"/>
                <w:sz w:val="20"/>
                <w:szCs w:val="20"/>
                <w:lang w:val="es-419"/>
              </w:rPr>
              <w:t>123 479 424</w:t>
            </w:r>
          </w:p>
        </w:tc>
        <w:tc>
          <w:tcPr>
            <w:tcW w:w="1549" w:type="dxa"/>
            <w:tcBorders>
              <w:top w:val="nil"/>
              <w:left w:val="nil"/>
              <w:bottom w:val="single" w:sz="4" w:space="0" w:color="auto"/>
              <w:right w:val="single" w:sz="4" w:space="0" w:color="auto"/>
            </w:tcBorders>
            <w:shd w:val="clear" w:color="auto" w:fill="auto"/>
            <w:vAlign w:val="center"/>
            <w:hideMark/>
          </w:tcPr>
          <w:p w14:paraId="756B48B7" w14:textId="77777777" w:rsidR="00A23492" w:rsidRPr="000801F3" w:rsidRDefault="00A23492" w:rsidP="005B54E4">
            <w:pPr>
              <w:jc w:val="right"/>
              <w:rPr>
                <w:color w:val="000000"/>
                <w:sz w:val="20"/>
                <w:szCs w:val="20"/>
                <w:lang w:val="es-419"/>
              </w:rPr>
            </w:pPr>
            <w:r w:rsidRPr="000801F3">
              <w:rPr>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2FD1937C" w14:textId="77777777" w:rsidR="00A23492" w:rsidRPr="000801F3" w:rsidRDefault="00A23492" w:rsidP="005B54E4">
            <w:pPr>
              <w:jc w:val="right"/>
              <w:rPr>
                <w:color w:val="000000"/>
                <w:sz w:val="20"/>
                <w:szCs w:val="20"/>
                <w:lang w:val="es-419"/>
              </w:rPr>
            </w:pPr>
            <w:r w:rsidRPr="000801F3">
              <w:rPr>
                <w:color w:val="000000"/>
                <w:sz w:val="20"/>
                <w:szCs w:val="20"/>
                <w:lang w:val="es-419"/>
              </w:rPr>
              <w:t>123 479 424</w:t>
            </w:r>
          </w:p>
        </w:tc>
      </w:tr>
      <w:tr w:rsidR="00A23492" w:rsidRPr="000801F3" w14:paraId="1BA03205" w14:textId="77777777" w:rsidTr="005B54E4">
        <w:tc>
          <w:tcPr>
            <w:tcW w:w="3160" w:type="dxa"/>
            <w:tcBorders>
              <w:top w:val="nil"/>
              <w:left w:val="single" w:sz="4" w:space="0" w:color="auto"/>
              <w:bottom w:val="single" w:sz="4" w:space="0" w:color="auto"/>
              <w:right w:val="single" w:sz="4" w:space="0" w:color="auto"/>
            </w:tcBorders>
            <w:shd w:val="clear" w:color="auto" w:fill="auto"/>
            <w:vAlign w:val="center"/>
            <w:hideMark/>
          </w:tcPr>
          <w:p w14:paraId="1154BEE6" w14:textId="77777777" w:rsidR="00A23492" w:rsidRPr="000801F3" w:rsidRDefault="00A23492" w:rsidP="005B54E4">
            <w:pPr>
              <w:rPr>
                <w:color w:val="000000"/>
                <w:sz w:val="20"/>
                <w:szCs w:val="20"/>
                <w:lang w:val="es-419"/>
              </w:rPr>
            </w:pPr>
            <w:r w:rsidRPr="000801F3">
              <w:rPr>
                <w:color w:val="000000"/>
                <w:sz w:val="20"/>
                <w:szCs w:val="20"/>
                <w:lang w:val="es-419"/>
              </w:rPr>
              <w:t xml:space="preserve">Valores de los planes administrativos </w:t>
            </w:r>
          </w:p>
        </w:tc>
        <w:tc>
          <w:tcPr>
            <w:tcW w:w="1548" w:type="dxa"/>
            <w:tcBorders>
              <w:top w:val="nil"/>
              <w:left w:val="nil"/>
              <w:bottom w:val="single" w:sz="4" w:space="0" w:color="auto"/>
              <w:right w:val="single" w:sz="4" w:space="0" w:color="auto"/>
            </w:tcBorders>
            <w:shd w:val="clear" w:color="auto" w:fill="auto"/>
            <w:vAlign w:val="center"/>
            <w:hideMark/>
          </w:tcPr>
          <w:p w14:paraId="7B2C41A9" w14:textId="77777777" w:rsidR="00A23492" w:rsidRPr="000801F3" w:rsidRDefault="00A23492" w:rsidP="005B54E4">
            <w:pPr>
              <w:jc w:val="right"/>
              <w:rPr>
                <w:color w:val="000000"/>
                <w:sz w:val="20"/>
                <w:szCs w:val="20"/>
                <w:lang w:val="es-419"/>
              </w:rPr>
            </w:pPr>
            <w:r w:rsidRPr="000801F3">
              <w:rPr>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6BDFF4DE" w14:textId="77777777" w:rsidR="00A23492" w:rsidRPr="000801F3" w:rsidRDefault="00A23492" w:rsidP="005B54E4">
            <w:pPr>
              <w:jc w:val="left"/>
              <w:rPr>
                <w:sz w:val="20"/>
                <w:szCs w:val="20"/>
                <w:lang w:val="es-419"/>
              </w:rPr>
            </w:pPr>
            <w:r w:rsidRPr="000801F3">
              <w:rPr>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09C1C7E3" w14:textId="77777777" w:rsidR="00A23492" w:rsidRPr="000801F3" w:rsidRDefault="00A23492" w:rsidP="005B54E4">
            <w:pPr>
              <w:jc w:val="right"/>
              <w:rPr>
                <w:color w:val="000000"/>
                <w:sz w:val="20"/>
                <w:szCs w:val="20"/>
                <w:lang w:val="es-419"/>
              </w:rPr>
            </w:pPr>
            <w:r w:rsidRPr="000801F3">
              <w:rPr>
                <w:color w:val="000000"/>
                <w:sz w:val="20"/>
                <w:szCs w:val="20"/>
                <w:lang w:val="es-419"/>
              </w:rPr>
              <w:t>183 042 844</w:t>
            </w:r>
          </w:p>
        </w:tc>
        <w:tc>
          <w:tcPr>
            <w:tcW w:w="1549" w:type="dxa"/>
            <w:tcBorders>
              <w:top w:val="nil"/>
              <w:left w:val="nil"/>
              <w:bottom w:val="single" w:sz="4" w:space="0" w:color="auto"/>
              <w:right w:val="single" w:sz="4" w:space="0" w:color="auto"/>
            </w:tcBorders>
            <w:shd w:val="clear" w:color="auto" w:fill="auto"/>
            <w:vAlign w:val="center"/>
            <w:hideMark/>
          </w:tcPr>
          <w:p w14:paraId="6A1DFDD8" w14:textId="77777777" w:rsidR="00A23492" w:rsidRPr="000801F3" w:rsidRDefault="00A23492" w:rsidP="005B54E4">
            <w:pPr>
              <w:jc w:val="right"/>
              <w:rPr>
                <w:color w:val="000000"/>
                <w:sz w:val="20"/>
                <w:szCs w:val="20"/>
                <w:lang w:val="es-419"/>
              </w:rPr>
            </w:pPr>
            <w:r w:rsidRPr="000801F3">
              <w:rPr>
                <w:color w:val="000000"/>
                <w:sz w:val="20"/>
                <w:szCs w:val="20"/>
                <w:lang w:val="es-419"/>
              </w:rPr>
              <w:t>183 042 844</w:t>
            </w:r>
          </w:p>
        </w:tc>
      </w:tr>
      <w:tr w:rsidR="00A23492" w:rsidRPr="000801F3" w14:paraId="72A4F268" w14:textId="77777777" w:rsidTr="005B54E4">
        <w:tc>
          <w:tcPr>
            <w:tcW w:w="3160" w:type="dxa"/>
            <w:tcBorders>
              <w:top w:val="nil"/>
              <w:left w:val="single" w:sz="4" w:space="0" w:color="auto"/>
              <w:bottom w:val="single" w:sz="4" w:space="0" w:color="auto"/>
              <w:right w:val="single" w:sz="4" w:space="0" w:color="auto"/>
            </w:tcBorders>
            <w:shd w:val="clear" w:color="auto" w:fill="auto"/>
            <w:vAlign w:val="center"/>
            <w:hideMark/>
          </w:tcPr>
          <w:p w14:paraId="6BABA887" w14:textId="77777777" w:rsidR="00A23492" w:rsidRPr="000801F3" w:rsidRDefault="00A23492" w:rsidP="005B54E4">
            <w:pPr>
              <w:jc w:val="left"/>
              <w:rPr>
                <w:color w:val="000000"/>
                <w:sz w:val="20"/>
                <w:szCs w:val="20"/>
                <w:lang w:val="es-419"/>
              </w:rPr>
            </w:pPr>
            <w:r w:rsidRPr="000801F3">
              <w:rPr>
                <w:color w:val="000000"/>
                <w:sz w:val="20"/>
                <w:szCs w:val="20"/>
                <w:lang w:val="es-419"/>
              </w:rPr>
              <w:t>Costos de la Secretaría/Comité Ejecutivo (excluyendo la contraparte canadiense)</w:t>
            </w:r>
          </w:p>
        </w:tc>
        <w:tc>
          <w:tcPr>
            <w:tcW w:w="1548" w:type="dxa"/>
            <w:tcBorders>
              <w:top w:val="nil"/>
              <w:left w:val="nil"/>
              <w:bottom w:val="single" w:sz="4" w:space="0" w:color="auto"/>
              <w:right w:val="single" w:sz="4" w:space="0" w:color="auto"/>
            </w:tcBorders>
            <w:shd w:val="clear" w:color="auto" w:fill="auto"/>
            <w:vAlign w:val="center"/>
            <w:hideMark/>
          </w:tcPr>
          <w:p w14:paraId="336D4485" w14:textId="77777777" w:rsidR="00A23492" w:rsidRPr="000801F3" w:rsidRDefault="00A23492" w:rsidP="005B54E4">
            <w:pPr>
              <w:jc w:val="right"/>
              <w:rPr>
                <w:color w:val="000000"/>
                <w:sz w:val="20"/>
                <w:szCs w:val="20"/>
                <w:lang w:val="es-419"/>
              </w:rPr>
            </w:pPr>
            <w:r w:rsidRPr="000801F3">
              <w:rPr>
                <w:color w:val="000000"/>
                <w:sz w:val="20"/>
                <w:szCs w:val="20"/>
                <w:lang w:val="es-419"/>
              </w:rPr>
              <w:t>5 944 234</w:t>
            </w:r>
          </w:p>
        </w:tc>
        <w:tc>
          <w:tcPr>
            <w:tcW w:w="1549" w:type="dxa"/>
            <w:tcBorders>
              <w:top w:val="nil"/>
              <w:left w:val="nil"/>
              <w:bottom w:val="single" w:sz="4" w:space="0" w:color="auto"/>
              <w:right w:val="single" w:sz="4" w:space="0" w:color="auto"/>
            </w:tcBorders>
            <w:shd w:val="clear" w:color="auto" w:fill="auto"/>
            <w:vAlign w:val="center"/>
            <w:hideMark/>
          </w:tcPr>
          <w:p w14:paraId="01EA775D" w14:textId="77777777" w:rsidR="00A23492" w:rsidRPr="000801F3" w:rsidRDefault="00A23492" w:rsidP="005B54E4">
            <w:pPr>
              <w:jc w:val="right"/>
              <w:rPr>
                <w:color w:val="000000"/>
                <w:sz w:val="20"/>
                <w:szCs w:val="20"/>
                <w:lang w:val="es-419"/>
              </w:rPr>
            </w:pPr>
            <w:r w:rsidRPr="000801F3">
              <w:rPr>
                <w:color w:val="000000"/>
                <w:sz w:val="20"/>
                <w:szCs w:val="20"/>
                <w:lang w:val="es-419"/>
              </w:rPr>
              <w:t>6 799 233**</w:t>
            </w:r>
          </w:p>
        </w:tc>
        <w:tc>
          <w:tcPr>
            <w:tcW w:w="1549" w:type="dxa"/>
            <w:tcBorders>
              <w:top w:val="nil"/>
              <w:left w:val="nil"/>
              <w:bottom w:val="single" w:sz="4" w:space="0" w:color="auto"/>
              <w:right w:val="single" w:sz="4" w:space="0" w:color="auto"/>
            </w:tcBorders>
            <w:shd w:val="clear" w:color="auto" w:fill="auto"/>
            <w:vAlign w:val="center"/>
            <w:hideMark/>
          </w:tcPr>
          <w:p w14:paraId="1AF1E47C" w14:textId="77777777" w:rsidR="00A23492" w:rsidRPr="000801F3" w:rsidRDefault="00A23492" w:rsidP="005B54E4">
            <w:pPr>
              <w:jc w:val="right"/>
              <w:rPr>
                <w:color w:val="000000"/>
                <w:sz w:val="20"/>
                <w:szCs w:val="20"/>
                <w:lang w:val="es-419"/>
              </w:rPr>
            </w:pPr>
            <w:r w:rsidRPr="000801F3">
              <w:rPr>
                <w:color w:val="000000"/>
                <w:sz w:val="20"/>
                <w:szCs w:val="20"/>
                <w:lang w:val="es-419"/>
              </w:rPr>
              <w:t>6 954 313**</w:t>
            </w:r>
          </w:p>
        </w:tc>
        <w:tc>
          <w:tcPr>
            <w:tcW w:w="1549" w:type="dxa"/>
            <w:tcBorders>
              <w:top w:val="nil"/>
              <w:left w:val="nil"/>
              <w:bottom w:val="single" w:sz="4" w:space="0" w:color="auto"/>
              <w:right w:val="single" w:sz="4" w:space="0" w:color="auto"/>
            </w:tcBorders>
            <w:shd w:val="clear" w:color="auto" w:fill="auto"/>
            <w:vAlign w:val="center"/>
            <w:hideMark/>
          </w:tcPr>
          <w:p w14:paraId="4CD71748" w14:textId="77777777" w:rsidR="00A23492" w:rsidRPr="000801F3" w:rsidRDefault="00A23492" w:rsidP="005B54E4">
            <w:pPr>
              <w:jc w:val="right"/>
              <w:rPr>
                <w:color w:val="000000"/>
                <w:sz w:val="20"/>
                <w:szCs w:val="20"/>
                <w:lang w:val="es-419"/>
              </w:rPr>
            </w:pPr>
            <w:r w:rsidRPr="000801F3">
              <w:rPr>
                <w:color w:val="000000"/>
                <w:sz w:val="20"/>
                <w:szCs w:val="20"/>
                <w:lang w:val="es-419"/>
              </w:rPr>
              <w:t>19 697 780</w:t>
            </w:r>
          </w:p>
        </w:tc>
      </w:tr>
      <w:tr w:rsidR="00A23492" w:rsidRPr="000801F3" w14:paraId="634093CE" w14:textId="77777777" w:rsidTr="005B54E4">
        <w:tc>
          <w:tcPr>
            <w:tcW w:w="3160" w:type="dxa"/>
            <w:tcBorders>
              <w:top w:val="nil"/>
              <w:left w:val="single" w:sz="4" w:space="0" w:color="auto"/>
              <w:bottom w:val="single" w:sz="4" w:space="0" w:color="auto"/>
              <w:right w:val="single" w:sz="4" w:space="0" w:color="auto"/>
            </w:tcBorders>
            <w:shd w:val="clear" w:color="auto" w:fill="auto"/>
            <w:vAlign w:val="center"/>
            <w:hideMark/>
          </w:tcPr>
          <w:p w14:paraId="3CF46409" w14:textId="77777777" w:rsidR="00A23492" w:rsidRPr="000801F3" w:rsidRDefault="00A23492" w:rsidP="005B54E4">
            <w:pPr>
              <w:rPr>
                <w:color w:val="000000"/>
                <w:sz w:val="20"/>
                <w:szCs w:val="20"/>
                <w:lang w:val="es-419"/>
              </w:rPr>
            </w:pPr>
            <w:r w:rsidRPr="000801F3">
              <w:rPr>
                <w:color w:val="000000"/>
                <w:sz w:val="20"/>
                <w:szCs w:val="20"/>
                <w:lang w:val="es-419"/>
              </w:rPr>
              <w:t>Tesorero</w:t>
            </w:r>
          </w:p>
        </w:tc>
        <w:tc>
          <w:tcPr>
            <w:tcW w:w="1548" w:type="dxa"/>
            <w:tcBorders>
              <w:top w:val="nil"/>
              <w:left w:val="nil"/>
              <w:bottom w:val="single" w:sz="4" w:space="0" w:color="auto"/>
              <w:right w:val="single" w:sz="4" w:space="0" w:color="auto"/>
            </w:tcBorders>
            <w:shd w:val="clear" w:color="auto" w:fill="auto"/>
            <w:vAlign w:val="center"/>
            <w:hideMark/>
          </w:tcPr>
          <w:p w14:paraId="06AE889C" w14:textId="77777777" w:rsidR="00A23492" w:rsidRPr="000801F3" w:rsidRDefault="00A23492" w:rsidP="005B54E4">
            <w:pPr>
              <w:jc w:val="right"/>
              <w:rPr>
                <w:color w:val="000000"/>
                <w:sz w:val="20"/>
                <w:szCs w:val="20"/>
                <w:lang w:val="es-419"/>
              </w:rPr>
            </w:pPr>
            <w:r w:rsidRPr="000801F3">
              <w:rPr>
                <w:color w:val="000000"/>
                <w:sz w:val="20"/>
                <w:szCs w:val="20"/>
                <w:lang w:val="es-419"/>
              </w:rPr>
              <w:t>500 000</w:t>
            </w:r>
          </w:p>
        </w:tc>
        <w:tc>
          <w:tcPr>
            <w:tcW w:w="1549" w:type="dxa"/>
            <w:tcBorders>
              <w:top w:val="nil"/>
              <w:left w:val="nil"/>
              <w:bottom w:val="single" w:sz="4" w:space="0" w:color="auto"/>
              <w:right w:val="single" w:sz="4" w:space="0" w:color="auto"/>
            </w:tcBorders>
            <w:shd w:val="clear" w:color="auto" w:fill="auto"/>
            <w:vAlign w:val="center"/>
            <w:hideMark/>
          </w:tcPr>
          <w:p w14:paraId="70BB8C41" w14:textId="77777777" w:rsidR="00A23492" w:rsidRPr="000801F3" w:rsidRDefault="00A23492" w:rsidP="005B54E4">
            <w:pPr>
              <w:jc w:val="right"/>
              <w:rPr>
                <w:color w:val="000000"/>
                <w:sz w:val="20"/>
                <w:szCs w:val="20"/>
                <w:lang w:val="es-419"/>
              </w:rPr>
            </w:pPr>
            <w:r w:rsidRPr="000801F3">
              <w:rPr>
                <w:color w:val="000000"/>
                <w:sz w:val="20"/>
                <w:szCs w:val="20"/>
                <w:lang w:val="es-419"/>
              </w:rPr>
              <w:t>500 000</w:t>
            </w:r>
          </w:p>
        </w:tc>
        <w:tc>
          <w:tcPr>
            <w:tcW w:w="1549" w:type="dxa"/>
            <w:tcBorders>
              <w:top w:val="nil"/>
              <w:left w:val="nil"/>
              <w:bottom w:val="single" w:sz="4" w:space="0" w:color="auto"/>
              <w:right w:val="single" w:sz="4" w:space="0" w:color="auto"/>
            </w:tcBorders>
            <w:shd w:val="clear" w:color="auto" w:fill="auto"/>
            <w:vAlign w:val="center"/>
            <w:hideMark/>
          </w:tcPr>
          <w:p w14:paraId="660093AB" w14:textId="77777777" w:rsidR="00A23492" w:rsidRPr="000801F3" w:rsidRDefault="00A23492" w:rsidP="005B54E4">
            <w:pPr>
              <w:jc w:val="right"/>
              <w:rPr>
                <w:color w:val="000000"/>
                <w:sz w:val="20"/>
                <w:szCs w:val="20"/>
                <w:lang w:val="es-419"/>
              </w:rPr>
            </w:pPr>
            <w:r w:rsidRPr="000801F3">
              <w:rPr>
                <w:color w:val="000000"/>
                <w:sz w:val="20"/>
                <w:szCs w:val="20"/>
                <w:lang w:val="es-419"/>
              </w:rPr>
              <w:t>500 000</w:t>
            </w:r>
          </w:p>
        </w:tc>
        <w:tc>
          <w:tcPr>
            <w:tcW w:w="1549" w:type="dxa"/>
            <w:tcBorders>
              <w:top w:val="nil"/>
              <w:left w:val="nil"/>
              <w:bottom w:val="single" w:sz="4" w:space="0" w:color="auto"/>
              <w:right w:val="single" w:sz="4" w:space="0" w:color="auto"/>
            </w:tcBorders>
            <w:shd w:val="clear" w:color="auto" w:fill="auto"/>
            <w:vAlign w:val="center"/>
            <w:hideMark/>
          </w:tcPr>
          <w:p w14:paraId="3F2E0347" w14:textId="77777777" w:rsidR="00A23492" w:rsidRPr="000801F3" w:rsidRDefault="00A23492" w:rsidP="005B54E4">
            <w:pPr>
              <w:jc w:val="right"/>
              <w:rPr>
                <w:color w:val="000000"/>
                <w:sz w:val="20"/>
                <w:szCs w:val="20"/>
                <w:lang w:val="es-419"/>
              </w:rPr>
            </w:pPr>
            <w:r w:rsidRPr="000801F3">
              <w:rPr>
                <w:color w:val="000000"/>
                <w:sz w:val="20"/>
                <w:szCs w:val="20"/>
                <w:lang w:val="es-419"/>
              </w:rPr>
              <w:t>1 500 000</w:t>
            </w:r>
          </w:p>
        </w:tc>
      </w:tr>
      <w:tr w:rsidR="00A23492" w:rsidRPr="000801F3" w14:paraId="5C2AEA71" w14:textId="77777777" w:rsidTr="005B54E4">
        <w:tc>
          <w:tcPr>
            <w:tcW w:w="3160" w:type="dxa"/>
            <w:tcBorders>
              <w:top w:val="nil"/>
              <w:left w:val="single" w:sz="4" w:space="0" w:color="auto"/>
              <w:bottom w:val="single" w:sz="4" w:space="0" w:color="auto"/>
              <w:right w:val="single" w:sz="4" w:space="0" w:color="auto"/>
            </w:tcBorders>
            <w:shd w:val="clear" w:color="auto" w:fill="auto"/>
            <w:vAlign w:val="center"/>
            <w:hideMark/>
          </w:tcPr>
          <w:p w14:paraId="3F733DF2" w14:textId="77777777" w:rsidR="00A23492" w:rsidRPr="000801F3" w:rsidRDefault="00A23492" w:rsidP="005B54E4">
            <w:pPr>
              <w:rPr>
                <w:b/>
                <w:bCs/>
                <w:color w:val="000000"/>
                <w:sz w:val="20"/>
                <w:szCs w:val="20"/>
                <w:lang w:val="es-419"/>
              </w:rPr>
            </w:pPr>
            <w:r w:rsidRPr="000801F3">
              <w:rPr>
                <w:b/>
                <w:bCs/>
                <w:color w:val="000000"/>
                <w:sz w:val="20"/>
                <w:szCs w:val="20"/>
                <w:lang w:val="es-419"/>
              </w:rPr>
              <w:t xml:space="preserve">Financiación total aprobada (c) </w:t>
            </w:r>
          </w:p>
        </w:tc>
        <w:tc>
          <w:tcPr>
            <w:tcW w:w="1548" w:type="dxa"/>
            <w:tcBorders>
              <w:top w:val="nil"/>
              <w:left w:val="nil"/>
              <w:bottom w:val="single" w:sz="4" w:space="0" w:color="auto"/>
              <w:right w:val="single" w:sz="4" w:space="0" w:color="auto"/>
            </w:tcBorders>
            <w:shd w:val="clear" w:color="auto" w:fill="auto"/>
            <w:vAlign w:val="center"/>
            <w:hideMark/>
          </w:tcPr>
          <w:p w14:paraId="431C4D46"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144 921 792</w:t>
            </w:r>
          </w:p>
        </w:tc>
        <w:tc>
          <w:tcPr>
            <w:tcW w:w="1549" w:type="dxa"/>
            <w:tcBorders>
              <w:top w:val="nil"/>
              <w:left w:val="nil"/>
              <w:bottom w:val="single" w:sz="4" w:space="0" w:color="auto"/>
              <w:right w:val="single" w:sz="4" w:space="0" w:color="auto"/>
            </w:tcBorders>
            <w:shd w:val="clear" w:color="auto" w:fill="auto"/>
            <w:vAlign w:val="center"/>
            <w:hideMark/>
          </w:tcPr>
          <w:p w14:paraId="2FCD4089"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140 298 935</w:t>
            </w:r>
          </w:p>
        </w:tc>
        <w:tc>
          <w:tcPr>
            <w:tcW w:w="1549" w:type="dxa"/>
            <w:tcBorders>
              <w:top w:val="nil"/>
              <w:left w:val="nil"/>
              <w:bottom w:val="single" w:sz="4" w:space="0" w:color="auto"/>
              <w:right w:val="single" w:sz="4" w:space="0" w:color="auto"/>
            </w:tcBorders>
            <w:shd w:val="clear" w:color="auto" w:fill="auto"/>
            <w:vAlign w:val="center"/>
            <w:hideMark/>
          </w:tcPr>
          <w:p w14:paraId="703193E5"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190 497 157</w:t>
            </w:r>
          </w:p>
        </w:tc>
        <w:tc>
          <w:tcPr>
            <w:tcW w:w="1549" w:type="dxa"/>
            <w:tcBorders>
              <w:top w:val="nil"/>
              <w:left w:val="nil"/>
              <w:bottom w:val="single" w:sz="4" w:space="0" w:color="auto"/>
              <w:right w:val="single" w:sz="4" w:space="0" w:color="auto"/>
            </w:tcBorders>
            <w:shd w:val="clear" w:color="auto" w:fill="auto"/>
            <w:vAlign w:val="center"/>
            <w:hideMark/>
          </w:tcPr>
          <w:p w14:paraId="3903A703"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475 717 884</w:t>
            </w:r>
          </w:p>
        </w:tc>
      </w:tr>
      <w:tr w:rsidR="00A23492" w:rsidRPr="000801F3" w14:paraId="04D1D2E4" w14:textId="77777777" w:rsidTr="005B54E4">
        <w:tc>
          <w:tcPr>
            <w:tcW w:w="3160" w:type="dxa"/>
            <w:tcBorders>
              <w:top w:val="nil"/>
              <w:left w:val="single" w:sz="4" w:space="0" w:color="auto"/>
              <w:bottom w:val="single" w:sz="4" w:space="0" w:color="auto"/>
              <w:right w:val="single" w:sz="4" w:space="0" w:color="auto"/>
            </w:tcBorders>
            <w:shd w:val="clear" w:color="auto" w:fill="auto"/>
            <w:vAlign w:val="center"/>
            <w:hideMark/>
          </w:tcPr>
          <w:p w14:paraId="7570CE69" w14:textId="77777777" w:rsidR="00A23492" w:rsidRPr="000801F3" w:rsidRDefault="00A23492" w:rsidP="005B54E4">
            <w:pPr>
              <w:jc w:val="left"/>
              <w:rPr>
                <w:color w:val="000000"/>
                <w:sz w:val="20"/>
                <w:szCs w:val="20"/>
                <w:lang w:val="es-419"/>
              </w:rPr>
            </w:pPr>
            <w:r w:rsidRPr="000801F3">
              <w:rPr>
                <w:color w:val="000000"/>
                <w:sz w:val="20"/>
                <w:szCs w:val="20"/>
                <w:lang w:val="es-419"/>
              </w:rPr>
              <w:t xml:space="preserve">Cantidad disponible de la asignación de recursos de 2018 (a) - (c) </w:t>
            </w:r>
          </w:p>
        </w:tc>
        <w:tc>
          <w:tcPr>
            <w:tcW w:w="1548" w:type="dxa"/>
            <w:tcBorders>
              <w:top w:val="nil"/>
              <w:left w:val="nil"/>
              <w:bottom w:val="single" w:sz="4" w:space="0" w:color="auto"/>
              <w:right w:val="single" w:sz="4" w:space="0" w:color="auto"/>
            </w:tcBorders>
            <w:shd w:val="clear" w:color="auto" w:fill="auto"/>
            <w:vAlign w:val="center"/>
            <w:hideMark/>
          </w:tcPr>
          <w:p w14:paraId="03AB786D"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49 478 208</w:t>
            </w:r>
          </w:p>
        </w:tc>
        <w:tc>
          <w:tcPr>
            <w:tcW w:w="1549" w:type="dxa"/>
            <w:tcBorders>
              <w:top w:val="nil"/>
              <w:left w:val="nil"/>
              <w:bottom w:val="single" w:sz="4" w:space="0" w:color="auto"/>
              <w:right w:val="single" w:sz="4" w:space="0" w:color="auto"/>
            </w:tcBorders>
            <w:shd w:val="clear" w:color="auto" w:fill="auto"/>
            <w:vAlign w:val="center"/>
            <w:hideMark/>
          </w:tcPr>
          <w:p w14:paraId="64379ED3"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44D4EB74"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 </w:t>
            </w:r>
          </w:p>
        </w:tc>
        <w:tc>
          <w:tcPr>
            <w:tcW w:w="1549" w:type="dxa"/>
            <w:tcBorders>
              <w:top w:val="nil"/>
              <w:left w:val="nil"/>
              <w:bottom w:val="single" w:sz="4" w:space="0" w:color="auto"/>
              <w:right w:val="single" w:sz="4" w:space="0" w:color="auto"/>
            </w:tcBorders>
            <w:shd w:val="clear" w:color="auto" w:fill="auto"/>
            <w:vAlign w:val="center"/>
            <w:hideMark/>
          </w:tcPr>
          <w:p w14:paraId="3759A313" w14:textId="77777777" w:rsidR="00A23492" w:rsidRPr="000801F3" w:rsidRDefault="00A23492" w:rsidP="005B54E4">
            <w:pPr>
              <w:jc w:val="right"/>
              <w:rPr>
                <w:color w:val="000000"/>
                <w:sz w:val="20"/>
                <w:szCs w:val="20"/>
                <w:lang w:val="es-419"/>
              </w:rPr>
            </w:pPr>
            <w:r w:rsidRPr="000801F3">
              <w:rPr>
                <w:color w:val="000000"/>
                <w:sz w:val="20"/>
                <w:szCs w:val="20"/>
                <w:lang w:val="es-419"/>
              </w:rPr>
              <w:t> </w:t>
            </w:r>
          </w:p>
        </w:tc>
      </w:tr>
      <w:tr w:rsidR="00A23492" w:rsidRPr="000801F3" w14:paraId="4E4F95F6" w14:textId="77777777" w:rsidTr="005B54E4">
        <w:tc>
          <w:tcPr>
            <w:tcW w:w="3160" w:type="dxa"/>
            <w:tcBorders>
              <w:top w:val="nil"/>
              <w:left w:val="single" w:sz="4" w:space="0" w:color="auto"/>
              <w:bottom w:val="single" w:sz="4" w:space="0" w:color="auto"/>
              <w:right w:val="single" w:sz="4" w:space="0" w:color="auto"/>
            </w:tcBorders>
            <w:shd w:val="clear" w:color="auto" w:fill="auto"/>
            <w:vAlign w:val="center"/>
            <w:hideMark/>
          </w:tcPr>
          <w:p w14:paraId="00943725" w14:textId="77777777" w:rsidR="00A23492" w:rsidRPr="000801F3" w:rsidRDefault="00A23492" w:rsidP="005B54E4">
            <w:pPr>
              <w:rPr>
                <w:b/>
                <w:bCs/>
                <w:color w:val="000000"/>
                <w:sz w:val="20"/>
                <w:szCs w:val="20"/>
                <w:lang w:val="es-419"/>
              </w:rPr>
            </w:pPr>
            <w:r w:rsidRPr="000801F3">
              <w:rPr>
                <w:b/>
                <w:bCs/>
                <w:color w:val="000000"/>
                <w:sz w:val="20"/>
                <w:szCs w:val="20"/>
                <w:lang w:val="es-419"/>
              </w:rPr>
              <w:t xml:space="preserve">Recursos remanentes (b) - (c) </w:t>
            </w:r>
          </w:p>
        </w:tc>
        <w:tc>
          <w:tcPr>
            <w:tcW w:w="1548" w:type="dxa"/>
            <w:tcBorders>
              <w:top w:val="nil"/>
              <w:left w:val="nil"/>
              <w:bottom w:val="single" w:sz="4" w:space="0" w:color="auto"/>
              <w:right w:val="single" w:sz="4" w:space="0" w:color="auto"/>
            </w:tcBorders>
            <w:shd w:val="clear" w:color="auto" w:fill="auto"/>
            <w:vAlign w:val="center"/>
            <w:hideMark/>
          </w:tcPr>
          <w:p w14:paraId="51143067"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0</w:t>
            </w:r>
          </w:p>
        </w:tc>
        <w:tc>
          <w:tcPr>
            <w:tcW w:w="1549" w:type="dxa"/>
            <w:tcBorders>
              <w:top w:val="nil"/>
              <w:left w:val="nil"/>
              <w:bottom w:val="single" w:sz="4" w:space="0" w:color="auto"/>
              <w:right w:val="single" w:sz="4" w:space="0" w:color="auto"/>
            </w:tcBorders>
            <w:shd w:val="clear" w:color="auto" w:fill="auto"/>
            <w:vAlign w:val="center"/>
            <w:hideMark/>
          </w:tcPr>
          <w:p w14:paraId="0E91AE79"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83 779 273</w:t>
            </w:r>
          </w:p>
        </w:tc>
        <w:tc>
          <w:tcPr>
            <w:tcW w:w="1549" w:type="dxa"/>
            <w:tcBorders>
              <w:top w:val="nil"/>
              <w:left w:val="nil"/>
              <w:bottom w:val="single" w:sz="4" w:space="0" w:color="auto"/>
              <w:right w:val="single" w:sz="4" w:space="0" w:color="auto"/>
            </w:tcBorders>
            <w:shd w:val="clear" w:color="auto" w:fill="auto"/>
            <w:vAlign w:val="center"/>
            <w:hideMark/>
          </w:tcPr>
          <w:p w14:paraId="05DF08BD"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-19 497 157</w:t>
            </w:r>
          </w:p>
        </w:tc>
        <w:tc>
          <w:tcPr>
            <w:tcW w:w="1549" w:type="dxa"/>
            <w:tcBorders>
              <w:top w:val="nil"/>
              <w:left w:val="nil"/>
              <w:bottom w:val="single" w:sz="4" w:space="0" w:color="auto"/>
              <w:right w:val="single" w:sz="4" w:space="0" w:color="auto"/>
            </w:tcBorders>
            <w:shd w:val="clear" w:color="auto" w:fill="auto"/>
            <w:vAlign w:val="center"/>
            <w:hideMark/>
          </w:tcPr>
          <w:p w14:paraId="585EF7A7" w14:textId="77777777" w:rsidR="00A23492" w:rsidRPr="000801F3" w:rsidRDefault="00A23492" w:rsidP="005B54E4">
            <w:pPr>
              <w:jc w:val="right"/>
              <w:rPr>
                <w:b/>
                <w:bCs/>
                <w:color w:val="000000"/>
                <w:sz w:val="20"/>
                <w:szCs w:val="20"/>
                <w:lang w:val="es-419"/>
              </w:rPr>
            </w:pPr>
            <w:r w:rsidRPr="000801F3">
              <w:rPr>
                <w:b/>
                <w:bCs/>
                <w:color w:val="000000"/>
                <w:sz w:val="20"/>
                <w:szCs w:val="20"/>
                <w:lang w:val="es-419"/>
              </w:rPr>
              <w:t>64 282 116</w:t>
            </w:r>
          </w:p>
        </w:tc>
      </w:tr>
    </w:tbl>
    <w:p w14:paraId="5E38E578" w14:textId="77777777" w:rsidR="00A23492" w:rsidRPr="000801F3" w:rsidRDefault="00A23492" w:rsidP="00A23492">
      <w:pPr>
        <w:rPr>
          <w:sz w:val="18"/>
          <w:szCs w:val="18"/>
          <w:lang w:val="es-419"/>
        </w:rPr>
      </w:pPr>
      <w:r w:rsidRPr="000801F3">
        <w:rPr>
          <w:sz w:val="18"/>
          <w:szCs w:val="18"/>
          <w:lang w:val="es-419"/>
        </w:rPr>
        <w:t>* La asignación de recursos para 2018 fue reducida sobre la base de los costos reales en 2018 en 49 478 208 $EUA y la asignación inicial para 2019 se ajustó en esta cantidad.</w:t>
      </w:r>
    </w:p>
    <w:p w14:paraId="47C80409" w14:textId="77777777" w:rsidR="00A23492" w:rsidRPr="000801F3" w:rsidRDefault="00A23492" w:rsidP="00A23492">
      <w:pPr>
        <w:rPr>
          <w:sz w:val="18"/>
          <w:szCs w:val="18"/>
          <w:lang w:val="es-419"/>
        </w:rPr>
      </w:pPr>
      <w:r w:rsidRPr="000801F3">
        <w:rPr>
          <w:sz w:val="18"/>
          <w:szCs w:val="18"/>
          <w:lang w:val="es-419"/>
        </w:rPr>
        <w:t>** Estimación</w:t>
      </w:r>
    </w:p>
    <w:p w14:paraId="5F4FA622" w14:textId="77777777" w:rsidR="00A23492" w:rsidRPr="000801F3" w:rsidRDefault="00A23492" w:rsidP="00A23492">
      <w:pPr>
        <w:rPr>
          <w:sz w:val="20"/>
          <w:szCs w:val="20"/>
          <w:lang w:val="es-419"/>
        </w:rPr>
      </w:pPr>
    </w:p>
    <w:p w14:paraId="0DA55087" w14:textId="77777777" w:rsidR="00A23492" w:rsidRPr="000801F3" w:rsidRDefault="00A23492" w:rsidP="00A23492">
      <w:pPr>
        <w:keepNext/>
        <w:rPr>
          <w:b/>
          <w:color w:val="000000" w:themeColor="text1"/>
          <w:lang w:val="es-419"/>
        </w:rPr>
      </w:pPr>
      <w:r w:rsidRPr="000801F3">
        <w:rPr>
          <w:b/>
          <w:color w:val="000000" w:themeColor="text1"/>
          <w:lang w:val="es-419"/>
        </w:rPr>
        <w:t>Posibles factores que afectan la planificación financiera y la liquidez durante el trienio 2018-2020</w:t>
      </w:r>
    </w:p>
    <w:p w14:paraId="1A0F0D48" w14:textId="77777777" w:rsidR="00A23492" w:rsidRPr="000801F3" w:rsidRDefault="00A23492" w:rsidP="00A23492">
      <w:pPr>
        <w:keepNext/>
        <w:rPr>
          <w:color w:val="000000" w:themeColor="text1"/>
          <w:lang w:val="es-419"/>
        </w:rPr>
      </w:pPr>
    </w:p>
    <w:p w14:paraId="4E7D4C83" w14:textId="77777777" w:rsidR="00A23492" w:rsidRPr="000801F3" w:rsidRDefault="00A23492" w:rsidP="00A23492">
      <w:pPr>
        <w:pStyle w:val="Heading1"/>
        <w:rPr>
          <w:lang w:val="es-419"/>
        </w:rPr>
      </w:pPr>
      <w:r w:rsidRPr="000801F3">
        <w:rPr>
          <w:lang w:val="es-419"/>
        </w:rPr>
        <w:t xml:space="preserve">La liquidez del Fondo Multilateral para el trienio 2018-2020 está influida por varios factores, tales como: la recepción de las contribuciones prometidas de 2018-2020 acordadas; los intereses devengados; la pérdida o ganancia debida al mecanismo de tipo de cambio fijo (FERM); el pago de las contribuciones </w:t>
      </w:r>
      <w:r w:rsidRPr="000801F3">
        <w:rPr>
          <w:lang w:val="es-419"/>
        </w:rPr>
        <w:lastRenderedPageBreak/>
        <w:t>atrasadas incluidas en el traspaso; y los saldos devueltos de proyectos cancelados o terminados. Los párrafos siguientes presentan pronósticos para el trienio 2018-2020 sobre la base de los datos reales de 2018 y 2019.</w:t>
      </w:r>
    </w:p>
    <w:p w14:paraId="37ED10C3" w14:textId="77777777" w:rsidR="00A23492" w:rsidRPr="000801F3" w:rsidRDefault="00A23492" w:rsidP="00A23492">
      <w:pPr>
        <w:rPr>
          <w:color w:val="000000" w:themeColor="text1"/>
          <w:u w:val="single"/>
          <w:lang w:val="es-419"/>
        </w:rPr>
      </w:pPr>
      <w:r w:rsidRPr="000801F3">
        <w:rPr>
          <w:color w:val="000000" w:themeColor="text1"/>
          <w:u w:val="single"/>
          <w:lang w:val="es-419"/>
        </w:rPr>
        <w:t>Recepción de las contribuciones prometidas acordadas</w:t>
      </w:r>
    </w:p>
    <w:p w14:paraId="1CA8D425" w14:textId="77777777" w:rsidR="00A23492" w:rsidRPr="000801F3" w:rsidRDefault="00A23492" w:rsidP="00A23492">
      <w:pPr>
        <w:rPr>
          <w:color w:val="000000" w:themeColor="text1"/>
          <w:u w:val="single"/>
          <w:lang w:val="es-419"/>
        </w:rPr>
      </w:pPr>
    </w:p>
    <w:p w14:paraId="13DF57FA" w14:textId="77777777" w:rsidR="00A23492" w:rsidRPr="000801F3" w:rsidRDefault="00A23492" w:rsidP="00A23492">
      <w:pPr>
        <w:pStyle w:val="Heading1"/>
        <w:widowControl w:val="0"/>
        <w:rPr>
          <w:lang w:val="es-419"/>
        </w:rPr>
      </w:pPr>
      <w:r w:rsidRPr="000801F3">
        <w:rPr>
          <w:lang w:val="es-419"/>
        </w:rPr>
        <w:t>Sobre la base de la tasa de las promesas de contribuciones recibidas en 2017 y 2018 (esto es, el 97,4 %), de los 166,67 millones de $EUA de contribución anual, se esperan recibir 162,31 millones de $EUA para cada año durante el trienio 2018-2020, por un monto total de 486,93 millones de $EUA.</w:t>
      </w:r>
    </w:p>
    <w:p w14:paraId="7A3EBEB3" w14:textId="77777777" w:rsidR="00A23492" w:rsidRPr="000801F3" w:rsidRDefault="00A23492" w:rsidP="00A23492">
      <w:pPr>
        <w:rPr>
          <w:color w:val="000000" w:themeColor="text1"/>
          <w:u w:val="single"/>
          <w:lang w:val="es-419"/>
        </w:rPr>
      </w:pPr>
      <w:r w:rsidRPr="000801F3">
        <w:rPr>
          <w:color w:val="000000" w:themeColor="text1"/>
          <w:u w:val="single"/>
          <w:lang w:val="es-419"/>
        </w:rPr>
        <w:t>Pago de las contribuciones pendientes atrasadas incluidas en el traspaso</w:t>
      </w:r>
    </w:p>
    <w:p w14:paraId="5426D1A9" w14:textId="77777777" w:rsidR="00A23492" w:rsidRPr="000801F3" w:rsidRDefault="00A23492" w:rsidP="00A23492">
      <w:pPr>
        <w:rPr>
          <w:lang w:val="es-419"/>
        </w:rPr>
      </w:pPr>
    </w:p>
    <w:p w14:paraId="70462B51" w14:textId="77777777" w:rsidR="00A23492" w:rsidRPr="000801F3" w:rsidRDefault="00A23492" w:rsidP="00A23492">
      <w:pPr>
        <w:pStyle w:val="Heading1"/>
        <w:rPr>
          <w:lang w:val="es-419"/>
        </w:rPr>
      </w:pPr>
      <w:r w:rsidRPr="000801F3">
        <w:rPr>
          <w:lang w:val="es-419"/>
        </w:rPr>
        <w:t xml:space="preserve">Sobre la base de información actualizada hasta septiembre de 2019, </w:t>
      </w:r>
      <w:r w:rsidRPr="000801F3">
        <w:rPr>
          <w:color w:val="000000" w:themeColor="text1"/>
          <w:lang w:val="es-419"/>
        </w:rPr>
        <w:t>el traspaso real es de 39 767 556 $EUA, que incluye</w:t>
      </w:r>
      <w:r w:rsidRPr="000801F3">
        <w:rPr>
          <w:lang w:val="es-419"/>
        </w:rPr>
        <w:t xml:space="preserve"> 22 219 910 $EUA de contribuciones pendientes que se prevé recaudar. </w:t>
      </w:r>
    </w:p>
    <w:p w14:paraId="4EF8A3FB" w14:textId="77777777" w:rsidR="00A23492" w:rsidRPr="000801F3" w:rsidRDefault="00A23492" w:rsidP="00A23492">
      <w:pPr>
        <w:rPr>
          <w:color w:val="000000" w:themeColor="text1"/>
          <w:u w:val="single"/>
          <w:lang w:val="es-419"/>
        </w:rPr>
      </w:pPr>
      <w:r w:rsidRPr="000801F3">
        <w:rPr>
          <w:color w:val="000000" w:themeColor="text1"/>
          <w:u w:val="single"/>
          <w:lang w:val="es-419"/>
        </w:rPr>
        <w:t>Intereses potenciales devengados durante el trienio 2018-2020</w:t>
      </w:r>
    </w:p>
    <w:p w14:paraId="33B7C135" w14:textId="77777777" w:rsidR="00A23492" w:rsidRPr="000801F3" w:rsidRDefault="00A23492" w:rsidP="00A23492">
      <w:pPr>
        <w:rPr>
          <w:color w:val="000000" w:themeColor="text1"/>
          <w:lang w:val="es-419"/>
        </w:rPr>
      </w:pPr>
    </w:p>
    <w:p w14:paraId="2B7BCCBF" w14:textId="77777777" w:rsidR="00A23492" w:rsidRPr="000801F3" w:rsidRDefault="00A23492" w:rsidP="00A23492">
      <w:pPr>
        <w:pStyle w:val="Heading1"/>
        <w:rPr>
          <w:lang w:val="es-419"/>
        </w:rPr>
      </w:pPr>
      <w:r w:rsidRPr="000801F3">
        <w:rPr>
          <w:lang w:val="es-419"/>
        </w:rPr>
        <w:t xml:space="preserve">Sobre la base del saldo en efectivo en 2018 y 2019 y utilizando los intereses promedio recaudados en 2018 y hasta septiembre de 2019, podría esperarse que los intereses devengados durante el trienio 2018-2020 asciendan a 9,82 millones de $EUA. </w:t>
      </w:r>
    </w:p>
    <w:p w14:paraId="476A8198" w14:textId="77777777" w:rsidR="00A23492" w:rsidRPr="000801F3" w:rsidRDefault="00A23492" w:rsidP="00A23492">
      <w:pPr>
        <w:pStyle w:val="Heading1"/>
        <w:numPr>
          <w:ilvl w:val="0"/>
          <w:numId w:val="0"/>
        </w:numPr>
        <w:rPr>
          <w:color w:val="000000" w:themeColor="text1"/>
          <w:u w:val="single"/>
          <w:lang w:val="es-419"/>
        </w:rPr>
      </w:pPr>
      <w:r w:rsidRPr="000801F3">
        <w:rPr>
          <w:color w:val="000000" w:themeColor="text1"/>
          <w:u w:val="single"/>
          <w:lang w:val="es-419"/>
        </w:rPr>
        <w:t>Ganancias o pérdidas debidas al FERM</w:t>
      </w:r>
    </w:p>
    <w:p w14:paraId="5BFA85A0" w14:textId="77777777" w:rsidR="00A23492" w:rsidRPr="000801F3" w:rsidRDefault="00A23492" w:rsidP="00A23492">
      <w:pPr>
        <w:pStyle w:val="Heading1"/>
        <w:rPr>
          <w:color w:val="000000" w:themeColor="text1"/>
          <w:u w:val="single"/>
          <w:lang w:val="es-419"/>
        </w:rPr>
      </w:pPr>
      <w:r w:rsidRPr="000801F3">
        <w:rPr>
          <w:lang w:val="es-419"/>
        </w:rPr>
        <w:t>El impacto potencial sobre los recursos para el trienio 2018-2020 debido al mecanismo de tipo de cambio fijo (FERM) se ha estimado en una ganancia de 3,28 millones de $EUA.</w:t>
      </w:r>
    </w:p>
    <w:p w14:paraId="34E52A0F" w14:textId="77777777" w:rsidR="00A23492" w:rsidRPr="000801F3" w:rsidRDefault="00A23492" w:rsidP="00A23492">
      <w:pPr>
        <w:pStyle w:val="Heading1"/>
        <w:numPr>
          <w:ilvl w:val="0"/>
          <w:numId w:val="0"/>
        </w:numPr>
        <w:rPr>
          <w:color w:val="000000" w:themeColor="text1"/>
          <w:u w:val="single"/>
          <w:lang w:val="es-419"/>
        </w:rPr>
      </w:pPr>
      <w:r w:rsidRPr="000801F3">
        <w:rPr>
          <w:color w:val="000000" w:themeColor="text1"/>
          <w:u w:val="single"/>
          <w:lang w:val="es-419"/>
        </w:rPr>
        <w:t>Saldos potenciales devueltos de proyectos cancelados o terminados</w:t>
      </w:r>
    </w:p>
    <w:p w14:paraId="568B609B" w14:textId="77777777" w:rsidR="00A23492" w:rsidRPr="000801F3" w:rsidRDefault="00A23492" w:rsidP="00A23492">
      <w:pPr>
        <w:pStyle w:val="Heading1"/>
        <w:rPr>
          <w:lang w:val="es-419"/>
        </w:rPr>
      </w:pPr>
      <w:r w:rsidRPr="000801F3">
        <w:rPr>
          <w:lang w:val="es-419"/>
        </w:rPr>
        <w:t xml:space="preserve">Es difícil calcular los fondos totales potenciales asociados con la devolución de saldos de proyectos cancelados o terminados durante el trienio 2018-2020. A título de referencia, los fondos promedio devueltos para el período 2015-2018 fueron de 5,5 millones de $EUA por año. Se anima encarecidamente a los organismos bilaterales y de ejecución a devolver inmediatamente todos los saldos de proyectos operativamente terminados o cancelados. </w:t>
      </w:r>
    </w:p>
    <w:p w14:paraId="3C060E60" w14:textId="77777777" w:rsidR="00A23492" w:rsidRPr="000801F3" w:rsidRDefault="00A23492" w:rsidP="00A23492">
      <w:pPr>
        <w:pStyle w:val="Heading1"/>
        <w:keepNext/>
        <w:numPr>
          <w:ilvl w:val="0"/>
          <w:numId w:val="0"/>
        </w:numPr>
        <w:tabs>
          <w:tab w:val="left" w:pos="0"/>
          <w:tab w:val="left" w:pos="720"/>
          <w:tab w:val="left" w:pos="1440"/>
          <w:tab w:val="left" w:pos="2160"/>
          <w:tab w:val="left" w:pos="2880"/>
          <w:tab w:val="left" w:pos="3600"/>
        </w:tabs>
        <w:spacing w:after="0"/>
        <w:rPr>
          <w:b/>
          <w:bCs/>
          <w:color w:val="000000" w:themeColor="text1"/>
          <w:lang w:val="es-419"/>
        </w:rPr>
      </w:pPr>
      <w:r w:rsidRPr="000801F3">
        <w:rPr>
          <w:b/>
          <w:bCs/>
          <w:color w:val="000000" w:themeColor="text1"/>
          <w:lang w:val="es-419"/>
        </w:rPr>
        <w:t>RECOMENDACIÓN</w:t>
      </w:r>
    </w:p>
    <w:p w14:paraId="4F623A36" w14:textId="77777777" w:rsidR="00A23492" w:rsidRPr="000801F3" w:rsidRDefault="00A23492" w:rsidP="00A23492">
      <w:pPr>
        <w:keepNext/>
        <w:rPr>
          <w:color w:val="000000" w:themeColor="text1"/>
          <w:lang w:val="es-419"/>
        </w:rPr>
      </w:pPr>
    </w:p>
    <w:p w14:paraId="06601272" w14:textId="77777777" w:rsidR="00A23492" w:rsidRPr="000801F3" w:rsidRDefault="00A23492" w:rsidP="00A23492">
      <w:pPr>
        <w:pStyle w:val="Heading1"/>
        <w:rPr>
          <w:lang w:val="es-419"/>
        </w:rPr>
      </w:pPr>
      <w:r w:rsidRPr="000801F3">
        <w:rPr>
          <w:lang w:val="es-419"/>
        </w:rPr>
        <w:t>El Comité Ejecutivo puede considerar oportuno tomar nota de lo siguiente:</w:t>
      </w:r>
    </w:p>
    <w:p w14:paraId="71F4E458" w14:textId="77777777" w:rsidR="0028717E" w:rsidRDefault="00A23492" w:rsidP="0028717E">
      <w:pPr>
        <w:pStyle w:val="Heading2"/>
        <w:rPr>
          <w:color w:val="000000" w:themeColor="text1"/>
          <w:lang w:val="es-419"/>
        </w:rPr>
      </w:pPr>
      <w:r w:rsidRPr="000801F3">
        <w:rPr>
          <w:lang w:val="es-419"/>
        </w:rPr>
        <w:t>La información actualizada sobre el estado de ejecución del plan administrativo consolidado de 2019-2021 del Fondo Multilateral que aparece en el documento UNEP/OzL.Pro/ExCom/84/24; y</w:t>
      </w:r>
      <w:r w:rsidRPr="000801F3">
        <w:rPr>
          <w:color w:val="000000" w:themeColor="text1"/>
          <w:lang w:val="es-419"/>
        </w:rPr>
        <w:t xml:space="preserve"> </w:t>
      </w:r>
    </w:p>
    <w:p w14:paraId="5059E788" w14:textId="272C84F1" w:rsidR="0087455A" w:rsidRPr="0028717E" w:rsidRDefault="00A23492" w:rsidP="0028717E">
      <w:pPr>
        <w:pStyle w:val="Heading2"/>
        <w:rPr>
          <w:color w:val="000000" w:themeColor="text1"/>
          <w:lang w:val="es-419"/>
        </w:rPr>
      </w:pPr>
      <w:r w:rsidRPr="0028717E">
        <w:rPr>
          <w:lang w:val="es-419"/>
        </w:rPr>
        <w:t>Que a la 84ª reunión se presentaron actividades de reducción del HFC por un valor de 2 539 511 $EUA, de los cuales 1 101 777 $EUA no se habían incluido en los planes administrativos de 2019-2021.</w:t>
      </w:r>
    </w:p>
    <w:p w14:paraId="5574FC97" w14:textId="77777777" w:rsidR="0028717E" w:rsidRPr="0028717E" w:rsidRDefault="0028717E" w:rsidP="0028717E">
      <w:pPr>
        <w:rPr>
          <w:lang w:val="es-419"/>
        </w:rPr>
      </w:pPr>
    </w:p>
    <w:p w14:paraId="24143B9A" w14:textId="77777777" w:rsidR="0087455A" w:rsidRPr="000801F3" w:rsidRDefault="0087455A">
      <w:pPr>
        <w:rPr>
          <w:lang w:val="es-419"/>
        </w:rPr>
        <w:sectPr w:rsidR="0087455A" w:rsidRPr="000801F3">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373F4BB4" w14:textId="77777777" w:rsidR="0087455A" w:rsidRPr="000801F3" w:rsidRDefault="0087455A">
      <w:pPr>
        <w:jc w:val="center"/>
        <w:rPr>
          <w:b/>
          <w:bCs/>
          <w:lang w:val="es-419"/>
        </w:rPr>
      </w:pPr>
    </w:p>
    <w:p w14:paraId="1247FA2E" w14:textId="77777777" w:rsidR="0087455A" w:rsidRPr="000801F3" w:rsidRDefault="0024162E">
      <w:pPr>
        <w:jc w:val="center"/>
        <w:rPr>
          <w:b/>
          <w:bCs/>
          <w:lang w:val="es-419"/>
        </w:rPr>
      </w:pPr>
      <w:r w:rsidRPr="000801F3">
        <w:rPr>
          <w:b/>
          <w:bCs/>
          <w:lang w:val="es-419"/>
        </w:rPr>
        <w:t>Anexo I</w:t>
      </w:r>
    </w:p>
    <w:p w14:paraId="6E557C9E" w14:textId="77777777" w:rsidR="0087455A" w:rsidRPr="000801F3" w:rsidRDefault="0087455A">
      <w:pPr>
        <w:jc w:val="center"/>
        <w:rPr>
          <w:b/>
          <w:bCs/>
          <w:lang w:val="es-419"/>
        </w:rPr>
      </w:pPr>
    </w:p>
    <w:p w14:paraId="1290D2C7" w14:textId="6664DA7C" w:rsidR="0028717E" w:rsidRPr="000801F3" w:rsidRDefault="0028717E" w:rsidP="0028717E">
      <w:pPr>
        <w:jc w:val="center"/>
        <w:rPr>
          <w:b/>
          <w:bCs/>
          <w:color w:val="000000" w:themeColor="text1"/>
          <w:lang w:val="es-419"/>
        </w:rPr>
      </w:pPr>
      <w:r w:rsidRPr="000801F3">
        <w:rPr>
          <w:b/>
          <w:bCs/>
          <w:color w:val="000000" w:themeColor="text1"/>
          <w:lang w:val="es-419"/>
        </w:rPr>
        <w:t>ACTIVIDADES DE REDU</w:t>
      </w:r>
      <w:r>
        <w:rPr>
          <w:b/>
          <w:bCs/>
          <w:color w:val="000000" w:themeColor="text1"/>
          <w:lang w:val="es-419"/>
        </w:rPr>
        <w:t>CCIÓN DEL HFC PRESENTADAS EN LA</w:t>
      </w:r>
      <w:r w:rsidRPr="000801F3">
        <w:rPr>
          <w:b/>
          <w:bCs/>
          <w:color w:val="000000" w:themeColor="text1"/>
          <w:lang w:val="es-419"/>
        </w:rPr>
        <w:t xml:space="preserve"> 84ª REUNIÓN</w:t>
      </w:r>
    </w:p>
    <w:p w14:paraId="58F2DC35" w14:textId="77777777" w:rsidR="0028717E" w:rsidRPr="000801F3" w:rsidRDefault="0028717E" w:rsidP="0028717E">
      <w:pPr>
        <w:jc w:val="center"/>
        <w:rPr>
          <w:b/>
          <w:bCs/>
          <w:color w:val="000000" w:themeColor="text1"/>
          <w:lang w:val="es-419"/>
        </w:rPr>
      </w:pPr>
    </w:p>
    <w:tbl>
      <w:tblPr>
        <w:tblW w:w="5000" w:type="pct"/>
        <w:tblLook w:val="04A0" w:firstRow="1" w:lastRow="0" w:firstColumn="1" w:lastColumn="0" w:noHBand="0" w:noVBand="1"/>
      </w:tblPr>
      <w:tblGrid>
        <w:gridCol w:w="1016"/>
        <w:gridCol w:w="1172"/>
        <w:gridCol w:w="617"/>
        <w:gridCol w:w="761"/>
        <w:gridCol w:w="2962"/>
        <w:gridCol w:w="1372"/>
        <w:gridCol w:w="1450"/>
      </w:tblGrid>
      <w:tr w:rsidR="0028717E" w:rsidRPr="00B50987" w14:paraId="692DECAA" w14:textId="77777777" w:rsidTr="00E343A5">
        <w:trPr>
          <w:trHeight w:val="864"/>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6B4C4" w14:textId="77777777" w:rsidR="0028717E" w:rsidRPr="000801F3" w:rsidRDefault="0028717E" w:rsidP="00E343A5">
            <w:pPr>
              <w:jc w:val="left"/>
              <w:rPr>
                <w:b/>
                <w:bCs/>
                <w:sz w:val="20"/>
                <w:szCs w:val="20"/>
                <w:lang w:val="es-419"/>
              </w:rPr>
            </w:pPr>
            <w:r w:rsidRPr="000801F3">
              <w:rPr>
                <w:b/>
                <w:bCs/>
                <w:sz w:val="20"/>
                <w:szCs w:val="20"/>
                <w:lang w:val="es-419"/>
              </w:rPr>
              <w:t>País</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4E81C966" w14:textId="77777777" w:rsidR="0028717E" w:rsidRPr="000801F3" w:rsidRDefault="0028717E" w:rsidP="00E343A5">
            <w:pPr>
              <w:jc w:val="center"/>
              <w:rPr>
                <w:b/>
                <w:bCs/>
                <w:sz w:val="20"/>
                <w:szCs w:val="20"/>
                <w:lang w:val="es-419"/>
              </w:rPr>
            </w:pPr>
            <w:r w:rsidRPr="000801F3">
              <w:rPr>
                <w:b/>
                <w:bCs/>
                <w:sz w:val="20"/>
                <w:szCs w:val="20"/>
                <w:lang w:val="es-419"/>
              </w:rPr>
              <w:t>Organismo</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6418342E" w14:textId="77777777" w:rsidR="0028717E" w:rsidRPr="000801F3" w:rsidRDefault="0028717E" w:rsidP="00E343A5">
            <w:pPr>
              <w:jc w:val="center"/>
              <w:rPr>
                <w:b/>
                <w:bCs/>
                <w:sz w:val="20"/>
                <w:szCs w:val="20"/>
                <w:lang w:val="es-419"/>
              </w:rPr>
            </w:pPr>
            <w:r w:rsidRPr="000801F3">
              <w:rPr>
                <w:b/>
                <w:bCs/>
                <w:sz w:val="20"/>
                <w:szCs w:val="20"/>
                <w:lang w:val="es-419"/>
              </w:rPr>
              <w:t>Tipo</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0F96B8A8" w14:textId="77777777" w:rsidR="0028717E" w:rsidRPr="000801F3" w:rsidRDefault="0028717E" w:rsidP="00E343A5">
            <w:pPr>
              <w:jc w:val="center"/>
              <w:rPr>
                <w:b/>
                <w:bCs/>
                <w:sz w:val="20"/>
                <w:szCs w:val="20"/>
                <w:lang w:val="es-419"/>
              </w:rPr>
            </w:pPr>
            <w:r w:rsidRPr="000801F3">
              <w:rPr>
                <w:b/>
                <w:bCs/>
                <w:sz w:val="20"/>
                <w:szCs w:val="20"/>
                <w:lang w:val="es-419"/>
              </w:rPr>
              <w:t>Sector</w:t>
            </w:r>
          </w:p>
        </w:tc>
        <w:tc>
          <w:tcPr>
            <w:tcW w:w="1694" w:type="pct"/>
            <w:tcBorders>
              <w:top w:val="single" w:sz="4" w:space="0" w:color="auto"/>
              <w:left w:val="nil"/>
              <w:bottom w:val="single" w:sz="4" w:space="0" w:color="auto"/>
              <w:right w:val="single" w:sz="4" w:space="0" w:color="auto"/>
            </w:tcBorders>
            <w:shd w:val="clear" w:color="auto" w:fill="auto"/>
            <w:vAlign w:val="center"/>
            <w:hideMark/>
          </w:tcPr>
          <w:p w14:paraId="2436C6BF" w14:textId="77777777" w:rsidR="0028717E" w:rsidRPr="000801F3" w:rsidRDefault="0028717E" w:rsidP="00E343A5">
            <w:pPr>
              <w:jc w:val="center"/>
              <w:rPr>
                <w:b/>
                <w:bCs/>
                <w:sz w:val="20"/>
                <w:szCs w:val="20"/>
                <w:lang w:val="es-419"/>
              </w:rPr>
            </w:pPr>
            <w:r w:rsidRPr="000801F3">
              <w:rPr>
                <w:b/>
                <w:bCs/>
                <w:sz w:val="20"/>
                <w:szCs w:val="20"/>
                <w:lang w:val="es-419"/>
              </w:rPr>
              <w:t>Título del proyecto</w:t>
            </w:r>
          </w:p>
        </w:tc>
        <w:tc>
          <w:tcPr>
            <w:tcW w:w="763" w:type="pct"/>
            <w:tcBorders>
              <w:top w:val="single" w:sz="4" w:space="0" w:color="auto"/>
              <w:left w:val="nil"/>
              <w:bottom w:val="single" w:sz="4" w:space="0" w:color="auto"/>
              <w:right w:val="single" w:sz="4" w:space="0" w:color="auto"/>
            </w:tcBorders>
            <w:shd w:val="clear" w:color="auto" w:fill="auto"/>
            <w:vAlign w:val="center"/>
            <w:hideMark/>
          </w:tcPr>
          <w:p w14:paraId="64734C53" w14:textId="77777777" w:rsidR="0028717E" w:rsidRPr="000801F3" w:rsidRDefault="0028717E" w:rsidP="00E343A5">
            <w:pPr>
              <w:jc w:val="center"/>
              <w:rPr>
                <w:b/>
                <w:bCs/>
                <w:sz w:val="20"/>
                <w:szCs w:val="20"/>
                <w:lang w:val="es-419"/>
              </w:rPr>
            </w:pPr>
            <w:r w:rsidRPr="000801F3">
              <w:rPr>
                <w:b/>
                <w:bCs/>
                <w:sz w:val="20"/>
                <w:szCs w:val="20"/>
                <w:lang w:val="es-419"/>
              </w:rPr>
              <w:t>Cantidad examinada o recomendada ($EUA)</w:t>
            </w:r>
          </w:p>
        </w:tc>
        <w:tc>
          <w:tcPr>
            <w:tcW w:w="763" w:type="pct"/>
            <w:tcBorders>
              <w:top w:val="single" w:sz="4" w:space="0" w:color="auto"/>
              <w:left w:val="nil"/>
              <w:bottom w:val="single" w:sz="4" w:space="0" w:color="auto"/>
              <w:right w:val="single" w:sz="4" w:space="0" w:color="auto"/>
            </w:tcBorders>
            <w:shd w:val="clear" w:color="auto" w:fill="auto"/>
            <w:vAlign w:val="center"/>
            <w:hideMark/>
          </w:tcPr>
          <w:p w14:paraId="3643FC2C" w14:textId="77777777" w:rsidR="0028717E" w:rsidRPr="000801F3" w:rsidRDefault="0028717E" w:rsidP="00E343A5">
            <w:pPr>
              <w:jc w:val="center"/>
              <w:rPr>
                <w:b/>
                <w:bCs/>
                <w:sz w:val="20"/>
                <w:szCs w:val="20"/>
                <w:lang w:val="es-419"/>
              </w:rPr>
            </w:pPr>
            <w:r w:rsidRPr="000801F3">
              <w:rPr>
                <w:b/>
                <w:bCs/>
                <w:sz w:val="20"/>
                <w:szCs w:val="20"/>
                <w:lang w:val="es-419"/>
              </w:rPr>
              <w:t>Gastos de apoyo examinados o recomendados ($EUA)</w:t>
            </w:r>
          </w:p>
        </w:tc>
      </w:tr>
      <w:tr w:rsidR="0028717E" w:rsidRPr="000801F3" w14:paraId="5741E8B7" w14:textId="77777777" w:rsidTr="00E343A5">
        <w:trPr>
          <w:trHeight w:val="204"/>
        </w:trPr>
        <w:tc>
          <w:tcPr>
            <w:tcW w:w="565" w:type="pct"/>
            <w:tcBorders>
              <w:top w:val="nil"/>
              <w:left w:val="single" w:sz="4" w:space="0" w:color="auto"/>
              <w:bottom w:val="single" w:sz="4" w:space="0" w:color="auto"/>
              <w:right w:val="single" w:sz="4" w:space="0" w:color="auto"/>
            </w:tcBorders>
            <w:shd w:val="clear" w:color="auto" w:fill="auto"/>
            <w:hideMark/>
          </w:tcPr>
          <w:p w14:paraId="21DD16F1" w14:textId="77777777" w:rsidR="0028717E" w:rsidRPr="000801F3" w:rsidRDefault="0028717E" w:rsidP="00E343A5">
            <w:pPr>
              <w:jc w:val="left"/>
              <w:rPr>
                <w:sz w:val="20"/>
                <w:szCs w:val="20"/>
                <w:lang w:val="es-419"/>
              </w:rPr>
            </w:pPr>
            <w:r w:rsidRPr="000801F3">
              <w:rPr>
                <w:sz w:val="20"/>
                <w:szCs w:val="20"/>
                <w:lang w:val="es-419"/>
              </w:rPr>
              <w:t>Argelia</w:t>
            </w:r>
          </w:p>
        </w:tc>
        <w:tc>
          <w:tcPr>
            <w:tcW w:w="460" w:type="pct"/>
            <w:tcBorders>
              <w:top w:val="nil"/>
              <w:left w:val="nil"/>
              <w:bottom w:val="single" w:sz="4" w:space="0" w:color="auto"/>
              <w:right w:val="single" w:sz="4" w:space="0" w:color="auto"/>
            </w:tcBorders>
            <w:shd w:val="clear" w:color="auto" w:fill="auto"/>
            <w:hideMark/>
          </w:tcPr>
          <w:p w14:paraId="39C5E595" w14:textId="77777777" w:rsidR="0028717E" w:rsidRPr="000801F3" w:rsidRDefault="0028717E" w:rsidP="00E343A5">
            <w:pPr>
              <w:jc w:val="left"/>
              <w:rPr>
                <w:sz w:val="20"/>
                <w:szCs w:val="20"/>
                <w:lang w:val="es-419"/>
              </w:rPr>
            </w:pPr>
            <w:r w:rsidRPr="000801F3">
              <w:rPr>
                <w:sz w:val="20"/>
                <w:szCs w:val="20"/>
                <w:lang w:val="es-419"/>
              </w:rPr>
              <w:t>ONUDI</w:t>
            </w:r>
          </w:p>
        </w:tc>
        <w:tc>
          <w:tcPr>
            <w:tcW w:w="348" w:type="pct"/>
            <w:tcBorders>
              <w:top w:val="nil"/>
              <w:left w:val="nil"/>
              <w:bottom w:val="single" w:sz="4" w:space="0" w:color="auto"/>
              <w:right w:val="single" w:sz="4" w:space="0" w:color="auto"/>
            </w:tcBorders>
            <w:shd w:val="clear" w:color="auto" w:fill="auto"/>
            <w:hideMark/>
          </w:tcPr>
          <w:p w14:paraId="78054A49" w14:textId="77777777" w:rsidR="0028717E" w:rsidRPr="000801F3" w:rsidRDefault="0028717E" w:rsidP="00E343A5">
            <w:pPr>
              <w:jc w:val="left"/>
              <w:rPr>
                <w:sz w:val="20"/>
                <w:szCs w:val="20"/>
                <w:lang w:val="es-419"/>
              </w:rPr>
            </w:pPr>
            <w:r w:rsidRPr="000801F3">
              <w:rPr>
                <w:sz w:val="20"/>
                <w:szCs w:val="20"/>
                <w:lang w:val="es-419"/>
              </w:rPr>
              <w:t>TAS</w:t>
            </w:r>
          </w:p>
        </w:tc>
        <w:tc>
          <w:tcPr>
            <w:tcW w:w="407" w:type="pct"/>
            <w:tcBorders>
              <w:top w:val="nil"/>
              <w:left w:val="nil"/>
              <w:bottom w:val="single" w:sz="4" w:space="0" w:color="auto"/>
              <w:right w:val="single" w:sz="4" w:space="0" w:color="auto"/>
            </w:tcBorders>
            <w:shd w:val="clear" w:color="auto" w:fill="auto"/>
            <w:hideMark/>
          </w:tcPr>
          <w:p w14:paraId="7DFFC575" w14:textId="77777777" w:rsidR="0028717E" w:rsidRPr="000801F3" w:rsidRDefault="0028717E" w:rsidP="00E343A5">
            <w:pPr>
              <w:jc w:val="left"/>
              <w:rPr>
                <w:sz w:val="20"/>
                <w:szCs w:val="20"/>
                <w:lang w:val="es-419"/>
              </w:rPr>
            </w:pPr>
            <w:r w:rsidRPr="000801F3">
              <w:rPr>
                <w:sz w:val="20"/>
                <w:szCs w:val="20"/>
                <w:lang w:val="es-419"/>
              </w:rPr>
              <w:t>SEV</w:t>
            </w:r>
          </w:p>
        </w:tc>
        <w:tc>
          <w:tcPr>
            <w:tcW w:w="1694" w:type="pct"/>
            <w:tcBorders>
              <w:top w:val="nil"/>
              <w:left w:val="nil"/>
              <w:bottom w:val="single" w:sz="4" w:space="0" w:color="auto"/>
              <w:right w:val="single" w:sz="4" w:space="0" w:color="auto"/>
            </w:tcBorders>
            <w:shd w:val="clear" w:color="auto" w:fill="auto"/>
            <w:hideMark/>
          </w:tcPr>
          <w:p w14:paraId="58470BEB" w14:textId="77777777" w:rsidR="0028717E" w:rsidRPr="000801F3" w:rsidRDefault="0028717E" w:rsidP="00E343A5">
            <w:pPr>
              <w:jc w:val="left"/>
              <w:rPr>
                <w:sz w:val="20"/>
                <w:szCs w:val="20"/>
                <w:lang w:val="es-419"/>
              </w:rPr>
            </w:pPr>
            <w:r w:rsidRPr="000801F3">
              <w:rPr>
                <w:sz w:val="20"/>
                <w:szCs w:val="20"/>
                <w:lang w:val="es-419"/>
              </w:rPr>
              <w:t>Actividades de apoyo para la reducción del HFC</w:t>
            </w:r>
          </w:p>
        </w:tc>
        <w:tc>
          <w:tcPr>
            <w:tcW w:w="763" w:type="pct"/>
            <w:tcBorders>
              <w:top w:val="nil"/>
              <w:left w:val="nil"/>
              <w:bottom w:val="single" w:sz="4" w:space="0" w:color="auto"/>
              <w:right w:val="single" w:sz="4" w:space="0" w:color="auto"/>
            </w:tcBorders>
            <w:shd w:val="clear" w:color="auto" w:fill="auto"/>
            <w:hideMark/>
          </w:tcPr>
          <w:p w14:paraId="38A11E4C" w14:textId="77777777" w:rsidR="0028717E" w:rsidRPr="000801F3" w:rsidRDefault="0028717E" w:rsidP="00E343A5">
            <w:pPr>
              <w:jc w:val="right"/>
              <w:rPr>
                <w:sz w:val="20"/>
                <w:szCs w:val="20"/>
                <w:lang w:val="es-419"/>
              </w:rPr>
            </w:pPr>
            <w:r w:rsidRPr="000801F3">
              <w:rPr>
                <w:sz w:val="20"/>
                <w:szCs w:val="20"/>
                <w:lang w:val="es-419"/>
              </w:rPr>
              <w:t>150 000</w:t>
            </w:r>
          </w:p>
        </w:tc>
        <w:tc>
          <w:tcPr>
            <w:tcW w:w="763" w:type="pct"/>
            <w:tcBorders>
              <w:top w:val="nil"/>
              <w:left w:val="nil"/>
              <w:bottom w:val="single" w:sz="4" w:space="0" w:color="auto"/>
              <w:right w:val="single" w:sz="4" w:space="0" w:color="auto"/>
            </w:tcBorders>
            <w:shd w:val="clear" w:color="auto" w:fill="auto"/>
            <w:hideMark/>
          </w:tcPr>
          <w:p w14:paraId="181420FB" w14:textId="77777777" w:rsidR="0028717E" w:rsidRPr="000801F3" w:rsidRDefault="0028717E" w:rsidP="00E343A5">
            <w:pPr>
              <w:jc w:val="right"/>
              <w:rPr>
                <w:sz w:val="20"/>
                <w:szCs w:val="20"/>
                <w:lang w:val="es-419"/>
              </w:rPr>
            </w:pPr>
            <w:r w:rsidRPr="000801F3">
              <w:rPr>
                <w:sz w:val="20"/>
                <w:szCs w:val="20"/>
                <w:lang w:val="es-419"/>
              </w:rPr>
              <w:t>10 500</w:t>
            </w:r>
          </w:p>
        </w:tc>
      </w:tr>
      <w:tr w:rsidR="0028717E" w:rsidRPr="000801F3" w14:paraId="0027E059" w14:textId="77777777" w:rsidTr="00E343A5">
        <w:trPr>
          <w:trHeight w:val="408"/>
        </w:trPr>
        <w:tc>
          <w:tcPr>
            <w:tcW w:w="565" w:type="pct"/>
            <w:tcBorders>
              <w:top w:val="nil"/>
              <w:left w:val="single" w:sz="4" w:space="0" w:color="auto"/>
              <w:bottom w:val="single" w:sz="4" w:space="0" w:color="auto"/>
              <w:right w:val="single" w:sz="4" w:space="0" w:color="auto"/>
            </w:tcBorders>
            <w:shd w:val="clear" w:color="auto" w:fill="auto"/>
            <w:hideMark/>
          </w:tcPr>
          <w:p w14:paraId="1689A2C7" w14:textId="77777777" w:rsidR="0028717E" w:rsidRPr="000801F3" w:rsidRDefault="0028717E" w:rsidP="00E343A5">
            <w:pPr>
              <w:jc w:val="left"/>
              <w:rPr>
                <w:sz w:val="20"/>
                <w:szCs w:val="20"/>
                <w:lang w:val="es-419"/>
              </w:rPr>
            </w:pPr>
            <w:r w:rsidRPr="000801F3">
              <w:rPr>
                <w:sz w:val="20"/>
                <w:szCs w:val="20"/>
                <w:lang w:val="es-419"/>
              </w:rPr>
              <w:t>Argentina</w:t>
            </w:r>
          </w:p>
        </w:tc>
        <w:tc>
          <w:tcPr>
            <w:tcW w:w="460" w:type="pct"/>
            <w:tcBorders>
              <w:top w:val="nil"/>
              <w:left w:val="nil"/>
              <w:bottom w:val="single" w:sz="4" w:space="0" w:color="auto"/>
              <w:right w:val="single" w:sz="4" w:space="0" w:color="auto"/>
            </w:tcBorders>
            <w:shd w:val="clear" w:color="auto" w:fill="auto"/>
            <w:hideMark/>
          </w:tcPr>
          <w:p w14:paraId="39366E28" w14:textId="77777777" w:rsidR="0028717E" w:rsidRPr="000801F3" w:rsidRDefault="0028717E" w:rsidP="00E343A5">
            <w:pPr>
              <w:jc w:val="left"/>
              <w:rPr>
                <w:sz w:val="20"/>
                <w:szCs w:val="20"/>
                <w:lang w:val="es-419"/>
              </w:rPr>
            </w:pPr>
            <w:r w:rsidRPr="000801F3">
              <w:rPr>
                <w:sz w:val="20"/>
                <w:szCs w:val="20"/>
                <w:lang w:val="es-419"/>
              </w:rPr>
              <w:t>ONUDI</w:t>
            </w:r>
          </w:p>
        </w:tc>
        <w:tc>
          <w:tcPr>
            <w:tcW w:w="348" w:type="pct"/>
            <w:tcBorders>
              <w:top w:val="nil"/>
              <w:left w:val="nil"/>
              <w:bottom w:val="single" w:sz="4" w:space="0" w:color="auto"/>
              <w:right w:val="single" w:sz="4" w:space="0" w:color="auto"/>
            </w:tcBorders>
            <w:shd w:val="clear" w:color="auto" w:fill="auto"/>
            <w:hideMark/>
          </w:tcPr>
          <w:p w14:paraId="782CC168" w14:textId="77777777" w:rsidR="0028717E" w:rsidRPr="000801F3" w:rsidRDefault="0028717E" w:rsidP="00E343A5">
            <w:pPr>
              <w:jc w:val="left"/>
              <w:rPr>
                <w:sz w:val="20"/>
                <w:szCs w:val="20"/>
                <w:lang w:val="es-419"/>
              </w:rPr>
            </w:pPr>
            <w:r w:rsidRPr="000801F3">
              <w:rPr>
                <w:sz w:val="20"/>
                <w:szCs w:val="20"/>
                <w:lang w:val="es-419"/>
              </w:rPr>
              <w:t>INV</w:t>
            </w:r>
          </w:p>
        </w:tc>
        <w:tc>
          <w:tcPr>
            <w:tcW w:w="407" w:type="pct"/>
            <w:tcBorders>
              <w:top w:val="nil"/>
              <w:left w:val="nil"/>
              <w:bottom w:val="single" w:sz="4" w:space="0" w:color="auto"/>
              <w:right w:val="single" w:sz="4" w:space="0" w:color="auto"/>
            </w:tcBorders>
            <w:shd w:val="clear" w:color="auto" w:fill="auto"/>
            <w:hideMark/>
          </w:tcPr>
          <w:p w14:paraId="68049A8E" w14:textId="77777777" w:rsidR="0028717E" w:rsidRPr="000801F3" w:rsidRDefault="0028717E" w:rsidP="00E343A5">
            <w:pPr>
              <w:jc w:val="left"/>
              <w:rPr>
                <w:sz w:val="20"/>
                <w:szCs w:val="20"/>
                <w:lang w:val="es-419"/>
              </w:rPr>
            </w:pPr>
            <w:r w:rsidRPr="000801F3">
              <w:rPr>
                <w:sz w:val="20"/>
                <w:szCs w:val="20"/>
                <w:lang w:val="es-419"/>
              </w:rPr>
              <w:t>PRO</w:t>
            </w:r>
          </w:p>
        </w:tc>
        <w:tc>
          <w:tcPr>
            <w:tcW w:w="1694" w:type="pct"/>
            <w:tcBorders>
              <w:top w:val="nil"/>
              <w:left w:val="nil"/>
              <w:bottom w:val="single" w:sz="4" w:space="0" w:color="auto"/>
              <w:right w:val="single" w:sz="4" w:space="0" w:color="auto"/>
            </w:tcBorders>
            <w:shd w:val="clear" w:color="auto" w:fill="auto"/>
            <w:hideMark/>
          </w:tcPr>
          <w:p w14:paraId="13AA2975" w14:textId="77777777" w:rsidR="0028717E" w:rsidRPr="000801F3" w:rsidRDefault="0028717E" w:rsidP="00E343A5">
            <w:pPr>
              <w:jc w:val="left"/>
              <w:rPr>
                <w:sz w:val="20"/>
                <w:szCs w:val="20"/>
                <w:lang w:val="es-419"/>
              </w:rPr>
            </w:pPr>
            <w:r w:rsidRPr="000801F3">
              <w:rPr>
                <w:sz w:val="20"/>
                <w:szCs w:val="20"/>
                <w:lang w:val="es-419"/>
              </w:rPr>
              <w:t>Control y eliminación de las emisiones de HFC-23 en la producción de HCFC</w:t>
            </w:r>
            <w:r w:rsidRPr="000801F3">
              <w:rPr>
                <w:sz w:val="20"/>
                <w:szCs w:val="20"/>
                <w:lang w:val="es-419"/>
              </w:rPr>
              <w:noBreakHyphen/>
              <w:t>22 en FIASA</w:t>
            </w:r>
          </w:p>
        </w:tc>
        <w:tc>
          <w:tcPr>
            <w:tcW w:w="763" w:type="pct"/>
            <w:tcBorders>
              <w:top w:val="nil"/>
              <w:left w:val="nil"/>
              <w:bottom w:val="single" w:sz="4" w:space="0" w:color="auto"/>
              <w:right w:val="single" w:sz="4" w:space="0" w:color="auto"/>
            </w:tcBorders>
            <w:shd w:val="clear" w:color="auto" w:fill="auto"/>
            <w:hideMark/>
          </w:tcPr>
          <w:p w14:paraId="02052840" w14:textId="77777777" w:rsidR="0028717E" w:rsidRPr="000801F3" w:rsidRDefault="0028717E" w:rsidP="00E343A5">
            <w:pPr>
              <w:jc w:val="right"/>
              <w:rPr>
                <w:sz w:val="20"/>
                <w:szCs w:val="20"/>
                <w:lang w:val="es-419"/>
              </w:rPr>
            </w:pPr>
            <w:r w:rsidRPr="000801F3">
              <w:rPr>
                <w:sz w:val="20"/>
                <w:szCs w:val="20"/>
                <w:lang w:val="es-419"/>
              </w:rPr>
              <w:t>1 343 677</w:t>
            </w:r>
          </w:p>
        </w:tc>
        <w:tc>
          <w:tcPr>
            <w:tcW w:w="763" w:type="pct"/>
            <w:tcBorders>
              <w:top w:val="nil"/>
              <w:left w:val="nil"/>
              <w:bottom w:val="single" w:sz="4" w:space="0" w:color="auto"/>
              <w:right w:val="single" w:sz="4" w:space="0" w:color="auto"/>
            </w:tcBorders>
            <w:shd w:val="clear" w:color="auto" w:fill="auto"/>
            <w:hideMark/>
          </w:tcPr>
          <w:p w14:paraId="1AE5E250" w14:textId="77777777" w:rsidR="0028717E" w:rsidRPr="000801F3" w:rsidRDefault="0028717E" w:rsidP="00E343A5">
            <w:pPr>
              <w:jc w:val="right"/>
              <w:rPr>
                <w:sz w:val="20"/>
                <w:szCs w:val="20"/>
                <w:lang w:val="es-419"/>
              </w:rPr>
            </w:pPr>
            <w:r w:rsidRPr="000801F3">
              <w:rPr>
                <w:sz w:val="20"/>
                <w:szCs w:val="20"/>
                <w:lang w:val="es-419"/>
              </w:rPr>
              <w:t>94 057</w:t>
            </w:r>
          </w:p>
        </w:tc>
      </w:tr>
      <w:tr w:rsidR="0028717E" w:rsidRPr="000801F3" w14:paraId="7F450B61" w14:textId="77777777" w:rsidTr="00E343A5">
        <w:trPr>
          <w:trHeight w:val="408"/>
        </w:trPr>
        <w:tc>
          <w:tcPr>
            <w:tcW w:w="565" w:type="pct"/>
            <w:tcBorders>
              <w:top w:val="nil"/>
              <w:left w:val="single" w:sz="4" w:space="0" w:color="auto"/>
              <w:bottom w:val="single" w:sz="4" w:space="0" w:color="auto"/>
              <w:right w:val="single" w:sz="4" w:space="0" w:color="auto"/>
            </w:tcBorders>
            <w:shd w:val="clear" w:color="auto" w:fill="auto"/>
            <w:hideMark/>
          </w:tcPr>
          <w:p w14:paraId="14D6732D" w14:textId="77777777" w:rsidR="0028717E" w:rsidRPr="000801F3" w:rsidRDefault="0028717E" w:rsidP="00E343A5">
            <w:pPr>
              <w:jc w:val="left"/>
              <w:rPr>
                <w:sz w:val="20"/>
                <w:szCs w:val="20"/>
                <w:lang w:val="es-419"/>
              </w:rPr>
            </w:pPr>
            <w:r w:rsidRPr="000801F3">
              <w:rPr>
                <w:sz w:val="20"/>
                <w:szCs w:val="20"/>
                <w:lang w:val="es-419"/>
              </w:rPr>
              <w:t>Cuba</w:t>
            </w:r>
          </w:p>
        </w:tc>
        <w:tc>
          <w:tcPr>
            <w:tcW w:w="460" w:type="pct"/>
            <w:tcBorders>
              <w:top w:val="nil"/>
              <w:left w:val="nil"/>
              <w:bottom w:val="single" w:sz="4" w:space="0" w:color="auto"/>
              <w:right w:val="single" w:sz="4" w:space="0" w:color="auto"/>
            </w:tcBorders>
            <w:shd w:val="clear" w:color="auto" w:fill="auto"/>
            <w:hideMark/>
          </w:tcPr>
          <w:p w14:paraId="020D4BB6" w14:textId="77777777" w:rsidR="0028717E" w:rsidRPr="000801F3" w:rsidRDefault="0028717E" w:rsidP="00E343A5">
            <w:pPr>
              <w:jc w:val="left"/>
              <w:rPr>
                <w:sz w:val="20"/>
                <w:szCs w:val="20"/>
                <w:lang w:val="es-419"/>
              </w:rPr>
            </w:pPr>
            <w:r w:rsidRPr="000801F3">
              <w:rPr>
                <w:sz w:val="20"/>
                <w:szCs w:val="20"/>
                <w:lang w:val="es-419"/>
              </w:rPr>
              <w:t>PNUD</w:t>
            </w:r>
          </w:p>
        </w:tc>
        <w:tc>
          <w:tcPr>
            <w:tcW w:w="348" w:type="pct"/>
            <w:tcBorders>
              <w:top w:val="nil"/>
              <w:left w:val="nil"/>
              <w:bottom w:val="single" w:sz="4" w:space="0" w:color="auto"/>
              <w:right w:val="single" w:sz="4" w:space="0" w:color="auto"/>
            </w:tcBorders>
            <w:shd w:val="clear" w:color="auto" w:fill="auto"/>
            <w:hideMark/>
          </w:tcPr>
          <w:p w14:paraId="531E361A" w14:textId="77777777" w:rsidR="0028717E" w:rsidRPr="000801F3" w:rsidRDefault="0028717E" w:rsidP="00E343A5">
            <w:pPr>
              <w:jc w:val="left"/>
              <w:rPr>
                <w:sz w:val="20"/>
                <w:szCs w:val="20"/>
                <w:lang w:val="es-419"/>
              </w:rPr>
            </w:pPr>
            <w:r w:rsidRPr="000801F3">
              <w:rPr>
                <w:sz w:val="20"/>
                <w:szCs w:val="20"/>
                <w:lang w:val="es-419"/>
              </w:rPr>
              <w:t>INV</w:t>
            </w:r>
          </w:p>
        </w:tc>
        <w:tc>
          <w:tcPr>
            <w:tcW w:w="407" w:type="pct"/>
            <w:tcBorders>
              <w:top w:val="nil"/>
              <w:left w:val="nil"/>
              <w:bottom w:val="single" w:sz="4" w:space="0" w:color="auto"/>
              <w:right w:val="single" w:sz="4" w:space="0" w:color="auto"/>
            </w:tcBorders>
            <w:shd w:val="clear" w:color="auto" w:fill="auto"/>
            <w:hideMark/>
          </w:tcPr>
          <w:p w14:paraId="490E5D31" w14:textId="77777777" w:rsidR="0028717E" w:rsidRPr="000801F3" w:rsidRDefault="0028717E" w:rsidP="00E343A5">
            <w:pPr>
              <w:jc w:val="left"/>
              <w:rPr>
                <w:sz w:val="20"/>
                <w:szCs w:val="20"/>
                <w:lang w:val="es-419"/>
              </w:rPr>
            </w:pPr>
            <w:r w:rsidRPr="000801F3">
              <w:rPr>
                <w:sz w:val="20"/>
                <w:szCs w:val="20"/>
                <w:lang w:val="es-419"/>
              </w:rPr>
              <w:t>REF</w:t>
            </w:r>
          </w:p>
        </w:tc>
        <w:tc>
          <w:tcPr>
            <w:tcW w:w="1694" w:type="pct"/>
            <w:tcBorders>
              <w:top w:val="nil"/>
              <w:left w:val="nil"/>
              <w:bottom w:val="single" w:sz="4" w:space="0" w:color="auto"/>
              <w:right w:val="single" w:sz="4" w:space="0" w:color="auto"/>
            </w:tcBorders>
            <w:shd w:val="clear" w:color="auto" w:fill="auto"/>
            <w:hideMark/>
          </w:tcPr>
          <w:p w14:paraId="471A0A60" w14:textId="77777777" w:rsidR="0028717E" w:rsidRPr="000801F3" w:rsidRDefault="0028717E" w:rsidP="00E343A5">
            <w:pPr>
              <w:jc w:val="left"/>
              <w:rPr>
                <w:sz w:val="20"/>
                <w:szCs w:val="20"/>
                <w:lang w:val="es-419"/>
              </w:rPr>
            </w:pPr>
            <w:r w:rsidRPr="000801F3">
              <w:rPr>
                <w:sz w:val="20"/>
                <w:szCs w:val="20"/>
                <w:lang w:val="es-419"/>
              </w:rPr>
              <w:t>Conversión del HFC-134a al HFC-290 (propano) en la fabricación de enfriadores en Frioclima</w:t>
            </w:r>
          </w:p>
        </w:tc>
        <w:tc>
          <w:tcPr>
            <w:tcW w:w="763" w:type="pct"/>
            <w:tcBorders>
              <w:top w:val="nil"/>
              <w:left w:val="nil"/>
              <w:bottom w:val="single" w:sz="4" w:space="0" w:color="auto"/>
              <w:right w:val="single" w:sz="4" w:space="0" w:color="auto"/>
            </w:tcBorders>
            <w:shd w:val="clear" w:color="auto" w:fill="auto"/>
            <w:hideMark/>
          </w:tcPr>
          <w:p w14:paraId="4D0CDC17" w14:textId="77777777" w:rsidR="0028717E" w:rsidRPr="000801F3" w:rsidRDefault="0028717E" w:rsidP="00E343A5">
            <w:pPr>
              <w:jc w:val="right"/>
              <w:rPr>
                <w:sz w:val="20"/>
                <w:szCs w:val="20"/>
                <w:lang w:val="es-419"/>
              </w:rPr>
            </w:pPr>
            <w:r w:rsidRPr="000801F3">
              <w:rPr>
                <w:sz w:val="20"/>
                <w:szCs w:val="20"/>
                <w:lang w:val="es-419"/>
              </w:rPr>
              <w:t>120 000</w:t>
            </w:r>
          </w:p>
        </w:tc>
        <w:tc>
          <w:tcPr>
            <w:tcW w:w="763" w:type="pct"/>
            <w:tcBorders>
              <w:top w:val="nil"/>
              <w:left w:val="nil"/>
              <w:bottom w:val="single" w:sz="4" w:space="0" w:color="auto"/>
              <w:right w:val="single" w:sz="4" w:space="0" w:color="auto"/>
            </w:tcBorders>
            <w:shd w:val="clear" w:color="auto" w:fill="auto"/>
            <w:hideMark/>
          </w:tcPr>
          <w:p w14:paraId="016448AF" w14:textId="77777777" w:rsidR="0028717E" w:rsidRPr="000801F3" w:rsidRDefault="0028717E" w:rsidP="00E343A5">
            <w:pPr>
              <w:jc w:val="right"/>
              <w:rPr>
                <w:sz w:val="20"/>
                <w:szCs w:val="20"/>
                <w:lang w:val="es-419"/>
              </w:rPr>
            </w:pPr>
            <w:r w:rsidRPr="000801F3">
              <w:rPr>
                <w:sz w:val="20"/>
                <w:szCs w:val="20"/>
                <w:lang w:val="es-419"/>
              </w:rPr>
              <w:t>10 800</w:t>
            </w:r>
          </w:p>
        </w:tc>
      </w:tr>
      <w:tr w:rsidR="0028717E" w:rsidRPr="000801F3" w14:paraId="6585859E" w14:textId="77777777" w:rsidTr="00E343A5">
        <w:trPr>
          <w:trHeight w:val="408"/>
        </w:trPr>
        <w:tc>
          <w:tcPr>
            <w:tcW w:w="565" w:type="pct"/>
            <w:tcBorders>
              <w:top w:val="nil"/>
              <w:left w:val="single" w:sz="4" w:space="0" w:color="auto"/>
              <w:bottom w:val="single" w:sz="4" w:space="0" w:color="auto"/>
              <w:right w:val="single" w:sz="4" w:space="0" w:color="auto"/>
            </w:tcBorders>
            <w:shd w:val="clear" w:color="auto" w:fill="auto"/>
            <w:hideMark/>
          </w:tcPr>
          <w:p w14:paraId="16D29615" w14:textId="77777777" w:rsidR="0028717E" w:rsidRPr="000801F3" w:rsidRDefault="0028717E" w:rsidP="00E343A5">
            <w:pPr>
              <w:jc w:val="left"/>
              <w:rPr>
                <w:sz w:val="20"/>
                <w:szCs w:val="20"/>
                <w:lang w:val="es-419"/>
              </w:rPr>
            </w:pPr>
            <w:r w:rsidRPr="000801F3">
              <w:rPr>
                <w:sz w:val="20"/>
                <w:szCs w:val="20"/>
                <w:lang w:val="es-419"/>
              </w:rPr>
              <w:t>Egipto</w:t>
            </w:r>
          </w:p>
        </w:tc>
        <w:tc>
          <w:tcPr>
            <w:tcW w:w="460" w:type="pct"/>
            <w:tcBorders>
              <w:top w:val="nil"/>
              <w:left w:val="nil"/>
              <w:bottom w:val="single" w:sz="4" w:space="0" w:color="auto"/>
              <w:right w:val="single" w:sz="4" w:space="0" w:color="auto"/>
            </w:tcBorders>
            <w:shd w:val="clear" w:color="auto" w:fill="auto"/>
            <w:hideMark/>
          </w:tcPr>
          <w:p w14:paraId="27D45CCD" w14:textId="77777777" w:rsidR="0028717E" w:rsidRPr="000801F3" w:rsidRDefault="0028717E" w:rsidP="00E343A5">
            <w:pPr>
              <w:jc w:val="left"/>
              <w:rPr>
                <w:sz w:val="20"/>
                <w:szCs w:val="20"/>
                <w:lang w:val="es-419"/>
              </w:rPr>
            </w:pPr>
            <w:r w:rsidRPr="000801F3">
              <w:rPr>
                <w:sz w:val="20"/>
                <w:szCs w:val="20"/>
                <w:lang w:val="es-419"/>
              </w:rPr>
              <w:t>PNUD</w:t>
            </w:r>
          </w:p>
        </w:tc>
        <w:tc>
          <w:tcPr>
            <w:tcW w:w="348" w:type="pct"/>
            <w:tcBorders>
              <w:top w:val="nil"/>
              <w:left w:val="nil"/>
              <w:bottom w:val="single" w:sz="4" w:space="0" w:color="auto"/>
              <w:right w:val="single" w:sz="4" w:space="0" w:color="auto"/>
            </w:tcBorders>
            <w:shd w:val="clear" w:color="auto" w:fill="auto"/>
            <w:hideMark/>
          </w:tcPr>
          <w:p w14:paraId="18F8EEA8" w14:textId="77777777" w:rsidR="0028717E" w:rsidRPr="000801F3" w:rsidRDefault="0028717E" w:rsidP="00E343A5">
            <w:pPr>
              <w:jc w:val="left"/>
              <w:rPr>
                <w:sz w:val="20"/>
                <w:szCs w:val="20"/>
                <w:lang w:val="es-419"/>
              </w:rPr>
            </w:pPr>
            <w:r w:rsidRPr="000801F3">
              <w:rPr>
                <w:sz w:val="20"/>
                <w:szCs w:val="20"/>
                <w:lang w:val="es-419"/>
              </w:rPr>
              <w:t>PRP</w:t>
            </w:r>
          </w:p>
        </w:tc>
        <w:tc>
          <w:tcPr>
            <w:tcW w:w="407" w:type="pct"/>
            <w:tcBorders>
              <w:top w:val="nil"/>
              <w:left w:val="nil"/>
              <w:bottom w:val="single" w:sz="4" w:space="0" w:color="auto"/>
              <w:right w:val="single" w:sz="4" w:space="0" w:color="auto"/>
            </w:tcBorders>
            <w:shd w:val="clear" w:color="auto" w:fill="auto"/>
            <w:hideMark/>
          </w:tcPr>
          <w:p w14:paraId="20E84FC4" w14:textId="77777777" w:rsidR="0028717E" w:rsidRPr="000801F3" w:rsidRDefault="0028717E" w:rsidP="00E343A5">
            <w:pPr>
              <w:jc w:val="left"/>
              <w:rPr>
                <w:sz w:val="20"/>
                <w:szCs w:val="20"/>
                <w:lang w:val="es-419"/>
              </w:rPr>
            </w:pPr>
            <w:r w:rsidRPr="000801F3">
              <w:rPr>
                <w:sz w:val="20"/>
                <w:szCs w:val="20"/>
                <w:lang w:val="es-419"/>
              </w:rPr>
              <w:t>FFI</w:t>
            </w:r>
          </w:p>
        </w:tc>
        <w:tc>
          <w:tcPr>
            <w:tcW w:w="1694" w:type="pct"/>
            <w:tcBorders>
              <w:top w:val="nil"/>
              <w:left w:val="nil"/>
              <w:bottom w:val="single" w:sz="4" w:space="0" w:color="auto"/>
              <w:right w:val="single" w:sz="4" w:space="0" w:color="auto"/>
            </w:tcBorders>
            <w:shd w:val="clear" w:color="auto" w:fill="auto"/>
            <w:hideMark/>
          </w:tcPr>
          <w:p w14:paraId="0B48D68B" w14:textId="77777777" w:rsidR="0028717E" w:rsidRPr="000801F3" w:rsidRDefault="0028717E" w:rsidP="00E343A5">
            <w:pPr>
              <w:jc w:val="left"/>
              <w:rPr>
                <w:sz w:val="20"/>
                <w:szCs w:val="20"/>
                <w:lang w:val="es-419"/>
              </w:rPr>
            </w:pPr>
            <w:r w:rsidRPr="000801F3">
              <w:rPr>
                <w:sz w:val="20"/>
                <w:szCs w:val="20"/>
                <w:lang w:val="es-419"/>
              </w:rPr>
              <w:t>Preparación para proyecto de inversión en HFC en el sector de montaje de equipos de lucha contra incendios</w:t>
            </w:r>
          </w:p>
        </w:tc>
        <w:tc>
          <w:tcPr>
            <w:tcW w:w="763" w:type="pct"/>
            <w:tcBorders>
              <w:top w:val="nil"/>
              <w:left w:val="nil"/>
              <w:bottom w:val="single" w:sz="4" w:space="0" w:color="auto"/>
              <w:right w:val="single" w:sz="4" w:space="0" w:color="auto"/>
            </w:tcBorders>
            <w:shd w:val="clear" w:color="auto" w:fill="auto"/>
            <w:hideMark/>
          </w:tcPr>
          <w:p w14:paraId="045B38CA" w14:textId="77777777" w:rsidR="0028717E" w:rsidRPr="000801F3" w:rsidRDefault="0028717E" w:rsidP="00E343A5">
            <w:pPr>
              <w:jc w:val="right"/>
              <w:rPr>
                <w:sz w:val="20"/>
                <w:szCs w:val="20"/>
                <w:lang w:val="es-419"/>
              </w:rPr>
            </w:pPr>
            <w:r w:rsidRPr="000801F3">
              <w:rPr>
                <w:sz w:val="20"/>
                <w:szCs w:val="20"/>
                <w:lang w:val="es-419"/>
              </w:rPr>
              <w:t>30 000</w:t>
            </w:r>
          </w:p>
        </w:tc>
        <w:tc>
          <w:tcPr>
            <w:tcW w:w="763" w:type="pct"/>
            <w:tcBorders>
              <w:top w:val="nil"/>
              <w:left w:val="nil"/>
              <w:bottom w:val="single" w:sz="4" w:space="0" w:color="auto"/>
              <w:right w:val="single" w:sz="4" w:space="0" w:color="auto"/>
            </w:tcBorders>
            <w:shd w:val="clear" w:color="auto" w:fill="auto"/>
            <w:hideMark/>
          </w:tcPr>
          <w:p w14:paraId="3A9E49E4" w14:textId="77777777" w:rsidR="0028717E" w:rsidRPr="000801F3" w:rsidRDefault="0028717E" w:rsidP="00E343A5">
            <w:pPr>
              <w:jc w:val="right"/>
              <w:rPr>
                <w:sz w:val="20"/>
                <w:szCs w:val="20"/>
                <w:lang w:val="es-419"/>
              </w:rPr>
            </w:pPr>
            <w:r w:rsidRPr="000801F3">
              <w:rPr>
                <w:sz w:val="20"/>
                <w:szCs w:val="20"/>
                <w:lang w:val="es-419"/>
              </w:rPr>
              <w:t>2 100</w:t>
            </w:r>
          </w:p>
        </w:tc>
      </w:tr>
      <w:tr w:rsidR="0028717E" w:rsidRPr="000801F3" w14:paraId="719726D3" w14:textId="77777777" w:rsidTr="00E343A5">
        <w:trPr>
          <w:trHeight w:val="204"/>
        </w:trPr>
        <w:tc>
          <w:tcPr>
            <w:tcW w:w="565" w:type="pct"/>
            <w:tcBorders>
              <w:top w:val="nil"/>
              <w:left w:val="single" w:sz="4" w:space="0" w:color="auto"/>
              <w:bottom w:val="single" w:sz="4" w:space="0" w:color="auto"/>
              <w:right w:val="single" w:sz="4" w:space="0" w:color="auto"/>
            </w:tcBorders>
            <w:shd w:val="clear" w:color="auto" w:fill="auto"/>
            <w:hideMark/>
          </w:tcPr>
          <w:p w14:paraId="4E63FDC7" w14:textId="77777777" w:rsidR="0028717E" w:rsidRPr="000801F3" w:rsidRDefault="0028717E" w:rsidP="00E343A5">
            <w:pPr>
              <w:jc w:val="left"/>
              <w:rPr>
                <w:sz w:val="20"/>
                <w:szCs w:val="20"/>
                <w:lang w:val="es-419"/>
              </w:rPr>
            </w:pPr>
            <w:r w:rsidRPr="000801F3">
              <w:rPr>
                <w:sz w:val="20"/>
                <w:szCs w:val="20"/>
                <w:lang w:val="es-419"/>
              </w:rPr>
              <w:t>Haití</w:t>
            </w:r>
          </w:p>
        </w:tc>
        <w:tc>
          <w:tcPr>
            <w:tcW w:w="460" w:type="pct"/>
            <w:tcBorders>
              <w:top w:val="nil"/>
              <w:left w:val="nil"/>
              <w:bottom w:val="single" w:sz="4" w:space="0" w:color="auto"/>
              <w:right w:val="single" w:sz="4" w:space="0" w:color="auto"/>
            </w:tcBorders>
            <w:shd w:val="clear" w:color="auto" w:fill="auto"/>
            <w:hideMark/>
          </w:tcPr>
          <w:p w14:paraId="6D0B8D0A" w14:textId="77777777" w:rsidR="0028717E" w:rsidRPr="000801F3" w:rsidRDefault="0028717E" w:rsidP="00E343A5">
            <w:pPr>
              <w:jc w:val="left"/>
              <w:rPr>
                <w:sz w:val="20"/>
                <w:szCs w:val="20"/>
                <w:lang w:val="es-419"/>
              </w:rPr>
            </w:pPr>
            <w:r w:rsidRPr="000801F3">
              <w:rPr>
                <w:sz w:val="20"/>
                <w:szCs w:val="20"/>
                <w:lang w:val="es-419"/>
              </w:rPr>
              <w:t>PNUD</w:t>
            </w:r>
          </w:p>
        </w:tc>
        <w:tc>
          <w:tcPr>
            <w:tcW w:w="348" w:type="pct"/>
            <w:tcBorders>
              <w:top w:val="nil"/>
              <w:left w:val="nil"/>
              <w:bottom w:val="single" w:sz="4" w:space="0" w:color="auto"/>
              <w:right w:val="single" w:sz="4" w:space="0" w:color="auto"/>
            </w:tcBorders>
            <w:shd w:val="clear" w:color="auto" w:fill="auto"/>
            <w:hideMark/>
          </w:tcPr>
          <w:p w14:paraId="6F2E98FD" w14:textId="77777777" w:rsidR="0028717E" w:rsidRPr="000801F3" w:rsidRDefault="0028717E" w:rsidP="00E343A5">
            <w:pPr>
              <w:jc w:val="left"/>
              <w:rPr>
                <w:sz w:val="20"/>
                <w:szCs w:val="20"/>
                <w:lang w:val="es-419"/>
              </w:rPr>
            </w:pPr>
            <w:r w:rsidRPr="000801F3">
              <w:rPr>
                <w:sz w:val="20"/>
                <w:szCs w:val="20"/>
                <w:lang w:val="es-419"/>
              </w:rPr>
              <w:t>TAS</w:t>
            </w:r>
          </w:p>
        </w:tc>
        <w:tc>
          <w:tcPr>
            <w:tcW w:w="407" w:type="pct"/>
            <w:tcBorders>
              <w:top w:val="nil"/>
              <w:left w:val="nil"/>
              <w:bottom w:val="single" w:sz="4" w:space="0" w:color="auto"/>
              <w:right w:val="single" w:sz="4" w:space="0" w:color="auto"/>
            </w:tcBorders>
            <w:shd w:val="clear" w:color="auto" w:fill="auto"/>
            <w:hideMark/>
          </w:tcPr>
          <w:p w14:paraId="69B01286" w14:textId="77777777" w:rsidR="0028717E" w:rsidRPr="000801F3" w:rsidRDefault="0028717E" w:rsidP="00E343A5">
            <w:pPr>
              <w:jc w:val="left"/>
              <w:rPr>
                <w:sz w:val="20"/>
                <w:szCs w:val="20"/>
                <w:lang w:val="es-419"/>
              </w:rPr>
            </w:pPr>
            <w:r w:rsidRPr="000801F3">
              <w:rPr>
                <w:sz w:val="20"/>
                <w:szCs w:val="20"/>
                <w:lang w:val="es-419"/>
              </w:rPr>
              <w:t>SEV</w:t>
            </w:r>
          </w:p>
        </w:tc>
        <w:tc>
          <w:tcPr>
            <w:tcW w:w="1694" w:type="pct"/>
            <w:tcBorders>
              <w:top w:val="nil"/>
              <w:left w:val="nil"/>
              <w:bottom w:val="single" w:sz="4" w:space="0" w:color="auto"/>
              <w:right w:val="single" w:sz="4" w:space="0" w:color="auto"/>
            </w:tcBorders>
            <w:shd w:val="clear" w:color="auto" w:fill="auto"/>
            <w:hideMark/>
          </w:tcPr>
          <w:p w14:paraId="22C39F2F" w14:textId="77777777" w:rsidR="0028717E" w:rsidRPr="000801F3" w:rsidRDefault="0028717E" w:rsidP="00E343A5">
            <w:pPr>
              <w:jc w:val="left"/>
              <w:rPr>
                <w:sz w:val="20"/>
                <w:szCs w:val="20"/>
                <w:lang w:val="es-419"/>
              </w:rPr>
            </w:pPr>
            <w:r w:rsidRPr="000801F3">
              <w:rPr>
                <w:sz w:val="20"/>
                <w:szCs w:val="20"/>
                <w:lang w:val="es-419"/>
              </w:rPr>
              <w:t>Actividades de apoyo para la reducción del HFC</w:t>
            </w:r>
          </w:p>
        </w:tc>
        <w:tc>
          <w:tcPr>
            <w:tcW w:w="763" w:type="pct"/>
            <w:tcBorders>
              <w:top w:val="nil"/>
              <w:left w:val="nil"/>
              <w:bottom w:val="single" w:sz="4" w:space="0" w:color="auto"/>
              <w:right w:val="single" w:sz="4" w:space="0" w:color="auto"/>
            </w:tcBorders>
            <w:shd w:val="clear" w:color="auto" w:fill="auto"/>
            <w:hideMark/>
          </w:tcPr>
          <w:p w14:paraId="45BE9542" w14:textId="77777777" w:rsidR="0028717E" w:rsidRPr="000801F3" w:rsidRDefault="0028717E" w:rsidP="00E343A5">
            <w:pPr>
              <w:jc w:val="right"/>
              <w:rPr>
                <w:sz w:val="20"/>
                <w:szCs w:val="20"/>
                <w:lang w:val="es-419"/>
              </w:rPr>
            </w:pPr>
            <w:r w:rsidRPr="000801F3">
              <w:rPr>
                <w:sz w:val="20"/>
                <w:szCs w:val="20"/>
                <w:lang w:val="es-419"/>
              </w:rPr>
              <w:t>95 000</w:t>
            </w:r>
          </w:p>
        </w:tc>
        <w:tc>
          <w:tcPr>
            <w:tcW w:w="763" w:type="pct"/>
            <w:tcBorders>
              <w:top w:val="nil"/>
              <w:left w:val="nil"/>
              <w:bottom w:val="single" w:sz="4" w:space="0" w:color="auto"/>
              <w:right w:val="single" w:sz="4" w:space="0" w:color="auto"/>
            </w:tcBorders>
            <w:shd w:val="clear" w:color="auto" w:fill="auto"/>
            <w:hideMark/>
          </w:tcPr>
          <w:p w14:paraId="3B70CDE2" w14:textId="77777777" w:rsidR="0028717E" w:rsidRPr="000801F3" w:rsidRDefault="0028717E" w:rsidP="00E343A5">
            <w:pPr>
              <w:jc w:val="right"/>
              <w:rPr>
                <w:sz w:val="20"/>
                <w:szCs w:val="20"/>
                <w:lang w:val="es-419"/>
              </w:rPr>
            </w:pPr>
            <w:r w:rsidRPr="000801F3">
              <w:rPr>
                <w:sz w:val="20"/>
                <w:szCs w:val="20"/>
                <w:lang w:val="es-419"/>
              </w:rPr>
              <w:t>6 650</w:t>
            </w:r>
          </w:p>
        </w:tc>
      </w:tr>
      <w:tr w:rsidR="0028717E" w:rsidRPr="000801F3" w14:paraId="444C7570" w14:textId="77777777" w:rsidTr="00E343A5">
        <w:trPr>
          <w:trHeight w:val="408"/>
        </w:trPr>
        <w:tc>
          <w:tcPr>
            <w:tcW w:w="565" w:type="pct"/>
            <w:tcBorders>
              <w:top w:val="nil"/>
              <w:left w:val="single" w:sz="4" w:space="0" w:color="auto"/>
              <w:bottom w:val="single" w:sz="4" w:space="0" w:color="auto"/>
              <w:right w:val="single" w:sz="4" w:space="0" w:color="auto"/>
            </w:tcBorders>
            <w:shd w:val="clear" w:color="auto" w:fill="auto"/>
            <w:hideMark/>
          </w:tcPr>
          <w:p w14:paraId="4EB950AE" w14:textId="77777777" w:rsidR="0028717E" w:rsidRPr="000801F3" w:rsidRDefault="0028717E" w:rsidP="00E343A5">
            <w:pPr>
              <w:jc w:val="left"/>
              <w:rPr>
                <w:sz w:val="20"/>
                <w:szCs w:val="20"/>
                <w:lang w:val="es-419"/>
              </w:rPr>
            </w:pPr>
            <w:r w:rsidRPr="000801F3">
              <w:rPr>
                <w:sz w:val="20"/>
                <w:szCs w:val="20"/>
                <w:lang w:val="es-419"/>
              </w:rPr>
              <w:t>México</w:t>
            </w:r>
          </w:p>
        </w:tc>
        <w:tc>
          <w:tcPr>
            <w:tcW w:w="460" w:type="pct"/>
            <w:tcBorders>
              <w:top w:val="nil"/>
              <w:left w:val="nil"/>
              <w:bottom w:val="single" w:sz="4" w:space="0" w:color="auto"/>
              <w:right w:val="single" w:sz="4" w:space="0" w:color="auto"/>
            </w:tcBorders>
            <w:shd w:val="clear" w:color="auto" w:fill="auto"/>
            <w:hideMark/>
          </w:tcPr>
          <w:p w14:paraId="36590FEF" w14:textId="77777777" w:rsidR="0028717E" w:rsidRPr="000801F3" w:rsidRDefault="0028717E" w:rsidP="00E343A5">
            <w:pPr>
              <w:jc w:val="left"/>
              <w:rPr>
                <w:sz w:val="20"/>
                <w:szCs w:val="20"/>
                <w:lang w:val="es-419"/>
              </w:rPr>
            </w:pPr>
            <w:r w:rsidRPr="000801F3">
              <w:rPr>
                <w:sz w:val="20"/>
                <w:szCs w:val="20"/>
                <w:lang w:val="es-419"/>
              </w:rPr>
              <w:t>ONUDI</w:t>
            </w:r>
          </w:p>
        </w:tc>
        <w:tc>
          <w:tcPr>
            <w:tcW w:w="348" w:type="pct"/>
            <w:tcBorders>
              <w:top w:val="nil"/>
              <w:left w:val="nil"/>
              <w:bottom w:val="single" w:sz="4" w:space="0" w:color="auto"/>
              <w:right w:val="single" w:sz="4" w:space="0" w:color="auto"/>
            </w:tcBorders>
            <w:shd w:val="clear" w:color="auto" w:fill="auto"/>
            <w:hideMark/>
          </w:tcPr>
          <w:p w14:paraId="11C50CCF" w14:textId="77777777" w:rsidR="0028717E" w:rsidRPr="000801F3" w:rsidRDefault="0028717E" w:rsidP="00E343A5">
            <w:pPr>
              <w:jc w:val="left"/>
              <w:rPr>
                <w:sz w:val="20"/>
                <w:szCs w:val="20"/>
                <w:lang w:val="es-419"/>
              </w:rPr>
            </w:pPr>
            <w:r w:rsidRPr="000801F3">
              <w:rPr>
                <w:sz w:val="20"/>
                <w:szCs w:val="20"/>
                <w:lang w:val="es-419"/>
              </w:rPr>
              <w:t>INV</w:t>
            </w:r>
          </w:p>
        </w:tc>
        <w:tc>
          <w:tcPr>
            <w:tcW w:w="407" w:type="pct"/>
            <w:tcBorders>
              <w:top w:val="nil"/>
              <w:left w:val="nil"/>
              <w:bottom w:val="single" w:sz="4" w:space="0" w:color="auto"/>
              <w:right w:val="single" w:sz="4" w:space="0" w:color="auto"/>
            </w:tcBorders>
            <w:shd w:val="clear" w:color="auto" w:fill="auto"/>
            <w:hideMark/>
          </w:tcPr>
          <w:p w14:paraId="4F891187" w14:textId="77777777" w:rsidR="0028717E" w:rsidRPr="000801F3" w:rsidRDefault="0028717E" w:rsidP="00E343A5">
            <w:pPr>
              <w:jc w:val="left"/>
              <w:rPr>
                <w:sz w:val="20"/>
                <w:szCs w:val="20"/>
                <w:lang w:val="es-419"/>
              </w:rPr>
            </w:pPr>
            <w:r w:rsidRPr="000801F3">
              <w:rPr>
                <w:sz w:val="20"/>
                <w:szCs w:val="20"/>
                <w:lang w:val="es-419"/>
              </w:rPr>
              <w:t>PRO</w:t>
            </w:r>
          </w:p>
        </w:tc>
        <w:tc>
          <w:tcPr>
            <w:tcW w:w="1694" w:type="pct"/>
            <w:tcBorders>
              <w:top w:val="nil"/>
              <w:left w:val="nil"/>
              <w:bottom w:val="single" w:sz="4" w:space="0" w:color="auto"/>
              <w:right w:val="single" w:sz="4" w:space="0" w:color="auto"/>
            </w:tcBorders>
            <w:shd w:val="clear" w:color="auto" w:fill="auto"/>
            <w:hideMark/>
          </w:tcPr>
          <w:p w14:paraId="587247F3" w14:textId="77777777" w:rsidR="0028717E" w:rsidRPr="000801F3" w:rsidRDefault="0028717E" w:rsidP="00E343A5">
            <w:pPr>
              <w:jc w:val="left"/>
              <w:rPr>
                <w:sz w:val="20"/>
                <w:szCs w:val="20"/>
                <w:lang w:val="es-419"/>
              </w:rPr>
            </w:pPr>
            <w:r w:rsidRPr="000801F3">
              <w:rPr>
                <w:sz w:val="20"/>
                <w:szCs w:val="20"/>
                <w:lang w:val="es-419"/>
              </w:rPr>
              <w:t>Control y eliminación de las emisiones de HFC-23 en la producción de HCFC</w:t>
            </w:r>
            <w:r w:rsidRPr="000801F3">
              <w:rPr>
                <w:sz w:val="20"/>
                <w:szCs w:val="20"/>
                <w:lang w:val="es-419"/>
              </w:rPr>
              <w:noBreakHyphen/>
              <w:t>22 en Quimobasicos</w:t>
            </w:r>
          </w:p>
        </w:tc>
        <w:tc>
          <w:tcPr>
            <w:tcW w:w="763" w:type="pct"/>
            <w:tcBorders>
              <w:top w:val="nil"/>
              <w:left w:val="nil"/>
              <w:bottom w:val="single" w:sz="4" w:space="0" w:color="auto"/>
              <w:right w:val="single" w:sz="4" w:space="0" w:color="auto"/>
            </w:tcBorders>
            <w:shd w:val="clear" w:color="auto" w:fill="auto"/>
            <w:hideMark/>
          </w:tcPr>
          <w:p w14:paraId="333F224D" w14:textId="77777777" w:rsidR="0028717E" w:rsidRPr="000801F3" w:rsidRDefault="0028717E" w:rsidP="00E343A5">
            <w:pPr>
              <w:jc w:val="right"/>
              <w:rPr>
                <w:sz w:val="20"/>
                <w:szCs w:val="20"/>
                <w:lang w:val="es-419"/>
              </w:rPr>
            </w:pPr>
            <w:r w:rsidRPr="000801F3">
              <w:rPr>
                <w:sz w:val="20"/>
                <w:szCs w:val="20"/>
                <w:lang w:val="es-419"/>
              </w:rPr>
              <w:t>632 455</w:t>
            </w:r>
          </w:p>
        </w:tc>
        <w:tc>
          <w:tcPr>
            <w:tcW w:w="763" w:type="pct"/>
            <w:tcBorders>
              <w:top w:val="nil"/>
              <w:left w:val="nil"/>
              <w:bottom w:val="single" w:sz="4" w:space="0" w:color="auto"/>
              <w:right w:val="single" w:sz="4" w:space="0" w:color="auto"/>
            </w:tcBorders>
            <w:shd w:val="clear" w:color="auto" w:fill="auto"/>
            <w:hideMark/>
          </w:tcPr>
          <w:p w14:paraId="1813A277" w14:textId="77777777" w:rsidR="0028717E" w:rsidRPr="000801F3" w:rsidRDefault="0028717E" w:rsidP="00E343A5">
            <w:pPr>
              <w:jc w:val="right"/>
              <w:rPr>
                <w:sz w:val="20"/>
                <w:szCs w:val="20"/>
                <w:lang w:val="es-419"/>
              </w:rPr>
            </w:pPr>
            <w:r w:rsidRPr="000801F3">
              <w:rPr>
                <w:sz w:val="20"/>
                <w:szCs w:val="20"/>
                <w:lang w:val="es-419"/>
              </w:rPr>
              <w:t>44 272</w:t>
            </w:r>
          </w:p>
        </w:tc>
      </w:tr>
      <w:tr w:rsidR="0028717E" w:rsidRPr="000801F3" w14:paraId="5C05D995" w14:textId="77777777" w:rsidTr="00E343A5">
        <w:trPr>
          <w:trHeight w:val="204"/>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44422B18" w14:textId="77777777" w:rsidR="0028717E" w:rsidRPr="000801F3" w:rsidRDefault="0028717E" w:rsidP="00E343A5">
            <w:pPr>
              <w:jc w:val="left"/>
              <w:rPr>
                <w:b/>
                <w:bCs/>
                <w:sz w:val="20"/>
                <w:szCs w:val="20"/>
                <w:lang w:val="es-419"/>
              </w:rPr>
            </w:pPr>
            <w:r w:rsidRPr="000801F3">
              <w:rPr>
                <w:b/>
                <w:bCs/>
                <w:sz w:val="20"/>
                <w:szCs w:val="20"/>
                <w:lang w:val="es-419"/>
              </w:rPr>
              <w:t>Total</w:t>
            </w:r>
          </w:p>
        </w:tc>
        <w:tc>
          <w:tcPr>
            <w:tcW w:w="460" w:type="pct"/>
            <w:tcBorders>
              <w:top w:val="nil"/>
              <w:left w:val="nil"/>
              <w:bottom w:val="single" w:sz="4" w:space="0" w:color="auto"/>
              <w:right w:val="single" w:sz="4" w:space="0" w:color="auto"/>
            </w:tcBorders>
            <w:shd w:val="clear" w:color="auto" w:fill="auto"/>
            <w:noWrap/>
            <w:vAlign w:val="bottom"/>
            <w:hideMark/>
          </w:tcPr>
          <w:p w14:paraId="397C16A7" w14:textId="77777777" w:rsidR="0028717E" w:rsidRPr="000801F3" w:rsidRDefault="0028717E" w:rsidP="00E343A5">
            <w:pPr>
              <w:jc w:val="left"/>
              <w:rPr>
                <w:b/>
                <w:bCs/>
                <w:sz w:val="20"/>
                <w:szCs w:val="20"/>
                <w:lang w:val="es-419"/>
              </w:rPr>
            </w:pPr>
            <w:r w:rsidRPr="000801F3">
              <w:rPr>
                <w:b/>
                <w:bCs/>
                <w:sz w:val="20"/>
                <w:szCs w:val="20"/>
                <w:lang w:val="es-419"/>
              </w:rPr>
              <w:t> </w:t>
            </w:r>
          </w:p>
        </w:tc>
        <w:tc>
          <w:tcPr>
            <w:tcW w:w="348" w:type="pct"/>
            <w:tcBorders>
              <w:top w:val="nil"/>
              <w:left w:val="nil"/>
              <w:bottom w:val="single" w:sz="4" w:space="0" w:color="auto"/>
              <w:right w:val="single" w:sz="4" w:space="0" w:color="auto"/>
            </w:tcBorders>
            <w:shd w:val="clear" w:color="auto" w:fill="auto"/>
            <w:noWrap/>
            <w:vAlign w:val="bottom"/>
            <w:hideMark/>
          </w:tcPr>
          <w:p w14:paraId="687DE3D3" w14:textId="77777777" w:rsidR="0028717E" w:rsidRPr="000801F3" w:rsidRDefault="0028717E" w:rsidP="00E343A5">
            <w:pPr>
              <w:jc w:val="left"/>
              <w:rPr>
                <w:b/>
                <w:bCs/>
                <w:sz w:val="20"/>
                <w:szCs w:val="20"/>
                <w:lang w:val="es-419"/>
              </w:rPr>
            </w:pPr>
            <w:r w:rsidRPr="000801F3">
              <w:rPr>
                <w:b/>
                <w:bCs/>
                <w:sz w:val="20"/>
                <w:szCs w:val="20"/>
                <w:lang w:val="es-419"/>
              </w:rPr>
              <w:t> </w:t>
            </w:r>
          </w:p>
        </w:tc>
        <w:tc>
          <w:tcPr>
            <w:tcW w:w="407" w:type="pct"/>
            <w:tcBorders>
              <w:top w:val="nil"/>
              <w:left w:val="nil"/>
              <w:bottom w:val="single" w:sz="4" w:space="0" w:color="auto"/>
              <w:right w:val="single" w:sz="4" w:space="0" w:color="auto"/>
            </w:tcBorders>
            <w:shd w:val="clear" w:color="auto" w:fill="auto"/>
            <w:noWrap/>
            <w:vAlign w:val="bottom"/>
            <w:hideMark/>
          </w:tcPr>
          <w:p w14:paraId="409A09B7" w14:textId="77777777" w:rsidR="0028717E" w:rsidRPr="000801F3" w:rsidRDefault="0028717E" w:rsidP="00E343A5">
            <w:pPr>
              <w:jc w:val="left"/>
              <w:rPr>
                <w:b/>
                <w:bCs/>
                <w:sz w:val="20"/>
                <w:szCs w:val="20"/>
                <w:lang w:val="es-419"/>
              </w:rPr>
            </w:pPr>
            <w:r w:rsidRPr="000801F3">
              <w:rPr>
                <w:b/>
                <w:bCs/>
                <w:sz w:val="20"/>
                <w:szCs w:val="20"/>
                <w:lang w:val="es-419"/>
              </w:rPr>
              <w:t> </w:t>
            </w:r>
          </w:p>
        </w:tc>
        <w:tc>
          <w:tcPr>
            <w:tcW w:w="1694" w:type="pct"/>
            <w:tcBorders>
              <w:top w:val="nil"/>
              <w:left w:val="nil"/>
              <w:bottom w:val="single" w:sz="4" w:space="0" w:color="auto"/>
              <w:right w:val="single" w:sz="4" w:space="0" w:color="auto"/>
            </w:tcBorders>
            <w:shd w:val="clear" w:color="auto" w:fill="auto"/>
            <w:noWrap/>
            <w:vAlign w:val="bottom"/>
            <w:hideMark/>
          </w:tcPr>
          <w:p w14:paraId="7073992E" w14:textId="77777777" w:rsidR="0028717E" w:rsidRPr="000801F3" w:rsidRDefault="0028717E" w:rsidP="00E343A5">
            <w:pPr>
              <w:jc w:val="left"/>
              <w:rPr>
                <w:b/>
                <w:bCs/>
                <w:sz w:val="20"/>
                <w:szCs w:val="20"/>
                <w:lang w:val="es-419"/>
              </w:rPr>
            </w:pPr>
            <w:r w:rsidRPr="000801F3">
              <w:rPr>
                <w:b/>
                <w:bCs/>
                <w:sz w:val="20"/>
                <w:szCs w:val="20"/>
                <w:lang w:val="es-419"/>
              </w:rPr>
              <w:t> </w:t>
            </w:r>
          </w:p>
        </w:tc>
        <w:tc>
          <w:tcPr>
            <w:tcW w:w="763" w:type="pct"/>
            <w:tcBorders>
              <w:top w:val="nil"/>
              <w:left w:val="nil"/>
              <w:bottom w:val="single" w:sz="4" w:space="0" w:color="auto"/>
              <w:right w:val="single" w:sz="4" w:space="0" w:color="auto"/>
            </w:tcBorders>
            <w:shd w:val="clear" w:color="auto" w:fill="auto"/>
            <w:noWrap/>
            <w:vAlign w:val="bottom"/>
            <w:hideMark/>
          </w:tcPr>
          <w:p w14:paraId="1DC8628A" w14:textId="77777777" w:rsidR="0028717E" w:rsidRPr="000801F3" w:rsidRDefault="0028717E" w:rsidP="00E343A5">
            <w:pPr>
              <w:jc w:val="right"/>
              <w:rPr>
                <w:b/>
                <w:bCs/>
                <w:sz w:val="20"/>
                <w:szCs w:val="20"/>
                <w:lang w:val="es-419"/>
              </w:rPr>
            </w:pPr>
            <w:r w:rsidRPr="000801F3">
              <w:rPr>
                <w:b/>
                <w:bCs/>
                <w:sz w:val="20"/>
                <w:szCs w:val="20"/>
                <w:lang w:val="es-419"/>
              </w:rPr>
              <w:t>2 371 132</w:t>
            </w:r>
          </w:p>
        </w:tc>
        <w:tc>
          <w:tcPr>
            <w:tcW w:w="763" w:type="pct"/>
            <w:tcBorders>
              <w:top w:val="nil"/>
              <w:left w:val="nil"/>
              <w:bottom w:val="single" w:sz="4" w:space="0" w:color="auto"/>
              <w:right w:val="single" w:sz="4" w:space="0" w:color="auto"/>
            </w:tcBorders>
            <w:shd w:val="clear" w:color="auto" w:fill="auto"/>
            <w:noWrap/>
            <w:vAlign w:val="bottom"/>
            <w:hideMark/>
          </w:tcPr>
          <w:p w14:paraId="2B79001B" w14:textId="77777777" w:rsidR="0028717E" w:rsidRPr="000801F3" w:rsidRDefault="0028717E" w:rsidP="00E343A5">
            <w:pPr>
              <w:jc w:val="right"/>
              <w:rPr>
                <w:b/>
                <w:bCs/>
                <w:sz w:val="20"/>
                <w:szCs w:val="20"/>
                <w:lang w:val="es-419"/>
              </w:rPr>
            </w:pPr>
            <w:r w:rsidRPr="000801F3">
              <w:rPr>
                <w:b/>
                <w:bCs/>
                <w:sz w:val="20"/>
                <w:szCs w:val="20"/>
                <w:lang w:val="es-419"/>
              </w:rPr>
              <w:t>168 379</w:t>
            </w:r>
          </w:p>
        </w:tc>
      </w:tr>
    </w:tbl>
    <w:p w14:paraId="677917CC" w14:textId="77777777" w:rsidR="0028717E" w:rsidRPr="000801F3" w:rsidRDefault="0028717E" w:rsidP="0028717E">
      <w:pPr>
        <w:tabs>
          <w:tab w:val="left" w:pos="8280"/>
        </w:tabs>
        <w:rPr>
          <w:lang w:val="es-419"/>
        </w:rPr>
      </w:pPr>
    </w:p>
    <w:p w14:paraId="2B92D1D1" w14:textId="77777777" w:rsidR="0028717E" w:rsidRPr="000801F3" w:rsidRDefault="0028717E" w:rsidP="0028717E">
      <w:pPr>
        <w:tabs>
          <w:tab w:val="left" w:pos="8280"/>
        </w:tabs>
        <w:rPr>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28717E" w:rsidRPr="000801F3" w14:paraId="65CDBC5F" w14:textId="77777777" w:rsidTr="00E343A5">
        <w:tc>
          <w:tcPr>
            <w:tcW w:w="1871" w:type="dxa"/>
          </w:tcPr>
          <w:p w14:paraId="3A87F733" w14:textId="77777777" w:rsidR="0028717E" w:rsidRPr="000801F3" w:rsidRDefault="0028717E" w:rsidP="00E343A5">
            <w:pPr>
              <w:tabs>
                <w:tab w:val="left" w:pos="8280"/>
              </w:tabs>
              <w:rPr>
                <w:lang w:val="es-419"/>
              </w:rPr>
            </w:pPr>
          </w:p>
        </w:tc>
        <w:tc>
          <w:tcPr>
            <w:tcW w:w="1872" w:type="dxa"/>
          </w:tcPr>
          <w:p w14:paraId="0D2322D1" w14:textId="77777777" w:rsidR="0028717E" w:rsidRPr="000801F3" w:rsidRDefault="0028717E" w:rsidP="00E343A5">
            <w:pPr>
              <w:tabs>
                <w:tab w:val="left" w:pos="8280"/>
              </w:tabs>
              <w:rPr>
                <w:lang w:val="es-419"/>
              </w:rPr>
            </w:pPr>
          </w:p>
        </w:tc>
        <w:tc>
          <w:tcPr>
            <w:tcW w:w="1872" w:type="dxa"/>
            <w:tcBorders>
              <w:bottom w:val="single" w:sz="4" w:space="0" w:color="auto"/>
            </w:tcBorders>
          </w:tcPr>
          <w:p w14:paraId="17FB63C0" w14:textId="77777777" w:rsidR="0028717E" w:rsidRPr="000801F3" w:rsidRDefault="0028717E" w:rsidP="00E343A5">
            <w:pPr>
              <w:tabs>
                <w:tab w:val="left" w:pos="8280"/>
              </w:tabs>
              <w:rPr>
                <w:lang w:val="es-419"/>
              </w:rPr>
            </w:pPr>
          </w:p>
        </w:tc>
        <w:tc>
          <w:tcPr>
            <w:tcW w:w="1872" w:type="dxa"/>
          </w:tcPr>
          <w:p w14:paraId="222E7C97" w14:textId="77777777" w:rsidR="0028717E" w:rsidRPr="000801F3" w:rsidRDefault="0028717E" w:rsidP="00E343A5">
            <w:pPr>
              <w:tabs>
                <w:tab w:val="left" w:pos="8280"/>
              </w:tabs>
              <w:rPr>
                <w:lang w:val="es-419"/>
              </w:rPr>
            </w:pPr>
          </w:p>
        </w:tc>
        <w:tc>
          <w:tcPr>
            <w:tcW w:w="1873" w:type="dxa"/>
          </w:tcPr>
          <w:p w14:paraId="6C6E7D67" w14:textId="77777777" w:rsidR="0028717E" w:rsidRPr="000801F3" w:rsidRDefault="0028717E" w:rsidP="00E343A5">
            <w:pPr>
              <w:tabs>
                <w:tab w:val="left" w:pos="8280"/>
              </w:tabs>
              <w:rPr>
                <w:lang w:val="es-419"/>
              </w:rPr>
            </w:pPr>
          </w:p>
        </w:tc>
      </w:tr>
    </w:tbl>
    <w:p w14:paraId="6777BBE7" w14:textId="77777777" w:rsidR="0087455A" w:rsidRPr="000801F3" w:rsidRDefault="0087455A">
      <w:pPr>
        <w:jc w:val="center"/>
        <w:rPr>
          <w:b/>
          <w:bCs/>
          <w:lang w:val="es-419"/>
        </w:rPr>
      </w:pPr>
    </w:p>
    <w:p w14:paraId="5BB56419" w14:textId="01488350" w:rsidR="0087455A" w:rsidRPr="000801F3" w:rsidRDefault="0087455A" w:rsidP="0028717E">
      <w:pPr>
        <w:rPr>
          <w:b/>
          <w:bCs/>
          <w:lang w:val="es-419"/>
        </w:rPr>
      </w:pPr>
    </w:p>
    <w:sectPr w:rsidR="0087455A" w:rsidRPr="000801F3">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684D4" w14:textId="77777777" w:rsidR="008D4768" w:rsidRDefault="008D4768">
      <w:r>
        <w:separator/>
      </w:r>
    </w:p>
  </w:endnote>
  <w:endnote w:type="continuationSeparator" w:id="0">
    <w:p w14:paraId="4A5A6EFC" w14:textId="77777777" w:rsidR="008D4768" w:rsidRDefault="008D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B200" w14:textId="51A2DF9E" w:rsidR="0087455A" w:rsidRDefault="0024162E">
    <w:pPr>
      <w:jc w:val="center"/>
    </w:pPr>
    <w:r>
      <w:fldChar w:fldCharType="begin"/>
    </w:r>
    <w:r>
      <w:instrText xml:space="preserve"> PAGE </w:instrText>
    </w:r>
    <w:r>
      <w:fldChar w:fldCharType="separate"/>
    </w:r>
    <w:r w:rsidR="00AB41BE">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4698" w14:textId="67FB5B4C" w:rsidR="0087455A" w:rsidRDefault="0024162E">
    <w:pPr>
      <w:jc w:val="center"/>
    </w:pPr>
    <w:r>
      <w:fldChar w:fldCharType="begin"/>
    </w:r>
    <w:r>
      <w:instrText xml:space="preserve"> PAGE </w:instrText>
    </w:r>
    <w:r>
      <w:fldChar w:fldCharType="separate"/>
    </w:r>
    <w:r w:rsidR="00AB41BE">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2443" w14:textId="77777777" w:rsidR="0087455A" w:rsidRDefault="0024162E">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23291E22" w14:textId="29EB210E" w:rsidR="0087455A" w:rsidRDefault="0024162E">
        <w:pPr>
          <w:pStyle w:val="Footer"/>
          <w:jc w:val="center"/>
        </w:pPr>
        <w:r>
          <w:fldChar w:fldCharType="begin"/>
        </w:r>
        <w:r>
          <w:instrText xml:space="preserve"> PAGE   \* MERGEFORMAT </w:instrText>
        </w:r>
        <w:r>
          <w:fldChar w:fldCharType="separate"/>
        </w:r>
        <w:r w:rsidR="00AB41BE">
          <w:rPr>
            <w:noProof/>
          </w:rPr>
          <w:t>1</w:t>
        </w:r>
        <w:r>
          <w:rPr>
            <w:noProof/>
          </w:rPr>
          <w:fldChar w:fldCharType="end"/>
        </w:r>
      </w:p>
    </w:sdtContent>
  </w:sdt>
  <w:p w14:paraId="7B75B499" w14:textId="77777777" w:rsidR="0087455A" w:rsidRDefault="008745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94F44" w14:textId="77777777" w:rsidR="008D4768" w:rsidRDefault="008D4768">
      <w:r>
        <w:separator/>
      </w:r>
    </w:p>
  </w:footnote>
  <w:footnote w:type="continuationSeparator" w:id="0">
    <w:p w14:paraId="10A28F60" w14:textId="77777777" w:rsidR="008D4768" w:rsidRDefault="008D4768">
      <w:r>
        <w:continuationSeparator/>
      </w:r>
    </w:p>
  </w:footnote>
  <w:footnote w:id="1">
    <w:p w14:paraId="73065748" w14:textId="77777777" w:rsidR="00A23492" w:rsidRPr="000F769F" w:rsidRDefault="00A23492" w:rsidP="00A23492">
      <w:pPr>
        <w:pStyle w:val="FootnoteText"/>
      </w:pPr>
      <w:r>
        <w:rPr>
          <w:rStyle w:val="FootnoteReference"/>
        </w:rPr>
        <w:footnoteRef/>
      </w:r>
      <w:r>
        <w:t xml:space="preserve"> Etapa I del plan de gestión de la eliminación de los HCFC (PGEH) de Serbia (PNUMA y ONUDI); etapa II del PGEH de Túnez (ONUDI); proyecto de inversión sobre HCFC para Pakistán (ONUDI); preparación de proyectos para la etapa II del PGEH de Bahrein (PNUMA y ONUDI), Guinea Ecuatorial (PNUMA y ONUDI), Georgia (PNUD), Liberia (PNUMA y ONUDI), Malí (PNUD), Mozambique (PNUD) y Sierra Leona (UNEP y (ONUDI); preparación de proyectos para la etapa III del PGEH de Armenia (PNUMA y ONUDI) y la República de Moldova (PNUMA); actividades de apoyo en relación con el  HFC para Argelia (ONUDI) y Haití (PNUD); preparación de proyectos de inversión en relación con el HFC para Egipto (PNUD); proyectos de inversión en relación con el HFC para Cuba (PNUD) y México (ONUDI); y proyecto de fortalecimiento institucional para la India (PNUD). </w:t>
      </w:r>
    </w:p>
  </w:footnote>
  <w:footnote w:id="2">
    <w:p w14:paraId="554F6775" w14:textId="77777777" w:rsidR="00A23492" w:rsidRPr="000F769F" w:rsidRDefault="00A23492" w:rsidP="00A23492">
      <w:pPr>
        <w:pStyle w:val="FootnoteText"/>
      </w:pPr>
      <w:r>
        <w:rPr>
          <w:rStyle w:val="FootnoteReference"/>
        </w:rPr>
        <w:footnoteRef/>
      </w:r>
      <w:r>
        <w:t xml:space="preserve"> Dichas actividades comprenden: 77 actividades relacionadas con los HCFC para 49 países (32,22 millones de $EUA), 13 actividades relacionadas con el HFC para 11 países (6,62 millones de $EUA) y 43 actividades de fortalecimiento institucional (5,87 millones de $EUA).</w:t>
      </w:r>
    </w:p>
  </w:footnote>
  <w:footnote w:id="3">
    <w:p w14:paraId="6240C88C" w14:textId="77777777" w:rsidR="00A23492" w:rsidRPr="00773C39" w:rsidRDefault="00A23492" w:rsidP="00A23492">
      <w:pPr>
        <w:pStyle w:val="FootnoteText"/>
      </w:pPr>
      <w:r>
        <w:rPr>
          <w:rStyle w:val="FootnoteReference"/>
        </w:rPr>
        <w:footnoteRef/>
      </w:r>
      <w:r>
        <w:t xml:space="preserve"> UNEP/OzL.Pro/ExCom/84/26.</w:t>
      </w:r>
    </w:p>
  </w:footnote>
  <w:footnote w:id="4">
    <w:p w14:paraId="6A5A82EA" w14:textId="77777777" w:rsidR="00A23492" w:rsidRPr="0012043B" w:rsidRDefault="00A23492" w:rsidP="00A23492">
      <w:pPr>
        <w:pStyle w:val="FootnoteText"/>
      </w:pPr>
      <w:r>
        <w:rPr>
          <w:rStyle w:val="FootnoteReference"/>
        </w:rPr>
        <w:footnoteRef/>
      </w:r>
      <w:r>
        <w:t xml:space="preserve"> Decisión XXIX/1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1048F" w14:textId="358AE5F3" w:rsidR="0087455A" w:rsidRDefault="0070048E">
    <w:fldSimple w:instr=" DOCPROPERTY &quot;Document number&quot;  \* MERGEFORMAT ">
      <w:r w:rsidR="0028717E">
        <w:t>UNEP/OzL.Pro/ExCom/84/24</w:t>
      </w:r>
    </w:fldSimple>
  </w:p>
  <w:p w14:paraId="5538DB68" w14:textId="77777777" w:rsidR="0087455A" w:rsidRDefault="0087455A"/>
  <w:p w14:paraId="01460F8F" w14:textId="77777777" w:rsidR="0087455A" w:rsidRDefault="008745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5601" w14:textId="36F556D7" w:rsidR="0087455A" w:rsidRDefault="0070048E">
    <w:pPr>
      <w:jc w:val="right"/>
    </w:pPr>
    <w:fldSimple w:instr=" DOCPROPERTY &quot;Document number&quot;  \* MERGEFORMAT ">
      <w:r w:rsidR="0028717E">
        <w:t>UNEP/OzL.Pro/ExCom/84/24</w:t>
      </w:r>
    </w:fldSimple>
  </w:p>
  <w:p w14:paraId="45E34625" w14:textId="77777777" w:rsidR="0087455A" w:rsidRDefault="0087455A"/>
  <w:p w14:paraId="3B06D4EE" w14:textId="77777777" w:rsidR="0087455A" w:rsidRDefault="008745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73A9" w14:textId="77777777" w:rsidR="0028717E" w:rsidRPr="0028717E" w:rsidRDefault="0028717E" w:rsidP="0028717E">
    <w:pPr>
      <w:jc w:val="right"/>
      <w:rPr>
        <w:lang w:val="en-CA"/>
      </w:rPr>
    </w:pPr>
    <w:r w:rsidRPr="000801F3">
      <w:rPr>
        <w:lang w:val="es-419"/>
      </w:rPr>
      <w:fldChar w:fldCharType="begin"/>
    </w:r>
    <w:r w:rsidRPr="0028717E">
      <w:rPr>
        <w:lang w:val="en-CA"/>
      </w:rPr>
      <w:instrText xml:space="preserve"> DOCPROPERTY "Document number"  \* MERGEFORMAT </w:instrText>
    </w:r>
    <w:r w:rsidRPr="000801F3">
      <w:rPr>
        <w:lang w:val="es-419"/>
      </w:rPr>
      <w:fldChar w:fldCharType="separate"/>
    </w:r>
    <w:r w:rsidRPr="0028717E">
      <w:rPr>
        <w:lang w:val="en-CA"/>
      </w:rPr>
      <w:t>UNEP/OzL.Pro/ExCom/84/24</w:t>
    </w:r>
    <w:r w:rsidRPr="000801F3">
      <w:rPr>
        <w:lang w:val="es-419"/>
      </w:rPr>
      <w:fldChar w:fldCharType="end"/>
    </w:r>
  </w:p>
  <w:p w14:paraId="1D521BA1" w14:textId="0DC2B6D6" w:rsidR="0087455A" w:rsidRPr="0028717E" w:rsidRDefault="0028717E" w:rsidP="0028717E">
    <w:pPr>
      <w:jc w:val="right"/>
      <w:rPr>
        <w:lang w:val="en-CA"/>
      </w:rPr>
    </w:pPr>
    <w:r w:rsidRPr="0028717E">
      <w:rPr>
        <w:lang w:val="en-CA"/>
      </w:rPr>
      <w:t>Anexo I</w:t>
    </w:r>
  </w:p>
  <w:p w14:paraId="71FABB76" w14:textId="77777777" w:rsidR="0087455A" w:rsidRDefault="008745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06"/>
    <w:rsid w:val="000801F3"/>
    <w:rsid w:val="00106F6E"/>
    <w:rsid w:val="00114CAA"/>
    <w:rsid w:val="001C2D22"/>
    <w:rsid w:val="001F4047"/>
    <w:rsid w:val="00235D4C"/>
    <w:rsid w:val="0024162E"/>
    <w:rsid w:val="0028717E"/>
    <w:rsid w:val="003863A4"/>
    <w:rsid w:val="003B7115"/>
    <w:rsid w:val="00455352"/>
    <w:rsid w:val="00476E28"/>
    <w:rsid w:val="0070048E"/>
    <w:rsid w:val="00831BC5"/>
    <w:rsid w:val="0087455A"/>
    <w:rsid w:val="008D4768"/>
    <w:rsid w:val="00912207"/>
    <w:rsid w:val="00A16206"/>
    <w:rsid w:val="00A23492"/>
    <w:rsid w:val="00AB41BE"/>
    <w:rsid w:val="00AB56E5"/>
    <w:rsid w:val="00B50987"/>
    <w:rsid w:val="00C14E67"/>
    <w:rsid w:val="00DB795B"/>
    <w:rsid w:val="00E17F97"/>
    <w:rsid w:val="00F10CD9"/>
    <w:rsid w:val="00F25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F3344"/>
  <w15:docId w15:val="{8491210C-EE0C-4F92-9794-1BC15550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uiPriority w:val="9"/>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uiPriority w:val="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A23492"/>
    <w:rPr>
      <w:sz w:val="22"/>
      <w:szCs w:val="22"/>
      <w:lang w:val="en-GB"/>
    </w:rPr>
  </w:style>
  <w:style w:type="paragraph" w:styleId="FootnoteText">
    <w:name w:val="footnote text"/>
    <w:aliases w:val="Fußnotentextf"/>
    <w:basedOn w:val="Normal"/>
    <w:link w:val="FootnoteTextChar"/>
    <w:uiPriority w:val="99"/>
    <w:unhideWhenUsed/>
    <w:rsid w:val="00A23492"/>
    <w:rPr>
      <w:sz w:val="20"/>
      <w:szCs w:val="20"/>
      <w:lang w:val="es-ES"/>
    </w:rPr>
  </w:style>
  <w:style w:type="character" w:customStyle="1" w:styleId="FootnoteTextChar">
    <w:name w:val="Footnote Text Char"/>
    <w:aliases w:val="Fußnotentextf Char"/>
    <w:basedOn w:val="DefaultParagraphFont"/>
    <w:link w:val="FootnoteText"/>
    <w:uiPriority w:val="99"/>
    <w:rsid w:val="00A23492"/>
    <w:rPr>
      <w:lang w:val="es-ES"/>
    </w:rPr>
  </w:style>
  <w:style w:type="character" w:styleId="FootnoteReference">
    <w:name w:val="footnote reference"/>
    <w:aliases w:val="Footnote text,16 Point,Superscript 6 Point,Footnote Text1,Footnote Text2,number,Footnote reference number,Footnote symbol,note TESI,-E Fußnotenzeichen,SUPERS,stylish,ftref,Footnote Reference Superscript,-E Fuﬂnotenzeichen"/>
    <w:uiPriority w:val="99"/>
    <w:unhideWhenUsed/>
    <w:rsid w:val="00A23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20Maria%20-%20Asus\Downloads\S84-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UNEP/OzL.Pro/ExCom/84/24</Document_x0020_Number>
  </documentManagement>
</p:properties>
</file>

<file path=customXml/itemProps1.xml><?xml version="1.0" encoding="utf-8"?>
<ds:datastoreItem xmlns:ds="http://schemas.openxmlformats.org/officeDocument/2006/customXml" ds:itemID="{F7BA3190-059A-468B-A080-23B76B93044A}"/>
</file>

<file path=customXml/itemProps2.xml><?xml version="1.0" encoding="utf-8"?>
<ds:datastoreItem xmlns:ds="http://schemas.openxmlformats.org/officeDocument/2006/customXml" ds:itemID="{A08530ED-78FE-4350-8222-81F6B366A568}"/>
</file>

<file path=customXml/itemProps3.xml><?xml version="1.0" encoding="utf-8"?>
<ds:datastoreItem xmlns:ds="http://schemas.openxmlformats.org/officeDocument/2006/customXml" ds:itemID="{77034068-16A3-4EFD-8433-9796D951AEF4}"/>
</file>

<file path=customXml/itemProps4.xml><?xml version="1.0" encoding="utf-8"?>
<ds:datastoreItem xmlns:ds="http://schemas.openxmlformats.org/officeDocument/2006/customXml" ds:itemID="{7649367C-43E2-4D00-BC3C-41938793849A}"/>
</file>

<file path=docProps/app.xml><?xml version="1.0" encoding="utf-8"?>
<Properties xmlns="http://schemas.openxmlformats.org/officeDocument/2006/extended-properties" xmlns:vt="http://schemas.openxmlformats.org/officeDocument/2006/docPropsVTypes">
  <Template>S84-template (1)</Template>
  <TotalTime>8</TotalTime>
  <Pages>7</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Actualización sobre el estado de ejecución del plan administrativo refundido de 2019-2021 del Fondo Multilateral</vt:lpstr>
    </vt:vector>
  </TitlesOfParts>
  <Company>UNMFS</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Actualización sobre el estado de ejecución del plan administrativo refundido de 2019-2021 del Fondo Multilateral</dc:title>
  <dc:creator>Jose Maria - Asus</dc:creator>
  <cp:lastModifiedBy>HBE</cp:lastModifiedBy>
  <cp:revision>7</cp:revision>
  <cp:lastPrinted>2001-05-26T16:40:00Z</cp:lastPrinted>
  <dcterms:created xsi:type="dcterms:W3CDTF">2019-12-05T20:54:00Z</dcterms:created>
  <dcterms:modified xsi:type="dcterms:W3CDTF">2019-12-06T16:53:00Z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UNEP/OzL.Pro/ExCom/84/24</vt:lpwstr>
  </property>
  <property fmtid="{D5CDD505-2E9C-101B-9397-08002B2CF9AE}" pid="3" name="Revision date">
    <vt:lpwstr>10/1/2019</vt:lpwstr>
  </property>
  <property fmtid="{D5CDD505-2E9C-101B-9397-08002B2CF9AE}" pid="4" name="ContentTypeId">
    <vt:lpwstr>0x010100CF2D22381220FE4184AFB35730DED85F</vt:lpwstr>
  </property>
</Properties>
</file>