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769C689B" w14:textId="77777777">
        <w:trPr>
          <w:trHeight w:val="720"/>
        </w:trPr>
        <w:tc>
          <w:tcPr>
            <w:tcW w:w="6494" w:type="dxa"/>
            <w:gridSpan w:val="2"/>
            <w:tcBorders>
              <w:bottom w:val="single" w:sz="18" w:space="0" w:color="auto"/>
            </w:tcBorders>
          </w:tcPr>
          <w:p w14:paraId="2A289026" w14:textId="77777777" w:rsidR="0087455A" w:rsidRDefault="0024162E">
            <w:pPr>
              <w:rPr>
                <w:rFonts w:ascii="Univers" w:hAnsi="Univers"/>
                <w:b/>
                <w:sz w:val="28"/>
                <w:szCs w:val="28"/>
                <w:lang w:val="es-MX"/>
              </w:rPr>
            </w:pPr>
            <w:r>
              <w:rPr>
                <w:rFonts w:ascii="Univers" w:hAnsi="Univers"/>
                <w:b/>
                <w:sz w:val="28"/>
                <w:szCs w:val="28"/>
                <w:lang w:val="es-MX"/>
              </w:rPr>
              <w:t>NACIONES</w:t>
            </w:r>
          </w:p>
          <w:p w14:paraId="712EDB91"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2DAA3ABE"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330DA5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965FD7D"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23BCB3FF" wp14:editId="19521348">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7CBA7C3B" wp14:editId="193CE3C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08BA95EE"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7916860D"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7021A292"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5566B300"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5FEDD97F"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42BDB674" w14:textId="77777777" w:rsidR="0087455A" w:rsidRDefault="0087455A">
            <w:pPr>
              <w:spacing w:before="720"/>
              <w:ind w:left="158"/>
              <w:rPr>
                <w:lang w:val="es-ES"/>
              </w:rPr>
            </w:pPr>
          </w:p>
        </w:tc>
        <w:tc>
          <w:tcPr>
            <w:tcW w:w="4590" w:type="dxa"/>
            <w:tcBorders>
              <w:top w:val="nil"/>
              <w:left w:val="nil"/>
              <w:bottom w:val="single" w:sz="36" w:space="0" w:color="auto"/>
              <w:right w:val="nil"/>
            </w:tcBorders>
          </w:tcPr>
          <w:p w14:paraId="030D4767" w14:textId="77777777" w:rsidR="0087455A" w:rsidRDefault="0087455A">
            <w:pPr>
              <w:rPr>
                <w:lang w:val="es-ES"/>
              </w:rPr>
            </w:pPr>
          </w:p>
          <w:p w14:paraId="2F78E3EE" w14:textId="77777777" w:rsidR="0087455A" w:rsidRDefault="0024162E">
            <w:pPr>
              <w:rPr>
                <w:lang w:val="es-ES"/>
              </w:rPr>
            </w:pPr>
            <w:r>
              <w:rPr>
                <w:lang w:val="es-ES"/>
              </w:rPr>
              <w:t>Distr.</w:t>
            </w:r>
          </w:p>
          <w:p w14:paraId="4BCCED11" w14:textId="77777777" w:rsidR="0087455A" w:rsidRDefault="0024162E">
            <w:pPr>
              <w:rPr>
                <w:lang w:val="es-ES"/>
              </w:rPr>
            </w:pPr>
            <w:r>
              <w:rPr>
                <w:lang w:val="es-ES"/>
              </w:rPr>
              <w:t>GENERAL</w:t>
            </w:r>
          </w:p>
          <w:p w14:paraId="0FAF7A39" w14:textId="77777777" w:rsidR="0087455A" w:rsidRDefault="0087455A">
            <w:pPr>
              <w:rPr>
                <w:lang w:val="es-ES"/>
              </w:rPr>
            </w:pPr>
          </w:p>
          <w:p w14:paraId="59F09667" w14:textId="68E34BEE" w:rsidR="0087455A" w:rsidRDefault="0024162E">
            <w:pPr>
              <w:rPr>
                <w:lang w:val="es-ES"/>
              </w:rPr>
            </w:pPr>
            <w:r>
              <w:fldChar w:fldCharType="begin"/>
            </w:r>
            <w:r>
              <w:rPr>
                <w:lang w:val="es-ES"/>
              </w:rPr>
              <w:instrText xml:space="preserve"> DOCPROPERTY "Document number"  \* MERGEFORMAT </w:instrText>
            </w:r>
            <w:r>
              <w:fldChar w:fldCharType="separate"/>
            </w:r>
            <w:r w:rsidR="00B569A7">
              <w:rPr>
                <w:lang w:val="es-ES"/>
              </w:rPr>
              <w:t>UNEP/OzL.Pro/ExCom/84/21</w:t>
            </w:r>
            <w:r>
              <w:fldChar w:fldCharType="end"/>
            </w:r>
          </w:p>
          <w:p w14:paraId="7DC6C202" w14:textId="77777777" w:rsidR="0087455A" w:rsidRDefault="001C330B" w:rsidP="00F10CD9">
            <w:pPr>
              <w:rPr>
                <w:caps/>
                <w:lang w:val="es-ES"/>
              </w:rPr>
            </w:pPr>
            <w:r>
              <w:rPr>
                <w:lang w:val="es-ES"/>
              </w:rPr>
              <w:t>19 de noviembre de</w:t>
            </w:r>
            <w:r w:rsidR="00114CAA">
              <w:rPr>
                <w:lang w:val="es-ES"/>
              </w:rPr>
              <w:t xml:space="preserve"> </w:t>
            </w:r>
            <w:r w:rsidR="001C2D22">
              <w:rPr>
                <w:caps/>
                <w:lang w:val="es-ES"/>
              </w:rPr>
              <w:t>2019</w:t>
            </w:r>
          </w:p>
          <w:p w14:paraId="4D0DC9B3" w14:textId="77777777" w:rsidR="00114CAA" w:rsidRDefault="00114CAA">
            <w:pPr>
              <w:rPr>
                <w:caps/>
                <w:lang w:val="es-ES"/>
              </w:rPr>
            </w:pPr>
          </w:p>
          <w:p w14:paraId="24FFC55A" w14:textId="77777777" w:rsidR="0087455A" w:rsidRDefault="0024162E">
            <w:pPr>
              <w:rPr>
                <w:lang w:val="es-MX"/>
              </w:rPr>
            </w:pPr>
            <w:r>
              <w:rPr>
                <w:lang w:val="es-MX"/>
              </w:rPr>
              <w:t xml:space="preserve">ESPAÑOL </w:t>
            </w:r>
          </w:p>
          <w:p w14:paraId="0342C1B3" w14:textId="77777777" w:rsidR="0087455A" w:rsidRDefault="0024162E">
            <w:pPr>
              <w:rPr>
                <w:lang w:val="es-ES"/>
              </w:rPr>
            </w:pPr>
            <w:r>
              <w:rPr>
                <w:lang w:val="es-ES"/>
              </w:rPr>
              <w:t xml:space="preserve">ORIGINAL: </w:t>
            </w:r>
            <w:r>
              <w:rPr>
                <w:lang w:val="es-MX"/>
              </w:rPr>
              <w:t>INGLÉS</w:t>
            </w:r>
          </w:p>
        </w:tc>
      </w:tr>
    </w:tbl>
    <w:p w14:paraId="2D9C99A9" w14:textId="77777777" w:rsidR="0087455A" w:rsidRDefault="0087455A">
      <w:pPr>
        <w:jc w:val="left"/>
        <w:rPr>
          <w:lang w:val="es-MX"/>
        </w:rPr>
      </w:pPr>
    </w:p>
    <w:p w14:paraId="6BBFA9E1"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32E51380" w14:textId="77777777" w:rsidR="00106F6E" w:rsidRDefault="00106F6E" w:rsidP="001F4047">
      <w:pPr>
        <w:jc w:val="left"/>
        <w:rPr>
          <w:lang w:val="es-ES"/>
        </w:rPr>
      </w:pPr>
      <w:r>
        <w:rPr>
          <w:lang w:val="es-ES"/>
        </w:rPr>
        <w:t xml:space="preserve">Octogésima </w:t>
      </w:r>
      <w:r w:rsidR="003863A4">
        <w:rPr>
          <w:lang w:val="es-ES"/>
        </w:rPr>
        <w:t>cuarta Reunión</w:t>
      </w:r>
      <w:r w:rsidR="003863A4">
        <w:rPr>
          <w:lang w:val="es-ES"/>
        </w:rPr>
        <w:br/>
        <w:t xml:space="preserve">Montreal, 16 </w:t>
      </w:r>
      <w:r>
        <w:rPr>
          <w:lang w:val="es-ES"/>
        </w:rPr>
        <w:t xml:space="preserve">– </w:t>
      </w:r>
      <w:r w:rsidR="003863A4">
        <w:rPr>
          <w:lang w:val="es-ES"/>
        </w:rPr>
        <w:t>20</w:t>
      </w:r>
      <w:r>
        <w:rPr>
          <w:lang w:val="es-ES"/>
        </w:rPr>
        <w:t xml:space="preserve"> de </w:t>
      </w:r>
      <w:r w:rsidR="001F4047">
        <w:rPr>
          <w:lang w:val="es-ES"/>
        </w:rPr>
        <w:t>diciembre</w:t>
      </w:r>
      <w:r w:rsidR="001C2D22">
        <w:rPr>
          <w:lang w:val="es-ES"/>
        </w:rPr>
        <w:t xml:space="preserve"> de 2019</w:t>
      </w:r>
    </w:p>
    <w:p w14:paraId="1929EB98" w14:textId="77777777" w:rsidR="00106F6E" w:rsidRDefault="00106F6E" w:rsidP="00106F6E">
      <w:pPr>
        <w:jc w:val="left"/>
        <w:rPr>
          <w:lang w:val="es-ES"/>
        </w:rPr>
      </w:pPr>
    </w:p>
    <w:p w14:paraId="783FF4BE" w14:textId="77777777" w:rsidR="0087455A" w:rsidRDefault="0087455A">
      <w:pPr>
        <w:jc w:val="left"/>
        <w:rPr>
          <w:lang w:val="es-ES"/>
        </w:rPr>
      </w:pPr>
    </w:p>
    <w:p w14:paraId="489D04A6" w14:textId="77777777" w:rsidR="0087455A" w:rsidRDefault="0087455A">
      <w:pPr>
        <w:pStyle w:val="Heading3"/>
        <w:numPr>
          <w:ilvl w:val="0"/>
          <w:numId w:val="0"/>
        </w:numPr>
        <w:spacing w:after="0"/>
        <w:rPr>
          <w:lang w:val="es-ES"/>
        </w:rPr>
      </w:pPr>
    </w:p>
    <w:p w14:paraId="4AC8363C" w14:textId="77777777" w:rsidR="0087455A" w:rsidRDefault="0087455A" w:rsidP="00C3786C">
      <w:pPr>
        <w:pStyle w:val="Title1"/>
        <w:rPr>
          <w:lang w:val="es-ES"/>
        </w:rPr>
      </w:pPr>
    </w:p>
    <w:p w14:paraId="7DD58525" w14:textId="77777777" w:rsidR="0087455A" w:rsidRPr="007A72ED" w:rsidRDefault="000B114B" w:rsidP="00C3786C">
      <w:pPr>
        <w:pStyle w:val="Heading1"/>
        <w:numPr>
          <w:ilvl w:val="0"/>
          <w:numId w:val="0"/>
        </w:numPr>
        <w:jc w:val="center"/>
        <w:rPr>
          <w:b/>
          <w:lang w:val="es-ES"/>
        </w:rPr>
      </w:pPr>
      <w:r w:rsidRPr="007A72ED">
        <w:rPr>
          <w:rFonts w:ascii="Times" w:hAnsi="Times"/>
          <w:b/>
          <w:sz w:val="24"/>
          <w:szCs w:val="24"/>
          <w:lang w:val="es-ES"/>
        </w:rPr>
        <w:t>I</w:t>
      </w:r>
      <w:r w:rsidR="00A70444" w:rsidRPr="007A72ED">
        <w:rPr>
          <w:rFonts w:ascii="Times" w:hAnsi="Times"/>
          <w:b/>
          <w:sz w:val="24"/>
          <w:szCs w:val="24"/>
          <w:lang w:val="es-ES"/>
        </w:rPr>
        <w:t>NFORME SOBRE LA MARCHA DE LAS ACTIVIDADES DEL BANCO MUNDIAL AL 31 DE DICIEMBRE</w:t>
      </w:r>
    </w:p>
    <w:p w14:paraId="0361C51F" w14:textId="77777777" w:rsidR="00A70444" w:rsidRPr="00C05D8A" w:rsidRDefault="00A70444" w:rsidP="00A70444">
      <w:pPr>
        <w:jc w:val="center"/>
        <w:rPr>
          <w:b/>
          <w:bCs/>
          <w:lang w:val="es-ES"/>
        </w:rPr>
      </w:pPr>
    </w:p>
    <w:p w14:paraId="58D3E04C" w14:textId="77777777" w:rsidR="00A70444" w:rsidRPr="00C05D8A" w:rsidRDefault="00A70444" w:rsidP="00A70444">
      <w:pPr>
        <w:jc w:val="center"/>
        <w:rPr>
          <w:b/>
          <w:bCs/>
          <w:lang w:val="es-ES"/>
        </w:rPr>
      </w:pPr>
    </w:p>
    <w:p w14:paraId="535099A0" w14:textId="77777777" w:rsidR="00A70444" w:rsidRPr="00C05D8A" w:rsidRDefault="00432A46" w:rsidP="00A70444">
      <w:pPr>
        <w:pStyle w:val="Heading1"/>
        <w:rPr>
          <w:lang w:val="es-ES"/>
        </w:rPr>
      </w:pPr>
      <w:r w:rsidRPr="00C05D8A">
        <w:rPr>
          <w:lang w:val="es-ES"/>
        </w:rPr>
        <w:t>El presente documento resume el informe sobre la marcha de las actividades del Banco Mundial al 31 de diciembre de</w:t>
      </w:r>
      <w:r w:rsidR="00A70444" w:rsidRPr="00C05D8A">
        <w:rPr>
          <w:lang w:val="es-ES"/>
        </w:rPr>
        <w:t xml:space="preserve"> 2018.</w:t>
      </w:r>
      <w:r w:rsidR="00A70444" w:rsidRPr="00763A52">
        <w:rPr>
          <w:rStyle w:val="FootnoteReference"/>
          <w:sz w:val="22"/>
          <w:szCs w:val="22"/>
          <w:lang w:val="en-CA"/>
        </w:rPr>
        <w:footnoteReference w:id="1"/>
      </w:r>
    </w:p>
    <w:p w14:paraId="56227D0B" w14:textId="77777777" w:rsidR="00A70444" w:rsidRPr="00763A52" w:rsidRDefault="00432A46" w:rsidP="00A70444">
      <w:pPr>
        <w:keepNext/>
        <w:rPr>
          <w:u w:val="single"/>
          <w:lang w:val="en-CA"/>
        </w:rPr>
      </w:pPr>
      <w:r w:rsidRPr="00763A52">
        <w:rPr>
          <w:u w:val="single"/>
          <w:lang w:val="en-CA"/>
        </w:rPr>
        <w:t>Alcance del document</w:t>
      </w:r>
      <w:r w:rsidR="00763A52" w:rsidRPr="00763A52">
        <w:rPr>
          <w:u w:val="single"/>
          <w:lang w:val="en-CA"/>
        </w:rPr>
        <w:t>o</w:t>
      </w:r>
    </w:p>
    <w:p w14:paraId="0423FABF" w14:textId="77777777" w:rsidR="00A70444" w:rsidRPr="00763A52" w:rsidRDefault="00A70444" w:rsidP="00A70444">
      <w:pPr>
        <w:keepNext/>
        <w:rPr>
          <w:lang w:val="en-CA"/>
        </w:rPr>
      </w:pPr>
    </w:p>
    <w:p w14:paraId="73572C81" w14:textId="77777777" w:rsidR="00A70444" w:rsidRPr="00C05D8A" w:rsidRDefault="00432A46" w:rsidP="00A70444">
      <w:pPr>
        <w:pStyle w:val="Heading1"/>
        <w:rPr>
          <w:lang w:val="es-ES"/>
        </w:rPr>
      </w:pPr>
      <w:r w:rsidRPr="00C05D8A">
        <w:rPr>
          <w:lang w:val="es-ES"/>
        </w:rPr>
        <w:t>El presente documento consta de las siguientes seccione</w:t>
      </w:r>
      <w:r w:rsidR="00A70444" w:rsidRPr="00C05D8A">
        <w:rPr>
          <w:lang w:val="es-ES"/>
        </w:rPr>
        <w:t>s:</w:t>
      </w:r>
    </w:p>
    <w:p w14:paraId="725336C3" w14:textId="10924AF1" w:rsidR="00A70444" w:rsidRPr="00C05D8A" w:rsidRDefault="00A70444" w:rsidP="00B569A7">
      <w:pPr>
        <w:pStyle w:val="Heading2"/>
        <w:widowControl/>
        <w:numPr>
          <w:ilvl w:val="0"/>
          <w:numId w:val="0"/>
        </w:numPr>
        <w:adjustRightInd w:val="0"/>
        <w:ind w:left="2160" w:hanging="1440"/>
        <w:textAlignment w:val="baseline"/>
        <w:rPr>
          <w:lang w:val="es-ES"/>
        </w:rPr>
      </w:pPr>
      <w:r w:rsidRPr="00C05D8A">
        <w:rPr>
          <w:szCs w:val="28"/>
          <w:lang w:val="es-ES"/>
        </w:rPr>
        <w:t>Part</w:t>
      </w:r>
      <w:r w:rsidR="00432A46" w:rsidRPr="00C05D8A">
        <w:rPr>
          <w:szCs w:val="28"/>
          <w:lang w:val="es-ES"/>
        </w:rPr>
        <w:t>e</w:t>
      </w:r>
      <w:r w:rsidRPr="00C05D8A">
        <w:rPr>
          <w:szCs w:val="28"/>
          <w:lang w:val="es-ES"/>
        </w:rPr>
        <w:t xml:space="preserve"> I:</w:t>
      </w:r>
      <w:r w:rsidRPr="00C05D8A">
        <w:rPr>
          <w:szCs w:val="28"/>
          <w:lang w:val="es-ES"/>
        </w:rPr>
        <w:tab/>
      </w:r>
      <w:r w:rsidR="00763A52" w:rsidRPr="00C05D8A">
        <w:rPr>
          <w:lang w:val="es-ES"/>
        </w:rPr>
        <w:t>Pro</w:t>
      </w:r>
      <w:r w:rsidR="00432A46" w:rsidRPr="00C05D8A">
        <w:rPr>
          <w:lang w:val="es-ES"/>
        </w:rPr>
        <w:t xml:space="preserve">yectos aprobados en el marco de las contribuciones ordinarias al Fondo Multilateral. Se presentan aquí un resumen </w:t>
      </w:r>
      <w:r w:rsidR="0013035E">
        <w:rPr>
          <w:lang w:val="es-ES"/>
        </w:rPr>
        <w:t>sobre la marcha de las actividades</w:t>
      </w:r>
      <w:r w:rsidR="00432A46" w:rsidRPr="00C05D8A">
        <w:rPr>
          <w:lang w:val="es-ES"/>
        </w:rPr>
        <w:t xml:space="preserve"> en la ejecución de proyectos para </w:t>
      </w:r>
      <w:r w:rsidRPr="00C05D8A">
        <w:rPr>
          <w:lang w:val="es-ES"/>
        </w:rPr>
        <w:t xml:space="preserve">2018 </w:t>
      </w:r>
      <w:r w:rsidR="00432A46" w:rsidRPr="00C05D8A">
        <w:rPr>
          <w:lang w:val="es-ES"/>
        </w:rPr>
        <w:t>y acumulado desde 1991, un análisis del estado de ejecución de cada proyecto en curso</w:t>
      </w:r>
      <w:r w:rsidRPr="00763A52">
        <w:rPr>
          <w:rStyle w:val="FootnoteReference"/>
          <w:sz w:val="22"/>
          <w:szCs w:val="22"/>
          <w:lang w:val="en-CA"/>
        </w:rPr>
        <w:footnoteReference w:id="2"/>
      </w:r>
      <w:r w:rsidRPr="00C05D8A">
        <w:rPr>
          <w:lang w:val="es-ES"/>
        </w:rPr>
        <w:t xml:space="preserve"> </w:t>
      </w:r>
      <w:r w:rsidR="00432A46" w:rsidRPr="00C05D8A">
        <w:rPr>
          <w:lang w:val="es-ES"/>
        </w:rPr>
        <w:t>a nivel país, los proyectos con demoras en la ejecución y los efectos potenciales de la demora sobre la eliminación de sustancias controladas, y proyectos con cuestiones pendientes para consideración del Comité Ejecutivo</w:t>
      </w:r>
      <w:r w:rsidRPr="00C05D8A">
        <w:rPr>
          <w:lang w:val="es-ES"/>
        </w:rPr>
        <w:t xml:space="preserve">. </w:t>
      </w:r>
    </w:p>
    <w:p w14:paraId="7D68D83D" w14:textId="62D4EC2B" w:rsidR="00A70444" w:rsidRPr="00C05D8A" w:rsidRDefault="00432A46" w:rsidP="00B569A7">
      <w:pPr>
        <w:pStyle w:val="Heading2"/>
        <w:widowControl/>
        <w:numPr>
          <w:ilvl w:val="0"/>
          <w:numId w:val="0"/>
        </w:numPr>
        <w:adjustRightInd w:val="0"/>
        <w:ind w:left="2160" w:hanging="1440"/>
        <w:textAlignment w:val="baseline"/>
        <w:rPr>
          <w:szCs w:val="28"/>
          <w:lang w:val="es-ES"/>
        </w:rPr>
      </w:pPr>
      <w:r w:rsidRPr="00C05D8A">
        <w:rPr>
          <w:lang w:val="es-ES"/>
        </w:rPr>
        <w:lastRenderedPageBreak/>
        <w:t xml:space="preserve">Parte </w:t>
      </w:r>
      <w:r w:rsidR="00A70444" w:rsidRPr="00C05D8A">
        <w:rPr>
          <w:lang w:val="es-ES"/>
        </w:rPr>
        <w:t>II:</w:t>
      </w:r>
      <w:r w:rsidR="00A70444" w:rsidRPr="00C05D8A">
        <w:rPr>
          <w:lang w:val="es-ES"/>
        </w:rPr>
        <w:tab/>
      </w:r>
      <w:r w:rsidRPr="00C05D8A">
        <w:rPr>
          <w:lang w:val="es-ES"/>
        </w:rPr>
        <w:t xml:space="preserve">Proyectos aprobados en el marco de las contribuciones voluntarias adicionales para </w:t>
      </w:r>
      <w:r w:rsidR="0013035E">
        <w:rPr>
          <w:lang w:val="es-ES"/>
        </w:rPr>
        <w:t>la ayuda</w:t>
      </w:r>
      <w:r w:rsidR="00080447">
        <w:rPr>
          <w:lang w:val="es-ES"/>
        </w:rPr>
        <w:t xml:space="preserve"> a corto plazo </w:t>
      </w:r>
      <w:r w:rsidRPr="00C05D8A">
        <w:rPr>
          <w:lang w:val="es-ES"/>
        </w:rPr>
        <w:t>o la reducción de HFC</w:t>
      </w:r>
      <w:r w:rsidR="00A70444" w:rsidRPr="00C05D8A">
        <w:rPr>
          <w:lang w:val="es-ES"/>
        </w:rPr>
        <w:t>.</w:t>
      </w:r>
      <w:r w:rsidR="00A70444" w:rsidRPr="00763A52">
        <w:rPr>
          <w:rStyle w:val="FootnoteReference"/>
          <w:sz w:val="22"/>
          <w:szCs w:val="22"/>
        </w:rPr>
        <w:footnoteReference w:id="3"/>
      </w:r>
      <w:r w:rsidR="00A70444" w:rsidRPr="00C05D8A">
        <w:rPr>
          <w:lang w:val="es-ES"/>
        </w:rPr>
        <w:t xml:space="preserve"> </w:t>
      </w:r>
      <w:r w:rsidR="00763A52" w:rsidRPr="00C05D8A">
        <w:rPr>
          <w:lang w:val="es-ES"/>
        </w:rPr>
        <w:t xml:space="preserve">Asimismo, proporciona información sobre el estado de los proyectos de ejecución </w:t>
      </w:r>
      <w:r w:rsidR="00CA62E9">
        <w:rPr>
          <w:lang w:val="es-ES"/>
        </w:rPr>
        <w:t>para</w:t>
      </w:r>
      <w:r w:rsidR="00763A52" w:rsidRPr="00C05D8A">
        <w:rPr>
          <w:lang w:val="es-ES"/>
        </w:rPr>
        <w:t xml:space="preserve"> la reducción de HFC</w:t>
      </w:r>
      <w:r w:rsidR="00CB4684" w:rsidRPr="00C05D8A">
        <w:rPr>
          <w:lang w:val="es-ES"/>
        </w:rPr>
        <w:t xml:space="preserve"> </w:t>
      </w:r>
      <w:r w:rsidR="00763A52" w:rsidRPr="00C05D8A">
        <w:rPr>
          <w:lang w:val="es-ES"/>
        </w:rPr>
        <w:t xml:space="preserve">financiados </w:t>
      </w:r>
      <w:r w:rsidR="004B07A4" w:rsidRPr="00C05D8A">
        <w:rPr>
          <w:lang w:val="es-ES"/>
        </w:rPr>
        <w:t>con cargo</w:t>
      </w:r>
      <w:r w:rsidR="00763A52" w:rsidRPr="00C05D8A">
        <w:rPr>
          <w:lang w:val="es-ES"/>
        </w:rPr>
        <w:t xml:space="preserve"> las contribuciones voluntarias</w:t>
      </w:r>
      <w:r w:rsidR="00763A52" w:rsidRPr="00C05D8A">
        <w:rPr>
          <w:szCs w:val="28"/>
          <w:lang w:val="es-ES"/>
        </w:rPr>
        <w:t>.</w:t>
      </w:r>
    </w:p>
    <w:p w14:paraId="3A3C90AD" w14:textId="77777777" w:rsidR="00A70444" w:rsidRPr="00A051CF" w:rsidRDefault="00C7477E" w:rsidP="00A70444">
      <w:pPr>
        <w:ind w:firstLine="720"/>
        <w:rPr>
          <w:lang w:val="en-CA"/>
        </w:rPr>
      </w:pPr>
      <w:r>
        <w:rPr>
          <w:lang w:val="en-CA"/>
        </w:rPr>
        <w:t>Reco</w:t>
      </w:r>
      <w:r w:rsidR="00763A52">
        <w:rPr>
          <w:lang w:val="en-CA"/>
        </w:rPr>
        <w:t>mendación</w:t>
      </w:r>
    </w:p>
    <w:p w14:paraId="408701B5" w14:textId="77777777" w:rsidR="00A70444" w:rsidRPr="00A051CF" w:rsidRDefault="00A70444" w:rsidP="00A70444">
      <w:pPr>
        <w:rPr>
          <w:lang w:val="en-CA"/>
        </w:rPr>
      </w:pPr>
    </w:p>
    <w:p w14:paraId="165953D3" w14:textId="77777777" w:rsidR="00A70444" w:rsidRPr="00C05D8A" w:rsidRDefault="00763A52" w:rsidP="00A70444">
      <w:pPr>
        <w:pStyle w:val="Heading1"/>
        <w:rPr>
          <w:lang w:val="es-ES"/>
        </w:rPr>
      </w:pPr>
      <w:r w:rsidRPr="00C05D8A">
        <w:rPr>
          <w:lang w:val="es-ES"/>
        </w:rPr>
        <w:t xml:space="preserve">El </w:t>
      </w:r>
      <w:r w:rsidR="00CB4684" w:rsidRPr="00C05D8A">
        <w:rPr>
          <w:lang w:val="es-ES"/>
        </w:rPr>
        <w:t>a</w:t>
      </w:r>
      <w:r w:rsidRPr="00C05D8A">
        <w:rPr>
          <w:lang w:val="es-ES"/>
        </w:rPr>
        <w:t>n</w:t>
      </w:r>
      <w:r w:rsidR="00A70444" w:rsidRPr="00C05D8A">
        <w:rPr>
          <w:lang w:val="es-ES"/>
        </w:rPr>
        <w:t>ex</w:t>
      </w:r>
      <w:r w:rsidRPr="00C05D8A">
        <w:rPr>
          <w:lang w:val="es-ES"/>
        </w:rPr>
        <w:t>o</w:t>
      </w:r>
      <w:r w:rsidR="00A70444" w:rsidRPr="00C05D8A">
        <w:rPr>
          <w:lang w:val="es-ES"/>
        </w:rPr>
        <w:t xml:space="preserve"> I </w:t>
      </w:r>
      <w:r w:rsidRPr="00C05D8A">
        <w:rPr>
          <w:lang w:val="es-ES"/>
        </w:rPr>
        <w:t>al presente documento consta de un análisis del informe sobre la marcha de las actividades</w:t>
      </w:r>
      <w:r w:rsidR="00A70444" w:rsidRPr="00C05D8A">
        <w:rPr>
          <w:lang w:val="es-ES"/>
        </w:rPr>
        <w:t>.</w:t>
      </w:r>
    </w:p>
    <w:p w14:paraId="7BF17BAC" w14:textId="77777777" w:rsidR="00A70444" w:rsidRPr="00C05D8A" w:rsidRDefault="00CB4684" w:rsidP="00A70444">
      <w:pPr>
        <w:keepNext/>
        <w:rPr>
          <w:u w:val="single"/>
          <w:lang w:val="es-ES"/>
        </w:rPr>
      </w:pPr>
      <w:r w:rsidRPr="00C05D8A">
        <w:rPr>
          <w:u w:val="single"/>
          <w:lang w:val="es-ES"/>
        </w:rPr>
        <w:t>Mediciones utilizadas en los informes sobre la marcha de las actividades</w:t>
      </w:r>
    </w:p>
    <w:p w14:paraId="7A227443" w14:textId="77777777" w:rsidR="00A70444" w:rsidRPr="00C05D8A" w:rsidRDefault="00A70444" w:rsidP="00A70444">
      <w:pPr>
        <w:keepNext/>
        <w:rPr>
          <w:lang w:val="es-ES"/>
        </w:rPr>
      </w:pPr>
    </w:p>
    <w:p w14:paraId="16D31512" w14:textId="77777777" w:rsidR="00A70444" w:rsidRPr="00C05D8A" w:rsidRDefault="004B07A4" w:rsidP="004B07A4">
      <w:pPr>
        <w:pStyle w:val="Heading1"/>
        <w:rPr>
          <w:lang w:val="es-ES"/>
        </w:rPr>
      </w:pPr>
      <w:r w:rsidRPr="00C05D8A">
        <w:rPr>
          <w:lang w:val="es-ES"/>
        </w:rPr>
        <w:t>Antes del acuerdo sobre la Enmienda de Kigali, todas las sustancias controladas en el marco del Protocolo de Montreal eran sustancias</w:t>
      </w:r>
      <w:r w:rsidR="00C7477E">
        <w:rPr>
          <w:lang w:val="es-ES"/>
        </w:rPr>
        <w:t xml:space="preserve"> </w:t>
      </w:r>
      <w:r w:rsidRPr="00C05D8A">
        <w:rPr>
          <w:lang w:val="es-ES"/>
        </w:rPr>
        <w:t xml:space="preserve">que agotan la capa de ozono, medidas en toneladas PAO. Las sustancias controladas con arreglo a la Enmienda de Kigali no son sustancias que agotan la capa de ozono, y sus objetivos de control se miden en </w:t>
      </w:r>
      <w:r w:rsidRPr="000C475A">
        <w:rPr>
          <w:lang w:val="es-ES"/>
        </w:rPr>
        <w:t>CO</w:t>
      </w:r>
      <w:r w:rsidRPr="000C475A">
        <w:rPr>
          <w:vertAlign w:val="subscript"/>
          <w:lang w:val="es-ES"/>
        </w:rPr>
        <w:t>2</w:t>
      </w:r>
      <w:r w:rsidR="000C475A" w:rsidRPr="000C475A">
        <w:rPr>
          <w:lang w:val="es-ES"/>
        </w:rPr>
        <w:t xml:space="preserve"> equivalente o tm</w:t>
      </w:r>
      <w:r w:rsidRPr="00C05D8A">
        <w:rPr>
          <w:lang w:val="es-ES"/>
        </w:rPr>
        <w:t xml:space="preserve"> (por ejemplo, el consumo en toneladas métricas (tm) multiplicado por el potencial de calentamiento atmosférico (PCA) de la sustancia. A pesar de las dos mediciones diferentes para la notificación de sustancias controladas, el informe sobre la marcha de las actividades del Banco Mundial presentado a la 84ª </w:t>
      </w:r>
      <w:r w:rsidR="00C7477E" w:rsidRPr="00C05D8A">
        <w:rPr>
          <w:lang w:val="es-ES"/>
        </w:rPr>
        <w:t>reunión</w:t>
      </w:r>
      <w:r w:rsidRPr="00C05D8A">
        <w:rPr>
          <w:lang w:val="es-ES"/>
        </w:rPr>
        <w:t xml:space="preserve"> se basa en toneladas PAO para todas las sustancias controladas</w:t>
      </w:r>
      <w:r w:rsidR="00A70444" w:rsidRPr="00C05D8A">
        <w:rPr>
          <w:lang w:val="es-ES"/>
        </w:rPr>
        <w:t>.</w:t>
      </w:r>
      <w:r w:rsidR="00A70444" w:rsidRPr="00A051CF">
        <w:rPr>
          <w:rStyle w:val="FootnoteReference"/>
          <w:lang w:val="en-CA"/>
        </w:rPr>
        <w:footnoteReference w:id="4"/>
      </w:r>
      <w:r w:rsidR="00A70444" w:rsidRPr="00C05D8A">
        <w:rPr>
          <w:lang w:val="es-ES"/>
        </w:rPr>
        <w:t xml:space="preserve"> </w:t>
      </w:r>
    </w:p>
    <w:p w14:paraId="3ADC0837" w14:textId="77777777" w:rsidR="00A70444" w:rsidRPr="00C7477E" w:rsidRDefault="00C7477E" w:rsidP="00A70444">
      <w:pPr>
        <w:rPr>
          <w:b/>
          <w:lang w:val="es-ES"/>
        </w:rPr>
      </w:pPr>
      <w:r w:rsidRPr="00C7477E">
        <w:rPr>
          <w:b/>
          <w:lang w:val="es-ES"/>
        </w:rPr>
        <w:t>U</w:t>
      </w:r>
      <w:r>
        <w:rPr>
          <w:b/>
          <w:lang w:val="es-ES"/>
        </w:rPr>
        <w:t>n</w:t>
      </w:r>
      <w:r w:rsidRPr="00C7477E">
        <w:rPr>
          <w:b/>
          <w:lang w:val="es-ES"/>
        </w:rPr>
        <w:t xml:space="preserve"> </w:t>
      </w:r>
      <w:r>
        <w:rPr>
          <w:b/>
          <w:lang w:val="es-ES"/>
        </w:rPr>
        <w:t>resumen</w:t>
      </w:r>
      <w:r w:rsidRPr="00C7477E">
        <w:rPr>
          <w:b/>
          <w:lang w:val="es-ES"/>
        </w:rPr>
        <w:t xml:space="preserve"> </w:t>
      </w:r>
      <w:r>
        <w:rPr>
          <w:b/>
          <w:lang w:val="es-ES"/>
        </w:rPr>
        <w:t xml:space="preserve">general </w:t>
      </w:r>
      <w:r w:rsidRPr="00C7477E">
        <w:rPr>
          <w:b/>
          <w:lang w:val="es-ES"/>
        </w:rPr>
        <w:t xml:space="preserve">de las actividades de reducción de </w:t>
      </w:r>
      <w:r>
        <w:rPr>
          <w:b/>
          <w:lang w:val="es-ES"/>
        </w:rPr>
        <w:t>HFC</w:t>
      </w:r>
    </w:p>
    <w:p w14:paraId="2633F40F" w14:textId="77777777" w:rsidR="00A70444" w:rsidRPr="00C7477E" w:rsidRDefault="00A70444" w:rsidP="00A70444">
      <w:pPr>
        <w:rPr>
          <w:lang w:val="es-ES"/>
        </w:rPr>
      </w:pPr>
    </w:p>
    <w:p w14:paraId="3226A144" w14:textId="620C17FD" w:rsidR="00A70444" w:rsidRPr="00C35C20" w:rsidRDefault="00C7477E" w:rsidP="00C35C20">
      <w:pPr>
        <w:pStyle w:val="Heading1"/>
        <w:rPr>
          <w:lang w:val="es-ES"/>
        </w:rPr>
      </w:pPr>
      <w:r w:rsidRPr="00C7477E">
        <w:rPr>
          <w:lang w:val="es-ES"/>
        </w:rPr>
        <w:t>Al 31 de diciembre de 2018, el Comit</w:t>
      </w:r>
      <w:r>
        <w:rPr>
          <w:lang w:val="es-ES"/>
        </w:rPr>
        <w:t xml:space="preserve">é Ejecutivo había aprobado seis proyectos relacionados con el HFC en el marco de las contribuciones voluntarias, por un monto de </w:t>
      </w:r>
      <w:r w:rsidR="00C23680">
        <w:rPr>
          <w:lang w:val="es-ES"/>
        </w:rPr>
        <w:t xml:space="preserve">1 213 </w:t>
      </w:r>
      <w:r w:rsidRPr="00C7477E">
        <w:rPr>
          <w:lang w:val="es-ES"/>
        </w:rPr>
        <w:t xml:space="preserve">514 </w:t>
      </w:r>
      <w:r w:rsidRPr="00C05D8A">
        <w:rPr>
          <w:lang w:val="es-ES"/>
        </w:rPr>
        <w:t>$EUA</w:t>
      </w:r>
      <w:r>
        <w:rPr>
          <w:lang w:val="es-ES"/>
        </w:rPr>
        <w:t xml:space="preserve"> (e</w:t>
      </w:r>
      <w:r w:rsidR="00C23680">
        <w:rPr>
          <w:lang w:val="es-ES"/>
        </w:rPr>
        <w:t>xcluyendo los gastos de apoyo del organismo</w:t>
      </w:r>
      <w:r>
        <w:rPr>
          <w:lang w:val="es-ES"/>
        </w:rPr>
        <w:t>). En cuanto a las actividades de apoyo, en la 83ª reunión se aprobó la prórroga de las fechas de finalización de dos de esos proyectos y se han presentado solicitudes</w:t>
      </w:r>
      <w:r w:rsidR="00C35C20">
        <w:rPr>
          <w:lang w:val="es-ES"/>
        </w:rPr>
        <w:t xml:space="preserve"> de prórroga de un proyecto a la 84ª reunión</w:t>
      </w:r>
      <w:r w:rsidR="00A70444" w:rsidRPr="00C35C20">
        <w:rPr>
          <w:lang w:val="es-ES"/>
        </w:rPr>
        <w:t>.</w:t>
      </w:r>
    </w:p>
    <w:p w14:paraId="0F0581ED" w14:textId="77777777" w:rsidR="00A70444" w:rsidRPr="00606DE3" w:rsidRDefault="00A70444" w:rsidP="00A70444">
      <w:pPr>
        <w:rPr>
          <w:b/>
          <w:lang w:val="es-ES"/>
        </w:rPr>
      </w:pPr>
      <w:r w:rsidRPr="00606DE3">
        <w:rPr>
          <w:b/>
          <w:lang w:val="es-ES"/>
        </w:rPr>
        <w:t>Pr</w:t>
      </w:r>
      <w:r w:rsidR="00606DE3" w:rsidRPr="00606DE3">
        <w:rPr>
          <w:b/>
          <w:lang w:val="es-ES"/>
        </w:rPr>
        <w:t xml:space="preserve">oceso de </w:t>
      </w:r>
      <w:r w:rsidR="00DE7447" w:rsidRPr="00606DE3">
        <w:rPr>
          <w:b/>
          <w:lang w:val="es-ES"/>
        </w:rPr>
        <w:t>revisión</w:t>
      </w:r>
      <w:r w:rsidR="00606DE3" w:rsidRPr="00606DE3">
        <w:rPr>
          <w:b/>
          <w:lang w:val="es-ES"/>
        </w:rPr>
        <w:t xml:space="preserve"> de la marcha de las actividades realizad por la </w:t>
      </w:r>
      <w:r w:rsidR="00606DE3">
        <w:rPr>
          <w:b/>
          <w:lang w:val="es-ES"/>
        </w:rPr>
        <w:t>Secretaría</w:t>
      </w:r>
    </w:p>
    <w:p w14:paraId="61561ADE" w14:textId="77777777" w:rsidR="00A70444" w:rsidRPr="00606DE3" w:rsidRDefault="00A70444" w:rsidP="00A70444">
      <w:pPr>
        <w:rPr>
          <w:lang w:val="es-ES"/>
        </w:rPr>
      </w:pPr>
    </w:p>
    <w:p w14:paraId="3F519236" w14:textId="68AA9B40" w:rsidR="00A70444" w:rsidRPr="00DE7447" w:rsidRDefault="00DE7447" w:rsidP="00DE7447">
      <w:pPr>
        <w:pStyle w:val="Heading1"/>
        <w:rPr>
          <w:lang w:val="es-ES"/>
        </w:rPr>
      </w:pPr>
      <w:r w:rsidRPr="00DE7447">
        <w:rPr>
          <w:lang w:val="es-ES"/>
        </w:rPr>
        <w:t xml:space="preserve">La Secretaría examinó el estado de ejecución de cada proyecto en curso país por país, teniendo en cuenta las demoras en la ejecución que se habían producido respecto </w:t>
      </w:r>
      <w:r w:rsidR="00C23680">
        <w:rPr>
          <w:lang w:val="es-ES"/>
        </w:rPr>
        <w:t>de</w:t>
      </w:r>
      <w:r w:rsidRPr="00DE7447">
        <w:rPr>
          <w:lang w:val="es-ES"/>
        </w:rPr>
        <w:t xml:space="preserve"> las fechas de finalización previstas que se habían comunicado en el documento </w:t>
      </w:r>
      <w:r>
        <w:rPr>
          <w:lang w:val="es-ES"/>
        </w:rPr>
        <w:t xml:space="preserve">en </w:t>
      </w:r>
      <w:r w:rsidR="00C23680">
        <w:rPr>
          <w:lang w:val="es-ES"/>
        </w:rPr>
        <w:t>2018, e</w:t>
      </w:r>
      <w:r w:rsidRPr="00DE7447">
        <w:rPr>
          <w:lang w:val="es-ES"/>
        </w:rPr>
        <w:t xml:space="preserve">l impacto potencial de estos retrasos en la eliminación de las sustancias </w:t>
      </w:r>
      <w:r>
        <w:rPr>
          <w:lang w:val="es-ES"/>
        </w:rPr>
        <w:t>controladas</w:t>
      </w:r>
      <w:r w:rsidRPr="00DE7447">
        <w:rPr>
          <w:lang w:val="es-ES"/>
        </w:rPr>
        <w:t xml:space="preserve"> y el ritmo de los desembolsos previstos</w:t>
      </w:r>
      <w:r w:rsidR="00A70444" w:rsidRPr="00DE7447">
        <w:rPr>
          <w:lang w:val="es-ES"/>
        </w:rPr>
        <w:t xml:space="preserve">. </w:t>
      </w:r>
      <w:r w:rsidRPr="00DE7447">
        <w:rPr>
          <w:lang w:val="es-ES"/>
        </w:rPr>
        <w:t>La Secretaría mantuvo varias conversaciones con el Banco Mundial, en las que se plantearon una serie de cuestiones sobre los proyectos en curso, que posteriormente se</w:t>
      </w:r>
      <w:r>
        <w:rPr>
          <w:lang w:val="es-ES"/>
        </w:rPr>
        <w:t xml:space="preserve"> resolvieron satisfactoriamente</w:t>
      </w:r>
      <w:r w:rsidR="00A70444" w:rsidRPr="00DE7447">
        <w:rPr>
          <w:lang w:val="es-ES"/>
        </w:rPr>
        <w:t xml:space="preserve">. </w:t>
      </w:r>
    </w:p>
    <w:p w14:paraId="3762FA1C" w14:textId="4956C517" w:rsidR="00A70444" w:rsidRPr="00C05D8A" w:rsidRDefault="00A70444" w:rsidP="00A70444">
      <w:pPr>
        <w:pStyle w:val="sub-title"/>
        <w:keepNext/>
        <w:keepLines/>
        <w:ind w:left="1418" w:hanging="1418"/>
        <w:rPr>
          <w:rFonts w:ascii="Times New Roman Bold" w:hAnsi="Times New Roman Bold"/>
          <w:caps/>
          <w:noProof w:val="0"/>
          <w:szCs w:val="28"/>
          <w:lang w:val="es-ES"/>
        </w:rPr>
      </w:pPr>
      <w:r w:rsidRPr="00C05D8A">
        <w:rPr>
          <w:rFonts w:ascii="Times New Roman Bold" w:hAnsi="Times New Roman Bold"/>
          <w:caps/>
          <w:noProof w:val="0"/>
          <w:szCs w:val="28"/>
          <w:lang w:val="es-ES"/>
        </w:rPr>
        <w:lastRenderedPageBreak/>
        <w:t xml:space="preserve">Part I: </w:t>
      </w:r>
      <w:r w:rsidRPr="00C05D8A">
        <w:rPr>
          <w:rFonts w:ascii="Times New Roman Bold" w:hAnsi="Times New Roman Bold"/>
          <w:caps/>
          <w:noProof w:val="0"/>
          <w:szCs w:val="28"/>
          <w:lang w:val="es-ES"/>
        </w:rPr>
        <w:tab/>
      </w:r>
      <w:r w:rsidR="00AD1BFC" w:rsidRPr="00C05D8A">
        <w:rPr>
          <w:rFonts w:ascii="Times New Roman Bold" w:hAnsi="Times New Roman Bold"/>
          <w:caps/>
          <w:noProof w:val="0"/>
          <w:szCs w:val="28"/>
          <w:lang w:val="es-ES"/>
        </w:rPr>
        <w:t xml:space="preserve">Proyectos aprobados en el marco de </w:t>
      </w:r>
      <w:r w:rsidR="00C23680">
        <w:rPr>
          <w:rFonts w:ascii="Times New Roman Bold" w:hAnsi="Times New Roman Bold"/>
          <w:caps/>
          <w:noProof w:val="0"/>
          <w:szCs w:val="28"/>
          <w:lang w:val="es-ES"/>
        </w:rPr>
        <w:t xml:space="preserve">las </w:t>
      </w:r>
      <w:r w:rsidR="00AD1BFC" w:rsidRPr="00C05D8A">
        <w:rPr>
          <w:rFonts w:ascii="Times New Roman Bold" w:hAnsi="Times New Roman Bold"/>
          <w:caps/>
          <w:noProof w:val="0"/>
          <w:szCs w:val="28"/>
          <w:lang w:val="es-ES"/>
        </w:rPr>
        <w:t>contribuciones ordinarias al fondo multilateral</w:t>
      </w:r>
    </w:p>
    <w:p w14:paraId="6B21CB80" w14:textId="77777777" w:rsidR="00A70444" w:rsidRPr="00C05D8A" w:rsidRDefault="00A70444" w:rsidP="00A70444">
      <w:pPr>
        <w:keepNext/>
        <w:rPr>
          <w:lang w:val="es-ES"/>
        </w:rPr>
      </w:pPr>
    </w:p>
    <w:p w14:paraId="0A88EAB5" w14:textId="77777777" w:rsidR="00A70444" w:rsidRPr="00C05D8A" w:rsidRDefault="00AD1BFC" w:rsidP="00A70444">
      <w:pPr>
        <w:keepNext/>
        <w:rPr>
          <w:b/>
          <w:lang w:val="es-ES"/>
        </w:rPr>
      </w:pPr>
      <w:r w:rsidRPr="00C05D8A">
        <w:rPr>
          <w:b/>
          <w:lang w:val="es-ES"/>
        </w:rPr>
        <w:t>Resumen de la marcha de las actividades en la ejecución de proyectos para 2018 y acumulado a la fecha</w:t>
      </w:r>
    </w:p>
    <w:p w14:paraId="41A0E950" w14:textId="77777777" w:rsidR="00A70444" w:rsidRPr="00C05D8A" w:rsidRDefault="00A70444" w:rsidP="00A70444">
      <w:pPr>
        <w:keepNext/>
        <w:rPr>
          <w:b/>
          <w:lang w:val="es-ES"/>
        </w:rPr>
      </w:pPr>
    </w:p>
    <w:p w14:paraId="55236772" w14:textId="7A7ABD1A" w:rsidR="00A70444" w:rsidRPr="00C05D8A" w:rsidRDefault="00AD1BFC" w:rsidP="00A70444">
      <w:pPr>
        <w:pStyle w:val="Heading1"/>
        <w:keepNext/>
        <w:rPr>
          <w:lang w:val="es-ES"/>
        </w:rPr>
      </w:pPr>
      <w:r w:rsidRPr="00C05D8A">
        <w:rPr>
          <w:lang w:val="es-ES"/>
        </w:rPr>
        <w:t>La ejecución de proyectos y actividades del Banco Mundial para 2018 y acumu</w:t>
      </w:r>
      <w:r w:rsidR="00C23680">
        <w:rPr>
          <w:lang w:val="es-ES"/>
        </w:rPr>
        <w:t>lado</w:t>
      </w:r>
      <w:r w:rsidRPr="00C05D8A">
        <w:rPr>
          <w:lang w:val="es-ES"/>
        </w:rPr>
        <w:t xml:space="preserve"> desde 1991 al 31 de diciembre de 2018 se resume de la siguiente manera</w:t>
      </w:r>
      <w:r w:rsidR="00A70444" w:rsidRPr="00C05D8A">
        <w:rPr>
          <w:lang w:val="es-ES"/>
        </w:rPr>
        <w:t>:</w:t>
      </w:r>
    </w:p>
    <w:p w14:paraId="4A4461E5" w14:textId="6B393442" w:rsidR="00A70444" w:rsidRPr="00C23680" w:rsidRDefault="00AD1BFC" w:rsidP="00A70444">
      <w:pPr>
        <w:pStyle w:val="Heading2"/>
        <w:rPr>
          <w:lang w:val="es-ES"/>
        </w:rPr>
      </w:pPr>
      <w:r w:rsidRPr="00C05D8A">
        <w:rPr>
          <w:b/>
          <w:bCs/>
          <w:lang w:val="es-ES"/>
        </w:rPr>
        <w:t>Eliminación</w:t>
      </w:r>
      <w:r w:rsidR="00A70444" w:rsidRPr="00C05D8A">
        <w:rPr>
          <w:b/>
          <w:bCs/>
          <w:lang w:val="es-ES"/>
        </w:rPr>
        <w:t>:</w:t>
      </w:r>
      <w:r w:rsidR="00A70444" w:rsidRPr="00A051CF">
        <w:rPr>
          <w:rStyle w:val="FootnoteReference"/>
          <w:bCs/>
          <w:lang w:val="en-CA"/>
        </w:rPr>
        <w:footnoteReference w:id="5"/>
      </w:r>
      <w:r w:rsidRPr="00C05D8A">
        <w:rPr>
          <w:lang w:val="es-ES"/>
        </w:rPr>
        <w:t xml:space="preserve"> E</w:t>
      </w:r>
      <w:r w:rsidR="00A70444" w:rsidRPr="00C05D8A">
        <w:rPr>
          <w:lang w:val="es-ES"/>
        </w:rPr>
        <w:t xml:space="preserve">n 2018, </w:t>
      </w:r>
      <w:r w:rsidRPr="00C05D8A">
        <w:rPr>
          <w:lang w:val="es-ES"/>
        </w:rPr>
        <w:t>se eliminaron 98,</w:t>
      </w:r>
      <w:r w:rsidR="00A70444" w:rsidRPr="00C05D8A">
        <w:rPr>
          <w:lang w:val="es-ES"/>
        </w:rPr>
        <w:t xml:space="preserve">1 </w:t>
      </w:r>
      <w:r w:rsidRPr="00C05D8A">
        <w:rPr>
          <w:lang w:val="es-ES"/>
        </w:rPr>
        <w:t>toneladas PAO de consumo de sustancias controladas y se aprobaron para elim</w:t>
      </w:r>
      <w:r w:rsidR="00C7477E">
        <w:rPr>
          <w:lang w:val="es-ES"/>
        </w:rPr>
        <w:t>i</w:t>
      </w:r>
      <w:r w:rsidRPr="00C05D8A">
        <w:rPr>
          <w:lang w:val="es-ES"/>
        </w:rPr>
        <w:t>nación</w:t>
      </w:r>
      <w:r w:rsidR="00CA163B" w:rsidRPr="00C05D8A">
        <w:rPr>
          <w:lang w:val="es-ES"/>
        </w:rPr>
        <w:t xml:space="preserve"> otras 33,</w:t>
      </w:r>
      <w:r w:rsidR="00A70444" w:rsidRPr="00C05D8A">
        <w:rPr>
          <w:lang w:val="es-ES"/>
        </w:rPr>
        <w:t>2 </w:t>
      </w:r>
      <w:r w:rsidR="00CA163B" w:rsidRPr="00C05D8A">
        <w:rPr>
          <w:lang w:val="es-ES"/>
        </w:rPr>
        <w:t>toneladas PAO de consumo de sustancias controladas</w:t>
      </w:r>
      <w:r w:rsidR="00A70444" w:rsidRPr="00C05D8A">
        <w:rPr>
          <w:lang w:val="es-ES"/>
        </w:rPr>
        <w:t xml:space="preserve">. </w:t>
      </w:r>
      <w:r w:rsidR="00CA163B" w:rsidRPr="00C23680">
        <w:rPr>
          <w:lang w:val="es-ES"/>
        </w:rPr>
        <w:t>Desde</w:t>
      </w:r>
      <w:r w:rsidR="00A70444" w:rsidRPr="00C23680">
        <w:rPr>
          <w:lang w:val="es-ES"/>
        </w:rPr>
        <w:t xml:space="preserve"> 1991</w:t>
      </w:r>
      <w:r w:rsidR="00CA163B" w:rsidRPr="00C23680">
        <w:rPr>
          <w:lang w:val="es-ES"/>
        </w:rPr>
        <w:t xml:space="preserve"> a la fecha</w:t>
      </w:r>
      <w:r w:rsidR="00A70444" w:rsidRPr="00C23680">
        <w:rPr>
          <w:lang w:val="es-ES"/>
        </w:rPr>
        <w:t xml:space="preserve">, </w:t>
      </w:r>
      <w:r w:rsidR="002C533B" w:rsidRPr="00C23680">
        <w:rPr>
          <w:lang w:val="es-ES"/>
        </w:rPr>
        <w:t>d</w:t>
      </w:r>
      <w:r w:rsidR="00C23680">
        <w:rPr>
          <w:lang w:val="es-ES"/>
        </w:rPr>
        <w:t xml:space="preserve">e un total proyectado de 304 </w:t>
      </w:r>
      <w:r w:rsidR="00CA163B" w:rsidRPr="00C23680">
        <w:rPr>
          <w:lang w:val="es-ES"/>
        </w:rPr>
        <w:t>5</w:t>
      </w:r>
      <w:r w:rsidR="00C91202">
        <w:rPr>
          <w:lang w:val="es-ES"/>
        </w:rPr>
        <w:t>78</w:t>
      </w:r>
      <w:r w:rsidR="00CA163B" w:rsidRPr="00C23680">
        <w:rPr>
          <w:lang w:val="es-ES"/>
        </w:rPr>
        <w:t xml:space="preserve"> toneladas PAO estimado a partir de los proyectos aprobados (exceptuando aquellos cancelados y transferidos), se eliminaron </w:t>
      </w:r>
      <w:r w:rsidR="00C23680">
        <w:rPr>
          <w:lang w:val="es-ES"/>
        </w:rPr>
        <w:t xml:space="preserve">146 </w:t>
      </w:r>
      <w:r w:rsidR="00A70444" w:rsidRPr="00C23680">
        <w:rPr>
          <w:lang w:val="es-ES"/>
        </w:rPr>
        <w:t xml:space="preserve">006 </w:t>
      </w:r>
      <w:r w:rsidR="00CA163B" w:rsidRPr="00C23680">
        <w:rPr>
          <w:lang w:val="es-ES"/>
        </w:rPr>
        <w:t xml:space="preserve">toneladas PAO de consumo de sustancias controladas y </w:t>
      </w:r>
      <w:r w:rsidR="00C23680">
        <w:rPr>
          <w:lang w:val="es-ES"/>
        </w:rPr>
        <w:t xml:space="preserve">186 </w:t>
      </w:r>
      <w:r w:rsidR="00A70444" w:rsidRPr="00C23680">
        <w:rPr>
          <w:lang w:val="es-ES"/>
        </w:rPr>
        <w:t xml:space="preserve">808 </w:t>
      </w:r>
      <w:r w:rsidR="00CA163B" w:rsidRPr="00C23680">
        <w:rPr>
          <w:lang w:val="es-ES"/>
        </w:rPr>
        <w:t>toneladas PAO de producción de sustancias controladas</w:t>
      </w:r>
      <w:r w:rsidR="00A70444" w:rsidRPr="00C23680">
        <w:rPr>
          <w:lang w:val="es-ES"/>
        </w:rPr>
        <w:t>;</w:t>
      </w:r>
    </w:p>
    <w:p w14:paraId="3C6C7418" w14:textId="6CBA423A" w:rsidR="00A70444" w:rsidRPr="00C05D8A" w:rsidRDefault="005C52C3" w:rsidP="00DC2365">
      <w:pPr>
        <w:pStyle w:val="Heading2"/>
        <w:rPr>
          <w:lang w:val="es-ES"/>
        </w:rPr>
      </w:pPr>
      <w:r w:rsidRPr="00C05D8A">
        <w:rPr>
          <w:b/>
          <w:bCs/>
          <w:lang w:val="es-ES"/>
        </w:rPr>
        <w:t>Desembolsos y aprobaciones</w:t>
      </w:r>
      <w:r w:rsidR="00A70444" w:rsidRPr="00C05D8A">
        <w:rPr>
          <w:b/>
          <w:bCs/>
          <w:lang w:val="es-ES"/>
        </w:rPr>
        <w:t>:</w:t>
      </w:r>
      <w:r w:rsidRPr="00C05D8A">
        <w:rPr>
          <w:lang w:val="es-ES"/>
        </w:rPr>
        <w:t xml:space="preserve"> En 2018 se desembolsaron 9,</w:t>
      </w:r>
      <w:r w:rsidR="00A70444" w:rsidRPr="00C05D8A">
        <w:rPr>
          <w:lang w:val="es-ES"/>
        </w:rPr>
        <w:t xml:space="preserve">33 </w:t>
      </w:r>
      <w:r w:rsidRPr="00C05D8A">
        <w:rPr>
          <w:lang w:val="es-ES"/>
        </w:rPr>
        <w:t>millones $EUA</w:t>
      </w:r>
      <w:r w:rsidR="004A37E4" w:rsidRPr="00C05D8A">
        <w:rPr>
          <w:rFonts w:ascii="Times" w:hAnsi="Times"/>
          <w:sz w:val="24"/>
          <w:szCs w:val="24"/>
          <w:lang w:val="es-ES"/>
        </w:rPr>
        <w:t xml:space="preserve"> </w:t>
      </w:r>
      <w:r w:rsidR="004A37E4" w:rsidRPr="00C05D8A">
        <w:rPr>
          <w:lang w:val="es-ES"/>
        </w:rPr>
        <w:t>sobre un total de 13,</w:t>
      </w:r>
      <w:r w:rsidR="00A70444" w:rsidRPr="00C05D8A">
        <w:rPr>
          <w:lang w:val="es-ES"/>
        </w:rPr>
        <w:t>74 </w:t>
      </w:r>
      <w:r w:rsidR="004A37E4" w:rsidRPr="00C05D8A">
        <w:rPr>
          <w:lang w:val="es-ES"/>
        </w:rPr>
        <w:t xml:space="preserve">millones de $EUA proyectado en base al informe sobre la marcha de las actividades para </w:t>
      </w:r>
      <w:r w:rsidR="00A70444" w:rsidRPr="00C05D8A">
        <w:rPr>
          <w:lang w:val="es-ES"/>
        </w:rPr>
        <w:t xml:space="preserve">2017, </w:t>
      </w:r>
      <w:r w:rsidR="004A37E4" w:rsidRPr="00C05D8A">
        <w:rPr>
          <w:lang w:val="es-ES"/>
        </w:rPr>
        <w:t>lo que representa un 68% de lo previsto. En e</w:t>
      </w:r>
      <w:r w:rsidR="00F84EFD">
        <w:rPr>
          <w:lang w:val="es-ES"/>
        </w:rPr>
        <w:t xml:space="preserve">l acumulado, se desembolsaron 1 </w:t>
      </w:r>
      <w:r w:rsidR="004A37E4" w:rsidRPr="00C05D8A">
        <w:rPr>
          <w:lang w:val="es-ES"/>
        </w:rPr>
        <w:t>130 millones de</w:t>
      </w:r>
      <w:r w:rsidR="00F84EFD">
        <w:rPr>
          <w:lang w:val="es-ES"/>
        </w:rPr>
        <w:t xml:space="preserve"> $EUA de un total aprobado de 1 </w:t>
      </w:r>
      <w:r w:rsidR="004A37E4" w:rsidRPr="00C05D8A">
        <w:rPr>
          <w:lang w:val="es-ES"/>
        </w:rPr>
        <w:t>160 millones de $EUA para desembolso (except</w:t>
      </w:r>
      <w:r w:rsidR="00DC2365" w:rsidRPr="00C05D8A">
        <w:rPr>
          <w:lang w:val="es-ES"/>
        </w:rPr>
        <w:t>o</w:t>
      </w:r>
      <w:r w:rsidR="004A37E4" w:rsidRPr="00C05D8A">
        <w:rPr>
          <w:lang w:val="es-ES"/>
        </w:rPr>
        <w:t xml:space="preserve"> </w:t>
      </w:r>
      <w:r w:rsidR="00DC2365" w:rsidRPr="00C05D8A">
        <w:rPr>
          <w:lang w:val="es-ES"/>
        </w:rPr>
        <w:t xml:space="preserve">los </w:t>
      </w:r>
      <w:r w:rsidR="004A37E4" w:rsidRPr="00C05D8A">
        <w:rPr>
          <w:lang w:val="es-ES"/>
        </w:rPr>
        <w:t xml:space="preserve">gastos de apoyo del organismo), lo que representa </w:t>
      </w:r>
      <w:r w:rsidR="002C533B" w:rsidRPr="00C05D8A">
        <w:rPr>
          <w:lang w:val="es-ES"/>
        </w:rPr>
        <w:t>el 97% de lo previsto</w:t>
      </w:r>
      <w:r w:rsidR="004A37E4" w:rsidRPr="00C05D8A">
        <w:rPr>
          <w:lang w:val="es-ES"/>
        </w:rPr>
        <w:t>.</w:t>
      </w:r>
      <w:r w:rsidR="00DC2365" w:rsidRPr="00C05D8A">
        <w:rPr>
          <w:lang w:val="es-ES"/>
        </w:rPr>
        <w:t xml:space="preserve"> Para fines de ejecución, en 2018 se aprobó la suma de 26,41 millones de $EUA</w:t>
      </w:r>
      <w:r w:rsidR="00A70444" w:rsidRPr="00C05D8A">
        <w:rPr>
          <w:lang w:val="es-ES"/>
        </w:rPr>
        <w:t>;</w:t>
      </w:r>
    </w:p>
    <w:p w14:paraId="27AE97C2" w14:textId="3F3052AA" w:rsidR="00A70444" w:rsidRPr="00C05D8A" w:rsidRDefault="00C7477E" w:rsidP="00A70444">
      <w:pPr>
        <w:pStyle w:val="Heading2"/>
        <w:rPr>
          <w:lang w:val="es-ES"/>
        </w:rPr>
      </w:pPr>
      <w:r>
        <w:rPr>
          <w:b/>
          <w:lang w:val="es-ES"/>
        </w:rPr>
        <w:t>Relación co</w:t>
      </w:r>
      <w:r w:rsidR="00A60118" w:rsidRPr="00C05D8A">
        <w:rPr>
          <w:b/>
          <w:lang w:val="es-ES"/>
        </w:rPr>
        <w:t>sto-beneficio</w:t>
      </w:r>
      <w:r w:rsidR="00A70444" w:rsidRPr="00C05D8A">
        <w:rPr>
          <w:b/>
          <w:lang w:val="es-ES"/>
        </w:rPr>
        <w:t xml:space="preserve"> (</w:t>
      </w:r>
      <w:r w:rsidR="00A60118" w:rsidRPr="00C05D8A">
        <w:rPr>
          <w:b/>
          <w:lang w:val="es-ES"/>
        </w:rPr>
        <w:t>en PAO</w:t>
      </w:r>
      <w:r w:rsidR="00A70444" w:rsidRPr="00C05D8A">
        <w:rPr>
          <w:b/>
          <w:lang w:val="es-ES"/>
        </w:rPr>
        <w:t>):</w:t>
      </w:r>
      <w:r w:rsidR="00A70444" w:rsidRPr="005121FF">
        <w:rPr>
          <w:rStyle w:val="FootnoteReference"/>
          <w:bCs/>
          <w:sz w:val="22"/>
          <w:szCs w:val="22"/>
          <w:lang w:val="en-CA"/>
        </w:rPr>
        <w:footnoteReference w:id="6"/>
      </w:r>
      <w:r w:rsidR="00A70444" w:rsidRPr="00C05D8A">
        <w:rPr>
          <w:lang w:val="es-ES"/>
        </w:rPr>
        <w:t xml:space="preserve"> </w:t>
      </w:r>
      <w:r w:rsidR="00A70444" w:rsidRPr="00C05D8A">
        <w:rPr>
          <w:b/>
          <w:lang w:val="es-ES"/>
        </w:rPr>
        <w:t xml:space="preserve"> </w:t>
      </w:r>
      <w:r w:rsidR="00A60118" w:rsidRPr="00C05D8A">
        <w:rPr>
          <w:lang w:val="es-ES"/>
        </w:rPr>
        <w:t>Desde 1991 a la fecha, la relación costo-beneficio promedio de proyectos de inversión aprobados que generaron reducciones permanentes fue de 5,48 $EUA/kg para el sector consumo y de 4,</w:t>
      </w:r>
      <w:r w:rsidR="00A70444" w:rsidRPr="00C05D8A">
        <w:rPr>
          <w:lang w:val="es-ES"/>
        </w:rPr>
        <w:t>91/kg</w:t>
      </w:r>
      <w:r w:rsidR="00A60118" w:rsidRPr="00C05D8A">
        <w:rPr>
          <w:lang w:val="es-ES"/>
        </w:rPr>
        <w:t xml:space="preserve"> para el sector de producción</w:t>
      </w:r>
      <w:r w:rsidR="00A70444" w:rsidRPr="00C05D8A">
        <w:rPr>
          <w:lang w:val="es-ES"/>
        </w:rPr>
        <w:t xml:space="preserve">. </w:t>
      </w:r>
      <w:r w:rsidR="00A60118" w:rsidRPr="00C05D8A">
        <w:rPr>
          <w:lang w:val="es-ES"/>
        </w:rPr>
        <w:t>La relación costo-beneficio promedio de los proyectos de inversión por tonelada PAO fue de 3,00 $EUA/kg para proyectos aprobados</w:t>
      </w:r>
      <w:r w:rsidR="005121FF" w:rsidRPr="00C05D8A">
        <w:rPr>
          <w:lang w:val="es-ES"/>
        </w:rPr>
        <w:t xml:space="preserve"> y de </w:t>
      </w:r>
      <w:r w:rsidR="00C23680">
        <w:rPr>
          <w:lang w:val="es-ES"/>
        </w:rPr>
        <w:t>95,</w:t>
      </w:r>
      <w:r w:rsidR="00A70444" w:rsidRPr="00C05D8A">
        <w:rPr>
          <w:lang w:val="es-ES"/>
        </w:rPr>
        <w:t>55</w:t>
      </w:r>
      <w:r w:rsidR="00A60118" w:rsidRPr="00C05D8A">
        <w:rPr>
          <w:lang w:val="es-ES"/>
        </w:rPr>
        <w:t xml:space="preserve"> $EUA/kg para proyectos en curso</w:t>
      </w:r>
      <w:r w:rsidR="00A70444" w:rsidRPr="00C05D8A">
        <w:rPr>
          <w:lang w:val="es-ES"/>
        </w:rPr>
        <w:t>;</w:t>
      </w:r>
      <w:r w:rsidR="00A70444" w:rsidRPr="00A051CF">
        <w:rPr>
          <w:rStyle w:val="FootnoteReference"/>
          <w:lang w:val="en-CA"/>
        </w:rPr>
        <w:footnoteReference w:id="7"/>
      </w:r>
      <w:r w:rsidR="00A70444" w:rsidRPr="00C05D8A">
        <w:rPr>
          <w:lang w:val="es-ES"/>
        </w:rPr>
        <w:t xml:space="preserve"> </w:t>
      </w:r>
    </w:p>
    <w:p w14:paraId="7000BB8D" w14:textId="49B4E87C" w:rsidR="00A70444" w:rsidRPr="00C05D8A" w:rsidRDefault="005121FF" w:rsidP="00A70444">
      <w:pPr>
        <w:pStyle w:val="Heading2"/>
        <w:rPr>
          <w:lang w:val="es-ES"/>
        </w:rPr>
      </w:pPr>
      <w:r w:rsidRPr="00C05D8A">
        <w:rPr>
          <w:b/>
          <w:bCs/>
          <w:lang w:val="es-ES"/>
        </w:rPr>
        <w:t>Número de proyectos terminados</w:t>
      </w:r>
      <w:r w:rsidR="00A70444" w:rsidRPr="00C05D8A">
        <w:rPr>
          <w:b/>
          <w:bCs/>
          <w:lang w:val="es-ES"/>
        </w:rPr>
        <w:t>:</w:t>
      </w:r>
      <w:r w:rsidRPr="00C05D8A">
        <w:rPr>
          <w:lang w:val="es-ES"/>
        </w:rPr>
        <w:t xml:space="preserve"> E</w:t>
      </w:r>
      <w:r w:rsidR="00A70444" w:rsidRPr="00C05D8A">
        <w:rPr>
          <w:lang w:val="es-ES"/>
        </w:rPr>
        <w:t xml:space="preserve">n 2018, </w:t>
      </w:r>
      <w:r w:rsidRPr="00C05D8A">
        <w:rPr>
          <w:lang w:val="es-ES"/>
        </w:rPr>
        <w:t xml:space="preserve">se terminaron </w:t>
      </w:r>
      <w:r w:rsidR="00A70444" w:rsidRPr="00C05D8A">
        <w:rPr>
          <w:lang w:val="es-ES"/>
        </w:rPr>
        <w:t xml:space="preserve">21. </w:t>
      </w:r>
      <w:r w:rsidRPr="00C05D8A">
        <w:rPr>
          <w:lang w:val="es-ES"/>
        </w:rPr>
        <w:t>Desde</w:t>
      </w:r>
      <w:r w:rsidR="00A70444" w:rsidRPr="00C05D8A">
        <w:rPr>
          <w:lang w:val="es-ES"/>
        </w:rPr>
        <w:t xml:space="preserve"> 1991</w:t>
      </w:r>
      <w:r w:rsidRPr="00C05D8A">
        <w:rPr>
          <w:lang w:val="es-ES"/>
        </w:rPr>
        <w:t xml:space="preserve"> a la fecha</w:t>
      </w:r>
      <w:r w:rsidR="00A70444" w:rsidRPr="00C05D8A">
        <w:rPr>
          <w:lang w:val="es-ES"/>
        </w:rPr>
        <w:t xml:space="preserve">, </w:t>
      </w:r>
      <w:r w:rsidR="00F84EFD">
        <w:rPr>
          <w:lang w:val="es-ES"/>
        </w:rPr>
        <w:t xml:space="preserve">se terminaron 1 </w:t>
      </w:r>
      <w:r w:rsidR="00A70444" w:rsidRPr="00C05D8A">
        <w:rPr>
          <w:lang w:val="es-ES"/>
        </w:rPr>
        <w:t>063 </w:t>
      </w:r>
      <w:r w:rsidRPr="00C05D8A">
        <w:rPr>
          <w:lang w:val="es-ES"/>
        </w:rPr>
        <w:t>proyectos</w:t>
      </w:r>
      <w:r w:rsidR="00A70444" w:rsidRPr="00C05D8A">
        <w:rPr>
          <w:lang w:val="es-ES"/>
        </w:rPr>
        <w:t xml:space="preserve"> </w:t>
      </w:r>
      <w:r w:rsidR="00F84EFD">
        <w:rPr>
          <w:lang w:val="es-ES"/>
        </w:rPr>
        <w:t xml:space="preserve">de los 1 </w:t>
      </w:r>
      <w:r w:rsidR="00A70444" w:rsidRPr="00C05D8A">
        <w:rPr>
          <w:lang w:val="es-ES"/>
        </w:rPr>
        <w:t xml:space="preserve">087 </w:t>
      </w:r>
      <w:r w:rsidRPr="00C05D8A">
        <w:rPr>
          <w:lang w:val="es-ES"/>
        </w:rPr>
        <w:t>proyectos a probados</w:t>
      </w:r>
      <w:r w:rsidR="00A70444" w:rsidRPr="00C05D8A">
        <w:rPr>
          <w:lang w:val="es-ES"/>
        </w:rPr>
        <w:t xml:space="preserve"> (</w:t>
      </w:r>
      <w:r w:rsidR="00396361">
        <w:rPr>
          <w:lang w:val="es-ES"/>
        </w:rPr>
        <w:t>exceptuando aquel</w:t>
      </w:r>
      <w:r w:rsidRPr="00C05D8A">
        <w:rPr>
          <w:lang w:val="es-ES"/>
        </w:rPr>
        <w:t>los cerrados o transferidos</w:t>
      </w:r>
      <w:r w:rsidR="00A70444" w:rsidRPr="00C05D8A">
        <w:rPr>
          <w:lang w:val="es-ES"/>
        </w:rPr>
        <w:t>)</w:t>
      </w:r>
      <w:r w:rsidRPr="00C05D8A">
        <w:rPr>
          <w:lang w:val="es-ES"/>
        </w:rPr>
        <w:t>, lo que representa el 98% del total.</w:t>
      </w:r>
      <w:r w:rsidR="00A70444" w:rsidRPr="00C05D8A">
        <w:rPr>
          <w:lang w:val="es-ES"/>
        </w:rPr>
        <w:t xml:space="preserve"> </w:t>
      </w:r>
    </w:p>
    <w:p w14:paraId="6727F466" w14:textId="77777777" w:rsidR="00A70444" w:rsidRPr="00C05D8A" w:rsidRDefault="005121FF" w:rsidP="00A70444">
      <w:pPr>
        <w:pStyle w:val="Heading2"/>
        <w:rPr>
          <w:lang w:val="es-ES"/>
        </w:rPr>
      </w:pPr>
      <w:r w:rsidRPr="00C05D8A">
        <w:rPr>
          <w:b/>
          <w:lang w:val="es-ES"/>
        </w:rPr>
        <w:t>Diligencia en la entrega</w:t>
      </w:r>
      <w:r w:rsidR="00A70444" w:rsidRPr="00C05D8A">
        <w:rPr>
          <w:b/>
          <w:lang w:val="es-ES"/>
        </w:rPr>
        <w:t xml:space="preserve"> – </w:t>
      </w:r>
      <w:r w:rsidRPr="00C05D8A">
        <w:rPr>
          <w:b/>
          <w:lang w:val="es-ES"/>
        </w:rPr>
        <w:t>proyectos de inversión</w:t>
      </w:r>
      <w:r w:rsidR="00A70444" w:rsidRPr="00C05D8A">
        <w:rPr>
          <w:b/>
          <w:lang w:val="es-ES"/>
        </w:rPr>
        <w:t xml:space="preserve">: </w:t>
      </w:r>
      <w:r w:rsidRPr="00C05D8A">
        <w:rPr>
          <w:lang w:val="es-ES"/>
        </w:rPr>
        <w:t>En 2018 se terminaron nueve proyectos de inversión</w:t>
      </w:r>
      <w:r w:rsidR="00A70444" w:rsidRPr="00C05D8A">
        <w:rPr>
          <w:lang w:val="es-ES"/>
        </w:rPr>
        <w:t xml:space="preserve">. </w:t>
      </w:r>
      <w:r w:rsidRPr="00C05D8A">
        <w:rPr>
          <w:lang w:val="es-ES"/>
        </w:rPr>
        <w:t>Desde</w:t>
      </w:r>
      <w:r w:rsidR="00DE7447">
        <w:rPr>
          <w:lang w:val="es-ES"/>
        </w:rPr>
        <w:t xml:space="preserve"> </w:t>
      </w:r>
      <w:r w:rsidR="00A70444" w:rsidRPr="00C05D8A">
        <w:rPr>
          <w:lang w:val="es-ES"/>
        </w:rPr>
        <w:t>1991</w:t>
      </w:r>
      <w:r w:rsidRPr="00C05D8A">
        <w:rPr>
          <w:lang w:val="es-ES"/>
        </w:rPr>
        <w:t xml:space="preserve"> a la fecha</w:t>
      </w:r>
      <w:r w:rsidR="00A70444" w:rsidRPr="00C05D8A">
        <w:rPr>
          <w:lang w:val="es-ES"/>
        </w:rPr>
        <w:t xml:space="preserve">, </w:t>
      </w:r>
      <w:r w:rsidR="00DE7447">
        <w:rPr>
          <w:lang w:val="es-ES"/>
        </w:rPr>
        <w:t>el plazo promedio de término</w:t>
      </w:r>
      <w:r w:rsidRPr="00C05D8A">
        <w:rPr>
          <w:lang w:val="es-ES"/>
        </w:rPr>
        <w:t xml:space="preserve"> para proyectos de inversión ha sido de 40 meses después de su aprobación. Los primeros desembolsos se produjeron, en promedio, 24 meses después de su aprobación</w:t>
      </w:r>
      <w:r w:rsidR="00A70444" w:rsidRPr="00C05D8A">
        <w:rPr>
          <w:lang w:val="es-ES"/>
        </w:rPr>
        <w:t>;</w:t>
      </w:r>
    </w:p>
    <w:p w14:paraId="02D7E7B7" w14:textId="77777777" w:rsidR="00A70444" w:rsidRPr="00DE7447" w:rsidRDefault="00DE7447" w:rsidP="00A70444">
      <w:pPr>
        <w:pStyle w:val="Heading2"/>
        <w:rPr>
          <w:lang w:val="es-ES"/>
        </w:rPr>
      </w:pPr>
      <w:r w:rsidRPr="00DE7447">
        <w:rPr>
          <w:b/>
          <w:lang w:val="es-ES"/>
        </w:rPr>
        <w:t>Diligencia en la entrega</w:t>
      </w:r>
      <w:r w:rsidR="00A70444" w:rsidRPr="00DE7447">
        <w:rPr>
          <w:b/>
          <w:lang w:val="es-ES"/>
        </w:rPr>
        <w:t xml:space="preserve"> – </w:t>
      </w:r>
      <w:r w:rsidRPr="00DE7447">
        <w:rPr>
          <w:b/>
          <w:lang w:val="es-ES"/>
        </w:rPr>
        <w:t>proyectos sin inversión</w:t>
      </w:r>
      <w:r w:rsidR="00A70444" w:rsidRPr="00DE7447">
        <w:rPr>
          <w:b/>
          <w:lang w:val="es-ES"/>
        </w:rPr>
        <w:t>:</w:t>
      </w:r>
      <w:r w:rsidR="00A70444" w:rsidRPr="00DE7447">
        <w:rPr>
          <w:lang w:val="es-ES"/>
        </w:rPr>
        <w:t xml:space="preserve"> </w:t>
      </w:r>
      <w:r w:rsidRPr="00DE7447">
        <w:rPr>
          <w:lang w:val="es-ES"/>
        </w:rPr>
        <w:t>Los proyectos terminados en</w:t>
      </w:r>
      <w:r w:rsidR="00A70444" w:rsidRPr="00DE7447">
        <w:rPr>
          <w:lang w:val="es-ES"/>
        </w:rPr>
        <w:t xml:space="preserve"> 2018 </w:t>
      </w:r>
      <w:r>
        <w:rPr>
          <w:lang w:val="es-ES"/>
        </w:rPr>
        <w:t>se concluyeron en un promedio de</w:t>
      </w:r>
      <w:r w:rsidR="00A70444" w:rsidRPr="00DE7447">
        <w:rPr>
          <w:lang w:val="es-ES"/>
        </w:rPr>
        <w:t xml:space="preserve"> 42 </w:t>
      </w:r>
      <w:r>
        <w:rPr>
          <w:lang w:val="es-ES"/>
        </w:rPr>
        <w:t>meses después de su aprobación</w:t>
      </w:r>
      <w:r w:rsidR="00A70444" w:rsidRPr="00DE7447">
        <w:rPr>
          <w:lang w:val="es-ES"/>
        </w:rPr>
        <w:t xml:space="preserve">. </w:t>
      </w:r>
      <w:r w:rsidRPr="00DE7447">
        <w:rPr>
          <w:lang w:val="es-ES"/>
        </w:rPr>
        <w:t>Desde</w:t>
      </w:r>
      <w:r w:rsidR="00A70444" w:rsidRPr="00DE7447">
        <w:rPr>
          <w:lang w:val="es-ES"/>
        </w:rPr>
        <w:t xml:space="preserve"> 1991</w:t>
      </w:r>
      <w:r w:rsidRPr="00DE7447">
        <w:rPr>
          <w:lang w:val="es-ES"/>
        </w:rPr>
        <w:t xml:space="preserve"> a la fecha</w:t>
      </w:r>
      <w:r w:rsidR="00A70444" w:rsidRPr="00DE7447">
        <w:rPr>
          <w:lang w:val="es-ES"/>
        </w:rPr>
        <w:t xml:space="preserve">, </w:t>
      </w:r>
      <w:r w:rsidRPr="00DE7447">
        <w:rPr>
          <w:lang w:val="es-ES"/>
        </w:rPr>
        <w:t>el plazo promedio de término para proyectos sin inversi</w:t>
      </w:r>
      <w:r>
        <w:rPr>
          <w:lang w:val="es-ES"/>
        </w:rPr>
        <w:t xml:space="preserve">ón ha sido de </w:t>
      </w:r>
      <w:r w:rsidR="00A70444" w:rsidRPr="00DE7447">
        <w:rPr>
          <w:lang w:val="es-ES"/>
        </w:rPr>
        <w:t xml:space="preserve">36 </w:t>
      </w:r>
      <w:r>
        <w:rPr>
          <w:lang w:val="es-ES"/>
        </w:rPr>
        <w:t>meses después de su aprobación</w:t>
      </w:r>
      <w:r w:rsidR="00A70444" w:rsidRPr="00DE7447">
        <w:rPr>
          <w:lang w:val="es-ES"/>
        </w:rPr>
        <w:t xml:space="preserve">. </w:t>
      </w:r>
      <w:r w:rsidRPr="00DE7447">
        <w:rPr>
          <w:lang w:val="es-ES"/>
        </w:rPr>
        <w:t>Los primeros desembolsos se produjeron</w:t>
      </w:r>
      <w:r w:rsidR="00A70444" w:rsidRPr="00DE7447">
        <w:rPr>
          <w:lang w:val="es-ES"/>
        </w:rPr>
        <w:t>,</w:t>
      </w:r>
      <w:r w:rsidRPr="00DE7447">
        <w:rPr>
          <w:lang w:val="es-ES"/>
        </w:rPr>
        <w:t xml:space="preserve"> en promedio,</w:t>
      </w:r>
      <w:r w:rsidR="00A70444" w:rsidRPr="00DE7447">
        <w:rPr>
          <w:lang w:val="es-ES"/>
        </w:rPr>
        <w:t xml:space="preserve"> 22 </w:t>
      </w:r>
      <w:r w:rsidRPr="00DE7447">
        <w:rPr>
          <w:lang w:val="es-ES"/>
        </w:rPr>
        <w:t>meses después de su aprobaci</w:t>
      </w:r>
      <w:r>
        <w:rPr>
          <w:lang w:val="es-ES"/>
        </w:rPr>
        <w:t>ón</w:t>
      </w:r>
      <w:r w:rsidR="00A70444" w:rsidRPr="00DE7447">
        <w:rPr>
          <w:lang w:val="es-ES"/>
        </w:rPr>
        <w:t>;</w:t>
      </w:r>
    </w:p>
    <w:p w14:paraId="2FE11838" w14:textId="77777777" w:rsidR="00A70444" w:rsidRPr="00AA3253" w:rsidRDefault="00AA3253" w:rsidP="00A70444">
      <w:pPr>
        <w:pStyle w:val="Heading2"/>
        <w:widowControl/>
        <w:rPr>
          <w:lang w:val="es-ES"/>
        </w:rPr>
      </w:pPr>
      <w:r w:rsidRPr="00AA3253">
        <w:rPr>
          <w:b/>
          <w:bCs/>
          <w:lang w:val="es-ES"/>
        </w:rPr>
        <w:lastRenderedPageBreak/>
        <w:t>Preparación de proyectos</w:t>
      </w:r>
      <w:r w:rsidR="00A70444" w:rsidRPr="00AA3253">
        <w:rPr>
          <w:b/>
          <w:bCs/>
          <w:lang w:val="es-ES"/>
        </w:rPr>
        <w:t xml:space="preserve">: </w:t>
      </w:r>
      <w:r w:rsidRPr="00AA3253">
        <w:rPr>
          <w:lang w:val="es-ES"/>
        </w:rPr>
        <w:t xml:space="preserve">De las </w:t>
      </w:r>
      <w:r w:rsidR="00A70444" w:rsidRPr="00AA3253">
        <w:rPr>
          <w:lang w:val="es-ES"/>
        </w:rPr>
        <w:t xml:space="preserve">291 </w:t>
      </w:r>
      <w:r w:rsidRPr="00AA3253">
        <w:rPr>
          <w:lang w:val="es-ES"/>
        </w:rPr>
        <w:t>actividades de preparación de proyectos aprobadas</w:t>
      </w:r>
      <w:r>
        <w:rPr>
          <w:lang w:val="es-ES"/>
        </w:rPr>
        <w:t xml:space="preserve"> hacia fines de </w:t>
      </w:r>
      <w:r w:rsidR="00A70444" w:rsidRPr="00AA3253">
        <w:rPr>
          <w:lang w:val="es-ES"/>
        </w:rPr>
        <w:t xml:space="preserve">2018, </w:t>
      </w:r>
      <w:r>
        <w:rPr>
          <w:lang w:val="es-ES"/>
        </w:rPr>
        <w:t xml:space="preserve">se realizaron </w:t>
      </w:r>
      <w:r w:rsidR="00A70444" w:rsidRPr="00AA3253">
        <w:rPr>
          <w:lang w:val="es-ES"/>
        </w:rPr>
        <w:t xml:space="preserve">290, </w:t>
      </w:r>
      <w:r>
        <w:rPr>
          <w:lang w:val="es-ES"/>
        </w:rPr>
        <w:t>quedando una por terminar</w:t>
      </w:r>
      <w:r w:rsidR="00A70444" w:rsidRPr="00AA3253">
        <w:rPr>
          <w:lang w:val="es-ES"/>
        </w:rPr>
        <w:t xml:space="preserve">; </w:t>
      </w:r>
    </w:p>
    <w:p w14:paraId="696AF3C9" w14:textId="77777777" w:rsidR="00AA3253" w:rsidRPr="00AA3253" w:rsidRDefault="00AA3253" w:rsidP="00A70444">
      <w:pPr>
        <w:pStyle w:val="Heading2"/>
        <w:widowControl/>
        <w:rPr>
          <w:lang w:val="es-ES"/>
        </w:rPr>
      </w:pPr>
      <w:r w:rsidRPr="00AA3253">
        <w:rPr>
          <w:b/>
          <w:bCs/>
          <w:lang w:val="es-ES"/>
        </w:rPr>
        <w:t>Demoras en la ejecución</w:t>
      </w:r>
      <w:r w:rsidR="00A70444" w:rsidRPr="00AA3253">
        <w:rPr>
          <w:b/>
          <w:bCs/>
          <w:lang w:val="es-ES"/>
        </w:rPr>
        <w:t>:</w:t>
      </w:r>
      <w:r w:rsidR="00A70444" w:rsidRPr="00AA3253">
        <w:rPr>
          <w:lang w:val="es-ES"/>
        </w:rPr>
        <w:t xml:space="preserve"> </w:t>
      </w:r>
      <w:r w:rsidRPr="00AA3253">
        <w:rPr>
          <w:lang w:val="es-ES"/>
        </w:rPr>
        <w:t>Al cierre de 2018 había un total de 17 proyectos de inversi</w:t>
      </w:r>
      <w:r>
        <w:rPr>
          <w:lang w:val="es-ES"/>
        </w:rPr>
        <w:t>ón en curso con un retraso promedio de 45 meses. No obstante, no hay ningún proyecto clasificado como “proyecto con demoras en la ejecución” que esté sujeto a los procedimientos de cancelación de proyectos (</w:t>
      </w:r>
      <w:r w:rsidR="00670796">
        <w:rPr>
          <w:lang w:val="es-ES"/>
        </w:rPr>
        <w:t>dado que los acuerdos plurianuales no están sujetos a dicho procedimiento); y</w:t>
      </w:r>
    </w:p>
    <w:p w14:paraId="471755E3" w14:textId="46F5A149" w:rsidR="00A70444" w:rsidRDefault="00F53361" w:rsidP="00F53361">
      <w:pPr>
        <w:pStyle w:val="Heading2"/>
        <w:keepNext/>
        <w:rPr>
          <w:lang w:val="es-ES"/>
        </w:rPr>
      </w:pPr>
      <w:r w:rsidRPr="00F53361">
        <w:rPr>
          <w:b/>
          <w:lang w:val="es-ES"/>
        </w:rPr>
        <w:t>Acuerdos plurianuales</w:t>
      </w:r>
      <w:r w:rsidR="00A70444" w:rsidRPr="00F53361">
        <w:rPr>
          <w:lang w:val="es-ES"/>
        </w:rPr>
        <w:t xml:space="preserve">: </w:t>
      </w:r>
      <w:r w:rsidRPr="00F53361">
        <w:rPr>
          <w:lang w:val="es-ES"/>
        </w:rPr>
        <w:t>En</w:t>
      </w:r>
      <w:r w:rsidR="00A70444" w:rsidRPr="00F53361">
        <w:rPr>
          <w:lang w:val="es-ES"/>
        </w:rPr>
        <w:t xml:space="preserve"> 2018,</w:t>
      </w:r>
      <w:r w:rsidRPr="00F53361">
        <w:rPr>
          <w:lang w:val="es-ES"/>
        </w:rPr>
        <w:t xml:space="preserve"> el Banco Mundial implement</w:t>
      </w:r>
      <w:r>
        <w:rPr>
          <w:lang w:val="es-ES"/>
        </w:rPr>
        <w:t>ó</w:t>
      </w:r>
      <w:r w:rsidRPr="00F53361">
        <w:rPr>
          <w:lang w:val="es-ES"/>
        </w:rPr>
        <w:t xml:space="preserve"> ocho acuerdos plurianuales para planes de gesti</w:t>
      </w:r>
      <w:r>
        <w:rPr>
          <w:lang w:val="es-ES"/>
        </w:rPr>
        <w:t>ón p</w:t>
      </w:r>
      <w:r w:rsidR="00F84EFD">
        <w:rPr>
          <w:lang w:val="es-ES"/>
        </w:rPr>
        <w:t>ara la eliminación de HCFC</w:t>
      </w:r>
      <w:r>
        <w:rPr>
          <w:lang w:val="es-ES"/>
        </w:rPr>
        <w:t>. Desde 1991 a la fecha se han aprobado 39 acuerdos plurianuales y 31 terminados</w:t>
      </w:r>
      <w:r w:rsidR="00A70444" w:rsidRPr="00F53361">
        <w:rPr>
          <w:lang w:val="es-ES"/>
        </w:rPr>
        <w:t xml:space="preserve">. </w:t>
      </w:r>
    </w:p>
    <w:p w14:paraId="58394410" w14:textId="77777777" w:rsidR="00F84EFD" w:rsidRPr="007A72ED" w:rsidRDefault="00F84EFD" w:rsidP="00F84EFD">
      <w:pPr>
        <w:rPr>
          <w:lang w:val="es-ES"/>
        </w:rPr>
      </w:pPr>
    </w:p>
    <w:p w14:paraId="6546C692" w14:textId="77777777" w:rsidR="00A70444" w:rsidRPr="00905E6E" w:rsidRDefault="00F53361" w:rsidP="00A70444">
      <w:pPr>
        <w:pStyle w:val="a--"/>
        <w:tabs>
          <w:tab w:val="left" w:pos="5055"/>
        </w:tabs>
        <w:suppressAutoHyphens w:val="0"/>
        <w:rPr>
          <w:sz w:val="22"/>
          <w:szCs w:val="22"/>
          <w:lang w:val="es-ES"/>
        </w:rPr>
      </w:pPr>
      <w:r>
        <w:rPr>
          <w:sz w:val="22"/>
          <w:szCs w:val="22"/>
          <w:lang w:val="es-ES"/>
        </w:rPr>
        <w:t xml:space="preserve">Marcha de las actividades de implementación de proyectos en </w:t>
      </w:r>
      <w:r w:rsidR="00A70444" w:rsidRPr="00905E6E">
        <w:rPr>
          <w:sz w:val="22"/>
          <w:szCs w:val="22"/>
          <w:lang w:val="es-ES"/>
        </w:rPr>
        <w:t>2018</w:t>
      </w:r>
    </w:p>
    <w:p w14:paraId="673CB876" w14:textId="77777777" w:rsidR="00A70444" w:rsidRPr="00905E6E" w:rsidRDefault="00A70444" w:rsidP="00A70444">
      <w:pPr>
        <w:pStyle w:val="a--"/>
        <w:suppressAutoHyphens w:val="0"/>
        <w:rPr>
          <w:sz w:val="22"/>
          <w:szCs w:val="22"/>
          <w:lang w:val="es-ES"/>
        </w:rPr>
      </w:pPr>
    </w:p>
    <w:p w14:paraId="1F7D7683" w14:textId="4ADB3372" w:rsidR="00A70444" w:rsidRPr="00905E6E" w:rsidRDefault="00905E6E" w:rsidP="00A70444">
      <w:pPr>
        <w:pStyle w:val="Heading1"/>
        <w:rPr>
          <w:lang w:val="es-ES"/>
        </w:rPr>
      </w:pPr>
      <w:r w:rsidRPr="00905E6E">
        <w:rPr>
          <w:lang w:val="es-ES"/>
        </w:rPr>
        <w:t>De los 20 proyectos en curso</w:t>
      </w:r>
      <w:r w:rsidR="00A70444" w:rsidRPr="00905E6E">
        <w:rPr>
          <w:lang w:val="es-ES"/>
        </w:rPr>
        <w:t>,</w:t>
      </w:r>
      <w:r w:rsidR="00A70444" w:rsidRPr="00A051CF">
        <w:rPr>
          <w:rStyle w:val="FootnoteReference"/>
          <w:lang w:val="en-CA"/>
        </w:rPr>
        <w:footnoteReference w:id="8"/>
      </w:r>
      <w:r w:rsidR="00A70444" w:rsidRPr="00905E6E">
        <w:rPr>
          <w:lang w:val="es-ES"/>
        </w:rPr>
        <w:t xml:space="preserve"> </w:t>
      </w:r>
      <w:r w:rsidRPr="00905E6E">
        <w:rPr>
          <w:lang w:val="es-ES"/>
        </w:rPr>
        <w:t xml:space="preserve">exceptuando los de fortalecimiento institucional y </w:t>
      </w:r>
      <w:r w:rsidR="00F84EFD">
        <w:rPr>
          <w:lang w:val="es-ES"/>
        </w:rPr>
        <w:t xml:space="preserve">la </w:t>
      </w:r>
      <w:r w:rsidRPr="00905E6E">
        <w:rPr>
          <w:lang w:val="es-ES"/>
        </w:rPr>
        <w:t xml:space="preserve">preparación de </w:t>
      </w:r>
      <w:r>
        <w:rPr>
          <w:lang w:val="es-ES"/>
        </w:rPr>
        <w:t>p</w:t>
      </w:r>
      <w:r w:rsidRPr="00905E6E">
        <w:rPr>
          <w:lang w:val="es-ES"/>
        </w:rPr>
        <w:t>royectos</w:t>
      </w:r>
      <w:r w:rsidR="00A70444" w:rsidRPr="00905E6E">
        <w:rPr>
          <w:lang w:val="es-ES"/>
        </w:rPr>
        <w:t xml:space="preserve">, </w:t>
      </w:r>
      <w:r>
        <w:rPr>
          <w:lang w:val="es-ES"/>
        </w:rPr>
        <w:t>en cuatro casos se han postergado las fechas pr</w:t>
      </w:r>
      <w:r w:rsidR="00230BD4">
        <w:rPr>
          <w:lang w:val="es-ES"/>
        </w:rPr>
        <w:t>ogramadas de término contemplada</w:t>
      </w:r>
      <w:r w:rsidR="00543286">
        <w:rPr>
          <w:lang w:val="es-ES"/>
        </w:rPr>
        <w:t>s</w:t>
      </w:r>
      <w:r w:rsidR="00230BD4">
        <w:rPr>
          <w:lang w:val="es-ES"/>
        </w:rPr>
        <w:t xml:space="preserve"> en el informe sobre la marcha de las actividades de </w:t>
      </w:r>
      <w:r w:rsidR="00A70444" w:rsidRPr="00905E6E">
        <w:rPr>
          <w:lang w:val="es-ES"/>
        </w:rPr>
        <w:t xml:space="preserve">2017. </w:t>
      </w:r>
    </w:p>
    <w:p w14:paraId="2B384BCB" w14:textId="0EA0B970" w:rsidR="00A70444" w:rsidRPr="00D3092F" w:rsidRDefault="004D40E7" w:rsidP="004D40E7">
      <w:pPr>
        <w:pStyle w:val="Heading1"/>
        <w:rPr>
          <w:lang w:val="es-ES"/>
        </w:rPr>
      </w:pPr>
      <w:r w:rsidRPr="004D40E7">
        <w:rPr>
          <w:lang w:val="es-ES"/>
        </w:rPr>
        <w:t xml:space="preserve">Detalles </w:t>
      </w:r>
      <w:r w:rsidR="00CD42BA">
        <w:rPr>
          <w:lang w:val="es-ES"/>
        </w:rPr>
        <w:t>sobre</w:t>
      </w:r>
      <w:r w:rsidRPr="004D40E7">
        <w:rPr>
          <w:lang w:val="es-ES"/>
        </w:rPr>
        <w:t xml:space="preserve"> la marcha de las actividades en la </w:t>
      </w:r>
      <w:r w:rsidR="00F84EFD">
        <w:rPr>
          <w:lang w:val="es-ES"/>
        </w:rPr>
        <w:t>ejecución</w:t>
      </w:r>
      <w:r w:rsidRPr="004D40E7">
        <w:rPr>
          <w:lang w:val="es-ES"/>
        </w:rPr>
        <w:t xml:space="preserve"> de proyectos asociados con los HCFC para China (etapa II del plan del sector de espuma de poliuretano</w:t>
      </w:r>
      <w:r w:rsidR="00A70444" w:rsidRPr="004D40E7">
        <w:rPr>
          <w:lang w:val="es-ES"/>
        </w:rPr>
        <w:t>)</w:t>
      </w:r>
      <w:r w:rsidR="00A70444" w:rsidRPr="00A051CF">
        <w:rPr>
          <w:rStyle w:val="FootnoteReference"/>
          <w:lang w:val="en-CA"/>
        </w:rPr>
        <w:footnoteReference w:id="9"/>
      </w:r>
      <w:r w:rsidR="00A70444" w:rsidRPr="004D40E7">
        <w:rPr>
          <w:lang w:val="es-ES"/>
        </w:rPr>
        <w:t>, Jorda</w:t>
      </w:r>
      <w:r w:rsidRPr="004D40E7">
        <w:rPr>
          <w:lang w:val="es-ES"/>
        </w:rPr>
        <w:t>nia</w:t>
      </w:r>
      <w:r w:rsidR="00A70444" w:rsidRPr="00A051CF">
        <w:rPr>
          <w:rStyle w:val="FootnoteReference"/>
          <w:lang w:val="en-CA"/>
        </w:rPr>
        <w:footnoteReference w:id="10"/>
      </w:r>
      <w:r w:rsidR="00A70444" w:rsidRPr="004D40E7">
        <w:rPr>
          <w:lang w:val="es-ES"/>
        </w:rPr>
        <w:t xml:space="preserve"> </w:t>
      </w:r>
      <w:r w:rsidRPr="004D40E7">
        <w:rPr>
          <w:lang w:val="es-ES"/>
        </w:rPr>
        <w:t>y Vietnan</w:t>
      </w:r>
      <w:r w:rsidR="00A70444" w:rsidRPr="00A051CF">
        <w:rPr>
          <w:rStyle w:val="FootnoteReference"/>
          <w:lang w:val="en-CA"/>
        </w:rPr>
        <w:footnoteReference w:id="11"/>
      </w:r>
      <w:r w:rsidR="00A70444" w:rsidRPr="004D40E7">
        <w:rPr>
          <w:lang w:val="es-ES"/>
        </w:rPr>
        <w:t xml:space="preserve"> </w:t>
      </w:r>
      <w:r w:rsidRPr="004D40E7">
        <w:rPr>
          <w:lang w:val="es-ES"/>
        </w:rPr>
        <w:t xml:space="preserve">y los informes sobre proyectos </w:t>
      </w:r>
      <w:r w:rsidRPr="000C475A">
        <w:rPr>
          <w:lang w:val="es-ES"/>
        </w:rPr>
        <w:t>con requisitos de comunicación específicos</w:t>
      </w:r>
      <w:r w:rsidR="00A70444" w:rsidRPr="00A051CF">
        <w:rPr>
          <w:rStyle w:val="FootnoteReference"/>
          <w:lang w:val="en-CA"/>
        </w:rPr>
        <w:footnoteReference w:id="12"/>
      </w:r>
      <w:r w:rsidR="00A70444" w:rsidRPr="004D40E7">
        <w:rPr>
          <w:lang w:val="es-ES"/>
        </w:rPr>
        <w:t xml:space="preserve"> </w:t>
      </w:r>
      <w:r w:rsidR="00CD42BA">
        <w:rPr>
          <w:lang w:val="es-ES"/>
        </w:rPr>
        <w:t xml:space="preserve">asociados con </w:t>
      </w:r>
      <w:r w:rsidR="00A70444" w:rsidRPr="004D40E7">
        <w:rPr>
          <w:lang w:val="es-ES"/>
        </w:rPr>
        <w:t>China (</w:t>
      </w:r>
      <w:r w:rsidR="00CD42BA">
        <w:rPr>
          <w:lang w:val="es-ES"/>
        </w:rPr>
        <w:t>eliminación de la producción de CFC</w:t>
      </w:r>
      <w:r w:rsidR="00A70444" w:rsidRPr="004D40E7">
        <w:rPr>
          <w:lang w:val="es-ES"/>
        </w:rPr>
        <w:t xml:space="preserve">, </w:t>
      </w:r>
      <w:r w:rsidR="00CD42BA">
        <w:rPr>
          <w:lang w:val="es-ES"/>
        </w:rPr>
        <w:t>agentes de procesos</w:t>
      </w:r>
      <w:r w:rsidR="00A70444" w:rsidRPr="004D40E7">
        <w:rPr>
          <w:lang w:val="es-ES"/>
        </w:rPr>
        <w:t xml:space="preserve">, </w:t>
      </w:r>
      <w:r w:rsidR="00CD42BA">
        <w:rPr>
          <w:lang w:val="es-ES"/>
        </w:rPr>
        <w:t xml:space="preserve">eliminación de </w:t>
      </w:r>
      <w:r w:rsidR="00A70444" w:rsidRPr="004D40E7">
        <w:rPr>
          <w:lang w:val="es-ES"/>
        </w:rPr>
        <w:t xml:space="preserve">CFC </w:t>
      </w:r>
      <w:r w:rsidR="00CD42BA">
        <w:rPr>
          <w:lang w:val="es-ES"/>
        </w:rPr>
        <w:t>y de halones</w:t>
      </w:r>
      <w:r w:rsidR="00A70444" w:rsidRPr="004D40E7">
        <w:rPr>
          <w:lang w:val="es-ES"/>
        </w:rPr>
        <w:t xml:space="preserve"> </w:t>
      </w:r>
      <w:r w:rsidR="00CD42BA">
        <w:rPr>
          <w:lang w:val="es-ES"/>
        </w:rPr>
        <w:t>y plan de gestión de la eliminación</w:t>
      </w:r>
      <w:r w:rsidR="00A70444" w:rsidRPr="004D40E7">
        <w:rPr>
          <w:lang w:val="es-ES"/>
        </w:rPr>
        <w:t xml:space="preserve">) </w:t>
      </w:r>
      <w:r w:rsidR="00CD42BA">
        <w:rPr>
          <w:lang w:val="es-ES"/>
        </w:rPr>
        <w:t>e Indon</w:t>
      </w:r>
      <w:r w:rsidR="00B07649">
        <w:rPr>
          <w:lang w:val="es-ES"/>
        </w:rPr>
        <w:t>esia</w:t>
      </w:r>
      <w:r w:rsidR="00A70444" w:rsidRPr="004D40E7">
        <w:rPr>
          <w:lang w:val="es-ES"/>
        </w:rPr>
        <w:t xml:space="preserve"> (HPMP) </w:t>
      </w:r>
      <w:r w:rsidR="00B07649">
        <w:rPr>
          <w:lang w:val="es-ES"/>
        </w:rPr>
        <w:t>se han presentado a la</w:t>
      </w:r>
      <w:r w:rsidR="00A70444" w:rsidRPr="004D40E7">
        <w:rPr>
          <w:lang w:val="es-ES"/>
        </w:rPr>
        <w:t xml:space="preserve"> 84</w:t>
      </w:r>
      <w:r w:rsidR="00B07649">
        <w:rPr>
          <w:vertAlign w:val="superscript"/>
          <w:lang w:val="es-ES"/>
        </w:rPr>
        <w:t xml:space="preserve">ª </w:t>
      </w:r>
      <w:r w:rsidR="00B07649">
        <w:rPr>
          <w:lang w:val="es-ES"/>
        </w:rPr>
        <w:t>reunión</w:t>
      </w:r>
      <w:r w:rsidR="00A70444" w:rsidRPr="004D40E7">
        <w:rPr>
          <w:lang w:val="es-ES"/>
        </w:rPr>
        <w:t xml:space="preserve">. </w:t>
      </w:r>
      <w:r w:rsidR="00B07649" w:rsidRPr="00746AE3">
        <w:rPr>
          <w:lang w:val="es-ES"/>
        </w:rPr>
        <w:t>Las recomendaciones para las cuestiones pendientes para dichos proyectos, incluida la aprobación de las solicitudes de prórroga</w:t>
      </w:r>
      <w:r w:rsidR="00746AE3" w:rsidRPr="00746AE3">
        <w:rPr>
          <w:lang w:val="es-ES"/>
        </w:rPr>
        <w:t xml:space="preserve">, de ser el caso, se </w:t>
      </w:r>
      <w:r w:rsidR="00746AE3">
        <w:rPr>
          <w:lang w:val="es-ES"/>
        </w:rPr>
        <w:t xml:space="preserve">abordan en las secciones pertinentes de estos documentos. </w:t>
      </w:r>
      <w:r w:rsidR="00746AE3" w:rsidRPr="00746AE3">
        <w:rPr>
          <w:lang w:val="es-ES"/>
        </w:rPr>
        <w:t>No había cuestiones pendientes para los proyectos restantes en curso.</w:t>
      </w:r>
    </w:p>
    <w:p w14:paraId="29C07A2C" w14:textId="362CD58B" w:rsidR="00A70444" w:rsidRPr="00F312E3" w:rsidRDefault="00A70444" w:rsidP="00A70444">
      <w:pPr>
        <w:pStyle w:val="Heading1"/>
        <w:keepNext/>
        <w:numPr>
          <w:ilvl w:val="0"/>
          <w:numId w:val="0"/>
        </w:numPr>
        <w:ind w:left="1418" w:hanging="1418"/>
        <w:rPr>
          <w:rFonts w:ascii="Times New Roman Bold" w:hAnsi="Times New Roman Bold"/>
          <w:caps/>
          <w:szCs w:val="28"/>
          <w:lang w:val="es-ES"/>
        </w:rPr>
      </w:pPr>
      <w:r w:rsidRPr="00F312E3">
        <w:rPr>
          <w:rFonts w:ascii="Times New Roman Bold" w:hAnsi="Times New Roman Bold"/>
          <w:caps/>
          <w:szCs w:val="28"/>
          <w:lang w:val="es-ES"/>
        </w:rPr>
        <w:lastRenderedPageBreak/>
        <w:t>Part</w:t>
      </w:r>
      <w:r w:rsidR="00F312E3" w:rsidRPr="00F312E3">
        <w:rPr>
          <w:rFonts w:ascii="Times New Roman Bold" w:hAnsi="Times New Roman Bold"/>
          <w:caps/>
          <w:szCs w:val="28"/>
          <w:lang w:val="es-ES"/>
        </w:rPr>
        <w:t>e</w:t>
      </w:r>
      <w:r w:rsidRPr="00F312E3">
        <w:rPr>
          <w:rFonts w:ascii="Times New Roman Bold" w:hAnsi="Times New Roman Bold"/>
          <w:caps/>
          <w:szCs w:val="28"/>
          <w:lang w:val="es-ES"/>
        </w:rPr>
        <w:t xml:space="preserve"> II:</w:t>
      </w:r>
      <w:r w:rsidRPr="00F312E3">
        <w:rPr>
          <w:rFonts w:ascii="Times New Roman Bold" w:hAnsi="Times New Roman Bold"/>
          <w:caps/>
          <w:szCs w:val="28"/>
          <w:lang w:val="es-ES"/>
        </w:rPr>
        <w:tab/>
      </w:r>
      <w:r w:rsidR="00F312E3" w:rsidRPr="00F312E3">
        <w:rPr>
          <w:rFonts w:ascii="Times New Roman Bold" w:hAnsi="Times New Roman Bold"/>
          <w:caps/>
          <w:szCs w:val="28"/>
          <w:lang w:val="es-ES"/>
        </w:rPr>
        <w:t xml:space="preserve">PROYECTOS APROBADOS EN EL MARCO DE CONTRIBUCIONES VOLUNTARIAS ADICIONALES PARA </w:t>
      </w:r>
      <w:r w:rsidR="00A7091D">
        <w:rPr>
          <w:rFonts w:ascii="Times New Roman Bold" w:hAnsi="Times New Roman Bold"/>
          <w:caps/>
          <w:szCs w:val="28"/>
          <w:lang w:val="es-ES"/>
        </w:rPr>
        <w:t>la ayuda</w:t>
      </w:r>
      <w:r w:rsidR="00F312E3" w:rsidRPr="00F312E3">
        <w:rPr>
          <w:rFonts w:ascii="Times New Roman Bold" w:hAnsi="Times New Roman Bold"/>
          <w:caps/>
          <w:szCs w:val="28"/>
          <w:lang w:val="es-ES"/>
        </w:rPr>
        <w:t xml:space="preserve"> </w:t>
      </w:r>
      <w:r w:rsidR="000C475A">
        <w:rPr>
          <w:rFonts w:ascii="Times New Roman Bold" w:hAnsi="Times New Roman Bold"/>
          <w:caps/>
          <w:szCs w:val="28"/>
          <w:lang w:val="es-ES"/>
        </w:rPr>
        <w:t>a corto plazo</w:t>
      </w:r>
      <w:r w:rsidR="00F312E3">
        <w:rPr>
          <w:rFonts w:ascii="Times New Roman Bold" w:hAnsi="Times New Roman Bold"/>
          <w:caps/>
          <w:szCs w:val="28"/>
          <w:lang w:val="es-ES"/>
        </w:rPr>
        <w:t xml:space="preserve"> PARA LA REDUCCIÓN DE HFC</w:t>
      </w:r>
    </w:p>
    <w:p w14:paraId="581BB224" w14:textId="77777777" w:rsidR="00A70444" w:rsidRPr="00F312E3" w:rsidRDefault="00F312E3" w:rsidP="00A70444">
      <w:pPr>
        <w:pStyle w:val="Heading1"/>
        <w:keepNext/>
        <w:rPr>
          <w:lang w:val="es-ES"/>
        </w:rPr>
      </w:pPr>
      <w:r w:rsidRPr="00F312E3">
        <w:rPr>
          <w:lang w:val="es-ES"/>
        </w:rPr>
        <w:t xml:space="preserve">Al </w:t>
      </w:r>
      <w:r w:rsidR="00A70444" w:rsidRPr="00F312E3">
        <w:rPr>
          <w:lang w:val="es-ES"/>
        </w:rPr>
        <w:t xml:space="preserve"> 31 </w:t>
      </w:r>
      <w:r w:rsidRPr="00F312E3">
        <w:rPr>
          <w:lang w:val="es-ES"/>
        </w:rPr>
        <w:t>de diciembre de</w:t>
      </w:r>
      <w:r w:rsidR="00A70444" w:rsidRPr="00F312E3">
        <w:rPr>
          <w:lang w:val="es-ES"/>
        </w:rPr>
        <w:t xml:space="preserve"> 2018, </w:t>
      </w:r>
      <w:r w:rsidRPr="00F312E3">
        <w:rPr>
          <w:lang w:val="es-ES"/>
        </w:rPr>
        <w:t xml:space="preserve">el Comité Ejecutivo había aprobado seis proyectos relacionados con el </w:t>
      </w:r>
      <w:r>
        <w:rPr>
          <w:lang w:val="es-ES"/>
        </w:rPr>
        <w:t>HFC, tal como se resume a continuación en el Cuadro 1</w:t>
      </w:r>
      <w:r w:rsidR="00A70444" w:rsidRPr="00F312E3">
        <w:rPr>
          <w:lang w:val="es-ES"/>
        </w:rPr>
        <w:t xml:space="preserve">. </w:t>
      </w:r>
    </w:p>
    <w:p w14:paraId="398DE5D9" w14:textId="77777777" w:rsidR="00A70444" w:rsidRPr="007E2DBA" w:rsidRDefault="00A70444" w:rsidP="00B569A7">
      <w:pPr>
        <w:pStyle w:val="Heading1"/>
        <w:keepNext/>
        <w:keepLines/>
        <w:numPr>
          <w:ilvl w:val="0"/>
          <w:numId w:val="0"/>
        </w:numPr>
        <w:spacing w:after="0"/>
        <w:rPr>
          <w:b/>
          <w:lang w:val="es-ES"/>
        </w:rPr>
      </w:pPr>
      <w:r w:rsidRPr="007A72ED">
        <w:rPr>
          <w:b/>
          <w:lang w:val="es-ES"/>
        </w:rPr>
        <w:t xml:space="preserve">Table 1. </w:t>
      </w:r>
      <w:r w:rsidR="007E2DBA" w:rsidRPr="007E2DBA">
        <w:rPr>
          <w:b/>
          <w:lang w:val="es-ES"/>
        </w:rPr>
        <w:t xml:space="preserve">Proyectos aprobados relacionados con </w:t>
      </w:r>
      <w:r w:rsidR="007E2DBA">
        <w:rPr>
          <w:b/>
          <w:lang w:val="es-ES"/>
        </w:rPr>
        <w:t>HFC e</w:t>
      </w:r>
      <w:r w:rsidRPr="007E2DBA">
        <w:rPr>
          <w:b/>
          <w:lang w:val="es-ES"/>
        </w:rPr>
        <w:t>n 2018</w:t>
      </w:r>
    </w:p>
    <w:tbl>
      <w:tblPr>
        <w:tblW w:w="9360" w:type="dxa"/>
        <w:tblInd w:w="-5" w:type="dxa"/>
        <w:tblLayout w:type="fixed"/>
        <w:tblLook w:val="04A0" w:firstRow="1" w:lastRow="0" w:firstColumn="1" w:lastColumn="0" w:noHBand="0" w:noVBand="1"/>
      </w:tblPr>
      <w:tblGrid>
        <w:gridCol w:w="1710"/>
        <w:gridCol w:w="1092"/>
        <w:gridCol w:w="1093"/>
        <w:gridCol w:w="1145"/>
        <w:gridCol w:w="1041"/>
        <w:gridCol w:w="1093"/>
        <w:gridCol w:w="1093"/>
        <w:gridCol w:w="1093"/>
      </w:tblGrid>
      <w:tr w:rsidR="00A70444" w:rsidRPr="00A051CF" w14:paraId="4103856D" w14:textId="77777777" w:rsidTr="00A01588">
        <w:trPr>
          <w:tblHeader/>
        </w:trPr>
        <w:tc>
          <w:tcPr>
            <w:tcW w:w="1710"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14:paraId="13B77659" w14:textId="77777777" w:rsidR="00A70444" w:rsidRPr="00A051CF" w:rsidRDefault="007E2DBA" w:rsidP="00B569A7">
            <w:pPr>
              <w:keepNext/>
              <w:keepLines/>
              <w:jc w:val="left"/>
              <w:rPr>
                <w:b/>
                <w:bCs/>
                <w:sz w:val="20"/>
                <w:szCs w:val="20"/>
                <w:lang w:val="en-CA" w:eastAsia="en-CA"/>
              </w:rPr>
            </w:pPr>
            <w:r>
              <w:rPr>
                <w:b/>
                <w:bCs/>
                <w:sz w:val="20"/>
                <w:szCs w:val="20"/>
                <w:lang w:val="en-CA" w:eastAsia="en-CA"/>
              </w:rPr>
              <w:t>Tipo</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0043F6DF" w14:textId="77777777" w:rsidR="00A70444" w:rsidRPr="00A051CF" w:rsidRDefault="007E2DBA" w:rsidP="00B569A7">
            <w:pPr>
              <w:keepNext/>
              <w:keepLines/>
              <w:jc w:val="center"/>
              <w:rPr>
                <w:b/>
                <w:bCs/>
                <w:sz w:val="20"/>
                <w:szCs w:val="20"/>
                <w:lang w:val="en-CA" w:eastAsia="en-CA"/>
              </w:rPr>
            </w:pPr>
            <w:r>
              <w:rPr>
                <w:b/>
                <w:bCs/>
                <w:sz w:val="20"/>
                <w:szCs w:val="20"/>
                <w:lang w:val="en-CA" w:eastAsia="en-CA"/>
              </w:rPr>
              <w:t>Número de proyectos</w:t>
            </w:r>
          </w:p>
        </w:tc>
        <w:tc>
          <w:tcPr>
            <w:tcW w:w="4320" w:type="dxa"/>
            <w:gridSpan w:val="4"/>
            <w:tcBorders>
              <w:top w:val="single" w:sz="4" w:space="0" w:color="auto"/>
              <w:left w:val="nil"/>
              <w:bottom w:val="single" w:sz="4" w:space="0" w:color="auto"/>
              <w:right w:val="single" w:sz="4" w:space="0" w:color="auto"/>
            </w:tcBorders>
            <w:shd w:val="clear" w:color="auto" w:fill="auto"/>
            <w:noWrap/>
            <w:hideMark/>
          </w:tcPr>
          <w:p w14:paraId="4A6287E0" w14:textId="77777777" w:rsidR="00A70444" w:rsidRPr="00A051CF" w:rsidRDefault="007E2DBA" w:rsidP="00B569A7">
            <w:pPr>
              <w:keepNext/>
              <w:keepLines/>
              <w:jc w:val="center"/>
              <w:rPr>
                <w:b/>
                <w:bCs/>
                <w:sz w:val="20"/>
                <w:szCs w:val="20"/>
                <w:lang w:val="en-CA" w:eastAsia="en-CA"/>
              </w:rPr>
            </w:pPr>
            <w:r>
              <w:rPr>
                <w:b/>
                <w:bCs/>
                <w:sz w:val="20"/>
                <w:szCs w:val="20"/>
                <w:lang w:val="en-CA" w:eastAsia="en-CA"/>
              </w:rPr>
              <w:t>Financiación</w:t>
            </w:r>
            <w:r w:rsidR="00A70444" w:rsidRPr="00A051CF">
              <w:rPr>
                <w:b/>
                <w:bCs/>
                <w:sz w:val="20"/>
                <w:szCs w:val="20"/>
                <w:lang w:val="en-CA" w:eastAsia="en-CA"/>
              </w:rPr>
              <w:t xml:space="preserve"> </w:t>
            </w:r>
            <w:r>
              <w:rPr>
                <w:b/>
                <w:bCs/>
                <w:sz w:val="20"/>
                <w:szCs w:val="20"/>
                <w:lang w:val="en-CA" w:eastAsia="en-CA"/>
              </w:rPr>
              <w:t>(</w:t>
            </w:r>
            <w:r w:rsidR="00A70444" w:rsidRPr="00A051CF">
              <w:rPr>
                <w:b/>
                <w:bCs/>
                <w:sz w:val="20"/>
                <w:szCs w:val="20"/>
                <w:lang w:val="en-CA" w:eastAsia="en-CA"/>
              </w:rPr>
              <w:t>$</w:t>
            </w:r>
            <w:r>
              <w:rPr>
                <w:b/>
                <w:bCs/>
                <w:sz w:val="20"/>
                <w:szCs w:val="20"/>
                <w:lang w:val="en-CA" w:eastAsia="en-CA"/>
              </w:rPr>
              <w:t>EUA</w:t>
            </w:r>
            <w:r w:rsidR="00A70444" w:rsidRPr="00A051CF">
              <w:rPr>
                <w:b/>
                <w:bCs/>
                <w:sz w:val="20"/>
                <w:szCs w:val="20"/>
                <w:lang w:val="en-CA" w:eastAsia="en-CA"/>
              </w:rPr>
              <w:t>)*</w:t>
            </w:r>
          </w:p>
        </w:tc>
      </w:tr>
      <w:tr w:rsidR="00A70444" w:rsidRPr="00A051CF" w14:paraId="2C971319" w14:textId="77777777" w:rsidTr="000B114B">
        <w:tc>
          <w:tcPr>
            <w:tcW w:w="1710" w:type="dxa"/>
            <w:vMerge/>
            <w:tcBorders>
              <w:left w:val="single" w:sz="4" w:space="0" w:color="auto"/>
              <w:bottom w:val="single" w:sz="4" w:space="0" w:color="auto"/>
              <w:right w:val="single" w:sz="4" w:space="0" w:color="auto"/>
            </w:tcBorders>
            <w:tcMar>
              <w:left w:w="29" w:type="dxa"/>
              <w:right w:w="0" w:type="dxa"/>
            </w:tcMar>
            <w:hideMark/>
          </w:tcPr>
          <w:p w14:paraId="3F2281C9" w14:textId="77777777" w:rsidR="00A70444" w:rsidRPr="00A051CF" w:rsidRDefault="00A70444" w:rsidP="00B569A7">
            <w:pPr>
              <w:keepNext/>
              <w:keepLines/>
              <w:jc w:val="left"/>
              <w:rPr>
                <w:b/>
                <w:bCs/>
                <w:sz w:val="20"/>
                <w:szCs w:val="20"/>
                <w:lang w:val="en-CA" w:eastAsia="en-CA"/>
              </w:rPr>
            </w:pPr>
          </w:p>
        </w:tc>
        <w:tc>
          <w:tcPr>
            <w:tcW w:w="1092"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9D9D808"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Aprobado</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54186D8"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Terminado</w:t>
            </w:r>
          </w:p>
        </w:tc>
        <w:tc>
          <w:tcPr>
            <w:tcW w:w="114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DEE170"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Porcentaje terminado</w:t>
            </w:r>
          </w:p>
        </w:tc>
        <w:tc>
          <w:tcPr>
            <w:tcW w:w="1041"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A7B5EC7" w14:textId="77777777" w:rsidR="00A70444" w:rsidRPr="00A051CF" w:rsidRDefault="007E2DBA" w:rsidP="00B569A7">
            <w:pPr>
              <w:keepNext/>
              <w:keepLines/>
              <w:jc w:val="left"/>
              <w:rPr>
                <w:b/>
                <w:bCs/>
                <w:sz w:val="20"/>
                <w:szCs w:val="20"/>
                <w:lang w:val="en-CA" w:eastAsia="en-CA"/>
              </w:rPr>
            </w:pPr>
            <w:r>
              <w:rPr>
                <w:b/>
                <w:bCs/>
                <w:sz w:val="20"/>
                <w:szCs w:val="20"/>
                <w:lang w:val="en-US" w:eastAsia="en-CA"/>
              </w:rPr>
              <w:t>Aprobado</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9EFD101"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Desembolsado</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03215F8"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Saldo</w:t>
            </w:r>
          </w:p>
        </w:tc>
        <w:tc>
          <w:tcPr>
            <w:tcW w:w="10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816F49" w14:textId="77777777" w:rsidR="00A70444" w:rsidRPr="00A051CF" w:rsidRDefault="007E2DBA" w:rsidP="00B569A7">
            <w:pPr>
              <w:keepNext/>
              <w:keepLines/>
              <w:jc w:val="center"/>
              <w:rPr>
                <w:b/>
                <w:bCs/>
                <w:sz w:val="20"/>
                <w:szCs w:val="20"/>
                <w:lang w:val="en-CA" w:eastAsia="en-CA"/>
              </w:rPr>
            </w:pPr>
            <w:r>
              <w:rPr>
                <w:b/>
                <w:bCs/>
                <w:sz w:val="20"/>
                <w:szCs w:val="20"/>
                <w:lang w:val="en-US" w:eastAsia="en-CA"/>
              </w:rPr>
              <w:t>Porcentaje desembolsado</w:t>
            </w:r>
          </w:p>
        </w:tc>
      </w:tr>
      <w:tr w:rsidR="00A70444" w:rsidRPr="00A051CF" w14:paraId="065636A7" w14:textId="77777777" w:rsidTr="000B114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C46433" w14:textId="77777777" w:rsidR="00A70444" w:rsidRPr="00A051CF" w:rsidRDefault="007E2DBA" w:rsidP="00B569A7">
            <w:pPr>
              <w:keepNext/>
              <w:keepLines/>
              <w:jc w:val="left"/>
              <w:rPr>
                <w:sz w:val="20"/>
                <w:szCs w:val="20"/>
                <w:lang w:val="en-CA" w:eastAsia="en-CA"/>
              </w:rPr>
            </w:pPr>
            <w:r>
              <w:rPr>
                <w:sz w:val="20"/>
                <w:szCs w:val="20"/>
                <w:lang w:val="en-CA" w:eastAsia="en-CA"/>
              </w:rPr>
              <w:t>Inversión</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1B44C242"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7DD2DA0"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3B2C3030"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29416BD8" w14:textId="77777777" w:rsidR="00A70444" w:rsidRPr="00A051CF" w:rsidRDefault="007E2DBA" w:rsidP="00B569A7">
            <w:pPr>
              <w:keepNext/>
              <w:keepLines/>
              <w:jc w:val="right"/>
              <w:rPr>
                <w:sz w:val="20"/>
                <w:szCs w:val="20"/>
                <w:lang w:val="en-CA" w:eastAsia="en-CA"/>
              </w:rPr>
            </w:pPr>
            <w:r>
              <w:rPr>
                <w:sz w:val="20"/>
                <w:szCs w:val="20"/>
                <w:lang w:val="en-CA" w:eastAsia="en-CA"/>
              </w:rPr>
              <w:t>183 </w:t>
            </w:r>
            <w:r w:rsidR="00A70444" w:rsidRPr="00A051CF">
              <w:rPr>
                <w:sz w:val="20"/>
                <w:szCs w:val="20"/>
                <w:lang w:val="en-CA" w:eastAsia="en-CA"/>
              </w:rPr>
              <w:t>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4DD2FF1B"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2918D25" w14:textId="77777777" w:rsidR="00A70444" w:rsidRPr="00A051CF" w:rsidRDefault="007E2DBA" w:rsidP="00B569A7">
            <w:pPr>
              <w:keepNext/>
              <w:keepLines/>
              <w:jc w:val="right"/>
              <w:rPr>
                <w:sz w:val="20"/>
                <w:szCs w:val="20"/>
                <w:lang w:val="en-CA" w:eastAsia="en-CA"/>
              </w:rPr>
            </w:pPr>
            <w:r>
              <w:rPr>
                <w:sz w:val="20"/>
                <w:szCs w:val="20"/>
                <w:lang w:val="en-CA" w:eastAsia="en-CA"/>
              </w:rPr>
              <w:t>183 </w:t>
            </w:r>
            <w:r w:rsidR="00A70444" w:rsidRPr="00A051CF">
              <w:rPr>
                <w:sz w:val="20"/>
                <w:szCs w:val="20"/>
                <w:lang w:val="en-CA" w:eastAsia="en-CA"/>
              </w:rPr>
              <w:t>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14E09238"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r>
      <w:tr w:rsidR="00A70444" w:rsidRPr="00A051CF" w14:paraId="05DCBA9A" w14:textId="77777777" w:rsidTr="000B114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7B6302" w14:textId="77777777" w:rsidR="00A70444" w:rsidRPr="00A051CF" w:rsidRDefault="007E2DBA" w:rsidP="00B569A7">
            <w:pPr>
              <w:keepNext/>
              <w:keepLines/>
              <w:jc w:val="left"/>
              <w:rPr>
                <w:sz w:val="20"/>
                <w:szCs w:val="20"/>
                <w:lang w:val="en-CA" w:eastAsia="en-CA"/>
              </w:rPr>
            </w:pPr>
            <w:r>
              <w:rPr>
                <w:sz w:val="20"/>
                <w:szCs w:val="20"/>
                <w:lang w:val="en-CA" w:eastAsia="en-CA"/>
              </w:rPr>
              <w:t>Preparación de proyectos</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7C92225C"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0D3D0D13"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7A2B49DF"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100</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69BDE426" w14:textId="77777777" w:rsidR="00A70444" w:rsidRPr="00A051CF" w:rsidRDefault="007E2DBA" w:rsidP="00B569A7">
            <w:pPr>
              <w:keepNext/>
              <w:keepLines/>
              <w:jc w:val="right"/>
              <w:rPr>
                <w:sz w:val="20"/>
                <w:szCs w:val="20"/>
                <w:lang w:val="en-CA" w:eastAsia="en-CA"/>
              </w:rPr>
            </w:pPr>
            <w:r>
              <w:rPr>
                <w:sz w:val="20"/>
                <w:szCs w:val="20"/>
                <w:lang w:val="en-CA" w:eastAsia="en-CA"/>
              </w:rPr>
              <w:t>30 </w:t>
            </w:r>
            <w:r w:rsidR="00A70444" w:rsidRPr="00A051CF">
              <w:rPr>
                <w:sz w:val="20"/>
                <w:szCs w:val="20"/>
                <w:lang w:val="en-CA" w:eastAsia="en-CA"/>
              </w:rPr>
              <w:t>000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4E674A0" w14:textId="77777777" w:rsidR="00A70444" w:rsidRPr="00A051CF" w:rsidRDefault="007E2DBA" w:rsidP="00B569A7">
            <w:pPr>
              <w:keepNext/>
              <w:keepLines/>
              <w:jc w:val="right"/>
              <w:rPr>
                <w:sz w:val="20"/>
                <w:szCs w:val="20"/>
                <w:lang w:val="en-CA" w:eastAsia="en-CA"/>
              </w:rPr>
            </w:pPr>
            <w:r>
              <w:rPr>
                <w:sz w:val="20"/>
                <w:szCs w:val="20"/>
                <w:lang w:val="en-CA" w:eastAsia="en-CA"/>
              </w:rPr>
              <w:t>30 </w:t>
            </w:r>
            <w:r w:rsidR="00A70444" w:rsidRPr="00A051CF">
              <w:rPr>
                <w:sz w:val="20"/>
                <w:szCs w:val="20"/>
                <w:lang w:val="en-CA" w:eastAsia="en-CA"/>
              </w:rPr>
              <w:t>000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0814EA68"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257147D0"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100</w:t>
            </w:r>
          </w:p>
        </w:tc>
      </w:tr>
      <w:tr w:rsidR="00A70444" w:rsidRPr="00A051CF" w14:paraId="0AAA50F0" w14:textId="77777777" w:rsidTr="000B114B">
        <w:tc>
          <w:tcPr>
            <w:tcW w:w="171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FEF56B8" w14:textId="77777777" w:rsidR="00A70444" w:rsidRPr="007A72ED" w:rsidRDefault="007E2DBA" w:rsidP="00B569A7">
            <w:pPr>
              <w:keepNext/>
              <w:keepLines/>
              <w:jc w:val="left"/>
              <w:rPr>
                <w:sz w:val="20"/>
                <w:szCs w:val="20"/>
                <w:lang w:val="es-ES" w:eastAsia="en-CA"/>
              </w:rPr>
            </w:pPr>
            <w:r w:rsidRPr="007A72ED">
              <w:rPr>
                <w:sz w:val="20"/>
                <w:szCs w:val="20"/>
                <w:lang w:val="es-ES" w:eastAsia="en-CA"/>
              </w:rPr>
              <w:t>Asistencia técnica</w:t>
            </w:r>
            <w:r w:rsidR="00A70444" w:rsidRPr="007A72ED">
              <w:rPr>
                <w:sz w:val="20"/>
                <w:szCs w:val="20"/>
                <w:lang w:val="es-ES" w:eastAsia="en-CA"/>
              </w:rPr>
              <w:t xml:space="preserve"> </w:t>
            </w:r>
            <w:r w:rsidRPr="007A72ED">
              <w:rPr>
                <w:sz w:val="20"/>
                <w:szCs w:val="20"/>
                <w:lang w:val="es-ES" w:eastAsia="en-CA"/>
              </w:rPr>
              <w:t>–</w:t>
            </w:r>
            <w:r w:rsidR="00A70444" w:rsidRPr="007A72ED">
              <w:rPr>
                <w:sz w:val="20"/>
                <w:szCs w:val="20"/>
                <w:lang w:val="es-ES" w:eastAsia="en-CA"/>
              </w:rPr>
              <w:t xml:space="preserve"> </w:t>
            </w:r>
            <w:r w:rsidRPr="007A72ED">
              <w:rPr>
                <w:sz w:val="20"/>
                <w:szCs w:val="20"/>
                <w:lang w:val="es-ES" w:eastAsia="en-CA"/>
              </w:rPr>
              <w:t>Actividades de apoyo</w:t>
            </w:r>
          </w:p>
        </w:tc>
        <w:tc>
          <w:tcPr>
            <w:tcW w:w="1092" w:type="dxa"/>
            <w:tcBorders>
              <w:top w:val="nil"/>
              <w:left w:val="nil"/>
              <w:bottom w:val="single" w:sz="4" w:space="0" w:color="auto"/>
              <w:right w:val="single" w:sz="4" w:space="0" w:color="auto"/>
            </w:tcBorders>
            <w:shd w:val="clear" w:color="auto" w:fill="auto"/>
            <w:tcMar>
              <w:left w:w="0" w:type="dxa"/>
              <w:right w:w="144" w:type="dxa"/>
            </w:tcMar>
            <w:hideMark/>
          </w:tcPr>
          <w:p w14:paraId="1BDEDA91"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4</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4F739AC2"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2104D327"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0</w:t>
            </w:r>
          </w:p>
        </w:tc>
        <w:tc>
          <w:tcPr>
            <w:tcW w:w="1041" w:type="dxa"/>
            <w:tcBorders>
              <w:top w:val="nil"/>
              <w:left w:val="nil"/>
              <w:bottom w:val="single" w:sz="4" w:space="0" w:color="auto"/>
              <w:right w:val="single" w:sz="4" w:space="0" w:color="auto"/>
            </w:tcBorders>
            <w:shd w:val="clear" w:color="auto" w:fill="auto"/>
            <w:tcMar>
              <w:left w:w="0" w:type="dxa"/>
              <w:right w:w="144" w:type="dxa"/>
            </w:tcMar>
            <w:hideMark/>
          </w:tcPr>
          <w:p w14:paraId="51254E5E" w14:textId="77777777" w:rsidR="00A70444" w:rsidRPr="00A051CF" w:rsidRDefault="00A14FD1" w:rsidP="00B569A7">
            <w:pPr>
              <w:keepNext/>
              <w:keepLines/>
              <w:jc w:val="right"/>
              <w:rPr>
                <w:sz w:val="20"/>
                <w:szCs w:val="20"/>
                <w:lang w:val="en-CA" w:eastAsia="en-CA"/>
              </w:rPr>
            </w:pPr>
            <w:r>
              <w:rPr>
                <w:sz w:val="20"/>
                <w:szCs w:val="20"/>
                <w:lang w:val="en-CA" w:eastAsia="en-CA"/>
              </w:rPr>
              <w:t>1 000 </w:t>
            </w:r>
            <w:r w:rsidR="00A70444" w:rsidRPr="00A051CF">
              <w:rPr>
                <w:sz w:val="20"/>
                <w:szCs w:val="20"/>
                <w:lang w:val="en-CA" w:eastAsia="en-CA"/>
              </w:rPr>
              <w:t>000</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1F3C45C4" w14:textId="77777777" w:rsidR="00A70444" w:rsidRPr="00A051CF" w:rsidRDefault="00A14FD1" w:rsidP="00B569A7">
            <w:pPr>
              <w:keepNext/>
              <w:keepLines/>
              <w:jc w:val="right"/>
              <w:rPr>
                <w:sz w:val="20"/>
                <w:szCs w:val="20"/>
                <w:lang w:val="en-CA" w:eastAsia="en-CA"/>
              </w:rPr>
            </w:pPr>
            <w:r>
              <w:rPr>
                <w:sz w:val="20"/>
                <w:szCs w:val="20"/>
                <w:lang w:val="en-CA" w:eastAsia="en-CA"/>
              </w:rPr>
              <w:t>113 </w:t>
            </w:r>
            <w:r w:rsidR="00A70444" w:rsidRPr="00A051CF">
              <w:rPr>
                <w:sz w:val="20"/>
                <w:szCs w:val="20"/>
                <w:lang w:val="en-CA" w:eastAsia="en-CA"/>
              </w:rPr>
              <w:t>390</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664D2CF8" w14:textId="77777777" w:rsidR="00A70444" w:rsidRPr="00A051CF" w:rsidRDefault="00A14FD1" w:rsidP="00B569A7">
            <w:pPr>
              <w:keepNext/>
              <w:keepLines/>
              <w:jc w:val="right"/>
              <w:rPr>
                <w:sz w:val="20"/>
                <w:szCs w:val="20"/>
                <w:lang w:val="en-CA" w:eastAsia="en-CA"/>
              </w:rPr>
            </w:pPr>
            <w:r>
              <w:rPr>
                <w:sz w:val="20"/>
                <w:szCs w:val="20"/>
                <w:lang w:val="en-CA" w:eastAsia="en-CA"/>
              </w:rPr>
              <w:t>886 </w:t>
            </w:r>
            <w:r w:rsidR="00A70444" w:rsidRPr="00A051CF">
              <w:rPr>
                <w:sz w:val="20"/>
                <w:szCs w:val="20"/>
                <w:lang w:val="en-CA" w:eastAsia="en-CA"/>
              </w:rPr>
              <w:t>610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9C30BD9" w14:textId="77777777" w:rsidR="00A70444" w:rsidRPr="00A051CF" w:rsidRDefault="00A70444" w:rsidP="00B569A7">
            <w:pPr>
              <w:keepNext/>
              <w:keepLines/>
              <w:jc w:val="right"/>
              <w:rPr>
                <w:sz w:val="20"/>
                <w:szCs w:val="20"/>
                <w:lang w:val="en-CA" w:eastAsia="en-CA"/>
              </w:rPr>
            </w:pPr>
            <w:r w:rsidRPr="00A051CF">
              <w:rPr>
                <w:sz w:val="20"/>
                <w:szCs w:val="20"/>
                <w:lang w:val="en-CA" w:eastAsia="en-CA"/>
              </w:rPr>
              <w:t>11</w:t>
            </w:r>
          </w:p>
        </w:tc>
      </w:tr>
      <w:tr w:rsidR="00A70444" w:rsidRPr="00A051CF" w14:paraId="447B204C" w14:textId="77777777" w:rsidTr="000B114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EFB724" w14:textId="77777777" w:rsidR="00A70444" w:rsidRPr="00A051CF" w:rsidRDefault="00A70444" w:rsidP="00B569A7">
            <w:pPr>
              <w:keepNext/>
              <w:keepLines/>
              <w:jc w:val="left"/>
              <w:rPr>
                <w:b/>
                <w:bCs/>
                <w:sz w:val="20"/>
                <w:szCs w:val="20"/>
                <w:lang w:val="en-CA" w:eastAsia="en-CA"/>
              </w:rPr>
            </w:pPr>
            <w:r w:rsidRPr="00A051CF">
              <w:rPr>
                <w:b/>
                <w:bCs/>
                <w:sz w:val="20"/>
                <w:szCs w:val="20"/>
                <w:lang w:val="en-CA" w:eastAsia="en-CA"/>
              </w:rPr>
              <w:t>Total</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0151C383" w14:textId="77777777" w:rsidR="00A70444" w:rsidRPr="00A051CF" w:rsidRDefault="00A70444" w:rsidP="00B569A7">
            <w:pPr>
              <w:keepNext/>
              <w:keepLines/>
              <w:jc w:val="right"/>
              <w:rPr>
                <w:b/>
                <w:bCs/>
                <w:sz w:val="20"/>
                <w:szCs w:val="20"/>
                <w:lang w:val="en-CA" w:eastAsia="en-CA"/>
              </w:rPr>
            </w:pPr>
            <w:r w:rsidRPr="00A051CF">
              <w:rPr>
                <w:b/>
                <w:bCs/>
                <w:sz w:val="20"/>
                <w:szCs w:val="20"/>
                <w:lang w:val="en-CA" w:eastAsia="en-CA"/>
              </w:rPr>
              <w:t>6</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8C62D7D" w14:textId="77777777" w:rsidR="00A70444" w:rsidRPr="00A051CF" w:rsidRDefault="00A70444" w:rsidP="00B569A7">
            <w:pPr>
              <w:keepNext/>
              <w:keepLines/>
              <w:jc w:val="right"/>
              <w:rPr>
                <w:b/>
                <w:bCs/>
                <w:sz w:val="20"/>
                <w:szCs w:val="20"/>
                <w:lang w:val="en-CA" w:eastAsia="en-CA"/>
              </w:rPr>
            </w:pPr>
            <w:r w:rsidRPr="00A051CF">
              <w:rPr>
                <w:b/>
                <w:bCs/>
                <w:sz w:val="20"/>
                <w:szCs w:val="20"/>
                <w:lang w:val="en-CA" w:eastAsia="en-CA"/>
              </w:rPr>
              <w:t>1</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25CBF765" w14:textId="77777777" w:rsidR="00A70444" w:rsidRPr="00A051CF" w:rsidRDefault="00A70444" w:rsidP="00B569A7">
            <w:pPr>
              <w:keepNext/>
              <w:keepLines/>
              <w:jc w:val="right"/>
              <w:rPr>
                <w:b/>
                <w:sz w:val="20"/>
                <w:szCs w:val="20"/>
                <w:lang w:val="en-CA" w:eastAsia="en-CA"/>
              </w:rPr>
            </w:pPr>
            <w:r w:rsidRPr="00A051CF">
              <w:rPr>
                <w:b/>
                <w:sz w:val="20"/>
                <w:szCs w:val="20"/>
                <w:lang w:val="en-CA" w:eastAsia="en-CA"/>
              </w:rPr>
              <w:t>17</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1CDE9A9C" w14:textId="77777777" w:rsidR="00A70444" w:rsidRPr="00A051CF" w:rsidRDefault="00A14FD1" w:rsidP="00B569A7">
            <w:pPr>
              <w:keepNext/>
              <w:keepLines/>
              <w:jc w:val="right"/>
              <w:rPr>
                <w:b/>
                <w:bCs/>
                <w:sz w:val="20"/>
                <w:szCs w:val="20"/>
                <w:lang w:val="en-CA" w:eastAsia="en-CA"/>
              </w:rPr>
            </w:pPr>
            <w:r>
              <w:rPr>
                <w:b/>
                <w:bCs/>
                <w:sz w:val="20"/>
                <w:szCs w:val="20"/>
                <w:lang w:val="en-CA" w:eastAsia="en-CA"/>
              </w:rPr>
              <w:t>1 213 </w:t>
            </w:r>
            <w:r w:rsidR="00A70444" w:rsidRPr="00A051CF">
              <w:rPr>
                <w:b/>
                <w:bCs/>
                <w:sz w:val="20"/>
                <w:szCs w:val="20"/>
                <w:lang w:val="en-CA" w:eastAsia="en-CA"/>
              </w:rPr>
              <w:t>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22DE2000" w14:textId="77777777" w:rsidR="00A70444" w:rsidRPr="00A051CF" w:rsidRDefault="00A14FD1" w:rsidP="00B569A7">
            <w:pPr>
              <w:keepNext/>
              <w:keepLines/>
              <w:jc w:val="right"/>
              <w:rPr>
                <w:b/>
                <w:bCs/>
                <w:sz w:val="20"/>
                <w:szCs w:val="20"/>
                <w:lang w:val="en-CA" w:eastAsia="en-CA"/>
              </w:rPr>
            </w:pPr>
            <w:r>
              <w:rPr>
                <w:b/>
                <w:bCs/>
                <w:sz w:val="20"/>
                <w:szCs w:val="20"/>
                <w:lang w:val="en-CA" w:eastAsia="en-CA"/>
              </w:rPr>
              <w:t>143 </w:t>
            </w:r>
            <w:r w:rsidR="00A70444" w:rsidRPr="00A051CF">
              <w:rPr>
                <w:b/>
                <w:bCs/>
                <w:sz w:val="20"/>
                <w:szCs w:val="20"/>
                <w:lang w:val="en-CA" w:eastAsia="en-CA"/>
              </w:rPr>
              <w:t>390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E7E64DC" w14:textId="77777777" w:rsidR="00A70444" w:rsidRPr="00A051CF" w:rsidRDefault="00A14FD1" w:rsidP="00B569A7">
            <w:pPr>
              <w:keepNext/>
              <w:keepLines/>
              <w:jc w:val="right"/>
              <w:rPr>
                <w:b/>
                <w:bCs/>
                <w:sz w:val="20"/>
                <w:szCs w:val="20"/>
                <w:lang w:val="en-CA" w:eastAsia="en-CA"/>
              </w:rPr>
            </w:pPr>
            <w:r>
              <w:rPr>
                <w:b/>
                <w:bCs/>
                <w:sz w:val="20"/>
                <w:szCs w:val="20"/>
                <w:lang w:val="en-CA" w:eastAsia="en-CA"/>
              </w:rPr>
              <w:t>1 070 </w:t>
            </w:r>
            <w:r w:rsidR="00A70444" w:rsidRPr="00A051CF">
              <w:rPr>
                <w:b/>
                <w:bCs/>
                <w:sz w:val="20"/>
                <w:szCs w:val="20"/>
                <w:lang w:val="en-CA" w:eastAsia="en-CA"/>
              </w:rPr>
              <w:t>124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11F022FE" w14:textId="77777777" w:rsidR="00A70444" w:rsidRPr="00A051CF" w:rsidRDefault="00A70444" w:rsidP="00B569A7">
            <w:pPr>
              <w:keepNext/>
              <w:keepLines/>
              <w:jc w:val="right"/>
              <w:rPr>
                <w:b/>
                <w:sz w:val="20"/>
                <w:szCs w:val="20"/>
                <w:lang w:val="en-CA" w:eastAsia="en-CA"/>
              </w:rPr>
            </w:pPr>
            <w:r w:rsidRPr="00A051CF">
              <w:rPr>
                <w:b/>
                <w:sz w:val="20"/>
                <w:szCs w:val="20"/>
                <w:lang w:val="en-CA" w:eastAsia="en-CA"/>
              </w:rPr>
              <w:t>12</w:t>
            </w:r>
          </w:p>
        </w:tc>
      </w:tr>
    </w:tbl>
    <w:p w14:paraId="4292DC06" w14:textId="77777777" w:rsidR="00A70444" w:rsidRPr="00A14FD1" w:rsidRDefault="00A70444" w:rsidP="00B569A7">
      <w:pPr>
        <w:pStyle w:val="a--"/>
        <w:keepNext/>
        <w:keepLines/>
        <w:suppressAutoHyphens w:val="0"/>
        <w:jc w:val="left"/>
        <w:rPr>
          <w:b w:val="0"/>
          <w:sz w:val="20"/>
          <w:szCs w:val="20"/>
          <w:lang w:val="es-ES"/>
        </w:rPr>
      </w:pPr>
      <w:r w:rsidRPr="00A14FD1">
        <w:rPr>
          <w:b w:val="0"/>
          <w:sz w:val="20"/>
          <w:szCs w:val="20"/>
          <w:lang w:val="es-ES"/>
        </w:rPr>
        <w:t>*</w:t>
      </w:r>
      <w:r w:rsidR="00A14FD1" w:rsidRPr="00A14FD1">
        <w:rPr>
          <w:b w:val="0"/>
          <w:sz w:val="20"/>
          <w:szCs w:val="20"/>
          <w:lang w:val="es-ES"/>
        </w:rPr>
        <w:t>Excluye gastos de apoyo al organismo</w:t>
      </w:r>
      <w:r w:rsidRPr="00A14FD1">
        <w:rPr>
          <w:b w:val="0"/>
          <w:sz w:val="20"/>
          <w:szCs w:val="20"/>
          <w:lang w:val="es-ES"/>
        </w:rPr>
        <w:t>.</w:t>
      </w:r>
    </w:p>
    <w:p w14:paraId="170FB8E9" w14:textId="77777777" w:rsidR="00A70444" w:rsidRPr="00A14FD1" w:rsidRDefault="00A70444" w:rsidP="00A70444">
      <w:pPr>
        <w:pStyle w:val="a--"/>
        <w:suppressAutoHyphens w:val="0"/>
        <w:jc w:val="left"/>
        <w:rPr>
          <w:b w:val="0"/>
          <w:sz w:val="22"/>
          <w:szCs w:val="22"/>
          <w:lang w:val="es-ES"/>
        </w:rPr>
      </w:pPr>
    </w:p>
    <w:p w14:paraId="5135773E" w14:textId="13724B75" w:rsidR="00A70444" w:rsidRPr="0002437A" w:rsidRDefault="00A14FD1" w:rsidP="0002437A">
      <w:pPr>
        <w:pStyle w:val="Heading1"/>
        <w:rPr>
          <w:lang w:val="es-ES"/>
        </w:rPr>
      </w:pPr>
      <w:r w:rsidRPr="0002437A">
        <w:rPr>
          <w:lang w:val="es-ES"/>
        </w:rPr>
        <w:t xml:space="preserve">De los seis proyectos aprobados para fines de </w:t>
      </w:r>
      <w:r w:rsidR="00A70444" w:rsidRPr="0002437A">
        <w:rPr>
          <w:lang w:val="es-ES"/>
        </w:rPr>
        <w:t xml:space="preserve">2018, </w:t>
      </w:r>
      <w:r w:rsidR="0002437A" w:rsidRPr="0002437A">
        <w:rPr>
          <w:lang w:val="es-ES"/>
        </w:rPr>
        <w:t>se ha completad</w:t>
      </w:r>
      <w:r w:rsidR="0002437A">
        <w:rPr>
          <w:lang w:val="es-ES"/>
        </w:rPr>
        <w:t>o la preparación de un proyecto</w:t>
      </w:r>
      <w:r w:rsidR="00A70444" w:rsidRPr="0002437A">
        <w:rPr>
          <w:lang w:val="es-ES"/>
        </w:rPr>
        <w:t xml:space="preserve">. </w:t>
      </w:r>
      <w:r w:rsidR="0002437A" w:rsidRPr="0002437A">
        <w:rPr>
          <w:lang w:val="es-ES"/>
        </w:rPr>
        <w:t>El proyecto de inversión relacionado con la eliminación de 8,</w:t>
      </w:r>
      <w:r w:rsidR="00A70444" w:rsidRPr="0002437A">
        <w:rPr>
          <w:lang w:val="es-ES"/>
        </w:rPr>
        <w:t xml:space="preserve">8 </w:t>
      </w:r>
      <w:r w:rsidR="0002437A" w:rsidRPr="0002437A">
        <w:rPr>
          <w:lang w:val="es-ES"/>
        </w:rPr>
        <w:t>tm (</w:t>
      </w:r>
      <w:r w:rsidR="00F84EFD" w:rsidRPr="0002437A">
        <w:rPr>
          <w:lang w:val="es-ES"/>
        </w:rPr>
        <w:t>CO</w:t>
      </w:r>
      <w:r w:rsidR="00F84EFD" w:rsidRPr="0002437A">
        <w:rPr>
          <w:vertAlign w:val="subscript"/>
          <w:lang w:val="es-ES"/>
        </w:rPr>
        <w:t>2</w:t>
      </w:r>
      <w:r w:rsidR="00F84EFD">
        <w:rPr>
          <w:lang w:val="es-ES"/>
        </w:rPr>
        <w:t xml:space="preserve"> </w:t>
      </w:r>
      <w:r w:rsidR="00F84EFD" w:rsidRPr="0002437A">
        <w:rPr>
          <w:lang w:val="es-ES"/>
        </w:rPr>
        <w:t>eq</w:t>
      </w:r>
      <w:r w:rsidR="00F84EFD">
        <w:rPr>
          <w:lang w:val="es-ES"/>
        </w:rPr>
        <w:t>uivalente a</w:t>
      </w:r>
      <w:r w:rsidR="00F84EFD" w:rsidRPr="0002437A">
        <w:rPr>
          <w:lang w:val="es-ES"/>
        </w:rPr>
        <w:t xml:space="preserve"> </w:t>
      </w:r>
      <w:r w:rsidR="00F84EFD">
        <w:rPr>
          <w:lang w:val="es-ES"/>
        </w:rPr>
        <w:t xml:space="preserve">12 </w:t>
      </w:r>
      <w:r w:rsidR="00A70444" w:rsidRPr="0002437A">
        <w:rPr>
          <w:lang w:val="es-ES"/>
        </w:rPr>
        <w:t xml:space="preserve">555 </w:t>
      </w:r>
      <w:r w:rsidR="0002437A" w:rsidRPr="0002437A">
        <w:rPr>
          <w:lang w:val="es-ES"/>
        </w:rPr>
        <w:t>tm</w:t>
      </w:r>
      <w:r w:rsidR="00A70444" w:rsidRPr="0002437A">
        <w:rPr>
          <w:lang w:val="es-ES"/>
        </w:rPr>
        <w:t xml:space="preserve">.) </w:t>
      </w:r>
      <w:r w:rsidR="0002437A" w:rsidRPr="0002437A">
        <w:rPr>
          <w:lang w:val="es-ES"/>
        </w:rPr>
        <w:t>de HFC</w:t>
      </w:r>
      <w:r w:rsidR="00A70444" w:rsidRPr="0002437A">
        <w:rPr>
          <w:lang w:val="es-ES"/>
        </w:rPr>
        <w:t xml:space="preserve">, </w:t>
      </w:r>
      <w:r w:rsidR="0002437A" w:rsidRPr="0002437A">
        <w:rPr>
          <w:lang w:val="es-ES"/>
        </w:rPr>
        <w:t>se encuentra en una fase temprana de ejecución, sin que se hayan desembolsado fondos; sin embargo, el Banco Mundial confirmó que el proyecto se terminará a tiempo</w:t>
      </w:r>
      <w:r w:rsidR="0002437A">
        <w:rPr>
          <w:lang w:val="es-ES"/>
        </w:rPr>
        <w:t>.</w:t>
      </w:r>
      <w:r w:rsidR="00A70444" w:rsidRPr="0002437A">
        <w:rPr>
          <w:lang w:val="es-ES"/>
        </w:rPr>
        <w:t xml:space="preserve"> </w:t>
      </w:r>
      <w:r w:rsidR="0002437A" w:rsidRPr="0002437A">
        <w:rPr>
          <w:lang w:val="es-ES"/>
        </w:rPr>
        <w:t>Las actividades de apoyo se encuentran en diversas etapas de implementación</w:t>
      </w:r>
      <w:r w:rsidR="00A70444" w:rsidRPr="0002437A">
        <w:rPr>
          <w:lang w:val="es-ES"/>
        </w:rPr>
        <w:t xml:space="preserve">. </w:t>
      </w:r>
      <w:r w:rsidR="0002437A" w:rsidRPr="0002437A">
        <w:rPr>
          <w:lang w:val="es-ES"/>
        </w:rPr>
        <w:t>En el acumulado</w:t>
      </w:r>
      <w:r w:rsidR="00A70444" w:rsidRPr="0002437A">
        <w:rPr>
          <w:lang w:val="es-ES"/>
        </w:rPr>
        <w:t xml:space="preserve">, </w:t>
      </w:r>
      <w:r w:rsidR="00D33E0D">
        <w:rPr>
          <w:lang w:val="es-ES"/>
        </w:rPr>
        <w:t>se habían desembolsado 143 </w:t>
      </w:r>
      <w:r w:rsidR="00A70444" w:rsidRPr="0002437A">
        <w:rPr>
          <w:lang w:val="es-ES"/>
        </w:rPr>
        <w:t>390</w:t>
      </w:r>
      <w:r w:rsidR="00D33E0D">
        <w:rPr>
          <w:lang w:val="es-ES"/>
        </w:rPr>
        <w:t> </w:t>
      </w:r>
      <w:r w:rsidR="0002437A" w:rsidRPr="0002437A">
        <w:rPr>
          <w:lang w:val="es-ES"/>
        </w:rPr>
        <w:t>$EUA</w:t>
      </w:r>
      <w:r w:rsidR="00A70444" w:rsidRPr="0002437A">
        <w:rPr>
          <w:lang w:val="es-ES"/>
        </w:rPr>
        <w:t xml:space="preserve"> </w:t>
      </w:r>
      <w:r w:rsidR="0002437A" w:rsidRPr="0002437A">
        <w:rPr>
          <w:lang w:val="es-ES"/>
        </w:rPr>
        <w:t>del total de 1</w:t>
      </w:r>
      <w:r w:rsidR="00F84EFD">
        <w:rPr>
          <w:lang w:val="es-ES"/>
        </w:rPr>
        <w:t xml:space="preserve"> 213,</w:t>
      </w:r>
      <w:r w:rsidR="00A70444" w:rsidRPr="0002437A">
        <w:rPr>
          <w:lang w:val="es-ES"/>
        </w:rPr>
        <w:t xml:space="preserve">14 </w:t>
      </w:r>
      <w:r w:rsidR="0002437A" w:rsidRPr="0002437A">
        <w:rPr>
          <w:lang w:val="es-ES"/>
        </w:rPr>
        <w:t xml:space="preserve">$EUA </w:t>
      </w:r>
      <w:r w:rsidR="0002437A">
        <w:rPr>
          <w:lang w:val="es-ES"/>
        </w:rPr>
        <w:t>aprobados para desembolso</w:t>
      </w:r>
      <w:r w:rsidR="00A70444" w:rsidRPr="0002437A">
        <w:rPr>
          <w:lang w:val="es-ES"/>
        </w:rPr>
        <w:t xml:space="preserve"> (</w:t>
      </w:r>
      <w:r w:rsidR="0002437A">
        <w:rPr>
          <w:lang w:val="es-ES"/>
        </w:rPr>
        <w:t>excluyendo los gastos de apoyo</w:t>
      </w:r>
      <w:r w:rsidR="00A70444" w:rsidRPr="0002437A">
        <w:rPr>
          <w:lang w:val="es-ES"/>
        </w:rPr>
        <w:t xml:space="preserve">), </w:t>
      </w:r>
      <w:r w:rsidR="0002437A">
        <w:rPr>
          <w:lang w:val="es-ES"/>
        </w:rPr>
        <w:t>lo que representa</w:t>
      </w:r>
      <w:r w:rsidR="00A70444" w:rsidRPr="0002437A">
        <w:rPr>
          <w:lang w:val="es-ES"/>
        </w:rPr>
        <w:t xml:space="preserve"> </w:t>
      </w:r>
      <w:r w:rsidR="0002437A">
        <w:rPr>
          <w:lang w:val="es-ES"/>
        </w:rPr>
        <w:t xml:space="preserve">el </w:t>
      </w:r>
      <w:r w:rsidR="00A70444" w:rsidRPr="0002437A">
        <w:rPr>
          <w:lang w:val="es-ES"/>
        </w:rPr>
        <w:t>12</w:t>
      </w:r>
      <w:r w:rsidR="0002437A">
        <w:rPr>
          <w:lang w:val="es-ES"/>
        </w:rPr>
        <w:t>% del total</w:t>
      </w:r>
      <w:r w:rsidR="00A70444" w:rsidRPr="0002437A">
        <w:rPr>
          <w:lang w:val="es-ES"/>
        </w:rPr>
        <w:t>.</w:t>
      </w:r>
    </w:p>
    <w:p w14:paraId="0B2C72FF" w14:textId="77777777" w:rsidR="00A70444" w:rsidRPr="0002437A" w:rsidRDefault="00A70444" w:rsidP="00A70444">
      <w:pPr>
        <w:pStyle w:val="Heading1"/>
        <w:keepNext/>
        <w:numPr>
          <w:ilvl w:val="0"/>
          <w:numId w:val="0"/>
        </w:numPr>
        <w:jc w:val="left"/>
        <w:rPr>
          <w:b/>
          <w:lang w:val="es-ES"/>
        </w:rPr>
      </w:pPr>
      <w:r w:rsidRPr="0002437A">
        <w:rPr>
          <w:b/>
          <w:lang w:val="es-ES"/>
        </w:rPr>
        <w:t>Recom</w:t>
      </w:r>
      <w:r w:rsidR="0002437A" w:rsidRPr="0002437A">
        <w:rPr>
          <w:b/>
          <w:lang w:val="es-ES"/>
        </w:rPr>
        <w:t>endación</w:t>
      </w:r>
    </w:p>
    <w:p w14:paraId="736401CE" w14:textId="4C9D7737" w:rsidR="009B5387" w:rsidRPr="009B5387" w:rsidRDefault="0002437A" w:rsidP="009B5387">
      <w:pPr>
        <w:pStyle w:val="Heading1"/>
        <w:rPr>
          <w:lang w:val="es-ES"/>
        </w:rPr>
        <w:sectPr w:rsidR="009B5387" w:rsidRPr="009B5387" w:rsidSect="00976A97">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code="1"/>
          <w:pgMar w:top="720" w:right="1440" w:bottom="864" w:left="1440" w:header="720" w:footer="475" w:gutter="0"/>
          <w:pgNumType w:start="1"/>
          <w:cols w:space="720"/>
          <w:titlePg/>
        </w:sectPr>
      </w:pPr>
      <w:r w:rsidRPr="0002437A">
        <w:rPr>
          <w:lang w:val="es-ES"/>
        </w:rPr>
        <w:t xml:space="preserve">El Comité Ejecutivo </w:t>
      </w:r>
      <w:r>
        <w:rPr>
          <w:lang w:val="es-ES"/>
        </w:rPr>
        <w:t>podría considerar oportuno</w:t>
      </w:r>
      <w:r w:rsidRPr="0002437A">
        <w:rPr>
          <w:lang w:val="es-ES"/>
        </w:rPr>
        <w:t xml:space="preserve"> tomar nota del informe </w:t>
      </w:r>
      <w:r>
        <w:rPr>
          <w:lang w:val="es-ES"/>
        </w:rPr>
        <w:t xml:space="preserve">sobre la marcha de las actividades </w:t>
      </w:r>
      <w:r w:rsidRPr="0002437A">
        <w:rPr>
          <w:lang w:val="es-ES"/>
        </w:rPr>
        <w:t>del Banco Mundial al 31 de diciembre de 2018, que figura a continuación</w:t>
      </w:r>
      <w:r>
        <w:rPr>
          <w:lang w:val="es-ES"/>
        </w:rPr>
        <w:t>.</w:t>
      </w:r>
    </w:p>
    <w:p w14:paraId="52570397" w14:textId="3411BA51" w:rsidR="0087455A" w:rsidRPr="007A72ED" w:rsidRDefault="0024162E" w:rsidP="000C789F">
      <w:pPr>
        <w:jc w:val="center"/>
        <w:rPr>
          <w:b/>
          <w:bCs/>
          <w:lang w:val="es-ES"/>
        </w:rPr>
      </w:pPr>
      <w:r w:rsidRPr="007A72ED">
        <w:rPr>
          <w:b/>
          <w:bCs/>
          <w:lang w:val="es-ES"/>
        </w:rPr>
        <w:lastRenderedPageBreak/>
        <w:t>Anexo I</w:t>
      </w:r>
    </w:p>
    <w:p w14:paraId="5B8CACE3" w14:textId="77777777" w:rsidR="00A70444" w:rsidRPr="007A72ED" w:rsidRDefault="00A70444" w:rsidP="00A70444">
      <w:pPr>
        <w:rPr>
          <w:lang w:val="es-ES"/>
        </w:rPr>
      </w:pPr>
    </w:p>
    <w:p w14:paraId="3ED16518" w14:textId="77777777" w:rsidR="00A70444" w:rsidRPr="007A72ED" w:rsidRDefault="00957890" w:rsidP="00A70444">
      <w:pPr>
        <w:pStyle w:val="Title1"/>
        <w:rPr>
          <w:caps w:val="0"/>
          <w:lang w:val="es-ES"/>
        </w:rPr>
      </w:pPr>
      <w:r w:rsidRPr="007A72ED">
        <w:rPr>
          <w:caps w:val="0"/>
          <w:lang w:val="es-ES"/>
        </w:rPr>
        <w:t xml:space="preserve">ANÁLISIS DEL INFORME SOBRE LA MARCHA DE LAS ACTIVIDADES DEL BANCO MUNDIAL AL </w:t>
      </w:r>
    </w:p>
    <w:p w14:paraId="02202164" w14:textId="77777777" w:rsidR="00A70444" w:rsidRPr="00A051CF" w:rsidRDefault="00A70444" w:rsidP="00A70444">
      <w:pPr>
        <w:pStyle w:val="Title1"/>
        <w:rPr>
          <w:caps w:val="0"/>
          <w:lang w:val="en-CA"/>
        </w:rPr>
      </w:pPr>
      <w:r w:rsidRPr="00A051CF">
        <w:rPr>
          <w:caps w:val="0"/>
          <w:lang w:val="en-CA"/>
        </w:rPr>
        <w:t xml:space="preserve">31 </w:t>
      </w:r>
      <w:r w:rsidR="00957890">
        <w:rPr>
          <w:caps w:val="0"/>
          <w:lang w:val="en-CA"/>
        </w:rPr>
        <w:t>DE DICIEMBRE DE</w:t>
      </w:r>
      <w:r w:rsidRPr="00A051CF">
        <w:rPr>
          <w:caps w:val="0"/>
          <w:lang w:val="en-CA"/>
        </w:rPr>
        <w:t xml:space="preserve"> 2018</w:t>
      </w:r>
    </w:p>
    <w:p w14:paraId="25AD9A60" w14:textId="77777777" w:rsidR="00A70444" w:rsidRPr="00A051CF" w:rsidRDefault="00A70444" w:rsidP="00A70444">
      <w:pPr>
        <w:pStyle w:val="Title1"/>
        <w:rPr>
          <w:caps w:val="0"/>
          <w:lang w:val="en-CA"/>
        </w:rPr>
      </w:pPr>
    </w:p>
    <w:p w14:paraId="10080C54" w14:textId="77777777" w:rsidR="00A70444" w:rsidRPr="007D687D" w:rsidRDefault="007D687D" w:rsidP="00A70444">
      <w:pPr>
        <w:pStyle w:val="Heading1"/>
        <w:numPr>
          <w:ilvl w:val="0"/>
          <w:numId w:val="21"/>
        </w:numPr>
        <w:rPr>
          <w:lang w:val="es-ES"/>
        </w:rPr>
      </w:pPr>
      <w:r w:rsidRPr="007D687D">
        <w:rPr>
          <w:lang w:val="es-ES"/>
        </w:rPr>
        <w:t>El presente anexo consta de dos secciones que figuran a continuaci</w:t>
      </w:r>
      <w:r>
        <w:rPr>
          <w:lang w:val="es-ES"/>
        </w:rPr>
        <w:t>ón</w:t>
      </w:r>
      <w:r w:rsidR="00A70444" w:rsidRPr="007D687D">
        <w:rPr>
          <w:lang w:val="es-ES"/>
        </w:rPr>
        <w:t>:</w:t>
      </w:r>
    </w:p>
    <w:p w14:paraId="1FCDA685" w14:textId="77777777" w:rsidR="00A70444" w:rsidRPr="007D687D" w:rsidRDefault="00A70444" w:rsidP="00A70444">
      <w:pPr>
        <w:pStyle w:val="Heading2"/>
        <w:keepNext/>
        <w:widowControl/>
        <w:numPr>
          <w:ilvl w:val="0"/>
          <w:numId w:val="0"/>
        </w:numPr>
        <w:adjustRightInd w:val="0"/>
        <w:ind w:left="2160" w:hanging="1440"/>
        <w:textAlignment w:val="baseline"/>
        <w:rPr>
          <w:szCs w:val="28"/>
          <w:lang w:val="es-ES"/>
        </w:rPr>
      </w:pPr>
      <w:r w:rsidRPr="007D687D">
        <w:rPr>
          <w:szCs w:val="28"/>
          <w:lang w:val="es-ES"/>
        </w:rPr>
        <w:t>Part</w:t>
      </w:r>
      <w:r w:rsidR="007D687D" w:rsidRPr="007D687D">
        <w:rPr>
          <w:szCs w:val="28"/>
          <w:lang w:val="es-ES"/>
        </w:rPr>
        <w:t>e</w:t>
      </w:r>
      <w:r w:rsidRPr="007D687D">
        <w:rPr>
          <w:szCs w:val="28"/>
          <w:lang w:val="es-ES"/>
        </w:rPr>
        <w:t xml:space="preserve"> I:</w:t>
      </w:r>
      <w:r w:rsidRPr="007D687D">
        <w:rPr>
          <w:szCs w:val="28"/>
          <w:lang w:val="es-ES"/>
        </w:rPr>
        <w:tab/>
      </w:r>
      <w:r w:rsidR="007D687D" w:rsidRPr="007D687D">
        <w:rPr>
          <w:szCs w:val="28"/>
          <w:lang w:val="es-ES"/>
        </w:rPr>
        <w:t>Proyecto aprobado</w:t>
      </w:r>
      <w:r w:rsidR="007D687D">
        <w:rPr>
          <w:szCs w:val="28"/>
          <w:lang w:val="es-ES"/>
        </w:rPr>
        <w:t xml:space="preserve">s en el </w:t>
      </w:r>
      <w:r w:rsidR="007D687D" w:rsidRPr="007D687D">
        <w:rPr>
          <w:szCs w:val="28"/>
          <w:lang w:val="es-ES"/>
        </w:rPr>
        <w:t>marco de las contribuciones ordinarias al Fondo Multilateral</w:t>
      </w:r>
      <w:r w:rsidRPr="007D687D">
        <w:rPr>
          <w:lang w:val="es-ES"/>
        </w:rPr>
        <w:t>.</w:t>
      </w:r>
    </w:p>
    <w:p w14:paraId="2F79F20B" w14:textId="62E18263" w:rsidR="00A70444" w:rsidRPr="007D687D" w:rsidRDefault="00A70444" w:rsidP="00A70444">
      <w:pPr>
        <w:pStyle w:val="Heading2"/>
        <w:widowControl/>
        <w:numPr>
          <w:ilvl w:val="0"/>
          <w:numId w:val="0"/>
        </w:numPr>
        <w:adjustRightInd w:val="0"/>
        <w:ind w:left="2160" w:hanging="1440"/>
        <w:textAlignment w:val="baseline"/>
        <w:rPr>
          <w:szCs w:val="28"/>
          <w:lang w:val="es-ES"/>
        </w:rPr>
      </w:pPr>
      <w:r w:rsidRPr="007D687D">
        <w:rPr>
          <w:szCs w:val="28"/>
          <w:lang w:val="es-ES"/>
        </w:rPr>
        <w:t>Part</w:t>
      </w:r>
      <w:r w:rsidR="00A86723">
        <w:rPr>
          <w:szCs w:val="28"/>
          <w:lang w:val="es-ES"/>
        </w:rPr>
        <w:t>e</w:t>
      </w:r>
      <w:r w:rsidRPr="007D687D">
        <w:rPr>
          <w:szCs w:val="28"/>
          <w:lang w:val="es-ES"/>
        </w:rPr>
        <w:t xml:space="preserve"> II:</w:t>
      </w:r>
      <w:r w:rsidRPr="007D687D">
        <w:rPr>
          <w:szCs w:val="28"/>
          <w:lang w:val="es-ES"/>
        </w:rPr>
        <w:tab/>
      </w:r>
      <w:r w:rsidR="007D687D" w:rsidRPr="007D687D">
        <w:rPr>
          <w:szCs w:val="28"/>
          <w:lang w:val="es-ES"/>
        </w:rPr>
        <w:t>Proyectos aprobados en el marco de las contribucione</w:t>
      </w:r>
      <w:r w:rsidR="00080447">
        <w:rPr>
          <w:szCs w:val="28"/>
          <w:lang w:val="es-ES"/>
        </w:rPr>
        <w:t xml:space="preserve">s voluntarias adicionales para la ayuda a corto </w:t>
      </w:r>
      <w:r w:rsidR="00A86723">
        <w:rPr>
          <w:szCs w:val="28"/>
          <w:lang w:val="es-ES"/>
        </w:rPr>
        <w:t xml:space="preserve">plazo </w:t>
      </w:r>
      <w:r w:rsidR="00080447">
        <w:rPr>
          <w:szCs w:val="28"/>
          <w:lang w:val="es-ES"/>
        </w:rPr>
        <w:t>destinada a</w:t>
      </w:r>
      <w:r w:rsidR="007D687D">
        <w:rPr>
          <w:szCs w:val="28"/>
          <w:lang w:val="es-ES"/>
        </w:rPr>
        <w:t xml:space="preserve"> la reducción de HFC</w:t>
      </w:r>
      <w:r w:rsidRPr="007D687D">
        <w:rPr>
          <w:szCs w:val="28"/>
          <w:lang w:val="es-ES"/>
        </w:rPr>
        <w:t>.</w:t>
      </w:r>
    </w:p>
    <w:p w14:paraId="74474C89" w14:textId="2F237878" w:rsidR="00A70444" w:rsidRPr="00405319" w:rsidRDefault="00A70444" w:rsidP="00A70444">
      <w:pPr>
        <w:pStyle w:val="sub-title"/>
        <w:keepNext/>
        <w:keepLines/>
        <w:ind w:left="1418" w:hanging="1418"/>
        <w:rPr>
          <w:rFonts w:ascii="Times New Roman Bold" w:hAnsi="Times New Roman Bold"/>
          <w:caps/>
          <w:noProof w:val="0"/>
          <w:szCs w:val="28"/>
          <w:lang w:val="es-ES"/>
        </w:rPr>
      </w:pPr>
      <w:r w:rsidRPr="00405319">
        <w:rPr>
          <w:rFonts w:ascii="Times New Roman Bold" w:hAnsi="Times New Roman Bold"/>
          <w:caps/>
          <w:noProof w:val="0"/>
          <w:szCs w:val="28"/>
          <w:lang w:val="es-ES"/>
        </w:rPr>
        <w:t xml:space="preserve">Part I: </w:t>
      </w:r>
      <w:r w:rsidRPr="00405319">
        <w:rPr>
          <w:rFonts w:ascii="Times New Roman Bold" w:hAnsi="Times New Roman Bold"/>
          <w:caps/>
          <w:noProof w:val="0"/>
          <w:szCs w:val="28"/>
          <w:lang w:val="es-ES"/>
        </w:rPr>
        <w:tab/>
      </w:r>
      <w:r w:rsidR="00543286">
        <w:rPr>
          <w:rFonts w:ascii="Times New Roman Bold" w:hAnsi="Times New Roman Bold"/>
          <w:caps/>
          <w:noProof w:val="0"/>
          <w:szCs w:val="28"/>
          <w:lang w:val="es-ES"/>
        </w:rPr>
        <w:t>PROYECTOS APROba</w:t>
      </w:r>
      <w:r w:rsidR="00405319" w:rsidRPr="00405319">
        <w:rPr>
          <w:rFonts w:ascii="Times New Roman Bold" w:hAnsi="Times New Roman Bold"/>
          <w:caps/>
          <w:noProof w:val="0"/>
          <w:szCs w:val="28"/>
          <w:lang w:val="es-ES"/>
        </w:rPr>
        <w:t>DOS EN EL MARCO DE LAS CONTRIBUCIONES ORDINARIAS AL FONDO MULTILATERAL</w:t>
      </w:r>
    </w:p>
    <w:p w14:paraId="6E501AFA" w14:textId="77777777" w:rsidR="00A70444" w:rsidRPr="00405319" w:rsidRDefault="00A70444" w:rsidP="00A70444">
      <w:pPr>
        <w:pStyle w:val="Title1"/>
        <w:jc w:val="both"/>
        <w:rPr>
          <w:caps w:val="0"/>
          <w:lang w:val="es-ES"/>
        </w:rPr>
      </w:pPr>
    </w:p>
    <w:p w14:paraId="1227E8BA" w14:textId="2B9A153A" w:rsidR="00A70444" w:rsidRPr="00727E76" w:rsidRDefault="00727E76" w:rsidP="00727E76">
      <w:pPr>
        <w:pStyle w:val="Heading1"/>
        <w:keepNext/>
        <w:numPr>
          <w:ilvl w:val="0"/>
          <w:numId w:val="21"/>
        </w:numPr>
        <w:rPr>
          <w:lang w:val="es-ES"/>
        </w:rPr>
      </w:pPr>
      <w:r w:rsidRPr="00727E76">
        <w:rPr>
          <w:lang w:val="es-ES"/>
        </w:rPr>
        <w:t>Al 31 de diciembre de 2018, el Comit</w:t>
      </w:r>
      <w:r w:rsidR="007F4E8A">
        <w:rPr>
          <w:lang w:val="es-ES"/>
        </w:rPr>
        <w:t xml:space="preserve">é Ejecutivo había aprobado </w:t>
      </w:r>
      <w:r w:rsidR="00543286">
        <w:rPr>
          <w:lang w:val="es-ES"/>
        </w:rPr>
        <w:t xml:space="preserve">1 </w:t>
      </w:r>
      <w:r>
        <w:rPr>
          <w:lang w:val="es-ES"/>
        </w:rPr>
        <w:t xml:space="preserve">28 millones de </w:t>
      </w:r>
      <w:r w:rsidRPr="0002437A">
        <w:rPr>
          <w:lang w:val="es-ES"/>
        </w:rPr>
        <w:t>$EUA</w:t>
      </w:r>
      <w:r w:rsidR="00543286">
        <w:rPr>
          <w:lang w:val="es-ES"/>
        </w:rPr>
        <w:t xml:space="preserve">, distribuidos en 1 </w:t>
      </w:r>
      <w:r>
        <w:rPr>
          <w:lang w:val="es-ES"/>
        </w:rPr>
        <w:t xml:space="preserve">16 millones de </w:t>
      </w:r>
      <w:r w:rsidRPr="0002437A">
        <w:rPr>
          <w:lang w:val="es-ES"/>
        </w:rPr>
        <w:t>$EUA</w:t>
      </w:r>
      <w:r>
        <w:rPr>
          <w:lang w:val="es-ES"/>
        </w:rPr>
        <w:t xml:space="preserve"> para la ejecución de proyec</w:t>
      </w:r>
      <w:r w:rsidR="00D33E0D">
        <w:rPr>
          <w:lang w:val="es-ES"/>
        </w:rPr>
        <w:t>tos con y sin inversión y 117,2 </w:t>
      </w:r>
      <w:r>
        <w:rPr>
          <w:lang w:val="es-ES"/>
        </w:rPr>
        <w:t xml:space="preserve">millones de </w:t>
      </w:r>
      <w:r w:rsidRPr="0002437A">
        <w:rPr>
          <w:lang w:val="es-ES"/>
        </w:rPr>
        <w:t>$EUA</w:t>
      </w:r>
      <w:r>
        <w:rPr>
          <w:lang w:val="es-ES"/>
        </w:rPr>
        <w:t xml:space="preserve"> para gastos de apoyo al organismo, según se expone en el Cuadro 1. En 2018 se aprobaron siete nuevos proyectos y actividades. Con este nivel de financiamiento se espe</w:t>
      </w:r>
      <w:r w:rsidR="00A86723">
        <w:rPr>
          <w:lang w:val="es-ES"/>
        </w:rPr>
        <w:t xml:space="preserve">ra lograr la eliminación de 304 </w:t>
      </w:r>
      <w:r>
        <w:rPr>
          <w:lang w:val="es-ES"/>
        </w:rPr>
        <w:t>5</w:t>
      </w:r>
      <w:r w:rsidR="005561EA">
        <w:rPr>
          <w:lang w:val="es-ES"/>
        </w:rPr>
        <w:t>78</w:t>
      </w:r>
      <w:r>
        <w:rPr>
          <w:lang w:val="es-ES"/>
        </w:rPr>
        <w:t xml:space="preserve"> toneladas PAO de consumo y producción de sustancias controladas</w:t>
      </w:r>
      <w:r w:rsidR="00A70444" w:rsidRPr="00727E76">
        <w:rPr>
          <w:lang w:val="es-ES"/>
        </w:rPr>
        <w:t xml:space="preserve">. </w:t>
      </w:r>
    </w:p>
    <w:p w14:paraId="2017DD72" w14:textId="77777777" w:rsidR="00A70444" w:rsidRPr="00727E76" w:rsidRDefault="00727E76" w:rsidP="00A70444">
      <w:pPr>
        <w:pStyle w:val="Heading1"/>
        <w:keepNext/>
        <w:numPr>
          <w:ilvl w:val="0"/>
          <w:numId w:val="0"/>
        </w:numPr>
        <w:suppressAutoHyphens/>
        <w:spacing w:after="0"/>
        <w:jc w:val="left"/>
        <w:rPr>
          <w:b/>
          <w:lang w:val="es-ES"/>
        </w:rPr>
      </w:pPr>
      <w:r w:rsidRPr="00727E76">
        <w:rPr>
          <w:b/>
          <w:spacing w:val="-3"/>
          <w:lang w:val="es-ES"/>
        </w:rPr>
        <w:t>Cuadro</w:t>
      </w:r>
      <w:r w:rsidR="00A70444" w:rsidRPr="00727E76">
        <w:rPr>
          <w:b/>
          <w:spacing w:val="-3"/>
          <w:lang w:val="es-ES"/>
        </w:rPr>
        <w:t xml:space="preserve"> 1: </w:t>
      </w:r>
      <w:r w:rsidRPr="00727E76">
        <w:rPr>
          <w:b/>
          <w:spacing w:val="-3"/>
          <w:lang w:val="es-ES"/>
        </w:rPr>
        <w:t xml:space="preserve">Financiamiento aprobado por sector para el Banco Mundial al </w:t>
      </w:r>
      <w:r w:rsidR="00A70444" w:rsidRPr="00727E76">
        <w:rPr>
          <w:b/>
          <w:spacing w:val="-3"/>
          <w:lang w:val="es-ES"/>
        </w:rPr>
        <w:t xml:space="preserve">31 </w:t>
      </w:r>
      <w:r>
        <w:rPr>
          <w:b/>
          <w:spacing w:val="-3"/>
          <w:lang w:val="es-ES"/>
        </w:rPr>
        <w:t>de diciembre de</w:t>
      </w:r>
      <w:r w:rsidR="00A70444" w:rsidRPr="00727E76">
        <w:rPr>
          <w:b/>
          <w:spacing w:val="-3"/>
          <w:lang w:val="es-ES"/>
        </w:rPr>
        <w:t xml:space="preserve"> </w:t>
      </w:r>
      <w:r w:rsidR="00A70444" w:rsidRPr="00727E76">
        <w:rPr>
          <w:b/>
          <w:lang w:val="es-ES"/>
        </w:rPr>
        <w:t>2018</w:t>
      </w:r>
    </w:p>
    <w:tbl>
      <w:tblPr>
        <w:tblW w:w="9356" w:type="dxa"/>
        <w:tblInd w:w="-5" w:type="dxa"/>
        <w:tblLook w:val="04A0" w:firstRow="1" w:lastRow="0" w:firstColumn="1" w:lastColumn="0" w:noHBand="0" w:noVBand="1"/>
      </w:tblPr>
      <w:tblGrid>
        <w:gridCol w:w="4820"/>
        <w:gridCol w:w="4536"/>
      </w:tblGrid>
      <w:tr w:rsidR="00A70444" w:rsidRPr="00A051CF" w14:paraId="1E33E953" w14:textId="77777777" w:rsidTr="000B114B">
        <w:trPr>
          <w:trHeight w:val="5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28E4" w14:textId="77777777" w:rsidR="00A70444" w:rsidRPr="00A051CF" w:rsidRDefault="00A70444" w:rsidP="000B114B">
            <w:pPr>
              <w:jc w:val="left"/>
              <w:rPr>
                <w:b/>
                <w:bCs/>
                <w:sz w:val="21"/>
                <w:szCs w:val="21"/>
                <w:lang w:val="en-CA" w:eastAsia="en-CA"/>
              </w:rPr>
            </w:pPr>
            <w:r w:rsidRPr="00A051CF">
              <w:rPr>
                <w:b/>
                <w:bCs/>
                <w:sz w:val="21"/>
                <w:szCs w:val="21"/>
                <w:lang w:val="en-CA" w:eastAsia="en-CA"/>
              </w:rPr>
              <w:t>Sector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808A1CD" w14:textId="77777777" w:rsidR="00A70444" w:rsidRPr="00A051CF" w:rsidRDefault="00727E76" w:rsidP="000B114B">
            <w:pPr>
              <w:jc w:val="center"/>
              <w:rPr>
                <w:b/>
                <w:bCs/>
                <w:sz w:val="21"/>
                <w:szCs w:val="21"/>
                <w:lang w:val="en-CA" w:eastAsia="en-CA"/>
              </w:rPr>
            </w:pPr>
            <w:r>
              <w:rPr>
                <w:b/>
                <w:bCs/>
                <w:sz w:val="21"/>
                <w:szCs w:val="21"/>
                <w:lang w:eastAsia="en-CA"/>
              </w:rPr>
              <w:t>Financiamiento</w:t>
            </w:r>
            <w:r w:rsidR="00A70444" w:rsidRPr="00A051CF">
              <w:rPr>
                <w:b/>
                <w:bCs/>
                <w:sz w:val="21"/>
                <w:szCs w:val="21"/>
                <w:lang w:eastAsia="en-CA"/>
              </w:rPr>
              <w:t xml:space="preserve"> </w:t>
            </w:r>
            <w:r w:rsidR="00582230" w:rsidRPr="00A051CF">
              <w:rPr>
                <w:b/>
                <w:bCs/>
                <w:color w:val="000000"/>
                <w:sz w:val="18"/>
                <w:szCs w:val="18"/>
                <w:lang w:val="en-US" w:eastAsia="en-CA"/>
              </w:rPr>
              <w:t>($</w:t>
            </w:r>
            <w:r w:rsidR="00582230">
              <w:rPr>
                <w:b/>
                <w:bCs/>
                <w:color w:val="000000"/>
                <w:sz w:val="18"/>
                <w:szCs w:val="18"/>
                <w:lang w:val="en-US" w:eastAsia="en-CA"/>
              </w:rPr>
              <w:t>EUA</w:t>
            </w:r>
            <w:r w:rsidR="00A70444" w:rsidRPr="00A051CF">
              <w:rPr>
                <w:b/>
                <w:bCs/>
                <w:sz w:val="21"/>
                <w:szCs w:val="21"/>
                <w:lang w:eastAsia="en-CA"/>
              </w:rPr>
              <w:t>)</w:t>
            </w:r>
          </w:p>
        </w:tc>
      </w:tr>
      <w:tr w:rsidR="00A70444" w:rsidRPr="00A051CF" w14:paraId="6FF5315C"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8AE34D" w14:textId="77777777" w:rsidR="00A70444" w:rsidRPr="00A051CF" w:rsidRDefault="00A70444" w:rsidP="000B114B">
            <w:pPr>
              <w:jc w:val="left"/>
              <w:rPr>
                <w:sz w:val="21"/>
                <w:szCs w:val="21"/>
                <w:lang w:val="en-CA" w:eastAsia="en-CA"/>
              </w:rPr>
            </w:pPr>
            <w:r w:rsidRPr="00A051CF">
              <w:rPr>
                <w:sz w:val="21"/>
                <w:szCs w:val="21"/>
                <w:lang w:val="en-CA" w:eastAsia="en-CA"/>
              </w:rPr>
              <w:t>Aerosol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33EEC20" w14:textId="1B45822D" w:rsidR="00A70444" w:rsidRPr="00A051CF" w:rsidRDefault="00727E76" w:rsidP="000B114B">
            <w:pPr>
              <w:jc w:val="right"/>
              <w:rPr>
                <w:sz w:val="21"/>
                <w:szCs w:val="21"/>
                <w:lang w:val="en-CA" w:eastAsia="en-CA"/>
              </w:rPr>
            </w:pPr>
            <w:r>
              <w:rPr>
                <w:sz w:val="21"/>
                <w:szCs w:val="21"/>
                <w:lang w:val="en-CA" w:eastAsia="en-CA"/>
              </w:rPr>
              <w:t>22</w:t>
            </w:r>
            <w:r w:rsidR="00A86723">
              <w:rPr>
                <w:sz w:val="21"/>
                <w:szCs w:val="21"/>
                <w:lang w:val="en-CA" w:eastAsia="en-CA"/>
              </w:rPr>
              <w:t xml:space="preserve"> </w:t>
            </w:r>
            <w:r>
              <w:rPr>
                <w:sz w:val="21"/>
                <w:szCs w:val="21"/>
                <w:lang w:val="en-CA" w:eastAsia="en-CA"/>
              </w:rPr>
              <w:t>984</w:t>
            </w:r>
            <w:r w:rsidR="00A86723">
              <w:rPr>
                <w:sz w:val="21"/>
                <w:szCs w:val="21"/>
                <w:lang w:val="en-CA" w:eastAsia="en-CA"/>
              </w:rPr>
              <w:t xml:space="preserve"> </w:t>
            </w:r>
            <w:r w:rsidR="00A70444" w:rsidRPr="00A051CF">
              <w:rPr>
                <w:sz w:val="21"/>
                <w:szCs w:val="21"/>
                <w:lang w:val="en-CA" w:eastAsia="en-CA"/>
              </w:rPr>
              <w:t>030</w:t>
            </w:r>
          </w:p>
        </w:tc>
      </w:tr>
      <w:tr w:rsidR="00A70444" w:rsidRPr="00A051CF" w14:paraId="5DD0F8BF"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7376EE" w14:textId="77777777" w:rsidR="00A70444" w:rsidRPr="00A051CF" w:rsidRDefault="00A70444" w:rsidP="00727E76">
            <w:pPr>
              <w:jc w:val="left"/>
              <w:rPr>
                <w:sz w:val="21"/>
                <w:szCs w:val="21"/>
                <w:lang w:val="en-CA" w:eastAsia="en-CA"/>
              </w:rPr>
            </w:pPr>
            <w:r w:rsidRPr="00A051CF">
              <w:rPr>
                <w:sz w:val="21"/>
                <w:szCs w:val="21"/>
                <w:lang w:val="en-CA" w:eastAsia="en-CA"/>
              </w:rPr>
              <w:t>Destruc</w:t>
            </w:r>
            <w:r w:rsidR="00727E76">
              <w:rPr>
                <w:sz w:val="21"/>
                <w:szCs w:val="21"/>
                <w:lang w:val="en-CA" w:eastAsia="en-CA"/>
              </w:rPr>
              <w:t>ción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4A66080" w14:textId="0E361C51" w:rsidR="00A70444" w:rsidRPr="00A051CF" w:rsidRDefault="00A70444" w:rsidP="000B114B">
            <w:pPr>
              <w:jc w:val="right"/>
              <w:rPr>
                <w:sz w:val="21"/>
                <w:szCs w:val="21"/>
                <w:lang w:val="en-CA" w:eastAsia="en-CA"/>
              </w:rPr>
            </w:pPr>
            <w:r w:rsidRPr="00A051CF">
              <w:rPr>
                <w:sz w:val="21"/>
                <w:szCs w:val="21"/>
                <w:lang w:val="en-CA" w:eastAsia="en-CA"/>
              </w:rPr>
              <w:t>4</w:t>
            </w:r>
            <w:r w:rsidR="00727E76">
              <w:rPr>
                <w:sz w:val="21"/>
                <w:szCs w:val="21"/>
                <w:lang w:val="en-CA" w:eastAsia="en-CA"/>
              </w:rPr>
              <w:t>00</w:t>
            </w:r>
            <w:r w:rsidR="00A86723">
              <w:rPr>
                <w:sz w:val="21"/>
                <w:szCs w:val="21"/>
                <w:lang w:val="en-CA" w:eastAsia="en-CA"/>
              </w:rPr>
              <w:t xml:space="preserve"> </w:t>
            </w:r>
            <w:r w:rsidRPr="00A051CF">
              <w:rPr>
                <w:sz w:val="21"/>
                <w:szCs w:val="21"/>
                <w:lang w:val="en-CA" w:eastAsia="en-CA"/>
              </w:rPr>
              <w:t>000</w:t>
            </w:r>
          </w:p>
        </w:tc>
      </w:tr>
      <w:tr w:rsidR="00A70444" w:rsidRPr="00A051CF" w14:paraId="46C359B5"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E3A6F5" w14:textId="0279ED9B" w:rsidR="00A70444" w:rsidRPr="005E21BE" w:rsidRDefault="005E21BE" w:rsidP="000B114B">
            <w:pPr>
              <w:jc w:val="left"/>
              <w:rPr>
                <w:sz w:val="21"/>
                <w:szCs w:val="21"/>
                <w:lang w:val="en-CA" w:eastAsia="en-CA"/>
              </w:rPr>
            </w:pPr>
            <w:r w:rsidRPr="005E21BE">
              <w:rPr>
                <w:sz w:val="21"/>
                <w:szCs w:val="21"/>
                <w:lang w:val="en-CA" w:eastAsia="en-CA"/>
              </w:rPr>
              <w:t>Extinción incendios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C88CA3D" w14:textId="77777777" w:rsidR="00A70444" w:rsidRPr="00A051CF" w:rsidRDefault="00A70444" w:rsidP="000B114B">
            <w:pPr>
              <w:jc w:val="right"/>
              <w:rPr>
                <w:sz w:val="21"/>
                <w:szCs w:val="21"/>
                <w:lang w:val="en-CA" w:eastAsia="en-CA"/>
              </w:rPr>
            </w:pPr>
            <w:r w:rsidRPr="00A051CF">
              <w:rPr>
                <w:sz w:val="21"/>
                <w:szCs w:val="21"/>
                <w:lang w:val="en-CA" w:eastAsia="en-CA"/>
              </w:rPr>
              <w:t>0</w:t>
            </w:r>
          </w:p>
        </w:tc>
      </w:tr>
      <w:tr w:rsidR="00A70444" w:rsidRPr="00A051CF" w14:paraId="65F3CA91"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553C89" w14:textId="77777777" w:rsidR="00A70444" w:rsidRPr="00A051CF" w:rsidRDefault="00727E76" w:rsidP="000B114B">
            <w:pPr>
              <w:jc w:val="left"/>
              <w:rPr>
                <w:sz w:val="21"/>
                <w:szCs w:val="21"/>
                <w:lang w:val="en-CA" w:eastAsia="en-CA"/>
              </w:rPr>
            </w:pPr>
            <w:r>
              <w:rPr>
                <w:sz w:val="21"/>
                <w:szCs w:val="21"/>
                <w:lang w:val="en-CA" w:eastAsia="en-CA"/>
              </w:rPr>
              <w:t>Espumas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4002E10" w14:textId="667F6697" w:rsidR="00A70444" w:rsidRPr="00A051CF" w:rsidRDefault="00727E76" w:rsidP="000B114B">
            <w:pPr>
              <w:jc w:val="right"/>
              <w:rPr>
                <w:sz w:val="21"/>
                <w:szCs w:val="21"/>
                <w:lang w:val="en-CA" w:eastAsia="en-CA"/>
              </w:rPr>
            </w:pPr>
            <w:r>
              <w:rPr>
                <w:sz w:val="21"/>
                <w:szCs w:val="21"/>
                <w:lang w:val="en-CA" w:eastAsia="en-CA"/>
              </w:rPr>
              <w:t>136</w:t>
            </w:r>
            <w:r w:rsidR="00A86723">
              <w:rPr>
                <w:sz w:val="21"/>
                <w:szCs w:val="21"/>
                <w:lang w:val="en-CA" w:eastAsia="en-CA"/>
              </w:rPr>
              <w:t xml:space="preserve"> </w:t>
            </w:r>
            <w:r>
              <w:rPr>
                <w:sz w:val="21"/>
                <w:szCs w:val="21"/>
                <w:lang w:val="en-CA" w:eastAsia="en-CA"/>
              </w:rPr>
              <w:t>426</w:t>
            </w:r>
            <w:r w:rsidR="00A86723">
              <w:rPr>
                <w:sz w:val="21"/>
                <w:szCs w:val="21"/>
                <w:lang w:val="en-CA" w:eastAsia="en-CA"/>
              </w:rPr>
              <w:t xml:space="preserve"> </w:t>
            </w:r>
            <w:r w:rsidR="00A70444" w:rsidRPr="00A051CF">
              <w:rPr>
                <w:sz w:val="21"/>
                <w:szCs w:val="21"/>
                <w:lang w:val="en-CA" w:eastAsia="en-CA"/>
              </w:rPr>
              <w:t>742</w:t>
            </w:r>
          </w:p>
        </w:tc>
      </w:tr>
      <w:tr w:rsidR="00A70444" w:rsidRPr="00A051CF" w14:paraId="50185B45"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AF03B4" w14:textId="77777777" w:rsidR="00A70444" w:rsidRPr="00A051CF" w:rsidRDefault="00A70444" w:rsidP="000B114B">
            <w:pPr>
              <w:jc w:val="left"/>
              <w:rPr>
                <w:sz w:val="21"/>
                <w:szCs w:val="21"/>
                <w:lang w:val="en-CA" w:eastAsia="en-CA"/>
              </w:rPr>
            </w:pPr>
            <w:r w:rsidRPr="00A051CF">
              <w:rPr>
                <w:sz w:val="21"/>
                <w:szCs w:val="21"/>
                <w:lang w:val="en-CA" w:eastAsia="en-CA"/>
              </w:rPr>
              <w:t>Halon</w:t>
            </w:r>
            <w:r w:rsidR="00727E76">
              <w:rPr>
                <w:sz w:val="21"/>
                <w:szCs w:val="21"/>
                <w:lang w:val="en-CA" w:eastAsia="en-CA"/>
              </w:rPr>
              <w:t>es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92DE0DD" w14:textId="23EE3CCB" w:rsidR="00A70444" w:rsidRPr="00A051CF" w:rsidRDefault="00A70444" w:rsidP="00727E76">
            <w:pPr>
              <w:jc w:val="right"/>
              <w:rPr>
                <w:sz w:val="21"/>
                <w:szCs w:val="21"/>
                <w:lang w:val="en-CA" w:eastAsia="en-CA"/>
              </w:rPr>
            </w:pPr>
            <w:r w:rsidRPr="00A051CF">
              <w:rPr>
                <w:sz w:val="21"/>
                <w:szCs w:val="21"/>
                <w:lang w:val="en-CA" w:eastAsia="en-CA"/>
              </w:rPr>
              <w:t>70</w:t>
            </w:r>
            <w:r w:rsidR="00A86723">
              <w:rPr>
                <w:sz w:val="21"/>
                <w:szCs w:val="21"/>
                <w:lang w:val="en-CA" w:eastAsia="en-CA"/>
              </w:rPr>
              <w:t xml:space="preserve"> </w:t>
            </w:r>
            <w:r w:rsidRPr="00A051CF">
              <w:rPr>
                <w:sz w:val="21"/>
                <w:szCs w:val="21"/>
                <w:lang w:val="en-CA" w:eastAsia="en-CA"/>
              </w:rPr>
              <w:t>221</w:t>
            </w:r>
            <w:r w:rsidR="00A86723">
              <w:rPr>
                <w:sz w:val="21"/>
                <w:szCs w:val="21"/>
                <w:lang w:val="en-CA" w:eastAsia="en-CA"/>
              </w:rPr>
              <w:t xml:space="preserve"> </w:t>
            </w:r>
            <w:r w:rsidRPr="00A051CF">
              <w:rPr>
                <w:sz w:val="21"/>
                <w:szCs w:val="21"/>
                <w:lang w:val="en-CA" w:eastAsia="en-CA"/>
              </w:rPr>
              <w:t>038</w:t>
            </w:r>
          </w:p>
        </w:tc>
      </w:tr>
      <w:tr w:rsidR="00A70444" w:rsidRPr="00A051CF" w14:paraId="18651CBE"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724FDD" w14:textId="77777777" w:rsidR="00A70444" w:rsidRPr="00A051CF" w:rsidRDefault="00A70444" w:rsidP="000B114B">
            <w:pPr>
              <w:jc w:val="left"/>
              <w:rPr>
                <w:sz w:val="21"/>
                <w:szCs w:val="21"/>
                <w:lang w:val="en-CA" w:eastAsia="en-CA"/>
              </w:rPr>
            </w:pPr>
            <w:r w:rsidRPr="00A051CF">
              <w:rPr>
                <w:sz w:val="21"/>
                <w:szCs w:val="21"/>
                <w:lang w:val="en-CA" w:eastAsia="en-CA"/>
              </w:rPr>
              <w:t>Fumigant</w:t>
            </w:r>
            <w:r w:rsidR="00727E76">
              <w:rPr>
                <w:sz w:val="21"/>
                <w:szCs w:val="21"/>
                <w:lang w:val="en-CA" w:eastAsia="en-CA"/>
              </w:rPr>
              <w:t>e</w:t>
            </w:r>
            <w:r w:rsidRPr="00A051CF">
              <w:rPr>
                <w:sz w:val="21"/>
                <w:szCs w:val="21"/>
                <w:lang w:val="en-CA" w:eastAsia="en-CA"/>
              </w:rPr>
              <w: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296EBD69" w14:textId="5548F5B4" w:rsidR="00A70444" w:rsidRPr="00A051CF" w:rsidRDefault="00A70444" w:rsidP="00727E76">
            <w:pPr>
              <w:jc w:val="right"/>
              <w:rPr>
                <w:sz w:val="21"/>
                <w:szCs w:val="21"/>
                <w:lang w:val="en-CA" w:eastAsia="en-CA"/>
              </w:rPr>
            </w:pPr>
            <w:r w:rsidRPr="00A051CF">
              <w:rPr>
                <w:sz w:val="21"/>
                <w:szCs w:val="21"/>
                <w:lang w:val="en-CA" w:eastAsia="en-CA"/>
              </w:rPr>
              <w:t>5</w:t>
            </w:r>
            <w:r w:rsidR="00A86723">
              <w:rPr>
                <w:sz w:val="21"/>
                <w:szCs w:val="21"/>
                <w:lang w:val="en-CA" w:eastAsia="en-CA"/>
              </w:rPr>
              <w:t xml:space="preserve"> </w:t>
            </w:r>
            <w:r w:rsidRPr="00A051CF">
              <w:rPr>
                <w:sz w:val="21"/>
                <w:szCs w:val="21"/>
                <w:lang w:val="en-CA" w:eastAsia="en-CA"/>
              </w:rPr>
              <w:t>837</w:t>
            </w:r>
            <w:r w:rsidR="00A86723">
              <w:rPr>
                <w:sz w:val="21"/>
                <w:szCs w:val="21"/>
                <w:lang w:val="en-CA" w:eastAsia="en-CA"/>
              </w:rPr>
              <w:t xml:space="preserve"> </w:t>
            </w:r>
            <w:r w:rsidRPr="00A051CF">
              <w:rPr>
                <w:sz w:val="21"/>
                <w:szCs w:val="21"/>
                <w:lang w:val="en-CA" w:eastAsia="en-CA"/>
              </w:rPr>
              <w:t>887</w:t>
            </w:r>
          </w:p>
        </w:tc>
      </w:tr>
      <w:tr w:rsidR="00A70444" w:rsidRPr="00A051CF" w14:paraId="3FD529DC"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0C7651" w14:textId="77777777" w:rsidR="00A70444" w:rsidRPr="00A051CF" w:rsidRDefault="00727E76" w:rsidP="000B114B">
            <w:pPr>
              <w:jc w:val="left"/>
              <w:rPr>
                <w:sz w:val="21"/>
                <w:szCs w:val="21"/>
                <w:lang w:val="en-CA" w:eastAsia="en-CA"/>
              </w:rPr>
            </w:pPr>
            <w:r>
              <w:rPr>
                <w:sz w:val="21"/>
                <w:szCs w:val="21"/>
                <w:lang w:val="en-CA" w:eastAsia="en-CA"/>
              </w:rPr>
              <w:t>Sectores varios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B2404B3" w14:textId="73934017" w:rsidR="00A70444" w:rsidRPr="00A051CF" w:rsidRDefault="00A70444" w:rsidP="000B114B">
            <w:pPr>
              <w:jc w:val="right"/>
              <w:rPr>
                <w:sz w:val="21"/>
                <w:szCs w:val="21"/>
                <w:lang w:val="en-CA" w:eastAsia="en-CA"/>
              </w:rPr>
            </w:pPr>
            <w:r w:rsidRPr="00A051CF">
              <w:rPr>
                <w:sz w:val="21"/>
                <w:szCs w:val="21"/>
                <w:lang w:val="en-CA" w:eastAsia="en-CA"/>
              </w:rPr>
              <w:t>2</w:t>
            </w:r>
            <w:r w:rsidR="00A86723">
              <w:rPr>
                <w:sz w:val="21"/>
                <w:szCs w:val="21"/>
                <w:lang w:val="en-CA" w:eastAsia="en-CA"/>
              </w:rPr>
              <w:t xml:space="preserve"> </w:t>
            </w:r>
            <w:r w:rsidRPr="00A051CF">
              <w:rPr>
                <w:sz w:val="21"/>
                <w:szCs w:val="21"/>
                <w:lang w:val="en-CA" w:eastAsia="en-CA"/>
              </w:rPr>
              <w:t>341</w:t>
            </w:r>
            <w:r w:rsidR="00A86723">
              <w:rPr>
                <w:sz w:val="21"/>
                <w:szCs w:val="21"/>
                <w:lang w:val="en-CA" w:eastAsia="en-CA"/>
              </w:rPr>
              <w:t xml:space="preserve"> </w:t>
            </w:r>
            <w:r w:rsidRPr="00A051CF">
              <w:rPr>
                <w:sz w:val="21"/>
                <w:szCs w:val="21"/>
                <w:lang w:val="en-CA" w:eastAsia="en-CA"/>
              </w:rPr>
              <w:t>168</w:t>
            </w:r>
          </w:p>
        </w:tc>
      </w:tr>
      <w:tr w:rsidR="00A70444" w:rsidRPr="00A051CF" w14:paraId="21C3E858"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FB3A6CC" w14:textId="77777777" w:rsidR="00A70444" w:rsidRPr="00A051CF" w:rsidRDefault="00727E76" w:rsidP="000B114B">
            <w:pPr>
              <w:jc w:val="left"/>
              <w:rPr>
                <w:sz w:val="21"/>
                <w:szCs w:val="21"/>
                <w:lang w:val="en-CA" w:eastAsia="en-CA"/>
              </w:rPr>
            </w:pPr>
            <w:r>
              <w:rPr>
                <w:sz w:val="21"/>
                <w:szCs w:val="21"/>
                <w:lang w:val="en-CA" w:eastAsia="en-CA"/>
              </w:rPr>
              <w:t>Otros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A12E40F" w14:textId="15789E8B" w:rsidR="00A70444" w:rsidRPr="00A051CF" w:rsidRDefault="00A70444" w:rsidP="000B114B">
            <w:pPr>
              <w:jc w:val="right"/>
              <w:rPr>
                <w:sz w:val="21"/>
                <w:szCs w:val="21"/>
                <w:lang w:val="en-CA" w:eastAsia="en-CA"/>
              </w:rPr>
            </w:pPr>
            <w:r w:rsidRPr="00A051CF">
              <w:rPr>
                <w:sz w:val="21"/>
                <w:szCs w:val="21"/>
                <w:lang w:val="en-CA" w:eastAsia="en-CA"/>
              </w:rPr>
              <w:t>5</w:t>
            </w:r>
            <w:r w:rsidR="00A86723">
              <w:rPr>
                <w:sz w:val="21"/>
                <w:szCs w:val="21"/>
                <w:lang w:val="en-CA" w:eastAsia="en-CA"/>
              </w:rPr>
              <w:t xml:space="preserve"> </w:t>
            </w:r>
            <w:r w:rsidRPr="00A051CF">
              <w:rPr>
                <w:sz w:val="21"/>
                <w:szCs w:val="21"/>
                <w:lang w:val="en-CA" w:eastAsia="en-CA"/>
              </w:rPr>
              <w:t>059</w:t>
            </w:r>
            <w:r w:rsidR="00A86723">
              <w:rPr>
                <w:sz w:val="21"/>
                <w:szCs w:val="21"/>
                <w:lang w:val="en-CA" w:eastAsia="en-CA"/>
              </w:rPr>
              <w:t xml:space="preserve"> </w:t>
            </w:r>
            <w:r w:rsidRPr="00A051CF">
              <w:rPr>
                <w:sz w:val="21"/>
                <w:szCs w:val="21"/>
                <w:lang w:val="en-CA" w:eastAsia="en-CA"/>
              </w:rPr>
              <w:t>360</w:t>
            </w:r>
          </w:p>
        </w:tc>
      </w:tr>
      <w:tr w:rsidR="00A70444" w:rsidRPr="00A051CF" w14:paraId="42B400BD"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3B54A16" w14:textId="77777777" w:rsidR="00A70444" w:rsidRPr="00A051CF" w:rsidRDefault="00727E76" w:rsidP="000B114B">
            <w:pPr>
              <w:jc w:val="left"/>
              <w:rPr>
                <w:sz w:val="21"/>
                <w:szCs w:val="21"/>
                <w:lang w:val="en-CA" w:eastAsia="en-CA"/>
              </w:rPr>
            </w:pPr>
            <w:r>
              <w:rPr>
                <w:sz w:val="21"/>
                <w:szCs w:val="21"/>
                <w:lang w:val="en-CA" w:eastAsia="en-CA"/>
              </w:rPr>
              <w:t>Plan de eliminación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CE83132" w14:textId="11395FCF" w:rsidR="00A70444" w:rsidRPr="00A051CF" w:rsidRDefault="00A70444" w:rsidP="000B114B">
            <w:pPr>
              <w:jc w:val="right"/>
              <w:rPr>
                <w:sz w:val="21"/>
                <w:szCs w:val="21"/>
                <w:lang w:val="en-CA" w:eastAsia="en-CA"/>
              </w:rPr>
            </w:pPr>
            <w:r w:rsidRPr="00A051CF">
              <w:rPr>
                <w:sz w:val="21"/>
                <w:szCs w:val="21"/>
                <w:lang w:val="en-CA" w:eastAsia="en-CA"/>
              </w:rPr>
              <w:t>202</w:t>
            </w:r>
            <w:r w:rsidR="00A86723">
              <w:rPr>
                <w:sz w:val="21"/>
                <w:szCs w:val="21"/>
                <w:lang w:val="en-CA" w:eastAsia="en-CA"/>
              </w:rPr>
              <w:t xml:space="preserve"> </w:t>
            </w:r>
            <w:r w:rsidRPr="00A051CF">
              <w:rPr>
                <w:sz w:val="21"/>
                <w:szCs w:val="21"/>
                <w:lang w:val="en-CA" w:eastAsia="en-CA"/>
              </w:rPr>
              <w:t>548</w:t>
            </w:r>
            <w:r w:rsidR="00A86723">
              <w:rPr>
                <w:sz w:val="21"/>
                <w:szCs w:val="21"/>
                <w:lang w:val="en-CA" w:eastAsia="en-CA"/>
              </w:rPr>
              <w:t xml:space="preserve"> </w:t>
            </w:r>
            <w:r w:rsidRPr="00A051CF">
              <w:rPr>
                <w:sz w:val="21"/>
                <w:szCs w:val="21"/>
                <w:lang w:val="en-CA" w:eastAsia="en-CA"/>
              </w:rPr>
              <w:t>086</w:t>
            </w:r>
          </w:p>
        </w:tc>
      </w:tr>
      <w:tr w:rsidR="00A70444" w:rsidRPr="00A051CF" w14:paraId="30261A7B"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8D27A2" w14:textId="77777777" w:rsidR="00A70444" w:rsidRPr="00A051CF" w:rsidRDefault="00727E76" w:rsidP="000B114B">
            <w:pPr>
              <w:jc w:val="left"/>
              <w:rPr>
                <w:sz w:val="21"/>
                <w:szCs w:val="21"/>
                <w:lang w:val="en-CA" w:eastAsia="en-CA"/>
              </w:rPr>
            </w:pPr>
            <w:r>
              <w:rPr>
                <w:sz w:val="21"/>
                <w:szCs w:val="21"/>
                <w:lang w:val="en-CA" w:eastAsia="en-CA"/>
              </w:rPr>
              <w:t>Agente de procesos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8362494" w14:textId="12BA913A" w:rsidR="00A70444" w:rsidRPr="00A051CF" w:rsidRDefault="00A70444" w:rsidP="000B114B">
            <w:pPr>
              <w:jc w:val="right"/>
              <w:rPr>
                <w:sz w:val="21"/>
                <w:szCs w:val="21"/>
                <w:lang w:val="en-CA" w:eastAsia="en-CA"/>
              </w:rPr>
            </w:pPr>
            <w:r w:rsidRPr="00A051CF">
              <w:rPr>
                <w:sz w:val="21"/>
                <w:szCs w:val="21"/>
                <w:lang w:val="en-CA" w:eastAsia="en-CA"/>
              </w:rPr>
              <w:t>114</w:t>
            </w:r>
            <w:r w:rsidR="00A86723">
              <w:rPr>
                <w:sz w:val="21"/>
                <w:szCs w:val="21"/>
                <w:lang w:val="en-CA" w:eastAsia="en-CA"/>
              </w:rPr>
              <w:t xml:space="preserve"> </w:t>
            </w:r>
            <w:r w:rsidRPr="00A051CF">
              <w:rPr>
                <w:sz w:val="21"/>
                <w:szCs w:val="21"/>
                <w:lang w:val="en-CA" w:eastAsia="en-CA"/>
              </w:rPr>
              <w:t>342</w:t>
            </w:r>
            <w:r w:rsidR="00A86723">
              <w:rPr>
                <w:sz w:val="21"/>
                <w:szCs w:val="21"/>
                <w:lang w:val="en-CA" w:eastAsia="en-CA"/>
              </w:rPr>
              <w:t xml:space="preserve"> </w:t>
            </w:r>
            <w:r w:rsidRPr="00A051CF">
              <w:rPr>
                <w:sz w:val="21"/>
                <w:szCs w:val="21"/>
                <w:lang w:val="en-CA" w:eastAsia="en-CA"/>
              </w:rPr>
              <w:t>497</w:t>
            </w:r>
          </w:p>
        </w:tc>
      </w:tr>
      <w:tr w:rsidR="00A70444" w:rsidRPr="00A051CF" w14:paraId="5FC52A96"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D2BCEC" w14:textId="77777777" w:rsidR="00A70444" w:rsidRPr="00A051CF" w:rsidRDefault="00727E76" w:rsidP="000B114B">
            <w:pPr>
              <w:jc w:val="left"/>
              <w:rPr>
                <w:sz w:val="21"/>
                <w:szCs w:val="21"/>
                <w:lang w:val="en-CA" w:eastAsia="en-CA"/>
              </w:rPr>
            </w:pPr>
            <w:r>
              <w:rPr>
                <w:sz w:val="21"/>
                <w:szCs w:val="21"/>
                <w:lang w:val="en-CA" w:eastAsia="en-CA"/>
              </w:rPr>
              <w:t>Producción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FA67436" w14:textId="133B445F" w:rsidR="00A70444" w:rsidRPr="00A051CF" w:rsidRDefault="00A70444" w:rsidP="000B114B">
            <w:pPr>
              <w:jc w:val="right"/>
              <w:rPr>
                <w:sz w:val="21"/>
                <w:szCs w:val="21"/>
                <w:lang w:val="en-CA" w:eastAsia="en-CA"/>
              </w:rPr>
            </w:pPr>
            <w:r w:rsidRPr="00A051CF">
              <w:rPr>
                <w:sz w:val="21"/>
                <w:szCs w:val="21"/>
                <w:lang w:val="en-CA" w:eastAsia="en-CA"/>
              </w:rPr>
              <w:t>382</w:t>
            </w:r>
            <w:r w:rsidR="00A86723">
              <w:rPr>
                <w:sz w:val="21"/>
                <w:szCs w:val="21"/>
                <w:lang w:val="en-CA" w:eastAsia="en-CA"/>
              </w:rPr>
              <w:t xml:space="preserve"> </w:t>
            </w:r>
            <w:r w:rsidRPr="00A051CF">
              <w:rPr>
                <w:sz w:val="21"/>
                <w:szCs w:val="21"/>
                <w:lang w:val="en-CA" w:eastAsia="en-CA"/>
              </w:rPr>
              <w:t>729</w:t>
            </w:r>
            <w:r w:rsidR="00A86723">
              <w:rPr>
                <w:sz w:val="21"/>
                <w:szCs w:val="21"/>
                <w:lang w:val="en-CA" w:eastAsia="en-CA"/>
              </w:rPr>
              <w:t xml:space="preserve"> </w:t>
            </w:r>
            <w:r w:rsidRPr="00A051CF">
              <w:rPr>
                <w:sz w:val="21"/>
                <w:szCs w:val="21"/>
                <w:lang w:val="en-CA" w:eastAsia="en-CA"/>
              </w:rPr>
              <w:t>770</w:t>
            </w:r>
          </w:p>
        </w:tc>
      </w:tr>
      <w:tr w:rsidR="00A70444" w:rsidRPr="00A051CF" w14:paraId="698FD1F4"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FF96C8" w14:textId="77777777" w:rsidR="00A70444" w:rsidRPr="00A051CF" w:rsidRDefault="00727E76" w:rsidP="000B114B">
            <w:pPr>
              <w:jc w:val="left"/>
              <w:rPr>
                <w:sz w:val="21"/>
                <w:szCs w:val="21"/>
                <w:lang w:val="en-CA" w:eastAsia="en-CA"/>
              </w:rPr>
            </w:pPr>
            <w:r>
              <w:rPr>
                <w:sz w:val="21"/>
                <w:szCs w:val="21"/>
                <w:lang w:val="en-CA" w:eastAsia="en-CA"/>
              </w:rPr>
              <w:t>Refrigeración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D484BC6" w14:textId="1A8A8F6F" w:rsidR="00A70444" w:rsidRPr="00A051CF" w:rsidRDefault="00A70444" w:rsidP="000B114B">
            <w:pPr>
              <w:jc w:val="right"/>
              <w:rPr>
                <w:sz w:val="21"/>
                <w:szCs w:val="21"/>
                <w:lang w:val="en-CA" w:eastAsia="en-CA"/>
              </w:rPr>
            </w:pPr>
            <w:r w:rsidRPr="00A051CF">
              <w:rPr>
                <w:sz w:val="21"/>
                <w:szCs w:val="21"/>
                <w:lang w:val="en-CA" w:eastAsia="en-CA"/>
              </w:rPr>
              <w:t>180</w:t>
            </w:r>
            <w:r w:rsidR="00A86723">
              <w:rPr>
                <w:sz w:val="21"/>
                <w:szCs w:val="21"/>
                <w:lang w:val="en-CA" w:eastAsia="en-CA"/>
              </w:rPr>
              <w:t xml:space="preserve"> </w:t>
            </w:r>
            <w:r w:rsidRPr="00A051CF">
              <w:rPr>
                <w:sz w:val="21"/>
                <w:szCs w:val="21"/>
                <w:lang w:val="en-CA" w:eastAsia="en-CA"/>
              </w:rPr>
              <w:t>323</w:t>
            </w:r>
            <w:r w:rsidR="00A86723">
              <w:rPr>
                <w:sz w:val="21"/>
                <w:szCs w:val="21"/>
                <w:lang w:val="en-CA" w:eastAsia="en-CA"/>
              </w:rPr>
              <w:t xml:space="preserve"> </w:t>
            </w:r>
            <w:r w:rsidRPr="00A051CF">
              <w:rPr>
                <w:sz w:val="21"/>
                <w:szCs w:val="21"/>
                <w:lang w:val="en-CA" w:eastAsia="en-CA"/>
              </w:rPr>
              <w:t>076</w:t>
            </w:r>
          </w:p>
        </w:tc>
      </w:tr>
      <w:tr w:rsidR="00A70444" w:rsidRPr="00A051CF" w14:paraId="668C1F22"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76747A" w14:textId="77777777" w:rsidR="00A70444" w:rsidRPr="00A051CF" w:rsidRDefault="00727E76" w:rsidP="000B114B">
            <w:pPr>
              <w:jc w:val="left"/>
              <w:rPr>
                <w:sz w:val="21"/>
                <w:szCs w:val="21"/>
                <w:lang w:val="en-CA" w:eastAsia="en-CA"/>
              </w:rPr>
            </w:pPr>
            <w:r>
              <w:rPr>
                <w:sz w:val="21"/>
                <w:szCs w:val="21"/>
                <w:lang w:val="en-CA" w:eastAsia="en-CA"/>
              </w:rPr>
              <w:t>Varios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45F494E" w14:textId="69E7AF3C" w:rsidR="00A70444" w:rsidRPr="00A051CF" w:rsidRDefault="00A70444" w:rsidP="000B114B">
            <w:pPr>
              <w:jc w:val="right"/>
              <w:rPr>
                <w:sz w:val="21"/>
                <w:szCs w:val="21"/>
                <w:lang w:val="en-CA" w:eastAsia="en-CA"/>
              </w:rPr>
            </w:pPr>
            <w:r w:rsidRPr="00A051CF">
              <w:rPr>
                <w:sz w:val="21"/>
                <w:szCs w:val="21"/>
                <w:lang w:val="en-CA" w:eastAsia="en-CA"/>
              </w:rPr>
              <w:t>28</w:t>
            </w:r>
            <w:r w:rsidR="00A86723">
              <w:rPr>
                <w:sz w:val="21"/>
                <w:szCs w:val="21"/>
                <w:lang w:val="en-CA" w:eastAsia="en-CA"/>
              </w:rPr>
              <w:t xml:space="preserve"> </w:t>
            </w:r>
            <w:r w:rsidRPr="00A051CF">
              <w:rPr>
                <w:sz w:val="21"/>
                <w:szCs w:val="21"/>
                <w:lang w:val="en-CA" w:eastAsia="en-CA"/>
              </w:rPr>
              <w:t>969</w:t>
            </w:r>
            <w:r w:rsidR="00A86723">
              <w:rPr>
                <w:sz w:val="21"/>
                <w:szCs w:val="21"/>
                <w:lang w:val="en-CA" w:eastAsia="en-CA"/>
              </w:rPr>
              <w:t xml:space="preserve"> </w:t>
            </w:r>
            <w:r w:rsidRPr="00A051CF">
              <w:rPr>
                <w:sz w:val="21"/>
                <w:szCs w:val="21"/>
                <w:lang w:val="en-CA" w:eastAsia="en-CA"/>
              </w:rPr>
              <w:t>731</w:t>
            </w:r>
          </w:p>
        </w:tc>
      </w:tr>
      <w:tr w:rsidR="00A70444" w:rsidRPr="00A051CF" w14:paraId="1F5A6AAC"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893477A" w14:textId="77777777" w:rsidR="00A70444" w:rsidRPr="00A051CF" w:rsidRDefault="00A70444" w:rsidP="000B114B">
            <w:pPr>
              <w:jc w:val="left"/>
              <w:rPr>
                <w:sz w:val="21"/>
                <w:szCs w:val="21"/>
                <w:lang w:val="en-CA" w:eastAsia="en-CA"/>
              </w:rPr>
            </w:pPr>
            <w:r w:rsidRPr="00A051CF">
              <w:rPr>
                <w:sz w:val="21"/>
                <w:szCs w:val="21"/>
                <w:lang w:val="en-CA" w:eastAsia="en-CA"/>
              </w:rPr>
              <w:t>Solvent</w:t>
            </w:r>
            <w:r w:rsidR="00727E76">
              <w:rPr>
                <w:sz w:val="21"/>
                <w:szCs w:val="21"/>
                <w:lang w:val="en-CA" w:eastAsia="en-CA"/>
              </w:rPr>
              <w:t>e</w:t>
            </w:r>
            <w:r w:rsidRPr="00A051CF">
              <w:rPr>
                <w:sz w:val="21"/>
                <w:szCs w:val="21"/>
                <w:lang w:val="en-CA" w:eastAsia="en-CA"/>
              </w:rPr>
              <w: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529CAEB" w14:textId="6AB1890A" w:rsidR="00A70444" w:rsidRPr="00A051CF" w:rsidRDefault="00A70444" w:rsidP="000B114B">
            <w:pPr>
              <w:jc w:val="right"/>
              <w:rPr>
                <w:sz w:val="21"/>
                <w:szCs w:val="21"/>
                <w:lang w:val="en-CA" w:eastAsia="en-CA"/>
              </w:rPr>
            </w:pPr>
            <w:r w:rsidRPr="00A051CF">
              <w:rPr>
                <w:sz w:val="21"/>
                <w:szCs w:val="21"/>
                <w:lang w:val="en-CA" w:eastAsia="en-CA"/>
              </w:rPr>
              <w:t>10</w:t>
            </w:r>
            <w:r w:rsidR="00A86723">
              <w:rPr>
                <w:sz w:val="21"/>
                <w:szCs w:val="21"/>
                <w:lang w:val="en-CA" w:eastAsia="en-CA"/>
              </w:rPr>
              <w:t xml:space="preserve"> </w:t>
            </w:r>
            <w:r w:rsidRPr="00A051CF">
              <w:rPr>
                <w:sz w:val="21"/>
                <w:szCs w:val="21"/>
                <w:lang w:val="en-CA" w:eastAsia="en-CA"/>
              </w:rPr>
              <w:t>237</w:t>
            </w:r>
            <w:r w:rsidR="00A86723">
              <w:rPr>
                <w:sz w:val="21"/>
                <w:szCs w:val="21"/>
                <w:lang w:val="en-CA" w:eastAsia="en-CA"/>
              </w:rPr>
              <w:t xml:space="preserve"> </w:t>
            </w:r>
            <w:r w:rsidRPr="00A051CF">
              <w:rPr>
                <w:sz w:val="21"/>
                <w:szCs w:val="21"/>
                <w:lang w:val="en-CA" w:eastAsia="en-CA"/>
              </w:rPr>
              <w:t>394</w:t>
            </w:r>
          </w:p>
        </w:tc>
      </w:tr>
      <w:tr w:rsidR="00A70444" w:rsidRPr="00A051CF" w14:paraId="2279F48B"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ABAFF08" w14:textId="77777777" w:rsidR="00A70444" w:rsidRPr="00A051CF" w:rsidRDefault="00727E76" w:rsidP="000B114B">
            <w:pPr>
              <w:jc w:val="left"/>
              <w:rPr>
                <w:sz w:val="21"/>
                <w:szCs w:val="21"/>
                <w:lang w:val="en-CA" w:eastAsia="en-CA"/>
              </w:rPr>
            </w:pPr>
            <w:r>
              <w:rPr>
                <w:sz w:val="21"/>
                <w:szCs w:val="21"/>
                <w:lang w:val="en-CA" w:eastAsia="en-CA"/>
              </w:rPr>
              <w:t>Esterilizantes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22D6B8BD" w14:textId="24533D3C" w:rsidR="00A70444" w:rsidRPr="00A051CF" w:rsidRDefault="00A70444" w:rsidP="000B114B">
            <w:pPr>
              <w:jc w:val="right"/>
              <w:rPr>
                <w:sz w:val="21"/>
                <w:szCs w:val="21"/>
                <w:lang w:val="en-CA" w:eastAsia="en-CA"/>
              </w:rPr>
            </w:pPr>
            <w:r w:rsidRPr="00A051CF">
              <w:rPr>
                <w:sz w:val="21"/>
                <w:szCs w:val="21"/>
                <w:lang w:val="en-CA" w:eastAsia="en-CA"/>
              </w:rPr>
              <w:t>661</w:t>
            </w:r>
            <w:r w:rsidR="00A86723">
              <w:rPr>
                <w:sz w:val="21"/>
                <w:szCs w:val="21"/>
                <w:lang w:val="en-CA" w:eastAsia="en-CA"/>
              </w:rPr>
              <w:t xml:space="preserve"> </w:t>
            </w:r>
            <w:r w:rsidRPr="00A051CF">
              <w:rPr>
                <w:sz w:val="21"/>
                <w:szCs w:val="21"/>
                <w:lang w:val="en-CA" w:eastAsia="en-CA"/>
              </w:rPr>
              <w:t>227</w:t>
            </w:r>
          </w:p>
        </w:tc>
      </w:tr>
      <w:tr w:rsidR="00A70444" w:rsidRPr="00A051CF" w14:paraId="4D1496E9"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A72FB8" w14:textId="77777777" w:rsidR="00A70444" w:rsidRPr="00A051CF" w:rsidRDefault="00727E76" w:rsidP="000B114B">
            <w:pPr>
              <w:jc w:val="left"/>
              <w:rPr>
                <w:b/>
                <w:bCs/>
                <w:sz w:val="21"/>
                <w:szCs w:val="21"/>
                <w:lang w:val="en-CA" w:eastAsia="en-CA"/>
              </w:rPr>
            </w:pPr>
            <w:r>
              <w:rPr>
                <w:b/>
                <w:bCs/>
                <w:sz w:val="21"/>
                <w:szCs w:val="21"/>
                <w:lang w:val="en-CA" w:eastAsia="en-CA"/>
              </w:rPr>
              <w:t>Sub</w:t>
            </w:r>
            <w:r w:rsidR="00A70444" w:rsidRPr="00A051CF">
              <w:rPr>
                <w:b/>
                <w:bCs/>
                <w:sz w:val="21"/>
                <w:szCs w:val="21"/>
                <w:lang w:val="en-CA"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7DE7AAA" w14:textId="1111776D" w:rsidR="00A70444" w:rsidRPr="00A051CF" w:rsidRDefault="00A70444" w:rsidP="000B114B">
            <w:pPr>
              <w:jc w:val="right"/>
              <w:rPr>
                <w:b/>
                <w:sz w:val="21"/>
                <w:szCs w:val="21"/>
                <w:lang w:val="en-CA" w:eastAsia="en-CA"/>
              </w:rPr>
            </w:pPr>
            <w:r w:rsidRPr="00A051CF">
              <w:rPr>
                <w:b/>
                <w:sz w:val="21"/>
                <w:szCs w:val="21"/>
                <w:lang w:val="en-CA" w:eastAsia="en-CA"/>
              </w:rPr>
              <w:t>1</w:t>
            </w:r>
            <w:r w:rsidR="00A86723">
              <w:rPr>
                <w:b/>
                <w:sz w:val="21"/>
                <w:szCs w:val="21"/>
                <w:lang w:val="en-CA" w:eastAsia="en-CA"/>
              </w:rPr>
              <w:t xml:space="preserve"> </w:t>
            </w:r>
            <w:r w:rsidRPr="00A051CF">
              <w:rPr>
                <w:b/>
                <w:sz w:val="21"/>
                <w:szCs w:val="21"/>
                <w:lang w:val="en-CA" w:eastAsia="en-CA"/>
              </w:rPr>
              <w:t>163</w:t>
            </w:r>
            <w:r w:rsidR="00A86723">
              <w:rPr>
                <w:b/>
                <w:sz w:val="21"/>
                <w:szCs w:val="21"/>
                <w:lang w:val="en-CA" w:eastAsia="en-CA"/>
              </w:rPr>
              <w:t xml:space="preserve"> </w:t>
            </w:r>
            <w:r w:rsidRPr="00A051CF">
              <w:rPr>
                <w:b/>
                <w:sz w:val="21"/>
                <w:szCs w:val="21"/>
                <w:lang w:val="en-CA" w:eastAsia="en-CA"/>
              </w:rPr>
              <w:t>082</w:t>
            </w:r>
            <w:r w:rsidR="00A86723">
              <w:rPr>
                <w:b/>
                <w:sz w:val="21"/>
                <w:szCs w:val="21"/>
                <w:lang w:val="en-CA" w:eastAsia="en-CA"/>
              </w:rPr>
              <w:t xml:space="preserve"> </w:t>
            </w:r>
            <w:r w:rsidRPr="00A051CF">
              <w:rPr>
                <w:b/>
                <w:sz w:val="21"/>
                <w:szCs w:val="21"/>
                <w:lang w:val="en-CA" w:eastAsia="en-CA"/>
              </w:rPr>
              <w:t>006</w:t>
            </w:r>
          </w:p>
        </w:tc>
      </w:tr>
      <w:tr w:rsidR="00A70444" w:rsidRPr="00A051CF" w14:paraId="1BA197D9"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EE499A" w14:textId="77777777" w:rsidR="00A70444" w:rsidRPr="00727E76" w:rsidRDefault="00727E76" w:rsidP="000B114B">
            <w:pPr>
              <w:jc w:val="left"/>
              <w:rPr>
                <w:sz w:val="21"/>
                <w:szCs w:val="21"/>
                <w:lang w:val="es-ES" w:eastAsia="en-CA"/>
              </w:rPr>
            </w:pPr>
            <w:r w:rsidRPr="00727E76">
              <w:rPr>
                <w:sz w:val="21"/>
                <w:szCs w:val="21"/>
                <w:lang w:val="es-ES" w:eastAsia="en-CA"/>
              </w:rPr>
              <w:t>Gastos de apoyo al organismo</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58A746F" w14:textId="0E480D36" w:rsidR="00A70444" w:rsidRPr="00A051CF" w:rsidRDefault="00A70444" w:rsidP="000B114B">
            <w:pPr>
              <w:jc w:val="right"/>
              <w:rPr>
                <w:sz w:val="21"/>
                <w:szCs w:val="21"/>
                <w:lang w:val="en-CA" w:eastAsia="en-CA"/>
              </w:rPr>
            </w:pPr>
            <w:r w:rsidRPr="00A051CF">
              <w:rPr>
                <w:sz w:val="21"/>
                <w:szCs w:val="21"/>
                <w:lang w:val="en-CA" w:eastAsia="en-CA"/>
              </w:rPr>
              <w:t>117</w:t>
            </w:r>
            <w:r w:rsidR="00A86723">
              <w:rPr>
                <w:sz w:val="21"/>
                <w:szCs w:val="21"/>
                <w:lang w:val="en-CA" w:eastAsia="en-CA"/>
              </w:rPr>
              <w:t xml:space="preserve"> </w:t>
            </w:r>
            <w:r w:rsidRPr="00A051CF">
              <w:rPr>
                <w:sz w:val="21"/>
                <w:szCs w:val="21"/>
                <w:lang w:val="en-CA" w:eastAsia="en-CA"/>
              </w:rPr>
              <w:t>016</w:t>
            </w:r>
            <w:r w:rsidR="00A86723">
              <w:rPr>
                <w:sz w:val="21"/>
                <w:szCs w:val="21"/>
                <w:lang w:val="en-CA" w:eastAsia="en-CA"/>
              </w:rPr>
              <w:t xml:space="preserve"> </w:t>
            </w:r>
            <w:r w:rsidRPr="00A051CF">
              <w:rPr>
                <w:sz w:val="21"/>
                <w:szCs w:val="21"/>
                <w:lang w:val="en-CA" w:eastAsia="en-CA"/>
              </w:rPr>
              <w:t>674</w:t>
            </w:r>
          </w:p>
        </w:tc>
      </w:tr>
      <w:tr w:rsidR="00A70444" w:rsidRPr="00A051CF" w14:paraId="31FD65EA" w14:textId="77777777" w:rsidTr="000B114B">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4B2B49" w14:textId="77777777" w:rsidR="00A70444" w:rsidRPr="00A051CF" w:rsidRDefault="00A70444" w:rsidP="000B114B">
            <w:pPr>
              <w:jc w:val="left"/>
              <w:rPr>
                <w:b/>
                <w:bCs/>
                <w:sz w:val="21"/>
                <w:szCs w:val="21"/>
                <w:lang w:val="en-CA" w:eastAsia="en-CA"/>
              </w:rPr>
            </w:pPr>
            <w:r w:rsidRPr="00A051CF">
              <w:rPr>
                <w:b/>
                <w:bCs/>
                <w:sz w:val="21"/>
                <w:szCs w:val="21"/>
                <w:lang w:val="en-CA"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BC865FC" w14:textId="40F335DB" w:rsidR="00A70444" w:rsidRPr="00A051CF" w:rsidRDefault="00A70444" w:rsidP="000B114B">
            <w:pPr>
              <w:jc w:val="right"/>
              <w:rPr>
                <w:b/>
                <w:sz w:val="21"/>
                <w:szCs w:val="21"/>
                <w:lang w:val="en-CA" w:eastAsia="en-CA"/>
              </w:rPr>
            </w:pPr>
            <w:r w:rsidRPr="00A051CF">
              <w:rPr>
                <w:b/>
                <w:sz w:val="21"/>
                <w:szCs w:val="21"/>
                <w:lang w:val="en-CA" w:eastAsia="en-CA"/>
              </w:rPr>
              <w:t>1</w:t>
            </w:r>
            <w:r w:rsidR="00A86723">
              <w:rPr>
                <w:b/>
                <w:sz w:val="21"/>
                <w:szCs w:val="21"/>
                <w:lang w:val="en-CA" w:eastAsia="en-CA"/>
              </w:rPr>
              <w:t xml:space="preserve"> </w:t>
            </w:r>
            <w:r w:rsidRPr="00A051CF">
              <w:rPr>
                <w:b/>
                <w:sz w:val="21"/>
                <w:szCs w:val="21"/>
                <w:lang w:val="en-CA" w:eastAsia="en-CA"/>
              </w:rPr>
              <w:t>280</w:t>
            </w:r>
            <w:r w:rsidR="00A86723">
              <w:rPr>
                <w:b/>
                <w:sz w:val="21"/>
                <w:szCs w:val="21"/>
                <w:lang w:val="en-CA" w:eastAsia="en-CA"/>
              </w:rPr>
              <w:t xml:space="preserve"> </w:t>
            </w:r>
            <w:r w:rsidRPr="00A051CF">
              <w:rPr>
                <w:b/>
                <w:sz w:val="21"/>
                <w:szCs w:val="21"/>
                <w:lang w:val="en-CA" w:eastAsia="en-CA"/>
              </w:rPr>
              <w:t>098,680</w:t>
            </w:r>
          </w:p>
        </w:tc>
      </w:tr>
    </w:tbl>
    <w:p w14:paraId="613B9507" w14:textId="77777777" w:rsidR="00A70444" w:rsidRPr="00A051CF" w:rsidRDefault="00A70444" w:rsidP="00A70444">
      <w:pPr>
        <w:rPr>
          <w:lang w:val="en-CA"/>
        </w:rPr>
      </w:pPr>
    </w:p>
    <w:p w14:paraId="45D11146" w14:textId="4424098F" w:rsidR="00A70444" w:rsidRPr="000C4C5F" w:rsidRDefault="000C4C5F" w:rsidP="00A70444">
      <w:pPr>
        <w:pStyle w:val="Heading1"/>
        <w:rPr>
          <w:lang w:val="es-ES"/>
        </w:rPr>
      </w:pPr>
      <w:r>
        <w:rPr>
          <w:lang w:val="es-ES"/>
        </w:rPr>
        <w:t xml:space="preserve">El </w:t>
      </w:r>
      <w:r w:rsidR="00FE3418" w:rsidRPr="000C4C5F">
        <w:rPr>
          <w:lang w:val="es-ES"/>
        </w:rPr>
        <w:t>Cuadro 2 resume el estado</w:t>
      </w:r>
      <w:r w:rsidRPr="000C4C5F">
        <w:rPr>
          <w:lang w:val="es-ES"/>
        </w:rPr>
        <w:t xml:space="preserve"> de situación de los proyectos implementados, por categor</w:t>
      </w:r>
      <w:r>
        <w:rPr>
          <w:lang w:val="es-ES"/>
        </w:rPr>
        <w:t>ía</w:t>
      </w:r>
      <w:r w:rsidR="00A86723">
        <w:rPr>
          <w:lang w:val="es-ES"/>
        </w:rPr>
        <w:t xml:space="preserve">. </w:t>
      </w:r>
      <w:r w:rsidR="00A70444" w:rsidRPr="000C4C5F">
        <w:rPr>
          <w:lang w:val="es-ES"/>
        </w:rPr>
        <w:t xml:space="preserve"> </w:t>
      </w:r>
    </w:p>
    <w:p w14:paraId="00907B35" w14:textId="77777777" w:rsidR="00A70444" w:rsidRPr="00FA0957" w:rsidRDefault="000C4C5F" w:rsidP="00A70444">
      <w:pPr>
        <w:keepNext/>
        <w:jc w:val="left"/>
        <w:rPr>
          <w:b/>
          <w:lang w:val="es-ES"/>
        </w:rPr>
      </w:pPr>
      <w:bookmarkStart w:id="0" w:name="_GoBack"/>
      <w:bookmarkEnd w:id="0"/>
      <w:r w:rsidRPr="00FA0957">
        <w:rPr>
          <w:b/>
          <w:lang w:val="es-ES"/>
        </w:rPr>
        <w:t>Cuadro</w:t>
      </w:r>
      <w:r w:rsidR="00A70444" w:rsidRPr="00FA0957">
        <w:rPr>
          <w:b/>
          <w:lang w:val="es-ES"/>
        </w:rPr>
        <w:t xml:space="preserve"> 2: </w:t>
      </w:r>
      <w:r w:rsidR="00FA0957" w:rsidRPr="00FA0957">
        <w:rPr>
          <w:b/>
          <w:spacing w:val="-3"/>
          <w:lang w:val="es-ES"/>
        </w:rPr>
        <w:t>Estado de situación de la implementaci</w:t>
      </w:r>
      <w:r w:rsidR="00FA0957">
        <w:rPr>
          <w:b/>
          <w:spacing w:val="-3"/>
          <w:lang w:val="es-ES"/>
        </w:rPr>
        <w:t>ón de proyectos, por categoría</w:t>
      </w:r>
      <w:r w:rsidR="00A70444" w:rsidRPr="00FA0957">
        <w:rPr>
          <w:b/>
          <w:spacing w:val="-3"/>
          <w:lang w:val="es-ES"/>
        </w:rPr>
        <w:t xml:space="preserve"> </w:t>
      </w:r>
    </w:p>
    <w:tbl>
      <w:tblPr>
        <w:tblW w:w="9360" w:type="dxa"/>
        <w:tblInd w:w="-5" w:type="dxa"/>
        <w:tblLayout w:type="fixed"/>
        <w:tblLook w:val="04A0" w:firstRow="1" w:lastRow="0" w:firstColumn="1" w:lastColumn="0" w:noHBand="0" w:noVBand="1"/>
      </w:tblPr>
      <w:tblGrid>
        <w:gridCol w:w="1620"/>
        <w:gridCol w:w="1105"/>
        <w:gridCol w:w="1106"/>
        <w:gridCol w:w="1119"/>
        <w:gridCol w:w="1092"/>
        <w:gridCol w:w="1106"/>
        <w:gridCol w:w="1106"/>
        <w:gridCol w:w="1106"/>
      </w:tblGrid>
      <w:tr w:rsidR="00A70444" w:rsidRPr="00A051CF" w14:paraId="3E5A0E98" w14:textId="77777777" w:rsidTr="000B114B">
        <w:trPr>
          <w:trHeight w:val="58"/>
          <w:tblHead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14" w:type="dxa"/>
            </w:tcMar>
            <w:hideMark/>
          </w:tcPr>
          <w:p w14:paraId="41D34C63" w14:textId="77777777" w:rsidR="00A70444" w:rsidRPr="00A051CF" w:rsidRDefault="00A70444" w:rsidP="006C7E94">
            <w:pPr>
              <w:jc w:val="center"/>
              <w:rPr>
                <w:b/>
                <w:bCs/>
                <w:sz w:val="18"/>
                <w:szCs w:val="18"/>
                <w:lang w:val="en-CA" w:eastAsia="en-CA"/>
              </w:rPr>
            </w:pPr>
            <w:r w:rsidRPr="00A051CF">
              <w:rPr>
                <w:b/>
                <w:bCs/>
                <w:sz w:val="18"/>
                <w:szCs w:val="18"/>
                <w:lang w:val="en-CA" w:eastAsia="en-CA"/>
              </w:rPr>
              <w:t>T</w:t>
            </w:r>
            <w:r w:rsidR="006C7E94">
              <w:rPr>
                <w:b/>
                <w:bCs/>
                <w:sz w:val="18"/>
                <w:szCs w:val="18"/>
                <w:lang w:val="en-CA" w:eastAsia="en-CA"/>
              </w:rPr>
              <w:t>ipo</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62264B47" w14:textId="77777777" w:rsidR="00A70444" w:rsidRPr="00A051CF" w:rsidRDefault="002B1C03" w:rsidP="000B114B">
            <w:pPr>
              <w:jc w:val="center"/>
              <w:rPr>
                <w:b/>
                <w:bCs/>
                <w:sz w:val="18"/>
                <w:szCs w:val="18"/>
                <w:lang w:val="en-CA" w:eastAsia="en-CA"/>
              </w:rPr>
            </w:pPr>
            <w:r>
              <w:rPr>
                <w:b/>
                <w:bCs/>
                <w:sz w:val="18"/>
                <w:szCs w:val="18"/>
                <w:lang w:val="en-CA" w:eastAsia="en-CA"/>
              </w:rPr>
              <w:t>Número de proyectos</w:t>
            </w:r>
            <w:r w:rsidR="00A70444" w:rsidRPr="00A051CF">
              <w:rPr>
                <w:b/>
                <w:bCs/>
                <w:sz w:val="18"/>
                <w:szCs w:val="18"/>
                <w:lang w:val="en-CA" w:eastAsia="en-CA"/>
              </w:rPr>
              <w:t>*</w:t>
            </w:r>
          </w:p>
        </w:tc>
        <w:tc>
          <w:tcPr>
            <w:tcW w:w="4410" w:type="dxa"/>
            <w:gridSpan w:val="4"/>
            <w:tcBorders>
              <w:top w:val="single" w:sz="4" w:space="0" w:color="auto"/>
              <w:left w:val="nil"/>
              <w:bottom w:val="single" w:sz="4" w:space="0" w:color="auto"/>
              <w:right w:val="single" w:sz="4" w:space="0" w:color="auto"/>
            </w:tcBorders>
            <w:shd w:val="clear" w:color="auto" w:fill="auto"/>
            <w:noWrap/>
            <w:hideMark/>
          </w:tcPr>
          <w:p w14:paraId="7222DBE0" w14:textId="77777777" w:rsidR="00A70444" w:rsidRPr="00A051CF" w:rsidRDefault="002B1C03" w:rsidP="00582230">
            <w:pPr>
              <w:jc w:val="center"/>
              <w:rPr>
                <w:b/>
                <w:bCs/>
                <w:sz w:val="18"/>
                <w:szCs w:val="18"/>
                <w:lang w:val="en-CA" w:eastAsia="en-CA"/>
              </w:rPr>
            </w:pPr>
            <w:r>
              <w:rPr>
                <w:b/>
                <w:bCs/>
                <w:sz w:val="18"/>
                <w:szCs w:val="18"/>
                <w:lang w:val="en-CA" w:eastAsia="en-CA"/>
              </w:rPr>
              <w:t>Financiamento</w:t>
            </w:r>
            <w:r w:rsidR="00582230">
              <w:rPr>
                <w:b/>
                <w:bCs/>
                <w:sz w:val="18"/>
                <w:szCs w:val="18"/>
                <w:lang w:val="en-CA" w:eastAsia="en-CA"/>
              </w:rPr>
              <w:t xml:space="preserve"> </w:t>
            </w:r>
            <w:r w:rsidR="00582230" w:rsidRPr="00A051CF">
              <w:rPr>
                <w:b/>
                <w:bCs/>
                <w:color w:val="000000"/>
                <w:sz w:val="18"/>
                <w:szCs w:val="18"/>
                <w:lang w:val="en-US" w:eastAsia="en-CA"/>
              </w:rPr>
              <w:t>($</w:t>
            </w:r>
            <w:r w:rsidR="00582230">
              <w:rPr>
                <w:b/>
                <w:bCs/>
                <w:color w:val="000000"/>
                <w:sz w:val="18"/>
                <w:szCs w:val="18"/>
                <w:lang w:val="en-US" w:eastAsia="en-CA"/>
              </w:rPr>
              <w:t>EUA</w:t>
            </w:r>
            <w:r w:rsidR="00A70444" w:rsidRPr="00A051CF">
              <w:rPr>
                <w:b/>
                <w:bCs/>
                <w:sz w:val="18"/>
                <w:szCs w:val="18"/>
                <w:lang w:val="en-CA" w:eastAsia="en-CA"/>
              </w:rPr>
              <w:t>)**</w:t>
            </w:r>
          </w:p>
        </w:tc>
      </w:tr>
      <w:tr w:rsidR="00A70444" w:rsidRPr="00A051CF" w14:paraId="672150A4" w14:textId="77777777" w:rsidTr="000B114B">
        <w:trPr>
          <w:tblHeader/>
        </w:trPr>
        <w:tc>
          <w:tcPr>
            <w:tcW w:w="1620" w:type="dxa"/>
            <w:vMerge/>
            <w:tcBorders>
              <w:top w:val="single" w:sz="4" w:space="0" w:color="auto"/>
              <w:left w:val="single" w:sz="4" w:space="0" w:color="auto"/>
              <w:bottom w:val="single" w:sz="4" w:space="0" w:color="auto"/>
              <w:right w:val="single" w:sz="4" w:space="0" w:color="auto"/>
            </w:tcBorders>
            <w:tcMar>
              <w:left w:w="29" w:type="dxa"/>
              <w:right w:w="14" w:type="dxa"/>
            </w:tcMar>
            <w:hideMark/>
          </w:tcPr>
          <w:p w14:paraId="1FEEBE8E" w14:textId="77777777" w:rsidR="00A70444" w:rsidRPr="00A051CF" w:rsidRDefault="00A70444" w:rsidP="000B114B">
            <w:pPr>
              <w:jc w:val="left"/>
              <w:rPr>
                <w:b/>
                <w:bCs/>
                <w:sz w:val="18"/>
                <w:szCs w:val="18"/>
                <w:lang w:val="en-CA" w:eastAsia="en-CA"/>
              </w:rPr>
            </w:pPr>
          </w:p>
        </w:tc>
        <w:tc>
          <w:tcPr>
            <w:tcW w:w="1105"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510FF31" w14:textId="77777777" w:rsidR="00A70444" w:rsidRPr="00A051CF" w:rsidRDefault="002B1C03" w:rsidP="000B114B">
            <w:pPr>
              <w:jc w:val="center"/>
              <w:rPr>
                <w:b/>
                <w:bCs/>
                <w:sz w:val="18"/>
                <w:szCs w:val="18"/>
                <w:lang w:val="en-CA" w:eastAsia="en-CA"/>
              </w:rPr>
            </w:pPr>
            <w:r>
              <w:rPr>
                <w:b/>
                <w:bCs/>
                <w:sz w:val="18"/>
                <w:szCs w:val="18"/>
                <w:lang w:val="en-US" w:eastAsia="en-CA"/>
              </w:rPr>
              <w:t>Aprobado</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81AB7B8" w14:textId="77777777" w:rsidR="00A70444" w:rsidRPr="00A051CF" w:rsidRDefault="002B1C03" w:rsidP="000B114B">
            <w:pPr>
              <w:jc w:val="center"/>
              <w:rPr>
                <w:b/>
                <w:bCs/>
                <w:sz w:val="18"/>
                <w:szCs w:val="18"/>
                <w:lang w:val="en-CA" w:eastAsia="en-CA"/>
              </w:rPr>
            </w:pPr>
            <w:r>
              <w:rPr>
                <w:b/>
                <w:bCs/>
                <w:sz w:val="18"/>
                <w:szCs w:val="18"/>
                <w:lang w:val="en-US" w:eastAsia="en-CA"/>
              </w:rPr>
              <w:t>Terminado</w:t>
            </w:r>
          </w:p>
        </w:tc>
        <w:tc>
          <w:tcPr>
            <w:tcW w:w="111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5406DB2B" w14:textId="77777777" w:rsidR="00A70444" w:rsidRPr="00A051CF" w:rsidRDefault="002B1C03" w:rsidP="000B114B">
            <w:pPr>
              <w:jc w:val="center"/>
              <w:rPr>
                <w:b/>
                <w:bCs/>
                <w:sz w:val="18"/>
                <w:szCs w:val="18"/>
                <w:lang w:val="en-CA" w:eastAsia="en-CA"/>
              </w:rPr>
            </w:pPr>
            <w:r>
              <w:rPr>
                <w:b/>
                <w:bCs/>
                <w:sz w:val="18"/>
                <w:szCs w:val="18"/>
                <w:lang w:val="en-US" w:eastAsia="en-CA"/>
              </w:rPr>
              <w:t>Porcentaje terminado</w:t>
            </w:r>
          </w:p>
        </w:tc>
        <w:tc>
          <w:tcPr>
            <w:tcW w:w="1092"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612EBD8" w14:textId="77777777" w:rsidR="00A70444" w:rsidRPr="00A051CF" w:rsidRDefault="002B1C03" w:rsidP="000B114B">
            <w:pPr>
              <w:jc w:val="center"/>
              <w:rPr>
                <w:b/>
                <w:bCs/>
                <w:sz w:val="18"/>
                <w:szCs w:val="18"/>
                <w:lang w:val="en-CA" w:eastAsia="en-CA"/>
              </w:rPr>
            </w:pPr>
            <w:r>
              <w:rPr>
                <w:b/>
                <w:bCs/>
                <w:sz w:val="18"/>
                <w:szCs w:val="18"/>
                <w:lang w:val="en-US" w:eastAsia="en-CA"/>
              </w:rPr>
              <w:t>Aprobado</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3EEE9489" w14:textId="77777777" w:rsidR="00A70444" w:rsidRPr="00A051CF" w:rsidRDefault="002B1C03" w:rsidP="000B114B">
            <w:pPr>
              <w:jc w:val="center"/>
              <w:rPr>
                <w:b/>
                <w:bCs/>
                <w:sz w:val="18"/>
                <w:szCs w:val="18"/>
                <w:lang w:val="en-CA" w:eastAsia="en-CA"/>
              </w:rPr>
            </w:pPr>
            <w:r>
              <w:rPr>
                <w:b/>
                <w:bCs/>
                <w:sz w:val="18"/>
                <w:szCs w:val="18"/>
                <w:lang w:val="en-US" w:eastAsia="en-CA"/>
              </w:rPr>
              <w:t>Desembolsado</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61C52828" w14:textId="77777777" w:rsidR="00A70444" w:rsidRPr="00A051CF" w:rsidRDefault="002B1C03" w:rsidP="000B114B">
            <w:pPr>
              <w:jc w:val="center"/>
              <w:rPr>
                <w:b/>
                <w:bCs/>
                <w:sz w:val="18"/>
                <w:szCs w:val="18"/>
                <w:lang w:val="en-CA" w:eastAsia="en-CA"/>
              </w:rPr>
            </w:pPr>
            <w:r>
              <w:rPr>
                <w:b/>
                <w:bCs/>
                <w:sz w:val="18"/>
                <w:szCs w:val="18"/>
                <w:lang w:val="en-US" w:eastAsia="en-CA"/>
              </w:rPr>
              <w:t>Saldo</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63A25EF2" w14:textId="77777777" w:rsidR="00A70444" w:rsidRPr="00A051CF" w:rsidRDefault="002B1C03" w:rsidP="000B114B">
            <w:pPr>
              <w:jc w:val="center"/>
              <w:rPr>
                <w:b/>
                <w:bCs/>
                <w:sz w:val="18"/>
                <w:szCs w:val="18"/>
                <w:lang w:val="en-CA" w:eastAsia="en-CA"/>
              </w:rPr>
            </w:pPr>
            <w:r>
              <w:rPr>
                <w:b/>
                <w:bCs/>
                <w:sz w:val="18"/>
                <w:szCs w:val="18"/>
                <w:lang w:val="en-US" w:eastAsia="en-CA"/>
              </w:rPr>
              <w:t>Porcentaje desembolsado</w:t>
            </w:r>
          </w:p>
        </w:tc>
      </w:tr>
      <w:tr w:rsidR="00A70444" w:rsidRPr="00A051CF" w14:paraId="777FEEB4"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041F7E8C" w14:textId="77777777" w:rsidR="00A70444" w:rsidRPr="00A051CF" w:rsidRDefault="006C7E94" w:rsidP="000B114B">
            <w:pPr>
              <w:jc w:val="left"/>
              <w:rPr>
                <w:sz w:val="18"/>
                <w:szCs w:val="18"/>
                <w:lang w:val="en-CA" w:eastAsia="en-CA"/>
              </w:rPr>
            </w:pPr>
            <w:r>
              <w:rPr>
                <w:sz w:val="18"/>
                <w:szCs w:val="18"/>
                <w:lang w:val="en-CA" w:eastAsia="en-CA"/>
              </w:rPr>
              <w:t>Programa de país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746619A"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21B393E"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196FF9BC"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77CC5EA9" w14:textId="7CD08B7D"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627</w:t>
            </w:r>
            <w:r w:rsidR="00A86723">
              <w:rPr>
                <w:sz w:val="18"/>
                <w:szCs w:val="18"/>
                <w:lang w:val="en-CA" w:eastAsia="en-CA"/>
              </w:rPr>
              <w:t xml:space="preserve"> </w:t>
            </w:r>
            <w:r w:rsidRPr="00A051CF">
              <w:rPr>
                <w:sz w:val="18"/>
                <w:szCs w:val="18"/>
                <w:lang w:val="en-CA" w:eastAsia="en-CA"/>
              </w:rPr>
              <w:t>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6587087" w14:textId="2932CCFC"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627</w:t>
            </w:r>
            <w:r w:rsidR="00A86723">
              <w:rPr>
                <w:sz w:val="18"/>
                <w:szCs w:val="18"/>
                <w:lang w:val="en-CA" w:eastAsia="en-CA"/>
              </w:rPr>
              <w:t xml:space="preserve"> </w:t>
            </w:r>
            <w:r w:rsidRPr="00A051CF">
              <w:rPr>
                <w:sz w:val="18"/>
                <w:szCs w:val="18"/>
                <w:lang w:val="en-CA" w:eastAsia="en-CA"/>
              </w:rPr>
              <w:t>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9E1E40E"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9F6AE0D"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20805435"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01F56243" w14:textId="77777777" w:rsidR="00A70444" w:rsidRPr="00A051CF" w:rsidRDefault="006C7E94" w:rsidP="000B114B">
            <w:pPr>
              <w:jc w:val="left"/>
              <w:rPr>
                <w:sz w:val="18"/>
                <w:szCs w:val="18"/>
                <w:lang w:val="en-CA" w:eastAsia="en-CA"/>
              </w:rPr>
            </w:pPr>
            <w:r>
              <w:rPr>
                <w:sz w:val="18"/>
                <w:szCs w:val="18"/>
                <w:lang w:val="en-CA" w:eastAsia="en-CA"/>
              </w:rPr>
              <w:t>Demonstración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3DC742FC" w14:textId="77777777" w:rsidR="00A70444" w:rsidRPr="00A051CF" w:rsidRDefault="00A70444" w:rsidP="000B114B">
            <w:pPr>
              <w:jc w:val="right"/>
              <w:rPr>
                <w:sz w:val="18"/>
                <w:szCs w:val="18"/>
                <w:lang w:val="en-CA" w:eastAsia="en-CA"/>
              </w:rPr>
            </w:pPr>
            <w:r w:rsidRPr="00A051CF">
              <w:rPr>
                <w:sz w:val="18"/>
                <w:szCs w:val="18"/>
                <w:lang w:val="en-CA" w:eastAsia="en-CA"/>
              </w:rPr>
              <w:t>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061A28E" w14:textId="77777777" w:rsidR="00A70444" w:rsidRPr="00A051CF" w:rsidRDefault="00A70444" w:rsidP="000B114B">
            <w:pPr>
              <w:jc w:val="right"/>
              <w:rPr>
                <w:sz w:val="18"/>
                <w:szCs w:val="18"/>
                <w:lang w:val="en-CA" w:eastAsia="en-CA"/>
              </w:rPr>
            </w:pPr>
            <w:r w:rsidRPr="00A051CF">
              <w:rPr>
                <w:sz w:val="18"/>
                <w:szCs w:val="18"/>
                <w:lang w:val="en-CA" w:eastAsia="en-CA"/>
              </w:rPr>
              <w:t>8</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CA5E65E"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63839A9C" w14:textId="495E82A9" w:rsidR="00A70444" w:rsidRPr="00A051CF" w:rsidRDefault="00A70444" w:rsidP="000B114B">
            <w:pPr>
              <w:jc w:val="right"/>
              <w:rPr>
                <w:sz w:val="18"/>
                <w:szCs w:val="18"/>
                <w:lang w:val="en-CA" w:eastAsia="en-CA"/>
              </w:rPr>
            </w:pPr>
            <w:r w:rsidRPr="00A051CF">
              <w:rPr>
                <w:sz w:val="18"/>
                <w:szCs w:val="18"/>
                <w:lang w:val="en-CA" w:eastAsia="en-CA"/>
              </w:rPr>
              <w:t>6</w:t>
            </w:r>
            <w:r w:rsidR="00A86723">
              <w:rPr>
                <w:sz w:val="18"/>
                <w:szCs w:val="18"/>
                <w:lang w:val="en-CA" w:eastAsia="en-CA"/>
              </w:rPr>
              <w:t xml:space="preserve"> </w:t>
            </w:r>
            <w:r w:rsidRPr="00A051CF">
              <w:rPr>
                <w:sz w:val="18"/>
                <w:szCs w:val="18"/>
                <w:lang w:val="en-CA" w:eastAsia="en-CA"/>
              </w:rPr>
              <w:t>313</w:t>
            </w:r>
            <w:r w:rsidR="00A86723">
              <w:rPr>
                <w:sz w:val="18"/>
                <w:szCs w:val="18"/>
                <w:lang w:val="en-CA" w:eastAsia="en-CA"/>
              </w:rPr>
              <w:t xml:space="preserve"> </w:t>
            </w:r>
            <w:r w:rsidRPr="00A051CF">
              <w:rPr>
                <w:sz w:val="18"/>
                <w:szCs w:val="18"/>
                <w:lang w:val="en-CA" w:eastAsia="en-CA"/>
              </w:rPr>
              <w:t>753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ACF332E" w14:textId="14F128C1" w:rsidR="00A70444" w:rsidRPr="00A051CF" w:rsidRDefault="00A70444" w:rsidP="000B114B">
            <w:pPr>
              <w:jc w:val="right"/>
              <w:rPr>
                <w:sz w:val="18"/>
                <w:szCs w:val="18"/>
                <w:lang w:val="en-CA" w:eastAsia="en-CA"/>
              </w:rPr>
            </w:pPr>
            <w:r w:rsidRPr="00A051CF">
              <w:rPr>
                <w:sz w:val="18"/>
                <w:szCs w:val="18"/>
                <w:lang w:val="en-CA" w:eastAsia="en-CA"/>
              </w:rPr>
              <w:t>6</w:t>
            </w:r>
            <w:r w:rsidR="00A86723">
              <w:rPr>
                <w:sz w:val="18"/>
                <w:szCs w:val="18"/>
                <w:lang w:val="en-CA" w:eastAsia="en-CA"/>
              </w:rPr>
              <w:t xml:space="preserve"> </w:t>
            </w:r>
            <w:r w:rsidRPr="00A051CF">
              <w:rPr>
                <w:sz w:val="18"/>
                <w:szCs w:val="18"/>
                <w:lang w:val="en-CA" w:eastAsia="en-CA"/>
              </w:rPr>
              <w:t>114</w:t>
            </w:r>
            <w:r w:rsidR="00A86723">
              <w:rPr>
                <w:sz w:val="18"/>
                <w:szCs w:val="18"/>
                <w:lang w:val="en-CA" w:eastAsia="en-CA"/>
              </w:rPr>
              <w:t xml:space="preserve"> </w:t>
            </w:r>
            <w:r w:rsidRPr="00A051CF">
              <w:rPr>
                <w:sz w:val="18"/>
                <w:szCs w:val="18"/>
                <w:lang w:val="en-CA" w:eastAsia="en-CA"/>
              </w:rPr>
              <w:t>808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9EB43C1" w14:textId="79CE0842" w:rsidR="00A70444" w:rsidRPr="00A051CF" w:rsidRDefault="00A70444" w:rsidP="000B114B">
            <w:pPr>
              <w:jc w:val="right"/>
              <w:rPr>
                <w:sz w:val="18"/>
                <w:szCs w:val="18"/>
                <w:lang w:val="en-CA" w:eastAsia="en-CA"/>
              </w:rPr>
            </w:pPr>
            <w:r w:rsidRPr="00A051CF">
              <w:rPr>
                <w:sz w:val="18"/>
                <w:szCs w:val="18"/>
                <w:lang w:val="en-CA" w:eastAsia="en-CA"/>
              </w:rPr>
              <w:t>198</w:t>
            </w:r>
            <w:r w:rsidR="00A86723">
              <w:rPr>
                <w:sz w:val="18"/>
                <w:szCs w:val="18"/>
                <w:lang w:val="en-CA" w:eastAsia="en-CA"/>
              </w:rPr>
              <w:t xml:space="preserve"> </w:t>
            </w:r>
            <w:r w:rsidRPr="00A051CF">
              <w:rPr>
                <w:sz w:val="18"/>
                <w:szCs w:val="18"/>
                <w:lang w:val="en-CA" w:eastAsia="en-CA"/>
              </w:rPr>
              <w:t>945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1930700" w14:textId="77777777" w:rsidR="00A70444" w:rsidRPr="00A051CF" w:rsidRDefault="00A70444" w:rsidP="000B114B">
            <w:pPr>
              <w:jc w:val="right"/>
              <w:rPr>
                <w:sz w:val="18"/>
                <w:szCs w:val="18"/>
                <w:lang w:val="en-CA" w:eastAsia="en-CA"/>
              </w:rPr>
            </w:pPr>
            <w:r w:rsidRPr="00A051CF">
              <w:rPr>
                <w:sz w:val="18"/>
                <w:szCs w:val="18"/>
                <w:lang w:val="en-CA" w:eastAsia="en-CA"/>
              </w:rPr>
              <w:t>97</w:t>
            </w:r>
          </w:p>
        </w:tc>
      </w:tr>
      <w:tr w:rsidR="00A70444" w:rsidRPr="00A051CF" w14:paraId="490BEB40"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762B3A7C" w14:textId="77777777" w:rsidR="00A70444" w:rsidRPr="00A051CF" w:rsidRDefault="006C7E94" w:rsidP="000B114B">
            <w:pPr>
              <w:jc w:val="left"/>
              <w:rPr>
                <w:sz w:val="18"/>
                <w:szCs w:val="18"/>
                <w:lang w:val="en-CA" w:eastAsia="en-CA"/>
              </w:rPr>
            </w:pPr>
            <w:r>
              <w:rPr>
                <w:sz w:val="18"/>
                <w:szCs w:val="18"/>
                <w:lang w:val="en-CA" w:eastAsia="en-CA"/>
              </w:rPr>
              <w:t>Fortalecimiento institucional</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736FA0F4" w14:textId="77777777" w:rsidR="00A70444" w:rsidRPr="00A051CF" w:rsidRDefault="00A70444" w:rsidP="000B114B">
            <w:pPr>
              <w:jc w:val="right"/>
              <w:rPr>
                <w:sz w:val="18"/>
                <w:szCs w:val="18"/>
                <w:lang w:val="en-CA" w:eastAsia="en-CA"/>
              </w:rPr>
            </w:pPr>
            <w:r w:rsidRPr="00A051CF">
              <w:rPr>
                <w:sz w:val="18"/>
                <w:szCs w:val="18"/>
                <w:lang w:val="en-CA" w:eastAsia="en-CA"/>
              </w:rPr>
              <w:t>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C7E9EDD" w14:textId="77777777" w:rsidR="00A70444" w:rsidRPr="00A051CF" w:rsidRDefault="00A70444" w:rsidP="000B114B">
            <w:pPr>
              <w:jc w:val="right"/>
              <w:rPr>
                <w:sz w:val="18"/>
                <w:szCs w:val="18"/>
                <w:lang w:val="en-CA" w:eastAsia="en-CA"/>
              </w:rPr>
            </w:pPr>
            <w:r w:rsidRPr="00A051CF">
              <w:rPr>
                <w:sz w:val="18"/>
                <w:szCs w:val="18"/>
                <w:lang w:val="en-CA" w:eastAsia="en-CA"/>
              </w:rPr>
              <w:t>47</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40A13F41" w14:textId="77777777" w:rsidR="00A70444" w:rsidRPr="00A051CF" w:rsidRDefault="00A70444" w:rsidP="000B114B">
            <w:pPr>
              <w:jc w:val="right"/>
              <w:rPr>
                <w:sz w:val="18"/>
                <w:szCs w:val="18"/>
                <w:lang w:val="en-CA" w:eastAsia="en-CA"/>
              </w:rPr>
            </w:pPr>
            <w:r w:rsidRPr="00A051CF">
              <w:rPr>
                <w:sz w:val="18"/>
                <w:szCs w:val="18"/>
                <w:lang w:val="en-CA" w:eastAsia="en-CA"/>
              </w:rPr>
              <w:t>94</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05047895" w14:textId="5B5914C2" w:rsidR="00A70444" w:rsidRPr="00A051CF" w:rsidRDefault="00A70444" w:rsidP="000B114B">
            <w:pPr>
              <w:jc w:val="right"/>
              <w:rPr>
                <w:sz w:val="18"/>
                <w:szCs w:val="18"/>
                <w:lang w:val="en-CA" w:eastAsia="en-CA"/>
              </w:rPr>
            </w:pPr>
            <w:r w:rsidRPr="00A051CF">
              <w:rPr>
                <w:sz w:val="18"/>
                <w:szCs w:val="18"/>
                <w:lang w:val="en-CA" w:eastAsia="en-CA"/>
              </w:rPr>
              <w:t>9</w:t>
            </w:r>
            <w:r w:rsidR="00A86723">
              <w:rPr>
                <w:sz w:val="18"/>
                <w:szCs w:val="18"/>
                <w:lang w:val="en-CA" w:eastAsia="en-CA"/>
              </w:rPr>
              <w:t xml:space="preserve"> </w:t>
            </w:r>
            <w:r w:rsidRPr="00A051CF">
              <w:rPr>
                <w:sz w:val="18"/>
                <w:szCs w:val="18"/>
                <w:lang w:val="en-CA" w:eastAsia="en-CA"/>
              </w:rPr>
              <w:t>569</w:t>
            </w:r>
            <w:r w:rsidR="00A86723">
              <w:rPr>
                <w:sz w:val="18"/>
                <w:szCs w:val="18"/>
                <w:lang w:val="en-CA" w:eastAsia="en-CA"/>
              </w:rPr>
              <w:t xml:space="preserve"> </w:t>
            </w:r>
            <w:r w:rsidRPr="00A051CF">
              <w:rPr>
                <w:sz w:val="18"/>
                <w:szCs w:val="18"/>
                <w:lang w:val="en-CA" w:eastAsia="en-CA"/>
              </w:rPr>
              <w:t>981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792A90C" w14:textId="50EB786D" w:rsidR="00A70444" w:rsidRPr="00A051CF" w:rsidRDefault="00A70444" w:rsidP="000B114B">
            <w:pPr>
              <w:jc w:val="right"/>
              <w:rPr>
                <w:sz w:val="18"/>
                <w:szCs w:val="18"/>
                <w:lang w:val="en-CA" w:eastAsia="en-CA"/>
              </w:rPr>
            </w:pPr>
            <w:r w:rsidRPr="00A051CF">
              <w:rPr>
                <w:sz w:val="18"/>
                <w:szCs w:val="18"/>
                <w:lang w:val="en-CA" w:eastAsia="en-CA"/>
              </w:rPr>
              <w:t>8</w:t>
            </w:r>
            <w:r w:rsidR="00A86723">
              <w:rPr>
                <w:sz w:val="18"/>
                <w:szCs w:val="18"/>
                <w:lang w:val="en-CA" w:eastAsia="en-CA"/>
              </w:rPr>
              <w:t xml:space="preserve"> </w:t>
            </w:r>
            <w:r w:rsidRPr="00A051CF">
              <w:rPr>
                <w:sz w:val="18"/>
                <w:szCs w:val="18"/>
                <w:lang w:val="en-CA" w:eastAsia="en-CA"/>
              </w:rPr>
              <w:t>823</w:t>
            </w:r>
            <w:r w:rsidR="00A86723">
              <w:rPr>
                <w:sz w:val="18"/>
                <w:szCs w:val="18"/>
                <w:lang w:val="en-CA" w:eastAsia="en-CA"/>
              </w:rPr>
              <w:t xml:space="preserve"> </w:t>
            </w:r>
            <w:r w:rsidRPr="00A051CF">
              <w:rPr>
                <w:sz w:val="18"/>
                <w:szCs w:val="18"/>
                <w:lang w:val="en-CA" w:eastAsia="en-CA"/>
              </w:rPr>
              <w:t>324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06BFEAF" w14:textId="331C5A7F" w:rsidR="00A70444" w:rsidRPr="00A051CF" w:rsidRDefault="00A70444" w:rsidP="000B114B">
            <w:pPr>
              <w:jc w:val="right"/>
              <w:rPr>
                <w:sz w:val="18"/>
                <w:szCs w:val="18"/>
                <w:lang w:val="en-CA" w:eastAsia="en-CA"/>
              </w:rPr>
            </w:pPr>
            <w:r w:rsidRPr="00A051CF">
              <w:rPr>
                <w:sz w:val="18"/>
                <w:szCs w:val="18"/>
                <w:lang w:val="en-CA" w:eastAsia="en-CA"/>
              </w:rPr>
              <w:t>746</w:t>
            </w:r>
            <w:r w:rsidR="00A86723">
              <w:rPr>
                <w:sz w:val="18"/>
                <w:szCs w:val="18"/>
                <w:lang w:val="en-CA" w:eastAsia="en-CA"/>
              </w:rPr>
              <w:t xml:space="preserve"> </w:t>
            </w:r>
            <w:r w:rsidRPr="00A051CF">
              <w:rPr>
                <w:sz w:val="18"/>
                <w:szCs w:val="18"/>
                <w:lang w:val="en-CA" w:eastAsia="en-CA"/>
              </w:rPr>
              <w:t>657</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A166ACB" w14:textId="77777777" w:rsidR="00A70444" w:rsidRPr="00A051CF" w:rsidRDefault="00A70444" w:rsidP="000B114B">
            <w:pPr>
              <w:jc w:val="right"/>
              <w:rPr>
                <w:sz w:val="18"/>
                <w:szCs w:val="18"/>
                <w:lang w:val="en-CA" w:eastAsia="en-CA"/>
              </w:rPr>
            </w:pPr>
            <w:r w:rsidRPr="00A051CF">
              <w:rPr>
                <w:sz w:val="18"/>
                <w:szCs w:val="18"/>
                <w:lang w:val="en-CA" w:eastAsia="en-CA"/>
              </w:rPr>
              <w:t>92</w:t>
            </w:r>
          </w:p>
        </w:tc>
      </w:tr>
      <w:tr w:rsidR="00A70444" w:rsidRPr="00A051CF" w14:paraId="465EF103"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694CD9AD" w14:textId="77777777" w:rsidR="00A70444" w:rsidRPr="00A051CF" w:rsidRDefault="006C7E94" w:rsidP="000B114B">
            <w:pPr>
              <w:jc w:val="left"/>
              <w:rPr>
                <w:sz w:val="18"/>
                <w:szCs w:val="18"/>
                <w:lang w:val="en-CA" w:eastAsia="en-CA"/>
              </w:rPr>
            </w:pPr>
            <w:r>
              <w:rPr>
                <w:sz w:val="18"/>
                <w:szCs w:val="18"/>
                <w:lang w:val="en-CA" w:eastAsia="en-CA"/>
              </w:rPr>
              <w:t>Inversión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447C379" w14:textId="77777777" w:rsidR="00A70444" w:rsidRPr="00A051CF" w:rsidRDefault="00A70444" w:rsidP="000B114B">
            <w:pPr>
              <w:jc w:val="right"/>
              <w:rPr>
                <w:sz w:val="18"/>
                <w:szCs w:val="18"/>
                <w:lang w:val="en-CA" w:eastAsia="en-CA"/>
              </w:rPr>
            </w:pPr>
            <w:r w:rsidRPr="00A051CF">
              <w:rPr>
                <w:sz w:val="18"/>
                <w:szCs w:val="18"/>
                <w:lang w:val="en-CA" w:eastAsia="en-CA"/>
              </w:rPr>
              <w:t>632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022DBF1" w14:textId="77777777" w:rsidR="00A70444" w:rsidRPr="00A051CF" w:rsidRDefault="00A70444" w:rsidP="000B114B">
            <w:pPr>
              <w:jc w:val="right"/>
              <w:rPr>
                <w:sz w:val="18"/>
                <w:szCs w:val="18"/>
                <w:lang w:val="en-CA" w:eastAsia="en-CA"/>
              </w:rPr>
            </w:pPr>
            <w:r w:rsidRPr="00A051CF">
              <w:rPr>
                <w:sz w:val="18"/>
                <w:szCs w:val="18"/>
                <w:lang w:val="en-CA" w:eastAsia="en-CA"/>
              </w:rPr>
              <w:t>615</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245C5E01" w14:textId="77777777" w:rsidR="00A70444" w:rsidRPr="00A051CF" w:rsidRDefault="00A70444" w:rsidP="000B114B">
            <w:pPr>
              <w:jc w:val="right"/>
              <w:rPr>
                <w:sz w:val="18"/>
                <w:szCs w:val="18"/>
                <w:lang w:val="en-CA" w:eastAsia="en-CA"/>
              </w:rPr>
            </w:pPr>
            <w:r w:rsidRPr="00A051CF">
              <w:rPr>
                <w:sz w:val="18"/>
                <w:szCs w:val="18"/>
                <w:lang w:val="en-CA" w:eastAsia="en-CA"/>
              </w:rPr>
              <w:t>97</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068F21B6" w14:textId="38405D06"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102</w:t>
            </w:r>
            <w:r w:rsidR="00A86723">
              <w:rPr>
                <w:sz w:val="18"/>
                <w:szCs w:val="18"/>
                <w:lang w:val="en-CA" w:eastAsia="en-CA"/>
              </w:rPr>
              <w:t xml:space="preserve"> </w:t>
            </w:r>
            <w:r w:rsidRPr="00A051CF">
              <w:rPr>
                <w:sz w:val="18"/>
                <w:szCs w:val="18"/>
                <w:lang w:val="en-CA" w:eastAsia="en-CA"/>
              </w:rPr>
              <w:t>492</w:t>
            </w:r>
            <w:r w:rsidR="00A86723">
              <w:rPr>
                <w:sz w:val="18"/>
                <w:szCs w:val="18"/>
                <w:lang w:val="en-CA" w:eastAsia="en-CA"/>
              </w:rPr>
              <w:t xml:space="preserve"> </w:t>
            </w:r>
            <w:r w:rsidRPr="00A051CF">
              <w:rPr>
                <w:sz w:val="18"/>
                <w:szCs w:val="18"/>
                <w:lang w:val="en-CA" w:eastAsia="en-CA"/>
              </w:rPr>
              <w:t>200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C0CF253" w14:textId="2843CF90"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067</w:t>
            </w:r>
            <w:r w:rsidR="00A86723">
              <w:rPr>
                <w:sz w:val="18"/>
                <w:szCs w:val="18"/>
                <w:lang w:val="en-CA" w:eastAsia="en-CA"/>
              </w:rPr>
              <w:t xml:space="preserve"> </w:t>
            </w:r>
            <w:r w:rsidRPr="00A051CF">
              <w:rPr>
                <w:sz w:val="18"/>
                <w:szCs w:val="18"/>
                <w:lang w:val="en-CA" w:eastAsia="en-CA"/>
              </w:rPr>
              <w:t>432</w:t>
            </w:r>
            <w:r w:rsidR="00A86723">
              <w:rPr>
                <w:sz w:val="18"/>
                <w:szCs w:val="18"/>
                <w:lang w:val="en-CA" w:eastAsia="en-CA"/>
              </w:rPr>
              <w:t xml:space="preserve"> </w:t>
            </w:r>
            <w:r w:rsidRPr="00A051CF">
              <w:rPr>
                <w:sz w:val="18"/>
                <w:szCs w:val="18"/>
                <w:lang w:val="en-CA" w:eastAsia="en-CA"/>
              </w:rPr>
              <w:t>078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7B91E43" w14:textId="7B9B12DA" w:rsidR="00A70444" w:rsidRPr="00A051CF" w:rsidRDefault="00A70444" w:rsidP="000B114B">
            <w:pPr>
              <w:jc w:val="right"/>
              <w:rPr>
                <w:sz w:val="18"/>
                <w:szCs w:val="18"/>
                <w:lang w:val="en-CA" w:eastAsia="en-CA"/>
              </w:rPr>
            </w:pPr>
            <w:r w:rsidRPr="00A051CF">
              <w:rPr>
                <w:sz w:val="18"/>
                <w:szCs w:val="18"/>
                <w:lang w:val="en-CA" w:eastAsia="en-CA"/>
              </w:rPr>
              <w:t>35</w:t>
            </w:r>
            <w:r w:rsidR="00A86723">
              <w:rPr>
                <w:sz w:val="18"/>
                <w:szCs w:val="18"/>
                <w:lang w:val="en-CA" w:eastAsia="en-CA"/>
              </w:rPr>
              <w:t xml:space="preserve"> </w:t>
            </w:r>
            <w:r w:rsidRPr="00A051CF">
              <w:rPr>
                <w:sz w:val="18"/>
                <w:szCs w:val="18"/>
                <w:lang w:val="en-CA" w:eastAsia="en-CA"/>
              </w:rPr>
              <w:t>060</w:t>
            </w:r>
            <w:r w:rsidR="00A86723">
              <w:rPr>
                <w:sz w:val="18"/>
                <w:szCs w:val="18"/>
                <w:lang w:val="en-CA" w:eastAsia="en-CA"/>
              </w:rPr>
              <w:t xml:space="preserve"> </w:t>
            </w:r>
            <w:r w:rsidRPr="00A051CF">
              <w:rPr>
                <w:sz w:val="18"/>
                <w:szCs w:val="18"/>
                <w:lang w:val="en-CA" w:eastAsia="en-CA"/>
              </w:rPr>
              <w:t>122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3CACE72" w14:textId="77777777" w:rsidR="00A70444" w:rsidRPr="00A051CF" w:rsidRDefault="00A70444" w:rsidP="000B114B">
            <w:pPr>
              <w:jc w:val="right"/>
              <w:rPr>
                <w:sz w:val="18"/>
                <w:szCs w:val="18"/>
                <w:lang w:val="en-CA" w:eastAsia="en-CA"/>
              </w:rPr>
            </w:pPr>
            <w:r w:rsidRPr="00A051CF">
              <w:rPr>
                <w:sz w:val="18"/>
                <w:szCs w:val="18"/>
                <w:lang w:val="en-CA" w:eastAsia="en-CA"/>
              </w:rPr>
              <w:t>97</w:t>
            </w:r>
          </w:p>
        </w:tc>
      </w:tr>
      <w:tr w:rsidR="00A70444" w:rsidRPr="00A051CF" w14:paraId="18D598DB"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4350D4D5" w14:textId="77777777" w:rsidR="00A70444" w:rsidRPr="00A051CF" w:rsidRDefault="006C7E94" w:rsidP="000B114B">
            <w:pPr>
              <w:jc w:val="left"/>
              <w:rPr>
                <w:sz w:val="18"/>
                <w:szCs w:val="18"/>
                <w:lang w:val="en-CA" w:eastAsia="en-CA"/>
              </w:rPr>
            </w:pPr>
            <w:r>
              <w:rPr>
                <w:sz w:val="18"/>
                <w:szCs w:val="18"/>
                <w:lang w:val="en-CA" w:eastAsia="en-CA"/>
              </w:rPr>
              <w:lastRenderedPageBreak/>
              <w:t>Preparación de proyectos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0F01D9EE" w14:textId="77777777" w:rsidR="00A70444" w:rsidRPr="00A051CF" w:rsidRDefault="00A70444" w:rsidP="000B114B">
            <w:pPr>
              <w:jc w:val="right"/>
              <w:rPr>
                <w:sz w:val="18"/>
                <w:szCs w:val="18"/>
                <w:lang w:val="en-CA" w:eastAsia="en-CA"/>
              </w:rPr>
            </w:pPr>
            <w:r w:rsidRPr="00A051CF">
              <w:rPr>
                <w:sz w:val="18"/>
                <w:szCs w:val="18"/>
                <w:lang w:val="en-CA" w:eastAsia="en-CA"/>
              </w:rPr>
              <w:t>291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5123E2D" w14:textId="77777777" w:rsidR="00A70444" w:rsidRPr="00A051CF" w:rsidRDefault="00A70444" w:rsidP="000B114B">
            <w:pPr>
              <w:jc w:val="right"/>
              <w:rPr>
                <w:sz w:val="18"/>
                <w:szCs w:val="18"/>
                <w:lang w:val="en-CA" w:eastAsia="en-CA"/>
              </w:rPr>
            </w:pPr>
            <w:r w:rsidRPr="00A051CF">
              <w:rPr>
                <w:sz w:val="18"/>
                <w:szCs w:val="18"/>
                <w:lang w:val="en-CA" w:eastAsia="en-CA"/>
              </w:rPr>
              <w:t>290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37E81F76"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5F0BC6E9" w14:textId="7AC27423" w:rsidR="00A70444" w:rsidRPr="00A051CF" w:rsidRDefault="00A70444" w:rsidP="000B114B">
            <w:pPr>
              <w:jc w:val="right"/>
              <w:rPr>
                <w:sz w:val="18"/>
                <w:szCs w:val="18"/>
                <w:lang w:val="en-CA" w:eastAsia="en-CA"/>
              </w:rPr>
            </w:pPr>
            <w:r w:rsidRPr="00A051CF">
              <w:rPr>
                <w:sz w:val="18"/>
                <w:szCs w:val="18"/>
                <w:lang w:val="en-CA" w:eastAsia="en-CA"/>
              </w:rPr>
              <w:t>26</w:t>
            </w:r>
            <w:r w:rsidR="00A86723">
              <w:rPr>
                <w:sz w:val="18"/>
                <w:szCs w:val="18"/>
                <w:lang w:val="en-CA" w:eastAsia="en-CA"/>
              </w:rPr>
              <w:t xml:space="preserve"> </w:t>
            </w:r>
            <w:r w:rsidRPr="00A051CF">
              <w:rPr>
                <w:sz w:val="18"/>
                <w:szCs w:val="18"/>
                <w:lang w:val="en-CA" w:eastAsia="en-CA"/>
              </w:rPr>
              <w:t>689</w:t>
            </w:r>
            <w:r w:rsidR="00A86723">
              <w:rPr>
                <w:sz w:val="18"/>
                <w:szCs w:val="18"/>
                <w:lang w:val="en-CA" w:eastAsia="en-CA"/>
              </w:rPr>
              <w:t xml:space="preserve"> </w:t>
            </w:r>
            <w:r w:rsidRPr="00A051CF">
              <w:rPr>
                <w:sz w:val="18"/>
                <w:szCs w:val="18"/>
                <w:lang w:val="en-CA" w:eastAsia="en-CA"/>
              </w:rPr>
              <w:t>025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61DAB8B3" w14:textId="4E4A4ADD" w:rsidR="00A70444" w:rsidRPr="00A051CF" w:rsidRDefault="00A70444" w:rsidP="000B114B">
            <w:pPr>
              <w:jc w:val="right"/>
              <w:rPr>
                <w:sz w:val="18"/>
                <w:szCs w:val="18"/>
                <w:lang w:val="en-CA" w:eastAsia="en-CA"/>
              </w:rPr>
            </w:pPr>
            <w:r w:rsidRPr="00A051CF">
              <w:rPr>
                <w:sz w:val="18"/>
                <w:szCs w:val="18"/>
                <w:lang w:val="en-CA" w:eastAsia="en-CA"/>
              </w:rPr>
              <w:t>26</w:t>
            </w:r>
            <w:r w:rsidR="00A86723">
              <w:rPr>
                <w:sz w:val="18"/>
                <w:szCs w:val="18"/>
                <w:lang w:val="en-CA" w:eastAsia="en-CA"/>
              </w:rPr>
              <w:t xml:space="preserve"> </w:t>
            </w:r>
            <w:r w:rsidRPr="00A051CF">
              <w:rPr>
                <w:sz w:val="18"/>
                <w:szCs w:val="18"/>
                <w:lang w:val="en-CA" w:eastAsia="en-CA"/>
              </w:rPr>
              <w:t>682</w:t>
            </w:r>
            <w:r w:rsidR="00A86723">
              <w:rPr>
                <w:sz w:val="18"/>
                <w:szCs w:val="18"/>
                <w:lang w:val="en-CA" w:eastAsia="en-CA"/>
              </w:rPr>
              <w:t xml:space="preserve"> </w:t>
            </w:r>
            <w:r w:rsidRPr="00A051CF">
              <w:rPr>
                <w:sz w:val="18"/>
                <w:szCs w:val="18"/>
                <w:lang w:val="en-CA" w:eastAsia="en-CA"/>
              </w:rPr>
              <w:t>750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EECA5FD" w14:textId="55AA425D" w:rsidR="00A70444" w:rsidRPr="00A051CF" w:rsidRDefault="00A70444" w:rsidP="000B114B">
            <w:pPr>
              <w:jc w:val="right"/>
              <w:rPr>
                <w:sz w:val="18"/>
                <w:szCs w:val="18"/>
                <w:lang w:val="en-CA" w:eastAsia="en-CA"/>
              </w:rPr>
            </w:pPr>
            <w:r w:rsidRPr="00A051CF">
              <w:rPr>
                <w:sz w:val="18"/>
                <w:szCs w:val="18"/>
                <w:lang w:val="en-CA" w:eastAsia="en-CA"/>
              </w:rPr>
              <w:t>6</w:t>
            </w:r>
            <w:r w:rsidR="00A86723">
              <w:rPr>
                <w:sz w:val="18"/>
                <w:szCs w:val="18"/>
                <w:lang w:val="en-CA" w:eastAsia="en-CA"/>
              </w:rPr>
              <w:t xml:space="preserve"> </w:t>
            </w:r>
            <w:r w:rsidRPr="00A051CF">
              <w:rPr>
                <w:sz w:val="18"/>
                <w:szCs w:val="18"/>
                <w:lang w:val="en-CA" w:eastAsia="en-CA"/>
              </w:rPr>
              <w:t>275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7A89128"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5F0B413F"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5555BDA2" w14:textId="77777777" w:rsidR="00A70444" w:rsidRPr="00A051CF" w:rsidRDefault="006C7E94" w:rsidP="000B114B">
            <w:pPr>
              <w:jc w:val="left"/>
              <w:rPr>
                <w:sz w:val="18"/>
                <w:szCs w:val="18"/>
                <w:lang w:val="en-CA" w:eastAsia="en-CA"/>
              </w:rPr>
            </w:pPr>
            <w:r>
              <w:rPr>
                <w:sz w:val="18"/>
                <w:szCs w:val="18"/>
                <w:lang w:val="en-CA" w:eastAsia="en-CA"/>
              </w:rPr>
              <w:t>Asistencia técnica</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5558D2E8" w14:textId="77777777" w:rsidR="00A70444" w:rsidRPr="00A051CF" w:rsidRDefault="00A70444" w:rsidP="000B114B">
            <w:pPr>
              <w:jc w:val="right"/>
              <w:rPr>
                <w:sz w:val="18"/>
                <w:szCs w:val="18"/>
                <w:lang w:val="en-CA" w:eastAsia="en-CA"/>
              </w:rPr>
            </w:pPr>
            <w:r w:rsidRPr="00A051CF">
              <w:rPr>
                <w:sz w:val="18"/>
                <w:szCs w:val="18"/>
                <w:lang w:val="en-CA" w:eastAsia="en-CA"/>
              </w:rPr>
              <w:t>73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B9FED11" w14:textId="77777777" w:rsidR="00A70444" w:rsidRPr="00A051CF" w:rsidRDefault="00A70444" w:rsidP="000B114B">
            <w:pPr>
              <w:jc w:val="right"/>
              <w:rPr>
                <w:sz w:val="18"/>
                <w:szCs w:val="18"/>
                <w:lang w:val="en-CA" w:eastAsia="en-CA"/>
              </w:rPr>
            </w:pPr>
            <w:r w:rsidRPr="00A051CF">
              <w:rPr>
                <w:sz w:val="18"/>
                <w:szCs w:val="18"/>
                <w:lang w:val="en-CA" w:eastAsia="en-CA"/>
              </w:rPr>
              <w:t>70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1567666" w14:textId="77777777" w:rsidR="00A70444" w:rsidRPr="00A051CF" w:rsidRDefault="00A70444" w:rsidP="000B114B">
            <w:pPr>
              <w:jc w:val="right"/>
              <w:rPr>
                <w:sz w:val="18"/>
                <w:szCs w:val="18"/>
                <w:lang w:val="en-CA" w:eastAsia="en-CA"/>
              </w:rPr>
            </w:pPr>
            <w:r w:rsidRPr="00A051CF">
              <w:rPr>
                <w:sz w:val="18"/>
                <w:szCs w:val="18"/>
                <w:lang w:val="en-CA" w:eastAsia="en-CA"/>
              </w:rPr>
              <w:t>96</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7D08FCFE" w14:textId="4A358746" w:rsidR="00A70444" w:rsidRPr="00A051CF" w:rsidRDefault="00A70444" w:rsidP="000B114B">
            <w:pPr>
              <w:jc w:val="right"/>
              <w:rPr>
                <w:sz w:val="18"/>
                <w:szCs w:val="18"/>
                <w:lang w:val="en-CA" w:eastAsia="en-CA"/>
              </w:rPr>
            </w:pPr>
            <w:r w:rsidRPr="00A051CF">
              <w:rPr>
                <w:sz w:val="18"/>
                <w:szCs w:val="18"/>
                <w:lang w:val="en-CA" w:eastAsia="en-CA"/>
              </w:rPr>
              <w:t>16</w:t>
            </w:r>
            <w:r w:rsidR="00A86723">
              <w:rPr>
                <w:sz w:val="18"/>
                <w:szCs w:val="18"/>
                <w:lang w:val="en-CA" w:eastAsia="en-CA"/>
              </w:rPr>
              <w:t xml:space="preserve"> </w:t>
            </w:r>
            <w:r w:rsidRPr="00A051CF">
              <w:rPr>
                <w:sz w:val="18"/>
                <w:szCs w:val="18"/>
                <w:lang w:val="en-CA" w:eastAsia="en-CA"/>
              </w:rPr>
              <w:t>083</w:t>
            </w:r>
            <w:r w:rsidR="00A86723">
              <w:rPr>
                <w:sz w:val="18"/>
                <w:szCs w:val="18"/>
                <w:lang w:val="en-CA" w:eastAsia="en-CA"/>
              </w:rPr>
              <w:t xml:space="preserve"> </w:t>
            </w:r>
            <w:r w:rsidRPr="00A051CF">
              <w:rPr>
                <w:sz w:val="18"/>
                <w:szCs w:val="18"/>
                <w:lang w:val="en-CA" w:eastAsia="en-CA"/>
              </w:rPr>
              <w:t>548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CDEA996" w14:textId="32D5CCD9" w:rsidR="00A70444" w:rsidRPr="00A051CF" w:rsidRDefault="00A70444" w:rsidP="000B114B">
            <w:pPr>
              <w:jc w:val="right"/>
              <w:rPr>
                <w:sz w:val="18"/>
                <w:szCs w:val="18"/>
                <w:lang w:val="en-CA" w:eastAsia="en-CA"/>
              </w:rPr>
            </w:pPr>
            <w:r w:rsidRPr="00A051CF">
              <w:rPr>
                <w:sz w:val="18"/>
                <w:szCs w:val="18"/>
                <w:lang w:val="en-CA" w:eastAsia="en-CA"/>
              </w:rPr>
              <w:t>14</w:t>
            </w:r>
            <w:r w:rsidR="00A86723">
              <w:rPr>
                <w:sz w:val="18"/>
                <w:szCs w:val="18"/>
                <w:lang w:val="en-CA" w:eastAsia="en-CA"/>
              </w:rPr>
              <w:t xml:space="preserve"> </w:t>
            </w:r>
            <w:r w:rsidRPr="00A051CF">
              <w:rPr>
                <w:sz w:val="18"/>
                <w:szCs w:val="18"/>
                <w:lang w:val="en-CA" w:eastAsia="en-CA"/>
              </w:rPr>
              <w:t>947</w:t>
            </w:r>
            <w:r w:rsidR="00A86723">
              <w:rPr>
                <w:sz w:val="18"/>
                <w:szCs w:val="18"/>
                <w:lang w:val="en-CA" w:eastAsia="en-CA"/>
              </w:rPr>
              <w:t xml:space="preserve"> </w:t>
            </w:r>
            <w:r w:rsidRPr="00A051CF">
              <w:rPr>
                <w:sz w:val="18"/>
                <w:szCs w:val="18"/>
                <w:lang w:val="en-CA" w:eastAsia="en-CA"/>
              </w:rPr>
              <w:t>550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651CCF82" w14:textId="291E15F0"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135</w:t>
            </w:r>
            <w:r w:rsidR="00A86723">
              <w:rPr>
                <w:sz w:val="18"/>
                <w:szCs w:val="18"/>
                <w:lang w:val="en-CA" w:eastAsia="en-CA"/>
              </w:rPr>
              <w:t xml:space="preserve"> </w:t>
            </w:r>
            <w:r w:rsidRPr="00A051CF">
              <w:rPr>
                <w:sz w:val="18"/>
                <w:szCs w:val="18"/>
                <w:lang w:val="en-CA" w:eastAsia="en-CA"/>
              </w:rPr>
              <w:t>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D519D46" w14:textId="77777777" w:rsidR="00A70444" w:rsidRPr="00A051CF" w:rsidRDefault="00A70444" w:rsidP="000B114B">
            <w:pPr>
              <w:jc w:val="right"/>
              <w:rPr>
                <w:sz w:val="18"/>
                <w:szCs w:val="18"/>
                <w:lang w:val="en-CA" w:eastAsia="en-CA"/>
              </w:rPr>
            </w:pPr>
            <w:r w:rsidRPr="00A051CF">
              <w:rPr>
                <w:sz w:val="18"/>
                <w:szCs w:val="18"/>
                <w:lang w:val="en-CA" w:eastAsia="en-CA"/>
              </w:rPr>
              <w:t>93</w:t>
            </w:r>
          </w:p>
        </w:tc>
      </w:tr>
      <w:tr w:rsidR="00A70444" w:rsidRPr="00A051CF" w14:paraId="0E17A1A0"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4DD2FE47" w14:textId="77777777" w:rsidR="00A70444" w:rsidRPr="00A051CF" w:rsidRDefault="006C7E94" w:rsidP="000B114B">
            <w:pPr>
              <w:jc w:val="left"/>
              <w:rPr>
                <w:sz w:val="18"/>
                <w:szCs w:val="18"/>
                <w:lang w:val="en-CA" w:eastAsia="en-CA"/>
              </w:rPr>
            </w:pPr>
            <w:r>
              <w:rPr>
                <w:sz w:val="18"/>
                <w:szCs w:val="18"/>
                <w:lang w:val="en-CA" w:eastAsia="en-CA"/>
              </w:rPr>
              <w:t>Capacitación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3271D551" w14:textId="77777777" w:rsidR="00A70444" w:rsidRPr="00A051CF" w:rsidRDefault="00A70444" w:rsidP="000B114B">
            <w:pPr>
              <w:jc w:val="right"/>
              <w:rPr>
                <w:sz w:val="18"/>
                <w:szCs w:val="18"/>
                <w:lang w:val="en-CA" w:eastAsia="en-CA"/>
              </w:rPr>
            </w:pPr>
            <w:r w:rsidRPr="00A051CF">
              <w:rPr>
                <w:sz w:val="18"/>
                <w:szCs w:val="18"/>
                <w:lang w:val="en-CA" w:eastAsia="en-CA"/>
              </w:rPr>
              <w:t>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4115100" w14:textId="77777777" w:rsidR="00A70444" w:rsidRPr="00A051CF" w:rsidRDefault="00A70444" w:rsidP="000B114B">
            <w:pPr>
              <w:jc w:val="right"/>
              <w:rPr>
                <w:sz w:val="18"/>
                <w:szCs w:val="18"/>
                <w:lang w:val="en-CA" w:eastAsia="en-CA"/>
              </w:rPr>
            </w:pPr>
            <w:r w:rsidRPr="00A051CF">
              <w:rPr>
                <w:sz w:val="18"/>
                <w:szCs w:val="18"/>
                <w:lang w:val="en-CA" w:eastAsia="en-CA"/>
              </w:rPr>
              <w:t>4</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375D5F44"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141C8D9F" w14:textId="61A4E298" w:rsidR="00A70444" w:rsidRPr="00A051CF" w:rsidRDefault="00A70444" w:rsidP="000B114B">
            <w:pPr>
              <w:jc w:val="right"/>
              <w:rPr>
                <w:sz w:val="18"/>
                <w:szCs w:val="18"/>
                <w:lang w:val="en-CA" w:eastAsia="en-CA"/>
              </w:rPr>
            </w:pPr>
            <w:r w:rsidRPr="00A051CF">
              <w:rPr>
                <w:sz w:val="18"/>
                <w:szCs w:val="18"/>
                <w:lang w:val="en-CA" w:eastAsia="en-CA"/>
              </w:rPr>
              <w:t>305</w:t>
            </w:r>
            <w:r w:rsidR="00A86723">
              <w:rPr>
                <w:sz w:val="18"/>
                <w:szCs w:val="18"/>
                <w:lang w:val="en-CA" w:eastAsia="en-CA"/>
              </w:rPr>
              <w:t xml:space="preserve"> </w:t>
            </w:r>
            <w:r w:rsidRPr="00A051CF">
              <w:rPr>
                <w:sz w:val="18"/>
                <w:szCs w:val="18"/>
                <w:lang w:val="en-CA" w:eastAsia="en-CA"/>
              </w:rPr>
              <w:t>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671BF0A" w14:textId="49661B60" w:rsidR="00A70444" w:rsidRPr="00A051CF" w:rsidRDefault="00A70444" w:rsidP="000B114B">
            <w:pPr>
              <w:jc w:val="right"/>
              <w:rPr>
                <w:sz w:val="18"/>
                <w:szCs w:val="18"/>
                <w:lang w:val="en-CA" w:eastAsia="en-CA"/>
              </w:rPr>
            </w:pPr>
            <w:r w:rsidRPr="00A051CF">
              <w:rPr>
                <w:sz w:val="18"/>
                <w:szCs w:val="18"/>
                <w:lang w:val="en-CA" w:eastAsia="en-CA"/>
              </w:rPr>
              <w:t>305</w:t>
            </w:r>
            <w:r w:rsidR="00A86723">
              <w:rPr>
                <w:sz w:val="18"/>
                <w:szCs w:val="18"/>
                <w:lang w:val="en-CA" w:eastAsia="en-CA"/>
              </w:rPr>
              <w:t xml:space="preserve"> </w:t>
            </w:r>
            <w:r w:rsidRPr="00A051CF">
              <w:rPr>
                <w:sz w:val="18"/>
                <w:szCs w:val="18"/>
                <w:lang w:val="en-CA" w:eastAsia="en-CA"/>
              </w:rPr>
              <w:t>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4BAB7E6"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A2DE785"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53DFA7F6" w14:textId="77777777" w:rsidTr="000B114B">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3BA03577" w14:textId="77777777" w:rsidR="00A70444" w:rsidRPr="00A051CF" w:rsidRDefault="00A70444" w:rsidP="000B114B">
            <w:pPr>
              <w:jc w:val="left"/>
              <w:rPr>
                <w:b/>
                <w:bCs/>
                <w:sz w:val="18"/>
                <w:szCs w:val="18"/>
                <w:lang w:val="en-CA" w:eastAsia="en-CA"/>
              </w:rPr>
            </w:pPr>
            <w:r w:rsidRPr="00A051CF">
              <w:rPr>
                <w:b/>
                <w:bCs/>
                <w:sz w:val="18"/>
                <w:szCs w:val="18"/>
                <w:lang w:val="en-CA" w:eastAsia="en-CA"/>
              </w:rPr>
              <w:t>Total</w:t>
            </w:r>
          </w:p>
        </w:tc>
        <w:tc>
          <w:tcPr>
            <w:tcW w:w="1105" w:type="dxa"/>
            <w:tcBorders>
              <w:top w:val="nil"/>
              <w:left w:val="nil"/>
              <w:bottom w:val="single" w:sz="4" w:space="0" w:color="auto"/>
              <w:right w:val="single" w:sz="4" w:space="0" w:color="auto"/>
            </w:tcBorders>
            <w:shd w:val="clear" w:color="auto" w:fill="auto"/>
            <w:tcMar>
              <w:left w:w="0" w:type="dxa"/>
              <w:right w:w="29" w:type="dxa"/>
            </w:tcMar>
            <w:hideMark/>
          </w:tcPr>
          <w:p w14:paraId="0C2FF4DE" w14:textId="27C45502"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087</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26D1ABF0" w14:textId="74FD0AD1"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063</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4BDCE02" w14:textId="77777777" w:rsidR="00A70444" w:rsidRPr="00A051CF" w:rsidRDefault="00A70444" w:rsidP="000B114B">
            <w:pPr>
              <w:jc w:val="right"/>
              <w:rPr>
                <w:b/>
                <w:bCs/>
                <w:sz w:val="18"/>
                <w:szCs w:val="18"/>
                <w:lang w:val="en-CA" w:eastAsia="en-CA"/>
              </w:rPr>
            </w:pPr>
            <w:r w:rsidRPr="00A051CF">
              <w:rPr>
                <w:b/>
                <w:bCs/>
                <w:sz w:val="18"/>
                <w:szCs w:val="18"/>
                <w:lang w:val="en-CA" w:eastAsia="en-CA"/>
              </w:rPr>
              <w:t>98</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109508EF" w14:textId="2DDE8B47"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163</w:t>
            </w:r>
            <w:r w:rsidR="00A86723">
              <w:rPr>
                <w:b/>
                <w:bCs/>
                <w:sz w:val="18"/>
                <w:szCs w:val="18"/>
                <w:lang w:val="en-CA" w:eastAsia="en-CA"/>
              </w:rPr>
              <w:t xml:space="preserve"> </w:t>
            </w:r>
            <w:r w:rsidRPr="00A051CF">
              <w:rPr>
                <w:b/>
                <w:bCs/>
                <w:sz w:val="18"/>
                <w:szCs w:val="18"/>
                <w:lang w:val="en-CA" w:eastAsia="en-CA"/>
              </w:rPr>
              <w:t>082</w:t>
            </w:r>
            <w:r w:rsidR="00A86723">
              <w:rPr>
                <w:b/>
                <w:bCs/>
                <w:sz w:val="18"/>
                <w:szCs w:val="18"/>
                <w:lang w:val="en-CA" w:eastAsia="en-CA"/>
              </w:rPr>
              <w:t xml:space="preserve"> </w:t>
            </w:r>
            <w:r w:rsidRPr="00A051CF">
              <w:rPr>
                <w:b/>
                <w:bCs/>
                <w:sz w:val="18"/>
                <w:szCs w:val="18"/>
                <w:lang w:val="en-CA" w:eastAsia="en-CA"/>
              </w:rPr>
              <w:t>006</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40846302" w14:textId="0FC7CA32"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125</w:t>
            </w:r>
            <w:r w:rsidR="00A86723">
              <w:rPr>
                <w:b/>
                <w:bCs/>
                <w:sz w:val="18"/>
                <w:szCs w:val="18"/>
                <w:lang w:val="en-CA" w:eastAsia="en-CA"/>
              </w:rPr>
              <w:t xml:space="preserve"> </w:t>
            </w:r>
            <w:r w:rsidRPr="00A051CF">
              <w:rPr>
                <w:b/>
                <w:bCs/>
                <w:sz w:val="18"/>
                <w:szCs w:val="18"/>
                <w:lang w:val="en-CA" w:eastAsia="en-CA"/>
              </w:rPr>
              <w:t>934</w:t>
            </w:r>
            <w:r w:rsidR="00A86723">
              <w:rPr>
                <w:b/>
                <w:bCs/>
                <w:sz w:val="18"/>
                <w:szCs w:val="18"/>
                <w:lang w:val="en-CA" w:eastAsia="en-CA"/>
              </w:rPr>
              <w:t xml:space="preserve"> </w:t>
            </w:r>
            <w:r w:rsidRPr="00A051CF">
              <w:rPr>
                <w:b/>
                <w:bCs/>
                <w:sz w:val="18"/>
                <w:szCs w:val="18"/>
                <w:lang w:val="en-CA" w:eastAsia="en-CA"/>
              </w:rPr>
              <w:t>008</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31D727AF" w14:textId="27BD2B7B" w:rsidR="00A70444" w:rsidRPr="00A051CF" w:rsidRDefault="00A70444" w:rsidP="000B114B">
            <w:pPr>
              <w:jc w:val="right"/>
              <w:rPr>
                <w:b/>
                <w:bCs/>
                <w:sz w:val="18"/>
                <w:szCs w:val="18"/>
                <w:lang w:val="en-CA" w:eastAsia="en-CA"/>
              </w:rPr>
            </w:pPr>
            <w:r w:rsidRPr="00A051CF">
              <w:rPr>
                <w:b/>
                <w:bCs/>
                <w:sz w:val="18"/>
                <w:szCs w:val="18"/>
                <w:lang w:val="en-CA" w:eastAsia="en-CA"/>
              </w:rPr>
              <w:t>37</w:t>
            </w:r>
            <w:r w:rsidR="00A86723">
              <w:rPr>
                <w:b/>
                <w:bCs/>
                <w:sz w:val="18"/>
                <w:szCs w:val="18"/>
                <w:lang w:val="en-CA" w:eastAsia="en-CA"/>
              </w:rPr>
              <w:t xml:space="preserve"> </w:t>
            </w:r>
            <w:r w:rsidRPr="00A051CF">
              <w:rPr>
                <w:b/>
                <w:bCs/>
                <w:sz w:val="18"/>
                <w:szCs w:val="18"/>
                <w:lang w:val="en-CA" w:eastAsia="en-CA"/>
              </w:rPr>
              <w:t>147</w:t>
            </w:r>
            <w:r w:rsidR="00A86723">
              <w:rPr>
                <w:b/>
                <w:bCs/>
                <w:sz w:val="18"/>
                <w:szCs w:val="18"/>
                <w:lang w:val="en-CA" w:eastAsia="en-CA"/>
              </w:rPr>
              <w:t xml:space="preserve"> </w:t>
            </w:r>
            <w:r w:rsidRPr="00A051CF">
              <w:rPr>
                <w:b/>
                <w:bCs/>
                <w:sz w:val="18"/>
                <w:szCs w:val="18"/>
                <w:lang w:val="en-CA" w:eastAsia="en-CA"/>
              </w:rPr>
              <w:t>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61A23E4" w14:textId="77777777" w:rsidR="00A70444" w:rsidRPr="00A051CF" w:rsidRDefault="00A70444" w:rsidP="000B114B">
            <w:pPr>
              <w:jc w:val="right"/>
              <w:rPr>
                <w:b/>
                <w:bCs/>
                <w:sz w:val="18"/>
                <w:szCs w:val="18"/>
                <w:lang w:val="en-CA" w:eastAsia="en-CA"/>
              </w:rPr>
            </w:pPr>
            <w:r w:rsidRPr="00A051CF">
              <w:rPr>
                <w:b/>
                <w:bCs/>
                <w:sz w:val="18"/>
                <w:szCs w:val="18"/>
                <w:lang w:val="en-CA" w:eastAsia="en-CA"/>
              </w:rPr>
              <w:t>97</w:t>
            </w:r>
          </w:p>
        </w:tc>
      </w:tr>
    </w:tbl>
    <w:p w14:paraId="463B62CE" w14:textId="0BA1CF49" w:rsidR="00A70444" w:rsidRPr="001A1889" w:rsidRDefault="00A70444" w:rsidP="00A70444">
      <w:pPr>
        <w:jc w:val="left"/>
        <w:rPr>
          <w:sz w:val="19"/>
          <w:szCs w:val="19"/>
          <w:lang w:val="es-ES"/>
        </w:rPr>
      </w:pPr>
      <w:r w:rsidRPr="001A1889">
        <w:rPr>
          <w:sz w:val="19"/>
          <w:szCs w:val="19"/>
          <w:lang w:val="es-ES"/>
        </w:rPr>
        <w:t>*</w:t>
      </w:r>
      <w:r w:rsidR="001A1889" w:rsidRPr="001A1889">
        <w:rPr>
          <w:sz w:val="19"/>
          <w:szCs w:val="19"/>
          <w:lang w:val="es-ES"/>
        </w:rPr>
        <w:t>Excluye proyectos cerrados y transferidos</w:t>
      </w:r>
      <w:r w:rsidR="00A86723">
        <w:rPr>
          <w:sz w:val="19"/>
          <w:szCs w:val="19"/>
          <w:lang w:val="es-ES"/>
        </w:rPr>
        <w:t xml:space="preserve"> </w:t>
      </w:r>
    </w:p>
    <w:p w14:paraId="6F4A5BE3" w14:textId="7F667475" w:rsidR="00A70444" w:rsidRPr="008F4DF9" w:rsidRDefault="00A70444" w:rsidP="00A70444">
      <w:pPr>
        <w:jc w:val="left"/>
        <w:rPr>
          <w:sz w:val="19"/>
          <w:szCs w:val="19"/>
          <w:lang w:val="es-ES"/>
        </w:rPr>
      </w:pPr>
      <w:r w:rsidRPr="008F4DF9">
        <w:rPr>
          <w:sz w:val="19"/>
          <w:szCs w:val="19"/>
          <w:lang w:val="es-ES"/>
        </w:rPr>
        <w:t>**</w:t>
      </w:r>
      <w:r w:rsidR="001A1889" w:rsidRPr="008F4DF9">
        <w:rPr>
          <w:sz w:val="19"/>
          <w:szCs w:val="19"/>
          <w:lang w:val="es-ES"/>
        </w:rPr>
        <w:t>Excluye costos de apoyo al organismo</w:t>
      </w:r>
      <w:r w:rsidR="00A86723">
        <w:rPr>
          <w:sz w:val="19"/>
          <w:szCs w:val="19"/>
          <w:lang w:val="es-ES"/>
        </w:rPr>
        <w:t xml:space="preserve"> </w:t>
      </w:r>
    </w:p>
    <w:p w14:paraId="12B4189E" w14:textId="77777777" w:rsidR="00A70444" w:rsidRPr="008F4DF9" w:rsidRDefault="00A70444" w:rsidP="00A70444">
      <w:pPr>
        <w:jc w:val="left"/>
        <w:rPr>
          <w:sz w:val="18"/>
          <w:szCs w:val="18"/>
          <w:lang w:val="es-ES"/>
        </w:rPr>
      </w:pPr>
    </w:p>
    <w:p w14:paraId="22211056" w14:textId="504A7291" w:rsidR="00A70444" w:rsidRPr="00976A97" w:rsidRDefault="008F4DF9" w:rsidP="001153BA">
      <w:pPr>
        <w:pStyle w:val="Heading1"/>
        <w:rPr>
          <w:lang w:val="es-ES"/>
        </w:rPr>
      </w:pPr>
      <w:r w:rsidRPr="00976A97">
        <w:rPr>
          <w:lang w:val="es-ES"/>
        </w:rPr>
        <w:t>El Cuadro 3 presenta un cuadro general del estado de situación de la ejecución de proyectos por año</w:t>
      </w:r>
      <w:r w:rsidR="00976A97">
        <w:rPr>
          <w:rStyle w:val="FootnoteReference"/>
          <w:lang w:val="es-ES"/>
        </w:rPr>
        <w:footnoteReference w:id="13"/>
      </w:r>
      <w:r w:rsidR="00A70444" w:rsidRPr="00976A97">
        <w:rPr>
          <w:lang w:val="es-ES"/>
        </w:rPr>
        <w:t xml:space="preserve">. </w:t>
      </w:r>
      <w:r w:rsidRPr="00976A97">
        <w:rPr>
          <w:lang w:val="es-ES"/>
        </w:rPr>
        <w:t xml:space="preserve">Todos los Proyectos y actividades aprobados entre </w:t>
      </w:r>
      <w:r w:rsidR="00A70444" w:rsidRPr="00976A97">
        <w:rPr>
          <w:lang w:val="es-ES"/>
        </w:rPr>
        <w:t xml:space="preserve">1991 </w:t>
      </w:r>
      <w:r w:rsidRPr="00976A97">
        <w:rPr>
          <w:lang w:val="es-ES"/>
        </w:rPr>
        <w:t>y</w:t>
      </w:r>
      <w:r w:rsidR="00A70444" w:rsidRPr="00976A97">
        <w:rPr>
          <w:lang w:val="es-ES"/>
        </w:rPr>
        <w:t xml:space="preserve"> 2010</w:t>
      </w:r>
      <w:r w:rsidR="00947E5E" w:rsidRPr="00976A97">
        <w:rPr>
          <w:lang w:val="es-ES"/>
        </w:rPr>
        <w:t xml:space="preserve"> encuentran terminados</w:t>
      </w:r>
      <w:r w:rsidR="00A70444" w:rsidRPr="00976A97">
        <w:rPr>
          <w:lang w:val="es-ES"/>
        </w:rPr>
        <w:t xml:space="preserve">. </w:t>
      </w:r>
    </w:p>
    <w:p w14:paraId="697C69CA" w14:textId="77777777" w:rsidR="00A70444" w:rsidRPr="00E5524B" w:rsidRDefault="00E5524B" w:rsidP="00A70444">
      <w:pPr>
        <w:suppressAutoHyphens/>
        <w:jc w:val="left"/>
        <w:rPr>
          <w:b/>
          <w:spacing w:val="-3"/>
          <w:lang w:val="es-ES"/>
        </w:rPr>
      </w:pPr>
      <w:r w:rsidRPr="00E5524B">
        <w:rPr>
          <w:b/>
          <w:spacing w:val="-3"/>
          <w:lang w:val="es-ES"/>
        </w:rPr>
        <w:t>Cuadro</w:t>
      </w:r>
      <w:r w:rsidR="00A70444" w:rsidRPr="00E5524B">
        <w:rPr>
          <w:b/>
          <w:spacing w:val="-3"/>
          <w:lang w:val="es-ES"/>
        </w:rPr>
        <w:t xml:space="preserve"> 3: </w:t>
      </w:r>
      <w:r w:rsidRPr="00E5524B">
        <w:rPr>
          <w:b/>
          <w:spacing w:val="-3"/>
          <w:lang w:val="es-ES"/>
        </w:rPr>
        <w:t xml:space="preserve">Estado de situación de </w:t>
      </w:r>
      <w:r>
        <w:rPr>
          <w:b/>
          <w:spacing w:val="-3"/>
          <w:lang w:val="es-ES"/>
        </w:rPr>
        <w:t>la ejecución de proyectos por año</w:t>
      </w:r>
    </w:p>
    <w:tbl>
      <w:tblPr>
        <w:tblW w:w="0" w:type="auto"/>
        <w:tblInd w:w="30" w:type="dxa"/>
        <w:tblLook w:val="04A0" w:firstRow="1" w:lastRow="0" w:firstColumn="1" w:lastColumn="0" w:noHBand="0" w:noVBand="1"/>
      </w:tblPr>
      <w:tblGrid>
        <w:gridCol w:w="627"/>
        <w:gridCol w:w="1225"/>
        <w:gridCol w:w="1077"/>
        <w:gridCol w:w="1163"/>
        <w:gridCol w:w="1466"/>
        <w:gridCol w:w="1418"/>
        <w:gridCol w:w="1185"/>
        <w:gridCol w:w="1134"/>
      </w:tblGrid>
      <w:tr w:rsidR="00A70444" w:rsidRPr="00A051CF" w14:paraId="4EFAB10B" w14:textId="77777777" w:rsidTr="002A5096">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F34D36"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Año</w:t>
            </w:r>
          </w:p>
        </w:tc>
        <w:tc>
          <w:tcPr>
            <w:tcW w:w="3465" w:type="dxa"/>
            <w:gridSpan w:val="3"/>
            <w:tcBorders>
              <w:top w:val="single" w:sz="4" w:space="0" w:color="auto"/>
              <w:left w:val="nil"/>
              <w:bottom w:val="single" w:sz="4" w:space="0" w:color="auto"/>
              <w:right w:val="single" w:sz="4" w:space="0" w:color="auto"/>
            </w:tcBorders>
            <w:shd w:val="clear" w:color="auto" w:fill="auto"/>
            <w:noWrap/>
            <w:hideMark/>
          </w:tcPr>
          <w:p w14:paraId="64E600DC"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Número de proyectos</w:t>
            </w:r>
            <w:r w:rsidR="00A70444" w:rsidRPr="00A051CF">
              <w:rPr>
                <w:b/>
                <w:bCs/>
                <w:color w:val="000000"/>
                <w:sz w:val="18"/>
                <w:szCs w:val="18"/>
                <w:lang w:val="en-US" w:eastAsia="en-CA"/>
              </w:rPr>
              <w:t>*</w:t>
            </w:r>
          </w:p>
        </w:tc>
        <w:tc>
          <w:tcPr>
            <w:tcW w:w="5203" w:type="dxa"/>
            <w:gridSpan w:val="4"/>
            <w:tcBorders>
              <w:top w:val="single" w:sz="4" w:space="0" w:color="auto"/>
              <w:left w:val="nil"/>
              <w:bottom w:val="single" w:sz="4" w:space="0" w:color="auto"/>
              <w:right w:val="single" w:sz="4" w:space="0" w:color="auto"/>
            </w:tcBorders>
            <w:shd w:val="clear" w:color="auto" w:fill="auto"/>
            <w:noWrap/>
            <w:hideMark/>
          </w:tcPr>
          <w:p w14:paraId="66BBD581"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Financiamiento</w:t>
            </w:r>
            <w:r w:rsidR="00A70444" w:rsidRPr="00A051CF">
              <w:rPr>
                <w:b/>
                <w:bCs/>
                <w:color w:val="000000"/>
                <w:sz w:val="18"/>
                <w:szCs w:val="18"/>
                <w:lang w:val="en-US" w:eastAsia="en-CA"/>
              </w:rPr>
              <w:t xml:space="preserve"> ($</w:t>
            </w:r>
            <w:r>
              <w:rPr>
                <w:b/>
                <w:bCs/>
                <w:color w:val="000000"/>
                <w:sz w:val="18"/>
                <w:szCs w:val="18"/>
                <w:lang w:val="en-US" w:eastAsia="en-CA"/>
              </w:rPr>
              <w:t>EUA</w:t>
            </w:r>
            <w:r w:rsidR="00A70444" w:rsidRPr="00A051CF">
              <w:rPr>
                <w:b/>
                <w:bCs/>
                <w:color w:val="000000"/>
                <w:sz w:val="18"/>
                <w:szCs w:val="18"/>
                <w:lang w:val="en-US" w:eastAsia="en-CA"/>
              </w:rPr>
              <w:t>)**</w:t>
            </w:r>
          </w:p>
        </w:tc>
      </w:tr>
      <w:tr w:rsidR="00A70444" w:rsidRPr="00A051CF" w14:paraId="333A0B67" w14:textId="77777777" w:rsidTr="002A5096">
        <w:trPr>
          <w:tblHeader/>
        </w:trPr>
        <w:tc>
          <w:tcPr>
            <w:tcW w:w="0" w:type="auto"/>
            <w:vMerge/>
            <w:tcBorders>
              <w:top w:val="single" w:sz="4" w:space="0" w:color="auto"/>
              <w:left w:val="single" w:sz="4" w:space="0" w:color="auto"/>
              <w:bottom w:val="single" w:sz="4" w:space="0" w:color="auto"/>
              <w:right w:val="single" w:sz="4" w:space="0" w:color="auto"/>
            </w:tcBorders>
            <w:hideMark/>
          </w:tcPr>
          <w:p w14:paraId="0266E484" w14:textId="77777777" w:rsidR="00A70444" w:rsidRPr="00A051CF" w:rsidRDefault="00A70444" w:rsidP="000B114B">
            <w:pPr>
              <w:jc w:val="left"/>
              <w:rPr>
                <w:b/>
                <w:bCs/>
                <w:color w:val="000000"/>
                <w:sz w:val="18"/>
                <w:szCs w:val="18"/>
                <w:lang w:val="en-CA" w:eastAsia="en-CA"/>
              </w:rPr>
            </w:pPr>
          </w:p>
        </w:tc>
        <w:tc>
          <w:tcPr>
            <w:tcW w:w="1225" w:type="dxa"/>
            <w:tcBorders>
              <w:top w:val="nil"/>
              <w:left w:val="nil"/>
              <w:bottom w:val="single" w:sz="4" w:space="0" w:color="auto"/>
              <w:right w:val="single" w:sz="4" w:space="0" w:color="auto"/>
            </w:tcBorders>
            <w:shd w:val="clear" w:color="auto" w:fill="auto"/>
            <w:noWrap/>
            <w:vAlign w:val="center"/>
            <w:hideMark/>
          </w:tcPr>
          <w:p w14:paraId="4059568C"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Aprobado</w:t>
            </w:r>
          </w:p>
        </w:tc>
        <w:tc>
          <w:tcPr>
            <w:tcW w:w="1077" w:type="dxa"/>
            <w:tcBorders>
              <w:top w:val="nil"/>
              <w:left w:val="nil"/>
              <w:bottom w:val="single" w:sz="4" w:space="0" w:color="auto"/>
              <w:right w:val="single" w:sz="4" w:space="0" w:color="auto"/>
            </w:tcBorders>
            <w:shd w:val="clear" w:color="auto" w:fill="auto"/>
            <w:noWrap/>
            <w:vAlign w:val="center"/>
            <w:hideMark/>
          </w:tcPr>
          <w:p w14:paraId="3E5A1459" w14:textId="77777777" w:rsidR="00A70444" w:rsidRPr="00A051CF" w:rsidRDefault="002A5096" w:rsidP="000B114B">
            <w:pPr>
              <w:jc w:val="left"/>
              <w:rPr>
                <w:b/>
                <w:bCs/>
                <w:color w:val="000000"/>
                <w:sz w:val="18"/>
                <w:szCs w:val="18"/>
                <w:lang w:val="en-CA" w:eastAsia="en-CA"/>
              </w:rPr>
            </w:pPr>
            <w:r>
              <w:rPr>
                <w:b/>
                <w:bCs/>
                <w:color w:val="000000"/>
                <w:sz w:val="18"/>
                <w:szCs w:val="18"/>
                <w:lang w:val="en-US" w:eastAsia="en-CA"/>
              </w:rPr>
              <w:t>Terminado</w:t>
            </w:r>
          </w:p>
        </w:tc>
        <w:tc>
          <w:tcPr>
            <w:tcW w:w="116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CB82DC"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Porcentaje terminado</w:t>
            </w:r>
          </w:p>
        </w:tc>
        <w:tc>
          <w:tcPr>
            <w:tcW w:w="1466" w:type="dxa"/>
            <w:tcBorders>
              <w:top w:val="nil"/>
              <w:left w:val="nil"/>
              <w:bottom w:val="single" w:sz="4" w:space="0" w:color="auto"/>
              <w:right w:val="single" w:sz="4" w:space="0" w:color="auto"/>
            </w:tcBorders>
            <w:shd w:val="clear" w:color="auto" w:fill="auto"/>
            <w:noWrap/>
            <w:vAlign w:val="center"/>
            <w:hideMark/>
          </w:tcPr>
          <w:p w14:paraId="3A67F44F"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Aprobado</w:t>
            </w:r>
          </w:p>
        </w:tc>
        <w:tc>
          <w:tcPr>
            <w:tcW w:w="1418" w:type="dxa"/>
            <w:tcBorders>
              <w:top w:val="nil"/>
              <w:left w:val="nil"/>
              <w:bottom w:val="single" w:sz="4" w:space="0" w:color="auto"/>
              <w:right w:val="single" w:sz="4" w:space="0" w:color="auto"/>
            </w:tcBorders>
            <w:shd w:val="clear" w:color="auto" w:fill="auto"/>
            <w:noWrap/>
            <w:vAlign w:val="center"/>
            <w:hideMark/>
          </w:tcPr>
          <w:p w14:paraId="411451FE"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Desembolsado</w:t>
            </w:r>
          </w:p>
        </w:tc>
        <w:tc>
          <w:tcPr>
            <w:tcW w:w="1185" w:type="dxa"/>
            <w:tcBorders>
              <w:top w:val="nil"/>
              <w:left w:val="nil"/>
              <w:bottom w:val="single" w:sz="4" w:space="0" w:color="auto"/>
              <w:right w:val="single" w:sz="4" w:space="0" w:color="auto"/>
            </w:tcBorders>
            <w:shd w:val="clear" w:color="auto" w:fill="auto"/>
            <w:noWrap/>
            <w:vAlign w:val="center"/>
            <w:hideMark/>
          </w:tcPr>
          <w:p w14:paraId="439A4834"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Saldo</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D0BEF2" w14:textId="77777777" w:rsidR="00A70444" w:rsidRPr="00A051CF" w:rsidRDefault="002A5096" w:rsidP="000B114B">
            <w:pPr>
              <w:jc w:val="center"/>
              <w:rPr>
                <w:b/>
                <w:bCs/>
                <w:color w:val="000000"/>
                <w:sz w:val="18"/>
                <w:szCs w:val="18"/>
                <w:lang w:val="en-CA" w:eastAsia="en-CA"/>
              </w:rPr>
            </w:pPr>
            <w:r>
              <w:rPr>
                <w:b/>
                <w:bCs/>
                <w:color w:val="000000"/>
                <w:sz w:val="18"/>
                <w:szCs w:val="18"/>
                <w:lang w:val="en-US" w:eastAsia="en-CA"/>
              </w:rPr>
              <w:t>Porcentaje desembolsado</w:t>
            </w:r>
          </w:p>
        </w:tc>
      </w:tr>
      <w:tr w:rsidR="00A70444" w:rsidRPr="00A051CF" w14:paraId="4C230E50"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4D43ED1" w14:textId="77777777" w:rsidR="00A70444" w:rsidRPr="00A051CF" w:rsidRDefault="00A70444" w:rsidP="000B114B">
            <w:pPr>
              <w:jc w:val="left"/>
              <w:rPr>
                <w:sz w:val="18"/>
                <w:szCs w:val="18"/>
                <w:lang w:val="en-CA" w:eastAsia="en-CA"/>
              </w:rPr>
            </w:pPr>
            <w:r w:rsidRPr="00A051CF">
              <w:rPr>
                <w:sz w:val="18"/>
                <w:szCs w:val="18"/>
                <w:lang w:val="en-CA" w:eastAsia="en-CA"/>
              </w:rPr>
              <w:t>1991</w:t>
            </w:r>
          </w:p>
        </w:tc>
        <w:tc>
          <w:tcPr>
            <w:tcW w:w="1225" w:type="dxa"/>
            <w:tcBorders>
              <w:top w:val="nil"/>
              <w:left w:val="nil"/>
              <w:bottom w:val="single" w:sz="4" w:space="0" w:color="auto"/>
              <w:right w:val="single" w:sz="4" w:space="0" w:color="auto"/>
            </w:tcBorders>
            <w:shd w:val="clear" w:color="auto" w:fill="auto"/>
            <w:noWrap/>
            <w:hideMark/>
          </w:tcPr>
          <w:p w14:paraId="6D7AADF1" w14:textId="77777777" w:rsidR="00A70444" w:rsidRPr="00A051CF" w:rsidRDefault="00A70444" w:rsidP="000B114B">
            <w:pPr>
              <w:jc w:val="right"/>
              <w:rPr>
                <w:sz w:val="18"/>
                <w:szCs w:val="18"/>
                <w:lang w:val="en-CA" w:eastAsia="en-CA"/>
              </w:rPr>
            </w:pPr>
            <w:r w:rsidRPr="00A051CF">
              <w:rPr>
                <w:sz w:val="18"/>
                <w:szCs w:val="18"/>
                <w:lang w:val="en-CA" w:eastAsia="en-CA"/>
              </w:rPr>
              <w:t>42</w:t>
            </w:r>
          </w:p>
        </w:tc>
        <w:tc>
          <w:tcPr>
            <w:tcW w:w="1077" w:type="dxa"/>
            <w:tcBorders>
              <w:top w:val="nil"/>
              <w:left w:val="nil"/>
              <w:bottom w:val="single" w:sz="4" w:space="0" w:color="auto"/>
              <w:right w:val="single" w:sz="4" w:space="0" w:color="auto"/>
            </w:tcBorders>
            <w:shd w:val="clear" w:color="auto" w:fill="auto"/>
            <w:noWrap/>
            <w:hideMark/>
          </w:tcPr>
          <w:p w14:paraId="166FE479" w14:textId="77777777" w:rsidR="00A70444" w:rsidRPr="00A051CF" w:rsidRDefault="00A70444" w:rsidP="000B114B">
            <w:pPr>
              <w:jc w:val="right"/>
              <w:rPr>
                <w:sz w:val="18"/>
                <w:szCs w:val="18"/>
                <w:lang w:val="en-CA" w:eastAsia="en-CA"/>
              </w:rPr>
            </w:pPr>
            <w:r w:rsidRPr="00A051CF">
              <w:rPr>
                <w:sz w:val="18"/>
                <w:szCs w:val="18"/>
                <w:lang w:val="en-CA" w:eastAsia="en-CA"/>
              </w:rPr>
              <w:t>42</w:t>
            </w:r>
          </w:p>
        </w:tc>
        <w:tc>
          <w:tcPr>
            <w:tcW w:w="1163" w:type="dxa"/>
            <w:tcBorders>
              <w:top w:val="nil"/>
              <w:left w:val="nil"/>
              <w:bottom w:val="single" w:sz="4" w:space="0" w:color="auto"/>
              <w:right w:val="single" w:sz="4" w:space="0" w:color="auto"/>
            </w:tcBorders>
            <w:shd w:val="clear" w:color="auto" w:fill="auto"/>
            <w:noWrap/>
            <w:hideMark/>
          </w:tcPr>
          <w:p w14:paraId="5D9CBB6A"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0CEB9F5" w14:textId="2063BE10" w:rsidR="00A70444" w:rsidRPr="00A051CF" w:rsidRDefault="00A70444" w:rsidP="000B114B">
            <w:pPr>
              <w:jc w:val="right"/>
              <w:rPr>
                <w:sz w:val="18"/>
                <w:szCs w:val="18"/>
                <w:lang w:val="en-CA" w:eastAsia="en-CA"/>
              </w:rPr>
            </w:pPr>
            <w:r w:rsidRPr="00A051CF">
              <w:rPr>
                <w:sz w:val="18"/>
                <w:szCs w:val="18"/>
                <w:lang w:val="en-CA" w:eastAsia="en-CA"/>
              </w:rPr>
              <w:t>5</w:t>
            </w:r>
            <w:r w:rsidR="00A86723">
              <w:rPr>
                <w:sz w:val="18"/>
                <w:szCs w:val="18"/>
                <w:lang w:val="en-CA" w:eastAsia="en-CA"/>
              </w:rPr>
              <w:t xml:space="preserve"> </w:t>
            </w:r>
            <w:r w:rsidRPr="00A051CF">
              <w:rPr>
                <w:sz w:val="18"/>
                <w:szCs w:val="18"/>
                <w:lang w:val="en-CA" w:eastAsia="en-CA"/>
              </w:rPr>
              <w:t>429</w:t>
            </w:r>
            <w:r w:rsidR="00A86723">
              <w:rPr>
                <w:sz w:val="18"/>
                <w:szCs w:val="18"/>
                <w:lang w:val="en-CA" w:eastAsia="en-CA"/>
              </w:rPr>
              <w:t xml:space="preserve"> </w:t>
            </w:r>
            <w:r w:rsidRPr="00A051CF">
              <w:rPr>
                <w:sz w:val="18"/>
                <w:szCs w:val="18"/>
                <w:lang w:val="en-CA" w:eastAsia="en-CA"/>
              </w:rPr>
              <w:t>404</w:t>
            </w:r>
          </w:p>
        </w:tc>
        <w:tc>
          <w:tcPr>
            <w:tcW w:w="1418" w:type="dxa"/>
            <w:tcBorders>
              <w:top w:val="nil"/>
              <w:left w:val="nil"/>
              <w:bottom w:val="single" w:sz="4" w:space="0" w:color="auto"/>
              <w:right w:val="single" w:sz="4" w:space="0" w:color="auto"/>
            </w:tcBorders>
            <w:shd w:val="clear" w:color="auto" w:fill="auto"/>
            <w:noWrap/>
            <w:hideMark/>
          </w:tcPr>
          <w:p w14:paraId="75C0CDC8" w14:textId="58A9B0F3" w:rsidR="00A70444" w:rsidRPr="00A051CF" w:rsidRDefault="00A70444" w:rsidP="000B114B">
            <w:pPr>
              <w:jc w:val="right"/>
              <w:rPr>
                <w:sz w:val="18"/>
                <w:szCs w:val="18"/>
                <w:lang w:val="en-CA" w:eastAsia="en-CA"/>
              </w:rPr>
            </w:pPr>
            <w:r w:rsidRPr="00A051CF">
              <w:rPr>
                <w:sz w:val="18"/>
                <w:szCs w:val="18"/>
                <w:lang w:val="en-CA" w:eastAsia="en-CA"/>
              </w:rPr>
              <w:t>5</w:t>
            </w:r>
            <w:r w:rsidR="00A86723">
              <w:rPr>
                <w:sz w:val="18"/>
                <w:szCs w:val="18"/>
                <w:lang w:val="en-CA" w:eastAsia="en-CA"/>
              </w:rPr>
              <w:t xml:space="preserve"> </w:t>
            </w:r>
            <w:r w:rsidRPr="00A051CF">
              <w:rPr>
                <w:sz w:val="18"/>
                <w:szCs w:val="18"/>
                <w:lang w:val="en-CA" w:eastAsia="en-CA"/>
              </w:rPr>
              <w:t>429</w:t>
            </w:r>
            <w:r w:rsidR="00A86723">
              <w:rPr>
                <w:sz w:val="18"/>
                <w:szCs w:val="18"/>
                <w:lang w:val="en-CA" w:eastAsia="en-CA"/>
              </w:rPr>
              <w:t xml:space="preserve"> </w:t>
            </w:r>
            <w:r w:rsidRPr="00A051CF">
              <w:rPr>
                <w:sz w:val="18"/>
                <w:szCs w:val="18"/>
                <w:lang w:val="en-CA" w:eastAsia="en-CA"/>
              </w:rPr>
              <w:t>404</w:t>
            </w:r>
          </w:p>
        </w:tc>
        <w:tc>
          <w:tcPr>
            <w:tcW w:w="1185" w:type="dxa"/>
            <w:tcBorders>
              <w:top w:val="nil"/>
              <w:left w:val="nil"/>
              <w:bottom w:val="single" w:sz="4" w:space="0" w:color="auto"/>
              <w:right w:val="single" w:sz="4" w:space="0" w:color="auto"/>
            </w:tcBorders>
            <w:shd w:val="clear" w:color="auto" w:fill="auto"/>
            <w:noWrap/>
            <w:hideMark/>
          </w:tcPr>
          <w:p w14:paraId="00A37370"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199033E1"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73D0683C"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77E8F4A7" w14:textId="77777777" w:rsidR="00A70444" w:rsidRPr="00A051CF" w:rsidRDefault="00A70444" w:rsidP="000B114B">
            <w:pPr>
              <w:jc w:val="left"/>
              <w:rPr>
                <w:sz w:val="18"/>
                <w:szCs w:val="18"/>
                <w:lang w:val="en-CA" w:eastAsia="en-CA"/>
              </w:rPr>
            </w:pPr>
            <w:r w:rsidRPr="00A051CF">
              <w:rPr>
                <w:sz w:val="18"/>
                <w:szCs w:val="18"/>
                <w:lang w:val="en-CA" w:eastAsia="en-CA"/>
              </w:rPr>
              <w:t>1992</w:t>
            </w:r>
          </w:p>
        </w:tc>
        <w:tc>
          <w:tcPr>
            <w:tcW w:w="1225" w:type="dxa"/>
            <w:tcBorders>
              <w:top w:val="nil"/>
              <w:left w:val="nil"/>
              <w:bottom w:val="single" w:sz="4" w:space="0" w:color="auto"/>
              <w:right w:val="single" w:sz="4" w:space="0" w:color="auto"/>
            </w:tcBorders>
            <w:shd w:val="clear" w:color="auto" w:fill="auto"/>
            <w:noWrap/>
            <w:hideMark/>
          </w:tcPr>
          <w:p w14:paraId="3EFEAE3E" w14:textId="77777777" w:rsidR="00A70444" w:rsidRPr="00A051CF" w:rsidRDefault="00A70444" w:rsidP="000B114B">
            <w:pPr>
              <w:jc w:val="right"/>
              <w:rPr>
                <w:sz w:val="18"/>
                <w:szCs w:val="18"/>
                <w:lang w:val="en-CA" w:eastAsia="en-CA"/>
              </w:rPr>
            </w:pPr>
            <w:r w:rsidRPr="00A051CF">
              <w:rPr>
                <w:sz w:val="18"/>
                <w:szCs w:val="18"/>
                <w:lang w:val="en-CA" w:eastAsia="en-CA"/>
              </w:rPr>
              <w:t>76</w:t>
            </w:r>
          </w:p>
        </w:tc>
        <w:tc>
          <w:tcPr>
            <w:tcW w:w="1077" w:type="dxa"/>
            <w:tcBorders>
              <w:top w:val="nil"/>
              <w:left w:val="nil"/>
              <w:bottom w:val="single" w:sz="4" w:space="0" w:color="auto"/>
              <w:right w:val="single" w:sz="4" w:space="0" w:color="auto"/>
            </w:tcBorders>
            <w:shd w:val="clear" w:color="auto" w:fill="auto"/>
            <w:noWrap/>
            <w:hideMark/>
          </w:tcPr>
          <w:p w14:paraId="4B6F58DD" w14:textId="77777777" w:rsidR="00A70444" w:rsidRPr="00A051CF" w:rsidRDefault="00A70444" w:rsidP="000B114B">
            <w:pPr>
              <w:jc w:val="right"/>
              <w:rPr>
                <w:sz w:val="18"/>
                <w:szCs w:val="18"/>
                <w:lang w:val="en-CA" w:eastAsia="en-CA"/>
              </w:rPr>
            </w:pPr>
            <w:r w:rsidRPr="00A051CF">
              <w:rPr>
                <w:sz w:val="18"/>
                <w:szCs w:val="18"/>
                <w:lang w:val="en-CA" w:eastAsia="en-CA"/>
              </w:rPr>
              <w:t>76</w:t>
            </w:r>
          </w:p>
        </w:tc>
        <w:tc>
          <w:tcPr>
            <w:tcW w:w="1163" w:type="dxa"/>
            <w:tcBorders>
              <w:top w:val="nil"/>
              <w:left w:val="nil"/>
              <w:bottom w:val="single" w:sz="4" w:space="0" w:color="auto"/>
              <w:right w:val="single" w:sz="4" w:space="0" w:color="auto"/>
            </w:tcBorders>
            <w:shd w:val="clear" w:color="auto" w:fill="auto"/>
            <w:noWrap/>
            <w:hideMark/>
          </w:tcPr>
          <w:p w14:paraId="09B0F60C"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4DBE314" w14:textId="0EFFDDD9" w:rsidR="00A70444" w:rsidRPr="00A051CF" w:rsidRDefault="00A70444" w:rsidP="000B114B">
            <w:pPr>
              <w:jc w:val="right"/>
              <w:rPr>
                <w:sz w:val="18"/>
                <w:szCs w:val="18"/>
                <w:lang w:val="en-CA" w:eastAsia="en-CA"/>
              </w:rPr>
            </w:pPr>
            <w:r w:rsidRPr="00A051CF">
              <w:rPr>
                <w:sz w:val="18"/>
                <w:szCs w:val="18"/>
                <w:lang w:val="en-CA" w:eastAsia="en-CA"/>
              </w:rPr>
              <w:t>28</w:t>
            </w:r>
            <w:r w:rsidR="00A86723">
              <w:rPr>
                <w:sz w:val="18"/>
                <w:szCs w:val="18"/>
                <w:lang w:val="en-CA" w:eastAsia="en-CA"/>
              </w:rPr>
              <w:t xml:space="preserve"> </w:t>
            </w:r>
            <w:r w:rsidRPr="00A051CF">
              <w:rPr>
                <w:sz w:val="18"/>
                <w:szCs w:val="18"/>
                <w:lang w:val="en-CA" w:eastAsia="en-CA"/>
              </w:rPr>
              <w:t>047</w:t>
            </w:r>
            <w:r w:rsidR="00A86723">
              <w:rPr>
                <w:sz w:val="18"/>
                <w:szCs w:val="18"/>
                <w:lang w:val="en-CA" w:eastAsia="en-CA"/>
              </w:rPr>
              <w:t xml:space="preserve"> </w:t>
            </w:r>
            <w:r w:rsidRPr="00A051CF">
              <w:rPr>
                <w:sz w:val="18"/>
                <w:szCs w:val="18"/>
                <w:lang w:val="en-CA" w:eastAsia="en-CA"/>
              </w:rPr>
              <w:t>705</w:t>
            </w:r>
          </w:p>
        </w:tc>
        <w:tc>
          <w:tcPr>
            <w:tcW w:w="1418" w:type="dxa"/>
            <w:tcBorders>
              <w:top w:val="nil"/>
              <w:left w:val="nil"/>
              <w:bottom w:val="single" w:sz="4" w:space="0" w:color="auto"/>
              <w:right w:val="single" w:sz="4" w:space="0" w:color="auto"/>
            </w:tcBorders>
            <w:shd w:val="clear" w:color="auto" w:fill="auto"/>
            <w:noWrap/>
            <w:hideMark/>
          </w:tcPr>
          <w:p w14:paraId="62A3635C" w14:textId="699C95C1" w:rsidR="00A70444" w:rsidRPr="00A051CF" w:rsidRDefault="00A70444" w:rsidP="000B114B">
            <w:pPr>
              <w:jc w:val="right"/>
              <w:rPr>
                <w:sz w:val="18"/>
                <w:szCs w:val="18"/>
                <w:lang w:val="en-CA" w:eastAsia="en-CA"/>
              </w:rPr>
            </w:pPr>
            <w:r w:rsidRPr="00A051CF">
              <w:rPr>
                <w:sz w:val="18"/>
                <w:szCs w:val="18"/>
                <w:lang w:val="en-CA" w:eastAsia="en-CA"/>
              </w:rPr>
              <w:t>28</w:t>
            </w:r>
            <w:r w:rsidR="00A86723">
              <w:rPr>
                <w:sz w:val="18"/>
                <w:szCs w:val="18"/>
                <w:lang w:val="en-CA" w:eastAsia="en-CA"/>
              </w:rPr>
              <w:t xml:space="preserve"> </w:t>
            </w:r>
            <w:r w:rsidRPr="00A051CF">
              <w:rPr>
                <w:sz w:val="18"/>
                <w:szCs w:val="18"/>
                <w:lang w:val="en-CA" w:eastAsia="en-CA"/>
              </w:rPr>
              <w:t>047</w:t>
            </w:r>
            <w:r w:rsidR="00A86723">
              <w:rPr>
                <w:sz w:val="18"/>
                <w:szCs w:val="18"/>
                <w:lang w:val="en-CA" w:eastAsia="en-CA"/>
              </w:rPr>
              <w:t xml:space="preserve"> </w:t>
            </w:r>
            <w:r w:rsidRPr="00A051CF">
              <w:rPr>
                <w:sz w:val="18"/>
                <w:szCs w:val="18"/>
                <w:lang w:val="en-CA" w:eastAsia="en-CA"/>
              </w:rPr>
              <w:t>705</w:t>
            </w:r>
          </w:p>
        </w:tc>
        <w:tc>
          <w:tcPr>
            <w:tcW w:w="1185" w:type="dxa"/>
            <w:tcBorders>
              <w:top w:val="nil"/>
              <w:left w:val="nil"/>
              <w:bottom w:val="single" w:sz="4" w:space="0" w:color="auto"/>
              <w:right w:val="single" w:sz="4" w:space="0" w:color="auto"/>
            </w:tcBorders>
            <w:shd w:val="clear" w:color="auto" w:fill="auto"/>
            <w:noWrap/>
            <w:hideMark/>
          </w:tcPr>
          <w:p w14:paraId="3127AC3F"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5A07AEF9"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1551242E"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1D3BC793" w14:textId="77777777" w:rsidR="00A70444" w:rsidRPr="00A051CF" w:rsidRDefault="00A70444" w:rsidP="000B114B">
            <w:pPr>
              <w:jc w:val="left"/>
              <w:rPr>
                <w:sz w:val="18"/>
                <w:szCs w:val="18"/>
                <w:lang w:val="en-CA" w:eastAsia="en-CA"/>
              </w:rPr>
            </w:pPr>
            <w:r w:rsidRPr="00A051CF">
              <w:rPr>
                <w:sz w:val="18"/>
                <w:szCs w:val="18"/>
                <w:lang w:val="en-CA" w:eastAsia="en-CA"/>
              </w:rPr>
              <w:t>1993</w:t>
            </w:r>
          </w:p>
        </w:tc>
        <w:tc>
          <w:tcPr>
            <w:tcW w:w="1225" w:type="dxa"/>
            <w:tcBorders>
              <w:top w:val="nil"/>
              <w:left w:val="nil"/>
              <w:bottom w:val="single" w:sz="4" w:space="0" w:color="auto"/>
              <w:right w:val="single" w:sz="4" w:space="0" w:color="auto"/>
            </w:tcBorders>
            <w:shd w:val="clear" w:color="auto" w:fill="auto"/>
            <w:noWrap/>
            <w:hideMark/>
          </w:tcPr>
          <w:p w14:paraId="19641CF5" w14:textId="77777777" w:rsidR="00A70444" w:rsidRPr="00A051CF" w:rsidRDefault="00A70444" w:rsidP="000B114B">
            <w:pPr>
              <w:jc w:val="right"/>
              <w:rPr>
                <w:sz w:val="18"/>
                <w:szCs w:val="18"/>
                <w:lang w:val="en-CA" w:eastAsia="en-CA"/>
              </w:rPr>
            </w:pPr>
            <w:r w:rsidRPr="00A051CF">
              <w:rPr>
                <w:sz w:val="18"/>
                <w:szCs w:val="18"/>
                <w:lang w:val="en-CA" w:eastAsia="en-CA"/>
              </w:rPr>
              <w:t>79</w:t>
            </w:r>
          </w:p>
        </w:tc>
        <w:tc>
          <w:tcPr>
            <w:tcW w:w="1077" w:type="dxa"/>
            <w:tcBorders>
              <w:top w:val="nil"/>
              <w:left w:val="nil"/>
              <w:bottom w:val="single" w:sz="4" w:space="0" w:color="auto"/>
              <w:right w:val="single" w:sz="4" w:space="0" w:color="auto"/>
            </w:tcBorders>
            <w:shd w:val="clear" w:color="auto" w:fill="auto"/>
            <w:noWrap/>
            <w:hideMark/>
          </w:tcPr>
          <w:p w14:paraId="30B7B294" w14:textId="77777777" w:rsidR="00A70444" w:rsidRPr="00A051CF" w:rsidRDefault="00A70444" w:rsidP="000B114B">
            <w:pPr>
              <w:jc w:val="right"/>
              <w:rPr>
                <w:sz w:val="18"/>
                <w:szCs w:val="18"/>
                <w:lang w:val="en-CA" w:eastAsia="en-CA"/>
              </w:rPr>
            </w:pPr>
            <w:r w:rsidRPr="00A051CF">
              <w:rPr>
                <w:sz w:val="18"/>
                <w:szCs w:val="18"/>
                <w:lang w:val="en-CA" w:eastAsia="en-CA"/>
              </w:rPr>
              <w:t>79</w:t>
            </w:r>
          </w:p>
        </w:tc>
        <w:tc>
          <w:tcPr>
            <w:tcW w:w="1163" w:type="dxa"/>
            <w:tcBorders>
              <w:top w:val="nil"/>
              <w:left w:val="nil"/>
              <w:bottom w:val="single" w:sz="4" w:space="0" w:color="auto"/>
              <w:right w:val="single" w:sz="4" w:space="0" w:color="auto"/>
            </w:tcBorders>
            <w:shd w:val="clear" w:color="auto" w:fill="auto"/>
            <w:noWrap/>
            <w:hideMark/>
          </w:tcPr>
          <w:p w14:paraId="124AADDD"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55FC9F72" w14:textId="31E8C148" w:rsidR="00A70444" w:rsidRPr="00A051CF" w:rsidRDefault="00A70444" w:rsidP="000B114B">
            <w:pPr>
              <w:jc w:val="right"/>
              <w:rPr>
                <w:sz w:val="18"/>
                <w:szCs w:val="18"/>
                <w:lang w:val="en-CA" w:eastAsia="en-CA"/>
              </w:rPr>
            </w:pPr>
            <w:r w:rsidRPr="00A051CF">
              <w:rPr>
                <w:sz w:val="18"/>
                <w:szCs w:val="18"/>
                <w:lang w:val="en-CA" w:eastAsia="en-CA"/>
              </w:rPr>
              <w:t>42</w:t>
            </w:r>
            <w:r w:rsidR="00A86723">
              <w:rPr>
                <w:sz w:val="18"/>
                <w:szCs w:val="18"/>
                <w:lang w:val="en-CA" w:eastAsia="en-CA"/>
              </w:rPr>
              <w:t xml:space="preserve"> </w:t>
            </w:r>
            <w:r w:rsidRPr="00A051CF">
              <w:rPr>
                <w:sz w:val="18"/>
                <w:szCs w:val="18"/>
                <w:lang w:val="en-CA" w:eastAsia="en-CA"/>
              </w:rPr>
              <w:t>538</w:t>
            </w:r>
            <w:r w:rsidR="00A86723">
              <w:rPr>
                <w:sz w:val="18"/>
                <w:szCs w:val="18"/>
                <w:lang w:val="en-CA" w:eastAsia="en-CA"/>
              </w:rPr>
              <w:t xml:space="preserve"> </w:t>
            </w:r>
            <w:r w:rsidRPr="00A051CF">
              <w:rPr>
                <w:sz w:val="18"/>
                <w:szCs w:val="18"/>
                <w:lang w:val="en-CA" w:eastAsia="en-CA"/>
              </w:rPr>
              <w:t>405</w:t>
            </w:r>
          </w:p>
        </w:tc>
        <w:tc>
          <w:tcPr>
            <w:tcW w:w="1418" w:type="dxa"/>
            <w:tcBorders>
              <w:top w:val="nil"/>
              <w:left w:val="nil"/>
              <w:bottom w:val="single" w:sz="4" w:space="0" w:color="auto"/>
              <w:right w:val="single" w:sz="4" w:space="0" w:color="auto"/>
            </w:tcBorders>
            <w:shd w:val="clear" w:color="auto" w:fill="auto"/>
            <w:noWrap/>
            <w:hideMark/>
          </w:tcPr>
          <w:p w14:paraId="577DC00A" w14:textId="1EDA541F" w:rsidR="00A70444" w:rsidRPr="00A051CF" w:rsidRDefault="00A70444" w:rsidP="000B114B">
            <w:pPr>
              <w:jc w:val="right"/>
              <w:rPr>
                <w:sz w:val="18"/>
                <w:szCs w:val="18"/>
                <w:lang w:val="en-CA" w:eastAsia="en-CA"/>
              </w:rPr>
            </w:pPr>
            <w:r w:rsidRPr="00A051CF">
              <w:rPr>
                <w:sz w:val="18"/>
                <w:szCs w:val="18"/>
                <w:lang w:val="en-CA" w:eastAsia="en-CA"/>
              </w:rPr>
              <w:t>42</w:t>
            </w:r>
            <w:r w:rsidR="00A86723">
              <w:rPr>
                <w:sz w:val="18"/>
                <w:szCs w:val="18"/>
                <w:lang w:val="en-CA" w:eastAsia="en-CA"/>
              </w:rPr>
              <w:t xml:space="preserve"> </w:t>
            </w:r>
            <w:r w:rsidRPr="00A051CF">
              <w:rPr>
                <w:sz w:val="18"/>
                <w:szCs w:val="18"/>
                <w:lang w:val="en-CA" w:eastAsia="en-CA"/>
              </w:rPr>
              <w:t>538</w:t>
            </w:r>
            <w:r w:rsidR="00A86723">
              <w:rPr>
                <w:sz w:val="18"/>
                <w:szCs w:val="18"/>
                <w:lang w:val="en-CA" w:eastAsia="en-CA"/>
              </w:rPr>
              <w:t xml:space="preserve"> </w:t>
            </w:r>
            <w:r w:rsidRPr="00A051CF">
              <w:rPr>
                <w:sz w:val="18"/>
                <w:szCs w:val="18"/>
                <w:lang w:val="en-CA" w:eastAsia="en-CA"/>
              </w:rPr>
              <w:t>405</w:t>
            </w:r>
          </w:p>
        </w:tc>
        <w:tc>
          <w:tcPr>
            <w:tcW w:w="1185" w:type="dxa"/>
            <w:tcBorders>
              <w:top w:val="nil"/>
              <w:left w:val="nil"/>
              <w:bottom w:val="single" w:sz="4" w:space="0" w:color="auto"/>
              <w:right w:val="single" w:sz="4" w:space="0" w:color="auto"/>
            </w:tcBorders>
            <w:shd w:val="clear" w:color="auto" w:fill="auto"/>
            <w:noWrap/>
            <w:hideMark/>
          </w:tcPr>
          <w:p w14:paraId="0E3D217E"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5A3A9ACA"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0259A9CA"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64E5C8A8" w14:textId="77777777" w:rsidR="00A70444" w:rsidRPr="00A051CF" w:rsidRDefault="00A70444" w:rsidP="000B114B">
            <w:pPr>
              <w:jc w:val="left"/>
              <w:rPr>
                <w:sz w:val="18"/>
                <w:szCs w:val="18"/>
                <w:lang w:val="en-CA" w:eastAsia="en-CA"/>
              </w:rPr>
            </w:pPr>
            <w:r w:rsidRPr="00A051CF">
              <w:rPr>
                <w:sz w:val="18"/>
                <w:szCs w:val="18"/>
                <w:lang w:val="en-CA" w:eastAsia="en-CA"/>
              </w:rPr>
              <w:t>1994</w:t>
            </w:r>
          </w:p>
        </w:tc>
        <w:tc>
          <w:tcPr>
            <w:tcW w:w="1225" w:type="dxa"/>
            <w:tcBorders>
              <w:top w:val="nil"/>
              <w:left w:val="nil"/>
              <w:bottom w:val="single" w:sz="4" w:space="0" w:color="auto"/>
              <w:right w:val="single" w:sz="4" w:space="0" w:color="auto"/>
            </w:tcBorders>
            <w:shd w:val="clear" w:color="auto" w:fill="auto"/>
            <w:noWrap/>
            <w:hideMark/>
          </w:tcPr>
          <w:p w14:paraId="5E4FCDF7" w14:textId="77777777" w:rsidR="00A70444" w:rsidRPr="00A051CF" w:rsidRDefault="00A70444" w:rsidP="000B114B">
            <w:pPr>
              <w:jc w:val="right"/>
              <w:rPr>
                <w:sz w:val="18"/>
                <w:szCs w:val="18"/>
                <w:lang w:val="en-CA" w:eastAsia="en-CA"/>
              </w:rPr>
            </w:pPr>
            <w:r w:rsidRPr="00A051CF">
              <w:rPr>
                <w:sz w:val="18"/>
                <w:szCs w:val="18"/>
                <w:lang w:val="en-CA" w:eastAsia="en-CA"/>
              </w:rPr>
              <w:t>91</w:t>
            </w:r>
          </w:p>
        </w:tc>
        <w:tc>
          <w:tcPr>
            <w:tcW w:w="1077" w:type="dxa"/>
            <w:tcBorders>
              <w:top w:val="nil"/>
              <w:left w:val="nil"/>
              <w:bottom w:val="single" w:sz="4" w:space="0" w:color="auto"/>
              <w:right w:val="single" w:sz="4" w:space="0" w:color="auto"/>
            </w:tcBorders>
            <w:shd w:val="clear" w:color="auto" w:fill="auto"/>
            <w:noWrap/>
            <w:hideMark/>
          </w:tcPr>
          <w:p w14:paraId="369D5D04" w14:textId="77777777" w:rsidR="00A70444" w:rsidRPr="00A051CF" w:rsidRDefault="00A70444" w:rsidP="000B114B">
            <w:pPr>
              <w:jc w:val="right"/>
              <w:rPr>
                <w:sz w:val="18"/>
                <w:szCs w:val="18"/>
                <w:lang w:val="en-CA" w:eastAsia="en-CA"/>
              </w:rPr>
            </w:pPr>
            <w:r w:rsidRPr="00A051CF">
              <w:rPr>
                <w:sz w:val="18"/>
                <w:szCs w:val="18"/>
                <w:lang w:val="en-CA" w:eastAsia="en-CA"/>
              </w:rPr>
              <w:t>91</w:t>
            </w:r>
          </w:p>
        </w:tc>
        <w:tc>
          <w:tcPr>
            <w:tcW w:w="1163" w:type="dxa"/>
            <w:tcBorders>
              <w:top w:val="nil"/>
              <w:left w:val="nil"/>
              <w:bottom w:val="single" w:sz="4" w:space="0" w:color="auto"/>
              <w:right w:val="single" w:sz="4" w:space="0" w:color="auto"/>
            </w:tcBorders>
            <w:shd w:val="clear" w:color="auto" w:fill="auto"/>
            <w:noWrap/>
            <w:hideMark/>
          </w:tcPr>
          <w:p w14:paraId="4E062597"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5CDCE21A" w14:textId="00243AB0" w:rsidR="00A70444" w:rsidRPr="00A051CF" w:rsidRDefault="00A70444" w:rsidP="000B114B">
            <w:pPr>
              <w:jc w:val="right"/>
              <w:rPr>
                <w:sz w:val="18"/>
                <w:szCs w:val="18"/>
                <w:lang w:val="en-CA" w:eastAsia="en-CA"/>
              </w:rPr>
            </w:pPr>
            <w:r w:rsidRPr="00A051CF">
              <w:rPr>
                <w:sz w:val="18"/>
                <w:szCs w:val="18"/>
                <w:lang w:val="en-CA" w:eastAsia="en-CA"/>
              </w:rPr>
              <w:t>41</w:t>
            </w:r>
            <w:r w:rsidR="00A86723">
              <w:rPr>
                <w:sz w:val="18"/>
                <w:szCs w:val="18"/>
                <w:lang w:val="en-CA" w:eastAsia="en-CA"/>
              </w:rPr>
              <w:t xml:space="preserve"> </w:t>
            </w:r>
            <w:r w:rsidRPr="00A051CF">
              <w:rPr>
                <w:sz w:val="18"/>
                <w:szCs w:val="18"/>
                <w:lang w:val="en-CA" w:eastAsia="en-CA"/>
              </w:rPr>
              <w:t>081</w:t>
            </w:r>
            <w:r w:rsidR="00A86723">
              <w:rPr>
                <w:sz w:val="18"/>
                <w:szCs w:val="18"/>
                <w:lang w:val="en-CA" w:eastAsia="en-CA"/>
              </w:rPr>
              <w:t xml:space="preserve"> </w:t>
            </w:r>
            <w:r w:rsidRPr="00A051CF">
              <w:rPr>
                <w:sz w:val="18"/>
                <w:szCs w:val="18"/>
                <w:lang w:val="en-CA" w:eastAsia="en-CA"/>
              </w:rPr>
              <w:t>267</w:t>
            </w:r>
          </w:p>
        </w:tc>
        <w:tc>
          <w:tcPr>
            <w:tcW w:w="1418" w:type="dxa"/>
            <w:tcBorders>
              <w:top w:val="nil"/>
              <w:left w:val="nil"/>
              <w:bottom w:val="single" w:sz="4" w:space="0" w:color="auto"/>
              <w:right w:val="single" w:sz="4" w:space="0" w:color="auto"/>
            </w:tcBorders>
            <w:shd w:val="clear" w:color="auto" w:fill="auto"/>
            <w:noWrap/>
            <w:hideMark/>
          </w:tcPr>
          <w:p w14:paraId="20DAEDE4" w14:textId="43F948ED" w:rsidR="00A70444" w:rsidRPr="00A051CF" w:rsidRDefault="00A70444" w:rsidP="000B114B">
            <w:pPr>
              <w:jc w:val="right"/>
              <w:rPr>
                <w:sz w:val="18"/>
                <w:szCs w:val="18"/>
                <w:lang w:val="en-CA" w:eastAsia="en-CA"/>
              </w:rPr>
            </w:pPr>
            <w:r w:rsidRPr="00A051CF">
              <w:rPr>
                <w:sz w:val="18"/>
                <w:szCs w:val="18"/>
                <w:lang w:val="en-CA" w:eastAsia="en-CA"/>
              </w:rPr>
              <w:t>41</w:t>
            </w:r>
            <w:r w:rsidR="00A86723">
              <w:rPr>
                <w:sz w:val="18"/>
                <w:szCs w:val="18"/>
                <w:lang w:val="en-CA" w:eastAsia="en-CA"/>
              </w:rPr>
              <w:t xml:space="preserve"> </w:t>
            </w:r>
            <w:r w:rsidRPr="00A051CF">
              <w:rPr>
                <w:sz w:val="18"/>
                <w:szCs w:val="18"/>
                <w:lang w:val="en-CA" w:eastAsia="en-CA"/>
              </w:rPr>
              <w:t>081</w:t>
            </w:r>
            <w:r w:rsidR="00A86723">
              <w:rPr>
                <w:sz w:val="18"/>
                <w:szCs w:val="18"/>
                <w:lang w:val="en-CA" w:eastAsia="en-CA"/>
              </w:rPr>
              <w:t xml:space="preserve"> </w:t>
            </w:r>
            <w:r w:rsidRPr="00A051CF">
              <w:rPr>
                <w:sz w:val="18"/>
                <w:szCs w:val="18"/>
                <w:lang w:val="en-CA" w:eastAsia="en-CA"/>
              </w:rPr>
              <w:t>267</w:t>
            </w:r>
          </w:p>
        </w:tc>
        <w:tc>
          <w:tcPr>
            <w:tcW w:w="1185" w:type="dxa"/>
            <w:tcBorders>
              <w:top w:val="nil"/>
              <w:left w:val="nil"/>
              <w:bottom w:val="single" w:sz="4" w:space="0" w:color="auto"/>
              <w:right w:val="single" w:sz="4" w:space="0" w:color="auto"/>
            </w:tcBorders>
            <w:shd w:val="clear" w:color="auto" w:fill="auto"/>
            <w:noWrap/>
            <w:hideMark/>
          </w:tcPr>
          <w:p w14:paraId="09E513A1"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42ECC20"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2CC6973F"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44D36CC5" w14:textId="77777777" w:rsidR="00A70444" w:rsidRPr="00A051CF" w:rsidRDefault="00A70444" w:rsidP="000B114B">
            <w:pPr>
              <w:jc w:val="left"/>
              <w:rPr>
                <w:sz w:val="18"/>
                <w:szCs w:val="18"/>
                <w:lang w:val="en-CA" w:eastAsia="en-CA"/>
              </w:rPr>
            </w:pPr>
            <w:r w:rsidRPr="00A051CF">
              <w:rPr>
                <w:sz w:val="18"/>
                <w:szCs w:val="18"/>
                <w:lang w:val="en-CA" w:eastAsia="en-CA"/>
              </w:rPr>
              <w:t>1995</w:t>
            </w:r>
          </w:p>
        </w:tc>
        <w:tc>
          <w:tcPr>
            <w:tcW w:w="1225" w:type="dxa"/>
            <w:tcBorders>
              <w:top w:val="nil"/>
              <w:left w:val="nil"/>
              <w:bottom w:val="single" w:sz="4" w:space="0" w:color="auto"/>
              <w:right w:val="single" w:sz="4" w:space="0" w:color="auto"/>
            </w:tcBorders>
            <w:shd w:val="clear" w:color="auto" w:fill="auto"/>
            <w:noWrap/>
            <w:hideMark/>
          </w:tcPr>
          <w:p w14:paraId="7E0098DB" w14:textId="77777777" w:rsidR="00A70444" w:rsidRPr="00A051CF" w:rsidRDefault="00A70444" w:rsidP="000B114B">
            <w:pPr>
              <w:jc w:val="right"/>
              <w:rPr>
                <w:sz w:val="18"/>
                <w:szCs w:val="18"/>
                <w:lang w:val="en-CA" w:eastAsia="en-CA"/>
              </w:rPr>
            </w:pPr>
            <w:r w:rsidRPr="00A051CF">
              <w:rPr>
                <w:sz w:val="18"/>
                <w:szCs w:val="18"/>
                <w:lang w:val="en-CA" w:eastAsia="en-CA"/>
              </w:rPr>
              <w:t>112</w:t>
            </w:r>
          </w:p>
        </w:tc>
        <w:tc>
          <w:tcPr>
            <w:tcW w:w="1077" w:type="dxa"/>
            <w:tcBorders>
              <w:top w:val="nil"/>
              <w:left w:val="nil"/>
              <w:bottom w:val="single" w:sz="4" w:space="0" w:color="auto"/>
              <w:right w:val="single" w:sz="4" w:space="0" w:color="auto"/>
            </w:tcBorders>
            <w:shd w:val="clear" w:color="auto" w:fill="auto"/>
            <w:noWrap/>
            <w:hideMark/>
          </w:tcPr>
          <w:p w14:paraId="77F511DA" w14:textId="77777777" w:rsidR="00A70444" w:rsidRPr="00A051CF" w:rsidRDefault="00A70444" w:rsidP="000B114B">
            <w:pPr>
              <w:jc w:val="right"/>
              <w:rPr>
                <w:sz w:val="18"/>
                <w:szCs w:val="18"/>
                <w:lang w:val="en-CA" w:eastAsia="en-CA"/>
              </w:rPr>
            </w:pPr>
            <w:r w:rsidRPr="00A051CF">
              <w:rPr>
                <w:sz w:val="18"/>
                <w:szCs w:val="18"/>
                <w:lang w:val="en-CA" w:eastAsia="en-CA"/>
              </w:rPr>
              <w:t>112</w:t>
            </w:r>
          </w:p>
        </w:tc>
        <w:tc>
          <w:tcPr>
            <w:tcW w:w="1163" w:type="dxa"/>
            <w:tcBorders>
              <w:top w:val="nil"/>
              <w:left w:val="nil"/>
              <w:bottom w:val="single" w:sz="4" w:space="0" w:color="auto"/>
              <w:right w:val="single" w:sz="4" w:space="0" w:color="auto"/>
            </w:tcBorders>
            <w:shd w:val="clear" w:color="auto" w:fill="auto"/>
            <w:noWrap/>
            <w:hideMark/>
          </w:tcPr>
          <w:p w14:paraId="0FBAC19F"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AA2BA1F" w14:textId="6828AE51" w:rsidR="00A70444" w:rsidRPr="00A051CF" w:rsidRDefault="00A70444" w:rsidP="000B114B">
            <w:pPr>
              <w:jc w:val="right"/>
              <w:rPr>
                <w:sz w:val="18"/>
                <w:szCs w:val="18"/>
                <w:lang w:val="en-CA" w:eastAsia="en-CA"/>
              </w:rPr>
            </w:pPr>
            <w:r w:rsidRPr="00A051CF">
              <w:rPr>
                <w:sz w:val="18"/>
                <w:szCs w:val="18"/>
                <w:lang w:val="en-CA" w:eastAsia="en-CA"/>
              </w:rPr>
              <w:t>47</w:t>
            </w:r>
            <w:r w:rsidR="00A86723">
              <w:rPr>
                <w:sz w:val="18"/>
                <w:szCs w:val="18"/>
                <w:lang w:val="en-CA" w:eastAsia="en-CA"/>
              </w:rPr>
              <w:t xml:space="preserve"> </w:t>
            </w:r>
            <w:r w:rsidRPr="00A051CF">
              <w:rPr>
                <w:sz w:val="18"/>
                <w:szCs w:val="18"/>
                <w:lang w:val="en-CA" w:eastAsia="en-CA"/>
              </w:rPr>
              <w:t>224</w:t>
            </w:r>
            <w:r w:rsidR="00A86723">
              <w:rPr>
                <w:sz w:val="18"/>
                <w:szCs w:val="18"/>
                <w:lang w:val="en-CA" w:eastAsia="en-CA"/>
              </w:rPr>
              <w:t xml:space="preserve"> </w:t>
            </w:r>
            <w:r w:rsidRPr="00A051CF">
              <w:rPr>
                <w:sz w:val="18"/>
                <w:szCs w:val="18"/>
                <w:lang w:val="en-CA" w:eastAsia="en-CA"/>
              </w:rPr>
              <w:t>186</w:t>
            </w:r>
          </w:p>
        </w:tc>
        <w:tc>
          <w:tcPr>
            <w:tcW w:w="1418" w:type="dxa"/>
            <w:tcBorders>
              <w:top w:val="nil"/>
              <w:left w:val="nil"/>
              <w:bottom w:val="single" w:sz="4" w:space="0" w:color="auto"/>
              <w:right w:val="single" w:sz="4" w:space="0" w:color="auto"/>
            </w:tcBorders>
            <w:shd w:val="clear" w:color="auto" w:fill="auto"/>
            <w:noWrap/>
            <w:hideMark/>
          </w:tcPr>
          <w:p w14:paraId="1FCAE412" w14:textId="07494332" w:rsidR="00A70444" w:rsidRPr="00A051CF" w:rsidRDefault="00A70444" w:rsidP="000B114B">
            <w:pPr>
              <w:jc w:val="right"/>
              <w:rPr>
                <w:sz w:val="18"/>
                <w:szCs w:val="18"/>
                <w:lang w:val="en-CA" w:eastAsia="en-CA"/>
              </w:rPr>
            </w:pPr>
            <w:r w:rsidRPr="00A051CF">
              <w:rPr>
                <w:sz w:val="18"/>
                <w:szCs w:val="18"/>
                <w:lang w:val="en-CA" w:eastAsia="en-CA"/>
              </w:rPr>
              <w:t>47</w:t>
            </w:r>
            <w:r w:rsidR="00A86723">
              <w:rPr>
                <w:sz w:val="18"/>
                <w:szCs w:val="18"/>
                <w:lang w:val="en-CA" w:eastAsia="en-CA"/>
              </w:rPr>
              <w:t xml:space="preserve"> </w:t>
            </w:r>
            <w:r w:rsidRPr="00A051CF">
              <w:rPr>
                <w:sz w:val="18"/>
                <w:szCs w:val="18"/>
                <w:lang w:val="en-CA" w:eastAsia="en-CA"/>
              </w:rPr>
              <w:t>224</w:t>
            </w:r>
            <w:r w:rsidR="00A86723">
              <w:rPr>
                <w:sz w:val="18"/>
                <w:szCs w:val="18"/>
                <w:lang w:val="en-CA" w:eastAsia="en-CA"/>
              </w:rPr>
              <w:t xml:space="preserve"> </w:t>
            </w:r>
            <w:r w:rsidRPr="00A051CF">
              <w:rPr>
                <w:sz w:val="18"/>
                <w:szCs w:val="18"/>
                <w:lang w:val="en-CA" w:eastAsia="en-CA"/>
              </w:rPr>
              <w:t>186</w:t>
            </w:r>
          </w:p>
        </w:tc>
        <w:tc>
          <w:tcPr>
            <w:tcW w:w="1185" w:type="dxa"/>
            <w:tcBorders>
              <w:top w:val="nil"/>
              <w:left w:val="nil"/>
              <w:bottom w:val="single" w:sz="4" w:space="0" w:color="auto"/>
              <w:right w:val="single" w:sz="4" w:space="0" w:color="auto"/>
            </w:tcBorders>
            <w:shd w:val="clear" w:color="auto" w:fill="auto"/>
            <w:noWrap/>
            <w:hideMark/>
          </w:tcPr>
          <w:p w14:paraId="459C51D8"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18FC9401"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34637C10"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9A51E28" w14:textId="77777777" w:rsidR="00A70444" w:rsidRPr="00A051CF" w:rsidRDefault="00A70444" w:rsidP="000B114B">
            <w:pPr>
              <w:jc w:val="left"/>
              <w:rPr>
                <w:sz w:val="18"/>
                <w:szCs w:val="18"/>
                <w:lang w:val="en-CA" w:eastAsia="en-CA"/>
              </w:rPr>
            </w:pPr>
            <w:r w:rsidRPr="00A051CF">
              <w:rPr>
                <w:sz w:val="18"/>
                <w:szCs w:val="18"/>
                <w:lang w:val="en-CA" w:eastAsia="en-CA"/>
              </w:rPr>
              <w:t>1996</w:t>
            </w:r>
          </w:p>
        </w:tc>
        <w:tc>
          <w:tcPr>
            <w:tcW w:w="1225" w:type="dxa"/>
            <w:tcBorders>
              <w:top w:val="nil"/>
              <w:left w:val="nil"/>
              <w:bottom w:val="single" w:sz="4" w:space="0" w:color="auto"/>
              <w:right w:val="single" w:sz="4" w:space="0" w:color="auto"/>
            </w:tcBorders>
            <w:shd w:val="clear" w:color="auto" w:fill="auto"/>
            <w:noWrap/>
            <w:hideMark/>
          </w:tcPr>
          <w:p w14:paraId="2E82CF4E" w14:textId="77777777" w:rsidR="00A70444" w:rsidRPr="00A051CF" w:rsidRDefault="00A70444" w:rsidP="000B114B">
            <w:pPr>
              <w:jc w:val="right"/>
              <w:rPr>
                <w:sz w:val="18"/>
                <w:szCs w:val="18"/>
                <w:lang w:val="en-CA" w:eastAsia="en-CA"/>
              </w:rPr>
            </w:pPr>
            <w:r w:rsidRPr="00A051CF">
              <w:rPr>
                <w:sz w:val="18"/>
                <w:szCs w:val="18"/>
                <w:lang w:val="en-CA" w:eastAsia="en-CA"/>
              </w:rPr>
              <w:t>55</w:t>
            </w:r>
          </w:p>
        </w:tc>
        <w:tc>
          <w:tcPr>
            <w:tcW w:w="1077" w:type="dxa"/>
            <w:tcBorders>
              <w:top w:val="nil"/>
              <w:left w:val="nil"/>
              <w:bottom w:val="single" w:sz="4" w:space="0" w:color="auto"/>
              <w:right w:val="single" w:sz="4" w:space="0" w:color="auto"/>
            </w:tcBorders>
            <w:shd w:val="clear" w:color="auto" w:fill="auto"/>
            <w:noWrap/>
            <w:hideMark/>
          </w:tcPr>
          <w:p w14:paraId="6B57B6F4" w14:textId="77777777" w:rsidR="00A70444" w:rsidRPr="00A051CF" w:rsidRDefault="00A70444" w:rsidP="000B114B">
            <w:pPr>
              <w:jc w:val="right"/>
              <w:rPr>
                <w:sz w:val="18"/>
                <w:szCs w:val="18"/>
                <w:lang w:val="en-CA" w:eastAsia="en-CA"/>
              </w:rPr>
            </w:pPr>
            <w:r w:rsidRPr="00A051CF">
              <w:rPr>
                <w:sz w:val="18"/>
                <w:szCs w:val="18"/>
                <w:lang w:val="en-CA" w:eastAsia="en-CA"/>
              </w:rPr>
              <w:t>55</w:t>
            </w:r>
          </w:p>
        </w:tc>
        <w:tc>
          <w:tcPr>
            <w:tcW w:w="1163" w:type="dxa"/>
            <w:tcBorders>
              <w:top w:val="nil"/>
              <w:left w:val="nil"/>
              <w:bottom w:val="single" w:sz="4" w:space="0" w:color="auto"/>
              <w:right w:val="single" w:sz="4" w:space="0" w:color="auto"/>
            </w:tcBorders>
            <w:shd w:val="clear" w:color="auto" w:fill="auto"/>
            <w:noWrap/>
            <w:hideMark/>
          </w:tcPr>
          <w:p w14:paraId="1F12A3C2"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920F95C" w14:textId="4954C2BF" w:rsidR="00A70444" w:rsidRPr="00A051CF" w:rsidRDefault="00A70444" w:rsidP="000B114B">
            <w:pPr>
              <w:jc w:val="right"/>
              <w:rPr>
                <w:sz w:val="18"/>
                <w:szCs w:val="18"/>
                <w:lang w:val="en-CA" w:eastAsia="en-CA"/>
              </w:rPr>
            </w:pPr>
            <w:r w:rsidRPr="00A051CF">
              <w:rPr>
                <w:sz w:val="18"/>
                <w:szCs w:val="18"/>
                <w:lang w:val="en-CA" w:eastAsia="en-CA"/>
              </w:rPr>
              <w:t>29</w:t>
            </w:r>
            <w:r w:rsidR="00A86723">
              <w:rPr>
                <w:sz w:val="18"/>
                <w:szCs w:val="18"/>
                <w:lang w:val="en-CA" w:eastAsia="en-CA"/>
              </w:rPr>
              <w:t xml:space="preserve"> </w:t>
            </w:r>
            <w:r w:rsidRPr="00A051CF">
              <w:rPr>
                <w:sz w:val="18"/>
                <w:szCs w:val="18"/>
                <w:lang w:val="en-CA" w:eastAsia="en-CA"/>
              </w:rPr>
              <w:t>319</w:t>
            </w:r>
            <w:r w:rsidR="00A86723">
              <w:rPr>
                <w:sz w:val="18"/>
                <w:szCs w:val="18"/>
                <w:lang w:val="en-CA" w:eastAsia="en-CA"/>
              </w:rPr>
              <w:t xml:space="preserve"> </w:t>
            </w:r>
            <w:r w:rsidRPr="00A051CF">
              <w:rPr>
                <w:sz w:val="18"/>
                <w:szCs w:val="18"/>
                <w:lang w:val="en-CA" w:eastAsia="en-CA"/>
              </w:rPr>
              <w:t>479</w:t>
            </w:r>
          </w:p>
        </w:tc>
        <w:tc>
          <w:tcPr>
            <w:tcW w:w="1418" w:type="dxa"/>
            <w:tcBorders>
              <w:top w:val="nil"/>
              <w:left w:val="nil"/>
              <w:bottom w:val="single" w:sz="4" w:space="0" w:color="auto"/>
              <w:right w:val="single" w:sz="4" w:space="0" w:color="auto"/>
            </w:tcBorders>
            <w:shd w:val="clear" w:color="auto" w:fill="auto"/>
            <w:noWrap/>
            <w:hideMark/>
          </w:tcPr>
          <w:p w14:paraId="710AF484" w14:textId="374B7C66" w:rsidR="00A70444" w:rsidRPr="00A051CF" w:rsidRDefault="00A70444" w:rsidP="000B114B">
            <w:pPr>
              <w:jc w:val="right"/>
              <w:rPr>
                <w:sz w:val="18"/>
                <w:szCs w:val="18"/>
                <w:lang w:val="en-CA" w:eastAsia="en-CA"/>
              </w:rPr>
            </w:pPr>
            <w:r w:rsidRPr="00A051CF">
              <w:rPr>
                <w:sz w:val="18"/>
                <w:szCs w:val="18"/>
                <w:lang w:val="en-CA" w:eastAsia="en-CA"/>
              </w:rPr>
              <w:t>29</w:t>
            </w:r>
            <w:r w:rsidR="00A86723">
              <w:rPr>
                <w:sz w:val="18"/>
                <w:szCs w:val="18"/>
                <w:lang w:val="en-CA" w:eastAsia="en-CA"/>
              </w:rPr>
              <w:t xml:space="preserve"> </w:t>
            </w:r>
            <w:r w:rsidRPr="00A051CF">
              <w:rPr>
                <w:sz w:val="18"/>
                <w:szCs w:val="18"/>
                <w:lang w:val="en-CA" w:eastAsia="en-CA"/>
              </w:rPr>
              <w:t>319</w:t>
            </w:r>
            <w:r w:rsidR="00A86723">
              <w:rPr>
                <w:sz w:val="18"/>
                <w:szCs w:val="18"/>
                <w:lang w:val="en-CA" w:eastAsia="en-CA"/>
              </w:rPr>
              <w:t xml:space="preserve"> </w:t>
            </w:r>
            <w:r w:rsidRPr="00A051CF">
              <w:rPr>
                <w:sz w:val="18"/>
                <w:szCs w:val="18"/>
                <w:lang w:val="en-CA" w:eastAsia="en-CA"/>
              </w:rPr>
              <w:t>479</w:t>
            </w:r>
          </w:p>
        </w:tc>
        <w:tc>
          <w:tcPr>
            <w:tcW w:w="1185" w:type="dxa"/>
            <w:tcBorders>
              <w:top w:val="nil"/>
              <w:left w:val="nil"/>
              <w:bottom w:val="single" w:sz="4" w:space="0" w:color="auto"/>
              <w:right w:val="single" w:sz="4" w:space="0" w:color="auto"/>
            </w:tcBorders>
            <w:shd w:val="clear" w:color="auto" w:fill="auto"/>
            <w:noWrap/>
            <w:hideMark/>
          </w:tcPr>
          <w:p w14:paraId="4C5371B3"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83DC2B5"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24DD479E"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679B3146" w14:textId="77777777" w:rsidR="00A70444" w:rsidRPr="00A051CF" w:rsidRDefault="00A70444" w:rsidP="000B114B">
            <w:pPr>
              <w:jc w:val="left"/>
              <w:rPr>
                <w:sz w:val="18"/>
                <w:szCs w:val="18"/>
                <w:lang w:val="en-CA" w:eastAsia="en-CA"/>
              </w:rPr>
            </w:pPr>
            <w:r w:rsidRPr="00A051CF">
              <w:rPr>
                <w:sz w:val="18"/>
                <w:szCs w:val="18"/>
                <w:lang w:val="en-CA" w:eastAsia="en-CA"/>
              </w:rPr>
              <w:t>1997</w:t>
            </w:r>
          </w:p>
        </w:tc>
        <w:tc>
          <w:tcPr>
            <w:tcW w:w="1225" w:type="dxa"/>
            <w:tcBorders>
              <w:top w:val="nil"/>
              <w:left w:val="nil"/>
              <w:bottom w:val="single" w:sz="4" w:space="0" w:color="auto"/>
              <w:right w:val="single" w:sz="4" w:space="0" w:color="auto"/>
            </w:tcBorders>
            <w:shd w:val="clear" w:color="auto" w:fill="auto"/>
            <w:noWrap/>
            <w:hideMark/>
          </w:tcPr>
          <w:p w14:paraId="47BE44DD" w14:textId="77777777" w:rsidR="00A70444" w:rsidRPr="00A051CF" w:rsidRDefault="00A70444" w:rsidP="000B114B">
            <w:pPr>
              <w:jc w:val="right"/>
              <w:rPr>
                <w:sz w:val="18"/>
                <w:szCs w:val="18"/>
                <w:lang w:val="en-CA" w:eastAsia="en-CA"/>
              </w:rPr>
            </w:pPr>
            <w:r w:rsidRPr="00A051CF">
              <w:rPr>
                <w:sz w:val="18"/>
                <w:szCs w:val="18"/>
                <w:lang w:val="en-CA" w:eastAsia="en-CA"/>
              </w:rPr>
              <w:t>95</w:t>
            </w:r>
          </w:p>
        </w:tc>
        <w:tc>
          <w:tcPr>
            <w:tcW w:w="1077" w:type="dxa"/>
            <w:tcBorders>
              <w:top w:val="nil"/>
              <w:left w:val="nil"/>
              <w:bottom w:val="single" w:sz="4" w:space="0" w:color="auto"/>
              <w:right w:val="single" w:sz="4" w:space="0" w:color="auto"/>
            </w:tcBorders>
            <w:shd w:val="clear" w:color="auto" w:fill="auto"/>
            <w:noWrap/>
            <w:hideMark/>
          </w:tcPr>
          <w:p w14:paraId="6964A47B" w14:textId="77777777" w:rsidR="00A70444" w:rsidRPr="00A051CF" w:rsidRDefault="00A70444" w:rsidP="000B114B">
            <w:pPr>
              <w:jc w:val="right"/>
              <w:rPr>
                <w:sz w:val="18"/>
                <w:szCs w:val="18"/>
                <w:lang w:val="en-CA" w:eastAsia="en-CA"/>
              </w:rPr>
            </w:pPr>
            <w:r w:rsidRPr="00A051CF">
              <w:rPr>
                <w:sz w:val="18"/>
                <w:szCs w:val="18"/>
                <w:lang w:val="en-CA" w:eastAsia="en-CA"/>
              </w:rPr>
              <w:t>95</w:t>
            </w:r>
          </w:p>
        </w:tc>
        <w:tc>
          <w:tcPr>
            <w:tcW w:w="1163" w:type="dxa"/>
            <w:tcBorders>
              <w:top w:val="nil"/>
              <w:left w:val="nil"/>
              <w:bottom w:val="single" w:sz="4" w:space="0" w:color="auto"/>
              <w:right w:val="single" w:sz="4" w:space="0" w:color="auto"/>
            </w:tcBorders>
            <w:shd w:val="clear" w:color="auto" w:fill="auto"/>
            <w:noWrap/>
            <w:hideMark/>
          </w:tcPr>
          <w:p w14:paraId="5506E67D"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4C52128" w14:textId="3A7024B6" w:rsidR="00A70444" w:rsidRPr="00A051CF" w:rsidRDefault="00A70444" w:rsidP="000B114B">
            <w:pPr>
              <w:jc w:val="right"/>
              <w:rPr>
                <w:sz w:val="18"/>
                <w:szCs w:val="18"/>
                <w:lang w:val="en-CA" w:eastAsia="en-CA"/>
              </w:rPr>
            </w:pPr>
            <w:r w:rsidRPr="00A051CF">
              <w:rPr>
                <w:sz w:val="18"/>
                <w:szCs w:val="18"/>
                <w:lang w:val="en-CA" w:eastAsia="en-CA"/>
              </w:rPr>
              <w:t>56</w:t>
            </w:r>
            <w:r w:rsidR="00A86723">
              <w:rPr>
                <w:sz w:val="18"/>
                <w:szCs w:val="18"/>
                <w:lang w:val="en-CA" w:eastAsia="en-CA"/>
              </w:rPr>
              <w:t xml:space="preserve"> </w:t>
            </w:r>
            <w:r w:rsidRPr="00A051CF">
              <w:rPr>
                <w:sz w:val="18"/>
                <w:szCs w:val="18"/>
                <w:lang w:val="en-CA" w:eastAsia="en-CA"/>
              </w:rPr>
              <w:t>173</w:t>
            </w:r>
            <w:r w:rsidR="00A86723">
              <w:rPr>
                <w:sz w:val="18"/>
                <w:szCs w:val="18"/>
                <w:lang w:val="en-CA" w:eastAsia="en-CA"/>
              </w:rPr>
              <w:t xml:space="preserve"> </w:t>
            </w:r>
            <w:r w:rsidRPr="00A051CF">
              <w:rPr>
                <w:sz w:val="18"/>
                <w:szCs w:val="18"/>
                <w:lang w:val="en-CA" w:eastAsia="en-CA"/>
              </w:rPr>
              <w:t>102</w:t>
            </w:r>
          </w:p>
        </w:tc>
        <w:tc>
          <w:tcPr>
            <w:tcW w:w="1418" w:type="dxa"/>
            <w:tcBorders>
              <w:top w:val="nil"/>
              <w:left w:val="nil"/>
              <w:bottom w:val="single" w:sz="4" w:space="0" w:color="auto"/>
              <w:right w:val="single" w:sz="4" w:space="0" w:color="auto"/>
            </w:tcBorders>
            <w:shd w:val="clear" w:color="auto" w:fill="auto"/>
            <w:noWrap/>
            <w:hideMark/>
          </w:tcPr>
          <w:p w14:paraId="1995A38C" w14:textId="2424A4B2" w:rsidR="00A70444" w:rsidRPr="00A051CF" w:rsidRDefault="00A70444" w:rsidP="000B114B">
            <w:pPr>
              <w:jc w:val="right"/>
              <w:rPr>
                <w:sz w:val="18"/>
                <w:szCs w:val="18"/>
                <w:lang w:val="en-CA" w:eastAsia="en-CA"/>
              </w:rPr>
            </w:pPr>
            <w:r w:rsidRPr="00A051CF">
              <w:rPr>
                <w:sz w:val="18"/>
                <w:szCs w:val="18"/>
                <w:lang w:val="en-CA" w:eastAsia="en-CA"/>
              </w:rPr>
              <w:t>56</w:t>
            </w:r>
            <w:r w:rsidR="00A86723">
              <w:rPr>
                <w:sz w:val="18"/>
                <w:szCs w:val="18"/>
                <w:lang w:val="en-CA" w:eastAsia="en-CA"/>
              </w:rPr>
              <w:t xml:space="preserve"> </w:t>
            </w:r>
            <w:r w:rsidRPr="00A051CF">
              <w:rPr>
                <w:sz w:val="18"/>
                <w:szCs w:val="18"/>
                <w:lang w:val="en-CA" w:eastAsia="en-CA"/>
              </w:rPr>
              <w:t>173</w:t>
            </w:r>
            <w:r w:rsidR="00A86723">
              <w:rPr>
                <w:sz w:val="18"/>
                <w:szCs w:val="18"/>
                <w:lang w:val="en-CA" w:eastAsia="en-CA"/>
              </w:rPr>
              <w:t xml:space="preserve"> </w:t>
            </w:r>
            <w:r w:rsidRPr="00A051CF">
              <w:rPr>
                <w:sz w:val="18"/>
                <w:szCs w:val="18"/>
                <w:lang w:val="en-CA" w:eastAsia="en-CA"/>
              </w:rPr>
              <w:t>104</w:t>
            </w:r>
          </w:p>
        </w:tc>
        <w:tc>
          <w:tcPr>
            <w:tcW w:w="1185" w:type="dxa"/>
            <w:tcBorders>
              <w:top w:val="nil"/>
              <w:left w:val="nil"/>
              <w:bottom w:val="single" w:sz="4" w:space="0" w:color="auto"/>
              <w:right w:val="single" w:sz="4" w:space="0" w:color="auto"/>
            </w:tcBorders>
            <w:shd w:val="clear" w:color="auto" w:fill="auto"/>
            <w:noWrap/>
            <w:hideMark/>
          </w:tcPr>
          <w:p w14:paraId="1CAFE530" w14:textId="77777777" w:rsidR="00A70444" w:rsidRPr="00A051CF" w:rsidRDefault="00A70444" w:rsidP="000B114B">
            <w:pPr>
              <w:jc w:val="right"/>
              <w:rPr>
                <w:sz w:val="18"/>
                <w:szCs w:val="18"/>
                <w:lang w:val="en-CA" w:eastAsia="en-CA"/>
              </w:rPr>
            </w:pPr>
            <w:r w:rsidRPr="00A051CF">
              <w:rPr>
                <w:sz w:val="18"/>
                <w:szCs w:val="18"/>
                <w:lang w:val="en-CA" w:eastAsia="en-CA"/>
              </w:rPr>
              <w:t>-2</w:t>
            </w:r>
          </w:p>
        </w:tc>
        <w:tc>
          <w:tcPr>
            <w:tcW w:w="1134" w:type="dxa"/>
            <w:tcBorders>
              <w:top w:val="nil"/>
              <w:left w:val="nil"/>
              <w:bottom w:val="single" w:sz="4" w:space="0" w:color="auto"/>
              <w:right w:val="single" w:sz="4" w:space="0" w:color="auto"/>
            </w:tcBorders>
            <w:shd w:val="clear" w:color="auto" w:fill="auto"/>
            <w:noWrap/>
            <w:hideMark/>
          </w:tcPr>
          <w:p w14:paraId="22F8262D"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34A7D826"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81145E0" w14:textId="77777777" w:rsidR="00A70444" w:rsidRPr="00A051CF" w:rsidRDefault="00A70444" w:rsidP="000B114B">
            <w:pPr>
              <w:jc w:val="left"/>
              <w:rPr>
                <w:sz w:val="18"/>
                <w:szCs w:val="18"/>
                <w:lang w:val="en-CA" w:eastAsia="en-CA"/>
              </w:rPr>
            </w:pPr>
            <w:r w:rsidRPr="00A051CF">
              <w:rPr>
                <w:sz w:val="18"/>
                <w:szCs w:val="18"/>
                <w:lang w:val="en-CA" w:eastAsia="en-CA"/>
              </w:rPr>
              <w:t>1998</w:t>
            </w:r>
          </w:p>
        </w:tc>
        <w:tc>
          <w:tcPr>
            <w:tcW w:w="1225" w:type="dxa"/>
            <w:tcBorders>
              <w:top w:val="nil"/>
              <w:left w:val="nil"/>
              <w:bottom w:val="single" w:sz="4" w:space="0" w:color="auto"/>
              <w:right w:val="single" w:sz="4" w:space="0" w:color="auto"/>
            </w:tcBorders>
            <w:shd w:val="clear" w:color="auto" w:fill="auto"/>
            <w:noWrap/>
            <w:hideMark/>
          </w:tcPr>
          <w:p w14:paraId="29B2752C" w14:textId="77777777" w:rsidR="00A70444" w:rsidRPr="00A051CF" w:rsidRDefault="00A70444" w:rsidP="000B114B">
            <w:pPr>
              <w:jc w:val="right"/>
              <w:rPr>
                <w:sz w:val="18"/>
                <w:szCs w:val="18"/>
                <w:lang w:val="en-CA" w:eastAsia="en-CA"/>
              </w:rPr>
            </w:pPr>
            <w:r w:rsidRPr="00A051CF">
              <w:rPr>
                <w:sz w:val="18"/>
                <w:szCs w:val="18"/>
                <w:lang w:val="en-CA" w:eastAsia="en-CA"/>
              </w:rPr>
              <w:t>59</w:t>
            </w:r>
          </w:p>
        </w:tc>
        <w:tc>
          <w:tcPr>
            <w:tcW w:w="1077" w:type="dxa"/>
            <w:tcBorders>
              <w:top w:val="nil"/>
              <w:left w:val="nil"/>
              <w:bottom w:val="single" w:sz="4" w:space="0" w:color="auto"/>
              <w:right w:val="single" w:sz="4" w:space="0" w:color="auto"/>
            </w:tcBorders>
            <w:shd w:val="clear" w:color="auto" w:fill="auto"/>
            <w:noWrap/>
            <w:hideMark/>
          </w:tcPr>
          <w:p w14:paraId="3E45E7CF" w14:textId="77777777" w:rsidR="00A70444" w:rsidRPr="00A051CF" w:rsidRDefault="00A70444" w:rsidP="000B114B">
            <w:pPr>
              <w:jc w:val="right"/>
              <w:rPr>
                <w:sz w:val="18"/>
                <w:szCs w:val="18"/>
                <w:lang w:val="en-CA" w:eastAsia="en-CA"/>
              </w:rPr>
            </w:pPr>
            <w:r w:rsidRPr="00A051CF">
              <w:rPr>
                <w:sz w:val="18"/>
                <w:szCs w:val="18"/>
                <w:lang w:val="en-CA" w:eastAsia="en-CA"/>
              </w:rPr>
              <w:t>59</w:t>
            </w:r>
          </w:p>
        </w:tc>
        <w:tc>
          <w:tcPr>
            <w:tcW w:w="1163" w:type="dxa"/>
            <w:tcBorders>
              <w:top w:val="nil"/>
              <w:left w:val="nil"/>
              <w:bottom w:val="single" w:sz="4" w:space="0" w:color="auto"/>
              <w:right w:val="single" w:sz="4" w:space="0" w:color="auto"/>
            </w:tcBorders>
            <w:shd w:val="clear" w:color="auto" w:fill="auto"/>
            <w:noWrap/>
            <w:hideMark/>
          </w:tcPr>
          <w:p w14:paraId="1ADACD56"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57042D9D" w14:textId="7BD5D9E7" w:rsidR="00A70444" w:rsidRPr="00A051CF" w:rsidRDefault="00A70444" w:rsidP="000B114B">
            <w:pPr>
              <w:jc w:val="right"/>
              <w:rPr>
                <w:sz w:val="18"/>
                <w:szCs w:val="18"/>
                <w:lang w:val="en-CA" w:eastAsia="en-CA"/>
              </w:rPr>
            </w:pPr>
            <w:r w:rsidRPr="00A051CF">
              <w:rPr>
                <w:sz w:val="18"/>
                <w:szCs w:val="18"/>
                <w:lang w:val="en-CA" w:eastAsia="en-CA"/>
              </w:rPr>
              <w:t>35</w:t>
            </w:r>
            <w:r w:rsidR="00A86723">
              <w:rPr>
                <w:sz w:val="18"/>
                <w:szCs w:val="18"/>
                <w:lang w:val="en-CA" w:eastAsia="en-CA"/>
              </w:rPr>
              <w:t xml:space="preserve"> </w:t>
            </w:r>
            <w:r w:rsidRPr="00A051CF">
              <w:rPr>
                <w:sz w:val="18"/>
                <w:szCs w:val="18"/>
                <w:lang w:val="en-CA" w:eastAsia="en-CA"/>
              </w:rPr>
              <w:t>959</w:t>
            </w:r>
            <w:r w:rsidR="00A86723">
              <w:rPr>
                <w:sz w:val="18"/>
                <w:szCs w:val="18"/>
                <w:lang w:val="en-CA" w:eastAsia="en-CA"/>
              </w:rPr>
              <w:t xml:space="preserve"> </w:t>
            </w:r>
            <w:r w:rsidRPr="00A051CF">
              <w:rPr>
                <w:sz w:val="18"/>
                <w:szCs w:val="18"/>
                <w:lang w:val="en-CA" w:eastAsia="en-CA"/>
              </w:rPr>
              <w:t>418</w:t>
            </w:r>
          </w:p>
        </w:tc>
        <w:tc>
          <w:tcPr>
            <w:tcW w:w="1418" w:type="dxa"/>
            <w:tcBorders>
              <w:top w:val="nil"/>
              <w:left w:val="nil"/>
              <w:bottom w:val="single" w:sz="4" w:space="0" w:color="auto"/>
              <w:right w:val="single" w:sz="4" w:space="0" w:color="auto"/>
            </w:tcBorders>
            <w:shd w:val="clear" w:color="auto" w:fill="auto"/>
            <w:noWrap/>
            <w:hideMark/>
          </w:tcPr>
          <w:p w14:paraId="5656C3EA" w14:textId="0608573B" w:rsidR="00A70444" w:rsidRPr="00A051CF" w:rsidRDefault="00A70444" w:rsidP="000B114B">
            <w:pPr>
              <w:jc w:val="right"/>
              <w:rPr>
                <w:sz w:val="18"/>
                <w:szCs w:val="18"/>
                <w:lang w:val="en-CA" w:eastAsia="en-CA"/>
              </w:rPr>
            </w:pPr>
            <w:r w:rsidRPr="00A051CF">
              <w:rPr>
                <w:sz w:val="18"/>
                <w:szCs w:val="18"/>
                <w:lang w:val="en-CA" w:eastAsia="en-CA"/>
              </w:rPr>
              <w:t>35</w:t>
            </w:r>
            <w:r w:rsidR="00A86723">
              <w:rPr>
                <w:sz w:val="18"/>
                <w:szCs w:val="18"/>
                <w:lang w:val="en-CA" w:eastAsia="en-CA"/>
              </w:rPr>
              <w:t xml:space="preserve"> </w:t>
            </w:r>
            <w:r w:rsidRPr="00A051CF">
              <w:rPr>
                <w:sz w:val="18"/>
                <w:szCs w:val="18"/>
                <w:lang w:val="en-CA" w:eastAsia="en-CA"/>
              </w:rPr>
              <w:t>959</w:t>
            </w:r>
            <w:r w:rsidR="00A86723">
              <w:rPr>
                <w:sz w:val="18"/>
                <w:szCs w:val="18"/>
                <w:lang w:val="en-CA" w:eastAsia="en-CA"/>
              </w:rPr>
              <w:t xml:space="preserve"> </w:t>
            </w:r>
            <w:r w:rsidRPr="00A051CF">
              <w:rPr>
                <w:sz w:val="18"/>
                <w:szCs w:val="18"/>
                <w:lang w:val="en-CA" w:eastAsia="en-CA"/>
              </w:rPr>
              <w:t>417</w:t>
            </w:r>
          </w:p>
        </w:tc>
        <w:tc>
          <w:tcPr>
            <w:tcW w:w="1185" w:type="dxa"/>
            <w:tcBorders>
              <w:top w:val="nil"/>
              <w:left w:val="nil"/>
              <w:bottom w:val="single" w:sz="4" w:space="0" w:color="auto"/>
              <w:right w:val="single" w:sz="4" w:space="0" w:color="auto"/>
            </w:tcBorders>
            <w:shd w:val="clear" w:color="auto" w:fill="auto"/>
            <w:noWrap/>
            <w:hideMark/>
          </w:tcPr>
          <w:p w14:paraId="59A6C6B7" w14:textId="77777777" w:rsidR="00A70444" w:rsidRPr="00A051CF" w:rsidRDefault="00A70444" w:rsidP="000B114B">
            <w:pPr>
              <w:jc w:val="right"/>
              <w:rPr>
                <w:sz w:val="18"/>
                <w:szCs w:val="18"/>
                <w:lang w:val="en-CA" w:eastAsia="en-CA"/>
              </w:rPr>
            </w:pPr>
            <w:r w:rsidRPr="00A051CF">
              <w:rPr>
                <w:sz w:val="18"/>
                <w:szCs w:val="18"/>
                <w:lang w:val="en-CA" w:eastAsia="en-CA"/>
              </w:rPr>
              <w:t>1</w:t>
            </w:r>
          </w:p>
        </w:tc>
        <w:tc>
          <w:tcPr>
            <w:tcW w:w="1134" w:type="dxa"/>
            <w:tcBorders>
              <w:top w:val="nil"/>
              <w:left w:val="nil"/>
              <w:bottom w:val="single" w:sz="4" w:space="0" w:color="auto"/>
              <w:right w:val="single" w:sz="4" w:space="0" w:color="auto"/>
            </w:tcBorders>
            <w:shd w:val="clear" w:color="auto" w:fill="auto"/>
            <w:noWrap/>
            <w:hideMark/>
          </w:tcPr>
          <w:p w14:paraId="6E224B18"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4947C795"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261BEA2C" w14:textId="77777777" w:rsidR="00A70444" w:rsidRPr="00A051CF" w:rsidRDefault="00A70444" w:rsidP="000B114B">
            <w:pPr>
              <w:jc w:val="left"/>
              <w:rPr>
                <w:sz w:val="18"/>
                <w:szCs w:val="18"/>
                <w:lang w:val="en-CA" w:eastAsia="en-CA"/>
              </w:rPr>
            </w:pPr>
            <w:r w:rsidRPr="00A051CF">
              <w:rPr>
                <w:sz w:val="18"/>
                <w:szCs w:val="18"/>
                <w:lang w:val="en-CA" w:eastAsia="en-CA"/>
              </w:rPr>
              <w:t>1999</w:t>
            </w:r>
          </w:p>
        </w:tc>
        <w:tc>
          <w:tcPr>
            <w:tcW w:w="1225" w:type="dxa"/>
            <w:tcBorders>
              <w:top w:val="nil"/>
              <w:left w:val="nil"/>
              <w:bottom w:val="single" w:sz="4" w:space="0" w:color="auto"/>
              <w:right w:val="single" w:sz="4" w:space="0" w:color="auto"/>
            </w:tcBorders>
            <w:shd w:val="clear" w:color="auto" w:fill="auto"/>
            <w:noWrap/>
            <w:hideMark/>
          </w:tcPr>
          <w:p w14:paraId="17F34E96" w14:textId="77777777" w:rsidR="00A70444" w:rsidRPr="00A051CF" w:rsidRDefault="00A70444" w:rsidP="000B114B">
            <w:pPr>
              <w:jc w:val="right"/>
              <w:rPr>
                <w:sz w:val="18"/>
                <w:szCs w:val="18"/>
                <w:lang w:val="en-CA" w:eastAsia="en-CA"/>
              </w:rPr>
            </w:pPr>
            <w:r w:rsidRPr="00A051CF">
              <w:rPr>
                <w:sz w:val="18"/>
                <w:szCs w:val="18"/>
                <w:lang w:val="en-CA" w:eastAsia="en-CA"/>
              </w:rPr>
              <w:t>73</w:t>
            </w:r>
          </w:p>
        </w:tc>
        <w:tc>
          <w:tcPr>
            <w:tcW w:w="1077" w:type="dxa"/>
            <w:tcBorders>
              <w:top w:val="nil"/>
              <w:left w:val="nil"/>
              <w:bottom w:val="single" w:sz="4" w:space="0" w:color="auto"/>
              <w:right w:val="single" w:sz="4" w:space="0" w:color="auto"/>
            </w:tcBorders>
            <w:shd w:val="clear" w:color="auto" w:fill="auto"/>
            <w:noWrap/>
            <w:hideMark/>
          </w:tcPr>
          <w:p w14:paraId="6C1A9799" w14:textId="77777777" w:rsidR="00A70444" w:rsidRPr="00A051CF" w:rsidRDefault="00A70444" w:rsidP="000B114B">
            <w:pPr>
              <w:jc w:val="right"/>
              <w:rPr>
                <w:sz w:val="18"/>
                <w:szCs w:val="18"/>
                <w:lang w:val="en-CA" w:eastAsia="en-CA"/>
              </w:rPr>
            </w:pPr>
            <w:r w:rsidRPr="00A051CF">
              <w:rPr>
                <w:sz w:val="18"/>
                <w:szCs w:val="18"/>
                <w:lang w:val="en-CA" w:eastAsia="en-CA"/>
              </w:rPr>
              <w:t>73</w:t>
            </w:r>
          </w:p>
        </w:tc>
        <w:tc>
          <w:tcPr>
            <w:tcW w:w="1163" w:type="dxa"/>
            <w:tcBorders>
              <w:top w:val="nil"/>
              <w:left w:val="nil"/>
              <w:bottom w:val="single" w:sz="4" w:space="0" w:color="auto"/>
              <w:right w:val="single" w:sz="4" w:space="0" w:color="auto"/>
            </w:tcBorders>
            <w:shd w:val="clear" w:color="auto" w:fill="auto"/>
            <w:noWrap/>
            <w:hideMark/>
          </w:tcPr>
          <w:p w14:paraId="5336B0E2"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42CA1F2" w14:textId="239F172F"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173</w:t>
            </w:r>
            <w:r w:rsidR="00A86723">
              <w:rPr>
                <w:sz w:val="18"/>
                <w:szCs w:val="18"/>
                <w:lang w:val="en-CA" w:eastAsia="en-CA"/>
              </w:rPr>
              <w:t xml:space="preserve"> </w:t>
            </w:r>
            <w:r w:rsidRPr="00A051CF">
              <w:rPr>
                <w:sz w:val="18"/>
                <w:szCs w:val="18"/>
                <w:lang w:val="en-CA" w:eastAsia="en-CA"/>
              </w:rPr>
              <w:t>138</w:t>
            </w:r>
          </w:p>
        </w:tc>
        <w:tc>
          <w:tcPr>
            <w:tcW w:w="1418" w:type="dxa"/>
            <w:tcBorders>
              <w:top w:val="nil"/>
              <w:left w:val="nil"/>
              <w:bottom w:val="single" w:sz="4" w:space="0" w:color="auto"/>
              <w:right w:val="single" w:sz="4" w:space="0" w:color="auto"/>
            </w:tcBorders>
            <w:shd w:val="clear" w:color="auto" w:fill="auto"/>
            <w:noWrap/>
            <w:hideMark/>
          </w:tcPr>
          <w:p w14:paraId="6F4DA491" w14:textId="1FC17608"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173</w:t>
            </w:r>
            <w:r w:rsidR="00A86723">
              <w:rPr>
                <w:sz w:val="18"/>
                <w:szCs w:val="18"/>
                <w:lang w:val="en-CA" w:eastAsia="en-CA"/>
              </w:rPr>
              <w:t xml:space="preserve"> </w:t>
            </w:r>
            <w:r w:rsidRPr="00A051CF">
              <w:rPr>
                <w:sz w:val="18"/>
                <w:szCs w:val="18"/>
                <w:lang w:val="en-CA" w:eastAsia="en-CA"/>
              </w:rPr>
              <w:t>138</w:t>
            </w:r>
          </w:p>
        </w:tc>
        <w:tc>
          <w:tcPr>
            <w:tcW w:w="1185" w:type="dxa"/>
            <w:tcBorders>
              <w:top w:val="nil"/>
              <w:left w:val="nil"/>
              <w:bottom w:val="single" w:sz="4" w:space="0" w:color="auto"/>
              <w:right w:val="single" w:sz="4" w:space="0" w:color="auto"/>
            </w:tcBorders>
            <w:shd w:val="clear" w:color="auto" w:fill="auto"/>
            <w:noWrap/>
            <w:hideMark/>
          </w:tcPr>
          <w:p w14:paraId="10AF3EFF"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E107AE7"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34E6DEC4"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61C08CE6" w14:textId="77777777" w:rsidR="00A70444" w:rsidRPr="00A051CF" w:rsidRDefault="00A70444" w:rsidP="000B114B">
            <w:pPr>
              <w:jc w:val="left"/>
              <w:rPr>
                <w:sz w:val="18"/>
                <w:szCs w:val="18"/>
                <w:lang w:val="en-CA" w:eastAsia="en-CA"/>
              </w:rPr>
            </w:pPr>
            <w:r w:rsidRPr="00A051CF">
              <w:rPr>
                <w:sz w:val="18"/>
                <w:szCs w:val="18"/>
                <w:lang w:val="en-CA" w:eastAsia="en-CA"/>
              </w:rPr>
              <w:t>2000</w:t>
            </w:r>
          </w:p>
        </w:tc>
        <w:tc>
          <w:tcPr>
            <w:tcW w:w="1225" w:type="dxa"/>
            <w:tcBorders>
              <w:top w:val="nil"/>
              <w:left w:val="nil"/>
              <w:bottom w:val="single" w:sz="4" w:space="0" w:color="auto"/>
              <w:right w:val="single" w:sz="4" w:space="0" w:color="auto"/>
            </w:tcBorders>
            <w:shd w:val="clear" w:color="auto" w:fill="auto"/>
            <w:noWrap/>
            <w:hideMark/>
          </w:tcPr>
          <w:p w14:paraId="32EA315E" w14:textId="77777777" w:rsidR="00A70444" w:rsidRPr="00A051CF" w:rsidRDefault="00A70444" w:rsidP="000B114B">
            <w:pPr>
              <w:jc w:val="right"/>
              <w:rPr>
                <w:sz w:val="18"/>
                <w:szCs w:val="18"/>
                <w:lang w:val="en-CA" w:eastAsia="en-CA"/>
              </w:rPr>
            </w:pPr>
            <w:r w:rsidRPr="00A051CF">
              <w:rPr>
                <w:sz w:val="18"/>
                <w:szCs w:val="18"/>
                <w:lang w:val="en-CA" w:eastAsia="en-CA"/>
              </w:rPr>
              <w:t>67</w:t>
            </w:r>
          </w:p>
        </w:tc>
        <w:tc>
          <w:tcPr>
            <w:tcW w:w="1077" w:type="dxa"/>
            <w:tcBorders>
              <w:top w:val="nil"/>
              <w:left w:val="nil"/>
              <w:bottom w:val="single" w:sz="4" w:space="0" w:color="auto"/>
              <w:right w:val="single" w:sz="4" w:space="0" w:color="auto"/>
            </w:tcBorders>
            <w:shd w:val="clear" w:color="auto" w:fill="auto"/>
            <w:noWrap/>
            <w:hideMark/>
          </w:tcPr>
          <w:p w14:paraId="5D74A682" w14:textId="77777777" w:rsidR="00A70444" w:rsidRPr="00A051CF" w:rsidRDefault="00A70444" w:rsidP="000B114B">
            <w:pPr>
              <w:jc w:val="right"/>
              <w:rPr>
                <w:sz w:val="18"/>
                <w:szCs w:val="18"/>
                <w:lang w:val="en-CA" w:eastAsia="en-CA"/>
              </w:rPr>
            </w:pPr>
            <w:r w:rsidRPr="00A051CF">
              <w:rPr>
                <w:sz w:val="18"/>
                <w:szCs w:val="18"/>
                <w:lang w:val="en-CA" w:eastAsia="en-CA"/>
              </w:rPr>
              <w:t>67</w:t>
            </w:r>
          </w:p>
        </w:tc>
        <w:tc>
          <w:tcPr>
            <w:tcW w:w="1163" w:type="dxa"/>
            <w:tcBorders>
              <w:top w:val="nil"/>
              <w:left w:val="nil"/>
              <w:bottom w:val="single" w:sz="4" w:space="0" w:color="auto"/>
              <w:right w:val="single" w:sz="4" w:space="0" w:color="auto"/>
            </w:tcBorders>
            <w:shd w:val="clear" w:color="auto" w:fill="auto"/>
            <w:noWrap/>
            <w:hideMark/>
          </w:tcPr>
          <w:p w14:paraId="5F24AE61"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1D42A152" w14:textId="4ACA4AD3" w:rsidR="00A70444" w:rsidRPr="00A051CF" w:rsidRDefault="00A70444" w:rsidP="000B114B">
            <w:pPr>
              <w:jc w:val="right"/>
              <w:rPr>
                <w:sz w:val="18"/>
                <w:szCs w:val="18"/>
                <w:lang w:val="en-CA" w:eastAsia="en-CA"/>
              </w:rPr>
            </w:pPr>
            <w:r w:rsidRPr="00A051CF">
              <w:rPr>
                <w:sz w:val="18"/>
                <w:szCs w:val="18"/>
                <w:lang w:val="en-CA" w:eastAsia="en-CA"/>
              </w:rPr>
              <w:t>36</w:t>
            </w:r>
            <w:r w:rsidR="00A86723">
              <w:rPr>
                <w:sz w:val="18"/>
                <w:szCs w:val="18"/>
                <w:lang w:val="en-CA" w:eastAsia="en-CA"/>
              </w:rPr>
              <w:t xml:space="preserve"> </w:t>
            </w:r>
            <w:r w:rsidRPr="00A051CF">
              <w:rPr>
                <w:sz w:val="18"/>
                <w:szCs w:val="18"/>
                <w:lang w:val="en-CA" w:eastAsia="en-CA"/>
              </w:rPr>
              <w:t>982</w:t>
            </w:r>
            <w:r w:rsidR="00A86723">
              <w:rPr>
                <w:sz w:val="18"/>
                <w:szCs w:val="18"/>
                <w:lang w:val="en-CA" w:eastAsia="en-CA"/>
              </w:rPr>
              <w:t xml:space="preserve"> </w:t>
            </w:r>
            <w:r w:rsidRPr="00A051CF">
              <w:rPr>
                <w:sz w:val="18"/>
                <w:szCs w:val="18"/>
                <w:lang w:val="en-CA" w:eastAsia="en-CA"/>
              </w:rPr>
              <w:t>134</w:t>
            </w:r>
          </w:p>
        </w:tc>
        <w:tc>
          <w:tcPr>
            <w:tcW w:w="1418" w:type="dxa"/>
            <w:tcBorders>
              <w:top w:val="nil"/>
              <w:left w:val="nil"/>
              <w:bottom w:val="single" w:sz="4" w:space="0" w:color="auto"/>
              <w:right w:val="single" w:sz="4" w:space="0" w:color="auto"/>
            </w:tcBorders>
            <w:shd w:val="clear" w:color="auto" w:fill="auto"/>
            <w:noWrap/>
            <w:hideMark/>
          </w:tcPr>
          <w:p w14:paraId="203397B7" w14:textId="4FAE8D2F" w:rsidR="00A70444" w:rsidRPr="00A051CF" w:rsidRDefault="00A70444" w:rsidP="000B114B">
            <w:pPr>
              <w:jc w:val="right"/>
              <w:rPr>
                <w:sz w:val="18"/>
                <w:szCs w:val="18"/>
                <w:lang w:val="en-CA" w:eastAsia="en-CA"/>
              </w:rPr>
            </w:pPr>
            <w:r w:rsidRPr="00A051CF">
              <w:rPr>
                <w:sz w:val="18"/>
                <w:szCs w:val="18"/>
                <w:lang w:val="en-CA" w:eastAsia="en-CA"/>
              </w:rPr>
              <w:t>36</w:t>
            </w:r>
            <w:r w:rsidR="00A86723">
              <w:rPr>
                <w:sz w:val="18"/>
                <w:szCs w:val="18"/>
                <w:lang w:val="en-CA" w:eastAsia="en-CA"/>
              </w:rPr>
              <w:t xml:space="preserve"> </w:t>
            </w:r>
            <w:r w:rsidRPr="00A051CF">
              <w:rPr>
                <w:sz w:val="18"/>
                <w:szCs w:val="18"/>
                <w:lang w:val="en-CA" w:eastAsia="en-CA"/>
              </w:rPr>
              <w:t>982</w:t>
            </w:r>
            <w:r w:rsidR="00A86723">
              <w:rPr>
                <w:sz w:val="18"/>
                <w:szCs w:val="18"/>
                <w:lang w:val="en-CA" w:eastAsia="en-CA"/>
              </w:rPr>
              <w:t xml:space="preserve"> </w:t>
            </w:r>
            <w:r w:rsidRPr="00A051CF">
              <w:rPr>
                <w:sz w:val="18"/>
                <w:szCs w:val="18"/>
                <w:lang w:val="en-CA" w:eastAsia="en-CA"/>
              </w:rPr>
              <w:t>134</w:t>
            </w:r>
          </w:p>
        </w:tc>
        <w:tc>
          <w:tcPr>
            <w:tcW w:w="1185" w:type="dxa"/>
            <w:tcBorders>
              <w:top w:val="nil"/>
              <w:left w:val="nil"/>
              <w:bottom w:val="single" w:sz="4" w:space="0" w:color="auto"/>
              <w:right w:val="single" w:sz="4" w:space="0" w:color="auto"/>
            </w:tcBorders>
            <w:shd w:val="clear" w:color="auto" w:fill="auto"/>
            <w:noWrap/>
            <w:hideMark/>
          </w:tcPr>
          <w:p w14:paraId="7650018C"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76584F4B"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71936A6D"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17FCDC0C" w14:textId="77777777" w:rsidR="00A70444" w:rsidRPr="00A051CF" w:rsidRDefault="00A70444" w:rsidP="000B114B">
            <w:pPr>
              <w:jc w:val="left"/>
              <w:rPr>
                <w:sz w:val="18"/>
                <w:szCs w:val="18"/>
                <w:lang w:val="en-CA" w:eastAsia="en-CA"/>
              </w:rPr>
            </w:pPr>
            <w:r w:rsidRPr="00A051CF">
              <w:rPr>
                <w:sz w:val="18"/>
                <w:szCs w:val="18"/>
                <w:lang w:val="en-CA" w:eastAsia="en-CA"/>
              </w:rPr>
              <w:t>2001</w:t>
            </w:r>
          </w:p>
        </w:tc>
        <w:tc>
          <w:tcPr>
            <w:tcW w:w="1225" w:type="dxa"/>
            <w:tcBorders>
              <w:top w:val="nil"/>
              <w:left w:val="nil"/>
              <w:bottom w:val="single" w:sz="4" w:space="0" w:color="auto"/>
              <w:right w:val="single" w:sz="4" w:space="0" w:color="auto"/>
            </w:tcBorders>
            <w:shd w:val="clear" w:color="auto" w:fill="auto"/>
            <w:noWrap/>
            <w:hideMark/>
          </w:tcPr>
          <w:p w14:paraId="5A927FD7"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077" w:type="dxa"/>
            <w:tcBorders>
              <w:top w:val="nil"/>
              <w:left w:val="nil"/>
              <w:bottom w:val="single" w:sz="4" w:space="0" w:color="auto"/>
              <w:right w:val="single" w:sz="4" w:space="0" w:color="auto"/>
            </w:tcBorders>
            <w:shd w:val="clear" w:color="auto" w:fill="auto"/>
            <w:noWrap/>
            <w:hideMark/>
          </w:tcPr>
          <w:p w14:paraId="413F3FE2"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163" w:type="dxa"/>
            <w:tcBorders>
              <w:top w:val="nil"/>
              <w:left w:val="nil"/>
              <w:bottom w:val="single" w:sz="4" w:space="0" w:color="auto"/>
              <w:right w:val="single" w:sz="4" w:space="0" w:color="auto"/>
            </w:tcBorders>
            <w:shd w:val="clear" w:color="auto" w:fill="auto"/>
            <w:noWrap/>
            <w:hideMark/>
          </w:tcPr>
          <w:p w14:paraId="3282A6B5"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59422CEB" w14:textId="3DEB0CB6" w:rsidR="00A70444" w:rsidRPr="00A051CF" w:rsidRDefault="00A70444" w:rsidP="000B114B">
            <w:pPr>
              <w:jc w:val="right"/>
              <w:rPr>
                <w:sz w:val="18"/>
                <w:szCs w:val="18"/>
                <w:lang w:val="en-CA" w:eastAsia="en-CA"/>
              </w:rPr>
            </w:pPr>
            <w:r w:rsidRPr="00A051CF">
              <w:rPr>
                <w:sz w:val="18"/>
                <w:szCs w:val="18"/>
                <w:lang w:val="en-CA" w:eastAsia="en-CA"/>
              </w:rPr>
              <w:t>55</w:t>
            </w:r>
            <w:r w:rsidR="00A86723">
              <w:rPr>
                <w:sz w:val="18"/>
                <w:szCs w:val="18"/>
                <w:lang w:val="en-CA" w:eastAsia="en-CA"/>
              </w:rPr>
              <w:t xml:space="preserve"> </w:t>
            </w:r>
            <w:r w:rsidRPr="00A051CF">
              <w:rPr>
                <w:sz w:val="18"/>
                <w:szCs w:val="18"/>
                <w:lang w:val="en-CA" w:eastAsia="en-CA"/>
              </w:rPr>
              <w:t>212</w:t>
            </w:r>
            <w:r w:rsidR="00A86723">
              <w:rPr>
                <w:sz w:val="18"/>
                <w:szCs w:val="18"/>
                <w:lang w:val="en-CA" w:eastAsia="en-CA"/>
              </w:rPr>
              <w:t xml:space="preserve"> </w:t>
            </w:r>
            <w:r w:rsidRPr="00A051CF">
              <w:rPr>
                <w:sz w:val="18"/>
                <w:szCs w:val="18"/>
                <w:lang w:val="en-CA" w:eastAsia="en-CA"/>
              </w:rPr>
              <w:t>853</w:t>
            </w:r>
          </w:p>
        </w:tc>
        <w:tc>
          <w:tcPr>
            <w:tcW w:w="1418" w:type="dxa"/>
            <w:tcBorders>
              <w:top w:val="nil"/>
              <w:left w:val="nil"/>
              <w:bottom w:val="single" w:sz="4" w:space="0" w:color="auto"/>
              <w:right w:val="single" w:sz="4" w:space="0" w:color="auto"/>
            </w:tcBorders>
            <w:shd w:val="clear" w:color="auto" w:fill="auto"/>
            <w:noWrap/>
            <w:hideMark/>
          </w:tcPr>
          <w:p w14:paraId="5AC211EE" w14:textId="73FB44CD" w:rsidR="00A70444" w:rsidRPr="00A051CF" w:rsidRDefault="00A70444" w:rsidP="000B114B">
            <w:pPr>
              <w:jc w:val="right"/>
              <w:rPr>
                <w:sz w:val="18"/>
                <w:szCs w:val="18"/>
                <w:lang w:val="en-CA" w:eastAsia="en-CA"/>
              </w:rPr>
            </w:pPr>
            <w:r w:rsidRPr="00A051CF">
              <w:rPr>
                <w:sz w:val="18"/>
                <w:szCs w:val="18"/>
                <w:lang w:val="en-CA" w:eastAsia="en-CA"/>
              </w:rPr>
              <w:t>55</w:t>
            </w:r>
            <w:r w:rsidR="00A86723">
              <w:rPr>
                <w:sz w:val="18"/>
                <w:szCs w:val="18"/>
                <w:lang w:val="en-CA" w:eastAsia="en-CA"/>
              </w:rPr>
              <w:t xml:space="preserve"> </w:t>
            </w:r>
            <w:r w:rsidRPr="00A051CF">
              <w:rPr>
                <w:sz w:val="18"/>
                <w:szCs w:val="18"/>
                <w:lang w:val="en-CA" w:eastAsia="en-CA"/>
              </w:rPr>
              <w:t>212</w:t>
            </w:r>
            <w:r w:rsidR="00A86723">
              <w:rPr>
                <w:sz w:val="18"/>
                <w:szCs w:val="18"/>
                <w:lang w:val="en-CA" w:eastAsia="en-CA"/>
              </w:rPr>
              <w:t xml:space="preserve"> </w:t>
            </w:r>
            <w:r w:rsidRPr="00A051CF">
              <w:rPr>
                <w:sz w:val="18"/>
                <w:szCs w:val="18"/>
                <w:lang w:val="en-CA" w:eastAsia="en-CA"/>
              </w:rPr>
              <w:t>854</w:t>
            </w:r>
          </w:p>
        </w:tc>
        <w:tc>
          <w:tcPr>
            <w:tcW w:w="1185" w:type="dxa"/>
            <w:tcBorders>
              <w:top w:val="nil"/>
              <w:left w:val="nil"/>
              <w:bottom w:val="single" w:sz="4" w:space="0" w:color="auto"/>
              <w:right w:val="single" w:sz="4" w:space="0" w:color="auto"/>
            </w:tcBorders>
            <w:shd w:val="clear" w:color="auto" w:fill="auto"/>
            <w:noWrap/>
            <w:hideMark/>
          </w:tcPr>
          <w:p w14:paraId="6236BA24" w14:textId="77777777" w:rsidR="00A70444" w:rsidRPr="00A051CF" w:rsidRDefault="00A70444" w:rsidP="000B114B">
            <w:pPr>
              <w:jc w:val="right"/>
              <w:rPr>
                <w:sz w:val="18"/>
                <w:szCs w:val="18"/>
                <w:lang w:val="en-CA" w:eastAsia="en-CA"/>
              </w:rPr>
            </w:pPr>
            <w:r w:rsidRPr="00A051CF">
              <w:rPr>
                <w:sz w:val="18"/>
                <w:szCs w:val="18"/>
                <w:lang w:val="en-CA" w:eastAsia="en-CA"/>
              </w:rPr>
              <w:t>-1</w:t>
            </w:r>
          </w:p>
        </w:tc>
        <w:tc>
          <w:tcPr>
            <w:tcW w:w="1134" w:type="dxa"/>
            <w:tcBorders>
              <w:top w:val="nil"/>
              <w:left w:val="nil"/>
              <w:bottom w:val="single" w:sz="4" w:space="0" w:color="auto"/>
              <w:right w:val="single" w:sz="4" w:space="0" w:color="auto"/>
            </w:tcBorders>
            <w:shd w:val="clear" w:color="auto" w:fill="auto"/>
            <w:noWrap/>
            <w:hideMark/>
          </w:tcPr>
          <w:p w14:paraId="688FD962"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2F40AFD7"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3F66D208" w14:textId="77777777" w:rsidR="00A70444" w:rsidRPr="00A051CF" w:rsidRDefault="00A70444" w:rsidP="000B114B">
            <w:pPr>
              <w:jc w:val="left"/>
              <w:rPr>
                <w:sz w:val="18"/>
                <w:szCs w:val="18"/>
                <w:lang w:val="en-CA" w:eastAsia="en-CA"/>
              </w:rPr>
            </w:pPr>
            <w:r w:rsidRPr="00A051CF">
              <w:rPr>
                <w:sz w:val="18"/>
                <w:szCs w:val="18"/>
                <w:lang w:val="en-CA" w:eastAsia="en-CA"/>
              </w:rPr>
              <w:t>2002</w:t>
            </w:r>
          </w:p>
        </w:tc>
        <w:tc>
          <w:tcPr>
            <w:tcW w:w="1225" w:type="dxa"/>
            <w:tcBorders>
              <w:top w:val="nil"/>
              <w:left w:val="nil"/>
              <w:bottom w:val="single" w:sz="4" w:space="0" w:color="auto"/>
              <w:right w:val="single" w:sz="4" w:space="0" w:color="auto"/>
            </w:tcBorders>
            <w:shd w:val="clear" w:color="auto" w:fill="auto"/>
            <w:noWrap/>
            <w:hideMark/>
          </w:tcPr>
          <w:p w14:paraId="66944F40" w14:textId="77777777" w:rsidR="00A70444" w:rsidRPr="00A051CF" w:rsidRDefault="00A70444" w:rsidP="000B114B">
            <w:pPr>
              <w:jc w:val="right"/>
              <w:rPr>
                <w:sz w:val="18"/>
                <w:szCs w:val="18"/>
                <w:lang w:val="en-CA" w:eastAsia="en-CA"/>
              </w:rPr>
            </w:pPr>
            <w:r w:rsidRPr="00A051CF">
              <w:rPr>
                <w:sz w:val="18"/>
                <w:szCs w:val="18"/>
                <w:lang w:val="en-CA" w:eastAsia="en-CA"/>
              </w:rPr>
              <w:t>32</w:t>
            </w:r>
          </w:p>
        </w:tc>
        <w:tc>
          <w:tcPr>
            <w:tcW w:w="1077" w:type="dxa"/>
            <w:tcBorders>
              <w:top w:val="nil"/>
              <w:left w:val="nil"/>
              <w:bottom w:val="single" w:sz="4" w:space="0" w:color="auto"/>
              <w:right w:val="single" w:sz="4" w:space="0" w:color="auto"/>
            </w:tcBorders>
            <w:shd w:val="clear" w:color="auto" w:fill="auto"/>
            <w:noWrap/>
            <w:hideMark/>
          </w:tcPr>
          <w:p w14:paraId="62B13BFD" w14:textId="77777777" w:rsidR="00A70444" w:rsidRPr="00A051CF" w:rsidRDefault="00A70444" w:rsidP="000B114B">
            <w:pPr>
              <w:jc w:val="right"/>
              <w:rPr>
                <w:sz w:val="18"/>
                <w:szCs w:val="18"/>
                <w:lang w:val="en-CA" w:eastAsia="en-CA"/>
              </w:rPr>
            </w:pPr>
            <w:r w:rsidRPr="00A051CF">
              <w:rPr>
                <w:sz w:val="18"/>
                <w:szCs w:val="18"/>
                <w:lang w:val="en-CA" w:eastAsia="en-CA"/>
              </w:rPr>
              <w:t>32</w:t>
            </w:r>
          </w:p>
        </w:tc>
        <w:tc>
          <w:tcPr>
            <w:tcW w:w="1163" w:type="dxa"/>
            <w:tcBorders>
              <w:top w:val="nil"/>
              <w:left w:val="nil"/>
              <w:bottom w:val="single" w:sz="4" w:space="0" w:color="auto"/>
              <w:right w:val="single" w:sz="4" w:space="0" w:color="auto"/>
            </w:tcBorders>
            <w:shd w:val="clear" w:color="auto" w:fill="auto"/>
            <w:noWrap/>
            <w:hideMark/>
          </w:tcPr>
          <w:p w14:paraId="44574EC6"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475D10D" w14:textId="77F4838A"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357</w:t>
            </w:r>
            <w:r w:rsidR="00A86723">
              <w:rPr>
                <w:sz w:val="18"/>
                <w:szCs w:val="18"/>
                <w:lang w:val="en-CA" w:eastAsia="en-CA"/>
              </w:rPr>
              <w:t xml:space="preserve"> </w:t>
            </w:r>
            <w:r w:rsidRPr="00A051CF">
              <w:rPr>
                <w:sz w:val="18"/>
                <w:szCs w:val="18"/>
                <w:lang w:val="en-CA" w:eastAsia="en-CA"/>
              </w:rPr>
              <w:t>778</w:t>
            </w:r>
          </w:p>
        </w:tc>
        <w:tc>
          <w:tcPr>
            <w:tcW w:w="1418" w:type="dxa"/>
            <w:tcBorders>
              <w:top w:val="nil"/>
              <w:left w:val="nil"/>
              <w:bottom w:val="single" w:sz="4" w:space="0" w:color="auto"/>
              <w:right w:val="single" w:sz="4" w:space="0" w:color="auto"/>
            </w:tcBorders>
            <w:shd w:val="clear" w:color="auto" w:fill="auto"/>
            <w:noWrap/>
            <w:hideMark/>
          </w:tcPr>
          <w:p w14:paraId="16E1D8BC" w14:textId="0F3CDBF2"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357</w:t>
            </w:r>
            <w:r w:rsidR="00A86723">
              <w:rPr>
                <w:sz w:val="18"/>
                <w:szCs w:val="18"/>
                <w:lang w:val="en-CA" w:eastAsia="en-CA"/>
              </w:rPr>
              <w:t xml:space="preserve"> </w:t>
            </w:r>
            <w:r w:rsidRPr="00A051CF">
              <w:rPr>
                <w:sz w:val="18"/>
                <w:szCs w:val="18"/>
                <w:lang w:val="en-CA" w:eastAsia="en-CA"/>
              </w:rPr>
              <w:t>778</w:t>
            </w:r>
          </w:p>
        </w:tc>
        <w:tc>
          <w:tcPr>
            <w:tcW w:w="1185" w:type="dxa"/>
            <w:tcBorders>
              <w:top w:val="nil"/>
              <w:left w:val="nil"/>
              <w:bottom w:val="single" w:sz="4" w:space="0" w:color="auto"/>
              <w:right w:val="single" w:sz="4" w:space="0" w:color="auto"/>
            </w:tcBorders>
            <w:shd w:val="clear" w:color="auto" w:fill="auto"/>
            <w:noWrap/>
            <w:hideMark/>
          </w:tcPr>
          <w:p w14:paraId="7144652F"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7EAA173"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3078149B"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FA696A2" w14:textId="77777777" w:rsidR="00A70444" w:rsidRPr="00A051CF" w:rsidRDefault="00A70444" w:rsidP="000B114B">
            <w:pPr>
              <w:jc w:val="left"/>
              <w:rPr>
                <w:sz w:val="18"/>
                <w:szCs w:val="18"/>
                <w:lang w:val="en-CA" w:eastAsia="en-CA"/>
              </w:rPr>
            </w:pPr>
            <w:r w:rsidRPr="00A051CF">
              <w:rPr>
                <w:sz w:val="18"/>
                <w:szCs w:val="18"/>
                <w:lang w:val="en-CA" w:eastAsia="en-CA"/>
              </w:rPr>
              <w:t>2003</w:t>
            </w:r>
          </w:p>
        </w:tc>
        <w:tc>
          <w:tcPr>
            <w:tcW w:w="1225" w:type="dxa"/>
            <w:tcBorders>
              <w:top w:val="nil"/>
              <w:left w:val="nil"/>
              <w:bottom w:val="single" w:sz="4" w:space="0" w:color="auto"/>
              <w:right w:val="single" w:sz="4" w:space="0" w:color="auto"/>
            </w:tcBorders>
            <w:shd w:val="clear" w:color="auto" w:fill="auto"/>
            <w:noWrap/>
            <w:hideMark/>
          </w:tcPr>
          <w:p w14:paraId="14EDA24A" w14:textId="77777777" w:rsidR="00A70444" w:rsidRPr="00A051CF" w:rsidRDefault="00A70444" w:rsidP="000B114B">
            <w:pPr>
              <w:jc w:val="right"/>
              <w:rPr>
                <w:sz w:val="18"/>
                <w:szCs w:val="18"/>
                <w:lang w:val="en-CA" w:eastAsia="en-CA"/>
              </w:rPr>
            </w:pPr>
            <w:r w:rsidRPr="00A051CF">
              <w:rPr>
                <w:sz w:val="18"/>
                <w:szCs w:val="18"/>
                <w:lang w:val="en-CA" w:eastAsia="en-CA"/>
              </w:rPr>
              <w:t>24</w:t>
            </w:r>
          </w:p>
        </w:tc>
        <w:tc>
          <w:tcPr>
            <w:tcW w:w="1077" w:type="dxa"/>
            <w:tcBorders>
              <w:top w:val="nil"/>
              <w:left w:val="nil"/>
              <w:bottom w:val="single" w:sz="4" w:space="0" w:color="auto"/>
              <w:right w:val="single" w:sz="4" w:space="0" w:color="auto"/>
            </w:tcBorders>
            <w:shd w:val="clear" w:color="auto" w:fill="auto"/>
            <w:noWrap/>
            <w:hideMark/>
          </w:tcPr>
          <w:p w14:paraId="7B77B7C3" w14:textId="77777777" w:rsidR="00A70444" w:rsidRPr="00A051CF" w:rsidRDefault="00A70444" w:rsidP="000B114B">
            <w:pPr>
              <w:jc w:val="right"/>
              <w:rPr>
                <w:sz w:val="18"/>
                <w:szCs w:val="18"/>
                <w:lang w:val="en-CA" w:eastAsia="en-CA"/>
              </w:rPr>
            </w:pPr>
            <w:r w:rsidRPr="00A051CF">
              <w:rPr>
                <w:sz w:val="18"/>
                <w:szCs w:val="18"/>
                <w:lang w:val="en-CA" w:eastAsia="en-CA"/>
              </w:rPr>
              <w:t>24</w:t>
            </w:r>
          </w:p>
        </w:tc>
        <w:tc>
          <w:tcPr>
            <w:tcW w:w="1163" w:type="dxa"/>
            <w:tcBorders>
              <w:top w:val="nil"/>
              <w:left w:val="nil"/>
              <w:bottom w:val="single" w:sz="4" w:space="0" w:color="auto"/>
              <w:right w:val="single" w:sz="4" w:space="0" w:color="auto"/>
            </w:tcBorders>
            <w:shd w:val="clear" w:color="auto" w:fill="auto"/>
            <w:noWrap/>
            <w:hideMark/>
          </w:tcPr>
          <w:p w14:paraId="3AD1AD99"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18FDA6DE" w14:textId="37248EFC" w:rsidR="00A70444" w:rsidRPr="00A051CF" w:rsidRDefault="00A70444" w:rsidP="000B114B">
            <w:pPr>
              <w:jc w:val="right"/>
              <w:rPr>
                <w:sz w:val="18"/>
                <w:szCs w:val="18"/>
                <w:lang w:val="en-CA" w:eastAsia="en-CA"/>
              </w:rPr>
            </w:pPr>
            <w:r w:rsidRPr="00A051CF">
              <w:rPr>
                <w:sz w:val="18"/>
                <w:szCs w:val="18"/>
                <w:lang w:val="en-CA" w:eastAsia="en-CA"/>
              </w:rPr>
              <w:t>72</w:t>
            </w:r>
            <w:r w:rsidR="00A86723">
              <w:rPr>
                <w:sz w:val="18"/>
                <w:szCs w:val="18"/>
                <w:lang w:val="en-CA" w:eastAsia="en-CA"/>
              </w:rPr>
              <w:t xml:space="preserve"> </w:t>
            </w:r>
            <w:r w:rsidRPr="00A051CF">
              <w:rPr>
                <w:sz w:val="18"/>
                <w:szCs w:val="18"/>
                <w:lang w:val="en-CA" w:eastAsia="en-CA"/>
              </w:rPr>
              <w:t>734</w:t>
            </w:r>
            <w:r w:rsidR="00A86723">
              <w:rPr>
                <w:sz w:val="18"/>
                <w:szCs w:val="18"/>
                <w:lang w:val="en-CA" w:eastAsia="en-CA"/>
              </w:rPr>
              <w:t xml:space="preserve"> </w:t>
            </w:r>
            <w:r w:rsidRPr="00A051CF">
              <w:rPr>
                <w:sz w:val="18"/>
                <w:szCs w:val="18"/>
                <w:lang w:val="en-CA" w:eastAsia="en-CA"/>
              </w:rPr>
              <w:t>119</w:t>
            </w:r>
          </w:p>
        </w:tc>
        <w:tc>
          <w:tcPr>
            <w:tcW w:w="1418" w:type="dxa"/>
            <w:tcBorders>
              <w:top w:val="nil"/>
              <w:left w:val="nil"/>
              <w:bottom w:val="single" w:sz="4" w:space="0" w:color="auto"/>
              <w:right w:val="single" w:sz="4" w:space="0" w:color="auto"/>
            </w:tcBorders>
            <w:shd w:val="clear" w:color="auto" w:fill="auto"/>
            <w:noWrap/>
            <w:hideMark/>
          </w:tcPr>
          <w:p w14:paraId="55F755C8" w14:textId="32A377A6" w:rsidR="00A70444" w:rsidRPr="00A051CF" w:rsidRDefault="00A70444" w:rsidP="000B114B">
            <w:pPr>
              <w:jc w:val="right"/>
              <w:rPr>
                <w:sz w:val="18"/>
                <w:szCs w:val="18"/>
                <w:lang w:val="en-CA" w:eastAsia="en-CA"/>
              </w:rPr>
            </w:pPr>
            <w:r w:rsidRPr="00A051CF">
              <w:rPr>
                <w:sz w:val="18"/>
                <w:szCs w:val="18"/>
                <w:lang w:val="en-CA" w:eastAsia="en-CA"/>
              </w:rPr>
              <w:t>72</w:t>
            </w:r>
            <w:r w:rsidR="00A86723">
              <w:rPr>
                <w:sz w:val="18"/>
                <w:szCs w:val="18"/>
                <w:lang w:val="en-CA" w:eastAsia="en-CA"/>
              </w:rPr>
              <w:t xml:space="preserve"> </w:t>
            </w:r>
            <w:r w:rsidRPr="00A051CF">
              <w:rPr>
                <w:sz w:val="18"/>
                <w:szCs w:val="18"/>
                <w:lang w:val="en-CA" w:eastAsia="en-CA"/>
              </w:rPr>
              <w:t>734</w:t>
            </w:r>
            <w:r w:rsidR="00A86723">
              <w:rPr>
                <w:sz w:val="18"/>
                <w:szCs w:val="18"/>
                <w:lang w:val="en-CA" w:eastAsia="en-CA"/>
              </w:rPr>
              <w:t xml:space="preserve"> </w:t>
            </w:r>
            <w:r w:rsidRPr="00A051CF">
              <w:rPr>
                <w:sz w:val="18"/>
                <w:szCs w:val="18"/>
                <w:lang w:val="en-CA" w:eastAsia="en-CA"/>
              </w:rPr>
              <w:t>119</w:t>
            </w:r>
          </w:p>
        </w:tc>
        <w:tc>
          <w:tcPr>
            <w:tcW w:w="1185" w:type="dxa"/>
            <w:tcBorders>
              <w:top w:val="nil"/>
              <w:left w:val="nil"/>
              <w:bottom w:val="single" w:sz="4" w:space="0" w:color="auto"/>
              <w:right w:val="single" w:sz="4" w:space="0" w:color="auto"/>
            </w:tcBorders>
            <w:shd w:val="clear" w:color="auto" w:fill="auto"/>
            <w:noWrap/>
            <w:hideMark/>
          </w:tcPr>
          <w:p w14:paraId="0CA2D045"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5D1CAF25"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008DC15B"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09BB42F2" w14:textId="77777777" w:rsidR="00A70444" w:rsidRPr="00A051CF" w:rsidRDefault="00A70444" w:rsidP="000B114B">
            <w:pPr>
              <w:jc w:val="left"/>
              <w:rPr>
                <w:sz w:val="18"/>
                <w:szCs w:val="18"/>
                <w:lang w:val="en-CA" w:eastAsia="en-CA"/>
              </w:rPr>
            </w:pPr>
            <w:r w:rsidRPr="00A051CF">
              <w:rPr>
                <w:sz w:val="18"/>
                <w:szCs w:val="18"/>
                <w:lang w:val="en-CA" w:eastAsia="en-CA"/>
              </w:rPr>
              <w:t>2004</w:t>
            </w:r>
          </w:p>
        </w:tc>
        <w:tc>
          <w:tcPr>
            <w:tcW w:w="1225" w:type="dxa"/>
            <w:tcBorders>
              <w:top w:val="nil"/>
              <w:left w:val="nil"/>
              <w:bottom w:val="single" w:sz="4" w:space="0" w:color="auto"/>
              <w:right w:val="single" w:sz="4" w:space="0" w:color="auto"/>
            </w:tcBorders>
            <w:shd w:val="clear" w:color="auto" w:fill="auto"/>
            <w:noWrap/>
            <w:hideMark/>
          </w:tcPr>
          <w:p w14:paraId="70040013"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077" w:type="dxa"/>
            <w:tcBorders>
              <w:top w:val="nil"/>
              <w:left w:val="nil"/>
              <w:bottom w:val="single" w:sz="4" w:space="0" w:color="auto"/>
              <w:right w:val="single" w:sz="4" w:space="0" w:color="auto"/>
            </w:tcBorders>
            <w:shd w:val="clear" w:color="auto" w:fill="auto"/>
            <w:noWrap/>
            <w:hideMark/>
          </w:tcPr>
          <w:p w14:paraId="6483C1A6" w14:textId="77777777" w:rsidR="00A70444" w:rsidRPr="00A051CF" w:rsidRDefault="00A70444" w:rsidP="000B114B">
            <w:pPr>
              <w:jc w:val="right"/>
              <w:rPr>
                <w:sz w:val="18"/>
                <w:szCs w:val="18"/>
                <w:lang w:val="en-CA" w:eastAsia="en-CA"/>
              </w:rPr>
            </w:pPr>
            <w:r w:rsidRPr="00A051CF">
              <w:rPr>
                <w:sz w:val="18"/>
                <w:szCs w:val="18"/>
                <w:lang w:val="en-CA" w:eastAsia="en-CA"/>
              </w:rPr>
              <w:t>29</w:t>
            </w:r>
          </w:p>
        </w:tc>
        <w:tc>
          <w:tcPr>
            <w:tcW w:w="1163" w:type="dxa"/>
            <w:tcBorders>
              <w:top w:val="nil"/>
              <w:left w:val="nil"/>
              <w:bottom w:val="single" w:sz="4" w:space="0" w:color="auto"/>
              <w:right w:val="single" w:sz="4" w:space="0" w:color="auto"/>
            </w:tcBorders>
            <w:shd w:val="clear" w:color="auto" w:fill="auto"/>
            <w:noWrap/>
            <w:hideMark/>
          </w:tcPr>
          <w:p w14:paraId="2DA8FB1C"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46B63A09" w14:textId="402D11C4" w:rsidR="00A70444" w:rsidRPr="00A051CF" w:rsidRDefault="00A70444" w:rsidP="000B114B">
            <w:pPr>
              <w:jc w:val="right"/>
              <w:rPr>
                <w:sz w:val="18"/>
                <w:szCs w:val="18"/>
                <w:lang w:val="en-CA" w:eastAsia="en-CA"/>
              </w:rPr>
            </w:pPr>
            <w:r w:rsidRPr="00A051CF">
              <w:rPr>
                <w:sz w:val="18"/>
                <w:szCs w:val="18"/>
                <w:lang w:val="en-CA" w:eastAsia="en-CA"/>
              </w:rPr>
              <w:t>77</w:t>
            </w:r>
            <w:r w:rsidR="00A86723">
              <w:rPr>
                <w:sz w:val="18"/>
                <w:szCs w:val="18"/>
                <w:lang w:val="en-CA" w:eastAsia="en-CA"/>
              </w:rPr>
              <w:t xml:space="preserve"> </w:t>
            </w:r>
            <w:r w:rsidRPr="00A051CF">
              <w:rPr>
                <w:sz w:val="18"/>
                <w:szCs w:val="18"/>
                <w:lang w:val="en-CA" w:eastAsia="en-CA"/>
              </w:rPr>
              <w:t>111</w:t>
            </w:r>
            <w:r w:rsidR="00A86723">
              <w:rPr>
                <w:sz w:val="18"/>
                <w:szCs w:val="18"/>
                <w:lang w:val="en-CA" w:eastAsia="en-CA"/>
              </w:rPr>
              <w:t xml:space="preserve"> </w:t>
            </w:r>
            <w:r w:rsidRPr="00A051CF">
              <w:rPr>
                <w:sz w:val="18"/>
                <w:szCs w:val="18"/>
                <w:lang w:val="en-CA" w:eastAsia="en-CA"/>
              </w:rPr>
              <w:t>770</w:t>
            </w:r>
          </w:p>
        </w:tc>
        <w:tc>
          <w:tcPr>
            <w:tcW w:w="1418" w:type="dxa"/>
            <w:tcBorders>
              <w:top w:val="nil"/>
              <w:left w:val="nil"/>
              <w:bottom w:val="single" w:sz="4" w:space="0" w:color="auto"/>
              <w:right w:val="single" w:sz="4" w:space="0" w:color="auto"/>
            </w:tcBorders>
            <w:shd w:val="clear" w:color="auto" w:fill="auto"/>
            <w:noWrap/>
            <w:hideMark/>
          </w:tcPr>
          <w:p w14:paraId="57DD5571" w14:textId="25B233D3" w:rsidR="00A70444" w:rsidRPr="00A051CF" w:rsidRDefault="00A70444" w:rsidP="000B114B">
            <w:pPr>
              <w:jc w:val="right"/>
              <w:rPr>
                <w:sz w:val="18"/>
                <w:szCs w:val="18"/>
                <w:lang w:val="en-CA" w:eastAsia="en-CA"/>
              </w:rPr>
            </w:pPr>
            <w:r w:rsidRPr="00A051CF">
              <w:rPr>
                <w:sz w:val="18"/>
                <w:szCs w:val="18"/>
                <w:lang w:val="en-CA" w:eastAsia="en-CA"/>
              </w:rPr>
              <w:t>77</w:t>
            </w:r>
            <w:r w:rsidR="00A86723">
              <w:rPr>
                <w:sz w:val="18"/>
                <w:szCs w:val="18"/>
                <w:lang w:val="en-CA" w:eastAsia="en-CA"/>
              </w:rPr>
              <w:t xml:space="preserve"> </w:t>
            </w:r>
            <w:r w:rsidRPr="00A051CF">
              <w:rPr>
                <w:sz w:val="18"/>
                <w:szCs w:val="18"/>
                <w:lang w:val="en-CA" w:eastAsia="en-CA"/>
              </w:rPr>
              <w:t>111</w:t>
            </w:r>
            <w:r w:rsidR="00A86723">
              <w:rPr>
                <w:sz w:val="18"/>
                <w:szCs w:val="18"/>
                <w:lang w:val="en-CA" w:eastAsia="en-CA"/>
              </w:rPr>
              <w:t xml:space="preserve"> </w:t>
            </w:r>
            <w:r w:rsidRPr="00A051CF">
              <w:rPr>
                <w:sz w:val="18"/>
                <w:szCs w:val="18"/>
                <w:lang w:val="en-CA" w:eastAsia="en-CA"/>
              </w:rPr>
              <w:t>770</w:t>
            </w:r>
          </w:p>
        </w:tc>
        <w:tc>
          <w:tcPr>
            <w:tcW w:w="1185" w:type="dxa"/>
            <w:tcBorders>
              <w:top w:val="nil"/>
              <w:left w:val="nil"/>
              <w:bottom w:val="single" w:sz="4" w:space="0" w:color="auto"/>
              <w:right w:val="single" w:sz="4" w:space="0" w:color="auto"/>
            </w:tcBorders>
            <w:shd w:val="clear" w:color="auto" w:fill="auto"/>
            <w:noWrap/>
            <w:hideMark/>
          </w:tcPr>
          <w:p w14:paraId="6123B8A6"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26FA806"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61562DCA"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93F64FF" w14:textId="77777777" w:rsidR="00A70444" w:rsidRPr="00A051CF" w:rsidRDefault="00A70444" w:rsidP="000B114B">
            <w:pPr>
              <w:jc w:val="left"/>
              <w:rPr>
                <w:sz w:val="18"/>
                <w:szCs w:val="18"/>
                <w:lang w:val="en-CA" w:eastAsia="en-CA"/>
              </w:rPr>
            </w:pPr>
            <w:r w:rsidRPr="00A051CF">
              <w:rPr>
                <w:sz w:val="18"/>
                <w:szCs w:val="18"/>
                <w:lang w:val="en-CA" w:eastAsia="en-CA"/>
              </w:rPr>
              <w:t>2005</w:t>
            </w:r>
          </w:p>
        </w:tc>
        <w:tc>
          <w:tcPr>
            <w:tcW w:w="1225" w:type="dxa"/>
            <w:tcBorders>
              <w:top w:val="nil"/>
              <w:left w:val="nil"/>
              <w:bottom w:val="single" w:sz="4" w:space="0" w:color="auto"/>
              <w:right w:val="single" w:sz="4" w:space="0" w:color="auto"/>
            </w:tcBorders>
            <w:shd w:val="clear" w:color="auto" w:fill="auto"/>
            <w:noWrap/>
            <w:hideMark/>
          </w:tcPr>
          <w:p w14:paraId="70127987" w14:textId="77777777" w:rsidR="00A70444" w:rsidRPr="00A051CF" w:rsidRDefault="00A70444" w:rsidP="000B114B">
            <w:pPr>
              <w:jc w:val="right"/>
              <w:rPr>
                <w:sz w:val="18"/>
                <w:szCs w:val="18"/>
                <w:lang w:val="en-CA" w:eastAsia="en-CA"/>
              </w:rPr>
            </w:pPr>
            <w:r w:rsidRPr="00A051CF">
              <w:rPr>
                <w:sz w:val="18"/>
                <w:szCs w:val="18"/>
                <w:lang w:val="en-CA" w:eastAsia="en-CA"/>
              </w:rPr>
              <w:t>28</w:t>
            </w:r>
          </w:p>
        </w:tc>
        <w:tc>
          <w:tcPr>
            <w:tcW w:w="1077" w:type="dxa"/>
            <w:tcBorders>
              <w:top w:val="nil"/>
              <w:left w:val="nil"/>
              <w:bottom w:val="single" w:sz="4" w:space="0" w:color="auto"/>
              <w:right w:val="single" w:sz="4" w:space="0" w:color="auto"/>
            </w:tcBorders>
            <w:shd w:val="clear" w:color="auto" w:fill="auto"/>
            <w:noWrap/>
            <w:hideMark/>
          </w:tcPr>
          <w:p w14:paraId="0FCD351E" w14:textId="77777777" w:rsidR="00A70444" w:rsidRPr="00A051CF" w:rsidRDefault="00A70444" w:rsidP="000B114B">
            <w:pPr>
              <w:jc w:val="right"/>
              <w:rPr>
                <w:sz w:val="18"/>
                <w:szCs w:val="18"/>
                <w:lang w:val="en-CA" w:eastAsia="en-CA"/>
              </w:rPr>
            </w:pPr>
            <w:r w:rsidRPr="00A051CF">
              <w:rPr>
                <w:sz w:val="18"/>
                <w:szCs w:val="18"/>
                <w:lang w:val="en-CA" w:eastAsia="en-CA"/>
              </w:rPr>
              <w:t>28</w:t>
            </w:r>
          </w:p>
        </w:tc>
        <w:tc>
          <w:tcPr>
            <w:tcW w:w="1163" w:type="dxa"/>
            <w:tcBorders>
              <w:top w:val="nil"/>
              <w:left w:val="nil"/>
              <w:bottom w:val="single" w:sz="4" w:space="0" w:color="auto"/>
              <w:right w:val="single" w:sz="4" w:space="0" w:color="auto"/>
            </w:tcBorders>
            <w:shd w:val="clear" w:color="auto" w:fill="auto"/>
            <w:noWrap/>
            <w:hideMark/>
          </w:tcPr>
          <w:p w14:paraId="4E7B8A27"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46FD43B" w14:textId="74F7559C" w:rsidR="00A70444" w:rsidRPr="00A051CF" w:rsidRDefault="00A70444" w:rsidP="000B114B">
            <w:pPr>
              <w:jc w:val="right"/>
              <w:rPr>
                <w:sz w:val="18"/>
                <w:szCs w:val="18"/>
                <w:lang w:val="en-CA" w:eastAsia="en-CA"/>
              </w:rPr>
            </w:pPr>
            <w:r w:rsidRPr="00A051CF">
              <w:rPr>
                <w:sz w:val="18"/>
                <w:szCs w:val="18"/>
                <w:lang w:val="en-CA" w:eastAsia="en-CA"/>
              </w:rPr>
              <w:t>68</w:t>
            </w:r>
            <w:r w:rsidR="00A86723">
              <w:rPr>
                <w:sz w:val="18"/>
                <w:szCs w:val="18"/>
                <w:lang w:val="en-CA" w:eastAsia="en-CA"/>
              </w:rPr>
              <w:t xml:space="preserve"> </w:t>
            </w:r>
            <w:r w:rsidRPr="00A051CF">
              <w:rPr>
                <w:sz w:val="18"/>
                <w:szCs w:val="18"/>
                <w:lang w:val="en-CA" w:eastAsia="en-CA"/>
              </w:rPr>
              <w:t>592</w:t>
            </w:r>
            <w:r w:rsidR="00A86723">
              <w:rPr>
                <w:sz w:val="18"/>
                <w:szCs w:val="18"/>
                <w:lang w:val="en-CA" w:eastAsia="en-CA"/>
              </w:rPr>
              <w:t xml:space="preserve"> </w:t>
            </w:r>
            <w:r w:rsidRPr="00A051CF">
              <w:rPr>
                <w:sz w:val="18"/>
                <w:szCs w:val="18"/>
                <w:lang w:val="en-CA" w:eastAsia="en-CA"/>
              </w:rPr>
              <w:t>865</w:t>
            </w:r>
          </w:p>
        </w:tc>
        <w:tc>
          <w:tcPr>
            <w:tcW w:w="1418" w:type="dxa"/>
            <w:tcBorders>
              <w:top w:val="nil"/>
              <w:left w:val="nil"/>
              <w:bottom w:val="single" w:sz="4" w:space="0" w:color="auto"/>
              <w:right w:val="single" w:sz="4" w:space="0" w:color="auto"/>
            </w:tcBorders>
            <w:shd w:val="clear" w:color="auto" w:fill="auto"/>
            <w:noWrap/>
            <w:hideMark/>
          </w:tcPr>
          <w:p w14:paraId="012DC204" w14:textId="66615CD4" w:rsidR="00A70444" w:rsidRPr="00A051CF" w:rsidRDefault="00A70444" w:rsidP="000B114B">
            <w:pPr>
              <w:jc w:val="right"/>
              <w:rPr>
                <w:sz w:val="18"/>
                <w:szCs w:val="18"/>
                <w:lang w:val="en-CA" w:eastAsia="en-CA"/>
              </w:rPr>
            </w:pPr>
            <w:r w:rsidRPr="00A051CF">
              <w:rPr>
                <w:sz w:val="18"/>
                <w:szCs w:val="18"/>
                <w:lang w:val="en-CA" w:eastAsia="en-CA"/>
              </w:rPr>
              <w:t>68</w:t>
            </w:r>
            <w:r w:rsidR="00A86723">
              <w:rPr>
                <w:sz w:val="18"/>
                <w:szCs w:val="18"/>
                <w:lang w:val="en-CA" w:eastAsia="en-CA"/>
              </w:rPr>
              <w:t xml:space="preserve"> </w:t>
            </w:r>
            <w:r w:rsidRPr="00A051CF">
              <w:rPr>
                <w:sz w:val="18"/>
                <w:szCs w:val="18"/>
                <w:lang w:val="en-CA" w:eastAsia="en-CA"/>
              </w:rPr>
              <w:t>592</w:t>
            </w:r>
            <w:r w:rsidR="00A86723">
              <w:rPr>
                <w:sz w:val="18"/>
                <w:szCs w:val="18"/>
                <w:lang w:val="en-CA" w:eastAsia="en-CA"/>
              </w:rPr>
              <w:t xml:space="preserve"> </w:t>
            </w:r>
            <w:r w:rsidRPr="00A051CF">
              <w:rPr>
                <w:sz w:val="18"/>
                <w:szCs w:val="18"/>
                <w:lang w:val="en-CA" w:eastAsia="en-CA"/>
              </w:rPr>
              <w:t>865</w:t>
            </w:r>
          </w:p>
        </w:tc>
        <w:tc>
          <w:tcPr>
            <w:tcW w:w="1185" w:type="dxa"/>
            <w:tcBorders>
              <w:top w:val="nil"/>
              <w:left w:val="nil"/>
              <w:bottom w:val="single" w:sz="4" w:space="0" w:color="auto"/>
              <w:right w:val="single" w:sz="4" w:space="0" w:color="auto"/>
            </w:tcBorders>
            <w:shd w:val="clear" w:color="auto" w:fill="auto"/>
            <w:noWrap/>
            <w:hideMark/>
          </w:tcPr>
          <w:p w14:paraId="5378BA31"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598BC01E"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3F87E67C"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422797FE" w14:textId="77777777" w:rsidR="00A70444" w:rsidRPr="00A051CF" w:rsidRDefault="00A70444" w:rsidP="000B114B">
            <w:pPr>
              <w:jc w:val="left"/>
              <w:rPr>
                <w:sz w:val="18"/>
                <w:szCs w:val="18"/>
                <w:lang w:val="en-CA" w:eastAsia="en-CA"/>
              </w:rPr>
            </w:pPr>
            <w:r w:rsidRPr="00A051CF">
              <w:rPr>
                <w:sz w:val="18"/>
                <w:szCs w:val="18"/>
                <w:lang w:val="en-CA" w:eastAsia="en-CA"/>
              </w:rPr>
              <w:t>2006</w:t>
            </w:r>
          </w:p>
        </w:tc>
        <w:tc>
          <w:tcPr>
            <w:tcW w:w="1225" w:type="dxa"/>
            <w:tcBorders>
              <w:top w:val="nil"/>
              <w:left w:val="nil"/>
              <w:bottom w:val="single" w:sz="4" w:space="0" w:color="auto"/>
              <w:right w:val="single" w:sz="4" w:space="0" w:color="auto"/>
            </w:tcBorders>
            <w:shd w:val="clear" w:color="auto" w:fill="auto"/>
            <w:noWrap/>
            <w:hideMark/>
          </w:tcPr>
          <w:p w14:paraId="03FEBD8C" w14:textId="77777777" w:rsidR="00A70444" w:rsidRPr="00A051CF" w:rsidRDefault="00A70444" w:rsidP="000B114B">
            <w:pPr>
              <w:jc w:val="right"/>
              <w:rPr>
                <w:sz w:val="18"/>
                <w:szCs w:val="18"/>
                <w:lang w:val="en-CA" w:eastAsia="en-CA"/>
              </w:rPr>
            </w:pPr>
            <w:r w:rsidRPr="00A051CF">
              <w:rPr>
                <w:sz w:val="18"/>
                <w:szCs w:val="18"/>
                <w:lang w:val="en-CA" w:eastAsia="en-CA"/>
              </w:rPr>
              <w:t>22</w:t>
            </w:r>
          </w:p>
        </w:tc>
        <w:tc>
          <w:tcPr>
            <w:tcW w:w="1077" w:type="dxa"/>
            <w:tcBorders>
              <w:top w:val="nil"/>
              <w:left w:val="nil"/>
              <w:bottom w:val="single" w:sz="4" w:space="0" w:color="auto"/>
              <w:right w:val="single" w:sz="4" w:space="0" w:color="auto"/>
            </w:tcBorders>
            <w:shd w:val="clear" w:color="auto" w:fill="auto"/>
            <w:noWrap/>
            <w:hideMark/>
          </w:tcPr>
          <w:p w14:paraId="5EBA6844" w14:textId="77777777" w:rsidR="00A70444" w:rsidRPr="00A051CF" w:rsidRDefault="00A70444" w:rsidP="000B114B">
            <w:pPr>
              <w:jc w:val="right"/>
              <w:rPr>
                <w:sz w:val="18"/>
                <w:szCs w:val="18"/>
                <w:lang w:val="en-CA" w:eastAsia="en-CA"/>
              </w:rPr>
            </w:pPr>
            <w:r w:rsidRPr="00A051CF">
              <w:rPr>
                <w:sz w:val="18"/>
                <w:szCs w:val="18"/>
                <w:lang w:val="en-CA" w:eastAsia="en-CA"/>
              </w:rPr>
              <w:t>22</w:t>
            </w:r>
          </w:p>
        </w:tc>
        <w:tc>
          <w:tcPr>
            <w:tcW w:w="1163" w:type="dxa"/>
            <w:tcBorders>
              <w:top w:val="nil"/>
              <w:left w:val="nil"/>
              <w:bottom w:val="single" w:sz="4" w:space="0" w:color="auto"/>
              <w:right w:val="single" w:sz="4" w:space="0" w:color="auto"/>
            </w:tcBorders>
            <w:shd w:val="clear" w:color="auto" w:fill="auto"/>
            <w:noWrap/>
            <w:hideMark/>
          </w:tcPr>
          <w:p w14:paraId="303EF2B0"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9F118AF" w14:textId="674F147A"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473</w:t>
            </w:r>
            <w:r w:rsidR="00A86723">
              <w:rPr>
                <w:sz w:val="18"/>
                <w:szCs w:val="18"/>
                <w:lang w:val="en-CA" w:eastAsia="en-CA"/>
              </w:rPr>
              <w:t xml:space="preserve"> </w:t>
            </w:r>
            <w:r w:rsidRPr="00A051CF">
              <w:rPr>
                <w:sz w:val="18"/>
                <w:szCs w:val="18"/>
                <w:lang w:val="en-CA" w:eastAsia="en-CA"/>
              </w:rPr>
              <w:t>260</w:t>
            </w:r>
          </w:p>
        </w:tc>
        <w:tc>
          <w:tcPr>
            <w:tcW w:w="1418" w:type="dxa"/>
            <w:tcBorders>
              <w:top w:val="nil"/>
              <w:left w:val="nil"/>
              <w:bottom w:val="single" w:sz="4" w:space="0" w:color="auto"/>
              <w:right w:val="single" w:sz="4" w:space="0" w:color="auto"/>
            </w:tcBorders>
            <w:shd w:val="clear" w:color="auto" w:fill="auto"/>
            <w:noWrap/>
            <w:hideMark/>
          </w:tcPr>
          <w:p w14:paraId="314CEE1B" w14:textId="1BABDD4D" w:rsidR="00A70444" w:rsidRPr="00A051CF" w:rsidRDefault="00A70444" w:rsidP="000B114B">
            <w:pPr>
              <w:jc w:val="right"/>
              <w:rPr>
                <w:sz w:val="18"/>
                <w:szCs w:val="18"/>
                <w:lang w:val="en-CA" w:eastAsia="en-CA"/>
              </w:rPr>
            </w:pPr>
            <w:r w:rsidRPr="00A051CF">
              <w:rPr>
                <w:sz w:val="18"/>
                <w:szCs w:val="18"/>
                <w:lang w:val="en-CA" w:eastAsia="en-CA"/>
              </w:rPr>
              <w:t>64</w:t>
            </w:r>
            <w:r w:rsidR="00A86723">
              <w:rPr>
                <w:sz w:val="18"/>
                <w:szCs w:val="18"/>
                <w:lang w:val="en-CA" w:eastAsia="en-CA"/>
              </w:rPr>
              <w:t xml:space="preserve"> </w:t>
            </w:r>
            <w:r w:rsidRPr="00A051CF">
              <w:rPr>
                <w:sz w:val="18"/>
                <w:szCs w:val="18"/>
                <w:lang w:val="en-CA" w:eastAsia="en-CA"/>
              </w:rPr>
              <w:t>473</w:t>
            </w:r>
            <w:r w:rsidR="00A86723">
              <w:rPr>
                <w:sz w:val="18"/>
                <w:szCs w:val="18"/>
                <w:lang w:val="en-CA" w:eastAsia="en-CA"/>
              </w:rPr>
              <w:t xml:space="preserve"> </w:t>
            </w:r>
            <w:r w:rsidRPr="00A051CF">
              <w:rPr>
                <w:sz w:val="18"/>
                <w:szCs w:val="18"/>
                <w:lang w:val="en-CA" w:eastAsia="en-CA"/>
              </w:rPr>
              <w:t>260</w:t>
            </w:r>
          </w:p>
        </w:tc>
        <w:tc>
          <w:tcPr>
            <w:tcW w:w="1185" w:type="dxa"/>
            <w:tcBorders>
              <w:top w:val="nil"/>
              <w:left w:val="nil"/>
              <w:bottom w:val="single" w:sz="4" w:space="0" w:color="auto"/>
              <w:right w:val="single" w:sz="4" w:space="0" w:color="auto"/>
            </w:tcBorders>
            <w:shd w:val="clear" w:color="auto" w:fill="auto"/>
            <w:noWrap/>
            <w:hideMark/>
          </w:tcPr>
          <w:p w14:paraId="6F575773"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04C2C839"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60203D6A"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BA1EA3A" w14:textId="77777777" w:rsidR="00A70444" w:rsidRPr="00A051CF" w:rsidRDefault="00A70444" w:rsidP="000B114B">
            <w:pPr>
              <w:jc w:val="left"/>
              <w:rPr>
                <w:sz w:val="18"/>
                <w:szCs w:val="18"/>
                <w:lang w:val="en-CA" w:eastAsia="en-CA"/>
              </w:rPr>
            </w:pPr>
            <w:r w:rsidRPr="00A051CF">
              <w:rPr>
                <w:sz w:val="18"/>
                <w:szCs w:val="18"/>
                <w:lang w:val="en-CA" w:eastAsia="en-CA"/>
              </w:rPr>
              <w:t>2007</w:t>
            </w:r>
          </w:p>
        </w:tc>
        <w:tc>
          <w:tcPr>
            <w:tcW w:w="1225" w:type="dxa"/>
            <w:tcBorders>
              <w:top w:val="nil"/>
              <w:left w:val="nil"/>
              <w:bottom w:val="single" w:sz="4" w:space="0" w:color="auto"/>
              <w:right w:val="single" w:sz="4" w:space="0" w:color="auto"/>
            </w:tcBorders>
            <w:shd w:val="clear" w:color="auto" w:fill="auto"/>
            <w:noWrap/>
            <w:hideMark/>
          </w:tcPr>
          <w:p w14:paraId="6DA3A256" w14:textId="77777777" w:rsidR="00A70444" w:rsidRPr="00A051CF" w:rsidRDefault="00A70444" w:rsidP="000B114B">
            <w:pPr>
              <w:jc w:val="right"/>
              <w:rPr>
                <w:sz w:val="18"/>
                <w:szCs w:val="18"/>
                <w:lang w:val="en-CA" w:eastAsia="en-CA"/>
              </w:rPr>
            </w:pPr>
            <w:r w:rsidRPr="00A051CF">
              <w:rPr>
                <w:sz w:val="18"/>
                <w:szCs w:val="18"/>
                <w:lang w:val="en-CA" w:eastAsia="en-CA"/>
              </w:rPr>
              <w:t>25</w:t>
            </w:r>
          </w:p>
        </w:tc>
        <w:tc>
          <w:tcPr>
            <w:tcW w:w="1077" w:type="dxa"/>
            <w:tcBorders>
              <w:top w:val="nil"/>
              <w:left w:val="nil"/>
              <w:bottom w:val="single" w:sz="4" w:space="0" w:color="auto"/>
              <w:right w:val="single" w:sz="4" w:space="0" w:color="auto"/>
            </w:tcBorders>
            <w:shd w:val="clear" w:color="auto" w:fill="auto"/>
            <w:noWrap/>
            <w:hideMark/>
          </w:tcPr>
          <w:p w14:paraId="3997B354" w14:textId="77777777" w:rsidR="00A70444" w:rsidRPr="00A051CF" w:rsidRDefault="00A70444" w:rsidP="000B114B">
            <w:pPr>
              <w:jc w:val="right"/>
              <w:rPr>
                <w:sz w:val="18"/>
                <w:szCs w:val="18"/>
                <w:lang w:val="en-CA" w:eastAsia="en-CA"/>
              </w:rPr>
            </w:pPr>
            <w:r w:rsidRPr="00A051CF">
              <w:rPr>
                <w:sz w:val="18"/>
                <w:szCs w:val="18"/>
                <w:lang w:val="en-CA" w:eastAsia="en-CA"/>
              </w:rPr>
              <w:t>25</w:t>
            </w:r>
          </w:p>
        </w:tc>
        <w:tc>
          <w:tcPr>
            <w:tcW w:w="1163" w:type="dxa"/>
            <w:tcBorders>
              <w:top w:val="nil"/>
              <w:left w:val="nil"/>
              <w:bottom w:val="single" w:sz="4" w:space="0" w:color="auto"/>
              <w:right w:val="single" w:sz="4" w:space="0" w:color="auto"/>
            </w:tcBorders>
            <w:shd w:val="clear" w:color="auto" w:fill="auto"/>
            <w:noWrap/>
            <w:hideMark/>
          </w:tcPr>
          <w:p w14:paraId="0BC7818C"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FC19E23" w14:textId="11A4B16F" w:rsidR="00A70444" w:rsidRPr="00A051CF" w:rsidRDefault="00A70444" w:rsidP="000B114B">
            <w:pPr>
              <w:jc w:val="right"/>
              <w:rPr>
                <w:sz w:val="18"/>
                <w:szCs w:val="18"/>
                <w:lang w:val="en-CA" w:eastAsia="en-CA"/>
              </w:rPr>
            </w:pPr>
            <w:r w:rsidRPr="00A051CF">
              <w:rPr>
                <w:sz w:val="18"/>
                <w:szCs w:val="18"/>
                <w:lang w:val="en-CA" w:eastAsia="en-CA"/>
              </w:rPr>
              <w:t>66</w:t>
            </w:r>
            <w:r w:rsidR="00A86723">
              <w:rPr>
                <w:sz w:val="18"/>
                <w:szCs w:val="18"/>
                <w:lang w:val="en-CA" w:eastAsia="en-CA"/>
              </w:rPr>
              <w:t xml:space="preserve"> </w:t>
            </w:r>
            <w:r w:rsidRPr="00A051CF">
              <w:rPr>
                <w:sz w:val="18"/>
                <w:szCs w:val="18"/>
                <w:lang w:val="en-CA" w:eastAsia="en-CA"/>
              </w:rPr>
              <w:t>005</w:t>
            </w:r>
            <w:r w:rsidR="00A86723">
              <w:rPr>
                <w:sz w:val="18"/>
                <w:szCs w:val="18"/>
                <w:lang w:val="en-CA" w:eastAsia="en-CA"/>
              </w:rPr>
              <w:t xml:space="preserve"> </w:t>
            </w:r>
            <w:r w:rsidRPr="00A051CF">
              <w:rPr>
                <w:sz w:val="18"/>
                <w:szCs w:val="18"/>
                <w:lang w:val="en-CA" w:eastAsia="en-CA"/>
              </w:rPr>
              <w:t>270</w:t>
            </w:r>
          </w:p>
        </w:tc>
        <w:tc>
          <w:tcPr>
            <w:tcW w:w="1418" w:type="dxa"/>
            <w:tcBorders>
              <w:top w:val="nil"/>
              <w:left w:val="nil"/>
              <w:bottom w:val="single" w:sz="4" w:space="0" w:color="auto"/>
              <w:right w:val="single" w:sz="4" w:space="0" w:color="auto"/>
            </w:tcBorders>
            <w:shd w:val="clear" w:color="auto" w:fill="auto"/>
            <w:noWrap/>
            <w:hideMark/>
          </w:tcPr>
          <w:p w14:paraId="41DCB374" w14:textId="195E03A2" w:rsidR="00A70444" w:rsidRPr="00A051CF" w:rsidRDefault="00A70444" w:rsidP="000B114B">
            <w:pPr>
              <w:jc w:val="right"/>
              <w:rPr>
                <w:sz w:val="18"/>
                <w:szCs w:val="18"/>
                <w:lang w:val="en-CA" w:eastAsia="en-CA"/>
              </w:rPr>
            </w:pPr>
            <w:r w:rsidRPr="00A051CF">
              <w:rPr>
                <w:sz w:val="18"/>
                <w:szCs w:val="18"/>
                <w:lang w:val="en-CA" w:eastAsia="en-CA"/>
              </w:rPr>
              <w:t>66</w:t>
            </w:r>
            <w:r w:rsidR="00A86723">
              <w:rPr>
                <w:sz w:val="18"/>
                <w:szCs w:val="18"/>
                <w:lang w:val="en-CA" w:eastAsia="en-CA"/>
              </w:rPr>
              <w:t xml:space="preserve"> </w:t>
            </w:r>
            <w:r w:rsidRPr="00A051CF">
              <w:rPr>
                <w:sz w:val="18"/>
                <w:szCs w:val="18"/>
                <w:lang w:val="en-CA" w:eastAsia="en-CA"/>
              </w:rPr>
              <w:t>005</w:t>
            </w:r>
            <w:r w:rsidR="00A86723">
              <w:rPr>
                <w:sz w:val="18"/>
                <w:szCs w:val="18"/>
                <w:lang w:val="en-CA" w:eastAsia="en-CA"/>
              </w:rPr>
              <w:t xml:space="preserve"> </w:t>
            </w:r>
            <w:r w:rsidRPr="00A051CF">
              <w:rPr>
                <w:sz w:val="18"/>
                <w:szCs w:val="18"/>
                <w:lang w:val="en-CA" w:eastAsia="en-CA"/>
              </w:rPr>
              <w:t>270</w:t>
            </w:r>
          </w:p>
        </w:tc>
        <w:tc>
          <w:tcPr>
            <w:tcW w:w="1185" w:type="dxa"/>
            <w:tcBorders>
              <w:top w:val="nil"/>
              <w:left w:val="nil"/>
              <w:bottom w:val="single" w:sz="4" w:space="0" w:color="auto"/>
              <w:right w:val="single" w:sz="4" w:space="0" w:color="auto"/>
            </w:tcBorders>
            <w:shd w:val="clear" w:color="auto" w:fill="auto"/>
            <w:noWrap/>
            <w:hideMark/>
          </w:tcPr>
          <w:p w14:paraId="4ADD4407"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587A70C"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11E26513"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4FE10557" w14:textId="77777777" w:rsidR="00A70444" w:rsidRPr="00A051CF" w:rsidRDefault="00A70444" w:rsidP="000B114B">
            <w:pPr>
              <w:jc w:val="left"/>
              <w:rPr>
                <w:sz w:val="18"/>
                <w:szCs w:val="18"/>
                <w:lang w:val="en-CA" w:eastAsia="en-CA"/>
              </w:rPr>
            </w:pPr>
            <w:r w:rsidRPr="00A051CF">
              <w:rPr>
                <w:sz w:val="18"/>
                <w:szCs w:val="18"/>
                <w:lang w:val="en-CA" w:eastAsia="en-CA"/>
              </w:rPr>
              <w:t>2008</w:t>
            </w:r>
          </w:p>
        </w:tc>
        <w:tc>
          <w:tcPr>
            <w:tcW w:w="1225" w:type="dxa"/>
            <w:tcBorders>
              <w:top w:val="nil"/>
              <w:left w:val="nil"/>
              <w:bottom w:val="single" w:sz="4" w:space="0" w:color="auto"/>
              <w:right w:val="single" w:sz="4" w:space="0" w:color="auto"/>
            </w:tcBorders>
            <w:shd w:val="clear" w:color="auto" w:fill="auto"/>
            <w:noWrap/>
            <w:hideMark/>
          </w:tcPr>
          <w:p w14:paraId="0696C1C9" w14:textId="77777777" w:rsidR="00A70444" w:rsidRPr="00A051CF" w:rsidRDefault="00A70444" w:rsidP="000B114B">
            <w:pPr>
              <w:jc w:val="right"/>
              <w:rPr>
                <w:sz w:val="18"/>
                <w:szCs w:val="18"/>
                <w:lang w:val="en-CA" w:eastAsia="en-CA"/>
              </w:rPr>
            </w:pPr>
            <w:r w:rsidRPr="00A051CF">
              <w:rPr>
                <w:sz w:val="18"/>
                <w:szCs w:val="18"/>
                <w:lang w:val="en-CA" w:eastAsia="en-CA"/>
              </w:rPr>
              <w:t>28</w:t>
            </w:r>
          </w:p>
        </w:tc>
        <w:tc>
          <w:tcPr>
            <w:tcW w:w="1077" w:type="dxa"/>
            <w:tcBorders>
              <w:top w:val="nil"/>
              <w:left w:val="nil"/>
              <w:bottom w:val="single" w:sz="4" w:space="0" w:color="auto"/>
              <w:right w:val="single" w:sz="4" w:space="0" w:color="auto"/>
            </w:tcBorders>
            <w:shd w:val="clear" w:color="auto" w:fill="auto"/>
            <w:noWrap/>
            <w:hideMark/>
          </w:tcPr>
          <w:p w14:paraId="6094F410" w14:textId="77777777" w:rsidR="00A70444" w:rsidRPr="00A051CF" w:rsidRDefault="00A70444" w:rsidP="000B114B">
            <w:pPr>
              <w:jc w:val="right"/>
              <w:rPr>
                <w:sz w:val="18"/>
                <w:szCs w:val="18"/>
                <w:lang w:val="en-CA" w:eastAsia="en-CA"/>
              </w:rPr>
            </w:pPr>
            <w:r w:rsidRPr="00A051CF">
              <w:rPr>
                <w:sz w:val="18"/>
                <w:szCs w:val="18"/>
                <w:lang w:val="en-CA" w:eastAsia="en-CA"/>
              </w:rPr>
              <w:t>28</w:t>
            </w:r>
          </w:p>
        </w:tc>
        <w:tc>
          <w:tcPr>
            <w:tcW w:w="1163" w:type="dxa"/>
            <w:tcBorders>
              <w:top w:val="nil"/>
              <w:left w:val="nil"/>
              <w:bottom w:val="single" w:sz="4" w:space="0" w:color="auto"/>
              <w:right w:val="single" w:sz="4" w:space="0" w:color="auto"/>
            </w:tcBorders>
            <w:shd w:val="clear" w:color="auto" w:fill="auto"/>
            <w:noWrap/>
            <w:hideMark/>
          </w:tcPr>
          <w:p w14:paraId="4D6404EB"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111D95EC" w14:textId="3B39D5F7" w:rsidR="00A70444" w:rsidRPr="00A051CF" w:rsidRDefault="00A70444" w:rsidP="000B114B">
            <w:pPr>
              <w:jc w:val="right"/>
              <w:rPr>
                <w:sz w:val="18"/>
                <w:szCs w:val="18"/>
                <w:lang w:val="en-CA" w:eastAsia="en-CA"/>
              </w:rPr>
            </w:pPr>
            <w:r w:rsidRPr="00A051CF">
              <w:rPr>
                <w:sz w:val="18"/>
                <w:szCs w:val="18"/>
                <w:lang w:val="en-CA" w:eastAsia="en-CA"/>
              </w:rPr>
              <w:t>40</w:t>
            </w:r>
            <w:r w:rsidR="00A86723">
              <w:rPr>
                <w:sz w:val="18"/>
                <w:szCs w:val="18"/>
                <w:lang w:val="en-CA" w:eastAsia="en-CA"/>
              </w:rPr>
              <w:t xml:space="preserve"> </w:t>
            </w:r>
            <w:r w:rsidRPr="00A051CF">
              <w:rPr>
                <w:sz w:val="18"/>
                <w:szCs w:val="18"/>
                <w:lang w:val="en-CA" w:eastAsia="en-CA"/>
              </w:rPr>
              <w:t>214</w:t>
            </w:r>
            <w:r w:rsidR="00A86723">
              <w:rPr>
                <w:sz w:val="18"/>
                <w:szCs w:val="18"/>
                <w:lang w:val="en-CA" w:eastAsia="en-CA"/>
              </w:rPr>
              <w:t xml:space="preserve"> </w:t>
            </w:r>
            <w:r w:rsidRPr="00A051CF">
              <w:rPr>
                <w:sz w:val="18"/>
                <w:szCs w:val="18"/>
                <w:lang w:val="en-CA" w:eastAsia="en-CA"/>
              </w:rPr>
              <w:t>774</w:t>
            </w:r>
          </w:p>
        </w:tc>
        <w:tc>
          <w:tcPr>
            <w:tcW w:w="1418" w:type="dxa"/>
            <w:tcBorders>
              <w:top w:val="nil"/>
              <w:left w:val="nil"/>
              <w:bottom w:val="single" w:sz="4" w:space="0" w:color="auto"/>
              <w:right w:val="single" w:sz="4" w:space="0" w:color="auto"/>
            </w:tcBorders>
            <w:shd w:val="clear" w:color="auto" w:fill="auto"/>
            <w:noWrap/>
            <w:hideMark/>
          </w:tcPr>
          <w:p w14:paraId="370D3D73" w14:textId="5B54219D" w:rsidR="00A70444" w:rsidRPr="00A051CF" w:rsidRDefault="00A70444" w:rsidP="000B114B">
            <w:pPr>
              <w:jc w:val="right"/>
              <w:rPr>
                <w:sz w:val="18"/>
                <w:szCs w:val="18"/>
                <w:lang w:val="en-CA" w:eastAsia="en-CA"/>
              </w:rPr>
            </w:pPr>
            <w:r w:rsidRPr="00A051CF">
              <w:rPr>
                <w:sz w:val="18"/>
                <w:szCs w:val="18"/>
                <w:lang w:val="en-CA" w:eastAsia="en-CA"/>
              </w:rPr>
              <w:t>40</w:t>
            </w:r>
            <w:r w:rsidR="00A86723">
              <w:rPr>
                <w:sz w:val="18"/>
                <w:szCs w:val="18"/>
                <w:lang w:val="en-CA" w:eastAsia="en-CA"/>
              </w:rPr>
              <w:t xml:space="preserve"> </w:t>
            </w:r>
            <w:r w:rsidRPr="00A051CF">
              <w:rPr>
                <w:sz w:val="18"/>
                <w:szCs w:val="18"/>
                <w:lang w:val="en-CA" w:eastAsia="en-CA"/>
              </w:rPr>
              <w:t>214</w:t>
            </w:r>
            <w:r w:rsidR="00A86723">
              <w:rPr>
                <w:sz w:val="18"/>
                <w:szCs w:val="18"/>
                <w:lang w:val="en-CA" w:eastAsia="en-CA"/>
              </w:rPr>
              <w:t xml:space="preserve"> </w:t>
            </w:r>
            <w:r w:rsidRPr="00A051CF">
              <w:rPr>
                <w:sz w:val="18"/>
                <w:szCs w:val="18"/>
                <w:lang w:val="en-CA" w:eastAsia="en-CA"/>
              </w:rPr>
              <w:t>774</w:t>
            </w:r>
          </w:p>
        </w:tc>
        <w:tc>
          <w:tcPr>
            <w:tcW w:w="1185" w:type="dxa"/>
            <w:tcBorders>
              <w:top w:val="nil"/>
              <w:left w:val="nil"/>
              <w:bottom w:val="single" w:sz="4" w:space="0" w:color="auto"/>
              <w:right w:val="single" w:sz="4" w:space="0" w:color="auto"/>
            </w:tcBorders>
            <w:shd w:val="clear" w:color="auto" w:fill="auto"/>
            <w:noWrap/>
            <w:hideMark/>
          </w:tcPr>
          <w:p w14:paraId="11FB3FE5"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ECEE2DF"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6745A479"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354C3849" w14:textId="77777777" w:rsidR="00A70444" w:rsidRPr="00A051CF" w:rsidRDefault="00A70444" w:rsidP="000B114B">
            <w:pPr>
              <w:jc w:val="left"/>
              <w:rPr>
                <w:sz w:val="18"/>
                <w:szCs w:val="18"/>
                <w:lang w:val="en-CA" w:eastAsia="en-CA"/>
              </w:rPr>
            </w:pPr>
            <w:r w:rsidRPr="00A051CF">
              <w:rPr>
                <w:sz w:val="18"/>
                <w:szCs w:val="18"/>
                <w:lang w:val="en-CA" w:eastAsia="en-CA"/>
              </w:rPr>
              <w:t>2009</w:t>
            </w:r>
          </w:p>
        </w:tc>
        <w:tc>
          <w:tcPr>
            <w:tcW w:w="1225" w:type="dxa"/>
            <w:tcBorders>
              <w:top w:val="nil"/>
              <w:left w:val="nil"/>
              <w:bottom w:val="single" w:sz="4" w:space="0" w:color="auto"/>
              <w:right w:val="single" w:sz="4" w:space="0" w:color="auto"/>
            </w:tcBorders>
            <w:shd w:val="clear" w:color="auto" w:fill="auto"/>
            <w:noWrap/>
            <w:hideMark/>
          </w:tcPr>
          <w:p w14:paraId="48180CB4" w14:textId="77777777" w:rsidR="00A70444" w:rsidRPr="00A051CF" w:rsidRDefault="00A70444" w:rsidP="000B114B">
            <w:pPr>
              <w:jc w:val="right"/>
              <w:rPr>
                <w:sz w:val="18"/>
                <w:szCs w:val="18"/>
                <w:lang w:val="en-CA" w:eastAsia="en-CA"/>
              </w:rPr>
            </w:pPr>
            <w:r w:rsidRPr="00A051CF">
              <w:rPr>
                <w:sz w:val="18"/>
                <w:szCs w:val="18"/>
                <w:lang w:val="en-CA" w:eastAsia="en-CA"/>
              </w:rPr>
              <w:t>22</w:t>
            </w:r>
          </w:p>
        </w:tc>
        <w:tc>
          <w:tcPr>
            <w:tcW w:w="1077" w:type="dxa"/>
            <w:tcBorders>
              <w:top w:val="nil"/>
              <w:left w:val="nil"/>
              <w:bottom w:val="single" w:sz="4" w:space="0" w:color="auto"/>
              <w:right w:val="single" w:sz="4" w:space="0" w:color="auto"/>
            </w:tcBorders>
            <w:shd w:val="clear" w:color="auto" w:fill="auto"/>
            <w:noWrap/>
            <w:hideMark/>
          </w:tcPr>
          <w:p w14:paraId="5DAC3A78" w14:textId="77777777" w:rsidR="00A70444" w:rsidRPr="00A051CF" w:rsidRDefault="00A70444" w:rsidP="000B114B">
            <w:pPr>
              <w:jc w:val="right"/>
              <w:rPr>
                <w:sz w:val="18"/>
                <w:szCs w:val="18"/>
                <w:lang w:val="en-CA" w:eastAsia="en-CA"/>
              </w:rPr>
            </w:pPr>
            <w:r w:rsidRPr="00A051CF">
              <w:rPr>
                <w:sz w:val="18"/>
                <w:szCs w:val="18"/>
                <w:lang w:val="en-CA" w:eastAsia="en-CA"/>
              </w:rPr>
              <w:t>22</w:t>
            </w:r>
          </w:p>
        </w:tc>
        <w:tc>
          <w:tcPr>
            <w:tcW w:w="1163" w:type="dxa"/>
            <w:tcBorders>
              <w:top w:val="nil"/>
              <w:left w:val="nil"/>
              <w:bottom w:val="single" w:sz="4" w:space="0" w:color="auto"/>
              <w:right w:val="single" w:sz="4" w:space="0" w:color="auto"/>
            </w:tcBorders>
            <w:shd w:val="clear" w:color="auto" w:fill="auto"/>
            <w:noWrap/>
            <w:hideMark/>
          </w:tcPr>
          <w:p w14:paraId="334BE8B5"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22B3CCD" w14:textId="12083488" w:rsidR="00A70444" w:rsidRPr="00A051CF" w:rsidRDefault="00A70444" w:rsidP="000B114B">
            <w:pPr>
              <w:jc w:val="right"/>
              <w:rPr>
                <w:sz w:val="18"/>
                <w:szCs w:val="18"/>
                <w:lang w:val="en-CA" w:eastAsia="en-CA"/>
              </w:rPr>
            </w:pPr>
            <w:r w:rsidRPr="00A051CF">
              <w:rPr>
                <w:sz w:val="18"/>
                <w:szCs w:val="18"/>
                <w:lang w:val="en-CA" w:eastAsia="en-CA"/>
              </w:rPr>
              <w:t>25</w:t>
            </w:r>
            <w:r w:rsidR="00A86723">
              <w:rPr>
                <w:sz w:val="18"/>
                <w:szCs w:val="18"/>
                <w:lang w:val="en-CA" w:eastAsia="en-CA"/>
              </w:rPr>
              <w:t xml:space="preserve"> </w:t>
            </w:r>
            <w:r w:rsidRPr="00A051CF">
              <w:rPr>
                <w:sz w:val="18"/>
                <w:szCs w:val="18"/>
                <w:lang w:val="en-CA" w:eastAsia="en-CA"/>
              </w:rPr>
              <w:t>563</w:t>
            </w:r>
            <w:r w:rsidR="00A86723">
              <w:rPr>
                <w:sz w:val="18"/>
                <w:szCs w:val="18"/>
                <w:lang w:val="en-CA" w:eastAsia="en-CA"/>
              </w:rPr>
              <w:t xml:space="preserve"> </w:t>
            </w:r>
            <w:r w:rsidRPr="00A051CF">
              <w:rPr>
                <w:sz w:val="18"/>
                <w:szCs w:val="18"/>
                <w:lang w:val="en-CA" w:eastAsia="en-CA"/>
              </w:rPr>
              <w:t>461</w:t>
            </w:r>
          </w:p>
        </w:tc>
        <w:tc>
          <w:tcPr>
            <w:tcW w:w="1418" w:type="dxa"/>
            <w:tcBorders>
              <w:top w:val="nil"/>
              <w:left w:val="nil"/>
              <w:bottom w:val="single" w:sz="4" w:space="0" w:color="auto"/>
              <w:right w:val="single" w:sz="4" w:space="0" w:color="auto"/>
            </w:tcBorders>
            <w:shd w:val="clear" w:color="auto" w:fill="auto"/>
            <w:noWrap/>
            <w:hideMark/>
          </w:tcPr>
          <w:p w14:paraId="4FC83E2B" w14:textId="317031C9" w:rsidR="00A70444" w:rsidRPr="00A051CF" w:rsidRDefault="00A70444" w:rsidP="000B114B">
            <w:pPr>
              <w:jc w:val="right"/>
              <w:rPr>
                <w:sz w:val="18"/>
                <w:szCs w:val="18"/>
                <w:lang w:val="en-CA" w:eastAsia="en-CA"/>
              </w:rPr>
            </w:pPr>
            <w:r w:rsidRPr="00A051CF">
              <w:rPr>
                <w:sz w:val="18"/>
                <w:szCs w:val="18"/>
                <w:lang w:val="en-CA" w:eastAsia="en-CA"/>
              </w:rPr>
              <w:t>25</w:t>
            </w:r>
            <w:r w:rsidR="00A86723">
              <w:rPr>
                <w:sz w:val="18"/>
                <w:szCs w:val="18"/>
                <w:lang w:val="en-CA" w:eastAsia="en-CA"/>
              </w:rPr>
              <w:t xml:space="preserve"> </w:t>
            </w:r>
            <w:r w:rsidRPr="00A051CF">
              <w:rPr>
                <w:sz w:val="18"/>
                <w:szCs w:val="18"/>
                <w:lang w:val="en-CA" w:eastAsia="en-CA"/>
              </w:rPr>
              <w:t>541</w:t>
            </w:r>
            <w:r w:rsidR="00A86723">
              <w:rPr>
                <w:sz w:val="18"/>
                <w:szCs w:val="18"/>
                <w:lang w:val="en-CA" w:eastAsia="en-CA"/>
              </w:rPr>
              <w:t xml:space="preserve"> </w:t>
            </w:r>
            <w:r w:rsidRPr="00A051CF">
              <w:rPr>
                <w:sz w:val="18"/>
                <w:szCs w:val="18"/>
                <w:lang w:val="en-CA" w:eastAsia="en-CA"/>
              </w:rPr>
              <w:t>662</w:t>
            </w:r>
          </w:p>
        </w:tc>
        <w:tc>
          <w:tcPr>
            <w:tcW w:w="1185" w:type="dxa"/>
            <w:tcBorders>
              <w:top w:val="nil"/>
              <w:left w:val="nil"/>
              <w:bottom w:val="single" w:sz="4" w:space="0" w:color="auto"/>
              <w:right w:val="single" w:sz="4" w:space="0" w:color="auto"/>
            </w:tcBorders>
            <w:shd w:val="clear" w:color="auto" w:fill="auto"/>
            <w:noWrap/>
            <w:hideMark/>
          </w:tcPr>
          <w:p w14:paraId="5005CC38" w14:textId="0D452CF6" w:rsidR="00A70444" w:rsidRPr="00A051CF" w:rsidRDefault="00A70444" w:rsidP="000B114B">
            <w:pPr>
              <w:jc w:val="right"/>
              <w:rPr>
                <w:sz w:val="18"/>
                <w:szCs w:val="18"/>
                <w:lang w:val="en-CA" w:eastAsia="en-CA"/>
              </w:rPr>
            </w:pPr>
            <w:r w:rsidRPr="00A051CF">
              <w:rPr>
                <w:sz w:val="18"/>
                <w:szCs w:val="18"/>
                <w:lang w:val="en-CA" w:eastAsia="en-CA"/>
              </w:rPr>
              <w:t>21</w:t>
            </w:r>
            <w:r w:rsidR="00A86723">
              <w:rPr>
                <w:sz w:val="18"/>
                <w:szCs w:val="18"/>
                <w:lang w:val="en-CA" w:eastAsia="en-CA"/>
              </w:rPr>
              <w:t xml:space="preserve"> </w:t>
            </w:r>
            <w:r w:rsidRPr="00A051CF">
              <w:rPr>
                <w:sz w:val="18"/>
                <w:szCs w:val="18"/>
                <w:lang w:val="en-CA" w:eastAsia="en-CA"/>
              </w:rPr>
              <w:t>799</w:t>
            </w:r>
          </w:p>
        </w:tc>
        <w:tc>
          <w:tcPr>
            <w:tcW w:w="1134" w:type="dxa"/>
            <w:tcBorders>
              <w:top w:val="nil"/>
              <w:left w:val="nil"/>
              <w:bottom w:val="single" w:sz="4" w:space="0" w:color="auto"/>
              <w:right w:val="single" w:sz="4" w:space="0" w:color="auto"/>
            </w:tcBorders>
            <w:shd w:val="clear" w:color="auto" w:fill="auto"/>
            <w:noWrap/>
            <w:hideMark/>
          </w:tcPr>
          <w:p w14:paraId="09784D99"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67D07C3B"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75C39124" w14:textId="77777777" w:rsidR="00A70444" w:rsidRPr="00A051CF" w:rsidRDefault="00A70444" w:rsidP="000B114B">
            <w:pPr>
              <w:jc w:val="left"/>
              <w:rPr>
                <w:sz w:val="18"/>
                <w:szCs w:val="18"/>
                <w:lang w:val="en-CA" w:eastAsia="en-CA"/>
              </w:rPr>
            </w:pPr>
            <w:r w:rsidRPr="00A051CF">
              <w:rPr>
                <w:sz w:val="18"/>
                <w:szCs w:val="18"/>
                <w:lang w:val="en-CA" w:eastAsia="en-CA"/>
              </w:rPr>
              <w:t>2010</w:t>
            </w:r>
          </w:p>
        </w:tc>
        <w:tc>
          <w:tcPr>
            <w:tcW w:w="1225" w:type="dxa"/>
            <w:tcBorders>
              <w:top w:val="nil"/>
              <w:left w:val="nil"/>
              <w:bottom w:val="single" w:sz="4" w:space="0" w:color="auto"/>
              <w:right w:val="single" w:sz="4" w:space="0" w:color="auto"/>
            </w:tcBorders>
            <w:shd w:val="clear" w:color="auto" w:fill="auto"/>
            <w:noWrap/>
            <w:hideMark/>
          </w:tcPr>
          <w:p w14:paraId="6AA41473" w14:textId="77777777" w:rsidR="00A70444" w:rsidRPr="00A051CF" w:rsidRDefault="00A70444" w:rsidP="000B114B">
            <w:pPr>
              <w:jc w:val="right"/>
              <w:rPr>
                <w:sz w:val="18"/>
                <w:szCs w:val="18"/>
                <w:lang w:val="en-CA" w:eastAsia="en-CA"/>
              </w:rPr>
            </w:pPr>
            <w:r w:rsidRPr="00A051CF">
              <w:rPr>
                <w:sz w:val="18"/>
                <w:szCs w:val="18"/>
                <w:lang w:val="en-CA" w:eastAsia="en-CA"/>
              </w:rPr>
              <w:t>16</w:t>
            </w:r>
          </w:p>
        </w:tc>
        <w:tc>
          <w:tcPr>
            <w:tcW w:w="1077" w:type="dxa"/>
            <w:tcBorders>
              <w:top w:val="nil"/>
              <w:left w:val="nil"/>
              <w:bottom w:val="single" w:sz="4" w:space="0" w:color="auto"/>
              <w:right w:val="single" w:sz="4" w:space="0" w:color="auto"/>
            </w:tcBorders>
            <w:shd w:val="clear" w:color="auto" w:fill="auto"/>
            <w:noWrap/>
            <w:hideMark/>
          </w:tcPr>
          <w:p w14:paraId="33B18214" w14:textId="77777777" w:rsidR="00A70444" w:rsidRPr="00A051CF" w:rsidRDefault="00A70444" w:rsidP="000B114B">
            <w:pPr>
              <w:jc w:val="right"/>
              <w:rPr>
                <w:sz w:val="18"/>
                <w:szCs w:val="18"/>
                <w:lang w:val="en-CA" w:eastAsia="en-CA"/>
              </w:rPr>
            </w:pPr>
            <w:r w:rsidRPr="00A051CF">
              <w:rPr>
                <w:sz w:val="18"/>
                <w:szCs w:val="18"/>
                <w:lang w:val="en-CA" w:eastAsia="en-CA"/>
              </w:rPr>
              <w:t>16</w:t>
            </w:r>
          </w:p>
        </w:tc>
        <w:tc>
          <w:tcPr>
            <w:tcW w:w="1163" w:type="dxa"/>
            <w:tcBorders>
              <w:top w:val="nil"/>
              <w:left w:val="nil"/>
              <w:bottom w:val="single" w:sz="4" w:space="0" w:color="auto"/>
              <w:right w:val="single" w:sz="4" w:space="0" w:color="auto"/>
            </w:tcBorders>
            <w:shd w:val="clear" w:color="auto" w:fill="auto"/>
            <w:noWrap/>
            <w:hideMark/>
          </w:tcPr>
          <w:p w14:paraId="3BD80E3C" w14:textId="77777777" w:rsidR="00A70444" w:rsidRPr="00A051CF" w:rsidRDefault="00A70444" w:rsidP="000B114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AA6ECE2" w14:textId="5C7994F6"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148</w:t>
            </w:r>
            <w:r w:rsidR="00A86723">
              <w:rPr>
                <w:sz w:val="18"/>
                <w:szCs w:val="18"/>
                <w:lang w:val="en-CA" w:eastAsia="en-CA"/>
              </w:rPr>
              <w:t xml:space="preserve"> </w:t>
            </w:r>
            <w:r w:rsidRPr="00A051CF">
              <w:rPr>
                <w:sz w:val="18"/>
                <w:szCs w:val="18"/>
                <w:lang w:val="en-CA" w:eastAsia="en-CA"/>
              </w:rPr>
              <w:t>623</w:t>
            </w:r>
          </w:p>
        </w:tc>
        <w:tc>
          <w:tcPr>
            <w:tcW w:w="1418" w:type="dxa"/>
            <w:tcBorders>
              <w:top w:val="nil"/>
              <w:left w:val="nil"/>
              <w:bottom w:val="single" w:sz="4" w:space="0" w:color="auto"/>
              <w:right w:val="single" w:sz="4" w:space="0" w:color="auto"/>
            </w:tcBorders>
            <w:shd w:val="clear" w:color="auto" w:fill="auto"/>
            <w:noWrap/>
            <w:hideMark/>
          </w:tcPr>
          <w:p w14:paraId="20DA992F" w14:textId="41EC2597"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148</w:t>
            </w:r>
            <w:r w:rsidR="00A86723">
              <w:rPr>
                <w:sz w:val="18"/>
                <w:szCs w:val="18"/>
                <w:lang w:val="en-CA" w:eastAsia="en-CA"/>
              </w:rPr>
              <w:t xml:space="preserve"> </w:t>
            </w:r>
            <w:r w:rsidRPr="00A051CF">
              <w:rPr>
                <w:sz w:val="18"/>
                <w:szCs w:val="18"/>
                <w:lang w:val="en-CA" w:eastAsia="en-CA"/>
              </w:rPr>
              <w:t>623</w:t>
            </w:r>
          </w:p>
        </w:tc>
        <w:tc>
          <w:tcPr>
            <w:tcW w:w="1185" w:type="dxa"/>
            <w:tcBorders>
              <w:top w:val="nil"/>
              <w:left w:val="nil"/>
              <w:bottom w:val="single" w:sz="4" w:space="0" w:color="auto"/>
              <w:right w:val="single" w:sz="4" w:space="0" w:color="auto"/>
            </w:tcBorders>
            <w:shd w:val="clear" w:color="auto" w:fill="auto"/>
            <w:noWrap/>
            <w:hideMark/>
          </w:tcPr>
          <w:p w14:paraId="7D3355F2"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57515C2"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5B5450D5"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443ACB96" w14:textId="77777777" w:rsidR="00A70444" w:rsidRPr="00A051CF" w:rsidRDefault="00A70444" w:rsidP="000B114B">
            <w:pPr>
              <w:jc w:val="left"/>
              <w:rPr>
                <w:sz w:val="18"/>
                <w:szCs w:val="18"/>
                <w:lang w:val="en-CA" w:eastAsia="en-CA"/>
              </w:rPr>
            </w:pPr>
            <w:r w:rsidRPr="00A051CF">
              <w:rPr>
                <w:sz w:val="18"/>
                <w:szCs w:val="18"/>
                <w:lang w:val="en-CA" w:eastAsia="en-CA"/>
              </w:rPr>
              <w:t>2011</w:t>
            </w:r>
          </w:p>
        </w:tc>
        <w:tc>
          <w:tcPr>
            <w:tcW w:w="1225" w:type="dxa"/>
            <w:tcBorders>
              <w:top w:val="nil"/>
              <w:left w:val="nil"/>
              <w:bottom w:val="single" w:sz="4" w:space="0" w:color="auto"/>
              <w:right w:val="single" w:sz="4" w:space="0" w:color="auto"/>
            </w:tcBorders>
            <w:shd w:val="clear" w:color="auto" w:fill="auto"/>
            <w:noWrap/>
            <w:hideMark/>
          </w:tcPr>
          <w:p w14:paraId="1EA0FF67" w14:textId="77777777" w:rsidR="00A70444" w:rsidRPr="00A051CF" w:rsidRDefault="00A70444" w:rsidP="000B114B">
            <w:pPr>
              <w:jc w:val="right"/>
              <w:rPr>
                <w:sz w:val="18"/>
                <w:szCs w:val="18"/>
                <w:lang w:val="en-CA" w:eastAsia="en-CA"/>
              </w:rPr>
            </w:pPr>
            <w:r w:rsidRPr="00A051CF">
              <w:rPr>
                <w:sz w:val="18"/>
                <w:szCs w:val="18"/>
                <w:lang w:val="en-CA" w:eastAsia="en-CA"/>
              </w:rPr>
              <w:t>10</w:t>
            </w:r>
          </w:p>
        </w:tc>
        <w:tc>
          <w:tcPr>
            <w:tcW w:w="1077" w:type="dxa"/>
            <w:tcBorders>
              <w:top w:val="nil"/>
              <w:left w:val="nil"/>
              <w:bottom w:val="single" w:sz="4" w:space="0" w:color="auto"/>
              <w:right w:val="single" w:sz="4" w:space="0" w:color="auto"/>
            </w:tcBorders>
            <w:shd w:val="clear" w:color="auto" w:fill="auto"/>
            <w:noWrap/>
            <w:hideMark/>
          </w:tcPr>
          <w:p w14:paraId="2172D7F4" w14:textId="77777777" w:rsidR="00A70444" w:rsidRPr="00A051CF" w:rsidRDefault="00A70444" w:rsidP="000B114B">
            <w:pPr>
              <w:jc w:val="right"/>
              <w:rPr>
                <w:sz w:val="18"/>
                <w:szCs w:val="18"/>
                <w:lang w:val="en-CA" w:eastAsia="en-CA"/>
              </w:rPr>
            </w:pPr>
            <w:r w:rsidRPr="00A051CF">
              <w:rPr>
                <w:sz w:val="18"/>
                <w:szCs w:val="18"/>
                <w:lang w:val="en-CA" w:eastAsia="en-CA"/>
              </w:rPr>
              <w:t>7</w:t>
            </w:r>
          </w:p>
        </w:tc>
        <w:tc>
          <w:tcPr>
            <w:tcW w:w="1163" w:type="dxa"/>
            <w:tcBorders>
              <w:top w:val="nil"/>
              <w:left w:val="nil"/>
              <w:bottom w:val="single" w:sz="4" w:space="0" w:color="auto"/>
              <w:right w:val="single" w:sz="4" w:space="0" w:color="auto"/>
            </w:tcBorders>
            <w:shd w:val="clear" w:color="auto" w:fill="auto"/>
            <w:noWrap/>
            <w:hideMark/>
          </w:tcPr>
          <w:p w14:paraId="4DD374B2" w14:textId="77777777" w:rsidR="00A70444" w:rsidRPr="00A051CF" w:rsidRDefault="00A70444" w:rsidP="000B114B">
            <w:pPr>
              <w:jc w:val="right"/>
              <w:rPr>
                <w:sz w:val="18"/>
                <w:szCs w:val="18"/>
                <w:lang w:val="en-CA" w:eastAsia="en-CA"/>
              </w:rPr>
            </w:pPr>
            <w:r w:rsidRPr="00A051CF">
              <w:rPr>
                <w:sz w:val="18"/>
                <w:szCs w:val="18"/>
                <w:lang w:val="en-CA" w:eastAsia="en-CA"/>
              </w:rPr>
              <w:t>70</w:t>
            </w:r>
          </w:p>
        </w:tc>
        <w:tc>
          <w:tcPr>
            <w:tcW w:w="1466" w:type="dxa"/>
            <w:tcBorders>
              <w:top w:val="nil"/>
              <w:left w:val="nil"/>
              <w:bottom w:val="single" w:sz="4" w:space="0" w:color="auto"/>
              <w:right w:val="single" w:sz="4" w:space="0" w:color="auto"/>
            </w:tcBorders>
            <w:shd w:val="clear" w:color="auto" w:fill="auto"/>
            <w:noWrap/>
            <w:hideMark/>
          </w:tcPr>
          <w:p w14:paraId="4430AE53" w14:textId="3D3A19FC" w:rsidR="00A70444" w:rsidRPr="00A051CF" w:rsidRDefault="00A70444" w:rsidP="000B114B">
            <w:pPr>
              <w:jc w:val="right"/>
              <w:rPr>
                <w:sz w:val="18"/>
                <w:szCs w:val="18"/>
                <w:lang w:val="en-CA" w:eastAsia="en-CA"/>
              </w:rPr>
            </w:pPr>
            <w:r w:rsidRPr="00A051CF">
              <w:rPr>
                <w:sz w:val="18"/>
                <w:szCs w:val="18"/>
                <w:lang w:val="en-CA" w:eastAsia="en-CA"/>
              </w:rPr>
              <w:t>44</w:t>
            </w:r>
            <w:r w:rsidR="00A86723">
              <w:rPr>
                <w:sz w:val="18"/>
                <w:szCs w:val="18"/>
                <w:lang w:val="en-CA" w:eastAsia="en-CA"/>
              </w:rPr>
              <w:t xml:space="preserve"> </w:t>
            </w:r>
            <w:r w:rsidRPr="00A051CF">
              <w:rPr>
                <w:sz w:val="18"/>
                <w:szCs w:val="18"/>
                <w:lang w:val="en-CA" w:eastAsia="en-CA"/>
              </w:rPr>
              <w:t>668</w:t>
            </w:r>
            <w:r w:rsidR="00A86723">
              <w:rPr>
                <w:sz w:val="18"/>
                <w:szCs w:val="18"/>
                <w:lang w:val="en-CA" w:eastAsia="en-CA"/>
              </w:rPr>
              <w:t xml:space="preserve"> </w:t>
            </w:r>
            <w:r w:rsidRPr="00A051CF">
              <w:rPr>
                <w:sz w:val="18"/>
                <w:szCs w:val="18"/>
                <w:lang w:val="en-CA" w:eastAsia="en-CA"/>
              </w:rPr>
              <w:t>997</w:t>
            </w:r>
          </w:p>
        </w:tc>
        <w:tc>
          <w:tcPr>
            <w:tcW w:w="1418" w:type="dxa"/>
            <w:tcBorders>
              <w:top w:val="nil"/>
              <w:left w:val="nil"/>
              <w:bottom w:val="single" w:sz="4" w:space="0" w:color="auto"/>
              <w:right w:val="single" w:sz="4" w:space="0" w:color="auto"/>
            </w:tcBorders>
            <w:shd w:val="clear" w:color="auto" w:fill="auto"/>
            <w:noWrap/>
            <w:hideMark/>
          </w:tcPr>
          <w:p w14:paraId="1A9C81F1" w14:textId="6268A0DC" w:rsidR="00A70444" w:rsidRPr="00A051CF" w:rsidRDefault="00A70444" w:rsidP="000B114B">
            <w:pPr>
              <w:jc w:val="right"/>
              <w:rPr>
                <w:sz w:val="18"/>
                <w:szCs w:val="18"/>
                <w:lang w:val="en-CA" w:eastAsia="en-CA"/>
              </w:rPr>
            </w:pPr>
            <w:r w:rsidRPr="00A051CF">
              <w:rPr>
                <w:sz w:val="18"/>
                <w:szCs w:val="18"/>
                <w:lang w:val="en-CA" w:eastAsia="en-CA"/>
              </w:rPr>
              <w:t>44</w:t>
            </w:r>
            <w:r w:rsidR="00A86723">
              <w:rPr>
                <w:sz w:val="18"/>
                <w:szCs w:val="18"/>
                <w:lang w:val="en-CA" w:eastAsia="en-CA"/>
              </w:rPr>
              <w:t xml:space="preserve"> </w:t>
            </w:r>
            <w:r w:rsidRPr="00A051CF">
              <w:rPr>
                <w:sz w:val="18"/>
                <w:szCs w:val="18"/>
                <w:lang w:val="en-CA" w:eastAsia="en-CA"/>
              </w:rPr>
              <w:t>182</w:t>
            </w:r>
            <w:r w:rsidR="00A86723">
              <w:rPr>
                <w:sz w:val="18"/>
                <w:szCs w:val="18"/>
                <w:lang w:val="en-CA" w:eastAsia="en-CA"/>
              </w:rPr>
              <w:t xml:space="preserve"> </w:t>
            </w:r>
            <w:r w:rsidRPr="00A051CF">
              <w:rPr>
                <w:sz w:val="18"/>
                <w:szCs w:val="18"/>
                <w:lang w:val="en-CA" w:eastAsia="en-CA"/>
              </w:rPr>
              <w:t>659</w:t>
            </w:r>
          </w:p>
        </w:tc>
        <w:tc>
          <w:tcPr>
            <w:tcW w:w="1185" w:type="dxa"/>
            <w:tcBorders>
              <w:top w:val="nil"/>
              <w:left w:val="nil"/>
              <w:bottom w:val="single" w:sz="4" w:space="0" w:color="auto"/>
              <w:right w:val="single" w:sz="4" w:space="0" w:color="auto"/>
            </w:tcBorders>
            <w:shd w:val="clear" w:color="auto" w:fill="auto"/>
            <w:noWrap/>
            <w:hideMark/>
          </w:tcPr>
          <w:p w14:paraId="0131C196" w14:textId="2C483E6D" w:rsidR="00A70444" w:rsidRPr="00A051CF" w:rsidRDefault="00A70444" w:rsidP="000B114B">
            <w:pPr>
              <w:jc w:val="right"/>
              <w:rPr>
                <w:sz w:val="18"/>
                <w:szCs w:val="18"/>
                <w:lang w:val="en-CA" w:eastAsia="en-CA"/>
              </w:rPr>
            </w:pPr>
            <w:r w:rsidRPr="00A051CF">
              <w:rPr>
                <w:sz w:val="18"/>
                <w:szCs w:val="18"/>
                <w:lang w:val="en-CA" w:eastAsia="en-CA"/>
              </w:rPr>
              <w:t>486</w:t>
            </w:r>
            <w:r w:rsidR="00A86723">
              <w:rPr>
                <w:sz w:val="18"/>
                <w:szCs w:val="18"/>
                <w:lang w:val="en-CA" w:eastAsia="en-CA"/>
              </w:rPr>
              <w:t xml:space="preserve"> </w:t>
            </w:r>
            <w:r w:rsidRPr="00A051CF">
              <w:rPr>
                <w:sz w:val="18"/>
                <w:szCs w:val="18"/>
                <w:lang w:val="en-CA" w:eastAsia="en-CA"/>
              </w:rPr>
              <w:t>338</w:t>
            </w:r>
          </w:p>
        </w:tc>
        <w:tc>
          <w:tcPr>
            <w:tcW w:w="1134" w:type="dxa"/>
            <w:tcBorders>
              <w:top w:val="nil"/>
              <w:left w:val="nil"/>
              <w:bottom w:val="single" w:sz="4" w:space="0" w:color="auto"/>
              <w:right w:val="single" w:sz="4" w:space="0" w:color="auto"/>
            </w:tcBorders>
            <w:shd w:val="clear" w:color="auto" w:fill="auto"/>
            <w:noWrap/>
            <w:hideMark/>
          </w:tcPr>
          <w:p w14:paraId="6CDC5275" w14:textId="77777777" w:rsidR="00A70444" w:rsidRPr="00A051CF" w:rsidRDefault="00A70444" w:rsidP="000B114B">
            <w:pPr>
              <w:jc w:val="right"/>
              <w:rPr>
                <w:sz w:val="18"/>
                <w:szCs w:val="18"/>
                <w:lang w:val="en-CA" w:eastAsia="en-CA"/>
              </w:rPr>
            </w:pPr>
            <w:r w:rsidRPr="00A051CF">
              <w:rPr>
                <w:sz w:val="18"/>
                <w:szCs w:val="18"/>
                <w:lang w:val="en-CA" w:eastAsia="en-CA"/>
              </w:rPr>
              <w:t>99</w:t>
            </w:r>
          </w:p>
        </w:tc>
      </w:tr>
      <w:tr w:rsidR="00A70444" w:rsidRPr="00A051CF" w14:paraId="3DE547F7"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4CADEA33" w14:textId="77777777" w:rsidR="00A70444" w:rsidRPr="00A051CF" w:rsidRDefault="00A70444" w:rsidP="000B114B">
            <w:pPr>
              <w:jc w:val="left"/>
              <w:rPr>
                <w:sz w:val="18"/>
                <w:szCs w:val="18"/>
                <w:lang w:val="en-CA" w:eastAsia="en-CA"/>
              </w:rPr>
            </w:pPr>
            <w:r w:rsidRPr="00A051CF">
              <w:rPr>
                <w:sz w:val="18"/>
                <w:szCs w:val="18"/>
                <w:lang w:val="en-CA" w:eastAsia="en-CA"/>
              </w:rPr>
              <w:t>2012</w:t>
            </w:r>
          </w:p>
        </w:tc>
        <w:tc>
          <w:tcPr>
            <w:tcW w:w="1225" w:type="dxa"/>
            <w:tcBorders>
              <w:top w:val="nil"/>
              <w:left w:val="nil"/>
              <w:bottom w:val="single" w:sz="4" w:space="0" w:color="auto"/>
              <w:right w:val="single" w:sz="4" w:space="0" w:color="auto"/>
            </w:tcBorders>
            <w:shd w:val="clear" w:color="auto" w:fill="auto"/>
            <w:noWrap/>
            <w:hideMark/>
          </w:tcPr>
          <w:p w14:paraId="46FE72CE" w14:textId="77777777" w:rsidR="00A70444" w:rsidRPr="00A051CF" w:rsidRDefault="00A70444" w:rsidP="000B114B">
            <w:pPr>
              <w:jc w:val="right"/>
              <w:rPr>
                <w:sz w:val="18"/>
                <w:szCs w:val="18"/>
                <w:lang w:val="en-CA" w:eastAsia="en-CA"/>
              </w:rPr>
            </w:pPr>
            <w:r w:rsidRPr="00A051CF">
              <w:rPr>
                <w:sz w:val="18"/>
                <w:szCs w:val="18"/>
                <w:lang w:val="en-CA" w:eastAsia="en-CA"/>
              </w:rPr>
              <w:t>10</w:t>
            </w:r>
          </w:p>
        </w:tc>
        <w:tc>
          <w:tcPr>
            <w:tcW w:w="1077" w:type="dxa"/>
            <w:tcBorders>
              <w:top w:val="nil"/>
              <w:left w:val="nil"/>
              <w:bottom w:val="single" w:sz="4" w:space="0" w:color="auto"/>
              <w:right w:val="single" w:sz="4" w:space="0" w:color="auto"/>
            </w:tcBorders>
            <w:shd w:val="clear" w:color="auto" w:fill="auto"/>
            <w:noWrap/>
            <w:hideMark/>
          </w:tcPr>
          <w:p w14:paraId="2A871F3B" w14:textId="77777777" w:rsidR="00A70444" w:rsidRPr="00A051CF" w:rsidRDefault="00A70444" w:rsidP="000B114B">
            <w:pPr>
              <w:jc w:val="right"/>
              <w:rPr>
                <w:sz w:val="18"/>
                <w:szCs w:val="18"/>
                <w:lang w:val="en-CA" w:eastAsia="en-CA"/>
              </w:rPr>
            </w:pPr>
            <w:r w:rsidRPr="00A051CF">
              <w:rPr>
                <w:sz w:val="18"/>
                <w:szCs w:val="18"/>
                <w:lang w:val="en-CA" w:eastAsia="en-CA"/>
              </w:rPr>
              <w:t>9</w:t>
            </w:r>
          </w:p>
        </w:tc>
        <w:tc>
          <w:tcPr>
            <w:tcW w:w="1163" w:type="dxa"/>
            <w:tcBorders>
              <w:top w:val="nil"/>
              <w:left w:val="nil"/>
              <w:bottom w:val="single" w:sz="4" w:space="0" w:color="auto"/>
              <w:right w:val="single" w:sz="4" w:space="0" w:color="auto"/>
            </w:tcBorders>
            <w:shd w:val="clear" w:color="auto" w:fill="auto"/>
            <w:noWrap/>
            <w:hideMark/>
          </w:tcPr>
          <w:p w14:paraId="1CC5DE79" w14:textId="77777777" w:rsidR="00A70444" w:rsidRPr="00A051CF" w:rsidRDefault="00A70444" w:rsidP="000B114B">
            <w:pPr>
              <w:jc w:val="right"/>
              <w:rPr>
                <w:sz w:val="18"/>
                <w:szCs w:val="18"/>
                <w:lang w:val="en-CA" w:eastAsia="en-CA"/>
              </w:rPr>
            </w:pPr>
            <w:r w:rsidRPr="00A051CF">
              <w:rPr>
                <w:sz w:val="18"/>
                <w:szCs w:val="18"/>
                <w:lang w:val="en-CA" w:eastAsia="en-CA"/>
              </w:rPr>
              <w:t>90</w:t>
            </w:r>
          </w:p>
        </w:tc>
        <w:tc>
          <w:tcPr>
            <w:tcW w:w="1466" w:type="dxa"/>
            <w:tcBorders>
              <w:top w:val="nil"/>
              <w:left w:val="nil"/>
              <w:bottom w:val="single" w:sz="4" w:space="0" w:color="auto"/>
              <w:right w:val="single" w:sz="4" w:space="0" w:color="auto"/>
            </w:tcBorders>
            <w:shd w:val="clear" w:color="auto" w:fill="auto"/>
            <w:noWrap/>
            <w:hideMark/>
          </w:tcPr>
          <w:p w14:paraId="6DF478BC" w14:textId="5E12AE61" w:rsidR="00A70444" w:rsidRPr="00A051CF" w:rsidRDefault="00A70444" w:rsidP="000B114B">
            <w:pPr>
              <w:jc w:val="right"/>
              <w:rPr>
                <w:sz w:val="18"/>
                <w:szCs w:val="18"/>
                <w:lang w:val="en-CA" w:eastAsia="en-CA"/>
              </w:rPr>
            </w:pPr>
            <w:r w:rsidRPr="00A051CF">
              <w:rPr>
                <w:sz w:val="18"/>
                <w:szCs w:val="18"/>
                <w:lang w:val="en-CA" w:eastAsia="en-CA"/>
              </w:rPr>
              <w:t>11</w:t>
            </w:r>
            <w:r w:rsidR="00A86723">
              <w:rPr>
                <w:sz w:val="18"/>
                <w:szCs w:val="18"/>
                <w:lang w:val="en-CA" w:eastAsia="en-CA"/>
              </w:rPr>
              <w:t xml:space="preserve"> </w:t>
            </w:r>
            <w:r w:rsidRPr="00A051CF">
              <w:rPr>
                <w:sz w:val="18"/>
                <w:szCs w:val="18"/>
                <w:lang w:val="en-CA" w:eastAsia="en-CA"/>
              </w:rPr>
              <w:t>745</w:t>
            </w:r>
            <w:r w:rsidR="00A86723">
              <w:rPr>
                <w:sz w:val="18"/>
                <w:szCs w:val="18"/>
                <w:lang w:val="en-CA" w:eastAsia="en-CA"/>
              </w:rPr>
              <w:t xml:space="preserve"> </w:t>
            </w:r>
            <w:r w:rsidRPr="00A051CF">
              <w:rPr>
                <w:sz w:val="18"/>
                <w:szCs w:val="18"/>
                <w:lang w:val="en-CA" w:eastAsia="en-CA"/>
              </w:rPr>
              <w:t>779</w:t>
            </w:r>
          </w:p>
        </w:tc>
        <w:tc>
          <w:tcPr>
            <w:tcW w:w="1418" w:type="dxa"/>
            <w:tcBorders>
              <w:top w:val="nil"/>
              <w:left w:val="nil"/>
              <w:bottom w:val="single" w:sz="4" w:space="0" w:color="auto"/>
              <w:right w:val="single" w:sz="4" w:space="0" w:color="auto"/>
            </w:tcBorders>
            <w:shd w:val="clear" w:color="auto" w:fill="auto"/>
            <w:noWrap/>
            <w:hideMark/>
          </w:tcPr>
          <w:p w14:paraId="56C8A7A7" w14:textId="42051D1F" w:rsidR="00A70444" w:rsidRPr="00A051CF" w:rsidRDefault="00A70444" w:rsidP="000B114B">
            <w:pPr>
              <w:jc w:val="right"/>
              <w:rPr>
                <w:sz w:val="18"/>
                <w:szCs w:val="18"/>
                <w:lang w:val="en-CA" w:eastAsia="en-CA"/>
              </w:rPr>
            </w:pPr>
            <w:r w:rsidRPr="00A051CF">
              <w:rPr>
                <w:sz w:val="18"/>
                <w:szCs w:val="18"/>
                <w:lang w:val="en-CA" w:eastAsia="en-CA"/>
              </w:rPr>
              <w:t>11</w:t>
            </w:r>
            <w:r w:rsidR="00A86723">
              <w:rPr>
                <w:sz w:val="18"/>
                <w:szCs w:val="18"/>
                <w:lang w:val="en-CA" w:eastAsia="en-CA"/>
              </w:rPr>
              <w:t xml:space="preserve"> </w:t>
            </w:r>
            <w:r w:rsidRPr="00A051CF">
              <w:rPr>
                <w:sz w:val="18"/>
                <w:szCs w:val="18"/>
                <w:lang w:val="en-CA" w:eastAsia="en-CA"/>
              </w:rPr>
              <w:t>698</w:t>
            </w:r>
            <w:r w:rsidR="00A86723">
              <w:rPr>
                <w:sz w:val="18"/>
                <w:szCs w:val="18"/>
                <w:lang w:val="en-CA" w:eastAsia="en-CA"/>
              </w:rPr>
              <w:t xml:space="preserve"> </w:t>
            </w:r>
            <w:r w:rsidRPr="00A051CF">
              <w:rPr>
                <w:sz w:val="18"/>
                <w:szCs w:val="18"/>
                <w:lang w:val="en-CA" w:eastAsia="en-CA"/>
              </w:rPr>
              <w:t>145</w:t>
            </w:r>
          </w:p>
        </w:tc>
        <w:tc>
          <w:tcPr>
            <w:tcW w:w="1185" w:type="dxa"/>
            <w:tcBorders>
              <w:top w:val="nil"/>
              <w:left w:val="nil"/>
              <w:bottom w:val="single" w:sz="4" w:space="0" w:color="auto"/>
              <w:right w:val="single" w:sz="4" w:space="0" w:color="auto"/>
            </w:tcBorders>
            <w:shd w:val="clear" w:color="auto" w:fill="auto"/>
            <w:noWrap/>
            <w:hideMark/>
          </w:tcPr>
          <w:p w14:paraId="6AD4861C" w14:textId="4933F94C" w:rsidR="00A70444" w:rsidRPr="00A051CF" w:rsidRDefault="00A70444" w:rsidP="000B114B">
            <w:pPr>
              <w:jc w:val="right"/>
              <w:rPr>
                <w:sz w:val="18"/>
                <w:szCs w:val="18"/>
                <w:lang w:val="en-CA" w:eastAsia="en-CA"/>
              </w:rPr>
            </w:pPr>
            <w:r w:rsidRPr="00A051CF">
              <w:rPr>
                <w:sz w:val="18"/>
                <w:szCs w:val="18"/>
                <w:lang w:val="en-CA" w:eastAsia="en-CA"/>
              </w:rPr>
              <w:t>47</w:t>
            </w:r>
            <w:r w:rsidR="00A86723">
              <w:rPr>
                <w:sz w:val="18"/>
                <w:szCs w:val="18"/>
                <w:lang w:val="en-CA" w:eastAsia="en-CA"/>
              </w:rPr>
              <w:t xml:space="preserve"> </w:t>
            </w:r>
            <w:r w:rsidRPr="00A051CF">
              <w:rPr>
                <w:sz w:val="18"/>
                <w:szCs w:val="18"/>
                <w:lang w:val="en-CA" w:eastAsia="en-CA"/>
              </w:rPr>
              <w:t>634</w:t>
            </w:r>
          </w:p>
        </w:tc>
        <w:tc>
          <w:tcPr>
            <w:tcW w:w="1134" w:type="dxa"/>
            <w:tcBorders>
              <w:top w:val="nil"/>
              <w:left w:val="nil"/>
              <w:bottom w:val="single" w:sz="4" w:space="0" w:color="auto"/>
              <w:right w:val="single" w:sz="4" w:space="0" w:color="auto"/>
            </w:tcBorders>
            <w:shd w:val="clear" w:color="auto" w:fill="auto"/>
            <w:noWrap/>
            <w:hideMark/>
          </w:tcPr>
          <w:p w14:paraId="7629D535"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7BFD230B"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2006B65C" w14:textId="77777777" w:rsidR="00A70444" w:rsidRPr="00A051CF" w:rsidRDefault="00A70444" w:rsidP="000B114B">
            <w:pPr>
              <w:jc w:val="left"/>
              <w:rPr>
                <w:sz w:val="18"/>
                <w:szCs w:val="18"/>
                <w:lang w:val="en-CA" w:eastAsia="en-CA"/>
              </w:rPr>
            </w:pPr>
            <w:r w:rsidRPr="00A051CF">
              <w:rPr>
                <w:sz w:val="18"/>
                <w:szCs w:val="18"/>
                <w:lang w:val="en-CA" w:eastAsia="en-CA"/>
              </w:rPr>
              <w:t>2013</w:t>
            </w:r>
          </w:p>
        </w:tc>
        <w:tc>
          <w:tcPr>
            <w:tcW w:w="1225" w:type="dxa"/>
            <w:tcBorders>
              <w:top w:val="nil"/>
              <w:left w:val="nil"/>
              <w:bottom w:val="single" w:sz="4" w:space="0" w:color="auto"/>
              <w:right w:val="single" w:sz="4" w:space="0" w:color="auto"/>
            </w:tcBorders>
            <w:shd w:val="clear" w:color="auto" w:fill="auto"/>
            <w:noWrap/>
            <w:hideMark/>
          </w:tcPr>
          <w:p w14:paraId="3C8EA2EA" w14:textId="77777777" w:rsidR="00A70444" w:rsidRPr="00A051CF" w:rsidRDefault="00A70444" w:rsidP="000B114B">
            <w:pPr>
              <w:jc w:val="right"/>
              <w:rPr>
                <w:sz w:val="18"/>
                <w:szCs w:val="18"/>
                <w:lang w:val="en-CA" w:eastAsia="en-CA"/>
              </w:rPr>
            </w:pPr>
            <w:r w:rsidRPr="00A051CF">
              <w:rPr>
                <w:sz w:val="18"/>
                <w:szCs w:val="18"/>
                <w:lang w:val="en-CA" w:eastAsia="en-CA"/>
              </w:rPr>
              <w:t>7</w:t>
            </w:r>
          </w:p>
        </w:tc>
        <w:tc>
          <w:tcPr>
            <w:tcW w:w="1077" w:type="dxa"/>
            <w:tcBorders>
              <w:top w:val="nil"/>
              <w:left w:val="nil"/>
              <w:bottom w:val="single" w:sz="4" w:space="0" w:color="auto"/>
              <w:right w:val="single" w:sz="4" w:space="0" w:color="auto"/>
            </w:tcBorders>
            <w:shd w:val="clear" w:color="auto" w:fill="auto"/>
            <w:noWrap/>
            <w:hideMark/>
          </w:tcPr>
          <w:p w14:paraId="470CCD63" w14:textId="77777777" w:rsidR="00A70444" w:rsidRPr="00A051CF" w:rsidRDefault="00A70444" w:rsidP="000B114B">
            <w:pPr>
              <w:jc w:val="right"/>
              <w:rPr>
                <w:sz w:val="18"/>
                <w:szCs w:val="18"/>
                <w:lang w:val="en-CA" w:eastAsia="en-CA"/>
              </w:rPr>
            </w:pPr>
            <w:r w:rsidRPr="00A051CF">
              <w:rPr>
                <w:sz w:val="18"/>
                <w:szCs w:val="18"/>
                <w:lang w:val="en-CA" w:eastAsia="en-CA"/>
              </w:rPr>
              <w:t>5</w:t>
            </w:r>
          </w:p>
        </w:tc>
        <w:tc>
          <w:tcPr>
            <w:tcW w:w="1163" w:type="dxa"/>
            <w:tcBorders>
              <w:top w:val="nil"/>
              <w:left w:val="nil"/>
              <w:bottom w:val="single" w:sz="4" w:space="0" w:color="auto"/>
              <w:right w:val="single" w:sz="4" w:space="0" w:color="auto"/>
            </w:tcBorders>
            <w:shd w:val="clear" w:color="auto" w:fill="auto"/>
            <w:noWrap/>
            <w:hideMark/>
          </w:tcPr>
          <w:p w14:paraId="51303BC3" w14:textId="77777777" w:rsidR="00A70444" w:rsidRPr="00A051CF" w:rsidRDefault="00A70444" w:rsidP="000B114B">
            <w:pPr>
              <w:jc w:val="right"/>
              <w:rPr>
                <w:sz w:val="18"/>
                <w:szCs w:val="18"/>
                <w:lang w:val="en-CA" w:eastAsia="en-CA"/>
              </w:rPr>
            </w:pPr>
            <w:r w:rsidRPr="00A051CF">
              <w:rPr>
                <w:sz w:val="18"/>
                <w:szCs w:val="18"/>
                <w:lang w:val="en-CA" w:eastAsia="en-CA"/>
              </w:rPr>
              <w:t>71</w:t>
            </w:r>
          </w:p>
        </w:tc>
        <w:tc>
          <w:tcPr>
            <w:tcW w:w="1466" w:type="dxa"/>
            <w:tcBorders>
              <w:top w:val="nil"/>
              <w:left w:val="nil"/>
              <w:bottom w:val="single" w:sz="4" w:space="0" w:color="auto"/>
              <w:right w:val="single" w:sz="4" w:space="0" w:color="auto"/>
            </w:tcBorders>
            <w:shd w:val="clear" w:color="auto" w:fill="auto"/>
            <w:noWrap/>
            <w:hideMark/>
          </w:tcPr>
          <w:p w14:paraId="427177CA" w14:textId="289B4FDE" w:rsidR="00A70444" w:rsidRPr="00A051CF" w:rsidRDefault="00A70444" w:rsidP="000B114B">
            <w:pPr>
              <w:jc w:val="right"/>
              <w:rPr>
                <w:sz w:val="18"/>
                <w:szCs w:val="18"/>
                <w:lang w:val="en-CA" w:eastAsia="en-CA"/>
              </w:rPr>
            </w:pPr>
            <w:r w:rsidRPr="00A051CF">
              <w:rPr>
                <w:sz w:val="18"/>
                <w:szCs w:val="18"/>
                <w:lang w:val="en-CA" w:eastAsia="en-CA"/>
              </w:rPr>
              <w:t>43</w:t>
            </w:r>
            <w:r w:rsidR="00A86723">
              <w:rPr>
                <w:sz w:val="18"/>
                <w:szCs w:val="18"/>
                <w:lang w:val="en-CA" w:eastAsia="en-CA"/>
              </w:rPr>
              <w:t xml:space="preserve"> </w:t>
            </w:r>
            <w:r w:rsidRPr="00A051CF">
              <w:rPr>
                <w:sz w:val="18"/>
                <w:szCs w:val="18"/>
                <w:lang w:val="en-CA" w:eastAsia="en-CA"/>
              </w:rPr>
              <w:t>650</w:t>
            </w:r>
            <w:r w:rsidR="00A86723">
              <w:rPr>
                <w:sz w:val="18"/>
                <w:szCs w:val="18"/>
                <w:lang w:val="en-CA" w:eastAsia="en-CA"/>
              </w:rPr>
              <w:t xml:space="preserve"> </w:t>
            </w:r>
            <w:r w:rsidRPr="00A051CF">
              <w:rPr>
                <w:sz w:val="18"/>
                <w:szCs w:val="18"/>
                <w:lang w:val="en-CA" w:eastAsia="en-CA"/>
              </w:rPr>
              <w:t>189</w:t>
            </w:r>
          </w:p>
        </w:tc>
        <w:tc>
          <w:tcPr>
            <w:tcW w:w="1418" w:type="dxa"/>
            <w:tcBorders>
              <w:top w:val="nil"/>
              <w:left w:val="nil"/>
              <w:bottom w:val="single" w:sz="4" w:space="0" w:color="auto"/>
              <w:right w:val="single" w:sz="4" w:space="0" w:color="auto"/>
            </w:tcBorders>
            <w:shd w:val="clear" w:color="auto" w:fill="auto"/>
            <w:noWrap/>
            <w:hideMark/>
          </w:tcPr>
          <w:p w14:paraId="160D52F5" w14:textId="5101AAC4" w:rsidR="00A70444" w:rsidRPr="00A051CF" w:rsidRDefault="00A70444" w:rsidP="000B114B">
            <w:pPr>
              <w:jc w:val="right"/>
              <w:rPr>
                <w:sz w:val="18"/>
                <w:szCs w:val="18"/>
                <w:lang w:val="en-CA" w:eastAsia="en-CA"/>
              </w:rPr>
            </w:pPr>
            <w:r w:rsidRPr="00A051CF">
              <w:rPr>
                <w:sz w:val="18"/>
                <w:szCs w:val="18"/>
                <w:lang w:val="en-CA" w:eastAsia="en-CA"/>
              </w:rPr>
              <w:t>43</w:t>
            </w:r>
            <w:r w:rsidR="00A86723">
              <w:rPr>
                <w:sz w:val="18"/>
                <w:szCs w:val="18"/>
                <w:lang w:val="en-CA" w:eastAsia="en-CA"/>
              </w:rPr>
              <w:t xml:space="preserve"> </w:t>
            </w:r>
            <w:r w:rsidRPr="00A051CF">
              <w:rPr>
                <w:sz w:val="18"/>
                <w:szCs w:val="18"/>
                <w:lang w:val="en-CA" w:eastAsia="en-CA"/>
              </w:rPr>
              <w:t>581</w:t>
            </w:r>
            <w:r w:rsidR="00A86723">
              <w:rPr>
                <w:sz w:val="18"/>
                <w:szCs w:val="18"/>
                <w:lang w:val="en-CA" w:eastAsia="en-CA"/>
              </w:rPr>
              <w:t xml:space="preserve"> </w:t>
            </w:r>
            <w:r w:rsidRPr="00A051CF">
              <w:rPr>
                <w:sz w:val="18"/>
                <w:szCs w:val="18"/>
                <w:lang w:val="en-CA" w:eastAsia="en-CA"/>
              </w:rPr>
              <w:t>582</w:t>
            </w:r>
          </w:p>
        </w:tc>
        <w:tc>
          <w:tcPr>
            <w:tcW w:w="1185" w:type="dxa"/>
            <w:tcBorders>
              <w:top w:val="nil"/>
              <w:left w:val="nil"/>
              <w:bottom w:val="single" w:sz="4" w:space="0" w:color="auto"/>
              <w:right w:val="single" w:sz="4" w:space="0" w:color="auto"/>
            </w:tcBorders>
            <w:shd w:val="clear" w:color="auto" w:fill="auto"/>
            <w:noWrap/>
            <w:hideMark/>
          </w:tcPr>
          <w:p w14:paraId="18343AED" w14:textId="6721D862" w:rsidR="00A70444" w:rsidRPr="00A051CF" w:rsidRDefault="00A70444" w:rsidP="000B114B">
            <w:pPr>
              <w:jc w:val="right"/>
              <w:rPr>
                <w:sz w:val="18"/>
                <w:szCs w:val="18"/>
                <w:lang w:val="en-CA" w:eastAsia="en-CA"/>
              </w:rPr>
            </w:pPr>
            <w:r w:rsidRPr="00A051CF">
              <w:rPr>
                <w:sz w:val="18"/>
                <w:szCs w:val="18"/>
                <w:lang w:val="en-CA" w:eastAsia="en-CA"/>
              </w:rPr>
              <w:t>68</w:t>
            </w:r>
            <w:r w:rsidR="00A86723">
              <w:rPr>
                <w:sz w:val="18"/>
                <w:szCs w:val="18"/>
                <w:lang w:val="en-CA" w:eastAsia="en-CA"/>
              </w:rPr>
              <w:t xml:space="preserve"> </w:t>
            </w:r>
            <w:r w:rsidRPr="00A051CF">
              <w:rPr>
                <w:sz w:val="18"/>
                <w:szCs w:val="18"/>
                <w:lang w:val="en-CA" w:eastAsia="en-CA"/>
              </w:rPr>
              <w:t>607</w:t>
            </w:r>
          </w:p>
        </w:tc>
        <w:tc>
          <w:tcPr>
            <w:tcW w:w="1134" w:type="dxa"/>
            <w:tcBorders>
              <w:top w:val="nil"/>
              <w:left w:val="nil"/>
              <w:bottom w:val="single" w:sz="4" w:space="0" w:color="auto"/>
              <w:right w:val="single" w:sz="4" w:space="0" w:color="auto"/>
            </w:tcBorders>
            <w:shd w:val="clear" w:color="auto" w:fill="auto"/>
            <w:noWrap/>
            <w:hideMark/>
          </w:tcPr>
          <w:p w14:paraId="26C5593C"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7B22EB37"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39364B71" w14:textId="77777777" w:rsidR="00A70444" w:rsidRPr="00A051CF" w:rsidRDefault="00A70444" w:rsidP="000B114B">
            <w:pPr>
              <w:jc w:val="left"/>
              <w:rPr>
                <w:sz w:val="18"/>
                <w:szCs w:val="18"/>
                <w:lang w:val="en-CA" w:eastAsia="en-CA"/>
              </w:rPr>
            </w:pPr>
            <w:r w:rsidRPr="00A051CF">
              <w:rPr>
                <w:sz w:val="18"/>
                <w:szCs w:val="18"/>
                <w:lang w:val="en-CA" w:eastAsia="en-CA"/>
              </w:rPr>
              <w:t>2014</w:t>
            </w:r>
          </w:p>
        </w:tc>
        <w:tc>
          <w:tcPr>
            <w:tcW w:w="1225" w:type="dxa"/>
            <w:tcBorders>
              <w:top w:val="nil"/>
              <w:left w:val="nil"/>
              <w:bottom w:val="single" w:sz="4" w:space="0" w:color="auto"/>
              <w:right w:val="single" w:sz="4" w:space="0" w:color="auto"/>
            </w:tcBorders>
            <w:shd w:val="clear" w:color="auto" w:fill="auto"/>
            <w:noWrap/>
            <w:hideMark/>
          </w:tcPr>
          <w:p w14:paraId="72F8FDFF" w14:textId="77777777" w:rsidR="00A70444" w:rsidRPr="00A051CF" w:rsidRDefault="00A70444" w:rsidP="000B114B">
            <w:pPr>
              <w:jc w:val="right"/>
              <w:rPr>
                <w:sz w:val="18"/>
                <w:szCs w:val="18"/>
                <w:lang w:val="en-CA" w:eastAsia="en-CA"/>
              </w:rPr>
            </w:pPr>
            <w:r w:rsidRPr="00A051CF">
              <w:rPr>
                <w:sz w:val="18"/>
                <w:szCs w:val="18"/>
                <w:lang w:val="en-CA" w:eastAsia="en-CA"/>
              </w:rPr>
              <w:t>13</w:t>
            </w:r>
          </w:p>
        </w:tc>
        <w:tc>
          <w:tcPr>
            <w:tcW w:w="1077" w:type="dxa"/>
            <w:tcBorders>
              <w:top w:val="nil"/>
              <w:left w:val="nil"/>
              <w:bottom w:val="single" w:sz="4" w:space="0" w:color="auto"/>
              <w:right w:val="single" w:sz="4" w:space="0" w:color="auto"/>
            </w:tcBorders>
            <w:shd w:val="clear" w:color="auto" w:fill="auto"/>
            <w:noWrap/>
            <w:hideMark/>
          </w:tcPr>
          <w:p w14:paraId="55351892" w14:textId="77777777" w:rsidR="00A70444" w:rsidRPr="00A051CF" w:rsidRDefault="00A70444" w:rsidP="000B114B">
            <w:pPr>
              <w:jc w:val="right"/>
              <w:rPr>
                <w:sz w:val="18"/>
                <w:szCs w:val="18"/>
                <w:lang w:val="en-CA" w:eastAsia="en-CA"/>
              </w:rPr>
            </w:pPr>
            <w:r w:rsidRPr="00A051CF">
              <w:rPr>
                <w:sz w:val="18"/>
                <w:szCs w:val="18"/>
                <w:lang w:val="en-CA" w:eastAsia="en-CA"/>
              </w:rPr>
              <w:t>12</w:t>
            </w:r>
          </w:p>
        </w:tc>
        <w:tc>
          <w:tcPr>
            <w:tcW w:w="1163" w:type="dxa"/>
            <w:tcBorders>
              <w:top w:val="nil"/>
              <w:left w:val="nil"/>
              <w:bottom w:val="single" w:sz="4" w:space="0" w:color="auto"/>
              <w:right w:val="single" w:sz="4" w:space="0" w:color="auto"/>
            </w:tcBorders>
            <w:shd w:val="clear" w:color="auto" w:fill="auto"/>
            <w:noWrap/>
            <w:hideMark/>
          </w:tcPr>
          <w:p w14:paraId="70FC7978" w14:textId="77777777" w:rsidR="00A70444" w:rsidRPr="00A051CF" w:rsidRDefault="00A70444" w:rsidP="000B114B">
            <w:pPr>
              <w:jc w:val="right"/>
              <w:rPr>
                <w:sz w:val="18"/>
                <w:szCs w:val="18"/>
                <w:lang w:val="en-CA" w:eastAsia="en-CA"/>
              </w:rPr>
            </w:pPr>
            <w:r w:rsidRPr="00A051CF">
              <w:rPr>
                <w:sz w:val="18"/>
                <w:szCs w:val="18"/>
                <w:lang w:val="en-CA" w:eastAsia="en-CA"/>
              </w:rPr>
              <w:t>92</w:t>
            </w:r>
          </w:p>
        </w:tc>
        <w:tc>
          <w:tcPr>
            <w:tcW w:w="1466" w:type="dxa"/>
            <w:tcBorders>
              <w:top w:val="nil"/>
              <w:left w:val="nil"/>
              <w:bottom w:val="single" w:sz="4" w:space="0" w:color="auto"/>
              <w:right w:val="single" w:sz="4" w:space="0" w:color="auto"/>
            </w:tcBorders>
            <w:shd w:val="clear" w:color="auto" w:fill="auto"/>
            <w:noWrap/>
            <w:hideMark/>
          </w:tcPr>
          <w:p w14:paraId="20CCE808" w14:textId="6C60A401" w:rsidR="00A70444" w:rsidRPr="00A051CF" w:rsidRDefault="00A70444" w:rsidP="000B114B">
            <w:pPr>
              <w:jc w:val="right"/>
              <w:rPr>
                <w:sz w:val="18"/>
                <w:szCs w:val="18"/>
                <w:lang w:val="en-CA" w:eastAsia="en-CA"/>
              </w:rPr>
            </w:pPr>
            <w:r w:rsidRPr="00A051CF">
              <w:rPr>
                <w:sz w:val="18"/>
                <w:szCs w:val="18"/>
                <w:lang w:val="en-CA" w:eastAsia="en-CA"/>
              </w:rPr>
              <w:t>28</w:t>
            </w:r>
            <w:r w:rsidR="00A86723">
              <w:rPr>
                <w:sz w:val="18"/>
                <w:szCs w:val="18"/>
                <w:lang w:val="en-CA" w:eastAsia="en-CA"/>
              </w:rPr>
              <w:t xml:space="preserve"> </w:t>
            </w:r>
            <w:r w:rsidRPr="00A051CF">
              <w:rPr>
                <w:sz w:val="18"/>
                <w:szCs w:val="18"/>
                <w:lang w:val="en-CA" w:eastAsia="en-CA"/>
              </w:rPr>
              <w:t>346</w:t>
            </w:r>
            <w:r w:rsidR="00A86723">
              <w:rPr>
                <w:sz w:val="18"/>
                <w:szCs w:val="18"/>
                <w:lang w:val="en-CA" w:eastAsia="en-CA"/>
              </w:rPr>
              <w:t xml:space="preserve"> </w:t>
            </w:r>
            <w:r w:rsidRPr="00A051CF">
              <w:rPr>
                <w:sz w:val="18"/>
                <w:szCs w:val="18"/>
                <w:lang w:val="en-CA" w:eastAsia="en-CA"/>
              </w:rPr>
              <w:t>333</w:t>
            </w:r>
          </w:p>
        </w:tc>
        <w:tc>
          <w:tcPr>
            <w:tcW w:w="1418" w:type="dxa"/>
            <w:tcBorders>
              <w:top w:val="nil"/>
              <w:left w:val="nil"/>
              <w:bottom w:val="single" w:sz="4" w:space="0" w:color="auto"/>
              <w:right w:val="single" w:sz="4" w:space="0" w:color="auto"/>
            </w:tcBorders>
            <w:shd w:val="clear" w:color="auto" w:fill="auto"/>
            <w:noWrap/>
            <w:hideMark/>
          </w:tcPr>
          <w:p w14:paraId="6FEE430F" w14:textId="3FC003EA" w:rsidR="00A70444" w:rsidRPr="00A051CF" w:rsidRDefault="00A70444" w:rsidP="000B114B">
            <w:pPr>
              <w:jc w:val="right"/>
              <w:rPr>
                <w:sz w:val="18"/>
                <w:szCs w:val="18"/>
                <w:lang w:val="en-CA" w:eastAsia="en-CA"/>
              </w:rPr>
            </w:pPr>
            <w:r w:rsidRPr="00A051CF">
              <w:rPr>
                <w:sz w:val="18"/>
                <w:szCs w:val="18"/>
                <w:lang w:val="en-CA" w:eastAsia="en-CA"/>
              </w:rPr>
              <w:t>28</w:t>
            </w:r>
            <w:r w:rsidR="00A86723">
              <w:rPr>
                <w:sz w:val="18"/>
                <w:szCs w:val="18"/>
                <w:lang w:val="en-CA" w:eastAsia="en-CA"/>
              </w:rPr>
              <w:t xml:space="preserve"> </w:t>
            </w:r>
            <w:r w:rsidRPr="00A051CF">
              <w:rPr>
                <w:sz w:val="18"/>
                <w:szCs w:val="18"/>
                <w:lang w:val="en-CA" w:eastAsia="en-CA"/>
              </w:rPr>
              <w:t>346</w:t>
            </w:r>
            <w:r w:rsidR="00A86723">
              <w:rPr>
                <w:sz w:val="18"/>
                <w:szCs w:val="18"/>
                <w:lang w:val="en-CA" w:eastAsia="en-CA"/>
              </w:rPr>
              <w:t xml:space="preserve"> </w:t>
            </w:r>
            <w:r w:rsidRPr="00A051CF">
              <w:rPr>
                <w:sz w:val="18"/>
                <w:szCs w:val="18"/>
                <w:lang w:val="en-CA" w:eastAsia="en-CA"/>
              </w:rPr>
              <w:t>333</w:t>
            </w:r>
          </w:p>
        </w:tc>
        <w:tc>
          <w:tcPr>
            <w:tcW w:w="1185" w:type="dxa"/>
            <w:tcBorders>
              <w:top w:val="nil"/>
              <w:left w:val="nil"/>
              <w:bottom w:val="single" w:sz="4" w:space="0" w:color="auto"/>
              <w:right w:val="single" w:sz="4" w:space="0" w:color="auto"/>
            </w:tcBorders>
            <w:shd w:val="clear" w:color="auto" w:fill="auto"/>
            <w:noWrap/>
            <w:hideMark/>
          </w:tcPr>
          <w:p w14:paraId="228F9395"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791D7BCA"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68724A61"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05A6A07C" w14:textId="77777777" w:rsidR="00A70444" w:rsidRPr="00A051CF" w:rsidRDefault="00A70444" w:rsidP="000B114B">
            <w:pPr>
              <w:jc w:val="left"/>
              <w:rPr>
                <w:sz w:val="18"/>
                <w:szCs w:val="18"/>
                <w:lang w:val="en-CA" w:eastAsia="en-CA"/>
              </w:rPr>
            </w:pPr>
            <w:r w:rsidRPr="00A051CF">
              <w:rPr>
                <w:sz w:val="18"/>
                <w:szCs w:val="18"/>
                <w:lang w:val="en-CA" w:eastAsia="en-CA"/>
              </w:rPr>
              <w:t>2015</w:t>
            </w:r>
          </w:p>
        </w:tc>
        <w:tc>
          <w:tcPr>
            <w:tcW w:w="1225" w:type="dxa"/>
            <w:tcBorders>
              <w:top w:val="nil"/>
              <w:left w:val="nil"/>
              <w:bottom w:val="single" w:sz="4" w:space="0" w:color="auto"/>
              <w:right w:val="single" w:sz="4" w:space="0" w:color="auto"/>
            </w:tcBorders>
            <w:shd w:val="clear" w:color="auto" w:fill="auto"/>
            <w:noWrap/>
            <w:hideMark/>
          </w:tcPr>
          <w:p w14:paraId="64676021" w14:textId="77777777" w:rsidR="00A70444" w:rsidRPr="00A051CF" w:rsidRDefault="00A70444" w:rsidP="000B114B">
            <w:pPr>
              <w:jc w:val="right"/>
              <w:rPr>
                <w:sz w:val="18"/>
                <w:szCs w:val="18"/>
                <w:lang w:val="en-CA" w:eastAsia="en-CA"/>
              </w:rPr>
            </w:pPr>
            <w:r w:rsidRPr="00A051CF">
              <w:rPr>
                <w:sz w:val="18"/>
                <w:szCs w:val="18"/>
                <w:lang w:val="en-CA" w:eastAsia="en-CA"/>
              </w:rPr>
              <w:t>13</w:t>
            </w:r>
          </w:p>
        </w:tc>
        <w:tc>
          <w:tcPr>
            <w:tcW w:w="1077" w:type="dxa"/>
            <w:tcBorders>
              <w:top w:val="nil"/>
              <w:left w:val="nil"/>
              <w:bottom w:val="single" w:sz="4" w:space="0" w:color="auto"/>
              <w:right w:val="single" w:sz="4" w:space="0" w:color="auto"/>
            </w:tcBorders>
            <w:shd w:val="clear" w:color="auto" w:fill="auto"/>
            <w:noWrap/>
            <w:hideMark/>
          </w:tcPr>
          <w:p w14:paraId="6CDFBCD5" w14:textId="77777777" w:rsidR="00A70444" w:rsidRPr="00A051CF" w:rsidRDefault="00A70444" w:rsidP="000B114B">
            <w:pPr>
              <w:jc w:val="right"/>
              <w:rPr>
                <w:sz w:val="18"/>
                <w:szCs w:val="18"/>
                <w:lang w:val="en-CA" w:eastAsia="en-CA"/>
              </w:rPr>
            </w:pPr>
            <w:r w:rsidRPr="00A051CF">
              <w:rPr>
                <w:sz w:val="18"/>
                <w:szCs w:val="18"/>
                <w:lang w:val="en-CA" w:eastAsia="en-CA"/>
              </w:rPr>
              <w:t>11</w:t>
            </w:r>
          </w:p>
        </w:tc>
        <w:tc>
          <w:tcPr>
            <w:tcW w:w="1163" w:type="dxa"/>
            <w:tcBorders>
              <w:top w:val="nil"/>
              <w:left w:val="nil"/>
              <w:bottom w:val="single" w:sz="4" w:space="0" w:color="auto"/>
              <w:right w:val="single" w:sz="4" w:space="0" w:color="auto"/>
            </w:tcBorders>
            <w:shd w:val="clear" w:color="auto" w:fill="auto"/>
            <w:noWrap/>
            <w:hideMark/>
          </w:tcPr>
          <w:p w14:paraId="5E5C3854" w14:textId="77777777" w:rsidR="00A70444" w:rsidRPr="00A051CF" w:rsidRDefault="00A70444" w:rsidP="000B114B">
            <w:pPr>
              <w:jc w:val="right"/>
              <w:rPr>
                <w:sz w:val="18"/>
                <w:szCs w:val="18"/>
                <w:lang w:val="en-CA" w:eastAsia="en-CA"/>
              </w:rPr>
            </w:pPr>
            <w:r w:rsidRPr="00A051CF">
              <w:rPr>
                <w:sz w:val="18"/>
                <w:szCs w:val="18"/>
                <w:lang w:val="en-CA" w:eastAsia="en-CA"/>
              </w:rPr>
              <w:t>85</w:t>
            </w:r>
          </w:p>
        </w:tc>
        <w:tc>
          <w:tcPr>
            <w:tcW w:w="1466" w:type="dxa"/>
            <w:tcBorders>
              <w:top w:val="nil"/>
              <w:left w:val="nil"/>
              <w:bottom w:val="single" w:sz="4" w:space="0" w:color="auto"/>
              <w:right w:val="single" w:sz="4" w:space="0" w:color="auto"/>
            </w:tcBorders>
            <w:shd w:val="clear" w:color="auto" w:fill="auto"/>
            <w:noWrap/>
            <w:hideMark/>
          </w:tcPr>
          <w:p w14:paraId="12E9DF96" w14:textId="68B64737" w:rsidR="00A70444" w:rsidRPr="00A051CF" w:rsidRDefault="00A70444" w:rsidP="000B114B">
            <w:pPr>
              <w:jc w:val="right"/>
              <w:rPr>
                <w:sz w:val="18"/>
                <w:szCs w:val="18"/>
                <w:lang w:val="en-CA" w:eastAsia="en-CA"/>
              </w:rPr>
            </w:pPr>
            <w:r w:rsidRPr="00A051CF">
              <w:rPr>
                <w:sz w:val="18"/>
                <w:szCs w:val="18"/>
                <w:lang w:val="en-CA" w:eastAsia="en-CA"/>
              </w:rPr>
              <w:t>69</w:t>
            </w:r>
            <w:r w:rsidR="00A86723">
              <w:rPr>
                <w:sz w:val="18"/>
                <w:szCs w:val="18"/>
                <w:lang w:val="en-CA" w:eastAsia="en-CA"/>
              </w:rPr>
              <w:t xml:space="preserve"> </w:t>
            </w:r>
            <w:r w:rsidRPr="00A051CF">
              <w:rPr>
                <w:sz w:val="18"/>
                <w:szCs w:val="18"/>
                <w:lang w:val="en-CA" w:eastAsia="en-CA"/>
              </w:rPr>
              <w:t>350</w:t>
            </w:r>
            <w:r w:rsidR="00A86723">
              <w:rPr>
                <w:sz w:val="18"/>
                <w:szCs w:val="18"/>
                <w:lang w:val="en-CA" w:eastAsia="en-CA"/>
              </w:rPr>
              <w:t xml:space="preserve"> </w:t>
            </w:r>
            <w:r w:rsidRPr="00A051CF">
              <w:rPr>
                <w:sz w:val="18"/>
                <w:szCs w:val="18"/>
                <w:lang w:val="en-CA" w:eastAsia="en-CA"/>
              </w:rPr>
              <w:t>804</w:t>
            </w:r>
          </w:p>
        </w:tc>
        <w:tc>
          <w:tcPr>
            <w:tcW w:w="1418" w:type="dxa"/>
            <w:tcBorders>
              <w:top w:val="nil"/>
              <w:left w:val="nil"/>
              <w:bottom w:val="single" w:sz="4" w:space="0" w:color="auto"/>
              <w:right w:val="single" w:sz="4" w:space="0" w:color="auto"/>
            </w:tcBorders>
            <w:shd w:val="clear" w:color="auto" w:fill="auto"/>
            <w:noWrap/>
            <w:hideMark/>
          </w:tcPr>
          <w:p w14:paraId="313334A4" w14:textId="78ED7822" w:rsidR="00A70444" w:rsidRPr="00A051CF" w:rsidRDefault="00A70444" w:rsidP="000B114B">
            <w:pPr>
              <w:jc w:val="right"/>
              <w:rPr>
                <w:sz w:val="18"/>
                <w:szCs w:val="18"/>
                <w:lang w:val="en-CA" w:eastAsia="en-CA"/>
              </w:rPr>
            </w:pPr>
            <w:r w:rsidRPr="00A051CF">
              <w:rPr>
                <w:sz w:val="18"/>
                <w:szCs w:val="18"/>
                <w:lang w:val="en-CA" w:eastAsia="en-CA"/>
              </w:rPr>
              <w:t>69</w:t>
            </w:r>
            <w:r w:rsidR="00A86723">
              <w:rPr>
                <w:sz w:val="18"/>
                <w:szCs w:val="18"/>
                <w:lang w:val="en-CA" w:eastAsia="en-CA"/>
              </w:rPr>
              <w:t xml:space="preserve"> </w:t>
            </w:r>
            <w:r w:rsidRPr="00A051CF">
              <w:rPr>
                <w:sz w:val="18"/>
                <w:szCs w:val="18"/>
                <w:lang w:val="en-CA" w:eastAsia="en-CA"/>
              </w:rPr>
              <w:t>344</w:t>
            </w:r>
            <w:r w:rsidR="00A86723">
              <w:rPr>
                <w:sz w:val="18"/>
                <w:szCs w:val="18"/>
                <w:lang w:val="en-CA" w:eastAsia="en-CA"/>
              </w:rPr>
              <w:t xml:space="preserve"> </w:t>
            </w:r>
            <w:r w:rsidRPr="00A051CF">
              <w:rPr>
                <w:sz w:val="18"/>
                <w:szCs w:val="18"/>
                <w:lang w:val="en-CA" w:eastAsia="en-CA"/>
              </w:rPr>
              <w:t>529</w:t>
            </w:r>
          </w:p>
        </w:tc>
        <w:tc>
          <w:tcPr>
            <w:tcW w:w="1185" w:type="dxa"/>
            <w:tcBorders>
              <w:top w:val="nil"/>
              <w:left w:val="nil"/>
              <w:bottom w:val="single" w:sz="4" w:space="0" w:color="auto"/>
              <w:right w:val="single" w:sz="4" w:space="0" w:color="auto"/>
            </w:tcBorders>
            <w:shd w:val="clear" w:color="auto" w:fill="auto"/>
            <w:noWrap/>
            <w:hideMark/>
          </w:tcPr>
          <w:p w14:paraId="1477456E" w14:textId="6A1402FE" w:rsidR="00A70444" w:rsidRPr="00A051CF" w:rsidRDefault="00A70444" w:rsidP="000B114B">
            <w:pPr>
              <w:jc w:val="right"/>
              <w:rPr>
                <w:sz w:val="18"/>
                <w:szCs w:val="18"/>
                <w:lang w:val="en-CA" w:eastAsia="en-CA"/>
              </w:rPr>
            </w:pPr>
            <w:r w:rsidRPr="00A051CF">
              <w:rPr>
                <w:sz w:val="18"/>
                <w:szCs w:val="18"/>
                <w:lang w:val="en-CA" w:eastAsia="en-CA"/>
              </w:rPr>
              <w:t>6</w:t>
            </w:r>
            <w:r w:rsidR="00A86723">
              <w:rPr>
                <w:sz w:val="18"/>
                <w:szCs w:val="18"/>
                <w:lang w:val="en-CA" w:eastAsia="en-CA"/>
              </w:rPr>
              <w:t xml:space="preserve"> </w:t>
            </w:r>
            <w:r w:rsidRPr="00A051CF">
              <w:rPr>
                <w:sz w:val="18"/>
                <w:szCs w:val="18"/>
                <w:lang w:val="en-CA" w:eastAsia="en-CA"/>
              </w:rPr>
              <w:t>275</w:t>
            </w:r>
          </w:p>
        </w:tc>
        <w:tc>
          <w:tcPr>
            <w:tcW w:w="1134" w:type="dxa"/>
            <w:tcBorders>
              <w:top w:val="nil"/>
              <w:left w:val="nil"/>
              <w:bottom w:val="single" w:sz="4" w:space="0" w:color="auto"/>
              <w:right w:val="single" w:sz="4" w:space="0" w:color="auto"/>
            </w:tcBorders>
            <w:shd w:val="clear" w:color="auto" w:fill="auto"/>
            <w:noWrap/>
            <w:hideMark/>
          </w:tcPr>
          <w:p w14:paraId="3EAF5C3C" w14:textId="77777777" w:rsidR="00A70444" w:rsidRPr="00A051CF" w:rsidRDefault="00A70444" w:rsidP="000B114B">
            <w:pPr>
              <w:jc w:val="right"/>
              <w:rPr>
                <w:sz w:val="18"/>
                <w:szCs w:val="18"/>
                <w:lang w:val="en-CA" w:eastAsia="en-CA"/>
              </w:rPr>
            </w:pPr>
            <w:r w:rsidRPr="00A051CF">
              <w:rPr>
                <w:sz w:val="18"/>
                <w:szCs w:val="18"/>
                <w:lang w:val="en-CA" w:eastAsia="en-CA"/>
              </w:rPr>
              <w:t>100</w:t>
            </w:r>
          </w:p>
        </w:tc>
      </w:tr>
      <w:tr w:rsidR="00A70444" w:rsidRPr="00A051CF" w14:paraId="0E991D0F"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039C4A40" w14:textId="77777777" w:rsidR="00A70444" w:rsidRPr="00A051CF" w:rsidRDefault="00A70444" w:rsidP="000B114B">
            <w:pPr>
              <w:jc w:val="left"/>
              <w:rPr>
                <w:sz w:val="18"/>
                <w:szCs w:val="18"/>
                <w:lang w:val="en-CA" w:eastAsia="en-CA"/>
              </w:rPr>
            </w:pPr>
            <w:r w:rsidRPr="00A051CF">
              <w:rPr>
                <w:sz w:val="18"/>
                <w:szCs w:val="18"/>
                <w:lang w:val="en-CA" w:eastAsia="en-CA"/>
              </w:rPr>
              <w:t>2016</w:t>
            </w:r>
          </w:p>
        </w:tc>
        <w:tc>
          <w:tcPr>
            <w:tcW w:w="1225" w:type="dxa"/>
            <w:tcBorders>
              <w:top w:val="nil"/>
              <w:left w:val="nil"/>
              <w:bottom w:val="single" w:sz="4" w:space="0" w:color="auto"/>
              <w:right w:val="single" w:sz="4" w:space="0" w:color="auto"/>
            </w:tcBorders>
            <w:shd w:val="clear" w:color="auto" w:fill="auto"/>
            <w:noWrap/>
            <w:hideMark/>
          </w:tcPr>
          <w:p w14:paraId="1DD93904" w14:textId="77777777" w:rsidR="00A70444" w:rsidRPr="00A051CF" w:rsidRDefault="00A70444" w:rsidP="000B114B">
            <w:pPr>
              <w:jc w:val="right"/>
              <w:rPr>
                <w:sz w:val="18"/>
                <w:szCs w:val="18"/>
                <w:lang w:val="en-CA" w:eastAsia="en-CA"/>
              </w:rPr>
            </w:pPr>
            <w:r w:rsidRPr="00A051CF">
              <w:rPr>
                <w:sz w:val="18"/>
                <w:szCs w:val="18"/>
                <w:lang w:val="en-CA" w:eastAsia="en-CA"/>
              </w:rPr>
              <w:t>18</w:t>
            </w:r>
          </w:p>
        </w:tc>
        <w:tc>
          <w:tcPr>
            <w:tcW w:w="1077" w:type="dxa"/>
            <w:tcBorders>
              <w:top w:val="nil"/>
              <w:left w:val="nil"/>
              <w:bottom w:val="single" w:sz="4" w:space="0" w:color="auto"/>
              <w:right w:val="single" w:sz="4" w:space="0" w:color="auto"/>
            </w:tcBorders>
            <w:shd w:val="clear" w:color="auto" w:fill="auto"/>
            <w:noWrap/>
            <w:hideMark/>
          </w:tcPr>
          <w:p w14:paraId="316D1809" w14:textId="77777777" w:rsidR="00A70444" w:rsidRPr="00A051CF" w:rsidRDefault="00A70444" w:rsidP="000B114B">
            <w:pPr>
              <w:jc w:val="right"/>
              <w:rPr>
                <w:sz w:val="18"/>
                <w:szCs w:val="18"/>
                <w:lang w:val="en-CA" w:eastAsia="en-CA"/>
              </w:rPr>
            </w:pPr>
            <w:r w:rsidRPr="00A051CF">
              <w:rPr>
                <w:sz w:val="18"/>
                <w:szCs w:val="18"/>
                <w:lang w:val="en-CA" w:eastAsia="en-CA"/>
              </w:rPr>
              <w:t>12</w:t>
            </w:r>
          </w:p>
        </w:tc>
        <w:tc>
          <w:tcPr>
            <w:tcW w:w="1163" w:type="dxa"/>
            <w:tcBorders>
              <w:top w:val="nil"/>
              <w:left w:val="nil"/>
              <w:bottom w:val="single" w:sz="4" w:space="0" w:color="auto"/>
              <w:right w:val="single" w:sz="4" w:space="0" w:color="auto"/>
            </w:tcBorders>
            <w:shd w:val="clear" w:color="auto" w:fill="auto"/>
            <w:noWrap/>
            <w:hideMark/>
          </w:tcPr>
          <w:p w14:paraId="413FD2FB" w14:textId="77777777" w:rsidR="00A70444" w:rsidRPr="00A051CF" w:rsidRDefault="00A70444" w:rsidP="000B114B">
            <w:pPr>
              <w:jc w:val="right"/>
              <w:rPr>
                <w:sz w:val="18"/>
                <w:szCs w:val="18"/>
                <w:lang w:val="en-CA" w:eastAsia="en-CA"/>
              </w:rPr>
            </w:pPr>
            <w:r w:rsidRPr="00A051CF">
              <w:rPr>
                <w:sz w:val="18"/>
                <w:szCs w:val="18"/>
                <w:lang w:val="en-CA" w:eastAsia="en-CA"/>
              </w:rPr>
              <w:t>67</w:t>
            </w:r>
          </w:p>
        </w:tc>
        <w:tc>
          <w:tcPr>
            <w:tcW w:w="1466" w:type="dxa"/>
            <w:tcBorders>
              <w:top w:val="nil"/>
              <w:left w:val="nil"/>
              <w:bottom w:val="single" w:sz="4" w:space="0" w:color="auto"/>
              <w:right w:val="single" w:sz="4" w:space="0" w:color="auto"/>
            </w:tcBorders>
            <w:shd w:val="clear" w:color="auto" w:fill="auto"/>
            <w:noWrap/>
            <w:hideMark/>
          </w:tcPr>
          <w:p w14:paraId="488DCC7D" w14:textId="46DBAE15" w:rsidR="00A70444" w:rsidRPr="00A051CF" w:rsidRDefault="00A70444" w:rsidP="000B114B">
            <w:pPr>
              <w:jc w:val="right"/>
              <w:rPr>
                <w:sz w:val="18"/>
                <w:szCs w:val="18"/>
                <w:lang w:val="en-CA" w:eastAsia="en-CA"/>
              </w:rPr>
            </w:pPr>
            <w:r w:rsidRPr="00A051CF">
              <w:rPr>
                <w:sz w:val="18"/>
                <w:szCs w:val="18"/>
                <w:lang w:val="en-CA" w:eastAsia="en-CA"/>
              </w:rPr>
              <w:t>12</w:t>
            </w:r>
            <w:r w:rsidR="00A86723">
              <w:rPr>
                <w:sz w:val="18"/>
                <w:szCs w:val="18"/>
                <w:lang w:val="en-CA" w:eastAsia="en-CA"/>
              </w:rPr>
              <w:t xml:space="preserve"> </w:t>
            </w:r>
            <w:r w:rsidRPr="00A051CF">
              <w:rPr>
                <w:sz w:val="18"/>
                <w:szCs w:val="18"/>
                <w:lang w:val="en-CA" w:eastAsia="en-CA"/>
              </w:rPr>
              <w:t>894</w:t>
            </w:r>
            <w:r w:rsidR="00A86723">
              <w:rPr>
                <w:sz w:val="18"/>
                <w:szCs w:val="18"/>
                <w:lang w:val="en-CA" w:eastAsia="en-CA"/>
              </w:rPr>
              <w:t xml:space="preserve"> </w:t>
            </w:r>
            <w:r w:rsidRPr="00A051CF">
              <w:rPr>
                <w:sz w:val="18"/>
                <w:szCs w:val="18"/>
                <w:lang w:val="en-CA" w:eastAsia="en-CA"/>
              </w:rPr>
              <w:t>457</w:t>
            </w:r>
          </w:p>
        </w:tc>
        <w:tc>
          <w:tcPr>
            <w:tcW w:w="1418" w:type="dxa"/>
            <w:tcBorders>
              <w:top w:val="nil"/>
              <w:left w:val="nil"/>
              <w:bottom w:val="single" w:sz="4" w:space="0" w:color="auto"/>
              <w:right w:val="single" w:sz="4" w:space="0" w:color="auto"/>
            </w:tcBorders>
            <w:shd w:val="clear" w:color="auto" w:fill="auto"/>
            <w:noWrap/>
            <w:hideMark/>
          </w:tcPr>
          <w:p w14:paraId="02EAA112" w14:textId="20E6F76D" w:rsidR="00A70444" w:rsidRPr="00A051CF" w:rsidRDefault="00A70444" w:rsidP="000B114B">
            <w:pPr>
              <w:jc w:val="right"/>
              <w:rPr>
                <w:sz w:val="18"/>
                <w:szCs w:val="18"/>
                <w:lang w:val="en-CA" w:eastAsia="en-CA"/>
              </w:rPr>
            </w:pPr>
            <w:r w:rsidRPr="00A051CF">
              <w:rPr>
                <w:sz w:val="18"/>
                <w:szCs w:val="18"/>
                <w:lang w:val="en-CA" w:eastAsia="en-CA"/>
              </w:rPr>
              <w:t>4</w:t>
            </w:r>
            <w:r w:rsidR="00A86723">
              <w:rPr>
                <w:sz w:val="18"/>
                <w:szCs w:val="18"/>
                <w:lang w:val="en-CA" w:eastAsia="en-CA"/>
              </w:rPr>
              <w:t xml:space="preserve"> </w:t>
            </w:r>
            <w:r w:rsidRPr="00A051CF">
              <w:rPr>
                <w:sz w:val="18"/>
                <w:szCs w:val="18"/>
                <w:lang w:val="en-CA" w:eastAsia="en-CA"/>
              </w:rPr>
              <w:t>515</w:t>
            </w:r>
            <w:r w:rsidR="00A86723">
              <w:rPr>
                <w:sz w:val="18"/>
                <w:szCs w:val="18"/>
                <w:lang w:val="en-CA" w:eastAsia="en-CA"/>
              </w:rPr>
              <w:t xml:space="preserve"> </w:t>
            </w:r>
            <w:r w:rsidRPr="00A051CF">
              <w:rPr>
                <w:sz w:val="18"/>
                <w:szCs w:val="18"/>
                <w:lang w:val="en-CA" w:eastAsia="en-CA"/>
              </w:rPr>
              <w:t>974</w:t>
            </w:r>
          </w:p>
        </w:tc>
        <w:tc>
          <w:tcPr>
            <w:tcW w:w="1185" w:type="dxa"/>
            <w:tcBorders>
              <w:top w:val="nil"/>
              <w:left w:val="nil"/>
              <w:bottom w:val="single" w:sz="4" w:space="0" w:color="auto"/>
              <w:right w:val="single" w:sz="4" w:space="0" w:color="auto"/>
            </w:tcBorders>
            <w:shd w:val="clear" w:color="auto" w:fill="auto"/>
            <w:noWrap/>
            <w:hideMark/>
          </w:tcPr>
          <w:p w14:paraId="7E31D1DA" w14:textId="552E12FA" w:rsidR="00A70444" w:rsidRPr="00A051CF" w:rsidRDefault="00A70444" w:rsidP="000B114B">
            <w:pPr>
              <w:jc w:val="right"/>
              <w:rPr>
                <w:sz w:val="18"/>
                <w:szCs w:val="18"/>
                <w:lang w:val="en-CA" w:eastAsia="en-CA"/>
              </w:rPr>
            </w:pPr>
            <w:r w:rsidRPr="00A051CF">
              <w:rPr>
                <w:sz w:val="18"/>
                <w:szCs w:val="18"/>
                <w:lang w:val="en-CA" w:eastAsia="en-CA"/>
              </w:rPr>
              <w:t>8</w:t>
            </w:r>
            <w:r w:rsidR="00A86723">
              <w:rPr>
                <w:sz w:val="18"/>
                <w:szCs w:val="18"/>
                <w:lang w:val="en-CA" w:eastAsia="en-CA"/>
              </w:rPr>
              <w:t xml:space="preserve"> </w:t>
            </w:r>
            <w:r w:rsidRPr="00A051CF">
              <w:rPr>
                <w:sz w:val="18"/>
                <w:szCs w:val="18"/>
                <w:lang w:val="en-CA" w:eastAsia="en-CA"/>
              </w:rPr>
              <w:t>378</w:t>
            </w:r>
            <w:r w:rsidR="00A86723">
              <w:rPr>
                <w:sz w:val="18"/>
                <w:szCs w:val="18"/>
                <w:lang w:val="en-CA" w:eastAsia="en-CA"/>
              </w:rPr>
              <w:t xml:space="preserve"> </w:t>
            </w:r>
            <w:r w:rsidRPr="00A051CF">
              <w:rPr>
                <w:sz w:val="18"/>
                <w:szCs w:val="18"/>
                <w:lang w:val="en-CA" w:eastAsia="en-CA"/>
              </w:rPr>
              <w:t>483</w:t>
            </w:r>
          </w:p>
        </w:tc>
        <w:tc>
          <w:tcPr>
            <w:tcW w:w="1134" w:type="dxa"/>
            <w:tcBorders>
              <w:top w:val="nil"/>
              <w:left w:val="nil"/>
              <w:bottom w:val="single" w:sz="4" w:space="0" w:color="auto"/>
              <w:right w:val="single" w:sz="4" w:space="0" w:color="auto"/>
            </w:tcBorders>
            <w:shd w:val="clear" w:color="auto" w:fill="auto"/>
            <w:noWrap/>
            <w:hideMark/>
          </w:tcPr>
          <w:p w14:paraId="584C9FBE" w14:textId="77777777" w:rsidR="00A70444" w:rsidRPr="00A051CF" w:rsidRDefault="00A70444" w:rsidP="000B114B">
            <w:pPr>
              <w:jc w:val="right"/>
              <w:rPr>
                <w:sz w:val="18"/>
                <w:szCs w:val="18"/>
                <w:lang w:val="en-CA" w:eastAsia="en-CA"/>
              </w:rPr>
            </w:pPr>
            <w:r w:rsidRPr="00A051CF">
              <w:rPr>
                <w:sz w:val="18"/>
                <w:szCs w:val="18"/>
                <w:lang w:val="en-CA" w:eastAsia="en-CA"/>
              </w:rPr>
              <w:t>35</w:t>
            </w:r>
          </w:p>
        </w:tc>
      </w:tr>
      <w:tr w:rsidR="00A70444" w:rsidRPr="00A051CF" w14:paraId="76270446"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22FC848B" w14:textId="77777777" w:rsidR="00A70444" w:rsidRPr="00A051CF" w:rsidRDefault="00A70444" w:rsidP="000B114B">
            <w:pPr>
              <w:jc w:val="left"/>
              <w:rPr>
                <w:sz w:val="18"/>
                <w:szCs w:val="18"/>
                <w:lang w:val="en-CA" w:eastAsia="en-CA"/>
              </w:rPr>
            </w:pPr>
            <w:r w:rsidRPr="00A051CF">
              <w:rPr>
                <w:sz w:val="18"/>
                <w:szCs w:val="18"/>
                <w:lang w:val="en-CA" w:eastAsia="en-CA"/>
              </w:rPr>
              <w:t>2017</w:t>
            </w:r>
          </w:p>
        </w:tc>
        <w:tc>
          <w:tcPr>
            <w:tcW w:w="1225" w:type="dxa"/>
            <w:tcBorders>
              <w:top w:val="nil"/>
              <w:left w:val="nil"/>
              <w:bottom w:val="single" w:sz="4" w:space="0" w:color="auto"/>
              <w:right w:val="single" w:sz="4" w:space="0" w:color="auto"/>
            </w:tcBorders>
            <w:shd w:val="clear" w:color="auto" w:fill="auto"/>
            <w:noWrap/>
            <w:hideMark/>
          </w:tcPr>
          <w:p w14:paraId="4C7595E6" w14:textId="77777777" w:rsidR="00A70444" w:rsidRPr="00A051CF" w:rsidRDefault="00A70444" w:rsidP="000B114B">
            <w:pPr>
              <w:jc w:val="right"/>
              <w:rPr>
                <w:sz w:val="18"/>
                <w:szCs w:val="18"/>
                <w:lang w:val="en-CA" w:eastAsia="en-CA"/>
              </w:rPr>
            </w:pPr>
            <w:r w:rsidRPr="00A051CF">
              <w:rPr>
                <w:sz w:val="18"/>
                <w:szCs w:val="18"/>
                <w:lang w:val="en-CA" w:eastAsia="en-CA"/>
              </w:rPr>
              <w:t>5</w:t>
            </w:r>
          </w:p>
        </w:tc>
        <w:tc>
          <w:tcPr>
            <w:tcW w:w="1077" w:type="dxa"/>
            <w:tcBorders>
              <w:top w:val="nil"/>
              <w:left w:val="nil"/>
              <w:bottom w:val="single" w:sz="4" w:space="0" w:color="auto"/>
              <w:right w:val="single" w:sz="4" w:space="0" w:color="auto"/>
            </w:tcBorders>
            <w:shd w:val="clear" w:color="auto" w:fill="auto"/>
            <w:noWrap/>
            <w:hideMark/>
          </w:tcPr>
          <w:p w14:paraId="56046462" w14:textId="77777777" w:rsidR="00A70444" w:rsidRPr="00A051CF" w:rsidRDefault="00A70444" w:rsidP="000B114B">
            <w:pPr>
              <w:jc w:val="right"/>
              <w:rPr>
                <w:sz w:val="18"/>
                <w:szCs w:val="18"/>
                <w:lang w:val="en-CA" w:eastAsia="en-CA"/>
              </w:rPr>
            </w:pPr>
            <w:r w:rsidRPr="00A051CF">
              <w:rPr>
                <w:sz w:val="18"/>
                <w:szCs w:val="18"/>
                <w:lang w:val="en-CA" w:eastAsia="en-CA"/>
              </w:rPr>
              <w:t>3</w:t>
            </w:r>
          </w:p>
        </w:tc>
        <w:tc>
          <w:tcPr>
            <w:tcW w:w="1163" w:type="dxa"/>
            <w:tcBorders>
              <w:top w:val="nil"/>
              <w:left w:val="nil"/>
              <w:bottom w:val="single" w:sz="4" w:space="0" w:color="auto"/>
              <w:right w:val="single" w:sz="4" w:space="0" w:color="auto"/>
            </w:tcBorders>
            <w:shd w:val="clear" w:color="auto" w:fill="auto"/>
            <w:noWrap/>
            <w:hideMark/>
          </w:tcPr>
          <w:p w14:paraId="018BD68D" w14:textId="77777777" w:rsidR="00A70444" w:rsidRPr="00A051CF" w:rsidRDefault="00A70444" w:rsidP="000B114B">
            <w:pPr>
              <w:jc w:val="right"/>
              <w:rPr>
                <w:sz w:val="18"/>
                <w:szCs w:val="18"/>
                <w:lang w:val="en-CA" w:eastAsia="en-CA"/>
              </w:rPr>
            </w:pPr>
            <w:r w:rsidRPr="00A051CF">
              <w:rPr>
                <w:sz w:val="18"/>
                <w:szCs w:val="18"/>
                <w:lang w:val="en-CA" w:eastAsia="en-CA"/>
              </w:rPr>
              <w:t>60</w:t>
            </w:r>
          </w:p>
        </w:tc>
        <w:tc>
          <w:tcPr>
            <w:tcW w:w="1466" w:type="dxa"/>
            <w:tcBorders>
              <w:top w:val="nil"/>
              <w:left w:val="nil"/>
              <w:bottom w:val="single" w:sz="4" w:space="0" w:color="auto"/>
              <w:right w:val="single" w:sz="4" w:space="0" w:color="auto"/>
            </w:tcBorders>
            <w:shd w:val="clear" w:color="auto" w:fill="auto"/>
            <w:noWrap/>
            <w:hideMark/>
          </w:tcPr>
          <w:p w14:paraId="6CB2959E" w14:textId="6119B096" w:rsidR="00A70444" w:rsidRPr="00A051CF" w:rsidRDefault="00A70444" w:rsidP="000B114B">
            <w:pPr>
              <w:jc w:val="right"/>
              <w:rPr>
                <w:sz w:val="18"/>
                <w:szCs w:val="18"/>
                <w:lang w:val="en-CA" w:eastAsia="en-CA"/>
              </w:rPr>
            </w:pPr>
            <w:r w:rsidRPr="00A051CF">
              <w:rPr>
                <w:sz w:val="18"/>
                <w:szCs w:val="18"/>
                <w:lang w:val="en-CA" w:eastAsia="en-CA"/>
              </w:rPr>
              <w:t>3</w:t>
            </w:r>
            <w:r w:rsidR="00A86723">
              <w:rPr>
                <w:sz w:val="18"/>
                <w:szCs w:val="18"/>
                <w:lang w:val="en-CA" w:eastAsia="en-CA"/>
              </w:rPr>
              <w:t xml:space="preserve"> </w:t>
            </w:r>
            <w:r w:rsidRPr="00A051CF">
              <w:rPr>
                <w:sz w:val="18"/>
                <w:szCs w:val="18"/>
                <w:lang w:val="en-CA" w:eastAsia="en-CA"/>
              </w:rPr>
              <w:t>673</w:t>
            </w:r>
            <w:r w:rsidR="00A86723">
              <w:rPr>
                <w:sz w:val="18"/>
                <w:szCs w:val="18"/>
                <w:lang w:val="en-CA" w:eastAsia="en-CA"/>
              </w:rPr>
              <w:t xml:space="preserve"> </w:t>
            </w:r>
            <w:r w:rsidRPr="00A051CF">
              <w:rPr>
                <w:sz w:val="18"/>
                <w:szCs w:val="18"/>
                <w:lang w:val="en-CA" w:eastAsia="en-CA"/>
              </w:rPr>
              <w:t>565</w:t>
            </w:r>
          </w:p>
        </w:tc>
        <w:tc>
          <w:tcPr>
            <w:tcW w:w="1418" w:type="dxa"/>
            <w:tcBorders>
              <w:top w:val="nil"/>
              <w:left w:val="nil"/>
              <w:bottom w:val="single" w:sz="4" w:space="0" w:color="auto"/>
              <w:right w:val="single" w:sz="4" w:space="0" w:color="auto"/>
            </w:tcBorders>
            <w:shd w:val="clear" w:color="auto" w:fill="auto"/>
            <w:noWrap/>
            <w:hideMark/>
          </w:tcPr>
          <w:p w14:paraId="1A22C9A9" w14:textId="2F1B926C" w:rsidR="00A70444" w:rsidRPr="00A051CF" w:rsidRDefault="00A70444" w:rsidP="000B114B">
            <w:pPr>
              <w:jc w:val="right"/>
              <w:rPr>
                <w:sz w:val="18"/>
                <w:szCs w:val="18"/>
                <w:lang w:val="en-CA" w:eastAsia="en-CA"/>
              </w:rPr>
            </w:pPr>
            <w:r w:rsidRPr="00A051CF">
              <w:rPr>
                <w:sz w:val="18"/>
                <w:szCs w:val="18"/>
                <w:lang w:val="en-CA" w:eastAsia="en-CA"/>
              </w:rPr>
              <w:t>1</w:t>
            </w:r>
            <w:r w:rsidR="00A86723">
              <w:rPr>
                <w:sz w:val="18"/>
                <w:szCs w:val="18"/>
                <w:lang w:val="en-CA" w:eastAsia="en-CA"/>
              </w:rPr>
              <w:t xml:space="preserve"> </w:t>
            </w:r>
            <w:r w:rsidRPr="00A051CF">
              <w:rPr>
                <w:sz w:val="18"/>
                <w:szCs w:val="18"/>
                <w:lang w:val="en-CA" w:eastAsia="en-CA"/>
              </w:rPr>
              <w:t>651</w:t>
            </w:r>
            <w:r w:rsidR="00A86723">
              <w:rPr>
                <w:sz w:val="18"/>
                <w:szCs w:val="18"/>
                <w:lang w:val="en-CA" w:eastAsia="en-CA"/>
              </w:rPr>
              <w:t xml:space="preserve"> </w:t>
            </w:r>
            <w:r w:rsidRPr="00A051CF">
              <w:rPr>
                <w:sz w:val="18"/>
                <w:szCs w:val="18"/>
                <w:lang w:val="en-CA" w:eastAsia="en-CA"/>
              </w:rPr>
              <w:t>291</w:t>
            </w:r>
          </w:p>
        </w:tc>
        <w:tc>
          <w:tcPr>
            <w:tcW w:w="1185" w:type="dxa"/>
            <w:tcBorders>
              <w:top w:val="nil"/>
              <w:left w:val="nil"/>
              <w:bottom w:val="single" w:sz="4" w:space="0" w:color="auto"/>
              <w:right w:val="single" w:sz="4" w:space="0" w:color="auto"/>
            </w:tcBorders>
            <w:shd w:val="clear" w:color="auto" w:fill="auto"/>
            <w:noWrap/>
            <w:hideMark/>
          </w:tcPr>
          <w:p w14:paraId="439F0FC4" w14:textId="357222C5" w:rsidR="00A70444" w:rsidRPr="00A051CF" w:rsidRDefault="00A70444" w:rsidP="000B114B">
            <w:pPr>
              <w:jc w:val="right"/>
              <w:rPr>
                <w:sz w:val="18"/>
                <w:szCs w:val="18"/>
                <w:lang w:val="en-CA" w:eastAsia="en-CA"/>
              </w:rPr>
            </w:pPr>
            <w:r w:rsidRPr="00A051CF">
              <w:rPr>
                <w:sz w:val="18"/>
                <w:szCs w:val="18"/>
                <w:lang w:val="en-CA" w:eastAsia="en-CA"/>
              </w:rPr>
              <w:t>2</w:t>
            </w:r>
            <w:r w:rsidR="00A86723">
              <w:rPr>
                <w:sz w:val="18"/>
                <w:szCs w:val="18"/>
                <w:lang w:val="en-CA" w:eastAsia="en-CA"/>
              </w:rPr>
              <w:t xml:space="preserve"> </w:t>
            </w:r>
            <w:r w:rsidRPr="00A051CF">
              <w:rPr>
                <w:sz w:val="18"/>
                <w:szCs w:val="18"/>
                <w:lang w:val="en-CA" w:eastAsia="en-CA"/>
              </w:rPr>
              <w:t>022</w:t>
            </w:r>
            <w:r w:rsidR="00A86723">
              <w:rPr>
                <w:sz w:val="18"/>
                <w:szCs w:val="18"/>
                <w:lang w:val="en-CA" w:eastAsia="en-CA"/>
              </w:rPr>
              <w:t xml:space="preserve"> </w:t>
            </w:r>
            <w:r w:rsidRPr="00A051CF">
              <w:rPr>
                <w:sz w:val="18"/>
                <w:szCs w:val="18"/>
                <w:lang w:val="en-CA" w:eastAsia="en-CA"/>
              </w:rPr>
              <w:t>274</w:t>
            </w:r>
          </w:p>
        </w:tc>
        <w:tc>
          <w:tcPr>
            <w:tcW w:w="1134" w:type="dxa"/>
            <w:tcBorders>
              <w:top w:val="nil"/>
              <w:left w:val="nil"/>
              <w:bottom w:val="single" w:sz="4" w:space="0" w:color="auto"/>
              <w:right w:val="single" w:sz="4" w:space="0" w:color="auto"/>
            </w:tcBorders>
            <w:shd w:val="clear" w:color="auto" w:fill="auto"/>
            <w:noWrap/>
            <w:hideMark/>
          </w:tcPr>
          <w:p w14:paraId="482CB4F5" w14:textId="77777777" w:rsidR="00A70444" w:rsidRPr="00A051CF" w:rsidRDefault="00A70444" w:rsidP="000B114B">
            <w:pPr>
              <w:jc w:val="right"/>
              <w:rPr>
                <w:sz w:val="18"/>
                <w:szCs w:val="18"/>
                <w:lang w:val="en-CA" w:eastAsia="en-CA"/>
              </w:rPr>
            </w:pPr>
            <w:r w:rsidRPr="00A051CF">
              <w:rPr>
                <w:sz w:val="18"/>
                <w:szCs w:val="18"/>
                <w:lang w:val="en-CA" w:eastAsia="en-CA"/>
              </w:rPr>
              <w:t>45</w:t>
            </w:r>
          </w:p>
        </w:tc>
      </w:tr>
      <w:tr w:rsidR="00A70444" w:rsidRPr="00A051CF" w14:paraId="2B7731E5"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51DBF980" w14:textId="77777777" w:rsidR="00A70444" w:rsidRPr="00A051CF" w:rsidRDefault="00A70444" w:rsidP="000B114B">
            <w:pPr>
              <w:jc w:val="left"/>
              <w:rPr>
                <w:sz w:val="18"/>
                <w:szCs w:val="18"/>
                <w:lang w:val="en-CA" w:eastAsia="en-CA"/>
              </w:rPr>
            </w:pPr>
            <w:r w:rsidRPr="00A051CF">
              <w:rPr>
                <w:sz w:val="18"/>
                <w:szCs w:val="18"/>
                <w:lang w:val="en-CA" w:eastAsia="en-CA"/>
              </w:rPr>
              <w:t>2018</w:t>
            </w:r>
          </w:p>
        </w:tc>
        <w:tc>
          <w:tcPr>
            <w:tcW w:w="1225" w:type="dxa"/>
            <w:tcBorders>
              <w:top w:val="nil"/>
              <w:left w:val="nil"/>
              <w:bottom w:val="single" w:sz="4" w:space="0" w:color="auto"/>
              <w:right w:val="single" w:sz="4" w:space="0" w:color="auto"/>
            </w:tcBorders>
            <w:shd w:val="clear" w:color="auto" w:fill="auto"/>
            <w:noWrap/>
            <w:hideMark/>
          </w:tcPr>
          <w:p w14:paraId="7EFF77F1" w14:textId="77777777" w:rsidR="00A70444" w:rsidRPr="00A051CF" w:rsidRDefault="00A70444" w:rsidP="000B114B">
            <w:pPr>
              <w:jc w:val="right"/>
              <w:rPr>
                <w:sz w:val="18"/>
                <w:szCs w:val="18"/>
                <w:lang w:val="en-CA" w:eastAsia="en-CA"/>
              </w:rPr>
            </w:pPr>
            <w:r w:rsidRPr="00A051CF">
              <w:rPr>
                <w:sz w:val="18"/>
                <w:szCs w:val="18"/>
                <w:lang w:val="en-CA" w:eastAsia="en-CA"/>
              </w:rPr>
              <w:t>7</w:t>
            </w:r>
          </w:p>
        </w:tc>
        <w:tc>
          <w:tcPr>
            <w:tcW w:w="1077" w:type="dxa"/>
            <w:tcBorders>
              <w:top w:val="nil"/>
              <w:left w:val="nil"/>
              <w:bottom w:val="single" w:sz="4" w:space="0" w:color="auto"/>
              <w:right w:val="single" w:sz="4" w:space="0" w:color="auto"/>
            </w:tcBorders>
            <w:shd w:val="clear" w:color="auto" w:fill="auto"/>
            <w:noWrap/>
            <w:hideMark/>
          </w:tcPr>
          <w:p w14:paraId="29A94D97"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163" w:type="dxa"/>
            <w:tcBorders>
              <w:top w:val="nil"/>
              <w:left w:val="nil"/>
              <w:bottom w:val="single" w:sz="4" w:space="0" w:color="auto"/>
              <w:right w:val="single" w:sz="4" w:space="0" w:color="auto"/>
            </w:tcBorders>
            <w:shd w:val="clear" w:color="auto" w:fill="auto"/>
            <w:noWrap/>
            <w:hideMark/>
          </w:tcPr>
          <w:p w14:paraId="5F126934" w14:textId="77777777" w:rsidR="00A70444" w:rsidRPr="00A051CF" w:rsidRDefault="00A70444" w:rsidP="000B114B">
            <w:pPr>
              <w:jc w:val="right"/>
              <w:rPr>
                <w:sz w:val="18"/>
                <w:szCs w:val="18"/>
                <w:lang w:val="en-CA" w:eastAsia="en-CA"/>
              </w:rPr>
            </w:pPr>
            <w:r w:rsidRPr="00A051CF">
              <w:rPr>
                <w:sz w:val="18"/>
                <w:szCs w:val="18"/>
                <w:lang w:val="en-CA" w:eastAsia="en-CA"/>
              </w:rPr>
              <w:t>0</w:t>
            </w:r>
          </w:p>
        </w:tc>
        <w:tc>
          <w:tcPr>
            <w:tcW w:w="1466" w:type="dxa"/>
            <w:tcBorders>
              <w:top w:val="nil"/>
              <w:left w:val="nil"/>
              <w:bottom w:val="single" w:sz="4" w:space="0" w:color="auto"/>
              <w:right w:val="single" w:sz="4" w:space="0" w:color="auto"/>
            </w:tcBorders>
            <w:shd w:val="clear" w:color="auto" w:fill="auto"/>
            <w:noWrap/>
            <w:hideMark/>
          </w:tcPr>
          <w:p w14:paraId="605AD771" w14:textId="7818CDE9" w:rsidR="00A70444" w:rsidRPr="00A051CF" w:rsidRDefault="00A70444" w:rsidP="000B114B">
            <w:pPr>
              <w:jc w:val="right"/>
              <w:rPr>
                <w:sz w:val="18"/>
                <w:szCs w:val="18"/>
                <w:lang w:val="en-CA" w:eastAsia="en-CA"/>
              </w:rPr>
            </w:pPr>
            <w:r w:rsidRPr="00A051CF">
              <w:rPr>
                <w:sz w:val="18"/>
                <w:szCs w:val="18"/>
                <w:lang w:val="en-CA" w:eastAsia="en-CA"/>
              </w:rPr>
              <w:t>26</w:t>
            </w:r>
            <w:r w:rsidR="00A86723">
              <w:rPr>
                <w:sz w:val="18"/>
                <w:szCs w:val="18"/>
                <w:lang w:val="en-CA" w:eastAsia="en-CA"/>
              </w:rPr>
              <w:t xml:space="preserve"> </w:t>
            </w:r>
            <w:r w:rsidRPr="00A051CF">
              <w:rPr>
                <w:sz w:val="18"/>
                <w:szCs w:val="18"/>
                <w:lang w:val="en-CA" w:eastAsia="en-CA"/>
              </w:rPr>
              <w:t>408</w:t>
            </w:r>
            <w:r w:rsidR="00A86723">
              <w:rPr>
                <w:sz w:val="18"/>
                <w:szCs w:val="18"/>
                <w:lang w:val="en-CA" w:eastAsia="en-CA"/>
              </w:rPr>
              <w:t xml:space="preserve"> </w:t>
            </w:r>
            <w:r w:rsidRPr="00A051CF">
              <w:rPr>
                <w:sz w:val="18"/>
                <w:szCs w:val="18"/>
                <w:lang w:val="en-CA" w:eastAsia="en-CA"/>
              </w:rPr>
              <w:t>870</w:t>
            </w:r>
          </w:p>
        </w:tc>
        <w:tc>
          <w:tcPr>
            <w:tcW w:w="1418" w:type="dxa"/>
            <w:tcBorders>
              <w:top w:val="nil"/>
              <w:left w:val="nil"/>
              <w:bottom w:val="single" w:sz="4" w:space="0" w:color="auto"/>
              <w:right w:val="single" w:sz="4" w:space="0" w:color="auto"/>
            </w:tcBorders>
            <w:shd w:val="clear" w:color="auto" w:fill="auto"/>
            <w:noWrap/>
            <w:hideMark/>
          </w:tcPr>
          <w:p w14:paraId="1807E4F1" w14:textId="231570C2" w:rsidR="00A70444" w:rsidRPr="00A051CF" w:rsidRDefault="00A70444" w:rsidP="000B114B">
            <w:pPr>
              <w:jc w:val="right"/>
              <w:rPr>
                <w:sz w:val="18"/>
                <w:szCs w:val="18"/>
                <w:lang w:val="en-CA" w:eastAsia="en-CA"/>
              </w:rPr>
            </w:pPr>
            <w:r w:rsidRPr="00A051CF">
              <w:rPr>
                <w:sz w:val="18"/>
                <w:szCs w:val="18"/>
                <w:lang w:val="en-CA" w:eastAsia="en-CA"/>
              </w:rPr>
              <w:t>292</w:t>
            </w:r>
            <w:r w:rsidR="00A86723">
              <w:rPr>
                <w:sz w:val="18"/>
                <w:szCs w:val="18"/>
                <w:lang w:val="en-CA" w:eastAsia="en-CA"/>
              </w:rPr>
              <w:t xml:space="preserve"> </w:t>
            </w:r>
            <w:r w:rsidRPr="00A051CF">
              <w:rPr>
                <w:sz w:val="18"/>
                <w:szCs w:val="18"/>
                <w:lang w:val="en-CA" w:eastAsia="en-CA"/>
              </w:rPr>
              <w:t>281</w:t>
            </w:r>
          </w:p>
        </w:tc>
        <w:tc>
          <w:tcPr>
            <w:tcW w:w="1185" w:type="dxa"/>
            <w:tcBorders>
              <w:top w:val="nil"/>
              <w:left w:val="nil"/>
              <w:bottom w:val="single" w:sz="4" w:space="0" w:color="auto"/>
              <w:right w:val="single" w:sz="4" w:space="0" w:color="auto"/>
            </w:tcBorders>
            <w:shd w:val="clear" w:color="auto" w:fill="auto"/>
            <w:noWrap/>
            <w:hideMark/>
          </w:tcPr>
          <w:p w14:paraId="01E6B1B2" w14:textId="6DA381B7" w:rsidR="00A70444" w:rsidRPr="00A051CF" w:rsidRDefault="00A70444" w:rsidP="000B114B">
            <w:pPr>
              <w:jc w:val="right"/>
              <w:rPr>
                <w:sz w:val="18"/>
                <w:szCs w:val="18"/>
                <w:lang w:val="en-CA" w:eastAsia="en-CA"/>
              </w:rPr>
            </w:pPr>
            <w:r w:rsidRPr="00A051CF">
              <w:rPr>
                <w:sz w:val="18"/>
                <w:szCs w:val="18"/>
                <w:lang w:val="en-CA" w:eastAsia="en-CA"/>
              </w:rPr>
              <w:t>26</w:t>
            </w:r>
            <w:r w:rsidR="00A86723">
              <w:rPr>
                <w:sz w:val="18"/>
                <w:szCs w:val="18"/>
                <w:lang w:val="en-CA" w:eastAsia="en-CA"/>
              </w:rPr>
              <w:t xml:space="preserve"> </w:t>
            </w:r>
            <w:r w:rsidRPr="00A051CF">
              <w:rPr>
                <w:sz w:val="18"/>
                <w:szCs w:val="18"/>
                <w:lang w:val="en-CA" w:eastAsia="en-CA"/>
              </w:rPr>
              <w:t>116</w:t>
            </w:r>
            <w:r w:rsidR="00A86723">
              <w:rPr>
                <w:sz w:val="18"/>
                <w:szCs w:val="18"/>
                <w:lang w:val="en-CA" w:eastAsia="en-CA"/>
              </w:rPr>
              <w:t xml:space="preserve"> </w:t>
            </w:r>
            <w:r w:rsidRPr="00A051CF">
              <w:rPr>
                <w:sz w:val="18"/>
                <w:szCs w:val="18"/>
                <w:lang w:val="en-CA" w:eastAsia="en-CA"/>
              </w:rPr>
              <w:t>589</w:t>
            </w:r>
          </w:p>
        </w:tc>
        <w:tc>
          <w:tcPr>
            <w:tcW w:w="1134" w:type="dxa"/>
            <w:tcBorders>
              <w:top w:val="nil"/>
              <w:left w:val="nil"/>
              <w:bottom w:val="single" w:sz="4" w:space="0" w:color="auto"/>
              <w:right w:val="single" w:sz="4" w:space="0" w:color="auto"/>
            </w:tcBorders>
            <w:shd w:val="clear" w:color="auto" w:fill="auto"/>
            <w:noWrap/>
            <w:hideMark/>
          </w:tcPr>
          <w:p w14:paraId="0A3B995D" w14:textId="77777777" w:rsidR="00A70444" w:rsidRPr="00A051CF" w:rsidRDefault="00A70444" w:rsidP="000B114B">
            <w:pPr>
              <w:jc w:val="right"/>
              <w:rPr>
                <w:sz w:val="18"/>
                <w:szCs w:val="18"/>
                <w:lang w:val="en-CA" w:eastAsia="en-CA"/>
              </w:rPr>
            </w:pPr>
            <w:r w:rsidRPr="00A051CF">
              <w:rPr>
                <w:sz w:val="18"/>
                <w:szCs w:val="18"/>
                <w:lang w:val="en-CA" w:eastAsia="en-CA"/>
              </w:rPr>
              <w:t>1</w:t>
            </w:r>
          </w:p>
        </w:tc>
      </w:tr>
      <w:tr w:rsidR="00A70444" w:rsidRPr="00A051CF" w14:paraId="61F1097D" w14:textId="77777777" w:rsidTr="002A5096">
        <w:tc>
          <w:tcPr>
            <w:tcW w:w="0" w:type="auto"/>
            <w:tcBorders>
              <w:top w:val="nil"/>
              <w:left w:val="single" w:sz="4" w:space="0" w:color="auto"/>
              <w:bottom w:val="single" w:sz="4" w:space="0" w:color="auto"/>
              <w:right w:val="single" w:sz="4" w:space="0" w:color="auto"/>
            </w:tcBorders>
            <w:shd w:val="clear" w:color="auto" w:fill="auto"/>
            <w:noWrap/>
            <w:hideMark/>
          </w:tcPr>
          <w:p w14:paraId="16C1F600" w14:textId="77777777" w:rsidR="00A70444" w:rsidRPr="00A051CF" w:rsidRDefault="00A70444" w:rsidP="000B114B">
            <w:pPr>
              <w:jc w:val="left"/>
              <w:rPr>
                <w:b/>
                <w:bCs/>
                <w:sz w:val="18"/>
                <w:szCs w:val="18"/>
                <w:lang w:val="en-CA" w:eastAsia="en-CA"/>
              </w:rPr>
            </w:pPr>
            <w:r w:rsidRPr="00A051CF">
              <w:rPr>
                <w:b/>
                <w:bCs/>
                <w:sz w:val="18"/>
                <w:szCs w:val="18"/>
                <w:lang w:val="en-CA" w:eastAsia="en-CA"/>
              </w:rPr>
              <w:t>Total</w:t>
            </w:r>
          </w:p>
        </w:tc>
        <w:tc>
          <w:tcPr>
            <w:tcW w:w="1225" w:type="dxa"/>
            <w:tcBorders>
              <w:top w:val="nil"/>
              <w:left w:val="nil"/>
              <w:bottom w:val="single" w:sz="4" w:space="0" w:color="auto"/>
              <w:right w:val="single" w:sz="4" w:space="0" w:color="auto"/>
            </w:tcBorders>
            <w:shd w:val="clear" w:color="auto" w:fill="auto"/>
            <w:noWrap/>
            <w:hideMark/>
          </w:tcPr>
          <w:p w14:paraId="2A072419" w14:textId="7FD83A38"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087</w:t>
            </w:r>
          </w:p>
        </w:tc>
        <w:tc>
          <w:tcPr>
            <w:tcW w:w="1077" w:type="dxa"/>
            <w:tcBorders>
              <w:top w:val="nil"/>
              <w:left w:val="nil"/>
              <w:bottom w:val="single" w:sz="4" w:space="0" w:color="auto"/>
              <w:right w:val="single" w:sz="4" w:space="0" w:color="auto"/>
            </w:tcBorders>
            <w:shd w:val="clear" w:color="auto" w:fill="auto"/>
            <w:noWrap/>
            <w:hideMark/>
          </w:tcPr>
          <w:p w14:paraId="6F0096DA" w14:textId="68314C5C"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063</w:t>
            </w:r>
          </w:p>
        </w:tc>
        <w:tc>
          <w:tcPr>
            <w:tcW w:w="1163" w:type="dxa"/>
            <w:tcBorders>
              <w:top w:val="nil"/>
              <w:left w:val="nil"/>
              <w:bottom w:val="single" w:sz="4" w:space="0" w:color="auto"/>
              <w:right w:val="single" w:sz="4" w:space="0" w:color="auto"/>
            </w:tcBorders>
            <w:shd w:val="clear" w:color="auto" w:fill="auto"/>
            <w:noWrap/>
            <w:hideMark/>
          </w:tcPr>
          <w:p w14:paraId="04A8217F" w14:textId="77777777" w:rsidR="00A70444" w:rsidRPr="00A051CF" w:rsidRDefault="00A70444" w:rsidP="000B114B">
            <w:pPr>
              <w:jc w:val="right"/>
              <w:rPr>
                <w:b/>
                <w:bCs/>
                <w:sz w:val="18"/>
                <w:szCs w:val="18"/>
                <w:lang w:val="en-CA" w:eastAsia="en-CA"/>
              </w:rPr>
            </w:pPr>
            <w:r w:rsidRPr="00A051CF">
              <w:rPr>
                <w:b/>
                <w:bCs/>
                <w:sz w:val="18"/>
                <w:szCs w:val="18"/>
                <w:lang w:val="en-CA" w:eastAsia="en-CA"/>
              </w:rPr>
              <w:t>98</w:t>
            </w:r>
          </w:p>
        </w:tc>
        <w:tc>
          <w:tcPr>
            <w:tcW w:w="1466" w:type="dxa"/>
            <w:tcBorders>
              <w:top w:val="nil"/>
              <w:left w:val="nil"/>
              <w:bottom w:val="single" w:sz="4" w:space="0" w:color="auto"/>
              <w:right w:val="single" w:sz="4" w:space="0" w:color="auto"/>
            </w:tcBorders>
            <w:shd w:val="clear" w:color="auto" w:fill="auto"/>
            <w:noWrap/>
            <w:hideMark/>
          </w:tcPr>
          <w:p w14:paraId="4119BD68" w14:textId="0702D334"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163</w:t>
            </w:r>
            <w:r w:rsidR="00A86723">
              <w:rPr>
                <w:b/>
                <w:bCs/>
                <w:sz w:val="18"/>
                <w:szCs w:val="18"/>
                <w:lang w:val="en-CA" w:eastAsia="en-CA"/>
              </w:rPr>
              <w:t xml:space="preserve"> </w:t>
            </w:r>
            <w:r w:rsidRPr="00A051CF">
              <w:rPr>
                <w:b/>
                <w:bCs/>
                <w:sz w:val="18"/>
                <w:szCs w:val="18"/>
                <w:lang w:val="en-CA" w:eastAsia="en-CA"/>
              </w:rPr>
              <w:t>082</w:t>
            </w:r>
            <w:r w:rsidR="00A86723">
              <w:rPr>
                <w:b/>
                <w:bCs/>
                <w:sz w:val="18"/>
                <w:szCs w:val="18"/>
                <w:lang w:val="en-CA" w:eastAsia="en-CA"/>
              </w:rPr>
              <w:t xml:space="preserve"> </w:t>
            </w:r>
            <w:r w:rsidRPr="00A051CF">
              <w:rPr>
                <w:b/>
                <w:bCs/>
                <w:sz w:val="18"/>
                <w:szCs w:val="18"/>
                <w:lang w:val="en-CA" w:eastAsia="en-CA"/>
              </w:rPr>
              <w:t>006</w:t>
            </w:r>
          </w:p>
        </w:tc>
        <w:tc>
          <w:tcPr>
            <w:tcW w:w="1418" w:type="dxa"/>
            <w:tcBorders>
              <w:top w:val="nil"/>
              <w:left w:val="nil"/>
              <w:bottom w:val="single" w:sz="4" w:space="0" w:color="auto"/>
              <w:right w:val="single" w:sz="4" w:space="0" w:color="auto"/>
            </w:tcBorders>
            <w:shd w:val="clear" w:color="auto" w:fill="auto"/>
            <w:noWrap/>
            <w:hideMark/>
          </w:tcPr>
          <w:p w14:paraId="1384286F" w14:textId="04B7FD55" w:rsidR="00A70444" w:rsidRPr="00A051CF" w:rsidRDefault="00A70444" w:rsidP="000B114B">
            <w:pPr>
              <w:jc w:val="right"/>
              <w:rPr>
                <w:b/>
                <w:bCs/>
                <w:sz w:val="18"/>
                <w:szCs w:val="18"/>
                <w:lang w:val="en-CA" w:eastAsia="en-CA"/>
              </w:rPr>
            </w:pPr>
            <w:r w:rsidRPr="00A051CF">
              <w:rPr>
                <w:b/>
                <w:bCs/>
                <w:sz w:val="18"/>
                <w:szCs w:val="18"/>
                <w:lang w:val="en-CA" w:eastAsia="en-CA"/>
              </w:rPr>
              <w:t>1</w:t>
            </w:r>
            <w:r w:rsidR="00A86723">
              <w:rPr>
                <w:b/>
                <w:bCs/>
                <w:sz w:val="18"/>
                <w:szCs w:val="18"/>
                <w:lang w:val="en-CA" w:eastAsia="en-CA"/>
              </w:rPr>
              <w:t xml:space="preserve"> </w:t>
            </w:r>
            <w:r w:rsidRPr="00A051CF">
              <w:rPr>
                <w:b/>
                <w:bCs/>
                <w:sz w:val="18"/>
                <w:szCs w:val="18"/>
                <w:lang w:val="en-CA" w:eastAsia="en-CA"/>
              </w:rPr>
              <w:t>125</w:t>
            </w:r>
            <w:r w:rsidR="00A86723">
              <w:rPr>
                <w:b/>
                <w:bCs/>
                <w:sz w:val="18"/>
                <w:szCs w:val="18"/>
                <w:lang w:val="en-CA" w:eastAsia="en-CA"/>
              </w:rPr>
              <w:t xml:space="preserve"> </w:t>
            </w:r>
            <w:r w:rsidRPr="00A051CF">
              <w:rPr>
                <w:b/>
                <w:bCs/>
                <w:sz w:val="18"/>
                <w:szCs w:val="18"/>
                <w:lang w:val="en-CA" w:eastAsia="en-CA"/>
              </w:rPr>
              <w:t>934</w:t>
            </w:r>
            <w:r w:rsidR="00A86723">
              <w:rPr>
                <w:b/>
                <w:bCs/>
                <w:sz w:val="18"/>
                <w:szCs w:val="18"/>
                <w:lang w:val="en-CA" w:eastAsia="en-CA"/>
              </w:rPr>
              <w:t xml:space="preserve"> </w:t>
            </w:r>
            <w:r w:rsidRPr="00A051CF">
              <w:rPr>
                <w:b/>
                <w:bCs/>
                <w:sz w:val="18"/>
                <w:szCs w:val="18"/>
                <w:lang w:val="en-CA" w:eastAsia="en-CA"/>
              </w:rPr>
              <w:t>008</w:t>
            </w:r>
          </w:p>
        </w:tc>
        <w:tc>
          <w:tcPr>
            <w:tcW w:w="1185" w:type="dxa"/>
            <w:tcBorders>
              <w:top w:val="nil"/>
              <w:left w:val="nil"/>
              <w:bottom w:val="single" w:sz="4" w:space="0" w:color="auto"/>
              <w:right w:val="single" w:sz="4" w:space="0" w:color="auto"/>
            </w:tcBorders>
            <w:shd w:val="clear" w:color="auto" w:fill="auto"/>
            <w:noWrap/>
            <w:hideMark/>
          </w:tcPr>
          <w:p w14:paraId="500FE225" w14:textId="3DA4C3D6" w:rsidR="00A70444" w:rsidRPr="00A051CF" w:rsidRDefault="00A70444" w:rsidP="000B114B">
            <w:pPr>
              <w:jc w:val="right"/>
              <w:rPr>
                <w:b/>
                <w:bCs/>
                <w:sz w:val="18"/>
                <w:szCs w:val="18"/>
                <w:lang w:val="en-CA" w:eastAsia="en-CA"/>
              </w:rPr>
            </w:pPr>
            <w:r w:rsidRPr="00A051CF">
              <w:rPr>
                <w:b/>
                <w:bCs/>
                <w:sz w:val="18"/>
                <w:szCs w:val="18"/>
                <w:lang w:val="en-CA" w:eastAsia="en-CA"/>
              </w:rPr>
              <w:t>37</w:t>
            </w:r>
            <w:r w:rsidR="00A86723">
              <w:rPr>
                <w:b/>
                <w:bCs/>
                <w:sz w:val="18"/>
                <w:szCs w:val="18"/>
                <w:lang w:val="en-CA" w:eastAsia="en-CA"/>
              </w:rPr>
              <w:t xml:space="preserve"> </w:t>
            </w:r>
            <w:r w:rsidRPr="00A051CF">
              <w:rPr>
                <w:b/>
                <w:bCs/>
                <w:sz w:val="18"/>
                <w:szCs w:val="18"/>
                <w:lang w:val="en-CA" w:eastAsia="en-CA"/>
              </w:rPr>
              <w:t>147</w:t>
            </w:r>
            <w:r w:rsidR="00A86723">
              <w:rPr>
                <w:b/>
                <w:bCs/>
                <w:sz w:val="18"/>
                <w:szCs w:val="18"/>
                <w:lang w:val="en-CA" w:eastAsia="en-CA"/>
              </w:rPr>
              <w:t xml:space="preserve"> </w:t>
            </w:r>
            <w:r w:rsidRPr="00A051CF">
              <w:rPr>
                <w:b/>
                <w:bCs/>
                <w:sz w:val="18"/>
                <w:szCs w:val="18"/>
                <w:lang w:val="en-CA" w:eastAsia="en-CA"/>
              </w:rPr>
              <w:t>998</w:t>
            </w:r>
          </w:p>
        </w:tc>
        <w:tc>
          <w:tcPr>
            <w:tcW w:w="1134" w:type="dxa"/>
            <w:tcBorders>
              <w:top w:val="nil"/>
              <w:left w:val="nil"/>
              <w:bottom w:val="single" w:sz="4" w:space="0" w:color="auto"/>
              <w:right w:val="single" w:sz="4" w:space="0" w:color="auto"/>
            </w:tcBorders>
            <w:shd w:val="clear" w:color="auto" w:fill="auto"/>
            <w:noWrap/>
            <w:hideMark/>
          </w:tcPr>
          <w:p w14:paraId="0C638BA6" w14:textId="77777777" w:rsidR="00A70444" w:rsidRPr="00A051CF" w:rsidRDefault="00A70444" w:rsidP="000B114B">
            <w:pPr>
              <w:jc w:val="right"/>
              <w:rPr>
                <w:b/>
                <w:bCs/>
                <w:sz w:val="18"/>
                <w:szCs w:val="18"/>
                <w:lang w:val="en-CA" w:eastAsia="en-CA"/>
              </w:rPr>
            </w:pPr>
            <w:r w:rsidRPr="00A051CF">
              <w:rPr>
                <w:b/>
                <w:bCs/>
                <w:sz w:val="18"/>
                <w:szCs w:val="18"/>
                <w:lang w:val="en-CA" w:eastAsia="en-CA"/>
              </w:rPr>
              <w:t>97</w:t>
            </w:r>
          </w:p>
        </w:tc>
      </w:tr>
    </w:tbl>
    <w:p w14:paraId="7705E45D" w14:textId="29B981B0" w:rsidR="002A5096" w:rsidRPr="001A1889" w:rsidRDefault="002A5096" w:rsidP="002A5096">
      <w:pPr>
        <w:jc w:val="left"/>
        <w:rPr>
          <w:sz w:val="19"/>
          <w:szCs w:val="19"/>
          <w:lang w:val="es-ES"/>
        </w:rPr>
      </w:pPr>
      <w:r w:rsidRPr="001A1889">
        <w:rPr>
          <w:sz w:val="19"/>
          <w:szCs w:val="19"/>
          <w:lang w:val="es-ES"/>
        </w:rPr>
        <w:t>*Excluye proyectos cerrados y transferidos</w:t>
      </w:r>
      <w:r w:rsidR="00A86723">
        <w:rPr>
          <w:sz w:val="19"/>
          <w:szCs w:val="19"/>
          <w:lang w:val="es-ES"/>
        </w:rPr>
        <w:t xml:space="preserve"> </w:t>
      </w:r>
    </w:p>
    <w:p w14:paraId="3816A977" w14:textId="3BC75B63" w:rsidR="00A70444" w:rsidRPr="002A5096" w:rsidRDefault="002A5096" w:rsidP="002A5096">
      <w:pPr>
        <w:rPr>
          <w:sz w:val="19"/>
          <w:szCs w:val="19"/>
          <w:lang w:val="es-ES"/>
        </w:rPr>
      </w:pPr>
      <w:r w:rsidRPr="008F4DF9">
        <w:rPr>
          <w:sz w:val="19"/>
          <w:szCs w:val="19"/>
          <w:lang w:val="es-ES"/>
        </w:rPr>
        <w:t>**Excluye costos de apoyo al organismo</w:t>
      </w:r>
      <w:r w:rsidR="00A86723">
        <w:rPr>
          <w:sz w:val="19"/>
          <w:szCs w:val="19"/>
          <w:lang w:val="es-ES"/>
        </w:rPr>
        <w:t xml:space="preserve"> </w:t>
      </w:r>
    </w:p>
    <w:p w14:paraId="58700070" w14:textId="77777777" w:rsidR="00A70444" w:rsidRPr="002A5096" w:rsidRDefault="00A70444" w:rsidP="00A70444">
      <w:pPr>
        <w:rPr>
          <w:sz w:val="16"/>
          <w:szCs w:val="16"/>
          <w:lang w:val="es-ES"/>
        </w:rPr>
      </w:pPr>
    </w:p>
    <w:p w14:paraId="5BCDAA18" w14:textId="11180B76" w:rsidR="00A70444" w:rsidRPr="005660CF" w:rsidRDefault="005660CF" w:rsidP="00A70444">
      <w:pPr>
        <w:pStyle w:val="Heading1"/>
        <w:rPr>
          <w:lang w:val="es-ES"/>
        </w:rPr>
      </w:pPr>
      <w:r w:rsidRPr="005660CF">
        <w:rPr>
          <w:lang w:val="es-ES"/>
        </w:rPr>
        <w:t>El Cuadro 4</w:t>
      </w:r>
      <w:r w:rsidR="00A70444" w:rsidRPr="005660CF">
        <w:rPr>
          <w:lang w:val="es-ES"/>
        </w:rPr>
        <w:t xml:space="preserve"> </w:t>
      </w:r>
      <w:r w:rsidRPr="005660CF">
        <w:rPr>
          <w:lang w:val="es-ES"/>
        </w:rPr>
        <w:t>presenta la implementación de proyectos por pa</w:t>
      </w:r>
      <w:r>
        <w:rPr>
          <w:lang w:val="es-ES"/>
        </w:rPr>
        <w:t xml:space="preserve">ís para </w:t>
      </w:r>
      <w:r w:rsidR="00A70444" w:rsidRPr="005660CF">
        <w:rPr>
          <w:lang w:val="es-ES"/>
        </w:rPr>
        <w:t>2018</w:t>
      </w:r>
      <w:r w:rsidR="00A86723">
        <w:rPr>
          <w:lang w:val="es-ES"/>
        </w:rPr>
        <w:t xml:space="preserve"> </w:t>
      </w:r>
    </w:p>
    <w:p w14:paraId="7C0339A6" w14:textId="66B65730" w:rsidR="00A70444" w:rsidRPr="00C4129D" w:rsidRDefault="00C4129D" w:rsidP="00A70444">
      <w:pPr>
        <w:pStyle w:val="Title1"/>
        <w:keepNext/>
        <w:jc w:val="both"/>
        <w:rPr>
          <w:caps w:val="0"/>
          <w:lang w:val="es-ES"/>
        </w:rPr>
      </w:pPr>
      <w:r w:rsidRPr="007A72ED">
        <w:rPr>
          <w:caps w:val="0"/>
          <w:lang w:val="es-ES"/>
        </w:rPr>
        <w:lastRenderedPageBreak/>
        <w:t>Cuadro</w:t>
      </w:r>
      <w:r w:rsidR="00A70444" w:rsidRPr="007A72ED">
        <w:rPr>
          <w:caps w:val="0"/>
          <w:lang w:val="es-ES"/>
        </w:rPr>
        <w:t xml:space="preserve"> 4</w:t>
      </w:r>
      <w:r w:rsidR="00A86723" w:rsidRPr="007A72ED">
        <w:rPr>
          <w:caps w:val="0"/>
          <w:lang w:val="es-ES"/>
        </w:rPr>
        <w:t xml:space="preserve"> </w:t>
      </w:r>
      <w:r w:rsidRPr="00C4129D">
        <w:rPr>
          <w:caps w:val="0"/>
          <w:lang w:val="es-ES"/>
        </w:rPr>
        <w:t xml:space="preserve">Resumen de la </w:t>
      </w:r>
      <w:r w:rsidR="00A86723">
        <w:rPr>
          <w:caps w:val="0"/>
          <w:lang w:val="es-ES"/>
        </w:rPr>
        <w:t>ejecución</w:t>
      </w:r>
      <w:r>
        <w:rPr>
          <w:caps w:val="0"/>
          <w:lang w:val="es-ES"/>
        </w:rPr>
        <w:t xml:space="preserve"> de proyectos del Banco Mundial para </w:t>
      </w:r>
      <w:r w:rsidR="00A70444" w:rsidRPr="00C4129D">
        <w:rPr>
          <w:caps w:val="0"/>
          <w:lang w:val="es-ES"/>
        </w:rPr>
        <w:t>2018</w:t>
      </w:r>
    </w:p>
    <w:tbl>
      <w:tblPr>
        <w:tblW w:w="9345" w:type="dxa"/>
        <w:tblLayout w:type="fixed"/>
        <w:tblLook w:val="04A0" w:firstRow="1" w:lastRow="0" w:firstColumn="1" w:lastColumn="0" w:noHBand="0" w:noVBand="1"/>
      </w:tblPr>
      <w:tblGrid>
        <w:gridCol w:w="1345"/>
        <w:gridCol w:w="1333"/>
        <w:gridCol w:w="1333"/>
        <w:gridCol w:w="1334"/>
        <w:gridCol w:w="1333"/>
        <w:gridCol w:w="1333"/>
        <w:gridCol w:w="1334"/>
      </w:tblGrid>
      <w:tr w:rsidR="00A70444" w:rsidRPr="00C8142A" w14:paraId="43CA90AD" w14:textId="77777777" w:rsidTr="000B114B">
        <w:trPr>
          <w:trHeight w:val="20"/>
          <w:tblHead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9AD4" w14:textId="77777777" w:rsidR="00A70444" w:rsidRPr="00A051CF" w:rsidRDefault="00C77C28" w:rsidP="000B114B">
            <w:pPr>
              <w:keepNext/>
              <w:jc w:val="left"/>
              <w:rPr>
                <w:b/>
                <w:bCs/>
                <w:sz w:val="20"/>
                <w:szCs w:val="20"/>
                <w:lang w:val="en-CA" w:eastAsia="en-CA"/>
              </w:rPr>
            </w:pPr>
            <w:r>
              <w:rPr>
                <w:b/>
                <w:bCs/>
                <w:sz w:val="20"/>
                <w:szCs w:val="20"/>
                <w:lang w:val="en-CA" w:eastAsia="en-CA"/>
              </w:rPr>
              <w:t>País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5E8B84DD" w14:textId="77777777" w:rsidR="00A70444" w:rsidRPr="00A051CF" w:rsidRDefault="00C77C28" w:rsidP="000B114B">
            <w:pPr>
              <w:keepNext/>
              <w:jc w:val="center"/>
              <w:rPr>
                <w:b/>
                <w:bCs/>
                <w:sz w:val="20"/>
                <w:szCs w:val="20"/>
                <w:lang w:val="en-CA" w:eastAsia="en-CA"/>
              </w:rPr>
            </w:pPr>
            <w:r>
              <w:rPr>
                <w:b/>
                <w:bCs/>
                <w:sz w:val="20"/>
                <w:szCs w:val="20"/>
                <w:lang w:val="en-CA" w:eastAsia="en-CA"/>
              </w:rPr>
              <w:t>Eliminado en</w:t>
            </w:r>
            <w:r w:rsidR="00A70444" w:rsidRPr="00A051CF">
              <w:rPr>
                <w:b/>
                <w:bCs/>
                <w:sz w:val="20"/>
                <w:szCs w:val="20"/>
                <w:lang w:val="en-CA" w:eastAsia="en-CA"/>
              </w:rPr>
              <w:t xml:space="preserve"> 2018*</w:t>
            </w:r>
          </w:p>
          <w:p w14:paraId="297507ED" w14:textId="77777777" w:rsidR="00A70444" w:rsidRPr="00A051CF" w:rsidRDefault="00A70444" w:rsidP="00C77C28">
            <w:pPr>
              <w:keepNext/>
              <w:jc w:val="center"/>
              <w:rPr>
                <w:b/>
                <w:bCs/>
                <w:sz w:val="20"/>
                <w:szCs w:val="20"/>
                <w:lang w:val="en-CA" w:eastAsia="en-CA"/>
              </w:rPr>
            </w:pPr>
            <w:r w:rsidRPr="00A051CF">
              <w:rPr>
                <w:b/>
                <w:bCs/>
                <w:sz w:val="20"/>
                <w:szCs w:val="20"/>
                <w:lang w:val="en-CA" w:eastAsia="en-CA"/>
              </w:rPr>
              <w:t>(</w:t>
            </w:r>
            <w:r w:rsidR="00C77C28">
              <w:rPr>
                <w:b/>
                <w:bCs/>
                <w:sz w:val="20"/>
                <w:szCs w:val="20"/>
                <w:lang w:val="en-CA" w:eastAsia="en-CA"/>
              </w:rPr>
              <w:t>toneladas PAO</w:t>
            </w:r>
            <w:r w:rsidRPr="00A051CF">
              <w:rPr>
                <w:b/>
                <w:bCs/>
                <w:sz w:val="20"/>
                <w:szCs w:val="20"/>
                <w:lang w:val="en-CA" w:eastAsia="en-CA"/>
              </w:rPr>
              <w:t>)</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09BDC952" w14:textId="77777777" w:rsidR="00A70444" w:rsidRPr="00C77C28" w:rsidRDefault="00C77C28" w:rsidP="00C77C28">
            <w:pPr>
              <w:keepNext/>
              <w:rPr>
                <w:b/>
                <w:bCs/>
                <w:sz w:val="20"/>
                <w:szCs w:val="20"/>
                <w:lang w:val="es-ES" w:eastAsia="en-CA"/>
              </w:rPr>
            </w:pPr>
            <w:r w:rsidRPr="00C77C28">
              <w:rPr>
                <w:b/>
                <w:bCs/>
                <w:sz w:val="20"/>
                <w:szCs w:val="20"/>
                <w:lang w:val="es-ES" w:eastAsia="en-CA"/>
              </w:rPr>
              <w:t>Porcentaje previsto de eliminación logrado en</w:t>
            </w:r>
            <w:r w:rsidR="00A70444" w:rsidRPr="00C77C28">
              <w:rPr>
                <w:b/>
                <w:bCs/>
                <w:sz w:val="20"/>
                <w:szCs w:val="20"/>
                <w:lang w:val="es-ES" w:eastAsia="en-CA"/>
              </w:rPr>
              <w:t xml:space="preserve">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50E1076F" w14:textId="77777777" w:rsidR="00A70444" w:rsidRPr="00C77C28" w:rsidRDefault="00C77C28" w:rsidP="000B114B">
            <w:pPr>
              <w:keepNext/>
              <w:jc w:val="center"/>
              <w:rPr>
                <w:b/>
                <w:bCs/>
                <w:sz w:val="20"/>
                <w:szCs w:val="20"/>
                <w:lang w:val="es-ES" w:eastAsia="en-CA"/>
              </w:rPr>
            </w:pPr>
            <w:r w:rsidRPr="00C77C28">
              <w:rPr>
                <w:b/>
                <w:bCs/>
                <w:sz w:val="20"/>
                <w:szCs w:val="20"/>
                <w:lang w:val="es-ES" w:eastAsia="en-CA"/>
              </w:rPr>
              <w:t>Fondos desembolsados en 2018, estimación (</w:t>
            </w:r>
            <w:r w:rsidR="00A70444" w:rsidRPr="00C77C28">
              <w:rPr>
                <w:b/>
                <w:bCs/>
                <w:sz w:val="20"/>
                <w:szCs w:val="20"/>
                <w:lang w:val="es-ES" w:eastAsia="en-CA"/>
              </w:rPr>
              <w:t>$</w:t>
            </w:r>
            <w:r w:rsidRPr="00C77C28">
              <w:rPr>
                <w:b/>
                <w:bCs/>
                <w:sz w:val="20"/>
                <w:szCs w:val="20"/>
                <w:lang w:val="es-ES" w:eastAsia="en-CA"/>
              </w:rPr>
              <w:t>EUA</w:t>
            </w:r>
            <w:r w:rsidR="00A70444" w:rsidRPr="00C77C28">
              <w:rPr>
                <w:b/>
                <w:bCs/>
                <w:sz w:val="20"/>
                <w:szCs w:val="20"/>
                <w:lang w:val="es-ES" w:eastAsia="en-CA"/>
              </w:rPr>
              <w:t>)</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63E71373" w14:textId="77777777" w:rsidR="00A70444" w:rsidRPr="00A051CF" w:rsidRDefault="00C77C28" w:rsidP="000B114B">
            <w:pPr>
              <w:keepNext/>
              <w:jc w:val="center"/>
              <w:rPr>
                <w:b/>
                <w:bCs/>
                <w:sz w:val="20"/>
                <w:szCs w:val="20"/>
                <w:lang w:val="en-CA" w:eastAsia="en-CA"/>
              </w:rPr>
            </w:pPr>
            <w:r>
              <w:rPr>
                <w:b/>
                <w:bCs/>
                <w:sz w:val="20"/>
                <w:szCs w:val="20"/>
                <w:lang w:val="en-CA" w:eastAsia="en-CA"/>
              </w:rPr>
              <w:t>Fondos desembolsados en 2018 (</w:t>
            </w:r>
            <w:r w:rsidR="00A70444" w:rsidRPr="00A051CF">
              <w:rPr>
                <w:b/>
                <w:bCs/>
                <w:sz w:val="20"/>
                <w:szCs w:val="20"/>
                <w:lang w:val="en-CA" w:eastAsia="en-CA"/>
              </w:rPr>
              <w:t>$</w:t>
            </w:r>
            <w:r>
              <w:rPr>
                <w:b/>
                <w:bCs/>
                <w:sz w:val="20"/>
                <w:szCs w:val="20"/>
                <w:lang w:val="en-CA" w:eastAsia="en-CA"/>
              </w:rPr>
              <w:t>EUA</w:t>
            </w:r>
            <w:r w:rsidR="00A70444" w:rsidRPr="00A051CF">
              <w:rPr>
                <w:b/>
                <w:bCs/>
                <w:sz w:val="20"/>
                <w:szCs w:val="20"/>
                <w:lang w:val="en-CA" w:eastAsia="en-CA"/>
              </w:rPr>
              <w:t>)</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32E212B9" w14:textId="77777777" w:rsidR="00A70444" w:rsidRPr="00C77C28" w:rsidRDefault="00C77C28" w:rsidP="000B114B">
            <w:pPr>
              <w:keepNext/>
              <w:jc w:val="center"/>
              <w:rPr>
                <w:b/>
                <w:bCs/>
                <w:sz w:val="20"/>
                <w:szCs w:val="20"/>
                <w:lang w:val="es-ES" w:eastAsia="en-CA"/>
              </w:rPr>
            </w:pPr>
            <w:r w:rsidRPr="00C77C28">
              <w:rPr>
                <w:b/>
                <w:bCs/>
                <w:sz w:val="20"/>
                <w:szCs w:val="20"/>
                <w:lang w:val="es-ES" w:eastAsia="en-CA"/>
              </w:rPr>
              <w:t>Porcentaje de desembolso respect de lo estimado en</w:t>
            </w:r>
            <w:r w:rsidR="00A70444" w:rsidRPr="00C77C28">
              <w:rPr>
                <w:b/>
                <w:bCs/>
                <w:sz w:val="20"/>
                <w:szCs w:val="20"/>
                <w:lang w:val="es-ES" w:eastAsia="en-CA"/>
              </w:rPr>
              <w:t xml:space="preserve">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25F504EC" w14:textId="77777777" w:rsidR="00A70444" w:rsidRPr="00C77C28" w:rsidRDefault="00C77C28" w:rsidP="000B114B">
            <w:pPr>
              <w:keepNext/>
              <w:jc w:val="center"/>
              <w:rPr>
                <w:b/>
                <w:bCs/>
                <w:sz w:val="20"/>
                <w:szCs w:val="20"/>
                <w:lang w:val="es-ES" w:eastAsia="en-CA"/>
              </w:rPr>
            </w:pPr>
            <w:r w:rsidRPr="00C77C28">
              <w:rPr>
                <w:b/>
                <w:bCs/>
                <w:sz w:val="20"/>
                <w:szCs w:val="20"/>
                <w:lang w:val="es-ES" w:eastAsia="en-CA"/>
              </w:rPr>
              <w:t>Porcentaje de proyectos programados terminados en</w:t>
            </w:r>
            <w:r w:rsidR="00A70444" w:rsidRPr="00C77C28">
              <w:rPr>
                <w:b/>
                <w:bCs/>
                <w:sz w:val="20"/>
                <w:szCs w:val="20"/>
                <w:lang w:val="es-ES" w:eastAsia="en-CA"/>
              </w:rPr>
              <w:t xml:space="preserve"> 2018</w:t>
            </w:r>
          </w:p>
        </w:tc>
      </w:tr>
      <w:tr w:rsidR="00A70444" w:rsidRPr="00A051CF" w14:paraId="60BA49D2"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1D0680" w14:textId="77777777" w:rsidR="00A70444" w:rsidRPr="00A051CF" w:rsidRDefault="00A70444" w:rsidP="000B114B">
            <w:pPr>
              <w:jc w:val="left"/>
              <w:rPr>
                <w:sz w:val="20"/>
                <w:szCs w:val="20"/>
                <w:lang w:val="en-CA" w:eastAsia="en-CA"/>
              </w:rPr>
            </w:pPr>
            <w:r w:rsidRPr="00A051CF">
              <w:rPr>
                <w:sz w:val="20"/>
                <w:szCs w:val="20"/>
                <w:lang w:val="en-CA" w:eastAsia="en-CA"/>
              </w:rPr>
              <w:t>Argentina</w:t>
            </w:r>
          </w:p>
        </w:tc>
        <w:tc>
          <w:tcPr>
            <w:tcW w:w="1333" w:type="dxa"/>
            <w:tcBorders>
              <w:top w:val="nil"/>
              <w:left w:val="nil"/>
              <w:bottom w:val="single" w:sz="4" w:space="0" w:color="auto"/>
              <w:right w:val="single" w:sz="4" w:space="0" w:color="auto"/>
            </w:tcBorders>
            <w:shd w:val="clear" w:color="auto" w:fill="auto"/>
            <w:noWrap/>
            <w:vAlign w:val="bottom"/>
            <w:hideMark/>
          </w:tcPr>
          <w:p w14:paraId="6D8F4B8B" w14:textId="1D3C7BF9" w:rsidR="00A70444" w:rsidRPr="00A051CF" w:rsidRDefault="00A70444" w:rsidP="000B114B">
            <w:pPr>
              <w:jc w:val="right"/>
              <w:rPr>
                <w:sz w:val="20"/>
                <w:szCs w:val="20"/>
                <w:lang w:val="en-CA" w:eastAsia="en-CA"/>
              </w:rPr>
            </w:pPr>
            <w:r w:rsidRPr="00A051CF">
              <w:rPr>
                <w:sz w:val="20"/>
                <w:szCs w:val="20"/>
                <w:lang w:val="en-CA" w:eastAsia="en-CA"/>
              </w:rPr>
              <w:t>0</w:t>
            </w:r>
            <w:r w:rsidR="00A86723">
              <w:rPr>
                <w:sz w:val="20"/>
                <w:szCs w:val="20"/>
                <w:lang w:val="en-CA" w:eastAsia="en-CA"/>
              </w:rPr>
              <w:t xml:space="preserve">, </w:t>
            </w: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2D51F4AE"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3C248151" w14:textId="73B2F8C2" w:rsidR="00A70444" w:rsidRPr="00A051CF" w:rsidRDefault="00A70444" w:rsidP="000B114B">
            <w:pPr>
              <w:jc w:val="right"/>
              <w:rPr>
                <w:sz w:val="20"/>
                <w:szCs w:val="20"/>
                <w:lang w:val="en-CA" w:eastAsia="en-CA"/>
              </w:rPr>
            </w:pPr>
            <w:r w:rsidRPr="00A051CF">
              <w:rPr>
                <w:sz w:val="20"/>
                <w:szCs w:val="20"/>
                <w:lang w:val="en-CA" w:eastAsia="en-CA"/>
              </w:rPr>
              <w:t>43</w:t>
            </w:r>
            <w:r w:rsidR="00A86723">
              <w:rPr>
                <w:sz w:val="20"/>
                <w:szCs w:val="20"/>
                <w:lang w:val="en-CA" w:eastAsia="en-CA"/>
              </w:rPr>
              <w:t xml:space="preserve"> </w:t>
            </w:r>
            <w:r w:rsidRPr="00A051CF">
              <w:rPr>
                <w:sz w:val="20"/>
                <w:szCs w:val="20"/>
                <w:lang w:val="en-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14:paraId="5F81CC8D" w14:textId="386D6A52" w:rsidR="00A70444" w:rsidRPr="00A051CF" w:rsidRDefault="00A70444" w:rsidP="000B114B">
            <w:pPr>
              <w:jc w:val="right"/>
              <w:rPr>
                <w:sz w:val="20"/>
                <w:szCs w:val="20"/>
                <w:lang w:val="en-CA" w:eastAsia="en-CA"/>
              </w:rPr>
            </w:pPr>
            <w:r w:rsidRPr="00A051CF">
              <w:rPr>
                <w:sz w:val="20"/>
                <w:szCs w:val="20"/>
                <w:lang w:val="en-CA" w:eastAsia="en-CA"/>
              </w:rPr>
              <w:t>43</w:t>
            </w:r>
            <w:r w:rsidR="00A86723">
              <w:rPr>
                <w:sz w:val="20"/>
                <w:szCs w:val="20"/>
                <w:lang w:val="en-CA" w:eastAsia="en-CA"/>
              </w:rPr>
              <w:t xml:space="preserve"> </w:t>
            </w:r>
            <w:r w:rsidRPr="00A051CF">
              <w:rPr>
                <w:sz w:val="20"/>
                <w:szCs w:val="20"/>
                <w:lang w:val="en-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14:paraId="11912C0B" w14:textId="77777777" w:rsidR="00A70444" w:rsidRPr="00A051CF" w:rsidRDefault="00A70444" w:rsidP="000B114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09536E47" w14:textId="77777777" w:rsidR="00A70444" w:rsidRPr="00A051CF" w:rsidRDefault="00A70444" w:rsidP="000B114B">
            <w:pPr>
              <w:jc w:val="right"/>
              <w:rPr>
                <w:sz w:val="20"/>
                <w:szCs w:val="20"/>
                <w:lang w:val="en-CA" w:eastAsia="en-CA"/>
              </w:rPr>
            </w:pPr>
            <w:r w:rsidRPr="00A051CF">
              <w:rPr>
                <w:sz w:val="20"/>
                <w:szCs w:val="20"/>
                <w:lang w:val="en-CA" w:eastAsia="en-CA"/>
              </w:rPr>
              <w:t>100</w:t>
            </w:r>
          </w:p>
        </w:tc>
      </w:tr>
      <w:tr w:rsidR="00A70444" w:rsidRPr="00A051CF" w14:paraId="4037785E"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AEE7AF" w14:textId="77777777" w:rsidR="00A70444" w:rsidRPr="00A051CF" w:rsidRDefault="00A70444" w:rsidP="000B114B">
            <w:pPr>
              <w:jc w:val="left"/>
              <w:rPr>
                <w:sz w:val="20"/>
                <w:szCs w:val="20"/>
                <w:lang w:val="en-CA" w:eastAsia="en-CA"/>
              </w:rPr>
            </w:pPr>
            <w:r w:rsidRPr="00A051CF">
              <w:rPr>
                <w:sz w:val="20"/>
                <w:szCs w:val="20"/>
                <w:lang w:val="en-CA" w:eastAsia="en-CA"/>
              </w:rPr>
              <w:t>China</w:t>
            </w:r>
          </w:p>
        </w:tc>
        <w:tc>
          <w:tcPr>
            <w:tcW w:w="1333" w:type="dxa"/>
            <w:tcBorders>
              <w:top w:val="nil"/>
              <w:left w:val="nil"/>
              <w:bottom w:val="single" w:sz="4" w:space="0" w:color="auto"/>
              <w:right w:val="single" w:sz="4" w:space="0" w:color="auto"/>
            </w:tcBorders>
            <w:shd w:val="clear" w:color="auto" w:fill="auto"/>
            <w:noWrap/>
            <w:vAlign w:val="bottom"/>
            <w:hideMark/>
          </w:tcPr>
          <w:p w14:paraId="01FB2215" w14:textId="346CC045" w:rsidR="00A70444" w:rsidRPr="00A051CF" w:rsidRDefault="00A70444" w:rsidP="000B114B">
            <w:pPr>
              <w:jc w:val="right"/>
              <w:rPr>
                <w:sz w:val="20"/>
                <w:szCs w:val="20"/>
                <w:lang w:val="en-CA" w:eastAsia="en-CA"/>
              </w:rPr>
            </w:pPr>
            <w:r w:rsidRPr="00A051CF">
              <w:rPr>
                <w:sz w:val="20"/>
                <w:szCs w:val="20"/>
                <w:lang w:val="en-CA" w:eastAsia="en-CA"/>
              </w:rPr>
              <w:t>0</w:t>
            </w:r>
            <w:r w:rsidR="00A86723">
              <w:rPr>
                <w:sz w:val="20"/>
                <w:szCs w:val="20"/>
                <w:lang w:val="en-CA" w:eastAsia="en-CA"/>
              </w:rPr>
              <w:t xml:space="preserve">, </w:t>
            </w: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1A573CA0"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14:paraId="1FBD7410" w14:textId="04949D14" w:rsidR="00A70444" w:rsidRPr="00A051CF" w:rsidRDefault="00A70444" w:rsidP="000B114B">
            <w:pPr>
              <w:jc w:val="right"/>
              <w:rPr>
                <w:sz w:val="20"/>
                <w:szCs w:val="20"/>
                <w:lang w:val="en-CA" w:eastAsia="en-CA"/>
              </w:rPr>
            </w:pPr>
            <w:r w:rsidRPr="00A051CF">
              <w:rPr>
                <w:sz w:val="20"/>
                <w:szCs w:val="20"/>
                <w:lang w:val="en-CA" w:eastAsia="en-CA"/>
              </w:rPr>
              <w:t>5</w:t>
            </w:r>
            <w:r w:rsidR="00A86723">
              <w:rPr>
                <w:sz w:val="20"/>
                <w:szCs w:val="20"/>
                <w:lang w:val="en-CA" w:eastAsia="en-CA"/>
              </w:rPr>
              <w:t xml:space="preserve"> </w:t>
            </w:r>
            <w:r w:rsidRPr="00A051CF">
              <w:rPr>
                <w:sz w:val="20"/>
                <w:szCs w:val="20"/>
                <w:lang w:val="en-CA" w:eastAsia="en-CA"/>
              </w:rPr>
              <w:t>868</w:t>
            </w:r>
            <w:r w:rsidR="00A86723">
              <w:rPr>
                <w:sz w:val="20"/>
                <w:szCs w:val="20"/>
                <w:lang w:val="en-CA" w:eastAsia="en-CA"/>
              </w:rPr>
              <w:t xml:space="preserve"> </w:t>
            </w:r>
            <w:r w:rsidRPr="00A051CF">
              <w:rPr>
                <w:sz w:val="20"/>
                <w:szCs w:val="20"/>
                <w:lang w:val="en-CA" w:eastAsia="en-CA"/>
              </w:rPr>
              <w:t>312</w:t>
            </w:r>
          </w:p>
        </w:tc>
        <w:tc>
          <w:tcPr>
            <w:tcW w:w="1333" w:type="dxa"/>
            <w:tcBorders>
              <w:top w:val="nil"/>
              <w:left w:val="nil"/>
              <w:bottom w:val="single" w:sz="4" w:space="0" w:color="auto"/>
              <w:right w:val="single" w:sz="4" w:space="0" w:color="auto"/>
            </w:tcBorders>
            <w:shd w:val="clear" w:color="auto" w:fill="auto"/>
            <w:noWrap/>
            <w:vAlign w:val="bottom"/>
            <w:hideMark/>
          </w:tcPr>
          <w:p w14:paraId="421A3B31" w14:textId="7667DD97" w:rsidR="00A70444" w:rsidRPr="00A051CF" w:rsidRDefault="00A70444" w:rsidP="000B114B">
            <w:pPr>
              <w:jc w:val="right"/>
              <w:rPr>
                <w:sz w:val="20"/>
                <w:szCs w:val="20"/>
                <w:lang w:val="en-CA" w:eastAsia="en-CA"/>
              </w:rPr>
            </w:pPr>
            <w:r w:rsidRPr="00A051CF">
              <w:rPr>
                <w:sz w:val="20"/>
                <w:szCs w:val="20"/>
                <w:lang w:val="en-CA" w:eastAsia="en-CA"/>
              </w:rPr>
              <w:t>2</w:t>
            </w:r>
            <w:r w:rsidR="00A86723">
              <w:rPr>
                <w:sz w:val="20"/>
                <w:szCs w:val="20"/>
                <w:lang w:val="en-CA" w:eastAsia="en-CA"/>
              </w:rPr>
              <w:t xml:space="preserve"> </w:t>
            </w:r>
            <w:r w:rsidRPr="00A051CF">
              <w:rPr>
                <w:sz w:val="20"/>
                <w:szCs w:val="20"/>
                <w:lang w:val="en-CA" w:eastAsia="en-CA"/>
              </w:rPr>
              <w:t>320</w:t>
            </w:r>
            <w:r w:rsidR="00A86723">
              <w:rPr>
                <w:sz w:val="20"/>
                <w:szCs w:val="20"/>
                <w:lang w:val="en-CA" w:eastAsia="en-CA"/>
              </w:rPr>
              <w:t xml:space="preserve"> </w:t>
            </w:r>
            <w:r w:rsidRPr="00A051CF">
              <w:rPr>
                <w:sz w:val="20"/>
                <w:szCs w:val="20"/>
                <w:lang w:val="en-CA" w:eastAsia="en-CA"/>
              </w:rPr>
              <w:t>337</w:t>
            </w:r>
          </w:p>
        </w:tc>
        <w:tc>
          <w:tcPr>
            <w:tcW w:w="1333" w:type="dxa"/>
            <w:tcBorders>
              <w:top w:val="nil"/>
              <w:left w:val="nil"/>
              <w:bottom w:val="single" w:sz="4" w:space="0" w:color="auto"/>
              <w:right w:val="single" w:sz="4" w:space="0" w:color="auto"/>
            </w:tcBorders>
            <w:shd w:val="clear" w:color="auto" w:fill="auto"/>
            <w:noWrap/>
            <w:vAlign w:val="bottom"/>
            <w:hideMark/>
          </w:tcPr>
          <w:p w14:paraId="035D952E" w14:textId="77777777" w:rsidR="00A70444" w:rsidRPr="00A051CF" w:rsidRDefault="00A70444" w:rsidP="000B114B">
            <w:pPr>
              <w:jc w:val="right"/>
              <w:rPr>
                <w:sz w:val="20"/>
                <w:szCs w:val="20"/>
                <w:lang w:val="en-CA" w:eastAsia="en-CA"/>
              </w:rPr>
            </w:pPr>
            <w:r w:rsidRPr="00A051CF">
              <w:rPr>
                <w:sz w:val="20"/>
                <w:szCs w:val="20"/>
                <w:lang w:val="en-CA" w:eastAsia="en-CA"/>
              </w:rPr>
              <w:t>40</w:t>
            </w:r>
          </w:p>
        </w:tc>
        <w:tc>
          <w:tcPr>
            <w:tcW w:w="1334" w:type="dxa"/>
            <w:tcBorders>
              <w:top w:val="nil"/>
              <w:left w:val="nil"/>
              <w:bottom w:val="single" w:sz="4" w:space="0" w:color="auto"/>
              <w:right w:val="single" w:sz="4" w:space="0" w:color="auto"/>
            </w:tcBorders>
            <w:shd w:val="clear" w:color="auto" w:fill="auto"/>
            <w:noWrap/>
            <w:vAlign w:val="bottom"/>
            <w:hideMark/>
          </w:tcPr>
          <w:p w14:paraId="3830B90A" w14:textId="77777777" w:rsidR="00A70444" w:rsidRPr="00A051CF" w:rsidRDefault="00A70444" w:rsidP="000B114B">
            <w:pPr>
              <w:jc w:val="right"/>
              <w:rPr>
                <w:sz w:val="20"/>
                <w:szCs w:val="20"/>
                <w:lang w:val="en-CA" w:eastAsia="en-CA"/>
              </w:rPr>
            </w:pPr>
            <w:r w:rsidRPr="00A051CF">
              <w:rPr>
                <w:sz w:val="20"/>
                <w:szCs w:val="20"/>
                <w:lang w:val="en-CA" w:eastAsia="en-CA"/>
              </w:rPr>
              <w:t>60</w:t>
            </w:r>
          </w:p>
        </w:tc>
      </w:tr>
      <w:tr w:rsidR="00A70444" w:rsidRPr="00A051CF" w14:paraId="4D35A829"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118FC8" w14:textId="77777777" w:rsidR="00A70444" w:rsidRPr="00A051CF" w:rsidRDefault="00A70444" w:rsidP="000B114B">
            <w:pPr>
              <w:jc w:val="left"/>
              <w:rPr>
                <w:sz w:val="20"/>
                <w:szCs w:val="20"/>
                <w:lang w:val="en-CA" w:eastAsia="en-CA"/>
              </w:rPr>
            </w:pPr>
            <w:r w:rsidRPr="00A051CF">
              <w:rPr>
                <w:sz w:val="20"/>
                <w:szCs w:val="20"/>
                <w:lang w:val="en-CA" w:eastAsia="en-CA"/>
              </w:rPr>
              <w:t>Indonesia</w:t>
            </w:r>
          </w:p>
        </w:tc>
        <w:tc>
          <w:tcPr>
            <w:tcW w:w="1333" w:type="dxa"/>
            <w:tcBorders>
              <w:top w:val="nil"/>
              <w:left w:val="nil"/>
              <w:bottom w:val="single" w:sz="4" w:space="0" w:color="auto"/>
              <w:right w:val="single" w:sz="4" w:space="0" w:color="auto"/>
            </w:tcBorders>
            <w:shd w:val="clear" w:color="auto" w:fill="auto"/>
            <w:noWrap/>
            <w:vAlign w:val="bottom"/>
            <w:hideMark/>
          </w:tcPr>
          <w:p w14:paraId="5BC5B921" w14:textId="4B18F57A" w:rsidR="00A70444" w:rsidRPr="00A051CF" w:rsidRDefault="00A70444" w:rsidP="000B114B">
            <w:pPr>
              <w:jc w:val="right"/>
              <w:rPr>
                <w:sz w:val="20"/>
                <w:szCs w:val="20"/>
                <w:lang w:val="en-CA" w:eastAsia="en-CA"/>
              </w:rPr>
            </w:pPr>
            <w:r w:rsidRPr="00A051CF">
              <w:rPr>
                <w:sz w:val="20"/>
                <w:szCs w:val="20"/>
                <w:lang w:val="en-CA" w:eastAsia="en-CA"/>
              </w:rPr>
              <w:t>19</w:t>
            </w:r>
            <w:r w:rsidR="00A86723">
              <w:rPr>
                <w:sz w:val="20"/>
                <w:szCs w:val="20"/>
                <w:lang w:val="en-CA" w:eastAsia="en-CA"/>
              </w:rPr>
              <w:t xml:space="preserve"> ,</w:t>
            </w:r>
            <w:r w:rsidRPr="00A051CF">
              <w:rPr>
                <w:sz w:val="20"/>
                <w:szCs w:val="20"/>
                <w:lang w:val="en-CA" w:eastAsia="en-CA"/>
              </w:rPr>
              <w:t>9</w:t>
            </w:r>
          </w:p>
        </w:tc>
        <w:tc>
          <w:tcPr>
            <w:tcW w:w="1333" w:type="dxa"/>
            <w:tcBorders>
              <w:top w:val="nil"/>
              <w:left w:val="nil"/>
              <w:bottom w:val="single" w:sz="4" w:space="0" w:color="auto"/>
              <w:right w:val="single" w:sz="4" w:space="0" w:color="auto"/>
            </w:tcBorders>
            <w:shd w:val="clear" w:color="auto" w:fill="auto"/>
            <w:noWrap/>
            <w:vAlign w:val="bottom"/>
            <w:hideMark/>
          </w:tcPr>
          <w:p w14:paraId="4B5C2026"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284A20A2" w14:textId="65A37801" w:rsidR="00A70444" w:rsidRPr="00A051CF" w:rsidRDefault="00A70444" w:rsidP="000B114B">
            <w:pPr>
              <w:jc w:val="right"/>
              <w:rPr>
                <w:sz w:val="20"/>
                <w:szCs w:val="20"/>
                <w:lang w:val="en-CA" w:eastAsia="en-CA"/>
              </w:rPr>
            </w:pPr>
            <w:r w:rsidRPr="00A051CF">
              <w:rPr>
                <w:sz w:val="20"/>
                <w:szCs w:val="20"/>
                <w:lang w:val="en-CA" w:eastAsia="en-CA"/>
              </w:rPr>
              <w:t>1</w:t>
            </w:r>
            <w:r w:rsidR="00A86723">
              <w:rPr>
                <w:sz w:val="20"/>
                <w:szCs w:val="20"/>
                <w:lang w:val="en-CA" w:eastAsia="en-CA"/>
              </w:rPr>
              <w:t xml:space="preserve"> </w:t>
            </w:r>
            <w:r w:rsidRPr="00A051CF">
              <w:rPr>
                <w:sz w:val="20"/>
                <w:szCs w:val="20"/>
                <w:lang w:val="en-CA" w:eastAsia="en-CA"/>
              </w:rPr>
              <w:t>630</w:t>
            </w:r>
            <w:r w:rsidR="00A86723">
              <w:rPr>
                <w:sz w:val="20"/>
                <w:szCs w:val="20"/>
                <w:lang w:val="en-CA" w:eastAsia="en-CA"/>
              </w:rPr>
              <w:t xml:space="preserve"> </w:t>
            </w:r>
            <w:r w:rsidRPr="00A051CF">
              <w:rPr>
                <w:sz w:val="20"/>
                <w:szCs w:val="20"/>
                <w:lang w:val="en-CA" w:eastAsia="en-CA"/>
              </w:rPr>
              <w:t>480</w:t>
            </w:r>
          </w:p>
        </w:tc>
        <w:tc>
          <w:tcPr>
            <w:tcW w:w="1333" w:type="dxa"/>
            <w:tcBorders>
              <w:top w:val="nil"/>
              <w:left w:val="nil"/>
              <w:bottom w:val="single" w:sz="4" w:space="0" w:color="auto"/>
              <w:right w:val="single" w:sz="4" w:space="0" w:color="auto"/>
            </w:tcBorders>
            <w:shd w:val="clear" w:color="auto" w:fill="auto"/>
            <w:noWrap/>
            <w:vAlign w:val="bottom"/>
            <w:hideMark/>
          </w:tcPr>
          <w:p w14:paraId="3ED29DA0" w14:textId="65D1CBC9" w:rsidR="00A70444" w:rsidRPr="00A051CF" w:rsidRDefault="00A70444" w:rsidP="000B114B">
            <w:pPr>
              <w:jc w:val="right"/>
              <w:rPr>
                <w:sz w:val="20"/>
                <w:szCs w:val="20"/>
                <w:lang w:val="en-CA" w:eastAsia="en-CA"/>
              </w:rPr>
            </w:pPr>
            <w:r w:rsidRPr="00A051CF">
              <w:rPr>
                <w:sz w:val="20"/>
                <w:szCs w:val="20"/>
                <w:lang w:val="en-CA" w:eastAsia="en-CA"/>
              </w:rPr>
              <w:t>1</w:t>
            </w:r>
            <w:r w:rsidR="00A86723">
              <w:rPr>
                <w:sz w:val="20"/>
                <w:szCs w:val="20"/>
                <w:lang w:val="en-CA" w:eastAsia="en-CA"/>
              </w:rPr>
              <w:t xml:space="preserve"> </w:t>
            </w:r>
            <w:r w:rsidRPr="00A051CF">
              <w:rPr>
                <w:sz w:val="20"/>
                <w:szCs w:val="20"/>
                <w:lang w:val="en-CA" w:eastAsia="en-CA"/>
              </w:rPr>
              <w:t>600</w:t>
            </w:r>
            <w:r w:rsidR="00A86723">
              <w:rPr>
                <w:sz w:val="20"/>
                <w:szCs w:val="20"/>
                <w:lang w:val="en-CA" w:eastAsia="en-CA"/>
              </w:rPr>
              <w:t xml:space="preserve"> </w:t>
            </w:r>
            <w:r w:rsidRPr="00A051CF">
              <w:rPr>
                <w:sz w:val="20"/>
                <w:szCs w:val="20"/>
                <w:lang w:val="en-CA" w:eastAsia="en-CA"/>
              </w:rPr>
              <w:t>596</w:t>
            </w:r>
          </w:p>
        </w:tc>
        <w:tc>
          <w:tcPr>
            <w:tcW w:w="1333" w:type="dxa"/>
            <w:tcBorders>
              <w:top w:val="nil"/>
              <w:left w:val="nil"/>
              <w:bottom w:val="single" w:sz="4" w:space="0" w:color="auto"/>
              <w:right w:val="single" w:sz="4" w:space="0" w:color="auto"/>
            </w:tcBorders>
            <w:shd w:val="clear" w:color="auto" w:fill="auto"/>
            <w:noWrap/>
            <w:vAlign w:val="bottom"/>
            <w:hideMark/>
          </w:tcPr>
          <w:p w14:paraId="30F5D480" w14:textId="77777777" w:rsidR="00A70444" w:rsidRPr="00A051CF" w:rsidRDefault="00A70444" w:rsidP="000B114B">
            <w:pPr>
              <w:jc w:val="right"/>
              <w:rPr>
                <w:sz w:val="20"/>
                <w:szCs w:val="20"/>
                <w:lang w:val="en-CA" w:eastAsia="en-CA"/>
              </w:rPr>
            </w:pPr>
            <w:r w:rsidRPr="00A051CF">
              <w:rPr>
                <w:sz w:val="20"/>
                <w:szCs w:val="20"/>
                <w:lang w:val="en-CA" w:eastAsia="en-CA"/>
              </w:rPr>
              <w:t>98</w:t>
            </w:r>
          </w:p>
        </w:tc>
        <w:tc>
          <w:tcPr>
            <w:tcW w:w="1334" w:type="dxa"/>
            <w:tcBorders>
              <w:top w:val="nil"/>
              <w:left w:val="nil"/>
              <w:bottom w:val="single" w:sz="4" w:space="0" w:color="auto"/>
              <w:right w:val="single" w:sz="4" w:space="0" w:color="auto"/>
            </w:tcBorders>
            <w:shd w:val="clear" w:color="auto" w:fill="auto"/>
            <w:noWrap/>
            <w:vAlign w:val="bottom"/>
            <w:hideMark/>
          </w:tcPr>
          <w:p w14:paraId="61E5F004" w14:textId="77777777" w:rsidR="00A70444" w:rsidRPr="00A051CF" w:rsidRDefault="00A70444" w:rsidP="000B114B">
            <w:pPr>
              <w:jc w:val="left"/>
              <w:rPr>
                <w:sz w:val="20"/>
                <w:szCs w:val="20"/>
                <w:lang w:val="en-CA" w:eastAsia="en-CA"/>
              </w:rPr>
            </w:pPr>
            <w:r w:rsidRPr="00A051CF">
              <w:rPr>
                <w:sz w:val="20"/>
                <w:szCs w:val="20"/>
                <w:lang w:val="en-CA" w:eastAsia="en-CA"/>
              </w:rPr>
              <w:t> </w:t>
            </w:r>
          </w:p>
        </w:tc>
      </w:tr>
      <w:tr w:rsidR="00A70444" w:rsidRPr="00A051CF" w14:paraId="48371773"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811D84" w14:textId="77777777" w:rsidR="00A70444" w:rsidRPr="00A051CF" w:rsidRDefault="00A70444" w:rsidP="000B114B">
            <w:pPr>
              <w:jc w:val="left"/>
              <w:rPr>
                <w:sz w:val="20"/>
                <w:szCs w:val="20"/>
                <w:lang w:val="en-CA" w:eastAsia="en-CA"/>
              </w:rPr>
            </w:pPr>
            <w:r w:rsidRPr="00A051CF">
              <w:rPr>
                <w:sz w:val="20"/>
                <w:szCs w:val="20"/>
                <w:lang w:val="en-CA" w:eastAsia="en-CA"/>
              </w:rPr>
              <w:t>Jordan</w:t>
            </w:r>
            <w:r w:rsidR="00C77C28">
              <w:rPr>
                <w:sz w:val="20"/>
                <w:szCs w:val="20"/>
                <w:lang w:val="en-CA" w:eastAsia="en-CA"/>
              </w:rPr>
              <w:t>ia</w:t>
            </w:r>
          </w:p>
        </w:tc>
        <w:tc>
          <w:tcPr>
            <w:tcW w:w="1333" w:type="dxa"/>
            <w:tcBorders>
              <w:top w:val="nil"/>
              <w:left w:val="nil"/>
              <w:bottom w:val="single" w:sz="4" w:space="0" w:color="auto"/>
              <w:right w:val="single" w:sz="4" w:space="0" w:color="auto"/>
            </w:tcBorders>
            <w:shd w:val="clear" w:color="auto" w:fill="auto"/>
            <w:noWrap/>
            <w:vAlign w:val="bottom"/>
            <w:hideMark/>
          </w:tcPr>
          <w:p w14:paraId="5A5604A7" w14:textId="42FDBE66" w:rsidR="00A70444" w:rsidRPr="00A051CF" w:rsidRDefault="00A70444" w:rsidP="000B114B">
            <w:pPr>
              <w:jc w:val="right"/>
              <w:rPr>
                <w:sz w:val="20"/>
                <w:szCs w:val="20"/>
                <w:lang w:val="en-CA" w:eastAsia="en-CA"/>
              </w:rPr>
            </w:pPr>
            <w:r w:rsidRPr="00A051CF">
              <w:rPr>
                <w:sz w:val="20"/>
                <w:szCs w:val="20"/>
                <w:lang w:val="en-CA" w:eastAsia="en-CA"/>
              </w:rPr>
              <w:t>0</w:t>
            </w:r>
            <w:r w:rsidR="00A86723">
              <w:rPr>
                <w:sz w:val="20"/>
                <w:szCs w:val="20"/>
                <w:lang w:val="en-CA" w:eastAsia="en-CA"/>
              </w:rPr>
              <w:t>,</w:t>
            </w:r>
            <w:r w:rsidR="00543286">
              <w:rPr>
                <w:sz w:val="20"/>
                <w:szCs w:val="20"/>
                <w:lang w:val="en-CA" w:eastAsia="en-CA"/>
              </w:rPr>
              <w:t xml:space="preserve"> </w:t>
            </w: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30FD613F"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03887AEB" w14:textId="7E9DCDAD" w:rsidR="00A70444" w:rsidRPr="00A051CF" w:rsidRDefault="00A70444" w:rsidP="000B114B">
            <w:pPr>
              <w:jc w:val="right"/>
              <w:rPr>
                <w:sz w:val="20"/>
                <w:szCs w:val="20"/>
                <w:lang w:val="en-CA" w:eastAsia="en-CA"/>
              </w:rPr>
            </w:pPr>
            <w:r w:rsidRPr="00A051CF">
              <w:rPr>
                <w:sz w:val="20"/>
                <w:szCs w:val="20"/>
                <w:lang w:val="en-CA" w:eastAsia="en-CA"/>
              </w:rPr>
              <w:t>444</w:t>
            </w:r>
            <w:r w:rsidR="00A86723">
              <w:rPr>
                <w:sz w:val="20"/>
                <w:szCs w:val="20"/>
                <w:lang w:val="en-CA" w:eastAsia="en-CA"/>
              </w:rPr>
              <w:t xml:space="preserve"> </w:t>
            </w:r>
            <w:r w:rsidRPr="00A051CF">
              <w:rPr>
                <w:sz w:val="20"/>
                <w:szCs w:val="20"/>
                <w:lang w:val="en-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14:paraId="25E0325C" w14:textId="1E26C0E2" w:rsidR="00A70444" w:rsidRPr="00A051CF" w:rsidRDefault="00A70444" w:rsidP="000B114B">
            <w:pPr>
              <w:jc w:val="right"/>
              <w:rPr>
                <w:sz w:val="20"/>
                <w:szCs w:val="20"/>
                <w:lang w:val="en-CA" w:eastAsia="en-CA"/>
              </w:rPr>
            </w:pPr>
            <w:r w:rsidRPr="00A051CF">
              <w:rPr>
                <w:sz w:val="20"/>
                <w:szCs w:val="20"/>
                <w:lang w:val="en-CA" w:eastAsia="en-CA"/>
              </w:rPr>
              <w:t>134</w:t>
            </w:r>
            <w:r w:rsidR="00A86723">
              <w:rPr>
                <w:sz w:val="20"/>
                <w:szCs w:val="20"/>
                <w:lang w:val="en-CA" w:eastAsia="en-CA"/>
              </w:rPr>
              <w:t xml:space="preserve"> </w:t>
            </w:r>
            <w:r w:rsidRPr="00A051CF">
              <w:rPr>
                <w:sz w:val="20"/>
                <w:szCs w:val="20"/>
                <w:lang w:val="en-CA" w:eastAsia="en-CA"/>
              </w:rPr>
              <w:t>540</w:t>
            </w:r>
          </w:p>
        </w:tc>
        <w:tc>
          <w:tcPr>
            <w:tcW w:w="1333" w:type="dxa"/>
            <w:tcBorders>
              <w:top w:val="nil"/>
              <w:left w:val="nil"/>
              <w:bottom w:val="single" w:sz="4" w:space="0" w:color="auto"/>
              <w:right w:val="single" w:sz="4" w:space="0" w:color="auto"/>
            </w:tcBorders>
            <w:shd w:val="clear" w:color="auto" w:fill="auto"/>
            <w:noWrap/>
            <w:vAlign w:val="bottom"/>
            <w:hideMark/>
          </w:tcPr>
          <w:p w14:paraId="24F8B49D" w14:textId="77777777" w:rsidR="00A70444" w:rsidRPr="00A051CF" w:rsidRDefault="00A70444" w:rsidP="000B114B">
            <w:pPr>
              <w:jc w:val="right"/>
              <w:rPr>
                <w:sz w:val="20"/>
                <w:szCs w:val="20"/>
                <w:lang w:val="en-CA" w:eastAsia="en-CA"/>
              </w:rPr>
            </w:pPr>
            <w:r w:rsidRPr="00A051CF">
              <w:rPr>
                <w:sz w:val="20"/>
                <w:szCs w:val="20"/>
                <w:lang w:val="en-CA" w:eastAsia="en-CA"/>
              </w:rPr>
              <w:t>30</w:t>
            </w:r>
          </w:p>
        </w:tc>
        <w:tc>
          <w:tcPr>
            <w:tcW w:w="1334" w:type="dxa"/>
            <w:tcBorders>
              <w:top w:val="nil"/>
              <w:left w:val="nil"/>
              <w:bottom w:val="single" w:sz="4" w:space="0" w:color="auto"/>
              <w:right w:val="single" w:sz="4" w:space="0" w:color="auto"/>
            </w:tcBorders>
            <w:shd w:val="clear" w:color="auto" w:fill="auto"/>
            <w:noWrap/>
            <w:vAlign w:val="bottom"/>
            <w:hideMark/>
          </w:tcPr>
          <w:p w14:paraId="74359F8F" w14:textId="77777777" w:rsidR="00A70444" w:rsidRPr="00A051CF" w:rsidRDefault="00A70444" w:rsidP="000B114B">
            <w:pPr>
              <w:jc w:val="right"/>
              <w:rPr>
                <w:sz w:val="20"/>
                <w:szCs w:val="20"/>
                <w:lang w:val="en-CA" w:eastAsia="en-CA"/>
              </w:rPr>
            </w:pPr>
            <w:r w:rsidRPr="00A051CF">
              <w:rPr>
                <w:sz w:val="20"/>
                <w:szCs w:val="20"/>
                <w:lang w:val="en-CA" w:eastAsia="en-CA"/>
              </w:rPr>
              <w:t>50</w:t>
            </w:r>
          </w:p>
        </w:tc>
      </w:tr>
      <w:tr w:rsidR="00A70444" w:rsidRPr="00A051CF" w14:paraId="1BF188AB"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8B8334" w14:textId="77777777" w:rsidR="00A70444" w:rsidRPr="00A051CF" w:rsidRDefault="00C77C28" w:rsidP="000B114B">
            <w:pPr>
              <w:jc w:val="left"/>
              <w:rPr>
                <w:sz w:val="20"/>
                <w:szCs w:val="20"/>
                <w:lang w:val="en-CA" w:eastAsia="en-CA"/>
              </w:rPr>
            </w:pPr>
            <w:r>
              <w:rPr>
                <w:sz w:val="20"/>
                <w:szCs w:val="20"/>
                <w:lang w:val="en-CA" w:eastAsia="en-CA"/>
              </w:rPr>
              <w:t>Arabia Saudita</w:t>
            </w:r>
          </w:p>
        </w:tc>
        <w:tc>
          <w:tcPr>
            <w:tcW w:w="1333" w:type="dxa"/>
            <w:tcBorders>
              <w:top w:val="nil"/>
              <w:left w:val="nil"/>
              <w:bottom w:val="single" w:sz="4" w:space="0" w:color="auto"/>
              <w:right w:val="single" w:sz="4" w:space="0" w:color="auto"/>
            </w:tcBorders>
            <w:shd w:val="clear" w:color="auto" w:fill="auto"/>
            <w:noWrap/>
            <w:vAlign w:val="bottom"/>
            <w:hideMark/>
          </w:tcPr>
          <w:p w14:paraId="77350EFF" w14:textId="02464C81" w:rsidR="00A70444" w:rsidRPr="00A051CF" w:rsidRDefault="00A70444" w:rsidP="000B114B">
            <w:pPr>
              <w:jc w:val="right"/>
              <w:rPr>
                <w:sz w:val="20"/>
                <w:szCs w:val="20"/>
                <w:lang w:val="en-CA" w:eastAsia="en-CA"/>
              </w:rPr>
            </w:pPr>
            <w:r w:rsidRPr="00A051CF">
              <w:rPr>
                <w:sz w:val="20"/>
                <w:szCs w:val="20"/>
                <w:lang w:val="en-CA" w:eastAsia="en-CA"/>
              </w:rPr>
              <w:t>3</w:t>
            </w:r>
            <w:r w:rsidR="00A86723">
              <w:rPr>
                <w:sz w:val="20"/>
                <w:szCs w:val="20"/>
                <w:lang w:val="en-CA" w:eastAsia="en-CA"/>
              </w:rPr>
              <w:t xml:space="preserve">, </w:t>
            </w:r>
            <w:r w:rsidRPr="00A051CF">
              <w:rPr>
                <w:sz w:val="20"/>
                <w:szCs w:val="20"/>
                <w:lang w:val="en-CA" w:eastAsia="en-CA"/>
              </w:rPr>
              <w:t>6</w:t>
            </w:r>
          </w:p>
        </w:tc>
        <w:tc>
          <w:tcPr>
            <w:tcW w:w="1333" w:type="dxa"/>
            <w:tcBorders>
              <w:top w:val="nil"/>
              <w:left w:val="nil"/>
              <w:bottom w:val="single" w:sz="4" w:space="0" w:color="auto"/>
              <w:right w:val="single" w:sz="4" w:space="0" w:color="auto"/>
            </w:tcBorders>
            <w:shd w:val="clear" w:color="auto" w:fill="auto"/>
            <w:noWrap/>
            <w:vAlign w:val="bottom"/>
            <w:hideMark/>
          </w:tcPr>
          <w:p w14:paraId="498D33D0" w14:textId="77777777" w:rsidR="00A70444" w:rsidRPr="00A051CF" w:rsidRDefault="00A70444" w:rsidP="000B114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4909910C" w14:textId="143E5DB0" w:rsidR="00A70444" w:rsidRPr="00A051CF" w:rsidRDefault="00A70444" w:rsidP="000B114B">
            <w:pPr>
              <w:jc w:val="right"/>
              <w:rPr>
                <w:sz w:val="20"/>
                <w:szCs w:val="20"/>
                <w:lang w:val="en-CA" w:eastAsia="en-CA"/>
              </w:rPr>
            </w:pPr>
            <w:r w:rsidRPr="00A051CF">
              <w:rPr>
                <w:sz w:val="20"/>
                <w:szCs w:val="20"/>
                <w:lang w:val="en-CA" w:eastAsia="en-CA"/>
              </w:rPr>
              <w:t>554</w:t>
            </w:r>
            <w:r w:rsidR="00A86723">
              <w:rPr>
                <w:sz w:val="20"/>
                <w:szCs w:val="20"/>
                <w:lang w:val="en-CA" w:eastAsia="en-CA"/>
              </w:rPr>
              <w:t xml:space="preserve"> </w:t>
            </w:r>
            <w:r w:rsidRPr="00A051CF">
              <w:rPr>
                <w:sz w:val="20"/>
                <w:szCs w:val="20"/>
                <w:lang w:val="en-CA" w:eastAsia="en-CA"/>
              </w:rPr>
              <w:t>400</w:t>
            </w:r>
          </w:p>
        </w:tc>
        <w:tc>
          <w:tcPr>
            <w:tcW w:w="1333" w:type="dxa"/>
            <w:tcBorders>
              <w:top w:val="nil"/>
              <w:left w:val="nil"/>
              <w:bottom w:val="single" w:sz="4" w:space="0" w:color="auto"/>
              <w:right w:val="single" w:sz="4" w:space="0" w:color="auto"/>
            </w:tcBorders>
            <w:shd w:val="clear" w:color="auto" w:fill="auto"/>
            <w:noWrap/>
            <w:vAlign w:val="bottom"/>
            <w:hideMark/>
          </w:tcPr>
          <w:p w14:paraId="0F0E5513" w14:textId="19672D2C" w:rsidR="00A70444" w:rsidRPr="00A051CF" w:rsidRDefault="00A70444" w:rsidP="000B114B">
            <w:pPr>
              <w:jc w:val="right"/>
              <w:rPr>
                <w:sz w:val="20"/>
                <w:szCs w:val="20"/>
                <w:lang w:val="en-CA" w:eastAsia="en-CA"/>
              </w:rPr>
            </w:pPr>
            <w:r w:rsidRPr="00A051CF">
              <w:rPr>
                <w:sz w:val="20"/>
                <w:szCs w:val="20"/>
                <w:lang w:val="en-CA" w:eastAsia="en-CA"/>
              </w:rPr>
              <w:t>477</w:t>
            </w:r>
            <w:r w:rsidR="00A86723">
              <w:rPr>
                <w:sz w:val="20"/>
                <w:szCs w:val="20"/>
                <w:lang w:val="en-CA" w:eastAsia="en-CA"/>
              </w:rPr>
              <w:t xml:space="preserve"> </w:t>
            </w:r>
            <w:r w:rsidRPr="00A051CF">
              <w:rPr>
                <w:sz w:val="20"/>
                <w:szCs w:val="20"/>
                <w:lang w:val="en-CA" w:eastAsia="en-CA"/>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33E279F8" w14:textId="77777777" w:rsidR="00A70444" w:rsidRPr="00A051CF" w:rsidRDefault="00A70444" w:rsidP="000B114B">
            <w:pPr>
              <w:jc w:val="right"/>
              <w:rPr>
                <w:sz w:val="20"/>
                <w:szCs w:val="20"/>
                <w:lang w:val="en-CA" w:eastAsia="en-CA"/>
              </w:rPr>
            </w:pPr>
            <w:r w:rsidRPr="00A051CF">
              <w:rPr>
                <w:sz w:val="20"/>
                <w:szCs w:val="20"/>
                <w:lang w:val="en-CA" w:eastAsia="en-CA"/>
              </w:rPr>
              <w:t>86</w:t>
            </w:r>
          </w:p>
        </w:tc>
        <w:tc>
          <w:tcPr>
            <w:tcW w:w="1334" w:type="dxa"/>
            <w:tcBorders>
              <w:top w:val="nil"/>
              <w:left w:val="nil"/>
              <w:bottom w:val="single" w:sz="4" w:space="0" w:color="auto"/>
              <w:right w:val="single" w:sz="4" w:space="0" w:color="auto"/>
            </w:tcBorders>
            <w:shd w:val="clear" w:color="auto" w:fill="auto"/>
            <w:noWrap/>
            <w:vAlign w:val="bottom"/>
            <w:hideMark/>
          </w:tcPr>
          <w:p w14:paraId="126DDE30" w14:textId="77777777" w:rsidR="00A70444" w:rsidRPr="00A051CF" w:rsidRDefault="00A70444" w:rsidP="000B114B">
            <w:pPr>
              <w:jc w:val="right"/>
              <w:rPr>
                <w:sz w:val="20"/>
                <w:szCs w:val="20"/>
                <w:lang w:val="en-CA" w:eastAsia="en-CA"/>
              </w:rPr>
            </w:pPr>
            <w:r w:rsidRPr="00A051CF">
              <w:rPr>
                <w:sz w:val="20"/>
                <w:szCs w:val="20"/>
                <w:lang w:val="en-CA" w:eastAsia="en-CA"/>
              </w:rPr>
              <w:t>100</w:t>
            </w:r>
          </w:p>
        </w:tc>
      </w:tr>
      <w:tr w:rsidR="00A70444" w:rsidRPr="00A051CF" w14:paraId="14A28387"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C14C890" w14:textId="77777777" w:rsidR="00A70444" w:rsidRPr="00A051CF" w:rsidRDefault="00A70444" w:rsidP="00C77C28">
            <w:pPr>
              <w:jc w:val="left"/>
              <w:rPr>
                <w:sz w:val="20"/>
                <w:szCs w:val="20"/>
                <w:lang w:val="en-CA" w:eastAsia="en-CA"/>
              </w:rPr>
            </w:pPr>
            <w:r w:rsidRPr="00A051CF">
              <w:rPr>
                <w:sz w:val="20"/>
                <w:szCs w:val="20"/>
                <w:lang w:val="en-CA" w:eastAsia="en-CA"/>
              </w:rPr>
              <w:t>T</w:t>
            </w:r>
            <w:r w:rsidR="00C77C28">
              <w:rPr>
                <w:sz w:val="20"/>
                <w:szCs w:val="20"/>
                <w:lang w:val="en-CA" w:eastAsia="en-CA"/>
              </w:rPr>
              <w:t>ailandia</w:t>
            </w:r>
          </w:p>
        </w:tc>
        <w:tc>
          <w:tcPr>
            <w:tcW w:w="1333" w:type="dxa"/>
            <w:tcBorders>
              <w:top w:val="nil"/>
              <w:left w:val="nil"/>
              <w:bottom w:val="single" w:sz="4" w:space="0" w:color="auto"/>
              <w:right w:val="single" w:sz="4" w:space="0" w:color="auto"/>
            </w:tcBorders>
            <w:shd w:val="clear" w:color="auto" w:fill="auto"/>
            <w:noWrap/>
            <w:vAlign w:val="bottom"/>
            <w:hideMark/>
          </w:tcPr>
          <w:p w14:paraId="645EF7E1" w14:textId="5DF1A59C" w:rsidR="00A70444" w:rsidRPr="00A051CF" w:rsidRDefault="00A70444" w:rsidP="000B114B">
            <w:pPr>
              <w:jc w:val="right"/>
              <w:rPr>
                <w:sz w:val="20"/>
                <w:szCs w:val="20"/>
                <w:lang w:val="en-CA" w:eastAsia="en-CA"/>
              </w:rPr>
            </w:pPr>
            <w:r w:rsidRPr="00A051CF">
              <w:rPr>
                <w:sz w:val="20"/>
                <w:szCs w:val="20"/>
                <w:lang w:val="en-CA" w:eastAsia="en-CA"/>
              </w:rPr>
              <w:t>74</w:t>
            </w:r>
            <w:r w:rsidR="00A86723">
              <w:rPr>
                <w:sz w:val="20"/>
                <w:szCs w:val="20"/>
                <w:lang w:val="en-CA" w:eastAsia="en-CA"/>
              </w:rPr>
              <w:t xml:space="preserve">, </w:t>
            </w:r>
            <w:r w:rsidRPr="00A051CF">
              <w:rPr>
                <w:sz w:val="20"/>
                <w:szCs w:val="20"/>
                <w:lang w:val="en-CA" w:eastAsia="en-CA"/>
              </w:rPr>
              <w:t>6</w:t>
            </w:r>
          </w:p>
        </w:tc>
        <w:tc>
          <w:tcPr>
            <w:tcW w:w="1333" w:type="dxa"/>
            <w:tcBorders>
              <w:top w:val="nil"/>
              <w:left w:val="nil"/>
              <w:bottom w:val="single" w:sz="4" w:space="0" w:color="auto"/>
              <w:right w:val="single" w:sz="4" w:space="0" w:color="auto"/>
            </w:tcBorders>
            <w:shd w:val="clear" w:color="auto" w:fill="auto"/>
            <w:noWrap/>
            <w:vAlign w:val="bottom"/>
            <w:hideMark/>
          </w:tcPr>
          <w:p w14:paraId="2A585C17" w14:textId="77777777" w:rsidR="00A70444" w:rsidRPr="00A051CF" w:rsidRDefault="00A70444" w:rsidP="000B114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1AD1A0AB" w14:textId="1C8C7FE9" w:rsidR="00A70444" w:rsidRPr="00A051CF" w:rsidRDefault="00A70444" w:rsidP="000B114B">
            <w:pPr>
              <w:jc w:val="right"/>
              <w:rPr>
                <w:sz w:val="20"/>
                <w:szCs w:val="20"/>
                <w:lang w:val="en-CA" w:eastAsia="en-CA"/>
              </w:rPr>
            </w:pPr>
            <w:r w:rsidRPr="00A051CF">
              <w:rPr>
                <w:sz w:val="20"/>
                <w:szCs w:val="20"/>
                <w:lang w:val="en-CA" w:eastAsia="en-CA"/>
              </w:rPr>
              <w:t>5</w:t>
            </w:r>
            <w:r w:rsidR="00A86723">
              <w:rPr>
                <w:sz w:val="20"/>
                <w:szCs w:val="20"/>
                <w:lang w:val="en-CA" w:eastAsia="en-CA"/>
              </w:rPr>
              <w:t xml:space="preserve"> </w:t>
            </w:r>
            <w:r w:rsidRPr="00A051CF">
              <w:rPr>
                <w:sz w:val="20"/>
                <w:szCs w:val="20"/>
                <w:lang w:val="en-CA" w:eastAsia="en-CA"/>
              </w:rPr>
              <w:t>114</w:t>
            </w:r>
            <w:r w:rsidR="00A86723">
              <w:rPr>
                <w:sz w:val="20"/>
                <w:szCs w:val="20"/>
                <w:lang w:val="en-CA" w:eastAsia="en-CA"/>
              </w:rPr>
              <w:t xml:space="preserve"> </w:t>
            </w:r>
            <w:r w:rsidRPr="00A051CF">
              <w:rPr>
                <w:sz w:val="20"/>
                <w:szCs w:val="20"/>
                <w:lang w:val="en-CA" w:eastAsia="en-CA"/>
              </w:rPr>
              <w:t>580</w:t>
            </w:r>
          </w:p>
        </w:tc>
        <w:tc>
          <w:tcPr>
            <w:tcW w:w="1333" w:type="dxa"/>
            <w:tcBorders>
              <w:top w:val="nil"/>
              <w:left w:val="nil"/>
              <w:bottom w:val="single" w:sz="4" w:space="0" w:color="auto"/>
              <w:right w:val="single" w:sz="4" w:space="0" w:color="auto"/>
            </w:tcBorders>
            <w:shd w:val="clear" w:color="auto" w:fill="auto"/>
            <w:noWrap/>
            <w:vAlign w:val="bottom"/>
            <w:hideMark/>
          </w:tcPr>
          <w:p w14:paraId="770D9071" w14:textId="16AB10D7" w:rsidR="00A70444" w:rsidRPr="00A051CF" w:rsidRDefault="00A70444" w:rsidP="000B114B">
            <w:pPr>
              <w:jc w:val="right"/>
              <w:rPr>
                <w:sz w:val="20"/>
                <w:szCs w:val="20"/>
                <w:lang w:val="en-CA" w:eastAsia="en-CA"/>
              </w:rPr>
            </w:pPr>
            <w:r w:rsidRPr="00A051CF">
              <w:rPr>
                <w:sz w:val="20"/>
                <w:szCs w:val="20"/>
                <w:lang w:val="en-CA" w:eastAsia="en-CA"/>
              </w:rPr>
              <w:t>4</w:t>
            </w:r>
            <w:r w:rsidR="00A86723">
              <w:rPr>
                <w:sz w:val="20"/>
                <w:szCs w:val="20"/>
                <w:lang w:val="en-CA" w:eastAsia="en-CA"/>
              </w:rPr>
              <w:t xml:space="preserve"> </w:t>
            </w:r>
            <w:r w:rsidRPr="00A051CF">
              <w:rPr>
                <w:sz w:val="20"/>
                <w:szCs w:val="20"/>
                <w:lang w:val="en-CA" w:eastAsia="en-CA"/>
              </w:rPr>
              <w:t>749</w:t>
            </w:r>
            <w:r w:rsidR="00A86723">
              <w:rPr>
                <w:sz w:val="20"/>
                <w:szCs w:val="20"/>
                <w:lang w:val="en-CA" w:eastAsia="en-CA"/>
              </w:rPr>
              <w:t xml:space="preserve"> </w:t>
            </w:r>
            <w:r w:rsidRPr="00A051CF">
              <w:rPr>
                <w:sz w:val="20"/>
                <w:szCs w:val="20"/>
                <w:lang w:val="en-CA" w:eastAsia="en-CA"/>
              </w:rPr>
              <w:t>432</w:t>
            </w:r>
          </w:p>
        </w:tc>
        <w:tc>
          <w:tcPr>
            <w:tcW w:w="1333" w:type="dxa"/>
            <w:tcBorders>
              <w:top w:val="nil"/>
              <w:left w:val="nil"/>
              <w:bottom w:val="single" w:sz="4" w:space="0" w:color="auto"/>
              <w:right w:val="single" w:sz="4" w:space="0" w:color="auto"/>
            </w:tcBorders>
            <w:shd w:val="clear" w:color="auto" w:fill="auto"/>
            <w:noWrap/>
            <w:vAlign w:val="bottom"/>
            <w:hideMark/>
          </w:tcPr>
          <w:p w14:paraId="5E6B3476" w14:textId="77777777" w:rsidR="00A70444" w:rsidRPr="00A051CF" w:rsidRDefault="00A70444" w:rsidP="000B114B">
            <w:pPr>
              <w:jc w:val="right"/>
              <w:rPr>
                <w:sz w:val="20"/>
                <w:szCs w:val="20"/>
                <w:lang w:val="en-CA" w:eastAsia="en-CA"/>
              </w:rPr>
            </w:pPr>
            <w:r w:rsidRPr="00A051CF">
              <w:rPr>
                <w:sz w:val="20"/>
                <w:szCs w:val="20"/>
                <w:lang w:val="en-CA" w:eastAsia="en-CA"/>
              </w:rPr>
              <w:t>93</w:t>
            </w:r>
          </w:p>
        </w:tc>
        <w:tc>
          <w:tcPr>
            <w:tcW w:w="1334" w:type="dxa"/>
            <w:tcBorders>
              <w:top w:val="nil"/>
              <w:left w:val="nil"/>
              <w:bottom w:val="single" w:sz="4" w:space="0" w:color="auto"/>
              <w:right w:val="single" w:sz="4" w:space="0" w:color="auto"/>
            </w:tcBorders>
            <w:shd w:val="clear" w:color="auto" w:fill="auto"/>
            <w:noWrap/>
            <w:vAlign w:val="bottom"/>
            <w:hideMark/>
          </w:tcPr>
          <w:p w14:paraId="51C884FB" w14:textId="77777777" w:rsidR="00A70444" w:rsidRPr="00A051CF" w:rsidRDefault="00A70444" w:rsidP="000B114B">
            <w:pPr>
              <w:jc w:val="right"/>
              <w:rPr>
                <w:sz w:val="20"/>
                <w:szCs w:val="20"/>
                <w:lang w:val="en-CA" w:eastAsia="en-CA"/>
              </w:rPr>
            </w:pPr>
            <w:r w:rsidRPr="00A051CF">
              <w:rPr>
                <w:sz w:val="20"/>
                <w:szCs w:val="20"/>
                <w:lang w:val="en-CA" w:eastAsia="en-CA"/>
              </w:rPr>
              <w:t>92</w:t>
            </w:r>
          </w:p>
        </w:tc>
      </w:tr>
      <w:tr w:rsidR="00A70444" w:rsidRPr="00A051CF" w14:paraId="003CAB18"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9C8C90" w14:textId="77777777" w:rsidR="00A70444" w:rsidRPr="00A051CF" w:rsidRDefault="00A70444" w:rsidP="000B114B">
            <w:pPr>
              <w:jc w:val="left"/>
              <w:rPr>
                <w:sz w:val="20"/>
                <w:szCs w:val="20"/>
                <w:lang w:val="en-CA" w:eastAsia="en-CA"/>
              </w:rPr>
            </w:pPr>
            <w:r w:rsidRPr="00A051CF">
              <w:rPr>
                <w:sz w:val="20"/>
                <w:szCs w:val="20"/>
                <w:lang w:val="en-CA" w:eastAsia="en-CA"/>
              </w:rPr>
              <w:t>Vietnam</w:t>
            </w:r>
          </w:p>
        </w:tc>
        <w:tc>
          <w:tcPr>
            <w:tcW w:w="1333" w:type="dxa"/>
            <w:tcBorders>
              <w:top w:val="nil"/>
              <w:left w:val="nil"/>
              <w:bottom w:val="single" w:sz="4" w:space="0" w:color="auto"/>
              <w:right w:val="single" w:sz="4" w:space="0" w:color="auto"/>
            </w:tcBorders>
            <w:shd w:val="clear" w:color="auto" w:fill="auto"/>
            <w:noWrap/>
            <w:vAlign w:val="bottom"/>
            <w:hideMark/>
          </w:tcPr>
          <w:p w14:paraId="45C944D5" w14:textId="1A6B4D15" w:rsidR="00A70444" w:rsidRPr="00A051CF" w:rsidRDefault="00A70444" w:rsidP="000B114B">
            <w:pPr>
              <w:jc w:val="right"/>
              <w:rPr>
                <w:sz w:val="20"/>
                <w:szCs w:val="20"/>
                <w:lang w:val="en-CA" w:eastAsia="en-CA"/>
              </w:rPr>
            </w:pPr>
            <w:r w:rsidRPr="00A051CF">
              <w:rPr>
                <w:sz w:val="20"/>
                <w:szCs w:val="20"/>
                <w:lang w:val="en-CA" w:eastAsia="en-CA"/>
              </w:rPr>
              <w:t>0</w:t>
            </w:r>
            <w:r w:rsidR="00A86723">
              <w:rPr>
                <w:sz w:val="20"/>
                <w:szCs w:val="20"/>
                <w:lang w:val="en-CA" w:eastAsia="en-CA"/>
              </w:rPr>
              <w:t xml:space="preserve">, </w:t>
            </w: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55627505"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3D303242" w14:textId="545BD273" w:rsidR="00A70444" w:rsidRPr="00A051CF" w:rsidRDefault="00A70444" w:rsidP="000B114B">
            <w:pPr>
              <w:jc w:val="right"/>
              <w:rPr>
                <w:sz w:val="20"/>
                <w:szCs w:val="20"/>
                <w:lang w:val="en-CA" w:eastAsia="en-CA"/>
              </w:rPr>
            </w:pPr>
            <w:r w:rsidRPr="00A051CF">
              <w:rPr>
                <w:sz w:val="20"/>
                <w:szCs w:val="20"/>
                <w:lang w:val="en-CA" w:eastAsia="en-CA"/>
              </w:rPr>
              <w:t>85</w:t>
            </w:r>
            <w:r w:rsidR="00A86723">
              <w:rPr>
                <w:sz w:val="20"/>
                <w:szCs w:val="20"/>
                <w:lang w:val="en-CA" w:eastAsia="en-CA"/>
              </w:rPr>
              <w:t xml:space="preserve"> </w:t>
            </w:r>
            <w:r w:rsidRPr="00A051CF">
              <w:rPr>
                <w:sz w:val="20"/>
                <w:szCs w:val="20"/>
                <w:lang w:val="en-CA" w:eastAsia="en-CA"/>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7D04E7F6"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4043CE57"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14:paraId="044FB0C2" w14:textId="77777777" w:rsidR="00A70444" w:rsidRPr="00A051CF" w:rsidRDefault="00A70444" w:rsidP="000B114B">
            <w:pPr>
              <w:jc w:val="left"/>
              <w:rPr>
                <w:sz w:val="20"/>
                <w:szCs w:val="20"/>
                <w:lang w:val="en-CA" w:eastAsia="en-CA"/>
              </w:rPr>
            </w:pPr>
            <w:r w:rsidRPr="00A051CF">
              <w:rPr>
                <w:sz w:val="20"/>
                <w:szCs w:val="20"/>
                <w:lang w:val="en-CA" w:eastAsia="en-CA"/>
              </w:rPr>
              <w:t> </w:t>
            </w:r>
          </w:p>
        </w:tc>
      </w:tr>
      <w:tr w:rsidR="00A70444" w:rsidRPr="00A051CF" w14:paraId="1BA7183B"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7C5611" w14:textId="77777777" w:rsidR="00A70444" w:rsidRPr="00A051CF" w:rsidRDefault="00A70444" w:rsidP="000B114B">
            <w:pPr>
              <w:jc w:val="left"/>
              <w:rPr>
                <w:sz w:val="20"/>
                <w:szCs w:val="20"/>
                <w:lang w:val="en-CA" w:eastAsia="en-CA"/>
              </w:rPr>
            </w:pPr>
            <w:r w:rsidRPr="00A051CF">
              <w:rPr>
                <w:sz w:val="20"/>
                <w:szCs w:val="20"/>
                <w:lang w:val="en-CA" w:eastAsia="en-CA"/>
              </w:rPr>
              <w:t>Global</w:t>
            </w:r>
          </w:p>
        </w:tc>
        <w:tc>
          <w:tcPr>
            <w:tcW w:w="1333" w:type="dxa"/>
            <w:tcBorders>
              <w:top w:val="nil"/>
              <w:left w:val="nil"/>
              <w:bottom w:val="single" w:sz="4" w:space="0" w:color="auto"/>
              <w:right w:val="single" w:sz="4" w:space="0" w:color="auto"/>
            </w:tcBorders>
            <w:shd w:val="clear" w:color="auto" w:fill="auto"/>
            <w:noWrap/>
            <w:vAlign w:val="bottom"/>
            <w:hideMark/>
          </w:tcPr>
          <w:p w14:paraId="66FE934E" w14:textId="2178EF54" w:rsidR="00A70444" w:rsidRPr="00A051CF" w:rsidRDefault="00A70444" w:rsidP="000B114B">
            <w:pPr>
              <w:jc w:val="right"/>
              <w:rPr>
                <w:sz w:val="20"/>
                <w:szCs w:val="20"/>
                <w:lang w:val="en-CA" w:eastAsia="en-CA"/>
              </w:rPr>
            </w:pPr>
            <w:r w:rsidRPr="00A051CF">
              <w:rPr>
                <w:sz w:val="20"/>
                <w:szCs w:val="20"/>
                <w:lang w:val="en-CA" w:eastAsia="en-CA"/>
              </w:rPr>
              <w:t>0</w:t>
            </w:r>
            <w:r w:rsidR="00A86723">
              <w:rPr>
                <w:sz w:val="20"/>
                <w:szCs w:val="20"/>
                <w:lang w:val="en-CA" w:eastAsia="en-CA"/>
              </w:rPr>
              <w:t xml:space="preserve"> ,</w:t>
            </w: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4F660A5A"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18A7F192"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7DEB1D77"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3FD65D9C" w14:textId="77777777" w:rsidR="00A70444" w:rsidRPr="00A051CF" w:rsidRDefault="00A70444" w:rsidP="000B114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1DD1FB6C" w14:textId="77777777" w:rsidR="00A70444" w:rsidRPr="00A051CF" w:rsidRDefault="00A70444" w:rsidP="000B114B">
            <w:pPr>
              <w:jc w:val="right"/>
              <w:rPr>
                <w:sz w:val="20"/>
                <w:szCs w:val="20"/>
                <w:lang w:val="en-CA" w:eastAsia="en-CA"/>
              </w:rPr>
            </w:pPr>
            <w:r w:rsidRPr="00A051CF">
              <w:rPr>
                <w:sz w:val="20"/>
                <w:szCs w:val="20"/>
                <w:lang w:val="en-CA" w:eastAsia="en-CA"/>
              </w:rPr>
              <w:t>100</w:t>
            </w:r>
          </w:p>
        </w:tc>
      </w:tr>
      <w:tr w:rsidR="00A70444" w:rsidRPr="00A051CF" w14:paraId="42E6A74D" w14:textId="77777777" w:rsidTr="000B114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595989" w14:textId="77777777" w:rsidR="00A70444" w:rsidRPr="00A051CF" w:rsidRDefault="00A70444" w:rsidP="000B114B">
            <w:pPr>
              <w:jc w:val="left"/>
              <w:rPr>
                <w:b/>
                <w:bCs/>
                <w:sz w:val="20"/>
                <w:szCs w:val="20"/>
                <w:lang w:val="en-CA" w:eastAsia="en-CA"/>
              </w:rPr>
            </w:pPr>
            <w:r w:rsidRPr="00A051CF">
              <w:rPr>
                <w:b/>
                <w:bCs/>
                <w:sz w:val="20"/>
                <w:szCs w:val="20"/>
                <w:lang w:val="en-CA" w:eastAsia="en-CA"/>
              </w:rPr>
              <w:t>Total</w:t>
            </w:r>
          </w:p>
        </w:tc>
        <w:tc>
          <w:tcPr>
            <w:tcW w:w="1333" w:type="dxa"/>
            <w:tcBorders>
              <w:top w:val="nil"/>
              <w:left w:val="nil"/>
              <w:bottom w:val="single" w:sz="4" w:space="0" w:color="auto"/>
              <w:right w:val="single" w:sz="4" w:space="0" w:color="auto"/>
            </w:tcBorders>
            <w:shd w:val="clear" w:color="auto" w:fill="auto"/>
            <w:noWrap/>
            <w:vAlign w:val="bottom"/>
            <w:hideMark/>
          </w:tcPr>
          <w:p w14:paraId="22CCCF43" w14:textId="3782350B" w:rsidR="00A70444" w:rsidRPr="00A051CF" w:rsidRDefault="00A70444" w:rsidP="000B114B">
            <w:pPr>
              <w:jc w:val="right"/>
              <w:rPr>
                <w:b/>
                <w:bCs/>
                <w:sz w:val="20"/>
                <w:szCs w:val="20"/>
                <w:lang w:val="en-CA" w:eastAsia="en-CA"/>
              </w:rPr>
            </w:pPr>
            <w:r w:rsidRPr="00A051CF">
              <w:rPr>
                <w:b/>
                <w:bCs/>
                <w:sz w:val="20"/>
                <w:szCs w:val="20"/>
                <w:lang w:val="en-CA" w:eastAsia="en-CA"/>
              </w:rPr>
              <w:t>98</w:t>
            </w:r>
            <w:r w:rsidR="00A86723">
              <w:rPr>
                <w:b/>
                <w:bCs/>
                <w:sz w:val="20"/>
                <w:szCs w:val="20"/>
                <w:lang w:val="en-CA" w:eastAsia="en-CA"/>
              </w:rPr>
              <w:t xml:space="preserve">, </w:t>
            </w:r>
            <w:r w:rsidRPr="00A051CF">
              <w:rPr>
                <w:b/>
                <w:bCs/>
                <w:sz w:val="20"/>
                <w:szCs w:val="20"/>
                <w:lang w:val="en-CA" w:eastAsia="en-CA"/>
              </w:rPr>
              <w:t>1</w:t>
            </w:r>
          </w:p>
        </w:tc>
        <w:tc>
          <w:tcPr>
            <w:tcW w:w="1333" w:type="dxa"/>
            <w:tcBorders>
              <w:top w:val="nil"/>
              <w:left w:val="nil"/>
              <w:bottom w:val="single" w:sz="4" w:space="0" w:color="auto"/>
              <w:right w:val="single" w:sz="4" w:space="0" w:color="auto"/>
            </w:tcBorders>
            <w:shd w:val="clear" w:color="auto" w:fill="auto"/>
            <w:noWrap/>
            <w:vAlign w:val="bottom"/>
            <w:hideMark/>
          </w:tcPr>
          <w:p w14:paraId="263805CC" w14:textId="77777777" w:rsidR="00A70444" w:rsidRPr="00A051CF" w:rsidRDefault="00A70444" w:rsidP="000B114B">
            <w:pPr>
              <w:jc w:val="right"/>
              <w:rPr>
                <w:b/>
                <w:bCs/>
                <w:sz w:val="20"/>
                <w:szCs w:val="20"/>
                <w:lang w:val="en-CA" w:eastAsia="en-CA"/>
              </w:rPr>
            </w:pPr>
            <w:r w:rsidRPr="00A051CF">
              <w:rPr>
                <w:b/>
                <w:bCs/>
                <w:sz w:val="20"/>
                <w:szCs w:val="20"/>
                <w:lang w:val="en-CA" w:eastAsia="en-CA"/>
              </w:rPr>
              <w:t>4</w:t>
            </w:r>
          </w:p>
        </w:tc>
        <w:tc>
          <w:tcPr>
            <w:tcW w:w="1334" w:type="dxa"/>
            <w:tcBorders>
              <w:top w:val="nil"/>
              <w:left w:val="nil"/>
              <w:bottom w:val="single" w:sz="4" w:space="0" w:color="auto"/>
              <w:right w:val="single" w:sz="4" w:space="0" w:color="auto"/>
            </w:tcBorders>
            <w:shd w:val="clear" w:color="auto" w:fill="auto"/>
            <w:noWrap/>
            <w:vAlign w:val="bottom"/>
            <w:hideMark/>
          </w:tcPr>
          <w:p w14:paraId="4E432F63" w14:textId="458318A6" w:rsidR="00A70444" w:rsidRPr="00A051CF" w:rsidRDefault="00A70444" w:rsidP="000B114B">
            <w:pPr>
              <w:jc w:val="right"/>
              <w:rPr>
                <w:b/>
                <w:bCs/>
                <w:sz w:val="20"/>
                <w:szCs w:val="20"/>
                <w:lang w:val="en-CA" w:eastAsia="en-CA"/>
              </w:rPr>
            </w:pPr>
            <w:r w:rsidRPr="00A051CF">
              <w:rPr>
                <w:b/>
                <w:bCs/>
                <w:sz w:val="20"/>
                <w:szCs w:val="20"/>
                <w:lang w:val="en-CA" w:eastAsia="en-CA"/>
              </w:rPr>
              <w:t>13</w:t>
            </w:r>
            <w:r w:rsidR="00A86723">
              <w:rPr>
                <w:b/>
                <w:bCs/>
                <w:sz w:val="20"/>
                <w:szCs w:val="20"/>
                <w:lang w:val="en-CA" w:eastAsia="en-CA"/>
              </w:rPr>
              <w:t xml:space="preserve"> </w:t>
            </w:r>
            <w:r w:rsidRPr="00A051CF">
              <w:rPr>
                <w:b/>
                <w:bCs/>
                <w:sz w:val="20"/>
                <w:szCs w:val="20"/>
                <w:lang w:val="en-CA" w:eastAsia="en-CA"/>
              </w:rPr>
              <w:t>741</w:t>
            </w:r>
            <w:r w:rsidR="00A86723">
              <w:rPr>
                <w:b/>
                <w:bCs/>
                <w:sz w:val="20"/>
                <w:szCs w:val="20"/>
                <w:lang w:val="en-CA" w:eastAsia="en-CA"/>
              </w:rPr>
              <w:t xml:space="preserve"> </w:t>
            </w:r>
            <w:r w:rsidRPr="00A051CF">
              <w:rPr>
                <w:b/>
                <w:bCs/>
                <w:sz w:val="20"/>
                <w:szCs w:val="20"/>
                <w:lang w:val="en-CA" w:eastAsia="en-CA"/>
              </w:rPr>
              <w:t>402</w:t>
            </w:r>
          </w:p>
        </w:tc>
        <w:tc>
          <w:tcPr>
            <w:tcW w:w="1333" w:type="dxa"/>
            <w:tcBorders>
              <w:top w:val="nil"/>
              <w:left w:val="nil"/>
              <w:bottom w:val="single" w:sz="4" w:space="0" w:color="auto"/>
              <w:right w:val="single" w:sz="4" w:space="0" w:color="auto"/>
            </w:tcBorders>
            <w:shd w:val="clear" w:color="auto" w:fill="auto"/>
            <w:noWrap/>
            <w:vAlign w:val="bottom"/>
            <w:hideMark/>
          </w:tcPr>
          <w:p w14:paraId="027DBF5C" w14:textId="3A792525" w:rsidR="00A70444" w:rsidRPr="00A051CF" w:rsidRDefault="00A70444" w:rsidP="000B114B">
            <w:pPr>
              <w:jc w:val="right"/>
              <w:rPr>
                <w:b/>
                <w:bCs/>
                <w:sz w:val="20"/>
                <w:szCs w:val="20"/>
                <w:lang w:val="en-CA" w:eastAsia="en-CA"/>
              </w:rPr>
            </w:pPr>
            <w:r w:rsidRPr="00A051CF">
              <w:rPr>
                <w:b/>
                <w:bCs/>
                <w:sz w:val="20"/>
                <w:szCs w:val="20"/>
                <w:lang w:val="en-CA" w:eastAsia="en-CA"/>
              </w:rPr>
              <w:t>9</w:t>
            </w:r>
            <w:r w:rsidR="00A86723">
              <w:rPr>
                <w:b/>
                <w:bCs/>
                <w:sz w:val="20"/>
                <w:szCs w:val="20"/>
                <w:lang w:val="en-CA" w:eastAsia="en-CA"/>
              </w:rPr>
              <w:t xml:space="preserve"> </w:t>
            </w:r>
            <w:r w:rsidRPr="00A051CF">
              <w:rPr>
                <w:b/>
                <w:bCs/>
                <w:sz w:val="20"/>
                <w:szCs w:val="20"/>
                <w:lang w:val="en-CA" w:eastAsia="en-CA"/>
              </w:rPr>
              <w:t>325</w:t>
            </w:r>
            <w:r w:rsidR="00A86723">
              <w:rPr>
                <w:b/>
                <w:bCs/>
                <w:sz w:val="20"/>
                <w:szCs w:val="20"/>
                <w:lang w:val="en-CA" w:eastAsia="en-CA"/>
              </w:rPr>
              <w:t xml:space="preserve"> </w:t>
            </w:r>
            <w:r w:rsidRPr="00A051CF">
              <w:rPr>
                <w:b/>
                <w:bCs/>
                <w:sz w:val="20"/>
                <w:szCs w:val="20"/>
                <w:lang w:val="en-CA" w:eastAsia="en-CA"/>
              </w:rPr>
              <w:t>719</w:t>
            </w:r>
          </w:p>
        </w:tc>
        <w:tc>
          <w:tcPr>
            <w:tcW w:w="1333" w:type="dxa"/>
            <w:tcBorders>
              <w:top w:val="nil"/>
              <w:left w:val="nil"/>
              <w:bottom w:val="single" w:sz="4" w:space="0" w:color="auto"/>
              <w:right w:val="single" w:sz="4" w:space="0" w:color="auto"/>
            </w:tcBorders>
            <w:shd w:val="clear" w:color="auto" w:fill="auto"/>
            <w:noWrap/>
            <w:vAlign w:val="bottom"/>
            <w:hideMark/>
          </w:tcPr>
          <w:p w14:paraId="2D22F075" w14:textId="77777777" w:rsidR="00A70444" w:rsidRPr="00A051CF" w:rsidRDefault="00A70444" w:rsidP="000B114B">
            <w:pPr>
              <w:jc w:val="right"/>
              <w:rPr>
                <w:b/>
                <w:bCs/>
                <w:sz w:val="20"/>
                <w:szCs w:val="20"/>
                <w:lang w:val="en-CA" w:eastAsia="en-CA"/>
              </w:rPr>
            </w:pPr>
            <w:r w:rsidRPr="00A051CF">
              <w:rPr>
                <w:b/>
                <w:bCs/>
                <w:sz w:val="20"/>
                <w:szCs w:val="20"/>
                <w:lang w:val="en-CA" w:eastAsia="en-CA"/>
              </w:rPr>
              <w:t>68</w:t>
            </w:r>
          </w:p>
        </w:tc>
        <w:tc>
          <w:tcPr>
            <w:tcW w:w="1334" w:type="dxa"/>
            <w:tcBorders>
              <w:top w:val="nil"/>
              <w:left w:val="nil"/>
              <w:bottom w:val="single" w:sz="4" w:space="0" w:color="auto"/>
              <w:right w:val="single" w:sz="4" w:space="0" w:color="auto"/>
            </w:tcBorders>
            <w:shd w:val="clear" w:color="auto" w:fill="auto"/>
            <w:noWrap/>
            <w:vAlign w:val="bottom"/>
            <w:hideMark/>
          </w:tcPr>
          <w:p w14:paraId="306F8FA6" w14:textId="77777777" w:rsidR="00A70444" w:rsidRPr="00A051CF" w:rsidRDefault="00A70444" w:rsidP="000B114B">
            <w:pPr>
              <w:jc w:val="right"/>
              <w:rPr>
                <w:b/>
                <w:bCs/>
                <w:sz w:val="20"/>
                <w:szCs w:val="20"/>
                <w:lang w:val="en-CA" w:eastAsia="en-CA"/>
              </w:rPr>
            </w:pPr>
            <w:r w:rsidRPr="00A051CF">
              <w:rPr>
                <w:b/>
                <w:bCs/>
                <w:sz w:val="20"/>
                <w:szCs w:val="20"/>
                <w:lang w:val="en-CA" w:eastAsia="en-CA"/>
              </w:rPr>
              <w:t>83</w:t>
            </w:r>
          </w:p>
        </w:tc>
      </w:tr>
    </w:tbl>
    <w:p w14:paraId="25AD0034" w14:textId="77777777" w:rsidR="00A70444" w:rsidRPr="00427C11" w:rsidRDefault="00A70444" w:rsidP="00A70444">
      <w:pPr>
        <w:pStyle w:val="Title1"/>
        <w:keepNext/>
        <w:jc w:val="both"/>
        <w:rPr>
          <w:b w:val="0"/>
          <w:caps w:val="0"/>
          <w:sz w:val="20"/>
          <w:szCs w:val="20"/>
          <w:lang w:val="es-ES"/>
        </w:rPr>
      </w:pPr>
      <w:r w:rsidRPr="00427C11">
        <w:rPr>
          <w:b w:val="0"/>
          <w:caps w:val="0"/>
          <w:sz w:val="20"/>
          <w:szCs w:val="20"/>
          <w:lang w:val="es-ES"/>
        </w:rPr>
        <w:t xml:space="preserve">* </w:t>
      </w:r>
      <w:r w:rsidR="00427C11" w:rsidRPr="00427C11">
        <w:rPr>
          <w:b w:val="0"/>
          <w:caps w:val="0"/>
          <w:sz w:val="20"/>
          <w:szCs w:val="20"/>
          <w:lang w:val="es-ES"/>
        </w:rPr>
        <w:t>No eliminación en</w:t>
      </w:r>
      <w:r w:rsidRPr="00427C11">
        <w:rPr>
          <w:b w:val="0"/>
          <w:caps w:val="0"/>
          <w:sz w:val="20"/>
          <w:szCs w:val="20"/>
          <w:lang w:val="es-ES"/>
        </w:rPr>
        <w:t xml:space="preserve"> 2018 </w:t>
      </w:r>
      <w:r w:rsidR="00427C11">
        <w:rPr>
          <w:b w:val="0"/>
          <w:caps w:val="0"/>
          <w:sz w:val="20"/>
          <w:szCs w:val="20"/>
          <w:lang w:val="es-ES"/>
        </w:rPr>
        <w:t>para los proyectos relacionados con HFC</w:t>
      </w:r>
      <w:r w:rsidRPr="00427C11">
        <w:rPr>
          <w:b w:val="0"/>
          <w:caps w:val="0"/>
          <w:sz w:val="20"/>
          <w:szCs w:val="20"/>
          <w:lang w:val="es-ES"/>
        </w:rPr>
        <w:t>.</w:t>
      </w:r>
    </w:p>
    <w:p w14:paraId="78ED8C73" w14:textId="77777777" w:rsidR="00A70444" w:rsidRPr="00427C11" w:rsidRDefault="00A70444" w:rsidP="00A70444">
      <w:pPr>
        <w:pStyle w:val="Title1"/>
        <w:keepNext/>
        <w:jc w:val="both"/>
        <w:rPr>
          <w:caps w:val="0"/>
          <w:lang w:val="es-ES"/>
        </w:rPr>
      </w:pPr>
    </w:p>
    <w:p w14:paraId="4C321582" w14:textId="695410A8" w:rsidR="00A70444" w:rsidRPr="007F4E8A" w:rsidRDefault="00A70444" w:rsidP="00A70444">
      <w:pPr>
        <w:pStyle w:val="Heading1"/>
        <w:keepNext/>
        <w:keepLines/>
        <w:numPr>
          <w:ilvl w:val="0"/>
          <w:numId w:val="0"/>
        </w:numPr>
        <w:ind w:left="1418" w:hanging="1418"/>
        <w:rPr>
          <w:rFonts w:ascii="Times New Roman Bold" w:hAnsi="Times New Roman Bold"/>
          <w:caps/>
          <w:szCs w:val="28"/>
          <w:lang w:val="es-ES"/>
        </w:rPr>
      </w:pPr>
      <w:r w:rsidRPr="007F4E8A">
        <w:rPr>
          <w:rFonts w:ascii="Times New Roman Bold" w:hAnsi="Times New Roman Bold"/>
          <w:caps/>
          <w:szCs w:val="28"/>
          <w:lang w:val="es-ES"/>
        </w:rPr>
        <w:t>Part</w:t>
      </w:r>
      <w:r w:rsidR="007F4E8A" w:rsidRPr="007F4E8A">
        <w:rPr>
          <w:rFonts w:ascii="Times New Roman Bold" w:hAnsi="Times New Roman Bold"/>
          <w:caps/>
          <w:szCs w:val="28"/>
          <w:lang w:val="es-ES"/>
        </w:rPr>
        <w:t>E</w:t>
      </w:r>
      <w:r w:rsidRPr="007F4E8A">
        <w:rPr>
          <w:rFonts w:ascii="Times New Roman Bold" w:hAnsi="Times New Roman Bold"/>
          <w:caps/>
          <w:szCs w:val="28"/>
          <w:lang w:val="es-ES"/>
        </w:rPr>
        <w:t xml:space="preserve"> II:</w:t>
      </w:r>
      <w:r w:rsidRPr="007F4E8A">
        <w:rPr>
          <w:rFonts w:ascii="Times New Roman Bold" w:hAnsi="Times New Roman Bold"/>
          <w:caps/>
          <w:szCs w:val="28"/>
          <w:lang w:val="es-ES"/>
        </w:rPr>
        <w:tab/>
      </w:r>
      <w:r w:rsidR="007F4E8A" w:rsidRPr="007F4E8A">
        <w:rPr>
          <w:rFonts w:ascii="Times New Roman Bold" w:hAnsi="Times New Roman Bold"/>
          <w:caps/>
          <w:szCs w:val="28"/>
          <w:lang w:val="es-ES"/>
        </w:rPr>
        <w:t xml:space="preserve">PROYECTOS APROBADOS EN EL MARCO DE LAS CONTRIBUCIONES VOLUNTARIAS ADICIONALES </w:t>
      </w:r>
      <w:r w:rsidR="00080447">
        <w:rPr>
          <w:rFonts w:ascii="Times New Roman Bold" w:hAnsi="Times New Roman Bold"/>
          <w:caps/>
          <w:szCs w:val="28"/>
          <w:lang w:val="es-ES"/>
        </w:rPr>
        <w:t>destinados a</w:t>
      </w:r>
      <w:r w:rsidR="007F4E8A" w:rsidRPr="007F4E8A">
        <w:rPr>
          <w:rFonts w:ascii="Times New Roman Bold" w:hAnsi="Times New Roman Bold"/>
          <w:caps/>
          <w:szCs w:val="28"/>
          <w:lang w:val="es-ES"/>
        </w:rPr>
        <w:t xml:space="preserve"> </w:t>
      </w:r>
      <w:r w:rsidR="00080447">
        <w:rPr>
          <w:rFonts w:ascii="Times New Roman Bold" w:hAnsi="Times New Roman Bold"/>
          <w:caps/>
          <w:szCs w:val="28"/>
          <w:lang w:val="es-ES"/>
        </w:rPr>
        <w:t>la ayuda a corto plazo</w:t>
      </w:r>
      <w:r w:rsidR="007F4E8A">
        <w:rPr>
          <w:rFonts w:ascii="Times New Roman Bold" w:hAnsi="Times New Roman Bold"/>
          <w:caps/>
          <w:szCs w:val="28"/>
          <w:lang w:val="es-ES"/>
        </w:rPr>
        <w:t xml:space="preserve"> PARA LA REDUCIÓN DE hfc</w:t>
      </w:r>
    </w:p>
    <w:p w14:paraId="386FEE46" w14:textId="09A63984" w:rsidR="00A70444" w:rsidRPr="007F4E8A" w:rsidRDefault="007F4E8A" w:rsidP="00A70444">
      <w:pPr>
        <w:pStyle w:val="Heading1"/>
        <w:rPr>
          <w:lang w:val="es-ES"/>
        </w:rPr>
      </w:pPr>
      <w:r w:rsidRPr="007F4E8A">
        <w:rPr>
          <w:lang w:val="es-ES"/>
        </w:rPr>
        <w:t xml:space="preserve">Al 31 de diciembre de 2018, el Comité Ejecutivo había aprobado seis proyectos relacionados con </w:t>
      </w:r>
      <w:r>
        <w:rPr>
          <w:lang w:val="es-ES"/>
        </w:rPr>
        <w:t>HFC en el marco de las contribuciones volunta</w:t>
      </w:r>
      <w:r w:rsidR="00582230">
        <w:rPr>
          <w:lang w:val="es-ES"/>
        </w:rPr>
        <w:t xml:space="preserve">rias adicionales que asciende a </w:t>
      </w:r>
      <w:r w:rsidR="00A86723">
        <w:rPr>
          <w:lang w:val="es-ES"/>
        </w:rPr>
        <w:t xml:space="preserve">1 213 </w:t>
      </w:r>
      <w:r w:rsidRPr="007F4E8A">
        <w:rPr>
          <w:lang w:val="es-ES"/>
        </w:rPr>
        <w:t xml:space="preserve">514 </w:t>
      </w:r>
      <w:r w:rsidRPr="00E8549D">
        <w:rPr>
          <w:sz w:val="20"/>
          <w:szCs w:val="20"/>
          <w:lang w:val="es-ES"/>
        </w:rPr>
        <w:t>$EUA</w:t>
      </w:r>
      <w:r w:rsidRPr="007F4E8A">
        <w:rPr>
          <w:lang w:val="es-ES"/>
        </w:rPr>
        <w:t xml:space="preserve"> </w:t>
      </w:r>
      <w:r w:rsidR="00A70444" w:rsidRPr="007F4E8A">
        <w:rPr>
          <w:lang w:val="es-ES"/>
        </w:rPr>
        <w:t>(</w:t>
      </w:r>
      <w:r>
        <w:rPr>
          <w:lang w:val="es-ES"/>
        </w:rPr>
        <w:t>excluyendo los gastos de apoyo al organismo</w:t>
      </w:r>
      <w:r w:rsidR="00A70444" w:rsidRPr="007F4E8A">
        <w:rPr>
          <w:lang w:val="es-ES"/>
        </w:rPr>
        <w:t xml:space="preserve">). </w:t>
      </w:r>
      <w:r w:rsidRPr="007F4E8A">
        <w:rPr>
          <w:lang w:val="es-ES"/>
        </w:rPr>
        <w:t>En el Cuadro 5 se presenta un resumen del estado de situaci</w:t>
      </w:r>
      <w:r>
        <w:rPr>
          <w:lang w:val="es-ES"/>
        </w:rPr>
        <w:t>ón de estos proyectos</w:t>
      </w:r>
      <w:r w:rsidR="00A70444" w:rsidRPr="007F4E8A">
        <w:rPr>
          <w:lang w:val="es-ES"/>
        </w:rPr>
        <w:t xml:space="preserve">. </w:t>
      </w:r>
    </w:p>
    <w:p w14:paraId="07BDCF17" w14:textId="77777777" w:rsidR="003C5D56" w:rsidRDefault="003C5D56" w:rsidP="00A70444">
      <w:pPr>
        <w:pStyle w:val="Heading1"/>
        <w:numPr>
          <w:ilvl w:val="0"/>
          <w:numId w:val="0"/>
        </w:numPr>
        <w:spacing w:after="0"/>
        <w:rPr>
          <w:b/>
          <w:lang w:val="es-ES"/>
        </w:rPr>
      </w:pPr>
    </w:p>
    <w:p w14:paraId="49A380BE" w14:textId="77777777" w:rsidR="003C5D56" w:rsidRDefault="003C5D56" w:rsidP="00A70444">
      <w:pPr>
        <w:pStyle w:val="Heading1"/>
        <w:numPr>
          <w:ilvl w:val="0"/>
          <w:numId w:val="0"/>
        </w:numPr>
        <w:spacing w:after="0"/>
        <w:rPr>
          <w:b/>
          <w:lang w:val="es-ES"/>
        </w:rPr>
      </w:pPr>
    </w:p>
    <w:p w14:paraId="541161FE" w14:textId="77777777" w:rsidR="003C5D56" w:rsidRDefault="003C5D56" w:rsidP="00A70444">
      <w:pPr>
        <w:pStyle w:val="Heading1"/>
        <w:numPr>
          <w:ilvl w:val="0"/>
          <w:numId w:val="0"/>
        </w:numPr>
        <w:spacing w:after="0"/>
        <w:rPr>
          <w:b/>
          <w:lang w:val="es-ES"/>
        </w:rPr>
      </w:pPr>
    </w:p>
    <w:p w14:paraId="3914C94C" w14:textId="145D22EC" w:rsidR="00A70444" w:rsidRPr="00582230" w:rsidRDefault="00582230" w:rsidP="00A70444">
      <w:pPr>
        <w:pStyle w:val="Heading1"/>
        <w:numPr>
          <w:ilvl w:val="0"/>
          <w:numId w:val="0"/>
        </w:numPr>
        <w:spacing w:after="0"/>
        <w:rPr>
          <w:b/>
          <w:lang w:val="es-ES"/>
        </w:rPr>
      </w:pPr>
      <w:r w:rsidRPr="00582230">
        <w:rPr>
          <w:b/>
          <w:lang w:val="es-ES"/>
        </w:rPr>
        <w:t>Cuadro</w:t>
      </w:r>
      <w:r w:rsidR="00A70444" w:rsidRPr="00582230">
        <w:rPr>
          <w:b/>
          <w:lang w:val="es-ES"/>
        </w:rPr>
        <w:t xml:space="preserve"> 5. </w:t>
      </w:r>
      <w:r w:rsidRPr="00582230">
        <w:rPr>
          <w:b/>
          <w:lang w:val="es-ES"/>
        </w:rPr>
        <w:t>Proyectos relacionados con HFC aprobados en</w:t>
      </w:r>
      <w:r w:rsidR="00A70444" w:rsidRPr="00582230">
        <w:rPr>
          <w:b/>
          <w:lang w:val="es-ES"/>
        </w:rPr>
        <w:t xml:space="preserve"> 2018</w:t>
      </w:r>
    </w:p>
    <w:tbl>
      <w:tblPr>
        <w:tblW w:w="9355" w:type="dxa"/>
        <w:tblInd w:w="-5" w:type="dxa"/>
        <w:tblLayout w:type="fixed"/>
        <w:tblLook w:val="04A0" w:firstRow="1" w:lastRow="0" w:firstColumn="1" w:lastColumn="0" w:noHBand="0" w:noVBand="1"/>
      </w:tblPr>
      <w:tblGrid>
        <w:gridCol w:w="1737"/>
        <w:gridCol w:w="1088"/>
        <w:gridCol w:w="1088"/>
        <w:gridCol w:w="1127"/>
        <w:gridCol w:w="1050"/>
        <w:gridCol w:w="1088"/>
        <w:gridCol w:w="1088"/>
        <w:gridCol w:w="1089"/>
      </w:tblGrid>
      <w:tr w:rsidR="00582230" w:rsidRPr="00A051CF" w14:paraId="7CBA1078" w14:textId="77777777" w:rsidTr="00A7091D">
        <w:trPr>
          <w:trHeight w:val="264"/>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tcMar>
              <w:left w:w="14" w:type="dxa"/>
              <w:right w:w="0" w:type="dxa"/>
            </w:tcMar>
            <w:hideMark/>
          </w:tcPr>
          <w:p w14:paraId="6D7B4897" w14:textId="77777777" w:rsidR="00582230" w:rsidRPr="00A051CF" w:rsidRDefault="00582230" w:rsidP="00582230">
            <w:pPr>
              <w:jc w:val="center"/>
              <w:rPr>
                <w:b/>
                <w:bCs/>
                <w:sz w:val="18"/>
                <w:szCs w:val="18"/>
                <w:lang w:val="en-CA" w:eastAsia="en-CA"/>
              </w:rPr>
            </w:pPr>
            <w:r w:rsidRPr="00A051CF">
              <w:rPr>
                <w:b/>
                <w:bCs/>
                <w:sz w:val="18"/>
                <w:szCs w:val="18"/>
                <w:lang w:val="en-CA" w:eastAsia="en-CA"/>
              </w:rPr>
              <w:t>T</w:t>
            </w:r>
            <w:r>
              <w:rPr>
                <w:b/>
                <w:bCs/>
                <w:sz w:val="18"/>
                <w:szCs w:val="18"/>
                <w:lang w:val="en-CA" w:eastAsia="en-CA"/>
              </w:rPr>
              <w:t>ipo</w:t>
            </w:r>
          </w:p>
        </w:tc>
        <w:tc>
          <w:tcPr>
            <w:tcW w:w="3303" w:type="dxa"/>
            <w:gridSpan w:val="3"/>
            <w:tcBorders>
              <w:top w:val="single" w:sz="4" w:space="0" w:color="auto"/>
              <w:left w:val="nil"/>
              <w:bottom w:val="single" w:sz="4" w:space="0" w:color="auto"/>
              <w:right w:val="single" w:sz="4" w:space="0" w:color="auto"/>
            </w:tcBorders>
            <w:shd w:val="clear" w:color="auto" w:fill="auto"/>
            <w:noWrap/>
            <w:hideMark/>
          </w:tcPr>
          <w:p w14:paraId="2D9CBCD9" w14:textId="77777777" w:rsidR="00582230" w:rsidRPr="00A051CF" w:rsidRDefault="00582230" w:rsidP="00582230">
            <w:pPr>
              <w:jc w:val="center"/>
              <w:rPr>
                <w:b/>
                <w:bCs/>
                <w:sz w:val="18"/>
                <w:szCs w:val="18"/>
                <w:lang w:val="en-CA" w:eastAsia="en-CA"/>
              </w:rPr>
            </w:pPr>
            <w:r>
              <w:rPr>
                <w:b/>
                <w:bCs/>
                <w:sz w:val="18"/>
                <w:szCs w:val="18"/>
                <w:lang w:val="en-CA" w:eastAsia="en-CA"/>
              </w:rPr>
              <w:t>Número de proyectos</w:t>
            </w:r>
            <w:r w:rsidRPr="00A051CF">
              <w:rPr>
                <w:b/>
                <w:bCs/>
                <w:sz w:val="18"/>
                <w:szCs w:val="18"/>
                <w:lang w:val="en-CA" w:eastAsia="en-CA"/>
              </w:rPr>
              <w:t>*</w:t>
            </w:r>
          </w:p>
        </w:tc>
        <w:tc>
          <w:tcPr>
            <w:tcW w:w="4315" w:type="dxa"/>
            <w:gridSpan w:val="4"/>
            <w:tcBorders>
              <w:top w:val="single" w:sz="4" w:space="0" w:color="auto"/>
              <w:left w:val="nil"/>
              <w:bottom w:val="single" w:sz="4" w:space="0" w:color="auto"/>
              <w:right w:val="single" w:sz="4" w:space="0" w:color="auto"/>
            </w:tcBorders>
            <w:shd w:val="clear" w:color="auto" w:fill="auto"/>
            <w:noWrap/>
            <w:hideMark/>
          </w:tcPr>
          <w:p w14:paraId="71058B33" w14:textId="77777777" w:rsidR="00582230" w:rsidRPr="00A051CF" w:rsidRDefault="00582230" w:rsidP="00582230">
            <w:pPr>
              <w:jc w:val="center"/>
              <w:rPr>
                <w:b/>
                <w:bCs/>
                <w:sz w:val="18"/>
                <w:szCs w:val="18"/>
                <w:lang w:val="en-CA" w:eastAsia="en-CA"/>
              </w:rPr>
            </w:pPr>
            <w:r>
              <w:rPr>
                <w:b/>
                <w:bCs/>
                <w:sz w:val="18"/>
                <w:szCs w:val="18"/>
                <w:lang w:val="en-CA" w:eastAsia="en-CA"/>
              </w:rPr>
              <w:t>Financiamento</w:t>
            </w:r>
            <w:r w:rsidRPr="00A051CF">
              <w:rPr>
                <w:b/>
                <w:bCs/>
                <w:sz w:val="18"/>
                <w:szCs w:val="18"/>
                <w:lang w:val="en-CA" w:eastAsia="en-CA"/>
              </w:rPr>
              <w:t xml:space="preserve"> </w:t>
            </w:r>
            <w:r w:rsidRPr="00A051CF">
              <w:rPr>
                <w:b/>
                <w:bCs/>
                <w:color w:val="000000"/>
                <w:sz w:val="18"/>
                <w:szCs w:val="18"/>
                <w:lang w:val="en-US" w:eastAsia="en-CA"/>
              </w:rPr>
              <w:t>($</w:t>
            </w:r>
            <w:r>
              <w:rPr>
                <w:b/>
                <w:bCs/>
                <w:color w:val="000000"/>
                <w:sz w:val="18"/>
                <w:szCs w:val="18"/>
                <w:lang w:val="en-US" w:eastAsia="en-CA"/>
              </w:rPr>
              <w:t>EUA</w:t>
            </w:r>
            <w:r w:rsidRPr="00A051CF">
              <w:rPr>
                <w:b/>
                <w:bCs/>
                <w:sz w:val="18"/>
                <w:szCs w:val="18"/>
                <w:lang w:val="en-CA" w:eastAsia="en-CA"/>
              </w:rPr>
              <w:t>)**</w:t>
            </w:r>
          </w:p>
        </w:tc>
      </w:tr>
      <w:tr w:rsidR="00582230" w:rsidRPr="00A051CF" w14:paraId="53B4D520" w14:textId="77777777" w:rsidTr="00A7091D">
        <w:trPr>
          <w:trHeight w:val="298"/>
        </w:trPr>
        <w:tc>
          <w:tcPr>
            <w:tcW w:w="1737" w:type="dxa"/>
            <w:vMerge/>
            <w:tcBorders>
              <w:top w:val="single" w:sz="4" w:space="0" w:color="auto"/>
              <w:left w:val="single" w:sz="4" w:space="0" w:color="auto"/>
              <w:bottom w:val="single" w:sz="4" w:space="0" w:color="auto"/>
              <w:right w:val="single" w:sz="4" w:space="0" w:color="auto"/>
            </w:tcBorders>
            <w:tcMar>
              <w:left w:w="14" w:type="dxa"/>
              <w:right w:w="0" w:type="dxa"/>
            </w:tcMar>
            <w:hideMark/>
          </w:tcPr>
          <w:p w14:paraId="0916CFFF" w14:textId="77777777" w:rsidR="00582230" w:rsidRPr="00A051CF" w:rsidRDefault="00582230" w:rsidP="00582230">
            <w:pPr>
              <w:jc w:val="left"/>
              <w:rPr>
                <w:b/>
                <w:bCs/>
                <w:sz w:val="20"/>
                <w:szCs w:val="20"/>
                <w:lang w:val="en-CA" w:eastAsia="en-CA"/>
              </w:rPr>
            </w:pP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361B9D" w14:textId="77777777" w:rsidR="00582230" w:rsidRPr="00A051CF" w:rsidRDefault="00582230" w:rsidP="00582230">
            <w:pPr>
              <w:jc w:val="center"/>
              <w:rPr>
                <w:b/>
                <w:bCs/>
                <w:sz w:val="20"/>
                <w:szCs w:val="20"/>
                <w:lang w:val="en-CA" w:eastAsia="en-CA"/>
              </w:rPr>
            </w:pPr>
            <w:r>
              <w:rPr>
                <w:b/>
                <w:bCs/>
                <w:sz w:val="18"/>
                <w:szCs w:val="18"/>
                <w:lang w:val="en-US" w:eastAsia="en-CA"/>
              </w:rPr>
              <w:t>Aprobado</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CE35CA" w14:textId="77777777" w:rsidR="00582230" w:rsidRPr="00A051CF" w:rsidRDefault="00582230" w:rsidP="00582230">
            <w:pPr>
              <w:jc w:val="center"/>
              <w:rPr>
                <w:b/>
                <w:bCs/>
                <w:sz w:val="20"/>
                <w:szCs w:val="20"/>
                <w:lang w:val="en-CA" w:eastAsia="en-CA"/>
              </w:rPr>
            </w:pPr>
            <w:r>
              <w:rPr>
                <w:b/>
                <w:bCs/>
                <w:sz w:val="18"/>
                <w:szCs w:val="18"/>
                <w:lang w:val="en-US" w:eastAsia="en-CA"/>
              </w:rPr>
              <w:t>Terminado</w:t>
            </w:r>
          </w:p>
        </w:tc>
        <w:tc>
          <w:tcPr>
            <w:tcW w:w="1127" w:type="dxa"/>
            <w:tcBorders>
              <w:top w:val="nil"/>
              <w:left w:val="nil"/>
              <w:bottom w:val="single" w:sz="4" w:space="0" w:color="auto"/>
              <w:right w:val="single" w:sz="4" w:space="0" w:color="auto"/>
            </w:tcBorders>
            <w:shd w:val="clear" w:color="auto" w:fill="auto"/>
            <w:tcMar>
              <w:left w:w="0" w:type="dxa"/>
              <w:right w:w="0" w:type="dxa"/>
            </w:tcMar>
            <w:hideMark/>
          </w:tcPr>
          <w:p w14:paraId="02F28BD6" w14:textId="77777777" w:rsidR="00582230" w:rsidRPr="00A051CF" w:rsidRDefault="00582230" w:rsidP="00582230">
            <w:pPr>
              <w:jc w:val="left"/>
              <w:rPr>
                <w:b/>
                <w:bCs/>
                <w:sz w:val="18"/>
                <w:szCs w:val="18"/>
                <w:lang w:val="en-CA" w:eastAsia="en-CA"/>
              </w:rPr>
            </w:pPr>
          </w:p>
        </w:tc>
        <w:tc>
          <w:tcPr>
            <w:tcW w:w="10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EB3130" w14:textId="77777777" w:rsidR="00582230" w:rsidRPr="00A051CF" w:rsidRDefault="00582230" w:rsidP="00582230">
            <w:pPr>
              <w:jc w:val="center"/>
              <w:rPr>
                <w:b/>
                <w:bCs/>
                <w:sz w:val="18"/>
                <w:szCs w:val="18"/>
                <w:lang w:val="en-CA" w:eastAsia="en-CA"/>
              </w:rPr>
            </w:pPr>
            <w:r>
              <w:rPr>
                <w:b/>
                <w:bCs/>
                <w:sz w:val="18"/>
                <w:szCs w:val="18"/>
                <w:lang w:val="en-US" w:eastAsia="en-CA"/>
              </w:rPr>
              <w:t>Aprobado</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ACADE" w14:textId="77777777" w:rsidR="00582230" w:rsidRPr="00A051CF" w:rsidRDefault="00582230" w:rsidP="00582230">
            <w:pPr>
              <w:jc w:val="center"/>
              <w:rPr>
                <w:b/>
                <w:bCs/>
                <w:sz w:val="18"/>
                <w:szCs w:val="18"/>
                <w:lang w:val="en-CA" w:eastAsia="en-CA"/>
              </w:rPr>
            </w:pPr>
            <w:r>
              <w:rPr>
                <w:b/>
                <w:bCs/>
                <w:sz w:val="18"/>
                <w:szCs w:val="18"/>
                <w:lang w:val="en-US" w:eastAsia="en-CA"/>
              </w:rPr>
              <w:t>Terminado</w:t>
            </w:r>
          </w:p>
        </w:tc>
        <w:tc>
          <w:tcPr>
            <w:tcW w:w="1088" w:type="dxa"/>
            <w:tcBorders>
              <w:top w:val="nil"/>
              <w:left w:val="nil"/>
              <w:bottom w:val="single" w:sz="4" w:space="0" w:color="auto"/>
              <w:right w:val="single" w:sz="4" w:space="0" w:color="auto"/>
            </w:tcBorders>
            <w:shd w:val="clear" w:color="auto" w:fill="auto"/>
            <w:tcMar>
              <w:left w:w="0" w:type="dxa"/>
              <w:right w:w="0" w:type="dxa"/>
            </w:tcMar>
            <w:hideMark/>
          </w:tcPr>
          <w:p w14:paraId="28D57B9E" w14:textId="77777777" w:rsidR="00582230" w:rsidRPr="00A051CF" w:rsidRDefault="00582230" w:rsidP="00582230">
            <w:pPr>
              <w:jc w:val="left"/>
              <w:rPr>
                <w:b/>
                <w:bCs/>
                <w:sz w:val="18"/>
                <w:szCs w:val="18"/>
                <w:lang w:val="en-CA" w:eastAsia="en-CA"/>
              </w:rPr>
            </w:pPr>
          </w:p>
        </w:tc>
        <w:tc>
          <w:tcPr>
            <w:tcW w:w="108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F4357E" w14:textId="77777777" w:rsidR="00582230" w:rsidRPr="00A051CF" w:rsidRDefault="00582230" w:rsidP="00582230">
            <w:pPr>
              <w:jc w:val="center"/>
              <w:rPr>
                <w:b/>
                <w:bCs/>
                <w:sz w:val="18"/>
                <w:szCs w:val="18"/>
                <w:lang w:val="en-CA" w:eastAsia="en-CA"/>
              </w:rPr>
            </w:pPr>
            <w:r>
              <w:rPr>
                <w:b/>
                <w:bCs/>
                <w:sz w:val="18"/>
                <w:szCs w:val="18"/>
                <w:lang w:val="en-US" w:eastAsia="en-CA"/>
              </w:rPr>
              <w:t>Aprobado</w:t>
            </w:r>
          </w:p>
        </w:tc>
      </w:tr>
      <w:tr w:rsidR="00A70444" w:rsidRPr="00A051CF" w14:paraId="777FF6CB" w14:textId="77777777" w:rsidTr="000B114B">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B6108DC" w14:textId="77777777" w:rsidR="00A70444" w:rsidRPr="00A051CF" w:rsidRDefault="00405319" w:rsidP="000B114B">
            <w:pPr>
              <w:jc w:val="left"/>
              <w:rPr>
                <w:sz w:val="20"/>
                <w:szCs w:val="20"/>
                <w:lang w:val="en-CA" w:eastAsia="en-CA"/>
              </w:rPr>
            </w:pPr>
            <w:r>
              <w:rPr>
                <w:sz w:val="20"/>
                <w:szCs w:val="20"/>
                <w:lang w:val="en-CA" w:eastAsia="en-CA"/>
              </w:rPr>
              <w:t>Invesión</w:t>
            </w:r>
          </w:p>
        </w:tc>
        <w:tc>
          <w:tcPr>
            <w:tcW w:w="1088" w:type="dxa"/>
            <w:tcBorders>
              <w:top w:val="nil"/>
              <w:left w:val="nil"/>
              <w:bottom w:val="single" w:sz="4" w:space="0" w:color="auto"/>
              <w:right w:val="single" w:sz="4" w:space="0" w:color="auto"/>
            </w:tcBorders>
            <w:shd w:val="clear" w:color="auto" w:fill="auto"/>
            <w:noWrap/>
            <w:hideMark/>
          </w:tcPr>
          <w:p w14:paraId="349DD0C4" w14:textId="77777777" w:rsidR="00A70444" w:rsidRPr="00A051CF" w:rsidRDefault="00A70444" w:rsidP="000B114B">
            <w:pPr>
              <w:jc w:val="right"/>
              <w:rPr>
                <w:sz w:val="20"/>
                <w:szCs w:val="20"/>
                <w:lang w:val="en-CA" w:eastAsia="en-CA"/>
              </w:rPr>
            </w:pPr>
            <w:r w:rsidRPr="00A051CF">
              <w:rPr>
                <w:sz w:val="20"/>
                <w:szCs w:val="20"/>
                <w:lang w:val="en-CA" w:eastAsia="en-CA"/>
              </w:rPr>
              <w:t>1</w:t>
            </w:r>
          </w:p>
        </w:tc>
        <w:tc>
          <w:tcPr>
            <w:tcW w:w="1088" w:type="dxa"/>
            <w:tcBorders>
              <w:top w:val="nil"/>
              <w:left w:val="nil"/>
              <w:bottom w:val="single" w:sz="4" w:space="0" w:color="auto"/>
              <w:right w:val="single" w:sz="4" w:space="0" w:color="auto"/>
            </w:tcBorders>
            <w:shd w:val="clear" w:color="auto" w:fill="auto"/>
            <w:noWrap/>
            <w:hideMark/>
          </w:tcPr>
          <w:p w14:paraId="255EB7D0"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hideMark/>
          </w:tcPr>
          <w:p w14:paraId="3DBE5A6A"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noWrap/>
            <w:hideMark/>
          </w:tcPr>
          <w:p w14:paraId="4A9F62A8" w14:textId="1C1145A1" w:rsidR="00A70444" w:rsidRPr="00A051CF" w:rsidRDefault="00A70444" w:rsidP="000B114B">
            <w:pPr>
              <w:jc w:val="right"/>
              <w:rPr>
                <w:sz w:val="20"/>
                <w:szCs w:val="20"/>
                <w:lang w:val="en-CA" w:eastAsia="en-CA"/>
              </w:rPr>
            </w:pPr>
            <w:r w:rsidRPr="00A051CF">
              <w:rPr>
                <w:sz w:val="20"/>
                <w:szCs w:val="20"/>
                <w:lang w:val="en-CA" w:eastAsia="en-CA"/>
              </w:rPr>
              <w:t>183</w:t>
            </w:r>
            <w:r w:rsidR="00A86723">
              <w:rPr>
                <w:sz w:val="20"/>
                <w:szCs w:val="20"/>
                <w:lang w:val="en-CA" w:eastAsia="en-CA"/>
              </w:rPr>
              <w:t xml:space="preserve"> </w:t>
            </w:r>
            <w:r w:rsidRPr="00A051CF">
              <w:rPr>
                <w:sz w:val="20"/>
                <w:szCs w:val="20"/>
                <w:lang w:val="en-CA" w:eastAsia="en-CA"/>
              </w:rPr>
              <w:t>514</w:t>
            </w:r>
          </w:p>
        </w:tc>
        <w:tc>
          <w:tcPr>
            <w:tcW w:w="1088" w:type="dxa"/>
            <w:tcBorders>
              <w:top w:val="nil"/>
              <w:left w:val="nil"/>
              <w:bottom w:val="single" w:sz="4" w:space="0" w:color="auto"/>
              <w:right w:val="single" w:sz="4" w:space="0" w:color="auto"/>
            </w:tcBorders>
            <w:shd w:val="clear" w:color="auto" w:fill="auto"/>
            <w:noWrap/>
            <w:hideMark/>
          </w:tcPr>
          <w:p w14:paraId="5F98B22D"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088" w:type="dxa"/>
            <w:tcBorders>
              <w:top w:val="nil"/>
              <w:left w:val="nil"/>
              <w:bottom w:val="single" w:sz="4" w:space="0" w:color="auto"/>
              <w:right w:val="single" w:sz="4" w:space="0" w:color="auto"/>
            </w:tcBorders>
            <w:shd w:val="clear" w:color="auto" w:fill="auto"/>
            <w:noWrap/>
            <w:hideMark/>
          </w:tcPr>
          <w:p w14:paraId="7FF85ECE" w14:textId="32C69084" w:rsidR="00A70444" w:rsidRPr="00A051CF" w:rsidRDefault="00A70444" w:rsidP="000B114B">
            <w:pPr>
              <w:jc w:val="right"/>
              <w:rPr>
                <w:sz w:val="20"/>
                <w:szCs w:val="20"/>
                <w:lang w:val="en-CA" w:eastAsia="en-CA"/>
              </w:rPr>
            </w:pPr>
            <w:r w:rsidRPr="00A051CF">
              <w:rPr>
                <w:sz w:val="20"/>
                <w:szCs w:val="20"/>
                <w:lang w:val="en-CA" w:eastAsia="en-CA"/>
              </w:rPr>
              <w:t>183</w:t>
            </w:r>
            <w:r w:rsidR="00A86723">
              <w:rPr>
                <w:sz w:val="20"/>
                <w:szCs w:val="20"/>
                <w:lang w:val="en-CA" w:eastAsia="en-CA"/>
              </w:rPr>
              <w:t xml:space="preserve"> </w:t>
            </w:r>
            <w:r w:rsidRPr="00A051CF">
              <w:rPr>
                <w:sz w:val="20"/>
                <w:szCs w:val="20"/>
                <w:lang w:val="en-CA" w:eastAsia="en-CA"/>
              </w:rPr>
              <w:t>514</w:t>
            </w:r>
          </w:p>
        </w:tc>
        <w:tc>
          <w:tcPr>
            <w:tcW w:w="1089" w:type="dxa"/>
            <w:tcBorders>
              <w:top w:val="nil"/>
              <w:left w:val="nil"/>
              <w:bottom w:val="single" w:sz="4" w:space="0" w:color="auto"/>
              <w:right w:val="single" w:sz="4" w:space="0" w:color="auto"/>
            </w:tcBorders>
            <w:shd w:val="clear" w:color="auto" w:fill="auto"/>
            <w:noWrap/>
            <w:hideMark/>
          </w:tcPr>
          <w:p w14:paraId="765A0BB4" w14:textId="77777777" w:rsidR="00A70444" w:rsidRPr="00A051CF" w:rsidRDefault="00A70444" w:rsidP="000B114B">
            <w:pPr>
              <w:jc w:val="right"/>
              <w:rPr>
                <w:sz w:val="20"/>
                <w:szCs w:val="20"/>
                <w:lang w:val="en-CA" w:eastAsia="en-CA"/>
              </w:rPr>
            </w:pPr>
            <w:r w:rsidRPr="00A051CF">
              <w:rPr>
                <w:sz w:val="20"/>
                <w:szCs w:val="20"/>
                <w:lang w:val="en-CA" w:eastAsia="en-CA"/>
              </w:rPr>
              <w:t>0</w:t>
            </w:r>
          </w:p>
        </w:tc>
      </w:tr>
      <w:tr w:rsidR="00A70444" w:rsidRPr="00A051CF" w14:paraId="55309A7B" w14:textId="77777777" w:rsidTr="000B114B">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032BB413" w14:textId="77777777" w:rsidR="00A70444" w:rsidRPr="00A051CF" w:rsidRDefault="00405319" w:rsidP="000B114B">
            <w:pPr>
              <w:jc w:val="left"/>
              <w:rPr>
                <w:sz w:val="20"/>
                <w:szCs w:val="20"/>
                <w:lang w:val="en-CA" w:eastAsia="en-CA"/>
              </w:rPr>
            </w:pPr>
            <w:r>
              <w:rPr>
                <w:sz w:val="20"/>
                <w:szCs w:val="20"/>
                <w:lang w:val="en-CA" w:eastAsia="en-CA"/>
              </w:rPr>
              <w:t>Preparación de proyectos</w:t>
            </w:r>
          </w:p>
        </w:tc>
        <w:tc>
          <w:tcPr>
            <w:tcW w:w="1088" w:type="dxa"/>
            <w:tcBorders>
              <w:top w:val="nil"/>
              <w:left w:val="nil"/>
              <w:bottom w:val="single" w:sz="4" w:space="0" w:color="auto"/>
              <w:right w:val="single" w:sz="4" w:space="0" w:color="auto"/>
            </w:tcBorders>
            <w:shd w:val="clear" w:color="auto" w:fill="auto"/>
            <w:noWrap/>
            <w:hideMark/>
          </w:tcPr>
          <w:p w14:paraId="3EA7E6CA" w14:textId="77777777" w:rsidR="00A70444" w:rsidRPr="00A051CF" w:rsidRDefault="00A70444" w:rsidP="000B114B">
            <w:pPr>
              <w:jc w:val="right"/>
              <w:rPr>
                <w:sz w:val="20"/>
                <w:szCs w:val="20"/>
                <w:lang w:val="en-CA" w:eastAsia="en-CA"/>
              </w:rPr>
            </w:pPr>
            <w:r w:rsidRPr="00A051CF">
              <w:rPr>
                <w:sz w:val="20"/>
                <w:szCs w:val="20"/>
                <w:lang w:val="en-CA" w:eastAsia="en-CA"/>
              </w:rPr>
              <w:t>1</w:t>
            </w:r>
          </w:p>
        </w:tc>
        <w:tc>
          <w:tcPr>
            <w:tcW w:w="1088" w:type="dxa"/>
            <w:tcBorders>
              <w:top w:val="nil"/>
              <w:left w:val="nil"/>
              <w:bottom w:val="single" w:sz="4" w:space="0" w:color="auto"/>
              <w:right w:val="single" w:sz="4" w:space="0" w:color="auto"/>
            </w:tcBorders>
            <w:shd w:val="clear" w:color="auto" w:fill="auto"/>
            <w:noWrap/>
            <w:hideMark/>
          </w:tcPr>
          <w:p w14:paraId="4A4D9B77" w14:textId="77777777" w:rsidR="00A70444" w:rsidRPr="00A051CF" w:rsidRDefault="00A70444" w:rsidP="000B114B">
            <w:pPr>
              <w:jc w:val="right"/>
              <w:rPr>
                <w:sz w:val="20"/>
                <w:szCs w:val="20"/>
                <w:lang w:val="en-CA" w:eastAsia="en-CA"/>
              </w:rPr>
            </w:pPr>
            <w:r w:rsidRPr="00A051CF">
              <w:rPr>
                <w:sz w:val="20"/>
                <w:szCs w:val="20"/>
                <w:lang w:val="en-CA" w:eastAsia="en-CA"/>
              </w:rPr>
              <w:t>1</w:t>
            </w:r>
          </w:p>
        </w:tc>
        <w:tc>
          <w:tcPr>
            <w:tcW w:w="1127" w:type="dxa"/>
            <w:tcBorders>
              <w:top w:val="nil"/>
              <w:left w:val="nil"/>
              <w:bottom w:val="single" w:sz="4" w:space="0" w:color="auto"/>
              <w:right w:val="single" w:sz="4" w:space="0" w:color="auto"/>
            </w:tcBorders>
            <w:shd w:val="clear" w:color="auto" w:fill="auto"/>
            <w:noWrap/>
            <w:hideMark/>
          </w:tcPr>
          <w:p w14:paraId="1E520B09" w14:textId="77777777" w:rsidR="00A70444" w:rsidRPr="00A051CF" w:rsidRDefault="00A70444" w:rsidP="000B114B">
            <w:pPr>
              <w:jc w:val="right"/>
              <w:rPr>
                <w:sz w:val="20"/>
                <w:szCs w:val="20"/>
                <w:lang w:val="en-CA" w:eastAsia="en-CA"/>
              </w:rPr>
            </w:pPr>
            <w:r w:rsidRPr="00A051CF">
              <w:rPr>
                <w:sz w:val="20"/>
                <w:szCs w:val="20"/>
                <w:lang w:val="en-CA" w:eastAsia="en-CA"/>
              </w:rPr>
              <w:t>100</w:t>
            </w:r>
          </w:p>
        </w:tc>
        <w:tc>
          <w:tcPr>
            <w:tcW w:w="1050" w:type="dxa"/>
            <w:tcBorders>
              <w:top w:val="nil"/>
              <w:left w:val="nil"/>
              <w:bottom w:val="single" w:sz="4" w:space="0" w:color="auto"/>
              <w:right w:val="single" w:sz="4" w:space="0" w:color="auto"/>
            </w:tcBorders>
            <w:shd w:val="clear" w:color="auto" w:fill="auto"/>
            <w:noWrap/>
            <w:hideMark/>
          </w:tcPr>
          <w:p w14:paraId="4C7E13D6" w14:textId="338A7146" w:rsidR="00A70444" w:rsidRPr="00A051CF" w:rsidRDefault="00A70444" w:rsidP="000B114B">
            <w:pPr>
              <w:jc w:val="right"/>
              <w:rPr>
                <w:sz w:val="20"/>
                <w:szCs w:val="20"/>
                <w:lang w:val="en-CA" w:eastAsia="en-CA"/>
              </w:rPr>
            </w:pPr>
            <w:r w:rsidRPr="00A051CF">
              <w:rPr>
                <w:sz w:val="20"/>
                <w:szCs w:val="20"/>
                <w:lang w:val="en-CA" w:eastAsia="en-CA"/>
              </w:rPr>
              <w:t>30</w:t>
            </w:r>
            <w:r w:rsidR="00A86723">
              <w:rPr>
                <w:sz w:val="20"/>
                <w:szCs w:val="20"/>
                <w:lang w:val="en-CA" w:eastAsia="en-CA"/>
              </w:rPr>
              <w:t xml:space="preserve"> </w:t>
            </w:r>
            <w:r w:rsidRPr="00A051CF">
              <w:rPr>
                <w:sz w:val="20"/>
                <w:szCs w:val="20"/>
                <w:lang w:val="en-CA" w:eastAsia="en-CA"/>
              </w:rPr>
              <w:t>000</w:t>
            </w:r>
          </w:p>
        </w:tc>
        <w:tc>
          <w:tcPr>
            <w:tcW w:w="1088" w:type="dxa"/>
            <w:tcBorders>
              <w:top w:val="nil"/>
              <w:left w:val="nil"/>
              <w:bottom w:val="single" w:sz="4" w:space="0" w:color="auto"/>
              <w:right w:val="single" w:sz="4" w:space="0" w:color="auto"/>
            </w:tcBorders>
            <w:shd w:val="clear" w:color="auto" w:fill="auto"/>
            <w:noWrap/>
            <w:hideMark/>
          </w:tcPr>
          <w:p w14:paraId="1BCBE218" w14:textId="63C6F1D1" w:rsidR="00A70444" w:rsidRPr="00A051CF" w:rsidRDefault="00A70444" w:rsidP="000B114B">
            <w:pPr>
              <w:jc w:val="right"/>
              <w:rPr>
                <w:sz w:val="20"/>
                <w:szCs w:val="20"/>
                <w:lang w:val="en-CA" w:eastAsia="en-CA"/>
              </w:rPr>
            </w:pPr>
            <w:r w:rsidRPr="00A051CF">
              <w:rPr>
                <w:sz w:val="20"/>
                <w:szCs w:val="20"/>
                <w:lang w:val="en-CA" w:eastAsia="en-CA"/>
              </w:rPr>
              <w:t>30</w:t>
            </w:r>
            <w:r w:rsidR="00A86723">
              <w:rPr>
                <w:sz w:val="20"/>
                <w:szCs w:val="20"/>
                <w:lang w:val="en-CA" w:eastAsia="en-CA"/>
              </w:rPr>
              <w:t xml:space="preserve"> </w:t>
            </w:r>
            <w:r w:rsidRPr="00A051CF">
              <w:rPr>
                <w:sz w:val="20"/>
                <w:szCs w:val="20"/>
                <w:lang w:val="en-CA" w:eastAsia="en-CA"/>
              </w:rPr>
              <w:t>000</w:t>
            </w:r>
          </w:p>
        </w:tc>
        <w:tc>
          <w:tcPr>
            <w:tcW w:w="1088" w:type="dxa"/>
            <w:tcBorders>
              <w:top w:val="nil"/>
              <w:left w:val="nil"/>
              <w:bottom w:val="single" w:sz="4" w:space="0" w:color="auto"/>
              <w:right w:val="single" w:sz="4" w:space="0" w:color="auto"/>
            </w:tcBorders>
            <w:shd w:val="clear" w:color="auto" w:fill="auto"/>
            <w:noWrap/>
            <w:hideMark/>
          </w:tcPr>
          <w:p w14:paraId="77AD7507"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089" w:type="dxa"/>
            <w:tcBorders>
              <w:top w:val="nil"/>
              <w:left w:val="nil"/>
              <w:bottom w:val="single" w:sz="4" w:space="0" w:color="auto"/>
              <w:right w:val="single" w:sz="4" w:space="0" w:color="auto"/>
            </w:tcBorders>
            <w:shd w:val="clear" w:color="auto" w:fill="auto"/>
            <w:noWrap/>
            <w:hideMark/>
          </w:tcPr>
          <w:p w14:paraId="546F843A" w14:textId="77777777" w:rsidR="00A70444" w:rsidRPr="00A051CF" w:rsidRDefault="00A70444" w:rsidP="000B114B">
            <w:pPr>
              <w:jc w:val="right"/>
              <w:rPr>
                <w:sz w:val="20"/>
                <w:szCs w:val="20"/>
                <w:lang w:val="en-CA" w:eastAsia="en-CA"/>
              </w:rPr>
            </w:pPr>
            <w:r w:rsidRPr="00A051CF">
              <w:rPr>
                <w:sz w:val="20"/>
                <w:szCs w:val="20"/>
                <w:lang w:val="en-CA" w:eastAsia="en-CA"/>
              </w:rPr>
              <w:t>100</w:t>
            </w:r>
          </w:p>
        </w:tc>
      </w:tr>
      <w:tr w:rsidR="00A70444" w:rsidRPr="00A051CF" w14:paraId="21DF9379" w14:textId="77777777" w:rsidTr="000B114B">
        <w:trPr>
          <w:trHeight w:val="58"/>
        </w:trPr>
        <w:tc>
          <w:tcPr>
            <w:tcW w:w="1737" w:type="dxa"/>
            <w:tcBorders>
              <w:top w:val="nil"/>
              <w:left w:val="single" w:sz="4" w:space="0" w:color="auto"/>
              <w:bottom w:val="single" w:sz="4" w:space="0" w:color="auto"/>
              <w:right w:val="single" w:sz="4" w:space="0" w:color="auto"/>
            </w:tcBorders>
            <w:shd w:val="clear" w:color="auto" w:fill="auto"/>
            <w:tcMar>
              <w:left w:w="14" w:type="dxa"/>
              <w:right w:w="0" w:type="dxa"/>
            </w:tcMar>
            <w:hideMark/>
          </w:tcPr>
          <w:p w14:paraId="44A352B9" w14:textId="77777777" w:rsidR="00A70444" w:rsidRPr="00A051CF" w:rsidRDefault="00405319" w:rsidP="000B114B">
            <w:pPr>
              <w:jc w:val="left"/>
              <w:rPr>
                <w:sz w:val="20"/>
                <w:szCs w:val="20"/>
                <w:lang w:val="en-CA" w:eastAsia="en-CA"/>
              </w:rPr>
            </w:pPr>
            <w:r>
              <w:rPr>
                <w:sz w:val="20"/>
                <w:szCs w:val="20"/>
                <w:lang w:val="en-CA" w:eastAsia="en-CA"/>
              </w:rPr>
              <w:t>Actividades de apoyo</w:t>
            </w:r>
          </w:p>
        </w:tc>
        <w:tc>
          <w:tcPr>
            <w:tcW w:w="1088" w:type="dxa"/>
            <w:tcBorders>
              <w:top w:val="nil"/>
              <w:left w:val="nil"/>
              <w:bottom w:val="single" w:sz="4" w:space="0" w:color="auto"/>
              <w:right w:val="single" w:sz="4" w:space="0" w:color="auto"/>
            </w:tcBorders>
            <w:shd w:val="clear" w:color="auto" w:fill="auto"/>
            <w:hideMark/>
          </w:tcPr>
          <w:p w14:paraId="48A96E94" w14:textId="77777777" w:rsidR="00A70444" w:rsidRPr="00A051CF" w:rsidRDefault="00A70444" w:rsidP="000B114B">
            <w:pPr>
              <w:jc w:val="right"/>
              <w:rPr>
                <w:sz w:val="20"/>
                <w:szCs w:val="20"/>
                <w:lang w:val="en-CA" w:eastAsia="en-CA"/>
              </w:rPr>
            </w:pPr>
            <w:r w:rsidRPr="00A051CF">
              <w:rPr>
                <w:sz w:val="20"/>
                <w:szCs w:val="20"/>
                <w:lang w:val="en-CA" w:eastAsia="en-CA"/>
              </w:rPr>
              <w:t>4</w:t>
            </w:r>
          </w:p>
        </w:tc>
        <w:tc>
          <w:tcPr>
            <w:tcW w:w="1088" w:type="dxa"/>
            <w:tcBorders>
              <w:top w:val="nil"/>
              <w:left w:val="nil"/>
              <w:bottom w:val="single" w:sz="4" w:space="0" w:color="auto"/>
              <w:right w:val="single" w:sz="4" w:space="0" w:color="auto"/>
            </w:tcBorders>
            <w:shd w:val="clear" w:color="auto" w:fill="auto"/>
            <w:hideMark/>
          </w:tcPr>
          <w:p w14:paraId="270408C5"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hideMark/>
          </w:tcPr>
          <w:p w14:paraId="60D141B6" w14:textId="77777777" w:rsidR="00A70444" w:rsidRPr="00A051CF" w:rsidRDefault="00A70444" w:rsidP="000B114B">
            <w:pPr>
              <w:jc w:val="right"/>
              <w:rPr>
                <w:sz w:val="20"/>
                <w:szCs w:val="20"/>
                <w:lang w:val="en-CA" w:eastAsia="en-CA"/>
              </w:rPr>
            </w:pPr>
            <w:r w:rsidRPr="00A051CF">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hideMark/>
          </w:tcPr>
          <w:p w14:paraId="56D2BC48" w14:textId="0C2CDB23" w:rsidR="00A70444" w:rsidRPr="00A051CF" w:rsidRDefault="00A70444" w:rsidP="000B114B">
            <w:pPr>
              <w:jc w:val="right"/>
              <w:rPr>
                <w:sz w:val="20"/>
                <w:szCs w:val="20"/>
                <w:lang w:val="en-CA" w:eastAsia="en-CA"/>
              </w:rPr>
            </w:pPr>
            <w:r w:rsidRPr="00A051CF">
              <w:rPr>
                <w:sz w:val="20"/>
                <w:szCs w:val="20"/>
                <w:lang w:val="en-CA" w:eastAsia="en-CA"/>
              </w:rPr>
              <w:t>1</w:t>
            </w:r>
            <w:r w:rsidR="00A86723">
              <w:rPr>
                <w:sz w:val="20"/>
                <w:szCs w:val="20"/>
                <w:lang w:val="en-CA" w:eastAsia="en-CA"/>
              </w:rPr>
              <w:t xml:space="preserve"> </w:t>
            </w:r>
            <w:r w:rsidRPr="00A051CF">
              <w:rPr>
                <w:sz w:val="20"/>
                <w:szCs w:val="20"/>
                <w:lang w:val="en-CA" w:eastAsia="en-CA"/>
              </w:rPr>
              <w:t>000</w:t>
            </w:r>
            <w:r w:rsidR="00A86723">
              <w:rPr>
                <w:sz w:val="20"/>
                <w:szCs w:val="20"/>
                <w:lang w:val="en-CA" w:eastAsia="en-CA"/>
              </w:rPr>
              <w:t xml:space="preserve"> </w:t>
            </w:r>
            <w:r w:rsidRPr="00A051CF">
              <w:rPr>
                <w:sz w:val="20"/>
                <w:szCs w:val="20"/>
                <w:lang w:val="en-CA" w:eastAsia="en-CA"/>
              </w:rPr>
              <w:t>000</w:t>
            </w:r>
          </w:p>
        </w:tc>
        <w:tc>
          <w:tcPr>
            <w:tcW w:w="1088" w:type="dxa"/>
            <w:tcBorders>
              <w:top w:val="nil"/>
              <w:left w:val="nil"/>
              <w:bottom w:val="single" w:sz="4" w:space="0" w:color="auto"/>
              <w:right w:val="single" w:sz="4" w:space="0" w:color="auto"/>
            </w:tcBorders>
            <w:shd w:val="clear" w:color="auto" w:fill="auto"/>
            <w:hideMark/>
          </w:tcPr>
          <w:p w14:paraId="6D8DF5D6" w14:textId="2DB6979A" w:rsidR="00A70444" w:rsidRPr="00A051CF" w:rsidRDefault="00A70444" w:rsidP="000B114B">
            <w:pPr>
              <w:jc w:val="right"/>
              <w:rPr>
                <w:sz w:val="20"/>
                <w:szCs w:val="20"/>
                <w:lang w:val="en-CA" w:eastAsia="en-CA"/>
              </w:rPr>
            </w:pPr>
            <w:r w:rsidRPr="00A051CF">
              <w:rPr>
                <w:sz w:val="20"/>
                <w:szCs w:val="20"/>
                <w:lang w:val="en-CA" w:eastAsia="en-CA"/>
              </w:rPr>
              <w:t>113</w:t>
            </w:r>
            <w:r w:rsidR="00A86723">
              <w:rPr>
                <w:sz w:val="20"/>
                <w:szCs w:val="20"/>
                <w:lang w:val="en-CA" w:eastAsia="en-CA"/>
              </w:rPr>
              <w:t xml:space="preserve"> </w:t>
            </w:r>
            <w:r w:rsidRPr="00A051CF">
              <w:rPr>
                <w:sz w:val="20"/>
                <w:szCs w:val="20"/>
                <w:lang w:val="en-CA" w:eastAsia="en-CA"/>
              </w:rPr>
              <w:t>390</w:t>
            </w:r>
          </w:p>
        </w:tc>
        <w:tc>
          <w:tcPr>
            <w:tcW w:w="1088" w:type="dxa"/>
            <w:tcBorders>
              <w:top w:val="nil"/>
              <w:left w:val="nil"/>
              <w:bottom w:val="single" w:sz="4" w:space="0" w:color="auto"/>
              <w:right w:val="single" w:sz="4" w:space="0" w:color="auto"/>
            </w:tcBorders>
            <w:shd w:val="clear" w:color="auto" w:fill="auto"/>
            <w:hideMark/>
          </w:tcPr>
          <w:p w14:paraId="7A1D1138" w14:textId="252410E1" w:rsidR="00A70444" w:rsidRPr="00A051CF" w:rsidRDefault="00A70444" w:rsidP="000B114B">
            <w:pPr>
              <w:jc w:val="right"/>
              <w:rPr>
                <w:sz w:val="20"/>
                <w:szCs w:val="20"/>
                <w:lang w:val="en-CA" w:eastAsia="en-CA"/>
              </w:rPr>
            </w:pPr>
            <w:r w:rsidRPr="00A051CF">
              <w:rPr>
                <w:sz w:val="20"/>
                <w:szCs w:val="20"/>
                <w:lang w:val="en-CA" w:eastAsia="en-CA"/>
              </w:rPr>
              <w:t>886</w:t>
            </w:r>
            <w:r w:rsidR="00A86723">
              <w:rPr>
                <w:sz w:val="20"/>
                <w:szCs w:val="20"/>
                <w:lang w:val="en-CA" w:eastAsia="en-CA"/>
              </w:rPr>
              <w:t xml:space="preserve"> </w:t>
            </w:r>
            <w:r w:rsidRPr="00A051CF">
              <w:rPr>
                <w:sz w:val="20"/>
                <w:szCs w:val="20"/>
                <w:lang w:val="en-CA" w:eastAsia="en-CA"/>
              </w:rPr>
              <w:t>610</w:t>
            </w:r>
          </w:p>
        </w:tc>
        <w:tc>
          <w:tcPr>
            <w:tcW w:w="1089" w:type="dxa"/>
            <w:tcBorders>
              <w:top w:val="nil"/>
              <w:left w:val="nil"/>
              <w:bottom w:val="single" w:sz="4" w:space="0" w:color="auto"/>
              <w:right w:val="single" w:sz="4" w:space="0" w:color="auto"/>
            </w:tcBorders>
            <w:shd w:val="clear" w:color="auto" w:fill="auto"/>
            <w:noWrap/>
            <w:hideMark/>
          </w:tcPr>
          <w:p w14:paraId="482A828F" w14:textId="77777777" w:rsidR="00A70444" w:rsidRPr="00A051CF" w:rsidRDefault="00A70444" w:rsidP="000B114B">
            <w:pPr>
              <w:jc w:val="right"/>
              <w:rPr>
                <w:sz w:val="20"/>
                <w:szCs w:val="20"/>
                <w:lang w:val="en-CA" w:eastAsia="en-CA"/>
              </w:rPr>
            </w:pPr>
            <w:r w:rsidRPr="00A051CF">
              <w:rPr>
                <w:sz w:val="20"/>
                <w:szCs w:val="20"/>
                <w:lang w:val="en-CA" w:eastAsia="en-CA"/>
              </w:rPr>
              <w:t>11</w:t>
            </w:r>
          </w:p>
        </w:tc>
      </w:tr>
      <w:tr w:rsidR="00A70444" w:rsidRPr="00A051CF" w14:paraId="611F2481" w14:textId="77777777" w:rsidTr="000B114B">
        <w:trPr>
          <w:trHeight w:val="92"/>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9295589" w14:textId="77777777" w:rsidR="00A70444" w:rsidRPr="00A051CF" w:rsidRDefault="00A70444" w:rsidP="000B114B">
            <w:pPr>
              <w:jc w:val="left"/>
              <w:rPr>
                <w:b/>
                <w:bCs/>
                <w:sz w:val="20"/>
                <w:szCs w:val="20"/>
                <w:lang w:val="en-CA" w:eastAsia="en-CA"/>
              </w:rPr>
            </w:pPr>
            <w:r w:rsidRPr="00A051CF">
              <w:rPr>
                <w:b/>
                <w:bCs/>
                <w:sz w:val="20"/>
                <w:szCs w:val="20"/>
                <w:lang w:val="en-CA" w:eastAsia="en-CA"/>
              </w:rPr>
              <w:t>Total</w:t>
            </w:r>
          </w:p>
        </w:tc>
        <w:tc>
          <w:tcPr>
            <w:tcW w:w="1088" w:type="dxa"/>
            <w:tcBorders>
              <w:top w:val="nil"/>
              <w:left w:val="nil"/>
              <w:bottom w:val="single" w:sz="4" w:space="0" w:color="auto"/>
              <w:right w:val="single" w:sz="4" w:space="0" w:color="auto"/>
            </w:tcBorders>
            <w:shd w:val="clear" w:color="auto" w:fill="auto"/>
            <w:noWrap/>
            <w:hideMark/>
          </w:tcPr>
          <w:p w14:paraId="61C334AC" w14:textId="77777777" w:rsidR="00A70444" w:rsidRPr="00A051CF" w:rsidRDefault="00A70444" w:rsidP="000B114B">
            <w:pPr>
              <w:jc w:val="right"/>
              <w:rPr>
                <w:b/>
                <w:bCs/>
                <w:sz w:val="20"/>
                <w:szCs w:val="20"/>
                <w:lang w:val="en-CA" w:eastAsia="en-CA"/>
              </w:rPr>
            </w:pPr>
            <w:r w:rsidRPr="00A051CF">
              <w:rPr>
                <w:b/>
                <w:bCs/>
                <w:sz w:val="20"/>
                <w:szCs w:val="20"/>
                <w:lang w:val="en-CA" w:eastAsia="en-CA"/>
              </w:rPr>
              <w:t>6</w:t>
            </w:r>
          </w:p>
        </w:tc>
        <w:tc>
          <w:tcPr>
            <w:tcW w:w="1088" w:type="dxa"/>
            <w:tcBorders>
              <w:top w:val="nil"/>
              <w:left w:val="nil"/>
              <w:bottom w:val="single" w:sz="4" w:space="0" w:color="auto"/>
              <w:right w:val="single" w:sz="4" w:space="0" w:color="auto"/>
            </w:tcBorders>
            <w:shd w:val="clear" w:color="auto" w:fill="auto"/>
            <w:noWrap/>
            <w:hideMark/>
          </w:tcPr>
          <w:p w14:paraId="18C88467" w14:textId="77777777" w:rsidR="00A70444" w:rsidRPr="00A051CF" w:rsidRDefault="00A70444" w:rsidP="000B114B">
            <w:pPr>
              <w:jc w:val="right"/>
              <w:rPr>
                <w:b/>
                <w:bCs/>
                <w:sz w:val="20"/>
                <w:szCs w:val="20"/>
                <w:lang w:val="en-CA" w:eastAsia="en-CA"/>
              </w:rPr>
            </w:pPr>
            <w:r w:rsidRPr="00A051CF">
              <w:rPr>
                <w:b/>
                <w:bCs/>
                <w:sz w:val="20"/>
                <w:szCs w:val="20"/>
                <w:lang w:val="en-CA" w:eastAsia="en-CA"/>
              </w:rPr>
              <w:t>1</w:t>
            </w:r>
          </w:p>
        </w:tc>
        <w:tc>
          <w:tcPr>
            <w:tcW w:w="1127" w:type="dxa"/>
            <w:tcBorders>
              <w:top w:val="nil"/>
              <w:left w:val="nil"/>
              <w:bottom w:val="single" w:sz="4" w:space="0" w:color="auto"/>
              <w:right w:val="single" w:sz="4" w:space="0" w:color="auto"/>
            </w:tcBorders>
            <w:shd w:val="clear" w:color="auto" w:fill="auto"/>
            <w:noWrap/>
            <w:hideMark/>
          </w:tcPr>
          <w:p w14:paraId="5F8C15B1" w14:textId="77777777" w:rsidR="00A70444" w:rsidRPr="00A051CF" w:rsidRDefault="00A70444" w:rsidP="000B114B">
            <w:pPr>
              <w:jc w:val="right"/>
              <w:rPr>
                <w:b/>
                <w:sz w:val="20"/>
                <w:szCs w:val="20"/>
                <w:lang w:val="en-CA" w:eastAsia="en-CA"/>
              </w:rPr>
            </w:pPr>
            <w:r w:rsidRPr="00A051CF">
              <w:rPr>
                <w:b/>
                <w:sz w:val="20"/>
                <w:szCs w:val="20"/>
                <w:lang w:val="en-CA" w:eastAsia="en-CA"/>
              </w:rPr>
              <w:t>17</w:t>
            </w:r>
          </w:p>
        </w:tc>
        <w:tc>
          <w:tcPr>
            <w:tcW w:w="1050" w:type="dxa"/>
            <w:tcBorders>
              <w:top w:val="nil"/>
              <w:left w:val="nil"/>
              <w:bottom w:val="single" w:sz="4" w:space="0" w:color="auto"/>
              <w:right w:val="single" w:sz="4" w:space="0" w:color="auto"/>
            </w:tcBorders>
            <w:shd w:val="clear" w:color="auto" w:fill="auto"/>
            <w:noWrap/>
            <w:hideMark/>
          </w:tcPr>
          <w:p w14:paraId="1C2922EF" w14:textId="69B17373" w:rsidR="00A70444" w:rsidRPr="00A051CF" w:rsidRDefault="00A70444" w:rsidP="000B114B">
            <w:pPr>
              <w:jc w:val="right"/>
              <w:rPr>
                <w:b/>
                <w:bCs/>
                <w:sz w:val="20"/>
                <w:szCs w:val="20"/>
                <w:lang w:val="en-CA" w:eastAsia="en-CA"/>
              </w:rPr>
            </w:pPr>
            <w:r w:rsidRPr="00A051CF">
              <w:rPr>
                <w:b/>
                <w:bCs/>
                <w:sz w:val="20"/>
                <w:szCs w:val="20"/>
                <w:lang w:val="en-CA" w:eastAsia="en-CA"/>
              </w:rPr>
              <w:t>1</w:t>
            </w:r>
            <w:r w:rsidR="00A86723">
              <w:rPr>
                <w:b/>
                <w:bCs/>
                <w:sz w:val="20"/>
                <w:szCs w:val="20"/>
                <w:lang w:val="en-CA" w:eastAsia="en-CA"/>
              </w:rPr>
              <w:t xml:space="preserve"> </w:t>
            </w:r>
            <w:r w:rsidRPr="00A051CF">
              <w:rPr>
                <w:b/>
                <w:bCs/>
                <w:sz w:val="20"/>
                <w:szCs w:val="20"/>
                <w:lang w:val="en-CA" w:eastAsia="en-CA"/>
              </w:rPr>
              <w:t>213</w:t>
            </w:r>
            <w:r w:rsidR="00A86723">
              <w:rPr>
                <w:b/>
                <w:bCs/>
                <w:sz w:val="20"/>
                <w:szCs w:val="20"/>
                <w:lang w:val="en-CA" w:eastAsia="en-CA"/>
              </w:rPr>
              <w:t xml:space="preserve"> </w:t>
            </w:r>
            <w:r w:rsidRPr="00A051CF">
              <w:rPr>
                <w:b/>
                <w:bCs/>
                <w:sz w:val="20"/>
                <w:szCs w:val="20"/>
                <w:lang w:val="en-CA" w:eastAsia="en-CA"/>
              </w:rPr>
              <w:t>514</w:t>
            </w:r>
          </w:p>
        </w:tc>
        <w:tc>
          <w:tcPr>
            <w:tcW w:w="1088" w:type="dxa"/>
            <w:tcBorders>
              <w:top w:val="nil"/>
              <w:left w:val="nil"/>
              <w:bottom w:val="single" w:sz="4" w:space="0" w:color="auto"/>
              <w:right w:val="single" w:sz="4" w:space="0" w:color="auto"/>
            </w:tcBorders>
            <w:shd w:val="clear" w:color="auto" w:fill="auto"/>
            <w:noWrap/>
            <w:hideMark/>
          </w:tcPr>
          <w:p w14:paraId="712DF96C" w14:textId="3CD9AC7A" w:rsidR="00A70444" w:rsidRPr="00A051CF" w:rsidRDefault="00A70444" w:rsidP="000B114B">
            <w:pPr>
              <w:jc w:val="right"/>
              <w:rPr>
                <w:b/>
                <w:bCs/>
                <w:sz w:val="20"/>
                <w:szCs w:val="20"/>
                <w:lang w:val="en-CA" w:eastAsia="en-CA"/>
              </w:rPr>
            </w:pPr>
            <w:r w:rsidRPr="00A051CF">
              <w:rPr>
                <w:b/>
                <w:bCs/>
                <w:sz w:val="20"/>
                <w:szCs w:val="20"/>
                <w:lang w:val="en-CA" w:eastAsia="en-CA"/>
              </w:rPr>
              <w:t>143</w:t>
            </w:r>
            <w:r w:rsidR="00A86723">
              <w:rPr>
                <w:b/>
                <w:bCs/>
                <w:sz w:val="20"/>
                <w:szCs w:val="20"/>
                <w:lang w:val="en-CA" w:eastAsia="en-CA"/>
              </w:rPr>
              <w:t xml:space="preserve"> </w:t>
            </w:r>
            <w:r w:rsidRPr="00A051CF">
              <w:rPr>
                <w:b/>
                <w:bCs/>
                <w:sz w:val="20"/>
                <w:szCs w:val="20"/>
                <w:lang w:val="en-CA" w:eastAsia="en-CA"/>
              </w:rPr>
              <w:t>390</w:t>
            </w:r>
          </w:p>
        </w:tc>
        <w:tc>
          <w:tcPr>
            <w:tcW w:w="1088" w:type="dxa"/>
            <w:tcBorders>
              <w:top w:val="nil"/>
              <w:left w:val="nil"/>
              <w:bottom w:val="single" w:sz="4" w:space="0" w:color="auto"/>
              <w:right w:val="single" w:sz="4" w:space="0" w:color="auto"/>
            </w:tcBorders>
            <w:shd w:val="clear" w:color="auto" w:fill="auto"/>
            <w:noWrap/>
            <w:hideMark/>
          </w:tcPr>
          <w:p w14:paraId="0BC692D5" w14:textId="7F94B9FE" w:rsidR="00A70444" w:rsidRPr="00A051CF" w:rsidRDefault="00A70444" w:rsidP="000B114B">
            <w:pPr>
              <w:jc w:val="right"/>
              <w:rPr>
                <w:b/>
                <w:bCs/>
                <w:sz w:val="20"/>
                <w:szCs w:val="20"/>
                <w:lang w:val="en-CA" w:eastAsia="en-CA"/>
              </w:rPr>
            </w:pPr>
            <w:r w:rsidRPr="00A051CF">
              <w:rPr>
                <w:b/>
                <w:bCs/>
                <w:sz w:val="20"/>
                <w:szCs w:val="20"/>
                <w:lang w:val="en-CA" w:eastAsia="en-CA"/>
              </w:rPr>
              <w:t>1</w:t>
            </w:r>
            <w:r w:rsidR="00A86723">
              <w:rPr>
                <w:b/>
                <w:bCs/>
                <w:sz w:val="20"/>
                <w:szCs w:val="20"/>
                <w:lang w:val="en-CA" w:eastAsia="en-CA"/>
              </w:rPr>
              <w:t xml:space="preserve"> </w:t>
            </w:r>
            <w:r w:rsidRPr="00A051CF">
              <w:rPr>
                <w:b/>
                <w:bCs/>
                <w:sz w:val="20"/>
                <w:szCs w:val="20"/>
                <w:lang w:val="en-CA" w:eastAsia="en-CA"/>
              </w:rPr>
              <w:t>070</w:t>
            </w:r>
            <w:r w:rsidR="00A86723">
              <w:rPr>
                <w:b/>
                <w:bCs/>
                <w:sz w:val="20"/>
                <w:szCs w:val="20"/>
                <w:lang w:val="en-CA" w:eastAsia="en-CA"/>
              </w:rPr>
              <w:t xml:space="preserve"> </w:t>
            </w:r>
            <w:r w:rsidRPr="00A051CF">
              <w:rPr>
                <w:b/>
                <w:bCs/>
                <w:sz w:val="20"/>
                <w:szCs w:val="20"/>
                <w:lang w:val="en-CA" w:eastAsia="en-CA"/>
              </w:rPr>
              <w:t>124</w:t>
            </w:r>
          </w:p>
        </w:tc>
        <w:tc>
          <w:tcPr>
            <w:tcW w:w="1089" w:type="dxa"/>
            <w:tcBorders>
              <w:top w:val="nil"/>
              <w:left w:val="nil"/>
              <w:bottom w:val="single" w:sz="4" w:space="0" w:color="auto"/>
              <w:right w:val="single" w:sz="4" w:space="0" w:color="auto"/>
            </w:tcBorders>
            <w:shd w:val="clear" w:color="auto" w:fill="auto"/>
            <w:noWrap/>
            <w:hideMark/>
          </w:tcPr>
          <w:p w14:paraId="5BFBACC0" w14:textId="77777777" w:rsidR="00A70444" w:rsidRPr="00A051CF" w:rsidRDefault="00A70444" w:rsidP="000B114B">
            <w:pPr>
              <w:jc w:val="right"/>
              <w:rPr>
                <w:b/>
                <w:sz w:val="20"/>
                <w:szCs w:val="20"/>
                <w:lang w:val="en-CA" w:eastAsia="en-CA"/>
              </w:rPr>
            </w:pPr>
            <w:r w:rsidRPr="00A051CF">
              <w:rPr>
                <w:b/>
                <w:sz w:val="20"/>
                <w:szCs w:val="20"/>
                <w:lang w:val="en-CA" w:eastAsia="en-CA"/>
              </w:rPr>
              <w:t>12</w:t>
            </w:r>
          </w:p>
        </w:tc>
      </w:tr>
    </w:tbl>
    <w:p w14:paraId="02C85224" w14:textId="77777777" w:rsidR="00A70444" w:rsidRPr="00405319" w:rsidRDefault="00A70444" w:rsidP="00A70444">
      <w:pPr>
        <w:pStyle w:val="Title1"/>
        <w:jc w:val="left"/>
        <w:rPr>
          <w:caps w:val="0"/>
          <w:lang w:val="es-ES"/>
        </w:rPr>
      </w:pPr>
      <w:r w:rsidRPr="00405319">
        <w:rPr>
          <w:caps w:val="0"/>
          <w:lang w:val="es-ES"/>
        </w:rPr>
        <w:t>*</w:t>
      </w:r>
      <w:r w:rsidR="00405319" w:rsidRPr="00405319">
        <w:rPr>
          <w:b w:val="0"/>
          <w:caps w:val="0"/>
          <w:sz w:val="20"/>
          <w:szCs w:val="20"/>
          <w:lang w:val="es-ES"/>
        </w:rPr>
        <w:t>Excluye los gastos de apoyo al organismo</w:t>
      </w:r>
      <w:r w:rsidRPr="00405319">
        <w:rPr>
          <w:b w:val="0"/>
          <w:caps w:val="0"/>
          <w:sz w:val="20"/>
          <w:szCs w:val="20"/>
          <w:lang w:val="es-ES"/>
        </w:rPr>
        <w:t>.</w:t>
      </w:r>
    </w:p>
    <w:p w14:paraId="5A03EA6C" w14:textId="77777777" w:rsidR="00A70444" w:rsidRPr="00405319" w:rsidRDefault="00A70444" w:rsidP="00A70444">
      <w:pPr>
        <w:pStyle w:val="BankNormal"/>
        <w:suppressAutoHyphens/>
        <w:spacing w:after="0"/>
        <w:rPr>
          <w:lang w:val="es-ES"/>
        </w:rPr>
      </w:pPr>
    </w:p>
    <w:p w14:paraId="634505AE" w14:textId="682357D9" w:rsidR="00A70444" w:rsidRPr="00AE24E8" w:rsidRDefault="00AE24E8" w:rsidP="00A70444">
      <w:pPr>
        <w:pStyle w:val="Heading1"/>
        <w:rPr>
          <w:lang w:val="es-ES"/>
        </w:rPr>
      </w:pPr>
      <w:r w:rsidRPr="0002437A">
        <w:rPr>
          <w:lang w:val="es-ES"/>
        </w:rPr>
        <w:t>De los seis proyectos aprobados para fines de 2018, se ha completad</w:t>
      </w:r>
      <w:r>
        <w:rPr>
          <w:lang w:val="es-ES"/>
        </w:rPr>
        <w:t>o la preparación de un proyecto</w:t>
      </w:r>
      <w:r w:rsidRPr="0002437A">
        <w:rPr>
          <w:lang w:val="es-ES"/>
        </w:rPr>
        <w:t>. El proyecto de inversión relacionado con la eliminación de 8,8 tm (</w:t>
      </w:r>
      <w:r w:rsidR="00080447" w:rsidRPr="0002437A">
        <w:rPr>
          <w:lang w:val="es-ES"/>
        </w:rPr>
        <w:t>CO</w:t>
      </w:r>
      <w:r w:rsidR="00080447" w:rsidRPr="0002437A">
        <w:rPr>
          <w:vertAlign w:val="subscript"/>
          <w:lang w:val="es-ES"/>
        </w:rPr>
        <w:t>2</w:t>
      </w:r>
      <w:r w:rsidR="00080447" w:rsidRPr="0002437A">
        <w:rPr>
          <w:lang w:val="es-ES"/>
        </w:rPr>
        <w:t>-eq</w:t>
      </w:r>
      <w:r w:rsidR="00543286">
        <w:rPr>
          <w:lang w:val="es-ES"/>
        </w:rPr>
        <w:t xml:space="preserve">uivalente </w:t>
      </w:r>
      <w:r w:rsidR="00080447">
        <w:rPr>
          <w:lang w:val="es-ES"/>
        </w:rPr>
        <w:t xml:space="preserve">a </w:t>
      </w:r>
      <w:r w:rsidR="00A86723">
        <w:rPr>
          <w:lang w:val="es-ES"/>
        </w:rPr>
        <w:t xml:space="preserve">12 </w:t>
      </w:r>
      <w:r w:rsidRPr="0002437A">
        <w:rPr>
          <w:lang w:val="es-ES"/>
        </w:rPr>
        <w:t>555 tm.) de HFC, se encuentra en una fase temprana de ejecución, sin que se hayan desembolsado fondos; sin embargo, el Banco Mundial confirmó que el proyecto se terminará a tiempo</w:t>
      </w:r>
      <w:r>
        <w:rPr>
          <w:lang w:val="es-ES"/>
        </w:rPr>
        <w:t>.</w:t>
      </w:r>
      <w:r w:rsidRPr="0002437A">
        <w:rPr>
          <w:lang w:val="es-ES"/>
        </w:rPr>
        <w:t xml:space="preserve"> Las actividades de apoyo se encuentran en diversas etapas de implementación. En el acumulado, </w:t>
      </w:r>
      <w:r w:rsidR="00581B0A">
        <w:rPr>
          <w:lang w:val="es-ES"/>
        </w:rPr>
        <w:t>se habían desembolsado 143 390 </w:t>
      </w:r>
      <w:r w:rsidRPr="0002437A">
        <w:rPr>
          <w:lang w:val="es-ES"/>
        </w:rPr>
        <w:t>$EUA del total de 1</w:t>
      </w:r>
      <w:r w:rsidR="00A86723">
        <w:rPr>
          <w:lang w:val="es-ES"/>
        </w:rPr>
        <w:t xml:space="preserve"> 213 </w:t>
      </w:r>
      <w:r w:rsidRPr="0002437A">
        <w:rPr>
          <w:lang w:val="es-ES"/>
        </w:rPr>
        <w:t xml:space="preserve">514 $EUA </w:t>
      </w:r>
      <w:r>
        <w:rPr>
          <w:lang w:val="es-ES"/>
        </w:rPr>
        <w:t>aprobados para desembolso</w:t>
      </w:r>
      <w:r w:rsidRPr="0002437A">
        <w:rPr>
          <w:lang w:val="es-ES"/>
        </w:rPr>
        <w:t xml:space="preserve"> (</w:t>
      </w:r>
      <w:r>
        <w:rPr>
          <w:lang w:val="es-ES"/>
        </w:rPr>
        <w:t>excluyendo los gastos de apoyo</w:t>
      </w:r>
      <w:r w:rsidRPr="0002437A">
        <w:rPr>
          <w:lang w:val="es-ES"/>
        </w:rPr>
        <w:t xml:space="preserve">), </w:t>
      </w:r>
      <w:r>
        <w:rPr>
          <w:lang w:val="es-ES"/>
        </w:rPr>
        <w:t>lo que representa</w:t>
      </w:r>
      <w:r w:rsidRPr="0002437A">
        <w:rPr>
          <w:lang w:val="es-ES"/>
        </w:rPr>
        <w:t xml:space="preserve"> </w:t>
      </w:r>
      <w:r>
        <w:rPr>
          <w:lang w:val="es-ES"/>
        </w:rPr>
        <w:t xml:space="preserve">el </w:t>
      </w:r>
      <w:r w:rsidRPr="0002437A">
        <w:rPr>
          <w:lang w:val="es-ES"/>
        </w:rPr>
        <w:t>12</w:t>
      </w:r>
      <w:r>
        <w:rPr>
          <w:lang w:val="es-ES"/>
        </w:rPr>
        <w:t>% del total</w:t>
      </w:r>
      <w:r w:rsidR="00A70444" w:rsidRPr="00AE24E8">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70444" w:rsidRPr="00C8142A" w14:paraId="103BBE43" w14:textId="77777777" w:rsidTr="00B569A7">
        <w:tc>
          <w:tcPr>
            <w:tcW w:w="1871" w:type="dxa"/>
          </w:tcPr>
          <w:p w14:paraId="69F7C9E3" w14:textId="77777777" w:rsidR="00A70444" w:rsidRPr="00AE24E8" w:rsidRDefault="00A70444" w:rsidP="000B114B">
            <w:pPr>
              <w:tabs>
                <w:tab w:val="left" w:pos="8280"/>
              </w:tabs>
              <w:rPr>
                <w:lang w:val="es-ES"/>
              </w:rPr>
            </w:pPr>
          </w:p>
        </w:tc>
        <w:tc>
          <w:tcPr>
            <w:tcW w:w="1872" w:type="dxa"/>
          </w:tcPr>
          <w:p w14:paraId="6208F5F6" w14:textId="77777777" w:rsidR="00A70444" w:rsidRPr="00AE24E8" w:rsidRDefault="00A70444" w:rsidP="000B114B">
            <w:pPr>
              <w:tabs>
                <w:tab w:val="left" w:pos="8280"/>
              </w:tabs>
              <w:rPr>
                <w:lang w:val="es-ES"/>
              </w:rPr>
            </w:pPr>
          </w:p>
        </w:tc>
        <w:tc>
          <w:tcPr>
            <w:tcW w:w="1872" w:type="dxa"/>
          </w:tcPr>
          <w:p w14:paraId="0CD0B8CF" w14:textId="77777777" w:rsidR="00A70444" w:rsidRPr="00AE24E8" w:rsidRDefault="00A70444" w:rsidP="000B114B">
            <w:pPr>
              <w:tabs>
                <w:tab w:val="left" w:pos="8280"/>
              </w:tabs>
              <w:rPr>
                <w:lang w:val="es-ES"/>
              </w:rPr>
            </w:pPr>
          </w:p>
        </w:tc>
        <w:tc>
          <w:tcPr>
            <w:tcW w:w="1872" w:type="dxa"/>
          </w:tcPr>
          <w:p w14:paraId="3E4E99E4" w14:textId="77777777" w:rsidR="00A70444" w:rsidRPr="00AE24E8" w:rsidRDefault="00A70444" w:rsidP="000B114B">
            <w:pPr>
              <w:tabs>
                <w:tab w:val="left" w:pos="8280"/>
              </w:tabs>
              <w:rPr>
                <w:lang w:val="es-ES"/>
              </w:rPr>
            </w:pPr>
          </w:p>
        </w:tc>
        <w:tc>
          <w:tcPr>
            <w:tcW w:w="1873" w:type="dxa"/>
          </w:tcPr>
          <w:p w14:paraId="68729E9C" w14:textId="77777777" w:rsidR="00A70444" w:rsidRPr="00AE24E8" w:rsidRDefault="00A70444" w:rsidP="000B114B">
            <w:pPr>
              <w:tabs>
                <w:tab w:val="left" w:pos="8280"/>
              </w:tabs>
              <w:rPr>
                <w:lang w:val="es-ES"/>
              </w:rPr>
            </w:pPr>
          </w:p>
        </w:tc>
      </w:tr>
    </w:tbl>
    <w:p w14:paraId="1C7731C3" w14:textId="1EBC2572" w:rsidR="0087455A" w:rsidRPr="00AE24E8" w:rsidRDefault="0087455A" w:rsidP="00DC5B6F">
      <w:pPr>
        <w:rPr>
          <w:b/>
          <w:bCs/>
          <w:lang w:val="es-ES"/>
        </w:rPr>
      </w:pPr>
    </w:p>
    <w:sectPr w:rsidR="0087455A" w:rsidRPr="00AE24E8" w:rsidSect="009B5387">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A3F6" w14:textId="77777777" w:rsidR="00543286" w:rsidRDefault="00543286">
      <w:r>
        <w:separator/>
      </w:r>
    </w:p>
  </w:endnote>
  <w:endnote w:type="continuationSeparator" w:id="0">
    <w:p w14:paraId="372E90FB" w14:textId="77777777" w:rsidR="00543286" w:rsidRDefault="005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C1CD" w14:textId="515BA11F" w:rsidR="00543286" w:rsidRDefault="00543286">
    <w:pPr>
      <w:jc w:val="center"/>
    </w:pPr>
    <w:r>
      <w:fldChar w:fldCharType="begin"/>
    </w:r>
    <w:r>
      <w:instrText xml:space="preserve"> PAGE </w:instrText>
    </w:r>
    <w:r>
      <w:fldChar w:fldCharType="separate"/>
    </w:r>
    <w:r w:rsidR="00C8142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E5C" w14:textId="30E8CE0A" w:rsidR="00543286" w:rsidRDefault="00543286">
    <w:pPr>
      <w:jc w:val="center"/>
    </w:pPr>
    <w:r>
      <w:rPr>
        <w:noProof/>
        <w:lang w:val="en-CA" w:eastAsia="en-CA"/>
      </w:rPr>
      <mc:AlternateContent>
        <mc:Choice Requires="wps">
          <w:drawing>
            <wp:anchor distT="558800" distB="0" distL="114300" distR="114300" simplePos="0" relativeHeight="251661312" behindDoc="0" locked="0" layoutInCell="0" allowOverlap="1" wp14:anchorId="29A68864" wp14:editId="74CB3A58">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6CD247E" w14:textId="77777777" w:rsidR="00543286" w:rsidRDefault="00543286" w:rsidP="00A21B47">
                          <w:pPr>
                            <w:jc w:val="center"/>
                          </w:pPr>
                          <w:r w:rsidRPr="00A21B4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A68864" id="_x0000_t202" coordsize="21600,21600" o:spt="202" path="m,l,21600r21600,l21600,xe">
              <v:stroke joinstyle="miter"/>
              <v:path gradientshapeok="t" o:connecttype="rect"/>
            </v:shapetype>
            <v:shape id="TITUSO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LyDouNqAgAAtwQAAA4AAAAAAAAAAAAAAAAALgIAAGRy&#10;cy9lMm9Eb2MueG1sUEsBAi0AFAAGAAgAAAAhAM3y8yjaAAAACAEAAA8AAAAAAAAAAAAAAAAAxAQA&#10;AGRycy9kb3ducmV2LnhtbFBLBQYAAAAABAAEAPMAAADLBQAAAAA=&#10;" o:allowincell="f" filled="f" stroked="f" strokeweight=".5pt">
              <v:path arrowok="t"/>
              <v:textbox>
                <w:txbxContent>
                  <w:p w14:paraId="46CD247E" w14:textId="77777777" w:rsidR="00543286" w:rsidRDefault="00543286" w:rsidP="00A21B47">
                    <w:pPr>
                      <w:jc w:val="center"/>
                    </w:pPr>
                    <w:r w:rsidRPr="00A21B47">
                      <w:rPr>
                        <w:color w:val="000000"/>
                        <w:sz w:val="17"/>
                      </w:rPr>
                      <w:t>WIPO FOR OFFICIAL USE ONLY</w:t>
                    </w:r>
                  </w:p>
                </w:txbxContent>
              </v:textbox>
              <w10:wrap anchorx="margin" anchory="margin"/>
            </v:shape>
          </w:pict>
        </mc:Fallback>
      </mc:AlternateContent>
    </w:r>
    <w:r>
      <w:fldChar w:fldCharType="begin"/>
    </w:r>
    <w:r>
      <w:instrText xml:space="preserve"> PAGE </w:instrText>
    </w:r>
    <w:r>
      <w:fldChar w:fldCharType="separate"/>
    </w:r>
    <w:r w:rsidR="00C8142A">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2ACD" w14:textId="0EA6748D" w:rsidR="00543286" w:rsidRPr="009B5387" w:rsidRDefault="009B5387" w:rsidP="00B569A7">
    <w:pPr>
      <w:pBdr>
        <w:top w:val="single" w:sz="4" w:space="1" w:color="auto"/>
        <w:left w:val="single" w:sz="4" w:space="4" w:color="auto"/>
        <w:bottom w:val="single" w:sz="4" w:space="1" w:color="auto"/>
        <w:right w:val="single" w:sz="4" w:space="23" w:color="auto"/>
      </w:pBdr>
      <w:ind w:right="-138"/>
      <w:jc w:val="center"/>
      <w:rPr>
        <w:sz w:val="18"/>
        <w:szCs w:val="18"/>
        <w:lang w:val="es-ES"/>
      </w:rPr>
    </w:pPr>
    <w:r w:rsidRPr="009B5387">
      <w:rPr>
        <w:sz w:val="18"/>
        <w:szCs w:val="18"/>
        <w:lang w:val="es-ES"/>
      </w:rPr>
      <w:t xml:space="preserve"> 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702434"/>
      <w:docPartObj>
        <w:docPartGallery w:val="Page Numbers (Bottom of Page)"/>
        <w:docPartUnique/>
      </w:docPartObj>
    </w:sdtPr>
    <w:sdtEndPr>
      <w:rPr>
        <w:noProof/>
      </w:rPr>
    </w:sdtEndPr>
    <w:sdtContent>
      <w:p w14:paraId="12B8562F" w14:textId="5BF2B522" w:rsidR="009B5387" w:rsidRDefault="009B5387">
        <w:pPr>
          <w:pStyle w:val="Footer"/>
          <w:jc w:val="center"/>
        </w:pPr>
        <w:r>
          <w:fldChar w:fldCharType="begin"/>
        </w:r>
        <w:r>
          <w:instrText xml:space="preserve"> PAGE   \* MERGEFORMAT </w:instrText>
        </w:r>
        <w:r>
          <w:fldChar w:fldCharType="separate"/>
        </w:r>
        <w:r w:rsidR="00C8142A">
          <w:rPr>
            <w:noProof/>
          </w:rPr>
          <w:t>1</w:t>
        </w:r>
        <w:r>
          <w:rPr>
            <w:noProof/>
          </w:rPr>
          <w:fldChar w:fldCharType="end"/>
        </w:r>
      </w:p>
    </w:sdtContent>
  </w:sdt>
  <w:p w14:paraId="5E922232" w14:textId="53558581" w:rsidR="009B5387" w:rsidRPr="009B5387" w:rsidRDefault="009B5387" w:rsidP="009B5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75B4" w14:textId="77777777" w:rsidR="00543286" w:rsidRDefault="00543286">
      <w:r>
        <w:separator/>
      </w:r>
    </w:p>
  </w:footnote>
  <w:footnote w:type="continuationSeparator" w:id="0">
    <w:p w14:paraId="1E6D1015" w14:textId="77777777" w:rsidR="00543286" w:rsidRDefault="00543286">
      <w:r>
        <w:continuationSeparator/>
      </w:r>
    </w:p>
  </w:footnote>
  <w:footnote w:id="1">
    <w:p w14:paraId="251EA227" w14:textId="4653CF9F" w:rsidR="00C91202" w:rsidRPr="00C05D8A" w:rsidRDefault="00543286" w:rsidP="00B569A7">
      <w:pPr>
        <w:pStyle w:val="FootnoteText"/>
        <w:spacing w:after="0"/>
        <w:ind w:left="0" w:firstLine="0"/>
        <w:jc w:val="both"/>
        <w:rPr>
          <w:lang w:val="es-ES"/>
        </w:rPr>
      </w:pPr>
      <w:r w:rsidRPr="00A051CF">
        <w:rPr>
          <w:rStyle w:val="FootnoteReference"/>
        </w:rPr>
        <w:footnoteRef/>
      </w:r>
      <w:r w:rsidRPr="00C05D8A">
        <w:rPr>
          <w:lang w:val="es-ES"/>
        </w:rPr>
        <w:t xml:space="preserve"> </w:t>
      </w:r>
      <w:r w:rsidRPr="00C05D8A">
        <w:rPr>
          <w:sz w:val="22"/>
          <w:szCs w:val="22"/>
          <w:lang w:val="es-ES"/>
        </w:rPr>
        <w:t xml:space="preserve">El informe se adjunta al presente documento. Los datos han sido ingresados al banco de datos de informes refundidos sobre la marcha de </w:t>
      </w:r>
      <w:r>
        <w:rPr>
          <w:sz w:val="22"/>
          <w:szCs w:val="22"/>
          <w:lang w:val="es-ES"/>
        </w:rPr>
        <w:t xml:space="preserve">las </w:t>
      </w:r>
      <w:r w:rsidRPr="00C05D8A">
        <w:rPr>
          <w:sz w:val="22"/>
          <w:szCs w:val="22"/>
          <w:lang w:val="es-ES"/>
        </w:rPr>
        <w:t xml:space="preserve">actividades, disponible a solicitud de </w:t>
      </w:r>
      <w:r>
        <w:rPr>
          <w:sz w:val="22"/>
          <w:szCs w:val="22"/>
          <w:lang w:val="es-ES"/>
        </w:rPr>
        <w:t xml:space="preserve">las </w:t>
      </w:r>
      <w:r w:rsidRPr="00C05D8A">
        <w:rPr>
          <w:sz w:val="22"/>
          <w:szCs w:val="22"/>
          <w:lang w:val="es-ES"/>
        </w:rPr>
        <w:t>parte</w:t>
      </w:r>
      <w:r>
        <w:rPr>
          <w:sz w:val="22"/>
          <w:szCs w:val="22"/>
          <w:lang w:val="es-ES"/>
        </w:rPr>
        <w:t>s</w:t>
      </w:r>
      <w:r w:rsidRPr="00C05D8A">
        <w:rPr>
          <w:lang w:val="es-ES"/>
        </w:rPr>
        <w:t xml:space="preserve">. </w:t>
      </w:r>
    </w:p>
  </w:footnote>
  <w:footnote w:id="2">
    <w:p w14:paraId="3F60DEE0" w14:textId="1730652A" w:rsidR="00543286" w:rsidRDefault="00543286" w:rsidP="00A70444">
      <w:pPr>
        <w:pStyle w:val="FootnoteText"/>
        <w:spacing w:after="0"/>
        <w:ind w:left="0" w:firstLine="0"/>
        <w:jc w:val="both"/>
        <w:rPr>
          <w:rtl/>
          <w:lang w:val="es-ES"/>
        </w:rPr>
      </w:pPr>
      <w:r w:rsidRPr="00A051CF">
        <w:rPr>
          <w:rStyle w:val="FootnoteReference"/>
          <w:lang w:val="en-GB"/>
        </w:rPr>
        <w:footnoteRef/>
      </w:r>
      <w:r w:rsidRPr="00C05D8A">
        <w:rPr>
          <w:lang w:val="es-ES"/>
        </w:rPr>
        <w:t xml:space="preserve"> </w:t>
      </w:r>
      <w:r w:rsidRPr="00405319">
        <w:rPr>
          <w:lang w:val="es-ES"/>
        </w:rPr>
        <w:t>Proyectos en curso son todos aquellos en ejecución al 31 de diciembre de 2018. Principales indicadores de avance: porcentaje de fondos desembolsados y de proyectos que han comenzado a desembolsar fondos; financiamiento que se contempla desembolsar hasta fin de año como porcentaje de lo aprobado; plazo promedio previsto de retraso en la ejecución, e información ingresada en la columna “Observaciones” del mencionado banco de datos.</w:t>
      </w:r>
    </w:p>
    <w:p w14:paraId="36A5C0BE" w14:textId="024309F8" w:rsidR="00B569A7" w:rsidRDefault="00B569A7" w:rsidP="00A70444">
      <w:pPr>
        <w:pStyle w:val="FootnoteText"/>
        <w:spacing w:after="0"/>
        <w:ind w:left="0" w:firstLine="0"/>
        <w:jc w:val="both"/>
        <w:rPr>
          <w:rtl/>
          <w:lang w:val="es-ES"/>
        </w:rPr>
      </w:pPr>
    </w:p>
    <w:p w14:paraId="60E21468" w14:textId="27C38036" w:rsidR="00B569A7" w:rsidRDefault="00B569A7" w:rsidP="00A70444">
      <w:pPr>
        <w:pStyle w:val="FootnoteText"/>
        <w:spacing w:after="0"/>
        <w:ind w:left="0" w:firstLine="0"/>
        <w:jc w:val="both"/>
        <w:rPr>
          <w:rtl/>
          <w:lang w:val="es-ES"/>
        </w:rPr>
      </w:pPr>
    </w:p>
    <w:p w14:paraId="121A5656" w14:textId="77777777" w:rsidR="00B569A7" w:rsidRPr="00C05D8A" w:rsidRDefault="00B569A7" w:rsidP="00A70444">
      <w:pPr>
        <w:pStyle w:val="FootnoteText"/>
        <w:spacing w:after="0"/>
        <w:ind w:left="0" w:firstLine="0"/>
        <w:jc w:val="both"/>
        <w:rPr>
          <w:lang w:val="es-ES"/>
        </w:rPr>
      </w:pPr>
    </w:p>
  </w:footnote>
  <w:footnote w:id="3">
    <w:p w14:paraId="025312DE" w14:textId="77777777" w:rsidR="00543286" w:rsidRPr="00DE7447" w:rsidRDefault="00543286" w:rsidP="00A70444">
      <w:pPr>
        <w:pStyle w:val="FootnoteText"/>
        <w:spacing w:after="0"/>
        <w:ind w:left="0" w:firstLine="0"/>
        <w:jc w:val="both"/>
        <w:rPr>
          <w:lang w:val="es-ES"/>
        </w:rPr>
      </w:pPr>
      <w:r w:rsidRPr="00A051CF">
        <w:rPr>
          <w:rStyle w:val="FootnoteReference"/>
        </w:rPr>
        <w:footnoteRef/>
      </w:r>
      <w:r w:rsidRPr="00DE7447">
        <w:rPr>
          <w:lang w:val="es-ES"/>
        </w:rPr>
        <w:t xml:space="preserve"> Todas las actividades relacionadas con HFC para el Banco Mundial se han aprobado con cargo a las contrib</w:t>
      </w:r>
      <w:r>
        <w:rPr>
          <w:lang w:val="es-ES"/>
        </w:rPr>
        <w:t>uciones voluntarias adicionales</w:t>
      </w:r>
      <w:r w:rsidRPr="00DE7447">
        <w:rPr>
          <w:lang w:val="es-ES"/>
        </w:rPr>
        <w:t>.</w:t>
      </w:r>
    </w:p>
  </w:footnote>
  <w:footnote w:id="4">
    <w:p w14:paraId="480779CF" w14:textId="1087EB33" w:rsidR="00543286" w:rsidRPr="00DE7447" w:rsidRDefault="00543286" w:rsidP="00A70444">
      <w:pPr>
        <w:pStyle w:val="FootnoteText"/>
        <w:spacing w:after="0"/>
        <w:ind w:left="142" w:hanging="142"/>
        <w:jc w:val="both"/>
        <w:rPr>
          <w:lang w:val="es-ES"/>
        </w:rPr>
      </w:pPr>
      <w:r w:rsidRPr="00A051CF">
        <w:rPr>
          <w:rStyle w:val="FootnoteReference"/>
        </w:rPr>
        <w:footnoteRef/>
      </w:r>
      <w:r w:rsidRPr="00DE7447">
        <w:rPr>
          <w:lang w:val="es-ES"/>
        </w:rPr>
        <w:t xml:space="preserve"> La cuestión de las dos mediciones diferentes de las sustancias </w:t>
      </w:r>
      <w:r>
        <w:rPr>
          <w:lang w:val="es-ES"/>
        </w:rPr>
        <w:t>controladas</w:t>
      </w:r>
      <w:r w:rsidRPr="00DE7447">
        <w:rPr>
          <w:lang w:val="es-ES"/>
        </w:rPr>
        <w:t xml:space="preserve"> se examina en el informe </w:t>
      </w:r>
      <w:r>
        <w:rPr>
          <w:lang w:val="es-ES"/>
        </w:rPr>
        <w:t xml:space="preserve">refundido sobre la marcha de las actividades </w:t>
      </w:r>
      <w:r w:rsidRPr="00DE7447">
        <w:rPr>
          <w:lang w:val="es-ES"/>
        </w:rPr>
        <w:t>(UNEP/OzL.Pro/ExCom/84/16).</w:t>
      </w:r>
    </w:p>
  </w:footnote>
  <w:footnote w:id="5">
    <w:p w14:paraId="61D8C5A7" w14:textId="77777777" w:rsidR="00543286" w:rsidRPr="00670796" w:rsidRDefault="00543286" w:rsidP="00A70444">
      <w:pPr>
        <w:pStyle w:val="FootnoteText"/>
        <w:spacing w:after="0"/>
        <w:ind w:left="0" w:firstLine="0"/>
        <w:jc w:val="both"/>
        <w:rPr>
          <w:lang w:val="es-ES"/>
        </w:rPr>
      </w:pPr>
      <w:r w:rsidRPr="00A051CF">
        <w:rPr>
          <w:rStyle w:val="FootnoteReference"/>
        </w:rPr>
        <w:footnoteRef/>
      </w:r>
      <w:r w:rsidRPr="00670796">
        <w:rPr>
          <w:lang w:val="es-ES"/>
        </w:rPr>
        <w:t xml:space="preserve"> Todas las sustancias controladas en el marco de estos proyectos eran sustanc</w:t>
      </w:r>
      <w:r>
        <w:rPr>
          <w:lang w:val="es-ES"/>
        </w:rPr>
        <w:t>ias que agotan la capa de ozono</w:t>
      </w:r>
      <w:r w:rsidRPr="00670796">
        <w:rPr>
          <w:lang w:val="es-ES"/>
        </w:rPr>
        <w:t xml:space="preserve">. </w:t>
      </w:r>
    </w:p>
  </w:footnote>
  <w:footnote w:id="6">
    <w:p w14:paraId="54238523" w14:textId="77777777" w:rsidR="00543286" w:rsidRPr="00670796" w:rsidRDefault="00543286" w:rsidP="00A70444">
      <w:pPr>
        <w:pStyle w:val="FootnoteText"/>
        <w:spacing w:after="0"/>
        <w:ind w:left="0" w:firstLine="0"/>
        <w:jc w:val="both"/>
        <w:rPr>
          <w:lang w:val="es-ES"/>
        </w:rPr>
      </w:pPr>
      <w:r w:rsidRPr="00A051CF">
        <w:rPr>
          <w:rStyle w:val="FootnoteReference"/>
        </w:rPr>
        <w:footnoteRef/>
      </w:r>
      <w:r w:rsidRPr="00670796">
        <w:rPr>
          <w:lang w:val="es-ES"/>
        </w:rPr>
        <w:t xml:space="preserve"> Todas las sustancias controladas en el marco de estos proyectos eran sustancias que agotan la capa de ozono, por lo que se midieron en toneladas PAO.</w:t>
      </w:r>
    </w:p>
  </w:footnote>
  <w:footnote w:id="7">
    <w:p w14:paraId="71B77803" w14:textId="77777777" w:rsidR="00543286" w:rsidRPr="00670796" w:rsidRDefault="00543286" w:rsidP="00A70444">
      <w:pPr>
        <w:pStyle w:val="FootnoteText"/>
        <w:spacing w:after="0"/>
        <w:ind w:left="0" w:firstLine="0"/>
        <w:jc w:val="both"/>
        <w:rPr>
          <w:lang w:val="es-ES"/>
        </w:rPr>
      </w:pPr>
      <w:r w:rsidRPr="00A051CF">
        <w:rPr>
          <w:rStyle w:val="FootnoteReference"/>
        </w:rPr>
        <w:footnoteRef/>
      </w:r>
      <w:r w:rsidRPr="00670796">
        <w:rPr>
          <w:lang w:val="es-ES"/>
        </w:rPr>
        <w:t xml:space="preserve"> El mayor valor del costo-beneficio de los proyectos en curso se debe en gran medida a los valores más bajos de PAO de HCFC, pero también a los medios de asignación de la eliminación por parte de los</w:t>
      </w:r>
      <w:r>
        <w:rPr>
          <w:lang w:val="es-ES"/>
        </w:rPr>
        <w:t xml:space="preserve"> organismos</w:t>
      </w:r>
      <w:r w:rsidRPr="00670796">
        <w:rPr>
          <w:lang w:val="es-ES"/>
        </w:rPr>
        <w:t>.</w:t>
      </w:r>
    </w:p>
  </w:footnote>
  <w:footnote w:id="8">
    <w:p w14:paraId="2684054D" w14:textId="1AFBEC10" w:rsidR="00543286" w:rsidRPr="00D3092F" w:rsidRDefault="00543286" w:rsidP="00A70444">
      <w:pPr>
        <w:pStyle w:val="FootnoteText"/>
        <w:spacing w:after="0"/>
        <w:ind w:left="0" w:firstLine="0"/>
        <w:jc w:val="both"/>
        <w:rPr>
          <w:lang w:val="es-ES"/>
        </w:rPr>
      </w:pPr>
      <w:r w:rsidRPr="00A051CF">
        <w:rPr>
          <w:rStyle w:val="FootnoteReference"/>
        </w:rPr>
        <w:footnoteRef/>
      </w:r>
      <w:r w:rsidRPr="00D3092F">
        <w:rPr>
          <w:lang w:val="es-ES"/>
        </w:rPr>
        <w:t xml:space="preserve"> En la 83</w:t>
      </w:r>
      <w:r w:rsidRPr="00D3092F">
        <w:rPr>
          <w:vertAlign w:val="superscript"/>
          <w:lang w:val="es-ES"/>
        </w:rPr>
        <w:t>ª</w:t>
      </w:r>
      <w:r w:rsidRPr="00D3092F">
        <w:rPr>
          <w:lang w:val="es-ES"/>
        </w:rPr>
        <w:t xml:space="preserve"> reunión, el plan de gestión para la eliminaci</w:t>
      </w:r>
      <w:r>
        <w:rPr>
          <w:lang w:val="es-ES"/>
        </w:rPr>
        <w:t xml:space="preserve">ón de HCFC para las Filipinas se transfirió a la ONUDI </w:t>
      </w:r>
      <w:r w:rsidRPr="00D3092F">
        <w:rPr>
          <w:lang w:val="es-ES"/>
        </w:rPr>
        <w:t>(decisión 83/39).</w:t>
      </w:r>
    </w:p>
  </w:footnote>
  <w:footnote w:id="9">
    <w:p w14:paraId="31CC1857" w14:textId="77777777" w:rsidR="00543286" w:rsidRPr="007A72ED" w:rsidRDefault="00543286" w:rsidP="00A70444">
      <w:pPr>
        <w:pStyle w:val="FootnoteText"/>
        <w:spacing w:after="0"/>
        <w:ind w:left="0" w:firstLine="0"/>
        <w:jc w:val="both"/>
        <w:rPr>
          <w:lang w:val="es-ES"/>
        </w:rPr>
      </w:pPr>
      <w:r w:rsidRPr="00A051CF">
        <w:rPr>
          <w:rStyle w:val="FootnoteReference"/>
        </w:rPr>
        <w:footnoteRef/>
      </w:r>
      <w:r w:rsidRPr="007A72ED">
        <w:rPr>
          <w:lang w:val="es-ES"/>
        </w:rPr>
        <w:t xml:space="preserve"> UNEP/OzL.Pro/ExCom/84/42</w:t>
      </w:r>
    </w:p>
  </w:footnote>
  <w:footnote w:id="10">
    <w:p w14:paraId="7DCE9260" w14:textId="77777777" w:rsidR="00543286" w:rsidRPr="007A72ED" w:rsidRDefault="00543286" w:rsidP="00A70444">
      <w:pPr>
        <w:pStyle w:val="FootnoteText"/>
        <w:spacing w:after="0"/>
        <w:ind w:left="0" w:firstLine="0"/>
        <w:jc w:val="both"/>
        <w:rPr>
          <w:lang w:val="es-ES"/>
        </w:rPr>
      </w:pPr>
      <w:r w:rsidRPr="00A051CF">
        <w:rPr>
          <w:rStyle w:val="FootnoteReference"/>
        </w:rPr>
        <w:footnoteRef/>
      </w:r>
      <w:r w:rsidRPr="007A72ED">
        <w:rPr>
          <w:lang w:val="es-ES"/>
        </w:rPr>
        <w:t xml:space="preserve"> UNEP/OzL.Pro/ExCom/84/53</w:t>
      </w:r>
    </w:p>
  </w:footnote>
  <w:footnote w:id="11">
    <w:p w14:paraId="78D265BB" w14:textId="77777777" w:rsidR="00543286" w:rsidRPr="007A72ED" w:rsidRDefault="00543286" w:rsidP="00A70444">
      <w:pPr>
        <w:pStyle w:val="FootnoteText"/>
        <w:spacing w:after="0"/>
        <w:ind w:left="0" w:firstLine="0"/>
        <w:jc w:val="both"/>
        <w:rPr>
          <w:lang w:val="es-ES"/>
        </w:rPr>
      </w:pPr>
      <w:r w:rsidRPr="00A051CF">
        <w:rPr>
          <w:rStyle w:val="FootnoteReference"/>
        </w:rPr>
        <w:footnoteRef/>
      </w:r>
      <w:r w:rsidRPr="007A72ED">
        <w:rPr>
          <w:lang w:val="es-ES"/>
        </w:rPr>
        <w:t xml:space="preserve"> UNEP/OzL.Pro/ExCom/84/62</w:t>
      </w:r>
    </w:p>
  </w:footnote>
  <w:footnote w:id="12">
    <w:p w14:paraId="3A95B6B0" w14:textId="77777777" w:rsidR="00543286" w:rsidRPr="007A72ED" w:rsidRDefault="00543286" w:rsidP="00A70444">
      <w:pPr>
        <w:pStyle w:val="FootnoteText"/>
        <w:spacing w:after="0"/>
        <w:rPr>
          <w:lang w:val="es-ES"/>
        </w:rPr>
      </w:pPr>
      <w:r w:rsidRPr="00A051CF">
        <w:rPr>
          <w:rStyle w:val="FootnoteReference"/>
        </w:rPr>
        <w:footnoteRef/>
      </w:r>
      <w:r w:rsidRPr="007A72ED">
        <w:rPr>
          <w:lang w:val="es-ES"/>
        </w:rPr>
        <w:t xml:space="preserve"> UNEP/OzL.Pro/ExCom/84/22</w:t>
      </w:r>
    </w:p>
  </w:footnote>
  <w:footnote w:id="13">
    <w:p w14:paraId="108C0258" w14:textId="77777777" w:rsidR="00976A97" w:rsidRPr="00E8549D" w:rsidRDefault="00976A97" w:rsidP="00976A97">
      <w:pPr>
        <w:autoSpaceDE w:val="0"/>
        <w:autoSpaceDN w:val="0"/>
        <w:adjustRightInd w:val="0"/>
        <w:jc w:val="left"/>
        <w:rPr>
          <w:sz w:val="20"/>
          <w:szCs w:val="20"/>
          <w:lang w:val="es-ES"/>
        </w:rPr>
      </w:pPr>
      <w:r>
        <w:rPr>
          <w:rStyle w:val="FootnoteReference"/>
        </w:rPr>
        <w:footnoteRef/>
      </w:r>
      <w:r w:rsidRPr="00976A97">
        <w:rPr>
          <w:lang w:val="es-ES"/>
        </w:rPr>
        <w:t xml:space="preserve"> </w:t>
      </w:r>
      <w:r w:rsidRPr="00E8549D">
        <w:rPr>
          <w:sz w:val="20"/>
          <w:szCs w:val="20"/>
          <w:lang w:val="es-ES"/>
        </w:rPr>
        <w:t>Los datos se presentan según el año en que el Comité Ejecutivo aprobó el proyecto. Reciben igual tratamiento todas las aprobaciones</w:t>
      </w:r>
      <w:r>
        <w:rPr>
          <w:sz w:val="20"/>
          <w:szCs w:val="20"/>
          <w:lang w:val="es-ES"/>
        </w:rPr>
        <w:t xml:space="preserve"> </w:t>
      </w:r>
      <w:r w:rsidRPr="00E8549D">
        <w:rPr>
          <w:sz w:val="20"/>
          <w:szCs w:val="20"/>
          <w:lang w:val="es-ES"/>
        </w:rPr>
        <w:t>(proyectos con y sin inversión) (por ejemplo, un proyecto de inversión o tramo de financiamiento de un acuerdo plurianual de 1 millón de</w:t>
      </w:r>
      <w:r>
        <w:rPr>
          <w:sz w:val="20"/>
          <w:szCs w:val="20"/>
          <w:lang w:val="es-ES"/>
        </w:rPr>
        <w:t xml:space="preserve"> </w:t>
      </w:r>
      <w:r w:rsidRPr="00E8549D">
        <w:rPr>
          <w:sz w:val="20"/>
          <w:szCs w:val="20"/>
          <w:lang w:val="es-ES"/>
        </w:rPr>
        <w:t>$EUA se considera un solo proyecto; otro tanto la prepara</w:t>
      </w:r>
      <w:r>
        <w:rPr>
          <w:sz w:val="20"/>
          <w:szCs w:val="20"/>
          <w:lang w:val="es-ES"/>
        </w:rPr>
        <w:t xml:space="preserve">ción de un programa país por 30 </w:t>
      </w:r>
      <w:r w:rsidRPr="00E8549D">
        <w:rPr>
          <w:sz w:val="20"/>
          <w:szCs w:val="20"/>
          <w:lang w:val="es-ES"/>
        </w:rPr>
        <w:t>000 $EUA). Principales indicadores del resumen</w:t>
      </w:r>
      <w:r>
        <w:rPr>
          <w:sz w:val="20"/>
          <w:szCs w:val="20"/>
          <w:lang w:val="es-ES"/>
        </w:rPr>
        <w:t xml:space="preserve"> </w:t>
      </w:r>
      <w:r w:rsidRPr="00E8549D">
        <w:rPr>
          <w:sz w:val="20"/>
          <w:szCs w:val="20"/>
          <w:lang w:val="es-ES"/>
        </w:rPr>
        <w:t>por año: porcentaje de proyectos terminados, PAO eliminado, y porcentaje de fondos desembolsados. Existen tres tipos de desembolso:</w:t>
      </w:r>
    </w:p>
    <w:p w14:paraId="531A16B8" w14:textId="6642A9A8" w:rsidR="00976A97" w:rsidRPr="00976A97" w:rsidRDefault="00976A97" w:rsidP="00976A97">
      <w:pPr>
        <w:pStyle w:val="FootnoteText"/>
        <w:rPr>
          <w:lang w:val="es-ES"/>
        </w:rPr>
      </w:pPr>
      <w:r w:rsidRPr="00E8549D">
        <w:rPr>
          <w:lang w:val="es-ES"/>
        </w:rPr>
        <w:t>durante la ejecución, después de la ejecución, y proyectos con financiamiento retroactivo.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7AA8" w14:textId="77777777" w:rsidR="009B5387" w:rsidRDefault="00C8142A" w:rsidP="009B5387">
    <w:pPr>
      <w:jc w:val="left"/>
    </w:pPr>
    <w:r>
      <w:fldChar w:fldCharType="begin"/>
    </w:r>
    <w:r>
      <w:instrText xml:space="preserve"> DOCPROPERTY "Document number"  \* MERGEFORMAT </w:instrText>
    </w:r>
    <w:r>
      <w:fldChar w:fldCharType="separate"/>
    </w:r>
    <w:r w:rsidR="009B5387">
      <w:t>UNEP/OzL.Pro/ExCom/84/21</w:t>
    </w:r>
    <w:r>
      <w:fldChar w:fldCharType="end"/>
    </w:r>
  </w:p>
  <w:p w14:paraId="7856069E" w14:textId="6F0CB8FA" w:rsidR="00543286" w:rsidRDefault="00543286" w:rsidP="00543286">
    <w:pPr>
      <w:tabs>
        <w:tab w:val="left" w:pos="1040"/>
        <w:tab w:val="left" w:pos="3053"/>
      </w:tabs>
    </w:pPr>
    <w:r>
      <w:tab/>
    </w:r>
    <w:r>
      <w:tab/>
    </w:r>
  </w:p>
  <w:p w14:paraId="1748D7A2" w14:textId="77777777" w:rsidR="00543286" w:rsidRDefault="005432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3786" w14:textId="77777777" w:rsidR="009B5387" w:rsidRDefault="00C8142A" w:rsidP="009B5387">
    <w:pPr>
      <w:jc w:val="right"/>
    </w:pPr>
    <w:r>
      <w:fldChar w:fldCharType="begin"/>
    </w:r>
    <w:r>
      <w:instrText xml:space="preserve"> DOCPROPERTY "Document number"  \* MERGEFORMAT </w:instrText>
    </w:r>
    <w:r>
      <w:fldChar w:fldCharType="separate"/>
    </w:r>
    <w:r w:rsidR="009B5387">
      <w:t>UNEP/OzL.Pro/ExCom/84/21</w:t>
    </w:r>
    <w:r>
      <w:fldChar w:fldCharType="end"/>
    </w:r>
  </w:p>
  <w:p w14:paraId="4AB69759" w14:textId="661E2AEF" w:rsidR="00543286" w:rsidRDefault="005432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27AD" w14:textId="083CC62E" w:rsidR="00543286" w:rsidRDefault="00543286" w:rsidP="000C789F">
    <w:pPr>
      <w:tabs>
        <w:tab w:val="left" w:pos="8147"/>
      </w:tabs>
      <w:jc w:val="right"/>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5702" w14:textId="03942F10" w:rsidR="009B5387" w:rsidRDefault="00C8142A" w:rsidP="009B5387">
    <w:pPr>
      <w:jc w:val="left"/>
    </w:pPr>
    <w:r>
      <w:fldChar w:fldCharType="begin"/>
    </w:r>
    <w:r>
      <w:instrText xml:space="preserve"> DOCPROPERTY "Document number"  \* MERGEFORMAT </w:instrText>
    </w:r>
    <w:r>
      <w:fldChar w:fldCharType="separate"/>
    </w:r>
    <w:r w:rsidR="009B5387">
      <w:t>UNEP/OzL.Pro/ExCom/84/21</w:t>
    </w:r>
    <w:r>
      <w:fldChar w:fldCharType="end"/>
    </w:r>
  </w:p>
  <w:p w14:paraId="027CAD57" w14:textId="77777777" w:rsidR="009B5387" w:rsidRDefault="009B5387" w:rsidP="009B5387">
    <w:pPr>
      <w:jc w:val="left"/>
    </w:pPr>
    <w:r>
      <w:t>Anexo I</w:t>
    </w:r>
  </w:p>
  <w:p w14:paraId="0019CA49" w14:textId="3320CAEA" w:rsidR="009B5387" w:rsidRDefault="009B5387" w:rsidP="00543286">
    <w:pPr>
      <w:tabs>
        <w:tab w:val="left" w:pos="1040"/>
        <w:tab w:val="left" w:pos="3053"/>
      </w:tabs>
    </w:pPr>
  </w:p>
  <w:p w14:paraId="7871F881" w14:textId="77777777" w:rsidR="009B5387" w:rsidRDefault="009B538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44E2" w14:textId="77777777" w:rsidR="009B5387" w:rsidRDefault="00C8142A" w:rsidP="009B5387">
    <w:pPr>
      <w:jc w:val="right"/>
    </w:pPr>
    <w:r>
      <w:fldChar w:fldCharType="begin"/>
    </w:r>
    <w:r>
      <w:instrText xml:space="preserve"> DOCPROPERTY "Document number"  \* MERGEFORMAT </w:instrText>
    </w:r>
    <w:r>
      <w:fldChar w:fldCharType="separate"/>
    </w:r>
    <w:r w:rsidR="009B5387">
      <w:t>UNEP/OzL.Pro/ExCom/84/21</w:t>
    </w:r>
    <w:r>
      <w:fldChar w:fldCharType="end"/>
    </w:r>
  </w:p>
  <w:p w14:paraId="18A5704A" w14:textId="77777777" w:rsidR="009B5387" w:rsidRDefault="009B5387" w:rsidP="009B5387">
    <w:pPr>
      <w:jc w:val="right"/>
    </w:pPr>
    <w:r>
      <w:t>Anexo I</w:t>
    </w:r>
  </w:p>
  <w:p w14:paraId="19C025FC" w14:textId="77777777" w:rsidR="009B5387" w:rsidRDefault="009B538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968D" w14:textId="77777777" w:rsidR="009B5387" w:rsidRDefault="009B5387" w:rsidP="009B5387">
    <w:pPr>
      <w:jc w:val="right"/>
    </w:pPr>
    <w:r>
      <w:tab/>
    </w:r>
    <w:r w:rsidR="00C8142A">
      <w:fldChar w:fldCharType="begin"/>
    </w:r>
    <w:r w:rsidR="00C8142A">
      <w:instrText xml:space="preserve"> DOCPROPERTY "Document number"  \* MERGEFORMAT </w:instrText>
    </w:r>
    <w:r w:rsidR="00C8142A">
      <w:fldChar w:fldCharType="separate"/>
    </w:r>
    <w:r>
      <w:t>UNEP/OzL.Pro/ExCom/84/21</w:t>
    </w:r>
    <w:r w:rsidR="00C8142A">
      <w:fldChar w:fldCharType="end"/>
    </w:r>
  </w:p>
  <w:p w14:paraId="1CCF8701" w14:textId="1A8569B9" w:rsidR="009B5387" w:rsidRDefault="009B5387" w:rsidP="009B5387">
    <w:pPr>
      <w:jc w:val="right"/>
    </w:pPr>
    <w:r>
      <w:t>Anexo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24"/>
    <w:rsid w:val="0002437A"/>
    <w:rsid w:val="00080447"/>
    <w:rsid w:val="000B114B"/>
    <w:rsid w:val="000C475A"/>
    <w:rsid w:val="000C4C5F"/>
    <w:rsid w:val="000C789F"/>
    <w:rsid w:val="0010519D"/>
    <w:rsid w:val="00106F6E"/>
    <w:rsid w:val="00114CAA"/>
    <w:rsid w:val="0013035E"/>
    <w:rsid w:val="001A1889"/>
    <w:rsid w:val="001C2D22"/>
    <w:rsid w:val="001C330B"/>
    <w:rsid w:val="001D2A04"/>
    <w:rsid w:val="001F4047"/>
    <w:rsid w:val="00230BD4"/>
    <w:rsid w:val="00235D4C"/>
    <w:rsid w:val="0024162E"/>
    <w:rsid w:val="002A5096"/>
    <w:rsid w:val="002B1C03"/>
    <w:rsid w:val="002C2EFC"/>
    <w:rsid w:val="002C533B"/>
    <w:rsid w:val="003863A4"/>
    <w:rsid w:val="00396361"/>
    <w:rsid w:val="00397C4D"/>
    <w:rsid w:val="003B245C"/>
    <w:rsid w:val="003B7115"/>
    <w:rsid w:val="003C5D56"/>
    <w:rsid w:val="00405319"/>
    <w:rsid w:val="00427C11"/>
    <w:rsid w:val="00432A46"/>
    <w:rsid w:val="00455352"/>
    <w:rsid w:val="00476E28"/>
    <w:rsid w:val="004A37E4"/>
    <w:rsid w:val="004B07A4"/>
    <w:rsid w:val="004D40E7"/>
    <w:rsid w:val="005121FF"/>
    <w:rsid w:val="00543286"/>
    <w:rsid w:val="005561EA"/>
    <w:rsid w:val="005660CF"/>
    <w:rsid w:val="00581B0A"/>
    <w:rsid w:val="00582230"/>
    <w:rsid w:val="005C52C3"/>
    <w:rsid w:val="005E21BE"/>
    <w:rsid w:val="005E6E99"/>
    <w:rsid w:val="00606DE3"/>
    <w:rsid w:val="00670796"/>
    <w:rsid w:val="006720D2"/>
    <w:rsid w:val="00686BFC"/>
    <w:rsid w:val="006C7E94"/>
    <w:rsid w:val="0072153C"/>
    <w:rsid w:val="00727E76"/>
    <w:rsid w:val="00746AE3"/>
    <w:rsid w:val="00763A52"/>
    <w:rsid w:val="007A72ED"/>
    <w:rsid w:val="007D687D"/>
    <w:rsid w:val="007E2DBA"/>
    <w:rsid w:val="007F4E8A"/>
    <w:rsid w:val="00831BC5"/>
    <w:rsid w:val="0087455A"/>
    <w:rsid w:val="008F4DF9"/>
    <w:rsid w:val="00905E6E"/>
    <w:rsid w:val="00947E5E"/>
    <w:rsid w:val="00957890"/>
    <w:rsid w:val="00976A97"/>
    <w:rsid w:val="009B5387"/>
    <w:rsid w:val="009C3C22"/>
    <w:rsid w:val="00A01588"/>
    <w:rsid w:val="00A14FD1"/>
    <w:rsid w:val="00A21B47"/>
    <w:rsid w:val="00A60118"/>
    <w:rsid w:val="00A70444"/>
    <w:rsid w:val="00A7091D"/>
    <w:rsid w:val="00A82E11"/>
    <w:rsid w:val="00A86723"/>
    <w:rsid w:val="00AA3253"/>
    <w:rsid w:val="00AB56E5"/>
    <w:rsid w:val="00AC1BFE"/>
    <w:rsid w:val="00AD1BFC"/>
    <w:rsid w:val="00AE24E8"/>
    <w:rsid w:val="00B07649"/>
    <w:rsid w:val="00B569A7"/>
    <w:rsid w:val="00C05D8A"/>
    <w:rsid w:val="00C14E67"/>
    <w:rsid w:val="00C23680"/>
    <w:rsid w:val="00C35C20"/>
    <w:rsid w:val="00C3786C"/>
    <w:rsid w:val="00C4129D"/>
    <w:rsid w:val="00C7477E"/>
    <w:rsid w:val="00C77C28"/>
    <w:rsid w:val="00C8142A"/>
    <w:rsid w:val="00C91202"/>
    <w:rsid w:val="00C9717F"/>
    <w:rsid w:val="00CA0C24"/>
    <w:rsid w:val="00CA163B"/>
    <w:rsid w:val="00CA62E9"/>
    <w:rsid w:val="00CB4684"/>
    <w:rsid w:val="00CD42BA"/>
    <w:rsid w:val="00CE47CE"/>
    <w:rsid w:val="00D3092F"/>
    <w:rsid w:val="00D33E0D"/>
    <w:rsid w:val="00D74CA8"/>
    <w:rsid w:val="00DB795B"/>
    <w:rsid w:val="00DC2365"/>
    <w:rsid w:val="00DC5B6F"/>
    <w:rsid w:val="00DE7447"/>
    <w:rsid w:val="00E17F97"/>
    <w:rsid w:val="00E5524B"/>
    <w:rsid w:val="00E733D6"/>
    <w:rsid w:val="00E8549D"/>
    <w:rsid w:val="00EA02D7"/>
    <w:rsid w:val="00F10CD9"/>
    <w:rsid w:val="00F25F7C"/>
    <w:rsid w:val="00F312E3"/>
    <w:rsid w:val="00F33147"/>
    <w:rsid w:val="00F53361"/>
    <w:rsid w:val="00F84EFD"/>
    <w:rsid w:val="00FA0957"/>
    <w:rsid w:val="00FE34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4546B1"/>
  <w15:docId w15:val="{CB6563EB-246F-4A8D-B35D-BD446618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uiPriority w:val="99"/>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16 Point,Superscript 6 Point,Footnote text,Footnote Text1,Footnote Text2"/>
    <w:uiPriority w:val="99"/>
    <w:rsid w:val="00A70444"/>
    <w:rPr>
      <w:rFonts w:ascii="Times New Roman" w:hAnsi="Times New Roman" w:cs="Times New Roman"/>
      <w:position w:val="0"/>
      <w:sz w:val="24"/>
      <w:szCs w:val="24"/>
      <w:vertAlign w:val="superscript"/>
    </w:rPr>
  </w:style>
  <w:style w:type="paragraph" w:styleId="FootnoteText">
    <w:name w:val="footnote text"/>
    <w:aliases w:val="Char1,Char1 Char Char, Char1, Char1 Char Char,Fußnotentextf"/>
    <w:basedOn w:val="Normal"/>
    <w:link w:val="FootnoteTextChar"/>
    <w:uiPriority w:val="99"/>
    <w:qFormat/>
    <w:rsid w:val="00A70444"/>
    <w:pPr>
      <w:spacing w:after="120"/>
      <w:ind w:left="432" w:hanging="432"/>
      <w:jc w:val="left"/>
    </w:pPr>
    <w:rPr>
      <w:sz w:val="20"/>
      <w:szCs w:val="20"/>
      <w:lang w:val="en-US" w:eastAsia="fr-FR"/>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A70444"/>
    <w:rPr>
      <w:lang w:eastAsia="fr-FR"/>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70444"/>
    <w:rPr>
      <w:sz w:val="22"/>
      <w:szCs w:val="22"/>
      <w:lang w:val="en-GB"/>
    </w:rPr>
  </w:style>
  <w:style w:type="paragraph" w:customStyle="1" w:styleId="a--">
    <w:name w:val="a-(-)"/>
    <w:basedOn w:val="Normal"/>
    <w:rsid w:val="00A70444"/>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customStyle="1" w:styleId="BankNormal">
    <w:name w:val="BankNormal"/>
    <w:basedOn w:val="Normal"/>
    <w:rsid w:val="00A70444"/>
    <w:pPr>
      <w:spacing w:after="240"/>
      <w:jc w:val="left"/>
    </w:pPr>
    <w:rPr>
      <w:sz w:val="24"/>
      <w:szCs w:val="20"/>
      <w:lang w:val="en-US"/>
    </w:rPr>
  </w:style>
  <w:style w:type="paragraph" w:styleId="DocumentMap">
    <w:name w:val="Document Map"/>
    <w:basedOn w:val="Normal"/>
    <w:link w:val="DocumentMapChar"/>
    <w:uiPriority w:val="99"/>
    <w:semiHidden/>
    <w:unhideWhenUsed/>
    <w:rsid w:val="0054328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3286"/>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UNEP/OzL.Pro/ExCom/84/21</Document_x0020_Number>
  </documentManagement>
</p:properties>
</file>

<file path=customXml/itemProps1.xml><?xml version="1.0" encoding="utf-8"?>
<ds:datastoreItem xmlns:ds="http://schemas.openxmlformats.org/officeDocument/2006/customXml" ds:itemID="{86151FEE-6AE9-41FA-BB28-68CD8200F9B3}"/>
</file>

<file path=customXml/itemProps2.xml><?xml version="1.0" encoding="utf-8"?>
<ds:datastoreItem xmlns:ds="http://schemas.openxmlformats.org/officeDocument/2006/customXml" ds:itemID="{2BC2CB1C-5F7E-4856-8CF9-B8542499BA62}"/>
</file>

<file path=customXml/itemProps3.xml><?xml version="1.0" encoding="utf-8"?>
<ds:datastoreItem xmlns:ds="http://schemas.openxmlformats.org/officeDocument/2006/customXml" ds:itemID="{77250B2E-3ED8-4FCF-A800-295744913627}"/>
</file>

<file path=customXml/itemProps4.xml><?xml version="1.0" encoding="utf-8"?>
<ds:datastoreItem xmlns:ds="http://schemas.openxmlformats.org/officeDocument/2006/customXml" ds:itemID="{35776E67-306B-4949-A9DC-601708E15DC2}"/>
</file>

<file path=docProps/app.xml><?xml version="1.0" encoding="utf-8"?>
<Properties xmlns="http://schemas.openxmlformats.org/officeDocument/2006/extended-properties" xmlns:vt="http://schemas.openxmlformats.org/officeDocument/2006/docPropsVTypes">
  <Template>normal</Template>
  <TotalTime>116</TotalTime>
  <Pages>9</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Informe sobre la marcha de las actividades del Banco Mundual al 31 de diciembre</vt:lpstr>
    </vt:vector>
  </TitlesOfParts>
  <Manager/>
  <Company>UNMFS</Company>
  <LinksUpToDate>false</LinksUpToDate>
  <CharactersWithSpaces>16197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las actividades del Banco Mundual al 31 de diciembre de 2018</dc:title>
  <dc:subject/>
  <dc:creator>Lili</dc:creator>
  <cp:keywords>FOR OFFICIAL USE ONLY</cp:keywords>
  <dc:description/>
  <cp:lastModifiedBy>HBE</cp:lastModifiedBy>
  <cp:revision>20</cp:revision>
  <cp:lastPrinted>2001-05-26T16:40:00Z</cp:lastPrinted>
  <dcterms:created xsi:type="dcterms:W3CDTF">2019-11-23T00:23:00Z</dcterms:created>
  <dcterms:modified xsi:type="dcterms:W3CDTF">2019-11-29T01:30:00Z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UNEP/OzL.Pro/ExCom/84/21</vt:lpwstr>
  </property>
  <property fmtid="{D5CDD505-2E9C-101B-9397-08002B2CF9AE}" pid="3" name="Revision date">
    <vt:lpwstr>11/19/2019</vt:lpwstr>
  </property>
  <property fmtid="{D5CDD505-2E9C-101B-9397-08002B2CF9AE}" pid="4" name="TitusGUID">
    <vt:lpwstr>c8b2fb84-e09f-4867-a13a-835765ecb7e8</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y fmtid="{D5CDD505-2E9C-101B-9397-08002B2CF9AE}" pid="9" name="ContentTypeId">
    <vt:lpwstr>0x010100CF2D22381220FE4184AFB35730DED85F</vt:lpwstr>
  </property>
</Properties>
</file>