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9" w:type="dxa"/>
        <w:tblInd w:w="-432" w:type="dxa"/>
        <w:tblLayout w:type="fixed"/>
        <w:tblLook w:val="0000" w:firstRow="0" w:lastRow="0" w:firstColumn="0" w:lastColumn="0" w:noHBand="0" w:noVBand="0"/>
      </w:tblPr>
      <w:tblGrid>
        <w:gridCol w:w="2070"/>
        <w:gridCol w:w="4424"/>
        <w:gridCol w:w="3685"/>
      </w:tblGrid>
      <w:tr w:rsidR="0087455A" w14:paraId="38657CD4" w14:textId="77777777" w:rsidTr="00FA478B">
        <w:trPr>
          <w:trHeight w:val="720"/>
        </w:trPr>
        <w:tc>
          <w:tcPr>
            <w:tcW w:w="6494" w:type="dxa"/>
            <w:gridSpan w:val="2"/>
            <w:tcBorders>
              <w:bottom w:val="single" w:sz="18" w:space="0" w:color="auto"/>
            </w:tcBorders>
          </w:tcPr>
          <w:p w14:paraId="67D7FFD1" w14:textId="77777777" w:rsidR="0087455A" w:rsidRDefault="0024162E">
            <w:pPr>
              <w:rPr>
                <w:rFonts w:ascii="Univers" w:hAnsi="Univers"/>
                <w:b/>
                <w:sz w:val="28"/>
                <w:szCs w:val="28"/>
                <w:lang w:val="es-MX"/>
              </w:rPr>
            </w:pPr>
            <w:r>
              <w:rPr>
                <w:rFonts w:ascii="Univers" w:hAnsi="Univers"/>
                <w:b/>
                <w:sz w:val="28"/>
                <w:szCs w:val="28"/>
                <w:lang w:val="es-MX"/>
              </w:rPr>
              <w:t>NACIONES</w:t>
            </w:r>
          </w:p>
          <w:p w14:paraId="647DD176"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3685" w:type="dxa"/>
            <w:tcBorders>
              <w:bottom w:val="single" w:sz="18" w:space="0" w:color="auto"/>
            </w:tcBorders>
          </w:tcPr>
          <w:p w14:paraId="49D98238"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1C2D22" w14:paraId="10EB3178" w14:textId="77777777" w:rsidTr="00FA4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872ACBB" w14:textId="77777777" w:rsidR="0087455A" w:rsidRDefault="0024162E">
            <w:pPr>
              <w:spacing w:before="120"/>
            </w:pPr>
            <w:r>
              <w:rPr>
                <w:noProof/>
                <w:lang w:val="en-CA" w:eastAsia="en-CA"/>
              </w:rPr>
              <w:drawing>
                <wp:anchor distT="0" distB="0" distL="114300" distR="114300" simplePos="0" relativeHeight="251660288" behindDoc="0" locked="0" layoutInCell="1" allowOverlap="1" wp14:anchorId="3B67C88A" wp14:editId="1785397E">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6CFB44B4" wp14:editId="7E87947D">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525941FF"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4545B917"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1EDA7EF3"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3F44F0B7"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52D37E69"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16A56B7F" w14:textId="77777777" w:rsidR="0087455A" w:rsidRDefault="0087455A">
            <w:pPr>
              <w:spacing w:before="720"/>
              <w:ind w:left="158"/>
              <w:rPr>
                <w:lang w:val="es-ES"/>
              </w:rPr>
            </w:pPr>
          </w:p>
        </w:tc>
        <w:tc>
          <w:tcPr>
            <w:tcW w:w="3685" w:type="dxa"/>
            <w:tcBorders>
              <w:top w:val="nil"/>
              <w:left w:val="nil"/>
              <w:bottom w:val="single" w:sz="36" w:space="0" w:color="auto"/>
              <w:right w:val="nil"/>
            </w:tcBorders>
          </w:tcPr>
          <w:p w14:paraId="6319A972" w14:textId="77777777" w:rsidR="0087455A" w:rsidRDefault="0087455A">
            <w:pPr>
              <w:rPr>
                <w:lang w:val="es-ES"/>
              </w:rPr>
            </w:pPr>
          </w:p>
          <w:p w14:paraId="6A867119" w14:textId="77777777" w:rsidR="0087455A" w:rsidRDefault="0024162E">
            <w:pPr>
              <w:rPr>
                <w:lang w:val="es-ES"/>
              </w:rPr>
            </w:pPr>
            <w:r>
              <w:rPr>
                <w:lang w:val="es-ES"/>
              </w:rPr>
              <w:t>Distr.</w:t>
            </w:r>
          </w:p>
          <w:p w14:paraId="42ADC17F" w14:textId="77777777" w:rsidR="0087455A" w:rsidRDefault="0024162E">
            <w:pPr>
              <w:rPr>
                <w:lang w:val="es-ES"/>
              </w:rPr>
            </w:pPr>
            <w:r>
              <w:rPr>
                <w:lang w:val="es-ES"/>
              </w:rPr>
              <w:t>GENERAL</w:t>
            </w:r>
          </w:p>
          <w:p w14:paraId="1EE4F0D1" w14:textId="77777777" w:rsidR="0087455A" w:rsidRDefault="0087455A">
            <w:pPr>
              <w:rPr>
                <w:lang w:val="es-ES"/>
              </w:rPr>
            </w:pPr>
          </w:p>
          <w:bookmarkStart w:id="0" w:name="_GoBack"/>
          <w:p w14:paraId="4FF746EF" w14:textId="11D83D8C" w:rsidR="0087455A" w:rsidRDefault="0024162E">
            <w:pPr>
              <w:rPr>
                <w:lang w:val="es-ES"/>
              </w:rPr>
            </w:pPr>
            <w:r>
              <w:fldChar w:fldCharType="begin"/>
            </w:r>
            <w:r>
              <w:rPr>
                <w:lang w:val="es-ES"/>
              </w:rPr>
              <w:instrText xml:space="preserve"> DOCPROPERTY "Document number"  \* MERGEFORMAT </w:instrText>
            </w:r>
            <w:r>
              <w:fldChar w:fldCharType="separate"/>
            </w:r>
            <w:r w:rsidR="004141F8">
              <w:rPr>
                <w:lang w:val="es-ES"/>
              </w:rPr>
              <w:t>UNEP/OzL.Pro/ExCom/84/6</w:t>
            </w:r>
            <w:r>
              <w:fldChar w:fldCharType="end"/>
            </w:r>
          </w:p>
          <w:p w14:paraId="5C6923D3" w14:textId="77777777" w:rsidR="0087455A" w:rsidRDefault="001C2D22" w:rsidP="00F10CD9">
            <w:pPr>
              <w:rPr>
                <w:caps/>
                <w:lang w:val="es-ES"/>
              </w:rPr>
            </w:pPr>
            <w:r>
              <w:rPr>
                <w:caps/>
                <w:lang w:val="es-ES"/>
              </w:rPr>
              <w:t>2</w:t>
            </w:r>
            <w:r w:rsidR="000B5189">
              <w:rPr>
                <w:caps/>
                <w:lang w:val="es-ES"/>
              </w:rPr>
              <w:t>6</w:t>
            </w:r>
            <w:r w:rsidR="00114CAA">
              <w:rPr>
                <w:caps/>
                <w:lang w:val="es-ES"/>
              </w:rPr>
              <w:t xml:space="preserve"> </w:t>
            </w:r>
            <w:r w:rsidR="00114CAA">
              <w:rPr>
                <w:lang w:val="es-ES"/>
              </w:rPr>
              <w:t xml:space="preserve">de </w:t>
            </w:r>
            <w:r w:rsidR="000B5189">
              <w:rPr>
                <w:lang w:val="es-ES"/>
              </w:rPr>
              <w:t>noviembre</w:t>
            </w:r>
            <w:r w:rsidR="00114CAA">
              <w:rPr>
                <w:lang w:val="es-ES"/>
              </w:rPr>
              <w:t xml:space="preserve"> de </w:t>
            </w:r>
            <w:r>
              <w:rPr>
                <w:caps/>
                <w:lang w:val="es-ES"/>
              </w:rPr>
              <w:t>2019</w:t>
            </w:r>
          </w:p>
          <w:p w14:paraId="48905029" w14:textId="77777777" w:rsidR="00114CAA" w:rsidRDefault="00114CAA">
            <w:pPr>
              <w:rPr>
                <w:caps/>
                <w:lang w:val="es-ES"/>
              </w:rPr>
            </w:pPr>
          </w:p>
          <w:bookmarkEnd w:id="0"/>
          <w:p w14:paraId="63600E0F" w14:textId="77777777" w:rsidR="0087455A" w:rsidRDefault="0024162E">
            <w:pPr>
              <w:rPr>
                <w:lang w:val="es-MX"/>
              </w:rPr>
            </w:pPr>
            <w:r>
              <w:rPr>
                <w:lang w:val="es-MX"/>
              </w:rPr>
              <w:t xml:space="preserve">ESPAÑOL </w:t>
            </w:r>
          </w:p>
          <w:p w14:paraId="77083521" w14:textId="77777777" w:rsidR="0087455A" w:rsidRDefault="0024162E">
            <w:pPr>
              <w:rPr>
                <w:lang w:val="es-ES"/>
              </w:rPr>
            </w:pPr>
            <w:r>
              <w:rPr>
                <w:lang w:val="es-ES"/>
              </w:rPr>
              <w:t xml:space="preserve">ORIGINAL: </w:t>
            </w:r>
            <w:r>
              <w:rPr>
                <w:lang w:val="es-MX"/>
              </w:rPr>
              <w:t>INGLÉS</w:t>
            </w:r>
          </w:p>
        </w:tc>
      </w:tr>
    </w:tbl>
    <w:p w14:paraId="29D59373" w14:textId="77777777" w:rsidR="0087455A" w:rsidRDefault="0087455A">
      <w:pPr>
        <w:jc w:val="left"/>
        <w:rPr>
          <w:lang w:val="es-MX"/>
        </w:rPr>
      </w:pPr>
    </w:p>
    <w:p w14:paraId="018667DE" w14:textId="77777777"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1C4B4EE5" w14:textId="77777777" w:rsidR="00106F6E" w:rsidRDefault="00106F6E" w:rsidP="001F4047">
      <w:pPr>
        <w:jc w:val="left"/>
        <w:rPr>
          <w:lang w:val="es-ES"/>
        </w:rPr>
      </w:pPr>
      <w:r>
        <w:rPr>
          <w:lang w:val="es-ES"/>
        </w:rPr>
        <w:t xml:space="preserve">Octogésima </w:t>
      </w:r>
      <w:r w:rsidR="003863A4">
        <w:rPr>
          <w:lang w:val="es-ES"/>
        </w:rPr>
        <w:t>cuarta Reunión</w:t>
      </w:r>
      <w:r w:rsidR="003863A4">
        <w:rPr>
          <w:lang w:val="es-ES"/>
        </w:rPr>
        <w:br/>
        <w:t xml:space="preserve">Montreal, 16 </w:t>
      </w:r>
      <w:r>
        <w:rPr>
          <w:lang w:val="es-ES"/>
        </w:rPr>
        <w:t xml:space="preserve">– </w:t>
      </w:r>
      <w:r w:rsidR="003863A4">
        <w:rPr>
          <w:lang w:val="es-ES"/>
        </w:rPr>
        <w:t>20</w:t>
      </w:r>
      <w:r>
        <w:rPr>
          <w:lang w:val="es-ES"/>
        </w:rPr>
        <w:t xml:space="preserve"> de </w:t>
      </w:r>
      <w:r w:rsidR="001F4047">
        <w:rPr>
          <w:lang w:val="es-ES"/>
        </w:rPr>
        <w:t>diciembre</w:t>
      </w:r>
      <w:r w:rsidR="001C2D22">
        <w:rPr>
          <w:lang w:val="es-ES"/>
        </w:rPr>
        <w:t xml:space="preserve"> de 2019</w:t>
      </w:r>
    </w:p>
    <w:p w14:paraId="101E7738" w14:textId="77777777" w:rsidR="0087455A" w:rsidRDefault="0087455A">
      <w:pPr>
        <w:pStyle w:val="Heading3"/>
        <w:numPr>
          <w:ilvl w:val="0"/>
          <w:numId w:val="0"/>
        </w:numPr>
        <w:spacing w:after="0"/>
        <w:rPr>
          <w:lang w:val="es-ES"/>
        </w:rPr>
      </w:pPr>
    </w:p>
    <w:p w14:paraId="7BD05E05" w14:textId="77777777" w:rsidR="0087455A" w:rsidRDefault="0087455A">
      <w:pPr>
        <w:pStyle w:val="Title1"/>
        <w:rPr>
          <w:lang w:val="es-ES"/>
        </w:rPr>
      </w:pPr>
    </w:p>
    <w:p w14:paraId="03B3D0A1" w14:textId="77777777" w:rsidR="00F447D8" w:rsidRPr="008B6F75" w:rsidRDefault="000B5189" w:rsidP="00F447D8">
      <w:pPr>
        <w:jc w:val="center"/>
        <w:rPr>
          <w:b/>
          <w:lang w:val="es-ES_tradnl"/>
        </w:rPr>
      </w:pPr>
      <w:r w:rsidRPr="008B6F75">
        <w:rPr>
          <w:b/>
          <w:lang w:val="es-ES_tradnl"/>
        </w:rPr>
        <w:t>CUENTAS FINALES DE 2018</w:t>
      </w:r>
    </w:p>
    <w:p w14:paraId="24577473" w14:textId="77777777" w:rsidR="00F447D8" w:rsidRPr="008B6F75" w:rsidRDefault="00F447D8" w:rsidP="00F447D8">
      <w:pPr>
        <w:rPr>
          <w:b/>
          <w:bCs/>
          <w:lang w:val="es-ES_tradnl"/>
        </w:rPr>
      </w:pPr>
    </w:p>
    <w:p w14:paraId="4A1B2FF3" w14:textId="77777777" w:rsidR="00F447D8" w:rsidRPr="008B6F75" w:rsidRDefault="000B5189" w:rsidP="00F447D8">
      <w:pPr>
        <w:spacing w:after="240"/>
        <w:rPr>
          <w:b/>
          <w:bCs/>
          <w:lang w:val="es-ES_tradnl"/>
        </w:rPr>
      </w:pPr>
      <w:r w:rsidRPr="008B6F75">
        <w:rPr>
          <w:b/>
          <w:bCs/>
          <w:lang w:val="es-ES_tradnl"/>
        </w:rPr>
        <w:t>Introducción</w:t>
      </w:r>
    </w:p>
    <w:p w14:paraId="100B64C2" w14:textId="747EC8AE" w:rsidR="00F447D8" w:rsidRPr="008B6F75" w:rsidRDefault="000B5189" w:rsidP="00D703E5">
      <w:pPr>
        <w:pStyle w:val="Heading1"/>
        <w:rPr>
          <w:lang w:val="es-ES_tradnl"/>
        </w:rPr>
      </w:pPr>
      <w:r w:rsidRPr="008B6F75">
        <w:rPr>
          <w:lang w:val="es-ES_tradnl"/>
        </w:rPr>
        <w:t xml:space="preserve">Este documento presenta las cuentas finales del Fondo Multilateral (FML) para el ejercicio que finalizó el 31 de diciembre de 2018. </w:t>
      </w:r>
      <w:r w:rsidR="00D703E5" w:rsidRPr="008B6F75">
        <w:rPr>
          <w:lang w:val="es-ES_tradnl"/>
        </w:rPr>
        <w:t>Asimismo, en respuesta a la decisión 83/4.</w:t>
      </w:r>
      <w:r w:rsidR="00F447D8" w:rsidRPr="008B6F75">
        <w:rPr>
          <w:lang w:val="es-ES_tradnl"/>
        </w:rPr>
        <w:t>b),</w:t>
      </w:r>
      <w:r w:rsidR="00F447D8" w:rsidRPr="008B6F75">
        <w:rPr>
          <w:rStyle w:val="FootnoteReference"/>
          <w:lang w:val="es-ES_tradnl"/>
        </w:rPr>
        <w:footnoteReference w:id="1"/>
      </w:r>
      <w:r w:rsidR="00F447D8" w:rsidRPr="008B6F75">
        <w:rPr>
          <w:lang w:val="es-ES_tradnl"/>
        </w:rPr>
        <w:t xml:space="preserve"> </w:t>
      </w:r>
      <w:r w:rsidR="00D703E5" w:rsidRPr="008B6F75">
        <w:rPr>
          <w:lang w:val="es-ES_tradnl"/>
        </w:rPr>
        <w:t xml:space="preserve">se incluyó una declaración certificada </w:t>
      </w:r>
      <w:r w:rsidR="004B1ED5">
        <w:rPr>
          <w:lang w:val="es-ES_tradnl"/>
        </w:rPr>
        <w:t>de</w:t>
      </w:r>
      <w:r w:rsidR="00D703E5" w:rsidRPr="008B6F75">
        <w:rPr>
          <w:lang w:val="es-ES_tradnl"/>
        </w:rPr>
        <w:t xml:space="preserve"> los ingresos y desembolsos de las contribuciones adicionales </w:t>
      </w:r>
      <w:r w:rsidR="004B1ED5">
        <w:rPr>
          <w:lang w:val="es-ES_tradnl"/>
        </w:rPr>
        <w:t>destinados a</w:t>
      </w:r>
      <w:r w:rsidR="00D703E5" w:rsidRPr="008B6F75">
        <w:rPr>
          <w:lang w:val="es-ES_tradnl"/>
        </w:rPr>
        <w:t xml:space="preserve">l apoyo a corto plazo </w:t>
      </w:r>
      <w:r w:rsidR="004B1ED5">
        <w:rPr>
          <w:lang w:val="es-ES_tradnl"/>
        </w:rPr>
        <w:t xml:space="preserve">para </w:t>
      </w:r>
      <w:r w:rsidR="00D703E5" w:rsidRPr="008B6F75">
        <w:rPr>
          <w:lang w:val="es-ES_tradnl"/>
        </w:rPr>
        <w:t>la ejecución de la reducción de HFC</w:t>
      </w:r>
      <w:r w:rsidR="004B1ED5">
        <w:rPr>
          <w:lang w:val="es-ES_tradnl"/>
        </w:rPr>
        <w:t xml:space="preserve"> por separado</w:t>
      </w:r>
      <w:r w:rsidR="00F447D8" w:rsidRPr="008B6F75">
        <w:rPr>
          <w:lang w:val="es-ES_tradnl"/>
        </w:rPr>
        <w:t xml:space="preserve">. </w:t>
      </w:r>
    </w:p>
    <w:p w14:paraId="20251409" w14:textId="759571D9" w:rsidR="00F447D8" w:rsidRPr="008B6F75" w:rsidRDefault="00D703E5" w:rsidP="00F447D8">
      <w:pPr>
        <w:pStyle w:val="Heading1"/>
        <w:rPr>
          <w:lang w:val="es-ES_tradnl"/>
        </w:rPr>
      </w:pPr>
      <w:r w:rsidRPr="008B6F75">
        <w:rPr>
          <w:lang w:val="es-ES_tradnl"/>
        </w:rPr>
        <w:t>El Anexo I del presente documento consta de los cuadros siguientes</w:t>
      </w:r>
      <w:r w:rsidR="00F447D8" w:rsidRPr="008B6F75">
        <w:rPr>
          <w:lang w:val="es-ES_tradnl"/>
        </w:rPr>
        <w:t>:</w:t>
      </w:r>
    </w:p>
    <w:p w14:paraId="497E6187" w14:textId="3568CBC1" w:rsidR="00F447D8" w:rsidRPr="008B6F75" w:rsidRDefault="00D703E5" w:rsidP="00F447D8">
      <w:pPr>
        <w:pStyle w:val="Heading2"/>
        <w:numPr>
          <w:ilvl w:val="0"/>
          <w:numId w:val="0"/>
        </w:numPr>
        <w:spacing w:after="0"/>
        <w:ind w:left="1440" w:hanging="720"/>
        <w:rPr>
          <w:lang w:val="es-ES_tradnl"/>
        </w:rPr>
      </w:pPr>
      <w:r w:rsidRPr="008B6F75">
        <w:rPr>
          <w:lang w:val="es-ES_tradnl"/>
        </w:rPr>
        <w:t>Cuadro</w:t>
      </w:r>
      <w:r w:rsidR="00F447D8" w:rsidRPr="008B6F75">
        <w:rPr>
          <w:lang w:val="es-ES_tradnl"/>
        </w:rPr>
        <w:t xml:space="preserve"> 1.1: </w:t>
      </w:r>
      <w:r w:rsidR="00F447D8" w:rsidRPr="008B6F75">
        <w:rPr>
          <w:lang w:val="es-ES_tradnl"/>
        </w:rPr>
        <w:tab/>
      </w:r>
      <w:r w:rsidR="00F447D8" w:rsidRPr="008B6F75">
        <w:rPr>
          <w:lang w:val="es-ES_tradnl"/>
        </w:rPr>
        <w:tab/>
        <w:t xml:space="preserve">     </w:t>
      </w:r>
      <w:r w:rsidR="006D0BC0" w:rsidRPr="008B6F75">
        <w:rPr>
          <w:lang w:val="es-ES_tradnl"/>
        </w:rPr>
        <w:t>Esta</w:t>
      </w:r>
      <w:r w:rsidRPr="008B6F75">
        <w:rPr>
          <w:lang w:val="es-ES_tradnl"/>
        </w:rPr>
        <w:t>do de los ingresos y de los gastos</w:t>
      </w:r>
    </w:p>
    <w:p w14:paraId="4148842F" w14:textId="77777777" w:rsidR="00B82EDD" w:rsidRPr="008B6F75" w:rsidRDefault="00D703E5" w:rsidP="00B82EDD">
      <w:pPr>
        <w:pStyle w:val="Heading2"/>
        <w:numPr>
          <w:ilvl w:val="0"/>
          <w:numId w:val="0"/>
        </w:numPr>
        <w:spacing w:after="0"/>
        <w:ind w:left="1440" w:hanging="720"/>
        <w:rPr>
          <w:lang w:val="es-ES_tradnl"/>
        </w:rPr>
      </w:pPr>
      <w:r w:rsidRPr="008B6F75">
        <w:rPr>
          <w:lang w:val="es-ES_tradnl"/>
        </w:rPr>
        <w:t>Apéndice del Cuadro</w:t>
      </w:r>
      <w:r w:rsidR="00F447D8" w:rsidRPr="008B6F75">
        <w:rPr>
          <w:lang w:val="es-ES_tradnl"/>
        </w:rPr>
        <w:t xml:space="preserve"> 1.1: </w:t>
      </w:r>
      <w:r w:rsidRPr="008B6F75">
        <w:rPr>
          <w:lang w:val="es-ES_tradnl"/>
        </w:rPr>
        <w:t xml:space="preserve">  </w:t>
      </w:r>
      <w:r w:rsidR="00B82EDD" w:rsidRPr="008B6F75">
        <w:rPr>
          <w:lang w:val="es-ES_tradnl"/>
        </w:rPr>
        <w:t xml:space="preserve">Declaración certificada </w:t>
      </w:r>
      <w:r w:rsidR="00B82EDD">
        <w:rPr>
          <w:lang w:val="es-ES_tradnl"/>
        </w:rPr>
        <w:t>de</w:t>
      </w:r>
      <w:r w:rsidR="00B82EDD" w:rsidRPr="008B6F75">
        <w:rPr>
          <w:lang w:val="es-ES_tradnl"/>
        </w:rPr>
        <w:t xml:space="preserve"> los ingresos y desembolsos</w:t>
      </w:r>
    </w:p>
    <w:p w14:paraId="1603DD69" w14:textId="77777777" w:rsidR="00B82EDD" w:rsidRPr="008B6F75" w:rsidRDefault="00B82EDD" w:rsidP="00B82EDD">
      <w:pPr>
        <w:pStyle w:val="Heading2"/>
        <w:numPr>
          <w:ilvl w:val="0"/>
          <w:numId w:val="0"/>
        </w:numPr>
        <w:spacing w:after="0"/>
        <w:ind w:left="3150"/>
        <w:rPr>
          <w:lang w:val="es-ES_tradnl"/>
        </w:rPr>
      </w:pPr>
      <w:r w:rsidRPr="008B6F75">
        <w:rPr>
          <w:lang w:val="es-ES_tradnl"/>
        </w:rPr>
        <w:t xml:space="preserve">de las contribuciones adicionales </w:t>
      </w:r>
      <w:r>
        <w:rPr>
          <w:lang w:val="es-ES_tradnl"/>
        </w:rPr>
        <w:t>destinados a</w:t>
      </w:r>
      <w:r w:rsidRPr="008B6F75">
        <w:rPr>
          <w:lang w:val="es-ES_tradnl"/>
        </w:rPr>
        <w:t xml:space="preserve">l apoyo a corto plazo </w:t>
      </w:r>
      <w:r>
        <w:rPr>
          <w:lang w:val="es-ES_tradnl"/>
        </w:rPr>
        <w:t>para</w:t>
      </w:r>
      <w:r w:rsidRPr="008B6F75">
        <w:rPr>
          <w:lang w:val="es-ES_tradnl"/>
        </w:rPr>
        <w:t xml:space="preserve"> la ejecución de la reducción de HFC</w:t>
      </w:r>
      <w:r>
        <w:rPr>
          <w:lang w:val="es-ES_tradnl"/>
        </w:rPr>
        <w:t xml:space="preserve"> por separado</w:t>
      </w:r>
      <w:r w:rsidRPr="008B6F75">
        <w:rPr>
          <w:lang w:val="es-ES_tradnl"/>
        </w:rPr>
        <w:t xml:space="preserve">               </w:t>
      </w:r>
    </w:p>
    <w:p w14:paraId="58ED34C0" w14:textId="6C061B0C" w:rsidR="00F447D8" w:rsidRPr="008B6F75" w:rsidRDefault="006D0BC0" w:rsidP="00B82EDD">
      <w:pPr>
        <w:pStyle w:val="Heading2"/>
        <w:numPr>
          <w:ilvl w:val="0"/>
          <w:numId w:val="0"/>
        </w:numPr>
        <w:spacing w:after="0"/>
        <w:ind w:left="1440" w:hanging="720"/>
        <w:rPr>
          <w:lang w:val="es-ES_tradnl"/>
        </w:rPr>
      </w:pPr>
      <w:r w:rsidRPr="008B6F75">
        <w:rPr>
          <w:lang w:val="es-ES_tradnl"/>
        </w:rPr>
        <w:t>Cuadro</w:t>
      </w:r>
      <w:r w:rsidR="00F447D8" w:rsidRPr="008B6F75">
        <w:rPr>
          <w:lang w:val="es-ES_tradnl"/>
        </w:rPr>
        <w:t xml:space="preserve"> 1.2: </w:t>
      </w:r>
      <w:r w:rsidR="00F447D8" w:rsidRPr="008B6F75">
        <w:rPr>
          <w:lang w:val="es-ES_tradnl"/>
        </w:rPr>
        <w:tab/>
      </w:r>
      <w:r w:rsidR="00F447D8" w:rsidRPr="008B6F75">
        <w:rPr>
          <w:lang w:val="es-ES_tradnl"/>
        </w:rPr>
        <w:tab/>
        <w:t xml:space="preserve">     </w:t>
      </w:r>
      <w:r w:rsidRPr="008B6F75">
        <w:rPr>
          <w:lang w:val="es-ES_tradnl"/>
        </w:rPr>
        <w:t>Estado de la situación financiera de 2018</w:t>
      </w:r>
    </w:p>
    <w:p w14:paraId="1F0D864A" w14:textId="4E1BD0D1" w:rsidR="00F447D8" w:rsidRPr="008B6F75" w:rsidRDefault="006D0BC0" w:rsidP="00F447D8">
      <w:pPr>
        <w:pStyle w:val="Heading2"/>
        <w:numPr>
          <w:ilvl w:val="0"/>
          <w:numId w:val="0"/>
        </w:numPr>
        <w:spacing w:after="0"/>
        <w:ind w:left="1440" w:hanging="720"/>
        <w:rPr>
          <w:lang w:val="es-ES_tradnl"/>
        </w:rPr>
      </w:pPr>
      <w:r w:rsidRPr="008B6F75">
        <w:rPr>
          <w:lang w:val="es-ES_tradnl"/>
        </w:rPr>
        <w:t xml:space="preserve">Cuadro </w:t>
      </w:r>
      <w:r w:rsidR="00F447D8" w:rsidRPr="008B6F75">
        <w:rPr>
          <w:lang w:val="es-ES_tradnl"/>
        </w:rPr>
        <w:t xml:space="preserve">1.3: </w:t>
      </w:r>
      <w:r w:rsidR="00F447D8" w:rsidRPr="008B6F75">
        <w:rPr>
          <w:lang w:val="es-ES_tradnl"/>
        </w:rPr>
        <w:tab/>
      </w:r>
      <w:r w:rsidR="00F447D8" w:rsidRPr="008B6F75">
        <w:rPr>
          <w:lang w:val="es-ES_tradnl"/>
        </w:rPr>
        <w:tab/>
        <w:t xml:space="preserve">     </w:t>
      </w:r>
      <w:r w:rsidRPr="008B6F75">
        <w:rPr>
          <w:lang w:val="es-ES_tradnl"/>
        </w:rPr>
        <w:t xml:space="preserve">Gastos del FML en </w:t>
      </w:r>
      <w:r w:rsidR="00F447D8" w:rsidRPr="008B6F75">
        <w:rPr>
          <w:lang w:val="es-ES_tradnl"/>
        </w:rPr>
        <w:t xml:space="preserve">2018 MLF </w:t>
      </w:r>
    </w:p>
    <w:p w14:paraId="64E584DF" w14:textId="1C684B87" w:rsidR="00F447D8" w:rsidRPr="008B6F75" w:rsidRDefault="006D0BC0" w:rsidP="006D0BC0">
      <w:pPr>
        <w:pStyle w:val="Heading2"/>
        <w:numPr>
          <w:ilvl w:val="0"/>
          <w:numId w:val="0"/>
        </w:numPr>
        <w:spacing w:after="0"/>
        <w:ind w:left="3160" w:hanging="2440"/>
        <w:rPr>
          <w:lang w:val="es-ES_tradnl"/>
        </w:rPr>
      </w:pPr>
      <w:r w:rsidRPr="008B6F75">
        <w:rPr>
          <w:lang w:val="es-ES_tradnl"/>
        </w:rPr>
        <w:t xml:space="preserve">Cuadro </w:t>
      </w:r>
      <w:r w:rsidR="00F447D8" w:rsidRPr="008B6F75">
        <w:rPr>
          <w:lang w:val="es-ES_tradnl"/>
        </w:rPr>
        <w:t xml:space="preserve">1.4: </w:t>
      </w:r>
      <w:r w:rsidRPr="008B6F75">
        <w:rPr>
          <w:lang w:val="es-ES_tradnl"/>
        </w:rPr>
        <w:tab/>
        <w:t xml:space="preserve">Subcuentas de actividades gestionadas por el PNUD durante </w:t>
      </w:r>
      <w:r w:rsidR="00F447D8" w:rsidRPr="008B6F75">
        <w:rPr>
          <w:lang w:val="es-ES_tradnl"/>
        </w:rPr>
        <w:t>1991-2018</w:t>
      </w:r>
    </w:p>
    <w:p w14:paraId="54273D7F" w14:textId="233B1A7A" w:rsidR="00F447D8" w:rsidRPr="008B6F75" w:rsidRDefault="006D0BC0" w:rsidP="006D0BC0">
      <w:pPr>
        <w:pStyle w:val="Heading2"/>
        <w:numPr>
          <w:ilvl w:val="0"/>
          <w:numId w:val="0"/>
        </w:numPr>
        <w:spacing w:after="0"/>
        <w:ind w:left="3160" w:hanging="2440"/>
        <w:rPr>
          <w:lang w:val="es-ES_tradnl"/>
        </w:rPr>
      </w:pPr>
      <w:r w:rsidRPr="008B6F75">
        <w:rPr>
          <w:lang w:val="es-ES_tradnl"/>
        </w:rPr>
        <w:t xml:space="preserve">Cuadro </w:t>
      </w:r>
      <w:r w:rsidR="00F447D8" w:rsidRPr="008B6F75">
        <w:rPr>
          <w:lang w:val="es-ES_tradnl"/>
        </w:rPr>
        <w:t xml:space="preserve">1.5: </w:t>
      </w:r>
      <w:r w:rsidRPr="008B6F75">
        <w:rPr>
          <w:lang w:val="es-ES_tradnl"/>
        </w:rPr>
        <w:tab/>
        <w:t>Subcuentas de actividades gestionadas por el PNUMA durante 1991-2018</w:t>
      </w:r>
    </w:p>
    <w:p w14:paraId="006F0CDA" w14:textId="4A9009C6" w:rsidR="00F447D8" w:rsidRPr="008B6F75" w:rsidRDefault="006D0BC0" w:rsidP="006D0BC0">
      <w:pPr>
        <w:pStyle w:val="Heading2"/>
        <w:numPr>
          <w:ilvl w:val="0"/>
          <w:numId w:val="0"/>
        </w:numPr>
        <w:spacing w:after="0"/>
        <w:ind w:left="3160" w:hanging="2440"/>
        <w:rPr>
          <w:lang w:val="es-ES_tradnl"/>
        </w:rPr>
      </w:pPr>
      <w:r w:rsidRPr="008B6F75">
        <w:rPr>
          <w:lang w:val="es-ES_tradnl"/>
        </w:rPr>
        <w:t xml:space="preserve">Cuadro </w:t>
      </w:r>
      <w:r w:rsidR="00F447D8" w:rsidRPr="008B6F75">
        <w:rPr>
          <w:lang w:val="es-ES_tradnl"/>
        </w:rPr>
        <w:t xml:space="preserve">1.6: </w:t>
      </w:r>
      <w:r w:rsidRPr="008B6F75">
        <w:rPr>
          <w:lang w:val="es-ES_tradnl"/>
        </w:rPr>
        <w:tab/>
        <w:t>Subcuentas de actividades gestionadas por la ONUDI durante 1991-2018</w:t>
      </w:r>
    </w:p>
    <w:p w14:paraId="3F4CC742" w14:textId="5BCC3235" w:rsidR="00F447D8" w:rsidRPr="008B6F75" w:rsidRDefault="006D0BC0" w:rsidP="006D0BC0">
      <w:pPr>
        <w:pStyle w:val="Heading2"/>
        <w:numPr>
          <w:ilvl w:val="0"/>
          <w:numId w:val="0"/>
        </w:numPr>
        <w:ind w:left="3160" w:hanging="2440"/>
        <w:rPr>
          <w:lang w:val="es-ES_tradnl"/>
        </w:rPr>
      </w:pPr>
      <w:r w:rsidRPr="008B6F75">
        <w:rPr>
          <w:lang w:val="es-ES_tradnl"/>
        </w:rPr>
        <w:t>Cuadro 1.7:</w:t>
      </w:r>
      <w:r w:rsidRPr="008B6F75">
        <w:rPr>
          <w:lang w:val="es-ES_tradnl"/>
        </w:rPr>
        <w:tab/>
        <w:t xml:space="preserve">Subcuentas de actividades gestionadas por el Banco Mundial durante </w:t>
      </w:r>
      <w:r w:rsidR="00F447D8" w:rsidRPr="008B6F75">
        <w:rPr>
          <w:lang w:val="es-ES_tradnl"/>
        </w:rPr>
        <w:t>1991-2018</w:t>
      </w:r>
    </w:p>
    <w:p w14:paraId="7F85146D" w14:textId="01CE7086" w:rsidR="00F447D8" w:rsidRPr="008B6F75" w:rsidRDefault="00171120" w:rsidP="00646173">
      <w:pPr>
        <w:pStyle w:val="Heading1"/>
        <w:rPr>
          <w:lang w:val="es-ES_tradnl"/>
        </w:rPr>
      </w:pPr>
      <w:r w:rsidRPr="008B6F75">
        <w:rPr>
          <w:lang w:val="es-ES_tradnl"/>
        </w:rPr>
        <w:lastRenderedPageBreak/>
        <w:t>En el C</w:t>
      </w:r>
      <w:r w:rsidR="00670B67" w:rsidRPr="008B6F75">
        <w:rPr>
          <w:lang w:val="es-ES_tradnl"/>
        </w:rPr>
        <w:t xml:space="preserve">uadro 1.1 se presenta información sobre las contribuciones convenidas bajo la categoría de ingresos y se muestra que el uso del mecanismo de tipos de cambio fijos (FERM) ocasionó una </w:t>
      </w:r>
      <w:r w:rsidR="00A5520D" w:rsidRPr="008B6F75">
        <w:rPr>
          <w:lang w:val="es-ES_tradnl"/>
        </w:rPr>
        <w:t xml:space="preserve">ganancia </w:t>
      </w:r>
      <w:r w:rsidR="00670B67" w:rsidRPr="008B6F75">
        <w:rPr>
          <w:lang w:val="es-ES_tradnl"/>
        </w:rPr>
        <w:t xml:space="preserve"> de </w:t>
      </w:r>
      <w:r w:rsidR="00A5520D" w:rsidRPr="008B6F75">
        <w:rPr>
          <w:color w:val="000000"/>
          <w:lang w:val="es-ES_tradnl"/>
        </w:rPr>
        <w:t xml:space="preserve">1 879 766 </w:t>
      </w:r>
      <w:r w:rsidR="00670B67" w:rsidRPr="008B6F75">
        <w:rPr>
          <w:lang w:val="es-ES_tradnl"/>
        </w:rPr>
        <w:t>$EUA en 201</w:t>
      </w:r>
      <w:r w:rsidR="00A5520D" w:rsidRPr="008B6F75">
        <w:rPr>
          <w:lang w:val="es-ES_tradnl"/>
        </w:rPr>
        <w:t>8</w:t>
      </w:r>
      <w:r w:rsidR="00670B67" w:rsidRPr="008B6F75">
        <w:rPr>
          <w:lang w:val="es-ES_tradnl"/>
        </w:rPr>
        <w:t xml:space="preserve"> frente a la pérdida de </w:t>
      </w:r>
      <w:r w:rsidR="00A5520D" w:rsidRPr="008B6F75">
        <w:rPr>
          <w:color w:val="000000"/>
          <w:lang w:val="es-ES_tradnl"/>
        </w:rPr>
        <w:t xml:space="preserve">15 507 000 </w:t>
      </w:r>
      <w:r w:rsidR="00670B67" w:rsidRPr="008B6F75">
        <w:rPr>
          <w:lang w:val="es-ES_tradnl"/>
        </w:rPr>
        <w:t>$EUA en 201</w:t>
      </w:r>
      <w:r w:rsidR="00A5520D" w:rsidRPr="008B6F75">
        <w:rPr>
          <w:lang w:val="es-ES_tradnl"/>
        </w:rPr>
        <w:t>7 como resultado de los</w:t>
      </w:r>
      <w:r w:rsidR="00670B67" w:rsidRPr="008B6F75">
        <w:rPr>
          <w:lang w:val="es-ES_tradnl"/>
        </w:rPr>
        <w:t xml:space="preserve"> </w:t>
      </w:r>
      <w:r w:rsidR="00A5520D" w:rsidRPr="008B6F75">
        <w:rPr>
          <w:lang w:val="es-ES_tradnl"/>
        </w:rPr>
        <w:t>tipos de cambio</w:t>
      </w:r>
      <w:r w:rsidR="00670B67" w:rsidRPr="008B6F75">
        <w:rPr>
          <w:lang w:val="es-ES_tradnl"/>
        </w:rPr>
        <w:t xml:space="preserve"> del dólar estadounidense </w:t>
      </w:r>
      <w:r w:rsidR="00A5520D" w:rsidRPr="008B6F75">
        <w:rPr>
          <w:lang w:val="es-ES_tradnl"/>
        </w:rPr>
        <w:t xml:space="preserve">en 2018 </w:t>
      </w:r>
      <w:r w:rsidR="00670B67" w:rsidRPr="008B6F75">
        <w:rPr>
          <w:lang w:val="es-ES_tradnl"/>
        </w:rPr>
        <w:t>con respecto a otras monedas. Este cuadro recoge también los datos agregados sobre la Secretaría y los gastos de los organismos de ejecución; y el saldo neto del Fondo al final del ejercicio de 2018</w:t>
      </w:r>
      <w:r w:rsidR="00F447D8" w:rsidRPr="008B6F75">
        <w:rPr>
          <w:lang w:val="es-ES_tradnl"/>
        </w:rPr>
        <w:t xml:space="preserve">. </w:t>
      </w:r>
    </w:p>
    <w:p w14:paraId="2F6DA304" w14:textId="37A525E1" w:rsidR="00F447D8" w:rsidRPr="008B6F75" w:rsidRDefault="00171120" w:rsidP="00646173">
      <w:pPr>
        <w:pStyle w:val="Heading1"/>
        <w:rPr>
          <w:lang w:val="es-ES_tradnl"/>
        </w:rPr>
      </w:pPr>
      <w:r w:rsidRPr="008B6F75">
        <w:rPr>
          <w:lang w:val="es-ES_tradnl"/>
        </w:rPr>
        <w:t>El A</w:t>
      </w:r>
      <w:r w:rsidR="00646173" w:rsidRPr="008B6F75">
        <w:rPr>
          <w:lang w:val="es-ES_tradnl"/>
        </w:rPr>
        <w:t>péndice del Cuadro 1.1 se presenta como seguimiento de la decisión 83/4.b). En él se refleja un saldo no utilizado de 13 698 $EUA que se añadirá a l</w:t>
      </w:r>
      <w:r w:rsidRPr="008B6F75">
        <w:rPr>
          <w:lang w:val="es-ES_tradnl"/>
        </w:rPr>
        <w:t xml:space="preserve">as contribuciones ordinarias </w:t>
      </w:r>
      <w:r w:rsidR="00646173" w:rsidRPr="008B6F75">
        <w:rPr>
          <w:lang w:val="es-ES_tradnl"/>
        </w:rPr>
        <w:t>prometidas al Fondo Multilateral</w:t>
      </w:r>
      <w:r w:rsidR="00F447D8" w:rsidRPr="008B6F75">
        <w:rPr>
          <w:lang w:val="es-ES_tradnl"/>
        </w:rPr>
        <w:t>.</w:t>
      </w:r>
      <w:r w:rsidR="00F447D8" w:rsidRPr="008B6F75">
        <w:rPr>
          <w:rStyle w:val="FootnoteReference"/>
          <w:lang w:val="es-ES_tradnl"/>
        </w:rPr>
        <w:footnoteReference w:id="2"/>
      </w:r>
      <w:r w:rsidR="00F447D8" w:rsidRPr="008B6F75">
        <w:rPr>
          <w:lang w:val="es-ES_tradnl"/>
        </w:rPr>
        <w:t xml:space="preserve">  </w:t>
      </w:r>
    </w:p>
    <w:p w14:paraId="1C13AF64" w14:textId="667D5FCD" w:rsidR="00F447D8" w:rsidRPr="008B6F75" w:rsidRDefault="00171120" w:rsidP="00A42E34">
      <w:pPr>
        <w:pStyle w:val="Heading1"/>
        <w:rPr>
          <w:lang w:val="es-ES_tradnl" w:eastAsia="fr-FR"/>
        </w:rPr>
      </w:pPr>
      <w:r w:rsidRPr="008B6F75">
        <w:rPr>
          <w:lang w:val="es-ES_tradnl" w:eastAsia="fr-FR"/>
        </w:rPr>
        <w:t xml:space="preserve">El Cuadro 1.2 presenta el estado en que se encuentran las promesas voluntarias por cobrar, las cuales ascienden a </w:t>
      </w:r>
      <w:r w:rsidRPr="008B6F75">
        <w:rPr>
          <w:lang w:val="es-ES_tradnl"/>
        </w:rPr>
        <w:t>10 560 860 $EUA</w:t>
      </w:r>
      <w:r w:rsidR="00A42E34" w:rsidRPr="008B6F75">
        <w:rPr>
          <w:lang w:val="es-ES_tradnl"/>
        </w:rPr>
        <w:t>. Es</w:t>
      </w:r>
      <w:r w:rsidRPr="008B6F75">
        <w:rPr>
          <w:lang w:val="es-ES_tradnl"/>
        </w:rPr>
        <w:t>to ocurre después de deducir del</w:t>
      </w:r>
      <w:r w:rsidR="00A42E34" w:rsidRPr="008B6F75">
        <w:rPr>
          <w:lang w:val="es-ES_tradnl"/>
        </w:rPr>
        <w:t xml:space="preserve"> monto total acumulado por cobrar de </w:t>
      </w:r>
      <w:r w:rsidR="00A42E34" w:rsidRPr="008B6F75">
        <w:rPr>
          <w:lang w:val="es-ES_tradnl" w:eastAsia="fr-FR"/>
        </w:rPr>
        <w:t xml:space="preserve">192 651 963 </w:t>
      </w:r>
      <w:r w:rsidR="00A42E34" w:rsidRPr="008B6F75">
        <w:rPr>
          <w:lang w:val="es-ES_tradnl"/>
        </w:rPr>
        <w:t>$EUA</w:t>
      </w:r>
      <w:r w:rsidR="00A42E34" w:rsidRPr="008B6F75">
        <w:rPr>
          <w:lang w:val="es-ES_tradnl" w:eastAsia="fr-FR"/>
        </w:rPr>
        <w:t xml:space="preserve">, la cantidad de 182 091 103 </w:t>
      </w:r>
      <w:r w:rsidR="00A42E34" w:rsidRPr="008B6F75">
        <w:rPr>
          <w:lang w:val="es-ES_tradnl"/>
        </w:rPr>
        <w:t>$EUA, como provisión para las cuentas de cobro dudoso de conformidad con las Normas Internacionales de Contabilidad para el Sector Público (IPSAS)</w:t>
      </w:r>
      <w:r w:rsidR="00F447D8" w:rsidRPr="008B6F75">
        <w:rPr>
          <w:lang w:val="es-ES_tradnl" w:eastAsia="fr-FR"/>
        </w:rPr>
        <w:t xml:space="preserve">. </w:t>
      </w:r>
    </w:p>
    <w:p w14:paraId="3A3C4820" w14:textId="343C9537" w:rsidR="00F447D8" w:rsidRPr="008B6F75" w:rsidRDefault="00416724" w:rsidP="00C7742E">
      <w:pPr>
        <w:pStyle w:val="Heading1"/>
        <w:rPr>
          <w:lang w:val="es-ES_tradnl"/>
        </w:rPr>
      </w:pPr>
      <w:r w:rsidRPr="008B6F75">
        <w:rPr>
          <w:lang w:val="es-ES_tradnl"/>
        </w:rPr>
        <w:t>En el Cuadro 1.3 se presentan los gastos reales con cargo al presupuesto de la Secretaría de 2018 aprobados en la decisión 80/5.b)i). Aunque el saldo sin desembolsar asciende a 1 743 969 $EUA, la devolución a recibir por parte</w:t>
      </w:r>
      <w:r w:rsidR="00DD2864" w:rsidRPr="008B6F75">
        <w:rPr>
          <w:lang w:val="es-ES_tradnl"/>
        </w:rPr>
        <w:t xml:space="preserve"> del Fondo Multilateral en la 84ª reunión asciende a 1 646 463</w:t>
      </w:r>
      <w:r w:rsidRPr="008B6F75">
        <w:rPr>
          <w:lang w:val="es-ES_tradnl"/>
        </w:rPr>
        <w:t xml:space="preserve"> $EUA, suma ésta compuesta de 1 </w:t>
      </w:r>
      <w:r w:rsidR="00DD2864" w:rsidRPr="008B6F75">
        <w:rPr>
          <w:lang w:val="es-ES_tradnl"/>
        </w:rPr>
        <w:t>624 548</w:t>
      </w:r>
      <w:r w:rsidRPr="008B6F75">
        <w:rPr>
          <w:lang w:val="es-ES_tradnl"/>
        </w:rPr>
        <w:t xml:space="preserve"> $EUA del presupuesto de la Secretaría y de </w:t>
      </w:r>
      <w:r w:rsidR="00DD2864" w:rsidRPr="008B6F75">
        <w:rPr>
          <w:lang w:val="es-ES_tradnl"/>
        </w:rPr>
        <w:t>97 506</w:t>
      </w:r>
      <w:r w:rsidRPr="008B6F75">
        <w:rPr>
          <w:lang w:val="es-ES_tradnl"/>
        </w:rPr>
        <w:t xml:space="preserve"> $EUA del presupuesto destinado a Supervisión y Evaluación </w:t>
      </w:r>
      <w:r w:rsidR="00F447D8" w:rsidRPr="008B6F75">
        <w:rPr>
          <w:lang w:val="es-ES_tradnl"/>
        </w:rPr>
        <w:t xml:space="preserve">. </w:t>
      </w:r>
    </w:p>
    <w:p w14:paraId="35A7C154" w14:textId="5ECB315D" w:rsidR="00F447D8" w:rsidRPr="008B6F75" w:rsidRDefault="00C7742E" w:rsidP="00C7742E">
      <w:pPr>
        <w:pStyle w:val="Heading1"/>
        <w:rPr>
          <w:lang w:val="es-ES_tradnl"/>
        </w:rPr>
      </w:pPr>
      <w:r w:rsidRPr="008B6F75">
        <w:rPr>
          <w:lang w:val="es-ES_tradnl"/>
        </w:rPr>
        <w:t xml:space="preserve">Los cuadros 1.4 a 1.7 incluyen las cuentas finales de los organismos de ejecución presentadas al Tesorero hasta finales de septiembre de 2019. Dado que las cuentas finales de los organismos de ejecución se presentaron después del cierre de las cuentas del PNUMA de 2018, en las cuentas finales del PNUMA se consignaron únicamente las cuentas provisionales presentadas por los organismos de ejecución </w:t>
      </w:r>
      <w:r w:rsidR="009054AE">
        <w:rPr>
          <w:lang w:val="es-ES_tradnl"/>
        </w:rPr>
        <w:t>en enero de 2019. En la T</w:t>
      </w:r>
      <w:r w:rsidRPr="008B6F75">
        <w:rPr>
          <w:lang w:val="es-ES_tradnl"/>
        </w:rPr>
        <w:t>abla 1 se presenta la diferencia entre las cuentas provisionales y las cuentas finales de 2018 de los organismos de ejecución para el total de ingresos y gastos, que se consignará en las cuentas de 2019</w:t>
      </w:r>
      <w:r w:rsidR="00F447D8" w:rsidRPr="008B6F75">
        <w:rPr>
          <w:bCs/>
          <w:lang w:val="es-ES_tradnl"/>
        </w:rPr>
        <w:t xml:space="preserve">. </w:t>
      </w:r>
    </w:p>
    <w:p w14:paraId="7FB074D9" w14:textId="5BBF3FF5" w:rsidR="00F447D8" w:rsidRPr="008B6F75" w:rsidRDefault="004611CD" w:rsidP="00F447D8">
      <w:pPr>
        <w:keepNext/>
        <w:tabs>
          <w:tab w:val="left" w:pos="1260"/>
        </w:tabs>
        <w:rPr>
          <w:b/>
          <w:lang w:val="es-ES_tradnl"/>
        </w:rPr>
      </w:pPr>
      <w:r w:rsidRPr="008B6F75">
        <w:rPr>
          <w:b/>
          <w:lang w:val="es-ES_tradnl"/>
        </w:rPr>
        <w:t>Tabla 1. Diferencias entre las cuentas provisionales y las cuentas finales de 2017 de los organismos de ejecución para el total de ingresos y gastos ($EUA)</w:t>
      </w:r>
    </w:p>
    <w:tbl>
      <w:tblPr>
        <w:tblW w:w="9356" w:type="dxa"/>
        <w:tblInd w:w="-5" w:type="dxa"/>
        <w:tblLook w:val="04A0" w:firstRow="1" w:lastRow="0" w:firstColumn="1" w:lastColumn="0" w:noHBand="0" w:noVBand="1"/>
      </w:tblPr>
      <w:tblGrid>
        <w:gridCol w:w="2439"/>
        <w:gridCol w:w="12"/>
        <w:gridCol w:w="2330"/>
        <w:gridCol w:w="8"/>
        <w:gridCol w:w="2338"/>
        <w:gridCol w:w="2229"/>
      </w:tblGrid>
      <w:tr w:rsidR="00F447D8" w:rsidRPr="008B6F75" w14:paraId="7324800B" w14:textId="77777777" w:rsidTr="00D703E5">
        <w:trPr>
          <w:tblHeader/>
        </w:trPr>
        <w:tc>
          <w:tcPr>
            <w:tcW w:w="2439" w:type="dxa"/>
            <w:tcBorders>
              <w:top w:val="single" w:sz="4" w:space="0" w:color="auto"/>
              <w:left w:val="single" w:sz="4" w:space="0" w:color="auto"/>
              <w:bottom w:val="single" w:sz="4" w:space="0" w:color="auto"/>
              <w:right w:val="single" w:sz="4" w:space="0" w:color="auto"/>
            </w:tcBorders>
            <w:vAlign w:val="center"/>
            <w:hideMark/>
          </w:tcPr>
          <w:p w14:paraId="2F7FB805" w14:textId="16985058" w:rsidR="00F447D8" w:rsidRPr="008B6F75" w:rsidRDefault="004611CD" w:rsidP="00D703E5">
            <w:pPr>
              <w:widowControl w:val="0"/>
              <w:jc w:val="left"/>
              <w:rPr>
                <w:rFonts w:eastAsia="MS Mincho"/>
                <w:b/>
                <w:bCs/>
                <w:sz w:val="21"/>
                <w:szCs w:val="21"/>
                <w:lang w:val="es-ES_tradnl" w:eastAsia="ja-JP"/>
              </w:rPr>
            </w:pPr>
            <w:r w:rsidRPr="008B6F75">
              <w:rPr>
                <w:rFonts w:eastAsia="MS Mincho"/>
                <w:b/>
                <w:bCs/>
                <w:sz w:val="21"/>
                <w:szCs w:val="21"/>
                <w:lang w:val="es-ES_tradnl" w:eastAsia="ja-JP"/>
              </w:rPr>
              <w:t>Organismo</w:t>
            </w:r>
          </w:p>
        </w:tc>
        <w:tc>
          <w:tcPr>
            <w:tcW w:w="2342" w:type="dxa"/>
            <w:gridSpan w:val="2"/>
            <w:tcBorders>
              <w:top w:val="single" w:sz="4" w:space="0" w:color="auto"/>
              <w:left w:val="nil"/>
              <w:bottom w:val="single" w:sz="4" w:space="0" w:color="auto"/>
              <w:right w:val="single" w:sz="4" w:space="0" w:color="auto"/>
            </w:tcBorders>
            <w:hideMark/>
          </w:tcPr>
          <w:p w14:paraId="51C37626" w14:textId="77777777" w:rsidR="00F447D8" w:rsidRPr="008B6F75" w:rsidRDefault="00F447D8" w:rsidP="00D703E5">
            <w:pPr>
              <w:keepNext/>
              <w:jc w:val="center"/>
              <w:rPr>
                <w:rFonts w:eastAsia="MS Mincho"/>
                <w:b/>
                <w:bCs/>
                <w:sz w:val="21"/>
                <w:szCs w:val="21"/>
                <w:lang w:val="es-ES_tradnl" w:eastAsia="ja-JP"/>
              </w:rPr>
            </w:pPr>
            <w:r w:rsidRPr="008B6F75">
              <w:rPr>
                <w:rFonts w:eastAsia="MS Mincho"/>
                <w:b/>
                <w:bCs/>
                <w:sz w:val="21"/>
                <w:szCs w:val="21"/>
                <w:lang w:val="es-ES_tradnl" w:eastAsia="ja-JP"/>
              </w:rPr>
              <w:t>Provisional</w:t>
            </w:r>
          </w:p>
        </w:tc>
        <w:tc>
          <w:tcPr>
            <w:tcW w:w="2346" w:type="dxa"/>
            <w:gridSpan w:val="2"/>
            <w:tcBorders>
              <w:top w:val="single" w:sz="4" w:space="0" w:color="auto"/>
              <w:left w:val="nil"/>
              <w:bottom w:val="single" w:sz="4" w:space="0" w:color="auto"/>
              <w:right w:val="single" w:sz="4" w:space="0" w:color="auto"/>
            </w:tcBorders>
            <w:hideMark/>
          </w:tcPr>
          <w:p w14:paraId="529883F1" w14:textId="77777777" w:rsidR="00F447D8" w:rsidRPr="008B6F75" w:rsidRDefault="00F447D8" w:rsidP="00D703E5">
            <w:pPr>
              <w:keepNext/>
              <w:jc w:val="center"/>
              <w:rPr>
                <w:rFonts w:eastAsia="MS Mincho"/>
                <w:b/>
                <w:bCs/>
                <w:sz w:val="21"/>
                <w:szCs w:val="21"/>
                <w:lang w:val="es-ES_tradnl" w:eastAsia="ja-JP"/>
              </w:rPr>
            </w:pPr>
            <w:r w:rsidRPr="008B6F75">
              <w:rPr>
                <w:rFonts w:eastAsia="MS Mincho"/>
                <w:b/>
                <w:bCs/>
                <w:sz w:val="21"/>
                <w:szCs w:val="21"/>
                <w:lang w:val="es-ES_tradnl" w:eastAsia="ja-JP"/>
              </w:rPr>
              <w:t>Final</w:t>
            </w:r>
          </w:p>
        </w:tc>
        <w:tc>
          <w:tcPr>
            <w:tcW w:w="2229" w:type="dxa"/>
            <w:tcBorders>
              <w:top w:val="single" w:sz="4" w:space="0" w:color="auto"/>
              <w:left w:val="nil"/>
              <w:bottom w:val="single" w:sz="4" w:space="0" w:color="auto"/>
              <w:right w:val="single" w:sz="4" w:space="0" w:color="auto"/>
            </w:tcBorders>
            <w:hideMark/>
          </w:tcPr>
          <w:p w14:paraId="400AA338" w14:textId="303F3BA6" w:rsidR="00F447D8" w:rsidRPr="008B6F75" w:rsidRDefault="004611CD" w:rsidP="00D703E5">
            <w:pPr>
              <w:keepNext/>
              <w:jc w:val="center"/>
              <w:rPr>
                <w:rFonts w:eastAsia="MS Mincho"/>
                <w:b/>
                <w:bCs/>
                <w:sz w:val="21"/>
                <w:szCs w:val="21"/>
                <w:lang w:val="es-ES_tradnl" w:eastAsia="ja-JP"/>
              </w:rPr>
            </w:pPr>
            <w:r w:rsidRPr="008B6F75">
              <w:rPr>
                <w:rFonts w:eastAsia="MS Mincho"/>
                <w:b/>
                <w:bCs/>
                <w:sz w:val="21"/>
                <w:szCs w:val="21"/>
                <w:lang w:val="es-ES_tradnl" w:eastAsia="ja-JP"/>
              </w:rPr>
              <w:t>Diferencia</w:t>
            </w:r>
          </w:p>
        </w:tc>
      </w:tr>
      <w:tr w:rsidR="00F447D8" w:rsidRPr="008B6F75" w14:paraId="76EB3BFF" w14:textId="77777777" w:rsidTr="00D703E5">
        <w:tc>
          <w:tcPr>
            <w:tcW w:w="9356" w:type="dxa"/>
            <w:gridSpan w:val="6"/>
            <w:tcBorders>
              <w:top w:val="nil"/>
              <w:left w:val="single" w:sz="4" w:space="0" w:color="auto"/>
              <w:bottom w:val="single" w:sz="4" w:space="0" w:color="auto"/>
              <w:right w:val="single" w:sz="4" w:space="0" w:color="auto"/>
            </w:tcBorders>
            <w:vAlign w:val="center"/>
          </w:tcPr>
          <w:p w14:paraId="5A512AFE" w14:textId="56EBB0E9" w:rsidR="00F447D8" w:rsidRPr="008B6F75" w:rsidRDefault="00C80B49" w:rsidP="00D703E5">
            <w:pPr>
              <w:jc w:val="left"/>
              <w:rPr>
                <w:b/>
                <w:sz w:val="21"/>
                <w:szCs w:val="21"/>
                <w:lang w:val="es-ES_tradnl"/>
              </w:rPr>
            </w:pPr>
            <w:r>
              <w:rPr>
                <w:rFonts w:eastAsia="MS Mincho"/>
                <w:b/>
                <w:sz w:val="21"/>
                <w:szCs w:val="21"/>
                <w:lang w:val="es-ES_tradnl" w:eastAsia="ja-JP"/>
              </w:rPr>
              <w:t>Ingresos</w:t>
            </w:r>
          </w:p>
        </w:tc>
      </w:tr>
      <w:tr w:rsidR="00F447D8" w:rsidRPr="008B6F75" w14:paraId="7D77206B" w14:textId="77777777" w:rsidTr="00D703E5">
        <w:tc>
          <w:tcPr>
            <w:tcW w:w="2439" w:type="dxa"/>
            <w:tcBorders>
              <w:top w:val="nil"/>
              <w:left w:val="single" w:sz="4" w:space="0" w:color="auto"/>
              <w:bottom w:val="single" w:sz="4" w:space="0" w:color="auto"/>
              <w:right w:val="single" w:sz="4" w:space="0" w:color="auto"/>
            </w:tcBorders>
            <w:vAlign w:val="center"/>
            <w:hideMark/>
          </w:tcPr>
          <w:p w14:paraId="39698ACA" w14:textId="27213BE8" w:rsidR="00F447D8" w:rsidRPr="008B6F75" w:rsidRDefault="004611CD" w:rsidP="00D703E5">
            <w:pPr>
              <w:widowControl w:val="0"/>
              <w:jc w:val="left"/>
              <w:rPr>
                <w:rFonts w:eastAsia="MS Mincho"/>
                <w:sz w:val="21"/>
                <w:szCs w:val="21"/>
                <w:lang w:val="es-ES_tradnl" w:eastAsia="ja-JP"/>
              </w:rPr>
            </w:pPr>
            <w:r w:rsidRPr="008B6F75">
              <w:rPr>
                <w:rFonts w:eastAsia="MS Mincho"/>
                <w:sz w:val="21"/>
                <w:szCs w:val="21"/>
                <w:lang w:val="es-ES_tradnl" w:eastAsia="ja-JP"/>
              </w:rPr>
              <w:t>PNUD</w:t>
            </w:r>
          </w:p>
        </w:tc>
        <w:tc>
          <w:tcPr>
            <w:tcW w:w="2342" w:type="dxa"/>
            <w:gridSpan w:val="2"/>
            <w:tcBorders>
              <w:top w:val="nil"/>
              <w:left w:val="nil"/>
              <w:bottom w:val="single" w:sz="4" w:space="0" w:color="auto"/>
              <w:right w:val="single" w:sz="4" w:space="0" w:color="auto"/>
            </w:tcBorders>
            <w:vAlign w:val="center"/>
          </w:tcPr>
          <w:p w14:paraId="20FE499E" w14:textId="740A7D5A" w:rsidR="00F447D8" w:rsidRPr="008B6F75" w:rsidRDefault="00F447D8" w:rsidP="00D703E5">
            <w:pPr>
              <w:jc w:val="right"/>
              <w:rPr>
                <w:sz w:val="21"/>
                <w:szCs w:val="21"/>
                <w:highlight w:val="yellow"/>
                <w:lang w:val="es-ES_tradnl"/>
              </w:rPr>
            </w:pPr>
            <w:r w:rsidRPr="008B6F75">
              <w:rPr>
                <w:sz w:val="21"/>
                <w:szCs w:val="21"/>
                <w:lang w:val="es-ES_tradnl"/>
              </w:rPr>
              <w:t>907</w:t>
            </w:r>
            <w:r w:rsidR="00C15DE4" w:rsidRPr="008B6F75">
              <w:rPr>
                <w:sz w:val="21"/>
                <w:szCs w:val="21"/>
                <w:lang w:val="es-ES_tradnl"/>
              </w:rPr>
              <w:t xml:space="preserve"> </w:t>
            </w:r>
            <w:r w:rsidRPr="008B6F75">
              <w:rPr>
                <w:sz w:val="21"/>
                <w:szCs w:val="21"/>
                <w:lang w:val="es-ES_tradnl"/>
              </w:rPr>
              <w:t>188</w:t>
            </w:r>
            <w:r w:rsidR="00C15DE4" w:rsidRPr="008B6F75">
              <w:rPr>
                <w:sz w:val="21"/>
                <w:szCs w:val="21"/>
                <w:lang w:val="es-ES_tradnl"/>
              </w:rPr>
              <w:t xml:space="preserve"> </w:t>
            </w:r>
            <w:r w:rsidRPr="008B6F75">
              <w:rPr>
                <w:sz w:val="21"/>
                <w:szCs w:val="21"/>
                <w:lang w:val="es-ES_tradnl"/>
              </w:rPr>
              <w:t>989</w:t>
            </w:r>
          </w:p>
        </w:tc>
        <w:tc>
          <w:tcPr>
            <w:tcW w:w="2346" w:type="dxa"/>
            <w:gridSpan w:val="2"/>
            <w:tcBorders>
              <w:top w:val="nil"/>
              <w:left w:val="nil"/>
              <w:bottom w:val="single" w:sz="4" w:space="0" w:color="auto"/>
              <w:right w:val="single" w:sz="4" w:space="0" w:color="auto"/>
            </w:tcBorders>
            <w:vAlign w:val="center"/>
          </w:tcPr>
          <w:p w14:paraId="565AEAE5" w14:textId="0F85F82F" w:rsidR="00F447D8" w:rsidRPr="008B6F75" w:rsidRDefault="00F447D8" w:rsidP="00D703E5">
            <w:pPr>
              <w:jc w:val="right"/>
              <w:rPr>
                <w:sz w:val="21"/>
                <w:szCs w:val="21"/>
                <w:highlight w:val="yellow"/>
                <w:lang w:val="es-ES_tradnl"/>
              </w:rPr>
            </w:pPr>
            <w:r w:rsidRPr="008B6F75">
              <w:rPr>
                <w:sz w:val="21"/>
                <w:szCs w:val="21"/>
                <w:lang w:val="es-ES_tradnl"/>
              </w:rPr>
              <w:t>939</w:t>
            </w:r>
            <w:r w:rsidR="00C15DE4" w:rsidRPr="008B6F75">
              <w:rPr>
                <w:sz w:val="21"/>
                <w:szCs w:val="21"/>
                <w:lang w:val="es-ES_tradnl"/>
              </w:rPr>
              <w:t xml:space="preserve"> </w:t>
            </w:r>
            <w:r w:rsidRPr="008B6F75">
              <w:rPr>
                <w:sz w:val="21"/>
                <w:szCs w:val="21"/>
                <w:lang w:val="es-ES_tradnl"/>
              </w:rPr>
              <w:t>609</w:t>
            </w:r>
            <w:r w:rsidR="00C15DE4" w:rsidRPr="008B6F75">
              <w:rPr>
                <w:sz w:val="21"/>
                <w:szCs w:val="21"/>
                <w:lang w:val="es-ES_tradnl"/>
              </w:rPr>
              <w:t xml:space="preserve"> </w:t>
            </w:r>
            <w:r w:rsidRPr="008B6F75">
              <w:rPr>
                <w:sz w:val="21"/>
                <w:szCs w:val="21"/>
                <w:lang w:val="es-ES_tradnl"/>
              </w:rPr>
              <w:t>957</w:t>
            </w:r>
          </w:p>
        </w:tc>
        <w:tc>
          <w:tcPr>
            <w:tcW w:w="2229" w:type="dxa"/>
            <w:tcBorders>
              <w:top w:val="nil"/>
              <w:left w:val="nil"/>
              <w:bottom w:val="single" w:sz="4" w:space="0" w:color="auto"/>
              <w:right w:val="single" w:sz="4" w:space="0" w:color="auto"/>
            </w:tcBorders>
            <w:vAlign w:val="center"/>
          </w:tcPr>
          <w:p w14:paraId="78F22B61" w14:textId="450ADFBB" w:rsidR="00F447D8" w:rsidRPr="008B6F75" w:rsidRDefault="00F447D8" w:rsidP="00D703E5">
            <w:pPr>
              <w:jc w:val="right"/>
              <w:rPr>
                <w:sz w:val="21"/>
                <w:szCs w:val="21"/>
                <w:highlight w:val="yellow"/>
                <w:lang w:val="es-ES_tradnl"/>
              </w:rPr>
            </w:pPr>
            <w:r w:rsidRPr="008B6F75">
              <w:rPr>
                <w:sz w:val="21"/>
                <w:szCs w:val="21"/>
                <w:lang w:val="es-ES_tradnl"/>
              </w:rPr>
              <w:t>32</w:t>
            </w:r>
            <w:r w:rsidR="00C15DE4" w:rsidRPr="008B6F75">
              <w:rPr>
                <w:sz w:val="21"/>
                <w:szCs w:val="21"/>
                <w:lang w:val="es-ES_tradnl"/>
              </w:rPr>
              <w:t xml:space="preserve"> </w:t>
            </w:r>
            <w:r w:rsidRPr="008B6F75">
              <w:rPr>
                <w:sz w:val="21"/>
                <w:szCs w:val="21"/>
                <w:lang w:val="es-ES_tradnl"/>
              </w:rPr>
              <w:t>420</w:t>
            </w:r>
            <w:r w:rsidR="00C15DE4" w:rsidRPr="008B6F75">
              <w:rPr>
                <w:sz w:val="21"/>
                <w:szCs w:val="21"/>
                <w:lang w:val="es-ES_tradnl"/>
              </w:rPr>
              <w:t xml:space="preserve"> </w:t>
            </w:r>
            <w:r w:rsidRPr="008B6F75">
              <w:rPr>
                <w:sz w:val="21"/>
                <w:szCs w:val="21"/>
                <w:lang w:val="es-ES_tradnl"/>
              </w:rPr>
              <w:t>968</w:t>
            </w:r>
          </w:p>
        </w:tc>
      </w:tr>
      <w:tr w:rsidR="00F447D8" w:rsidRPr="008B6F75" w14:paraId="74BBBAD4" w14:textId="77777777" w:rsidTr="00D703E5">
        <w:tc>
          <w:tcPr>
            <w:tcW w:w="2439" w:type="dxa"/>
            <w:tcBorders>
              <w:top w:val="nil"/>
              <w:left w:val="single" w:sz="4" w:space="0" w:color="auto"/>
              <w:bottom w:val="single" w:sz="4" w:space="0" w:color="auto"/>
              <w:right w:val="single" w:sz="4" w:space="0" w:color="auto"/>
            </w:tcBorders>
            <w:vAlign w:val="center"/>
            <w:hideMark/>
          </w:tcPr>
          <w:p w14:paraId="5E23B68F" w14:textId="5280FB0E" w:rsidR="00F447D8" w:rsidRPr="008B6F75" w:rsidRDefault="004611CD" w:rsidP="00D703E5">
            <w:pPr>
              <w:widowControl w:val="0"/>
              <w:jc w:val="left"/>
              <w:rPr>
                <w:rFonts w:eastAsia="MS Mincho"/>
                <w:sz w:val="21"/>
                <w:szCs w:val="21"/>
                <w:lang w:val="es-ES_tradnl" w:eastAsia="ja-JP"/>
              </w:rPr>
            </w:pPr>
            <w:r w:rsidRPr="008B6F75">
              <w:rPr>
                <w:rFonts w:eastAsia="MS Mincho"/>
                <w:sz w:val="21"/>
                <w:szCs w:val="21"/>
                <w:lang w:val="es-ES_tradnl" w:eastAsia="ja-JP"/>
              </w:rPr>
              <w:t>PNUMA</w:t>
            </w:r>
          </w:p>
        </w:tc>
        <w:tc>
          <w:tcPr>
            <w:tcW w:w="2342" w:type="dxa"/>
            <w:gridSpan w:val="2"/>
            <w:tcBorders>
              <w:top w:val="nil"/>
              <w:left w:val="nil"/>
              <w:bottom w:val="single" w:sz="4" w:space="0" w:color="auto"/>
              <w:right w:val="single" w:sz="4" w:space="0" w:color="auto"/>
            </w:tcBorders>
            <w:vAlign w:val="center"/>
          </w:tcPr>
          <w:p w14:paraId="1B1F785F" w14:textId="22C05CC6" w:rsidR="00F447D8" w:rsidRPr="008B6F75" w:rsidRDefault="00F447D8" w:rsidP="00D703E5">
            <w:pPr>
              <w:jc w:val="right"/>
              <w:rPr>
                <w:sz w:val="21"/>
                <w:szCs w:val="21"/>
                <w:highlight w:val="yellow"/>
                <w:lang w:val="es-ES_tradnl"/>
              </w:rPr>
            </w:pPr>
            <w:r w:rsidRPr="008B6F75">
              <w:rPr>
                <w:sz w:val="21"/>
                <w:szCs w:val="21"/>
                <w:lang w:val="es-ES_tradnl"/>
              </w:rPr>
              <w:t>351</w:t>
            </w:r>
            <w:r w:rsidR="00C15DE4" w:rsidRPr="008B6F75">
              <w:rPr>
                <w:sz w:val="21"/>
                <w:szCs w:val="21"/>
                <w:lang w:val="es-ES_tradnl"/>
              </w:rPr>
              <w:t xml:space="preserve"> </w:t>
            </w:r>
            <w:r w:rsidRPr="008B6F75">
              <w:rPr>
                <w:sz w:val="21"/>
                <w:szCs w:val="21"/>
                <w:lang w:val="es-ES_tradnl"/>
              </w:rPr>
              <w:t>124</w:t>
            </w:r>
            <w:r w:rsidR="00C15DE4" w:rsidRPr="008B6F75">
              <w:rPr>
                <w:sz w:val="21"/>
                <w:szCs w:val="21"/>
                <w:lang w:val="es-ES_tradnl"/>
              </w:rPr>
              <w:t xml:space="preserve"> </w:t>
            </w:r>
            <w:r w:rsidRPr="008B6F75">
              <w:rPr>
                <w:sz w:val="21"/>
                <w:szCs w:val="21"/>
                <w:lang w:val="es-ES_tradnl"/>
              </w:rPr>
              <w:t>435</w:t>
            </w:r>
          </w:p>
        </w:tc>
        <w:tc>
          <w:tcPr>
            <w:tcW w:w="2346" w:type="dxa"/>
            <w:gridSpan w:val="2"/>
            <w:tcBorders>
              <w:top w:val="nil"/>
              <w:left w:val="nil"/>
              <w:bottom w:val="single" w:sz="4" w:space="0" w:color="auto"/>
              <w:right w:val="single" w:sz="4" w:space="0" w:color="auto"/>
            </w:tcBorders>
            <w:vAlign w:val="center"/>
          </w:tcPr>
          <w:p w14:paraId="2159A7FC" w14:textId="5EE0EE2E" w:rsidR="00F447D8" w:rsidRPr="008B6F75" w:rsidRDefault="00F447D8" w:rsidP="00D703E5">
            <w:pPr>
              <w:jc w:val="right"/>
              <w:rPr>
                <w:sz w:val="21"/>
                <w:szCs w:val="21"/>
                <w:highlight w:val="yellow"/>
                <w:lang w:val="es-ES_tradnl"/>
              </w:rPr>
            </w:pPr>
            <w:r w:rsidRPr="008B6F75">
              <w:rPr>
                <w:sz w:val="21"/>
                <w:szCs w:val="21"/>
                <w:lang w:val="es-ES_tradnl"/>
              </w:rPr>
              <w:t>351</w:t>
            </w:r>
            <w:r w:rsidR="00C15DE4" w:rsidRPr="008B6F75">
              <w:rPr>
                <w:sz w:val="21"/>
                <w:szCs w:val="21"/>
                <w:lang w:val="es-ES_tradnl"/>
              </w:rPr>
              <w:t xml:space="preserve"> </w:t>
            </w:r>
            <w:r w:rsidRPr="008B6F75">
              <w:rPr>
                <w:sz w:val="21"/>
                <w:szCs w:val="21"/>
                <w:lang w:val="es-ES_tradnl"/>
              </w:rPr>
              <w:t>434</w:t>
            </w:r>
            <w:r w:rsidR="00C15DE4" w:rsidRPr="008B6F75">
              <w:rPr>
                <w:sz w:val="21"/>
                <w:szCs w:val="21"/>
                <w:lang w:val="es-ES_tradnl"/>
              </w:rPr>
              <w:t xml:space="preserve"> </w:t>
            </w:r>
            <w:r w:rsidRPr="008B6F75">
              <w:rPr>
                <w:sz w:val="21"/>
                <w:szCs w:val="21"/>
                <w:lang w:val="es-ES_tradnl"/>
              </w:rPr>
              <w:t>682</w:t>
            </w:r>
          </w:p>
        </w:tc>
        <w:tc>
          <w:tcPr>
            <w:tcW w:w="2229" w:type="dxa"/>
            <w:tcBorders>
              <w:top w:val="nil"/>
              <w:left w:val="nil"/>
              <w:bottom w:val="single" w:sz="4" w:space="0" w:color="auto"/>
              <w:right w:val="single" w:sz="4" w:space="0" w:color="auto"/>
            </w:tcBorders>
            <w:vAlign w:val="center"/>
          </w:tcPr>
          <w:p w14:paraId="078E2F5D" w14:textId="00349280" w:rsidR="00F447D8" w:rsidRPr="008B6F75" w:rsidRDefault="00F447D8" w:rsidP="00D703E5">
            <w:pPr>
              <w:jc w:val="right"/>
              <w:rPr>
                <w:sz w:val="21"/>
                <w:szCs w:val="21"/>
                <w:highlight w:val="yellow"/>
                <w:lang w:val="es-ES_tradnl"/>
              </w:rPr>
            </w:pPr>
            <w:r w:rsidRPr="008B6F75">
              <w:rPr>
                <w:sz w:val="21"/>
                <w:szCs w:val="21"/>
                <w:lang w:val="es-ES_tradnl"/>
              </w:rPr>
              <w:t>310</w:t>
            </w:r>
            <w:r w:rsidR="00C15DE4" w:rsidRPr="008B6F75">
              <w:rPr>
                <w:sz w:val="21"/>
                <w:szCs w:val="21"/>
                <w:lang w:val="es-ES_tradnl"/>
              </w:rPr>
              <w:t xml:space="preserve"> </w:t>
            </w:r>
            <w:r w:rsidRPr="008B6F75">
              <w:rPr>
                <w:sz w:val="21"/>
                <w:szCs w:val="21"/>
                <w:lang w:val="es-ES_tradnl"/>
              </w:rPr>
              <w:t>247</w:t>
            </w:r>
          </w:p>
        </w:tc>
      </w:tr>
      <w:tr w:rsidR="00F447D8" w:rsidRPr="008B6F75" w14:paraId="71312686" w14:textId="77777777" w:rsidTr="00D703E5">
        <w:tc>
          <w:tcPr>
            <w:tcW w:w="2439" w:type="dxa"/>
            <w:tcBorders>
              <w:top w:val="single" w:sz="4" w:space="0" w:color="auto"/>
              <w:left w:val="single" w:sz="4" w:space="0" w:color="auto"/>
              <w:bottom w:val="single" w:sz="4" w:space="0" w:color="auto"/>
              <w:right w:val="single" w:sz="4" w:space="0" w:color="auto"/>
            </w:tcBorders>
            <w:vAlign w:val="center"/>
            <w:hideMark/>
          </w:tcPr>
          <w:p w14:paraId="60FB521F" w14:textId="6E6BC3C4" w:rsidR="00F447D8" w:rsidRPr="008B6F75" w:rsidRDefault="004611CD" w:rsidP="00D703E5">
            <w:pPr>
              <w:jc w:val="left"/>
              <w:rPr>
                <w:rFonts w:eastAsia="MS Mincho"/>
                <w:sz w:val="21"/>
                <w:szCs w:val="21"/>
                <w:lang w:val="es-ES_tradnl" w:eastAsia="ja-JP"/>
              </w:rPr>
            </w:pPr>
            <w:r w:rsidRPr="008B6F75">
              <w:rPr>
                <w:rFonts w:eastAsia="MS Mincho"/>
                <w:sz w:val="21"/>
                <w:szCs w:val="21"/>
                <w:lang w:val="es-ES_tradnl" w:eastAsia="ja-JP"/>
              </w:rPr>
              <w:t>ONUDI</w:t>
            </w:r>
          </w:p>
        </w:tc>
        <w:tc>
          <w:tcPr>
            <w:tcW w:w="2342" w:type="dxa"/>
            <w:gridSpan w:val="2"/>
            <w:tcBorders>
              <w:top w:val="single" w:sz="4" w:space="0" w:color="auto"/>
              <w:left w:val="nil"/>
              <w:bottom w:val="single" w:sz="4" w:space="0" w:color="auto"/>
              <w:right w:val="single" w:sz="4" w:space="0" w:color="auto"/>
            </w:tcBorders>
            <w:vAlign w:val="center"/>
          </w:tcPr>
          <w:p w14:paraId="248A59E3" w14:textId="0A7CF188" w:rsidR="00F447D8" w:rsidRPr="008B6F75" w:rsidRDefault="00F447D8" w:rsidP="00D703E5">
            <w:pPr>
              <w:jc w:val="right"/>
              <w:rPr>
                <w:sz w:val="21"/>
                <w:szCs w:val="21"/>
                <w:highlight w:val="yellow"/>
                <w:lang w:val="es-ES_tradnl"/>
              </w:rPr>
            </w:pPr>
            <w:r w:rsidRPr="008B6F75">
              <w:rPr>
                <w:sz w:val="21"/>
                <w:szCs w:val="21"/>
                <w:lang w:val="es-ES_tradnl"/>
              </w:rPr>
              <w:t>934</w:t>
            </w:r>
            <w:r w:rsidR="00C15DE4" w:rsidRPr="008B6F75">
              <w:rPr>
                <w:sz w:val="21"/>
                <w:szCs w:val="21"/>
                <w:lang w:val="es-ES_tradnl"/>
              </w:rPr>
              <w:t xml:space="preserve"> </w:t>
            </w:r>
            <w:r w:rsidRPr="008B6F75">
              <w:rPr>
                <w:sz w:val="21"/>
                <w:szCs w:val="21"/>
                <w:lang w:val="es-ES_tradnl"/>
              </w:rPr>
              <w:t>192</w:t>
            </w:r>
            <w:r w:rsidR="00C15DE4" w:rsidRPr="008B6F75">
              <w:rPr>
                <w:sz w:val="21"/>
                <w:szCs w:val="21"/>
                <w:lang w:val="es-ES_tradnl"/>
              </w:rPr>
              <w:t xml:space="preserve"> </w:t>
            </w:r>
            <w:r w:rsidRPr="008B6F75">
              <w:rPr>
                <w:sz w:val="21"/>
                <w:szCs w:val="21"/>
                <w:lang w:val="es-ES_tradnl"/>
              </w:rPr>
              <w:t>374</w:t>
            </w:r>
          </w:p>
        </w:tc>
        <w:tc>
          <w:tcPr>
            <w:tcW w:w="2346" w:type="dxa"/>
            <w:gridSpan w:val="2"/>
            <w:tcBorders>
              <w:top w:val="single" w:sz="4" w:space="0" w:color="auto"/>
              <w:left w:val="nil"/>
              <w:bottom w:val="single" w:sz="4" w:space="0" w:color="auto"/>
              <w:right w:val="single" w:sz="4" w:space="0" w:color="auto"/>
            </w:tcBorders>
            <w:vAlign w:val="center"/>
          </w:tcPr>
          <w:p w14:paraId="6AA71F25" w14:textId="6AC9CB77" w:rsidR="00F447D8" w:rsidRPr="008B6F75" w:rsidRDefault="00F447D8" w:rsidP="00D703E5">
            <w:pPr>
              <w:jc w:val="right"/>
              <w:rPr>
                <w:sz w:val="21"/>
                <w:szCs w:val="21"/>
                <w:highlight w:val="yellow"/>
                <w:lang w:val="es-ES_tradnl"/>
              </w:rPr>
            </w:pPr>
            <w:r w:rsidRPr="008B6F75">
              <w:rPr>
                <w:sz w:val="21"/>
                <w:szCs w:val="21"/>
                <w:lang w:val="es-ES_tradnl"/>
              </w:rPr>
              <w:t>934</w:t>
            </w:r>
            <w:r w:rsidR="00C15DE4" w:rsidRPr="008B6F75">
              <w:rPr>
                <w:sz w:val="21"/>
                <w:szCs w:val="21"/>
                <w:lang w:val="es-ES_tradnl"/>
              </w:rPr>
              <w:t xml:space="preserve"> </w:t>
            </w:r>
            <w:r w:rsidRPr="008B6F75">
              <w:rPr>
                <w:sz w:val="21"/>
                <w:szCs w:val="21"/>
                <w:lang w:val="es-ES_tradnl"/>
              </w:rPr>
              <w:t>192</w:t>
            </w:r>
            <w:r w:rsidR="00C15DE4" w:rsidRPr="008B6F75">
              <w:rPr>
                <w:sz w:val="21"/>
                <w:szCs w:val="21"/>
                <w:lang w:val="es-ES_tradnl"/>
              </w:rPr>
              <w:t xml:space="preserve"> </w:t>
            </w:r>
            <w:r w:rsidRPr="008B6F75">
              <w:rPr>
                <w:sz w:val="21"/>
                <w:szCs w:val="21"/>
                <w:lang w:val="es-ES_tradnl"/>
              </w:rPr>
              <w:t>374</w:t>
            </w:r>
          </w:p>
        </w:tc>
        <w:tc>
          <w:tcPr>
            <w:tcW w:w="2229" w:type="dxa"/>
            <w:tcBorders>
              <w:top w:val="single" w:sz="4" w:space="0" w:color="auto"/>
              <w:left w:val="nil"/>
              <w:bottom w:val="single" w:sz="4" w:space="0" w:color="auto"/>
              <w:right w:val="single" w:sz="4" w:space="0" w:color="auto"/>
            </w:tcBorders>
            <w:vAlign w:val="center"/>
          </w:tcPr>
          <w:p w14:paraId="2862CBCC" w14:textId="77777777" w:rsidR="00F447D8" w:rsidRPr="008B6F75" w:rsidRDefault="00F447D8" w:rsidP="00D703E5">
            <w:pPr>
              <w:jc w:val="right"/>
              <w:rPr>
                <w:sz w:val="21"/>
                <w:szCs w:val="21"/>
                <w:highlight w:val="yellow"/>
                <w:lang w:val="es-ES_tradnl"/>
              </w:rPr>
            </w:pPr>
          </w:p>
        </w:tc>
      </w:tr>
      <w:tr w:rsidR="00F447D8" w:rsidRPr="008B6F75" w14:paraId="7B5010C4" w14:textId="77777777" w:rsidTr="00D703E5">
        <w:tc>
          <w:tcPr>
            <w:tcW w:w="2439" w:type="dxa"/>
            <w:tcBorders>
              <w:top w:val="nil"/>
              <w:left w:val="single" w:sz="4" w:space="0" w:color="auto"/>
              <w:bottom w:val="single" w:sz="4" w:space="0" w:color="auto"/>
              <w:right w:val="single" w:sz="4" w:space="0" w:color="auto"/>
            </w:tcBorders>
            <w:vAlign w:val="center"/>
            <w:hideMark/>
          </w:tcPr>
          <w:p w14:paraId="059FE595" w14:textId="7F7664D2" w:rsidR="00F447D8" w:rsidRPr="008B6F75" w:rsidRDefault="004611CD" w:rsidP="00D703E5">
            <w:pPr>
              <w:jc w:val="left"/>
              <w:rPr>
                <w:rFonts w:eastAsia="MS Mincho"/>
                <w:sz w:val="21"/>
                <w:szCs w:val="21"/>
                <w:lang w:val="es-ES_tradnl" w:eastAsia="ja-JP"/>
              </w:rPr>
            </w:pPr>
            <w:r w:rsidRPr="008B6F75">
              <w:rPr>
                <w:rFonts w:eastAsia="MS Mincho"/>
                <w:sz w:val="21"/>
                <w:szCs w:val="21"/>
                <w:lang w:val="es-ES_tradnl" w:eastAsia="ja-JP"/>
              </w:rPr>
              <w:t>Banco Mundial</w:t>
            </w:r>
          </w:p>
        </w:tc>
        <w:tc>
          <w:tcPr>
            <w:tcW w:w="2342" w:type="dxa"/>
            <w:gridSpan w:val="2"/>
            <w:tcBorders>
              <w:top w:val="nil"/>
              <w:left w:val="nil"/>
              <w:bottom w:val="single" w:sz="4" w:space="0" w:color="auto"/>
              <w:right w:val="single" w:sz="4" w:space="0" w:color="auto"/>
            </w:tcBorders>
            <w:vAlign w:val="center"/>
          </w:tcPr>
          <w:p w14:paraId="62374531" w14:textId="3DD0165C" w:rsidR="00F447D8" w:rsidRPr="008B6F75" w:rsidRDefault="00F447D8" w:rsidP="00D703E5">
            <w:pPr>
              <w:jc w:val="right"/>
              <w:rPr>
                <w:sz w:val="21"/>
                <w:szCs w:val="21"/>
                <w:highlight w:val="yellow"/>
                <w:lang w:val="es-ES_tradnl"/>
              </w:rPr>
            </w:pPr>
            <w:r w:rsidRPr="008B6F75">
              <w:rPr>
                <w:sz w:val="21"/>
                <w:szCs w:val="21"/>
                <w:lang w:val="es-ES_tradnl"/>
              </w:rPr>
              <w:t>1</w:t>
            </w:r>
            <w:r w:rsidR="00C15DE4" w:rsidRPr="008B6F75">
              <w:rPr>
                <w:sz w:val="21"/>
                <w:szCs w:val="21"/>
                <w:lang w:val="es-ES_tradnl"/>
              </w:rPr>
              <w:t xml:space="preserve"> </w:t>
            </w:r>
            <w:r w:rsidRPr="008B6F75">
              <w:rPr>
                <w:sz w:val="21"/>
                <w:szCs w:val="21"/>
                <w:lang w:val="es-ES_tradnl"/>
              </w:rPr>
              <w:t>291</w:t>
            </w:r>
            <w:r w:rsidR="00C15DE4" w:rsidRPr="008B6F75">
              <w:rPr>
                <w:sz w:val="21"/>
                <w:szCs w:val="21"/>
                <w:lang w:val="es-ES_tradnl"/>
              </w:rPr>
              <w:t xml:space="preserve"> </w:t>
            </w:r>
            <w:r w:rsidRPr="008B6F75">
              <w:rPr>
                <w:sz w:val="21"/>
                <w:szCs w:val="21"/>
                <w:lang w:val="es-ES_tradnl"/>
              </w:rPr>
              <w:t>222</w:t>
            </w:r>
            <w:r w:rsidR="00C15DE4" w:rsidRPr="008B6F75">
              <w:rPr>
                <w:sz w:val="21"/>
                <w:szCs w:val="21"/>
                <w:lang w:val="es-ES_tradnl"/>
              </w:rPr>
              <w:t xml:space="preserve"> </w:t>
            </w:r>
            <w:r w:rsidRPr="008B6F75">
              <w:rPr>
                <w:sz w:val="21"/>
                <w:szCs w:val="21"/>
                <w:lang w:val="es-ES_tradnl"/>
              </w:rPr>
              <w:t>683</w:t>
            </w:r>
          </w:p>
        </w:tc>
        <w:tc>
          <w:tcPr>
            <w:tcW w:w="2346" w:type="dxa"/>
            <w:gridSpan w:val="2"/>
            <w:tcBorders>
              <w:top w:val="nil"/>
              <w:left w:val="nil"/>
              <w:bottom w:val="single" w:sz="4" w:space="0" w:color="auto"/>
              <w:right w:val="single" w:sz="4" w:space="0" w:color="auto"/>
            </w:tcBorders>
            <w:vAlign w:val="center"/>
          </w:tcPr>
          <w:p w14:paraId="7D664E40" w14:textId="3E231DFB" w:rsidR="00F447D8" w:rsidRPr="008B6F75" w:rsidRDefault="00F447D8" w:rsidP="00D703E5">
            <w:pPr>
              <w:jc w:val="right"/>
              <w:rPr>
                <w:sz w:val="21"/>
                <w:szCs w:val="21"/>
                <w:highlight w:val="yellow"/>
                <w:lang w:val="es-ES_tradnl"/>
              </w:rPr>
            </w:pPr>
            <w:r w:rsidRPr="008B6F75">
              <w:rPr>
                <w:sz w:val="21"/>
                <w:szCs w:val="21"/>
                <w:lang w:val="es-ES_tradnl"/>
              </w:rPr>
              <w:t>1</w:t>
            </w:r>
            <w:r w:rsidR="00C15DE4" w:rsidRPr="008B6F75">
              <w:rPr>
                <w:sz w:val="21"/>
                <w:szCs w:val="21"/>
                <w:lang w:val="es-ES_tradnl"/>
              </w:rPr>
              <w:t xml:space="preserve"> </w:t>
            </w:r>
            <w:r w:rsidRPr="008B6F75">
              <w:rPr>
                <w:sz w:val="21"/>
                <w:szCs w:val="21"/>
                <w:lang w:val="es-ES_tradnl"/>
              </w:rPr>
              <w:t>291</w:t>
            </w:r>
            <w:r w:rsidR="00C15DE4" w:rsidRPr="008B6F75">
              <w:rPr>
                <w:sz w:val="21"/>
                <w:szCs w:val="21"/>
                <w:lang w:val="es-ES_tradnl"/>
              </w:rPr>
              <w:t xml:space="preserve"> </w:t>
            </w:r>
            <w:r w:rsidRPr="008B6F75">
              <w:rPr>
                <w:sz w:val="21"/>
                <w:szCs w:val="21"/>
                <w:lang w:val="es-ES_tradnl"/>
              </w:rPr>
              <w:t>222</w:t>
            </w:r>
            <w:r w:rsidR="00C15DE4" w:rsidRPr="008B6F75">
              <w:rPr>
                <w:sz w:val="21"/>
                <w:szCs w:val="21"/>
                <w:lang w:val="es-ES_tradnl"/>
              </w:rPr>
              <w:t xml:space="preserve"> </w:t>
            </w:r>
            <w:r w:rsidRPr="008B6F75">
              <w:rPr>
                <w:sz w:val="21"/>
                <w:szCs w:val="21"/>
                <w:lang w:val="es-ES_tradnl"/>
              </w:rPr>
              <w:t>683</w:t>
            </w:r>
          </w:p>
        </w:tc>
        <w:tc>
          <w:tcPr>
            <w:tcW w:w="2229" w:type="dxa"/>
            <w:tcBorders>
              <w:top w:val="nil"/>
              <w:left w:val="nil"/>
              <w:bottom w:val="single" w:sz="4" w:space="0" w:color="auto"/>
              <w:right w:val="single" w:sz="4" w:space="0" w:color="auto"/>
            </w:tcBorders>
            <w:vAlign w:val="center"/>
          </w:tcPr>
          <w:p w14:paraId="58D4EB34" w14:textId="77777777" w:rsidR="00F447D8" w:rsidRPr="008B6F75" w:rsidRDefault="00F447D8" w:rsidP="00D703E5">
            <w:pPr>
              <w:jc w:val="right"/>
              <w:rPr>
                <w:sz w:val="21"/>
                <w:szCs w:val="21"/>
                <w:highlight w:val="yellow"/>
                <w:lang w:val="es-ES_tradnl"/>
              </w:rPr>
            </w:pPr>
          </w:p>
        </w:tc>
      </w:tr>
      <w:tr w:rsidR="00F447D8" w:rsidRPr="008B6F75" w14:paraId="1DC982AD" w14:textId="77777777" w:rsidTr="00D703E5">
        <w:tc>
          <w:tcPr>
            <w:tcW w:w="9356" w:type="dxa"/>
            <w:gridSpan w:val="6"/>
            <w:tcBorders>
              <w:top w:val="nil"/>
              <w:left w:val="single" w:sz="4" w:space="0" w:color="auto"/>
              <w:bottom w:val="single" w:sz="4" w:space="0" w:color="auto"/>
              <w:right w:val="single" w:sz="4" w:space="0" w:color="auto"/>
            </w:tcBorders>
          </w:tcPr>
          <w:p w14:paraId="49A0181A" w14:textId="2CD42474" w:rsidR="00F447D8" w:rsidRPr="008B6F75" w:rsidRDefault="004611CD" w:rsidP="00D703E5">
            <w:pPr>
              <w:jc w:val="left"/>
              <w:rPr>
                <w:sz w:val="21"/>
                <w:szCs w:val="21"/>
                <w:lang w:val="es-ES_tradnl"/>
              </w:rPr>
            </w:pPr>
            <w:r w:rsidRPr="008B6F75">
              <w:rPr>
                <w:rFonts w:eastAsia="MS Mincho"/>
                <w:b/>
                <w:sz w:val="21"/>
                <w:szCs w:val="21"/>
                <w:lang w:val="es-ES_tradnl" w:eastAsia="ja-JP"/>
              </w:rPr>
              <w:t>Gastos</w:t>
            </w:r>
          </w:p>
        </w:tc>
      </w:tr>
      <w:tr w:rsidR="00F447D8" w:rsidRPr="008B6F75" w14:paraId="7DCEB95D" w14:textId="77777777" w:rsidTr="00D703E5">
        <w:tc>
          <w:tcPr>
            <w:tcW w:w="2451" w:type="dxa"/>
            <w:gridSpan w:val="2"/>
            <w:tcBorders>
              <w:top w:val="nil"/>
              <w:left w:val="single" w:sz="4" w:space="0" w:color="auto"/>
              <w:bottom w:val="single" w:sz="4" w:space="0" w:color="auto"/>
              <w:right w:val="single" w:sz="4" w:space="0" w:color="auto"/>
            </w:tcBorders>
            <w:vAlign w:val="bottom"/>
            <w:hideMark/>
          </w:tcPr>
          <w:p w14:paraId="56A6E988" w14:textId="1E452B2B" w:rsidR="00F447D8" w:rsidRPr="008B6F75" w:rsidRDefault="004611CD" w:rsidP="00D703E5">
            <w:pPr>
              <w:jc w:val="left"/>
              <w:rPr>
                <w:rFonts w:eastAsia="MS Mincho"/>
                <w:sz w:val="21"/>
                <w:szCs w:val="21"/>
                <w:lang w:val="es-ES_tradnl" w:eastAsia="ja-JP"/>
              </w:rPr>
            </w:pPr>
            <w:r w:rsidRPr="008B6F75">
              <w:rPr>
                <w:rFonts w:eastAsia="MS Mincho"/>
                <w:sz w:val="21"/>
                <w:szCs w:val="21"/>
                <w:lang w:val="es-ES_tradnl" w:eastAsia="ja-JP"/>
              </w:rPr>
              <w:t>PNUD</w:t>
            </w:r>
          </w:p>
        </w:tc>
        <w:tc>
          <w:tcPr>
            <w:tcW w:w="2338" w:type="dxa"/>
            <w:gridSpan w:val="2"/>
            <w:tcBorders>
              <w:top w:val="nil"/>
              <w:left w:val="nil"/>
              <w:bottom w:val="single" w:sz="4" w:space="0" w:color="auto"/>
              <w:right w:val="single" w:sz="4" w:space="0" w:color="auto"/>
            </w:tcBorders>
            <w:vAlign w:val="center"/>
          </w:tcPr>
          <w:p w14:paraId="5C59F992" w14:textId="719D0815" w:rsidR="00F447D8" w:rsidRPr="008B6F75" w:rsidRDefault="00F447D8" w:rsidP="00D703E5">
            <w:pPr>
              <w:jc w:val="right"/>
              <w:rPr>
                <w:sz w:val="21"/>
                <w:szCs w:val="21"/>
                <w:highlight w:val="yellow"/>
                <w:lang w:val="es-ES_tradnl"/>
              </w:rPr>
            </w:pPr>
            <w:r w:rsidRPr="008B6F75">
              <w:rPr>
                <w:sz w:val="21"/>
                <w:szCs w:val="21"/>
                <w:lang w:val="es-ES_tradnl"/>
              </w:rPr>
              <w:t>846</w:t>
            </w:r>
            <w:r w:rsidR="00C15DE4" w:rsidRPr="008B6F75">
              <w:rPr>
                <w:sz w:val="21"/>
                <w:szCs w:val="21"/>
                <w:lang w:val="es-ES_tradnl"/>
              </w:rPr>
              <w:t xml:space="preserve"> </w:t>
            </w:r>
            <w:r w:rsidRPr="008B6F75">
              <w:rPr>
                <w:sz w:val="21"/>
                <w:szCs w:val="21"/>
                <w:lang w:val="es-ES_tradnl"/>
              </w:rPr>
              <w:t>848</w:t>
            </w:r>
            <w:r w:rsidR="00C15DE4" w:rsidRPr="008B6F75">
              <w:rPr>
                <w:sz w:val="21"/>
                <w:szCs w:val="21"/>
                <w:lang w:val="es-ES_tradnl"/>
              </w:rPr>
              <w:t xml:space="preserve"> </w:t>
            </w:r>
            <w:r w:rsidRPr="008B6F75">
              <w:rPr>
                <w:sz w:val="21"/>
                <w:szCs w:val="21"/>
                <w:lang w:val="es-ES_tradnl"/>
              </w:rPr>
              <w:t>840</w:t>
            </w:r>
          </w:p>
        </w:tc>
        <w:tc>
          <w:tcPr>
            <w:tcW w:w="2338" w:type="dxa"/>
            <w:tcBorders>
              <w:top w:val="nil"/>
              <w:left w:val="nil"/>
              <w:bottom w:val="single" w:sz="4" w:space="0" w:color="auto"/>
              <w:right w:val="single" w:sz="4" w:space="0" w:color="auto"/>
            </w:tcBorders>
            <w:vAlign w:val="center"/>
          </w:tcPr>
          <w:p w14:paraId="02C836DA" w14:textId="4D183C5B" w:rsidR="00F447D8" w:rsidRPr="008B6F75" w:rsidRDefault="00F447D8" w:rsidP="00D703E5">
            <w:pPr>
              <w:jc w:val="right"/>
              <w:rPr>
                <w:sz w:val="21"/>
                <w:szCs w:val="21"/>
                <w:highlight w:val="yellow"/>
                <w:lang w:val="es-ES_tradnl"/>
              </w:rPr>
            </w:pPr>
            <w:r w:rsidRPr="008B6F75">
              <w:rPr>
                <w:sz w:val="21"/>
                <w:szCs w:val="21"/>
                <w:lang w:val="es-ES_tradnl"/>
              </w:rPr>
              <w:t>849</w:t>
            </w:r>
            <w:r w:rsidR="00C15DE4" w:rsidRPr="008B6F75">
              <w:rPr>
                <w:sz w:val="21"/>
                <w:szCs w:val="21"/>
                <w:lang w:val="es-ES_tradnl"/>
              </w:rPr>
              <w:t xml:space="preserve"> </w:t>
            </w:r>
            <w:r w:rsidRPr="008B6F75">
              <w:rPr>
                <w:sz w:val="21"/>
                <w:szCs w:val="21"/>
                <w:lang w:val="es-ES_tradnl"/>
              </w:rPr>
              <w:t>819</w:t>
            </w:r>
            <w:r w:rsidR="00C15DE4" w:rsidRPr="008B6F75">
              <w:rPr>
                <w:sz w:val="21"/>
                <w:szCs w:val="21"/>
                <w:lang w:val="es-ES_tradnl"/>
              </w:rPr>
              <w:t xml:space="preserve"> </w:t>
            </w:r>
            <w:r w:rsidRPr="008B6F75">
              <w:rPr>
                <w:sz w:val="21"/>
                <w:szCs w:val="21"/>
                <w:lang w:val="es-ES_tradnl"/>
              </w:rPr>
              <w:t>008</w:t>
            </w:r>
          </w:p>
        </w:tc>
        <w:tc>
          <w:tcPr>
            <w:tcW w:w="2229" w:type="dxa"/>
            <w:tcBorders>
              <w:top w:val="nil"/>
              <w:left w:val="nil"/>
              <w:bottom w:val="single" w:sz="4" w:space="0" w:color="auto"/>
              <w:right w:val="single" w:sz="4" w:space="0" w:color="auto"/>
            </w:tcBorders>
            <w:vAlign w:val="center"/>
          </w:tcPr>
          <w:p w14:paraId="55ECF062" w14:textId="593E354F" w:rsidR="00F447D8" w:rsidRPr="008B6F75" w:rsidRDefault="00F447D8" w:rsidP="00D703E5">
            <w:pPr>
              <w:jc w:val="right"/>
              <w:rPr>
                <w:sz w:val="21"/>
                <w:szCs w:val="21"/>
                <w:highlight w:val="yellow"/>
                <w:lang w:val="es-ES_tradnl"/>
              </w:rPr>
            </w:pPr>
            <w:r w:rsidRPr="008B6F75">
              <w:rPr>
                <w:sz w:val="21"/>
                <w:szCs w:val="21"/>
                <w:lang w:val="es-ES_tradnl"/>
              </w:rPr>
              <w:t>2</w:t>
            </w:r>
            <w:r w:rsidR="00C15DE4" w:rsidRPr="008B6F75">
              <w:rPr>
                <w:sz w:val="21"/>
                <w:szCs w:val="21"/>
                <w:lang w:val="es-ES_tradnl"/>
              </w:rPr>
              <w:t xml:space="preserve"> </w:t>
            </w:r>
            <w:r w:rsidRPr="008B6F75">
              <w:rPr>
                <w:sz w:val="21"/>
                <w:szCs w:val="21"/>
                <w:lang w:val="es-ES_tradnl"/>
              </w:rPr>
              <w:t>970</w:t>
            </w:r>
            <w:r w:rsidR="00C15DE4" w:rsidRPr="008B6F75">
              <w:rPr>
                <w:sz w:val="21"/>
                <w:szCs w:val="21"/>
                <w:lang w:val="es-ES_tradnl"/>
              </w:rPr>
              <w:t xml:space="preserve"> </w:t>
            </w:r>
            <w:r w:rsidRPr="008B6F75">
              <w:rPr>
                <w:sz w:val="21"/>
                <w:szCs w:val="21"/>
                <w:lang w:val="es-ES_tradnl"/>
              </w:rPr>
              <w:t>168</w:t>
            </w:r>
          </w:p>
        </w:tc>
      </w:tr>
      <w:tr w:rsidR="00F447D8" w:rsidRPr="008B6F75" w14:paraId="7A7D0BE1" w14:textId="77777777" w:rsidTr="00D703E5">
        <w:tc>
          <w:tcPr>
            <w:tcW w:w="2451" w:type="dxa"/>
            <w:gridSpan w:val="2"/>
            <w:tcBorders>
              <w:top w:val="nil"/>
              <w:left w:val="single" w:sz="4" w:space="0" w:color="auto"/>
              <w:bottom w:val="single" w:sz="4" w:space="0" w:color="auto"/>
              <w:right w:val="single" w:sz="4" w:space="0" w:color="auto"/>
            </w:tcBorders>
            <w:vAlign w:val="bottom"/>
            <w:hideMark/>
          </w:tcPr>
          <w:p w14:paraId="7EAA2CDA" w14:textId="36B854E7" w:rsidR="00F447D8" w:rsidRPr="008B6F75" w:rsidRDefault="004611CD" w:rsidP="00D703E5">
            <w:pPr>
              <w:jc w:val="left"/>
              <w:rPr>
                <w:rFonts w:eastAsia="MS Mincho"/>
                <w:sz w:val="21"/>
                <w:szCs w:val="21"/>
                <w:lang w:val="es-ES_tradnl" w:eastAsia="ja-JP"/>
              </w:rPr>
            </w:pPr>
            <w:r w:rsidRPr="008B6F75">
              <w:rPr>
                <w:rFonts w:eastAsia="MS Mincho"/>
                <w:sz w:val="21"/>
                <w:szCs w:val="21"/>
                <w:lang w:val="es-ES_tradnl" w:eastAsia="ja-JP"/>
              </w:rPr>
              <w:t>PNUMA</w:t>
            </w:r>
          </w:p>
        </w:tc>
        <w:tc>
          <w:tcPr>
            <w:tcW w:w="2338" w:type="dxa"/>
            <w:gridSpan w:val="2"/>
            <w:tcBorders>
              <w:top w:val="nil"/>
              <w:left w:val="nil"/>
              <w:bottom w:val="single" w:sz="4" w:space="0" w:color="auto"/>
              <w:right w:val="single" w:sz="4" w:space="0" w:color="auto"/>
            </w:tcBorders>
            <w:vAlign w:val="center"/>
          </w:tcPr>
          <w:p w14:paraId="6187A200" w14:textId="362CC420" w:rsidR="00F447D8" w:rsidRPr="008B6F75" w:rsidRDefault="00F447D8" w:rsidP="00D703E5">
            <w:pPr>
              <w:jc w:val="right"/>
              <w:rPr>
                <w:sz w:val="21"/>
                <w:szCs w:val="21"/>
                <w:highlight w:val="yellow"/>
                <w:lang w:val="es-ES_tradnl"/>
              </w:rPr>
            </w:pPr>
            <w:r w:rsidRPr="008B6F75">
              <w:rPr>
                <w:sz w:val="21"/>
                <w:szCs w:val="21"/>
                <w:lang w:val="es-ES_tradnl"/>
              </w:rPr>
              <w:t>291</w:t>
            </w:r>
            <w:r w:rsidR="00C15DE4" w:rsidRPr="008B6F75">
              <w:rPr>
                <w:sz w:val="21"/>
                <w:szCs w:val="21"/>
                <w:lang w:val="es-ES_tradnl"/>
              </w:rPr>
              <w:t xml:space="preserve"> </w:t>
            </w:r>
            <w:r w:rsidRPr="008B6F75">
              <w:rPr>
                <w:sz w:val="21"/>
                <w:szCs w:val="21"/>
                <w:lang w:val="es-ES_tradnl"/>
              </w:rPr>
              <w:t>320</w:t>
            </w:r>
            <w:r w:rsidR="00C15DE4" w:rsidRPr="008B6F75">
              <w:rPr>
                <w:sz w:val="21"/>
                <w:szCs w:val="21"/>
                <w:lang w:val="es-ES_tradnl"/>
              </w:rPr>
              <w:t xml:space="preserve"> </w:t>
            </w:r>
            <w:r w:rsidRPr="008B6F75">
              <w:rPr>
                <w:sz w:val="21"/>
                <w:szCs w:val="21"/>
                <w:lang w:val="es-ES_tradnl"/>
              </w:rPr>
              <w:t>463</w:t>
            </w:r>
          </w:p>
        </w:tc>
        <w:tc>
          <w:tcPr>
            <w:tcW w:w="2338" w:type="dxa"/>
            <w:tcBorders>
              <w:top w:val="nil"/>
              <w:left w:val="nil"/>
              <w:bottom w:val="single" w:sz="4" w:space="0" w:color="auto"/>
              <w:right w:val="single" w:sz="4" w:space="0" w:color="auto"/>
            </w:tcBorders>
            <w:vAlign w:val="center"/>
          </w:tcPr>
          <w:p w14:paraId="2B5ECF1D" w14:textId="70608436" w:rsidR="00F447D8" w:rsidRPr="008B6F75" w:rsidRDefault="00F447D8" w:rsidP="00D703E5">
            <w:pPr>
              <w:jc w:val="right"/>
              <w:rPr>
                <w:sz w:val="21"/>
                <w:szCs w:val="21"/>
                <w:highlight w:val="yellow"/>
                <w:lang w:val="es-ES_tradnl"/>
              </w:rPr>
            </w:pPr>
            <w:r w:rsidRPr="008B6F75">
              <w:rPr>
                <w:sz w:val="21"/>
                <w:szCs w:val="21"/>
                <w:lang w:val="es-ES_tradnl"/>
              </w:rPr>
              <w:t>292</w:t>
            </w:r>
            <w:r w:rsidR="00C15DE4" w:rsidRPr="008B6F75">
              <w:rPr>
                <w:sz w:val="21"/>
                <w:szCs w:val="21"/>
                <w:lang w:val="es-ES_tradnl"/>
              </w:rPr>
              <w:t xml:space="preserve"> </w:t>
            </w:r>
            <w:r w:rsidRPr="008B6F75">
              <w:rPr>
                <w:sz w:val="21"/>
                <w:szCs w:val="21"/>
                <w:lang w:val="es-ES_tradnl"/>
              </w:rPr>
              <w:t>878</w:t>
            </w:r>
            <w:r w:rsidR="00C15DE4" w:rsidRPr="008B6F75">
              <w:rPr>
                <w:sz w:val="21"/>
                <w:szCs w:val="21"/>
                <w:lang w:val="es-ES_tradnl"/>
              </w:rPr>
              <w:t xml:space="preserve"> </w:t>
            </w:r>
            <w:r w:rsidRPr="008B6F75">
              <w:rPr>
                <w:sz w:val="21"/>
                <w:szCs w:val="21"/>
                <w:lang w:val="es-ES_tradnl"/>
              </w:rPr>
              <w:t>761</w:t>
            </w:r>
          </w:p>
        </w:tc>
        <w:tc>
          <w:tcPr>
            <w:tcW w:w="2229" w:type="dxa"/>
            <w:tcBorders>
              <w:top w:val="nil"/>
              <w:left w:val="nil"/>
              <w:bottom w:val="single" w:sz="4" w:space="0" w:color="auto"/>
              <w:right w:val="single" w:sz="4" w:space="0" w:color="auto"/>
            </w:tcBorders>
            <w:vAlign w:val="center"/>
          </w:tcPr>
          <w:p w14:paraId="6F3C61B3" w14:textId="0E94246E" w:rsidR="00F447D8" w:rsidRPr="008B6F75" w:rsidRDefault="00F447D8" w:rsidP="00D703E5">
            <w:pPr>
              <w:jc w:val="right"/>
              <w:rPr>
                <w:sz w:val="21"/>
                <w:szCs w:val="21"/>
                <w:highlight w:val="yellow"/>
                <w:lang w:val="es-ES_tradnl"/>
              </w:rPr>
            </w:pPr>
            <w:r w:rsidRPr="008B6F75">
              <w:rPr>
                <w:sz w:val="21"/>
                <w:szCs w:val="21"/>
                <w:lang w:val="es-ES_tradnl"/>
              </w:rPr>
              <w:t>1</w:t>
            </w:r>
            <w:r w:rsidR="00C15DE4" w:rsidRPr="008B6F75">
              <w:rPr>
                <w:sz w:val="21"/>
                <w:szCs w:val="21"/>
                <w:lang w:val="es-ES_tradnl"/>
              </w:rPr>
              <w:t xml:space="preserve"> </w:t>
            </w:r>
            <w:r w:rsidRPr="008B6F75">
              <w:rPr>
                <w:sz w:val="21"/>
                <w:szCs w:val="21"/>
                <w:lang w:val="es-ES_tradnl"/>
              </w:rPr>
              <w:t>558</w:t>
            </w:r>
            <w:r w:rsidR="00C15DE4" w:rsidRPr="008B6F75">
              <w:rPr>
                <w:sz w:val="21"/>
                <w:szCs w:val="21"/>
                <w:lang w:val="es-ES_tradnl"/>
              </w:rPr>
              <w:t xml:space="preserve"> </w:t>
            </w:r>
            <w:r w:rsidRPr="008B6F75">
              <w:rPr>
                <w:sz w:val="21"/>
                <w:szCs w:val="21"/>
                <w:lang w:val="es-ES_tradnl"/>
              </w:rPr>
              <w:t>298</w:t>
            </w:r>
          </w:p>
        </w:tc>
      </w:tr>
      <w:tr w:rsidR="00F447D8" w:rsidRPr="008B6F75" w14:paraId="40EB4EA0" w14:textId="77777777" w:rsidTr="00D703E5">
        <w:tc>
          <w:tcPr>
            <w:tcW w:w="2451" w:type="dxa"/>
            <w:gridSpan w:val="2"/>
            <w:tcBorders>
              <w:top w:val="nil"/>
              <w:left w:val="single" w:sz="4" w:space="0" w:color="auto"/>
              <w:bottom w:val="single" w:sz="4" w:space="0" w:color="auto"/>
              <w:right w:val="single" w:sz="4" w:space="0" w:color="auto"/>
            </w:tcBorders>
            <w:vAlign w:val="bottom"/>
            <w:hideMark/>
          </w:tcPr>
          <w:p w14:paraId="2A3DC0AF" w14:textId="4134831D" w:rsidR="00F447D8" w:rsidRPr="008B6F75" w:rsidRDefault="004611CD" w:rsidP="00D703E5">
            <w:pPr>
              <w:jc w:val="left"/>
              <w:rPr>
                <w:rFonts w:eastAsia="MS Mincho"/>
                <w:sz w:val="21"/>
                <w:szCs w:val="21"/>
                <w:lang w:val="es-ES_tradnl" w:eastAsia="ja-JP"/>
              </w:rPr>
            </w:pPr>
            <w:r w:rsidRPr="008B6F75">
              <w:rPr>
                <w:rFonts w:eastAsia="MS Mincho"/>
                <w:sz w:val="21"/>
                <w:szCs w:val="21"/>
                <w:lang w:val="es-ES_tradnl" w:eastAsia="ja-JP"/>
              </w:rPr>
              <w:t>ONUDI</w:t>
            </w:r>
          </w:p>
        </w:tc>
        <w:tc>
          <w:tcPr>
            <w:tcW w:w="2338" w:type="dxa"/>
            <w:gridSpan w:val="2"/>
            <w:tcBorders>
              <w:top w:val="nil"/>
              <w:left w:val="nil"/>
              <w:bottom w:val="single" w:sz="4" w:space="0" w:color="auto"/>
              <w:right w:val="single" w:sz="4" w:space="0" w:color="auto"/>
            </w:tcBorders>
            <w:vAlign w:val="center"/>
          </w:tcPr>
          <w:p w14:paraId="1E15BC7D" w14:textId="03802C8E" w:rsidR="00F447D8" w:rsidRPr="008B6F75" w:rsidRDefault="00F447D8" w:rsidP="00D703E5">
            <w:pPr>
              <w:jc w:val="right"/>
              <w:rPr>
                <w:sz w:val="21"/>
                <w:szCs w:val="21"/>
                <w:highlight w:val="yellow"/>
                <w:lang w:val="es-ES_tradnl"/>
              </w:rPr>
            </w:pPr>
            <w:r w:rsidRPr="008B6F75">
              <w:rPr>
                <w:sz w:val="21"/>
                <w:szCs w:val="21"/>
                <w:lang w:val="es-ES_tradnl"/>
              </w:rPr>
              <w:t>811</w:t>
            </w:r>
            <w:r w:rsidR="00C15DE4" w:rsidRPr="008B6F75">
              <w:rPr>
                <w:sz w:val="21"/>
                <w:szCs w:val="21"/>
                <w:lang w:val="es-ES_tradnl"/>
              </w:rPr>
              <w:t xml:space="preserve"> </w:t>
            </w:r>
            <w:r w:rsidRPr="008B6F75">
              <w:rPr>
                <w:sz w:val="21"/>
                <w:szCs w:val="21"/>
                <w:lang w:val="es-ES_tradnl"/>
              </w:rPr>
              <w:t>470</w:t>
            </w:r>
            <w:r w:rsidR="00C15DE4" w:rsidRPr="008B6F75">
              <w:rPr>
                <w:sz w:val="21"/>
                <w:szCs w:val="21"/>
                <w:lang w:val="es-ES_tradnl"/>
              </w:rPr>
              <w:t xml:space="preserve"> </w:t>
            </w:r>
            <w:r w:rsidRPr="008B6F75">
              <w:rPr>
                <w:sz w:val="21"/>
                <w:szCs w:val="21"/>
                <w:lang w:val="es-ES_tradnl"/>
              </w:rPr>
              <w:t>932</w:t>
            </w:r>
          </w:p>
        </w:tc>
        <w:tc>
          <w:tcPr>
            <w:tcW w:w="2338" w:type="dxa"/>
            <w:tcBorders>
              <w:top w:val="nil"/>
              <w:left w:val="nil"/>
              <w:bottom w:val="single" w:sz="4" w:space="0" w:color="auto"/>
              <w:right w:val="single" w:sz="4" w:space="0" w:color="auto"/>
            </w:tcBorders>
            <w:vAlign w:val="center"/>
          </w:tcPr>
          <w:p w14:paraId="42ECC2C1" w14:textId="0B7BF76A" w:rsidR="00F447D8" w:rsidRPr="008B6F75" w:rsidRDefault="00F447D8" w:rsidP="00D703E5">
            <w:pPr>
              <w:jc w:val="right"/>
              <w:rPr>
                <w:sz w:val="21"/>
                <w:szCs w:val="21"/>
                <w:highlight w:val="yellow"/>
                <w:lang w:val="es-ES_tradnl"/>
              </w:rPr>
            </w:pPr>
            <w:r w:rsidRPr="008B6F75">
              <w:rPr>
                <w:sz w:val="21"/>
                <w:szCs w:val="21"/>
                <w:lang w:val="es-ES_tradnl"/>
              </w:rPr>
              <w:t>810</w:t>
            </w:r>
            <w:r w:rsidR="00C15DE4" w:rsidRPr="008B6F75">
              <w:rPr>
                <w:sz w:val="21"/>
                <w:szCs w:val="21"/>
                <w:lang w:val="es-ES_tradnl"/>
              </w:rPr>
              <w:t xml:space="preserve"> </w:t>
            </w:r>
            <w:r w:rsidRPr="008B6F75">
              <w:rPr>
                <w:sz w:val="21"/>
                <w:szCs w:val="21"/>
                <w:lang w:val="es-ES_tradnl"/>
              </w:rPr>
              <w:t>485</w:t>
            </w:r>
            <w:r w:rsidR="00C15DE4" w:rsidRPr="008B6F75">
              <w:rPr>
                <w:sz w:val="21"/>
                <w:szCs w:val="21"/>
                <w:lang w:val="es-ES_tradnl"/>
              </w:rPr>
              <w:t xml:space="preserve"> </w:t>
            </w:r>
            <w:r w:rsidRPr="008B6F75">
              <w:rPr>
                <w:sz w:val="21"/>
                <w:szCs w:val="21"/>
                <w:lang w:val="es-ES_tradnl"/>
              </w:rPr>
              <w:t>357</w:t>
            </w:r>
          </w:p>
        </w:tc>
        <w:tc>
          <w:tcPr>
            <w:tcW w:w="2229" w:type="dxa"/>
            <w:tcBorders>
              <w:top w:val="nil"/>
              <w:left w:val="nil"/>
              <w:bottom w:val="single" w:sz="4" w:space="0" w:color="auto"/>
              <w:right w:val="single" w:sz="4" w:space="0" w:color="auto"/>
            </w:tcBorders>
            <w:vAlign w:val="center"/>
          </w:tcPr>
          <w:p w14:paraId="0FF83A90" w14:textId="058DC348" w:rsidR="00F447D8" w:rsidRPr="008B6F75" w:rsidRDefault="00F447D8" w:rsidP="00D703E5">
            <w:pPr>
              <w:jc w:val="right"/>
              <w:rPr>
                <w:sz w:val="21"/>
                <w:szCs w:val="21"/>
                <w:highlight w:val="yellow"/>
                <w:lang w:val="es-ES_tradnl"/>
              </w:rPr>
            </w:pPr>
            <w:r w:rsidRPr="008B6F75">
              <w:rPr>
                <w:sz w:val="21"/>
                <w:szCs w:val="21"/>
                <w:lang w:val="es-ES_tradnl"/>
              </w:rPr>
              <w:t>(985</w:t>
            </w:r>
            <w:r w:rsidR="00C15DE4" w:rsidRPr="008B6F75">
              <w:rPr>
                <w:sz w:val="21"/>
                <w:szCs w:val="21"/>
                <w:lang w:val="es-ES_tradnl"/>
              </w:rPr>
              <w:t xml:space="preserve"> </w:t>
            </w:r>
            <w:r w:rsidRPr="008B6F75">
              <w:rPr>
                <w:sz w:val="21"/>
                <w:szCs w:val="21"/>
                <w:lang w:val="es-ES_tradnl"/>
              </w:rPr>
              <w:t>575)</w:t>
            </w:r>
          </w:p>
        </w:tc>
      </w:tr>
      <w:tr w:rsidR="00F447D8" w:rsidRPr="008B6F75" w14:paraId="7AF57BF3" w14:textId="77777777" w:rsidTr="00D703E5">
        <w:tc>
          <w:tcPr>
            <w:tcW w:w="2451" w:type="dxa"/>
            <w:gridSpan w:val="2"/>
            <w:tcBorders>
              <w:top w:val="nil"/>
              <w:left w:val="single" w:sz="4" w:space="0" w:color="auto"/>
              <w:bottom w:val="single" w:sz="4" w:space="0" w:color="auto"/>
              <w:right w:val="single" w:sz="4" w:space="0" w:color="auto"/>
            </w:tcBorders>
            <w:vAlign w:val="bottom"/>
          </w:tcPr>
          <w:p w14:paraId="1E341F54" w14:textId="2FCF8F89" w:rsidR="00F447D8" w:rsidRPr="008B6F75" w:rsidRDefault="004611CD" w:rsidP="00D703E5">
            <w:pPr>
              <w:jc w:val="left"/>
              <w:rPr>
                <w:rFonts w:eastAsia="MS Mincho"/>
                <w:sz w:val="21"/>
                <w:szCs w:val="21"/>
                <w:lang w:val="es-ES_tradnl" w:eastAsia="ja-JP"/>
              </w:rPr>
            </w:pPr>
            <w:r w:rsidRPr="008B6F75">
              <w:rPr>
                <w:rFonts w:eastAsia="MS Mincho"/>
                <w:sz w:val="21"/>
                <w:szCs w:val="21"/>
                <w:lang w:val="es-ES_tradnl" w:eastAsia="ja-JP"/>
              </w:rPr>
              <w:t>Banco Mundial</w:t>
            </w:r>
          </w:p>
        </w:tc>
        <w:tc>
          <w:tcPr>
            <w:tcW w:w="2338" w:type="dxa"/>
            <w:gridSpan w:val="2"/>
            <w:tcBorders>
              <w:top w:val="nil"/>
              <w:left w:val="nil"/>
              <w:bottom w:val="single" w:sz="4" w:space="0" w:color="auto"/>
              <w:right w:val="single" w:sz="4" w:space="0" w:color="auto"/>
            </w:tcBorders>
            <w:vAlign w:val="center"/>
          </w:tcPr>
          <w:p w14:paraId="50A28CC4" w14:textId="32678BB5" w:rsidR="00F447D8" w:rsidRPr="008B6F75" w:rsidRDefault="00F447D8" w:rsidP="00D703E5">
            <w:pPr>
              <w:jc w:val="right"/>
              <w:rPr>
                <w:sz w:val="21"/>
                <w:szCs w:val="21"/>
                <w:highlight w:val="yellow"/>
                <w:lang w:val="es-ES_tradnl"/>
              </w:rPr>
            </w:pPr>
            <w:r w:rsidRPr="008B6F75">
              <w:rPr>
                <w:sz w:val="21"/>
                <w:szCs w:val="21"/>
                <w:lang w:val="es-ES_tradnl"/>
              </w:rPr>
              <w:t>1</w:t>
            </w:r>
            <w:r w:rsidR="00C15DE4" w:rsidRPr="008B6F75">
              <w:rPr>
                <w:sz w:val="21"/>
                <w:szCs w:val="21"/>
                <w:lang w:val="es-ES_tradnl"/>
              </w:rPr>
              <w:t xml:space="preserve"> </w:t>
            </w:r>
            <w:r w:rsidRPr="008B6F75">
              <w:rPr>
                <w:sz w:val="21"/>
                <w:szCs w:val="21"/>
                <w:lang w:val="es-ES_tradnl"/>
              </w:rPr>
              <w:t>237</w:t>
            </w:r>
            <w:r w:rsidR="00C15DE4" w:rsidRPr="008B6F75">
              <w:rPr>
                <w:sz w:val="21"/>
                <w:szCs w:val="21"/>
                <w:lang w:val="es-ES_tradnl"/>
              </w:rPr>
              <w:t xml:space="preserve"> </w:t>
            </w:r>
            <w:r w:rsidRPr="008B6F75">
              <w:rPr>
                <w:sz w:val="21"/>
                <w:szCs w:val="21"/>
                <w:lang w:val="es-ES_tradnl"/>
              </w:rPr>
              <w:t>741</w:t>
            </w:r>
            <w:r w:rsidR="00C15DE4" w:rsidRPr="008B6F75">
              <w:rPr>
                <w:sz w:val="21"/>
                <w:szCs w:val="21"/>
                <w:lang w:val="es-ES_tradnl"/>
              </w:rPr>
              <w:t xml:space="preserve"> </w:t>
            </w:r>
            <w:r w:rsidRPr="008B6F75">
              <w:rPr>
                <w:sz w:val="21"/>
                <w:szCs w:val="21"/>
                <w:lang w:val="es-ES_tradnl"/>
              </w:rPr>
              <w:t>650</w:t>
            </w:r>
          </w:p>
        </w:tc>
        <w:tc>
          <w:tcPr>
            <w:tcW w:w="2338" w:type="dxa"/>
            <w:tcBorders>
              <w:top w:val="nil"/>
              <w:left w:val="nil"/>
              <w:bottom w:val="single" w:sz="4" w:space="0" w:color="auto"/>
              <w:right w:val="single" w:sz="4" w:space="0" w:color="auto"/>
            </w:tcBorders>
            <w:vAlign w:val="center"/>
          </w:tcPr>
          <w:p w14:paraId="06FF1E56" w14:textId="59BA4E98" w:rsidR="00F447D8" w:rsidRPr="008B6F75" w:rsidRDefault="00F447D8" w:rsidP="00D703E5">
            <w:pPr>
              <w:jc w:val="right"/>
              <w:rPr>
                <w:sz w:val="21"/>
                <w:szCs w:val="21"/>
                <w:highlight w:val="yellow"/>
                <w:lang w:val="es-ES_tradnl"/>
              </w:rPr>
            </w:pPr>
            <w:r w:rsidRPr="008B6F75">
              <w:rPr>
                <w:sz w:val="21"/>
                <w:szCs w:val="21"/>
                <w:lang w:val="es-ES_tradnl"/>
              </w:rPr>
              <w:t>1</w:t>
            </w:r>
            <w:r w:rsidR="00C15DE4" w:rsidRPr="008B6F75">
              <w:rPr>
                <w:sz w:val="21"/>
                <w:szCs w:val="21"/>
                <w:lang w:val="es-ES_tradnl"/>
              </w:rPr>
              <w:t xml:space="preserve"> </w:t>
            </w:r>
            <w:r w:rsidRPr="008B6F75">
              <w:rPr>
                <w:sz w:val="21"/>
                <w:szCs w:val="21"/>
                <w:lang w:val="es-ES_tradnl"/>
              </w:rPr>
              <w:t>237</w:t>
            </w:r>
            <w:r w:rsidR="00C15DE4" w:rsidRPr="008B6F75">
              <w:rPr>
                <w:sz w:val="21"/>
                <w:szCs w:val="21"/>
                <w:lang w:val="es-ES_tradnl"/>
              </w:rPr>
              <w:t xml:space="preserve"> </w:t>
            </w:r>
            <w:r w:rsidRPr="008B6F75">
              <w:rPr>
                <w:sz w:val="21"/>
                <w:szCs w:val="21"/>
                <w:lang w:val="es-ES_tradnl"/>
              </w:rPr>
              <w:t>741</w:t>
            </w:r>
            <w:r w:rsidR="00C15DE4" w:rsidRPr="008B6F75">
              <w:rPr>
                <w:sz w:val="21"/>
                <w:szCs w:val="21"/>
                <w:lang w:val="es-ES_tradnl"/>
              </w:rPr>
              <w:t xml:space="preserve"> </w:t>
            </w:r>
            <w:r w:rsidRPr="008B6F75">
              <w:rPr>
                <w:sz w:val="21"/>
                <w:szCs w:val="21"/>
                <w:lang w:val="es-ES_tradnl"/>
              </w:rPr>
              <w:t>650</w:t>
            </w:r>
          </w:p>
        </w:tc>
        <w:tc>
          <w:tcPr>
            <w:tcW w:w="2229" w:type="dxa"/>
            <w:tcBorders>
              <w:top w:val="nil"/>
              <w:left w:val="nil"/>
              <w:bottom w:val="single" w:sz="4" w:space="0" w:color="auto"/>
              <w:right w:val="single" w:sz="4" w:space="0" w:color="auto"/>
            </w:tcBorders>
            <w:vAlign w:val="center"/>
          </w:tcPr>
          <w:p w14:paraId="043B88A3" w14:textId="77777777" w:rsidR="00F447D8" w:rsidRPr="008B6F75" w:rsidRDefault="00F447D8" w:rsidP="00D703E5">
            <w:pPr>
              <w:jc w:val="right"/>
              <w:rPr>
                <w:sz w:val="21"/>
                <w:szCs w:val="21"/>
                <w:highlight w:val="yellow"/>
                <w:lang w:val="es-ES_tradnl"/>
              </w:rPr>
            </w:pPr>
          </w:p>
        </w:tc>
      </w:tr>
    </w:tbl>
    <w:p w14:paraId="36A115F5" w14:textId="77777777" w:rsidR="00F447D8" w:rsidRPr="008B6F75" w:rsidRDefault="00F447D8" w:rsidP="00F447D8">
      <w:pPr>
        <w:rPr>
          <w:b/>
          <w:lang w:val="es-ES_tradnl"/>
        </w:rPr>
      </w:pPr>
    </w:p>
    <w:p w14:paraId="5CD43B6F" w14:textId="58B7D464" w:rsidR="00F447D8" w:rsidRPr="008B6F75" w:rsidRDefault="00C15DE4" w:rsidP="00F447D8">
      <w:pPr>
        <w:rPr>
          <w:b/>
          <w:u w:val="single"/>
          <w:lang w:val="es-ES_tradnl"/>
        </w:rPr>
      </w:pPr>
      <w:r w:rsidRPr="008B6F75">
        <w:rPr>
          <w:b/>
          <w:lang w:val="es-ES_tradnl"/>
        </w:rPr>
        <w:t xml:space="preserve">Informe de la Junta de Auditores de las Naciones Unidas sobre los estados financieros del Fondo del ejercicio que acabó el 31 de diciembre </w:t>
      </w:r>
      <w:r w:rsidR="00F447D8" w:rsidRPr="008B6F75">
        <w:rPr>
          <w:b/>
          <w:lang w:val="es-ES_tradnl"/>
        </w:rPr>
        <w:t>2018</w:t>
      </w:r>
    </w:p>
    <w:p w14:paraId="54F8EC96" w14:textId="77777777" w:rsidR="00F447D8" w:rsidRPr="008B6F75" w:rsidRDefault="00F447D8" w:rsidP="00F447D8">
      <w:pPr>
        <w:jc w:val="left"/>
        <w:rPr>
          <w:u w:val="single"/>
          <w:lang w:val="es-ES_tradnl"/>
        </w:rPr>
      </w:pPr>
    </w:p>
    <w:p w14:paraId="6C991978" w14:textId="32DA2D4A" w:rsidR="00F447D8" w:rsidRPr="008B6F75" w:rsidRDefault="00F447D8" w:rsidP="00F447D8">
      <w:pPr>
        <w:pStyle w:val="Heading1"/>
        <w:rPr>
          <w:lang w:val="es-ES_tradnl"/>
        </w:rPr>
      </w:pPr>
      <w:r w:rsidRPr="008B6F75">
        <w:rPr>
          <w:lang w:val="es-ES_tradnl"/>
        </w:rPr>
        <w:t xml:space="preserve"> </w:t>
      </w:r>
      <w:r w:rsidR="00633FFC" w:rsidRPr="008B6F75">
        <w:rPr>
          <w:lang w:val="es-ES_tradnl"/>
        </w:rPr>
        <w:t>El Informe de la Junta de Auditores de las Naciones Unidas sobre las cuentas del Fondo del ejercicio que acabó el 31 de diciembre de 2018 (A/73/5/Add.7)</w:t>
      </w:r>
      <w:r w:rsidRPr="008B6F75">
        <w:rPr>
          <w:rStyle w:val="FootnoteReference"/>
          <w:lang w:val="es-ES_tradnl"/>
        </w:rPr>
        <w:footnoteReference w:id="3"/>
      </w:r>
      <w:r w:rsidRPr="008B6F75">
        <w:rPr>
          <w:lang w:val="es-ES_tradnl"/>
        </w:rPr>
        <w:t xml:space="preserve"> </w:t>
      </w:r>
      <w:r w:rsidR="00633FFC" w:rsidRPr="008B6F75">
        <w:rPr>
          <w:lang w:val="es-ES_tradnl"/>
        </w:rPr>
        <w:t xml:space="preserve">se terminó y se presentó al Director </w:t>
      </w:r>
      <w:r w:rsidR="00633FFC" w:rsidRPr="008B6F75">
        <w:rPr>
          <w:lang w:val="es-ES_tradnl"/>
        </w:rPr>
        <w:lastRenderedPageBreak/>
        <w:t>Ejecutivo del PNUMA. El informe incluyó una sección sobre los estados financieros del FML. El informe de auditoría es un informe sin reservas y ninguna de las observaciones de auditoría corresponde al Fondo</w:t>
      </w:r>
      <w:r w:rsidRPr="008B6F75">
        <w:rPr>
          <w:iCs/>
          <w:lang w:val="es-ES_tradnl"/>
        </w:rPr>
        <w:t xml:space="preserve">. </w:t>
      </w:r>
    </w:p>
    <w:p w14:paraId="48730EC6" w14:textId="31E3F2EC" w:rsidR="00F447D8" w:rsidRPr="008B6F75" w:rsidRDefault="00527C96" w:rsidP="00F447D8">
      <w:pPr>
        <w:keepNext/>
        <w:tabs>
          <w:tab w:val="left" w:pos="0"/>
        </w:tabs>
        <w:rPr>
          <w:lang w:val="es-ES_tradnl"/>
        </w:rPr>
      </w:pPr>
      <w:r w:rsidRPr="008B6F75">
        <w:rPr>
          <w:b/>
          <w:bCs/>
          <w:lang w:val="es-ES_tradnl"/>
        </w:rPr>
        <w:t>Recomendación</w:t>
      </w:r>
    </w:p>
    <w:p w14:paraId="010A9747" w14:textId="77777777" w:rsidR="00F447D8" w:rsidRPr="008B6F75" w:rsidRDefault="00F447D8" w:rsidP="00F447D8">
      <w:pPr>
        <w:keepNext/>
        <w:ind w:left="720"/>
        <w:rPr>
          <w:highlight w:val="yellow"/>
          <w:lang w:val="es-ES_tradnl"/>
        </w:rPr>
      </w:pPr>
    </w:p>
    <w:p w14:paraId="0E5A2E00" w14:textId="2590803F" w:rsidR="00F447D8" w:rsidRPr="008B6F75" w:rsidRDefault="00527C96" w:rsidP="00F447D8">
      <w:pPr>
        <w:pStyle w:val="Heading1"/>
        <w:keepNext/>
        <w:rPr>
          <w:lang w:val="es-ES_tradnl"/>
        </w:rPr>
      </w:pPr>
      <w:r w:rsidRPr="008B6F75">
        <w:rPr>
          <w:lang w:val="es-ES_tradnl"/>
        </w:rPr>
        <w:t>El Comité Ejecutivo pudiera considerar oportuno</w:t>
      </w:r>
      <w:r w:rsidR="00F447D8" w:rsidRPr="008B6F75">
        <w:rPr>
          <w:lang w:val="es-ES_tradnl"/>
        </w:rPr>
        <w:t>:</w:t>
      </w:r>
    </w:p>
    <w:p w14:paraId="34A37A1D" w14:textId="01AC85AB" w:rsidR="00F447D8" w:rsidRPr="008B6F75" w:rsidRDefault="008B6F75" w:rsidP="00811932">
      <w:pPr>
        <w:pStyle w:val="Heading6"/>
        <w:ind w:left="1418" w:hanging="709"/>
        <w:rPr>
          <w:rFonts w:ascii="Times New Roman" w:hAnsi="Times New Roman"/>
          <w:i w:val="0"/>
          <w:lang w:val="es-ES_tradnl"/>
        </w:rPr>
      </w:pPr>
      <w:r w:rsidRPr="008B6F75">
        <w:rPr>
          <w:rFonts w:ascii="Times New Roman" w:hAnsi="Times New Roman"/>
          <w:i w:val="0"/>
          <w:lang w:val="es-ES_tradnl"/>
        </w:rPr>
        <w:t>Tomar</w:t>
      </w:r>
      <w:r w:rsidR="00527C96" w:rsidRPr="008B6F75">
        <w:rPr>
          <w:rFonts w:ascii="Times New Roman" w:hAnsi="Times New Roman"/>
          <w:i w:val="0"/>
          <w:lang w:val="es-ES_tradnl"/>
        </w:rPr>
        <w:t xml:space="preserve"> nota de los estados financieros del Fondo Multilateral al 31 de diciembre de 2018, preparados de conformidad con las Normas Internacionales de Contabilidad del Sector Público, y de la declaración certificada </w:t>
      </w:r>
      <w:r w:rsidR="00D918A6">
        <w:rPr>
          <w:rFonts w:ascii="Times New Roman" w:hAnsi="Times New Roman"/>
          <w:i w:val="0"/>
          <w:lang w:val="es-ES_tradnl"/>
        </w:rPr>
        <w:t xml:space="preserve">de </w:t>
      </w:r>
      <w:r w:rsidR="00527C96" w:rsidRPr="008B6F75">
        <w:rPr>
          <w:rFonts w:ascii="Times New Roman" w:hAnsi="Times New Roman"/>
          <w:i w:val="0"/>
          <w:lang w:val="es-ES_tradnl"/>
        </w:rPr>
        <w:t xml:space="preserve">los ingresos y desembolsos de las contribuciones adicionales </w:t>
      </w:r>
      <w:r w:rsidR="00D918A6">
        <w:rPr>
          <w:rFonts w:ascii="Times New Roman" w:hAnsi="Times New Roman"/>
          <w:i w:val="0"/>
          <w:lang w:val="es-ES_tradnl"/>
        </w:rPr>
        <w:t>destinados al</w:t>
      </w:r>
      <w:r w:rsidR="00527C96" w:rsidRPr="008B6F75">
        <w:rPr>
          <w:rFonts w:ascii="Times New Roman" w:hAnsi="Times New Roman"/>
          <w:i w:val="0"/>
          <w:lang w:val="es-ES_tradnl"/>
        </w:rPr>
        <w:t xml:space="preserve"> apoyo de corto plazo </w:t>
      </w:r>
      <w:r w:rsidR="00D918A6">
        <w:rPr>
          <w:rFonts w:ascii="Times New Roman" w:hAnsi="Times New Roman"/>
          <w:i w:val="0"/>
          <w:lang w:val="es-ES_tradnl"/>
        </w:rPr>
        <w:t xml:space="preserve">para </w:t>
      </w:r>
      <w:r w:rsidR="00527C96" w:rsidRPr="008B6F75">
        <w:rPr>
          <w:rFonts w:ascii="Times New Roman" w:hAnsi="Times New Roman"/>
          <w:i w:val="0"/>
          <w:lang w:val="es-ES_tradnl"/>
        </w:rPr>
        <w:t>la ejecución</w:t>
      </w:r>
      <w:r w:rsidR="00811932" w:rsidRPr="008B6F75">
        <w:rPr>
          <w:rFonts w:ascii="Times New Roman" w:hAnsi="Times New Roman"/>
          <w:i w:val="0"/>
          <w:lang w:val="es-ES_tradnl"/>
        </w:rPr>
        <w:t xml:space="preserve"> de la reducción de HFC</w:t>
      </w:r>
      <w:r w:rsidR="00D918A6">
        <w:rPr>
          <w:rFonts w:ascii="Times New Roman" w:hAnsi="Times New Roman"/>
          <w:i w:val="0"/>
          <w:lang w:val="es-ES_tradnl"/>
        </w:rPr>
        <w:t xml:space="preserve"> por separado</w:t>
      </w:r>
      <w:r w:rsidR="00811932" w:rsidRPr="008B6F75">
        <w:rPr>
          <w:rFonts w:ascii="Times New Roman" w:hAnsi="Times New Roman"/>
          <w:i w:val="0"/>
          <w:lang w:val="es-ES_tradnl"/>
        </w:rPr>
        <w:t xml:space="preserve">, de conformidad con la decisión 83/4.b) </w:t>
      </w:r>
      <w:r w:rsidR="00527C96" w:rsidRPr="008B6F75">
        <w:rPr>
          <w:rFonts w:ascii="Times New Roman" w:hAnsi="Times New Roman"/>
          <w:i w:val="0"/>
          <w:lang w:val="es-ES_tradnl"/>
        </w:rPr>
        <w:t xml:space="preserve">que figuran en el </w:t>
      </w:r>
      <w:r w:rsidR="00811932" w:rsidRPr="008B6F75">
        <w:rPr>
          <w:rFonts w:ascii="Times New Roman" w:hAnsi="Times New Roman"/>
          <w:i w:val="0"/>
          <w:lang w:val="es-ES_tradnl"/>
        </w:rPr>
        <w:t>document</w:t>
      </w:r>
      <w:r w:rsidR="00C80B49">
        <w:rPr>
          <w:rFonts w:ascii="Times New Roman" w:hAnsi="Times New Roman"/>
          <w:i w:val="0"/>
          <w:lang w:val="es-ES_tradnl"/>
        </w:rPr>
        <w:t>o</w:t>
      </w:r>
      <w:r w:rsidR="00811932" w:rsidRPr="008B6F75">
        <w:rPr>
          <w:rFonts w:ascii="Times New Roman" w:hAnsi="Times New Roman"/>
          <w:i w:val="0"/>
          <w:lang w:val="es-ES_tradnl"/>
        </w:rPr>
        <w:t xml:space="preserve"> </w:t>
      </w:r>
      <w:r w:rsidR="00F447D8" w:rsidRPr="008B6F75">
        <w:rPr>
          <w:rFonts w:ascii="Times New Roman" w:hAnsi="Times New Roman"/>
          <w:i w:val="0"/>
          <w:lang w:val="es-ES_tradnl"/>
        </w:rPr>
        <w:t xml:space="preserve">UNEP/OzL.Pro/ExCom/84/6; </w:t>
      </w:r>
      <w:r w:rsidR="00811932" w:rsidRPr="008B6F75">
        <w:rPr>
          <w:rFonts w:ascii="Times New Roman" w:hAnsi="Times New Roman"/>
          <w:i w:val="0"/>
          <w:lang w:val="es-ES_tradnl"/>
        </w:rPr>
        <w:t>y</w:t>
      </w:r>
    </w:p>
    <w:p w14:paraId="7E906DC8" w14:textId="59D22936" w:rsidR="00F447D8" w:rsidRPr="008B6F75" w:rsidRDefault="00811932" w:rsidP="00811932">
      <w:pPr>
        <w:pStyle w:val="Heading6"/>
        <w:ind w:left="1418" w:hanging="709"/>
        <w:rPr>
          <w:rFonts w:ascii="Times New Roman" w:hAnsi="Times New Roman"/>
          <w:i w:val="0"/>
          <w:lang w:val="es-ES_tradnl"/>
        </w:rPr>
      </w:pPr>
      <w:r w:rsidRPr="008B6F75">
        <w:rPr>
          <w:rFonts w:ascii="Times New Roman" w:hAnsi="Times New Roman"/>
          <w:i w:val="0"/>
          <w:lang w:val="es-ES_tradnl"/>
        </w:rPr>
        <w:t xml:space="preserve">Pedir al Tesorero que anote en las cuentas de 2019 del Fondo Multilateral las diferencias entre los estados financieros provisionales de los organismos de ejecución para 2018 y sus estados finales para 2017, como se recoge en la Tabla 1 del documento </w:t>
      </w:r>
      <w:r w:rsidR="00F447D8" w:rsidRPr="008B6F75">
        <w:rPr>
          <w:rFonts w:ascii="Times New Roman" w:hAnsi="Times New Roman"/>
          <w:i w:val="0"/>
          <w:lang w:val="es-ES_tradnl"/>
        </w:rPr>
        <w:t>UNEP/OzL.Pro/ExCom/84/6.</w:t>
      </w:r>
    </w:p>
    <w:p w14:paraId="05D07F8B" w14:textId="77777777" w:rsidR="0087455A" w:rsidRPr="008B6F75" w:rsidRDefault="0087455A">
      <w:pPr>
        <w:pStyle w:val="StyleHeader4Para4Left0Firstline0"/>
        <w:numPr>
          <w:ilvl w:val="0"/>
          <w:numId w:val="0"/>
        </w:numPr>
        <w:rPr>
          <w:lang w:val="es-ES_tradnl"/>
        </w:rPr>
      </w:pPr>
    </w:p>
    <w:p w14:paraId="2AB9A654" w14:textId="77777777" w:rsidR="0087455A" w:rsidRPr="008B6F75" w:rsidRDefault="0024162E">
      <w:pPr>
        <w:jc w:val="left"/>
        <w:rPr>
          <w:sz w:val="20"/>
          <w:lang w:val="es-ES_tradnl"/>
        </w:rPr>
      </w:pPr>
      <w:r w:rsidRPr="008B6F75">
        <w:rPr>
          <w:lang w:val="es-ES_tradnl"/>
        </w:rPr>
        <w:br w:type="page"/>
      </w:r>
    </w:p>
    <w:p w14:paraId="2F2EAC26" w14:textId="77777777" w:rsidR="0087455A" w:rsidRDefault="0087455A">
      <w:pPr>
        <w:pStyle w:val="StyleHeader4Para4Left0Firstline0"/>
        <w:numPr>
          <w:ilvl w:val="0"/>
          <w:numId w:val="0"/>
        </w:numPr>
        <w:rPr>
          <w:lang w:val="es-ES"/>
        </w:rPr>
      </w:pPr>
    </w:p>
    <w:p w14:paraId="2C8EFA28" w14:textId="51BC4000" w:rsidR="0087455A" w:rsidRDefault="0087455A" w:rsidP="000B5189">
      <w:pPr>
        <w:pStyle w:val="StyleHeader4Para4Left0Firstline0"/>
        <w:numPr>
          <w:ilvl w:val="0"/>
          <w:numId w:val="0"/>
        </w:numPr>
        <w:rPr>
          <w:lang w:val="es-ES"/>
        </w:rPr>
        <w:sectPr w:rsidR="0087455A">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041FADE5" w14:textId="77777777" w:rsidR="0087455A" w:rsidRDefault="0087455A" w:rsidP="00FA478B">
      <w:pPr>
        <w:rPr>
          <w:b/>
          <w:bCs/>
          <w:lang w:val="es-ES"/>
        </w:rPr>
      </w:pPr>
    </w:p>
    <w:sectPr w:rsidR="0087455A">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E0D44" w14:textId="77777777" w:rsidR="00D918A6" w:rsidRDefault="00D918A6">
      <w:r>
        <w:separator/>
      </w:r>
    </w:p>
  </w:endnote>
  <w:endnote w:type="continuationSeparator" w:id="0">
    <w:p w14:paraId="4C864C9E" w14:textId="77777777" w:rsidR="00D918A6" w:rsidRDefault="00D9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D005" w14:textId="31063D00" w:rsidR="00D918A6" w:rsidRDefault="00D918A6">
    <w:pPr>
      <w:jc w:val="center"/>
    </w:pPr>
    <w:r>
      <w:fldChar w:fldCharType="begin"/>
    </w:r>
    <w:r>
      <w:instrText xml:space="preserve"> PAGE </w:instrText>
    </w:r>
    <w:r>
      <w:fldChar w:fldCharType="separate"/>
    </w:r>
    <w:r w:rsidR="00A55C54">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2A1D" w14:textId="2D4AC159" w:rsidR="00D918A6" w:rsidRDefault="00D918A6">
    <w:pPr>
      <w:jc w:val="center"/>
    </w:pPr>
    <w:r>
      <w:fldChar w:fldCharType="begin"/>
    </w:r>
    <w:r>
      <w:instrText xml:space="preserve"> PAGE </w:instrText>
    </w:r>
    <w:r>
      <w:fldChar w:fldCharType="separate"/>
    </w:r>
    <w:r w:rsidR="00A55C54">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3FAA" w14:textId="77777777" w:rsidR="00D918A6" w:rsidRDefault="00D918A6">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7318756A" w14:textId="5E2CA58B" w:rsidR="00D918A6" w:rsidRDefault="00D918A6">
        <w:pPr>
          <w:pStyle w:val="Footer"/>
          <w:jc w:val="center"/>
        </w:pPr>
        <w:r>
          <w:fldChar w:fldCharType="begin"/>
        </w:r>
        <w:r>
          <w:instrText xml:space="preserve"> PAGE   \* MERGEFORMAT </w:instrText>
        </w:r>
        <w:r>
          <w:fldChar w:fldCharType="separate"/>
        </w:r>
        <w:r w:rsidR="00A55C54">
          <w:rPr>
            <w:noProof/>
          </w:rPr>
          <w:t>1</w:t>
        </w:r>
        <w:r>
          <w:rPr>
            <w:noProof/>
          </w:rPr>
          <w:fldChar w:fldCharType="end"/>
        </w:r>
      </w:p>
    </w:sdtContent>
  </w:sdt>
  <w:p w14:paraId="0C5D563A" w14:textId="77777777" w:rsidR="00D918A6" w:rsidRDefault="00D918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87D37" w14:textId="77777777" w:rsidR="00D918A6" w:rsidRDefault="00D918A6">
      <w:r>
        <w:separator/>
      </w:r>
    </w:p>
  </w:footnote>
  <w:footnote w:type="continuationSeparator" w:id="0">
    <w:p w14:paraId="31E04B84" w14:textId="77777777" w:rsidR="00D918A6" w:rsidRDefault="00D918A6">
      <w:r>
        <w:continuationSeparator/>
      </w:r>
    </w:p>
  </w:footnote>
  <w:footnote w:id="1">
    <w:p w14:paraId="5D8663B2" w14:textId="72BE3FC3" w:rsidR="00D918A6" w:rsidRDefault="00D918A6" w:rsidP="00F447D8">
      <w:pPr>
        <w:pStyle w:val="FootnoteText"/>
        <w:rPr>
          <w:lang w:val="es-ES"/>
        </w:rPr>
      </w:pPr>
      <w:r>
        <w:rPr>
          <w:rStyle w:val="FootnoteReference"/>
        </w:rPr>
        <w:footnoteRef/>
      </w:r>
      <w:r w:rsidRPr="004141F8">
        <w:rPr>
          <w:lang w:val="es-ES"/>
        </w:rPr>
        <w:t xml:space="preserve"> Se pidió al Tesorero que presentara a la 84ª reunión, como parte de las cuentas del Fondo Multilateral correspondientes a 2018, una declaración certificada de los ingresos y desembolsos de las contribuciones adicionales destinados al apoyo a corto plazo relacionado con la ejecución de la reducción de HCF, separada de las contribuciones ordinarias al Fondo Multilateral.</w:t>
      </w:r>
    </w:p>
    <w:p w14:paraId="07A107AA" w14:textId="77777777" w:rsidR="004141F8" w:rsidRPr="004141F8" w:rsidRDefault="004141F8" w:rsidP="00F447D8">
      <w:pPr>
        <w:pStyle w:val="FootnoteText"/>
        <w:rPr>
          <w:lang w:val="es-ES"/>
        </w:rPr>
      </w:pPr>
    </w:p>
    <w:p w14:paraId="07AB91D0" w14:textId="77777777" w:rsidR="00D918A6" w:rsidRPr="004141F8" w:rsidRDefault="00D918A6" w:rsidP="00F447D8">
      <w:pPr>
        <w:pStyle w:val="FootnoteText"/>
        <w:rPr>
          <w:lang w:val="es-ES"/>
        </w:rPr>
      </w:pPr>
    </w:p>
  </w:footnote>
  <w:footnote w:id="2">
    <w:p w14:paraId="5C058C7D" w14:textId="38A2BFD8" w:rsidR="00D918A6" w:rsidRPr="004141F8" w:rsidRDefault="00D918A6" w:rsidP="00F447D8">
      <w:pPr>
        <w:pStyle w:val="FootnoteText"/>
        <w:rPr>
          <w:lang w:val="es-ES"/>
        </w:rPr>
      </w:pPr>
      <w:r>
        <w:rPr>
          <w:rStyle w:val="FootnoteReference"/>
        </w:rPr>
        <w:footnoteRef/>
      </w:r>
      <w:r w:rsidRPr="004141F8">
        <w:rPr>
          <w:lang w:val="es-ES"/>
        </w:rPr>
        <w:t xml:space="preserve"> Este asunto se discute en el documento UNEP/OzL.Pro/ExCom/84/5</w:t>
      </w:r>
    </w:p>
  </w:footnote>
  <w:footnote w:id="3">
    <w:p w14:paraId="5BEB6C87" w14:textId="77777777" w:rsidR="00D918A6" w:rsidRPr="004141F8" w:rsidRDefault="00D918A6" w:rsidP="00F447D8">
      <w:pPr>
        <w:pStyle w:val="FootnoteText"/>
        <w:rPr>
          <w:lang w:val="es-ES"/>
        </w:rPr>
      </w:pPr>
      <w:r>
        <w:rPr>
          <w:rStyle w:val="FootnoteReference"/>
        </w:rPr>
        <w:footnoteRef/>
      </w:r>
      <w:r w:rsidRPr="004141F8">
        <w:rPr>
          <w:lang w:val="es-ES"/>
        </w:rPr>
        <w:t xml:space="preserve"> http://undocs.org/en/A/74/5/Add.7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DB72" w14:textId="3194C2BB" w:rsidR="00D918A6" w:rsidRDefault="00A55C54">
    <w:r>
      <w:fldChar w:fldCharType="begin"/>
    </w:r>
    <w:r>
      <w:instrText xml:space="preserve"> DOCPROPERTY "Document number"  \* MERGEFORMAT </w:instrText>
    </w:r>
    <w:r>
      <w:fldChar w:fldCharType="separate"/>
    </w:r>
    <w:r w:rsidR="00FA478B">
      <w:t>UNEP/OzL.Pro/ExCom/84/6</w:t>
    </w:r>
    <w:r>
      <w:fldChar w:fldCharType="end"/>
    </w:r>
  </w:p>
  <w:p w14:paraId="15C88320" w14:textId="77777777" w:rsidR="00D918A6" w:rsidRDefault="00D918A6"/>
  <w:p w14:paraId="485B2CE1" w14:textId="77777777" w:rsidR="00D918A6" w:rsidRDefault="00D918A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D80C" w14:textId="4C201820" w:rsidR="00D918A6" w:rsidRDefault="00A55C54">
    <w:pPr>
      <w:jc w:val="right"/>
    </w:pPr>
    <w:r>
      <w:fldChar w:fldCharType="begin"/>
    </w:r>
    <w:r>
      <w:instrText xml:space="preserve"> DOCPROPERTY "Document number"  \* MERGEFORMAT </w:instrText>
    </w:r>
    <w:r>
      <w:fldChar w:fldCharType="separate"/>
    </w:r>
    <w:r w:rsidR="00FA478B">
      <w:t>UNEP/OzL.Pro/ExCom/84/6</w:t>
    </w:r>
    <w:r>
      <w:fldChar w:fldCharType="end"/>
    </w:r>
  </w:p>
  <w:p w14:paraId="434637D3" w14:textId="77777777" w:rsidR="00D918A6" w:rsidRDefault="00D918A6"/>
  <w:p w14:paraId="77D86FF7" w14:textId="77777777" w:rsidR="00D918A6" w:rsidRDefault="00D918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52631" w14:textId="77777777" w:rsidR="00D918A6" w:rsidRDefault="00A55C54">
    <w:pPr>
      <w:jc w:val="right"/>
    </w:pPr>
    <w:r>
      <w:fldChar w:fldCharType="begin"/>
    </w:r>
    <w:r>
      <w:instrText xml:space="preserve"> DOCPROPERTY "Document number"  \* MERGEFORMAT </w:instrText>
    </w:r>
    <w:r>
      <w:fldChar w:fldCharType="separate"/>
    </w:r>
    <w:r w:rsidR="00D918A6">
      <w:t>UNEP/OzL.Pro/ExCom/84/1</w:t>
    </w:r>
    <w:r>
      <w:fldChar w:fldCharType="end"/>
    </w:r>
  </w:p>
  <w:p w14:paraId="7E4715AA" w14:textId="77777777" w:rsidR="00D918A6" w:rsidRDefault="00D918A6"/>
  <w:p w14:paraId="0817223B" w14:textId="77777777" w:rsidR="00D918A6" w:rsidRDefault="00D918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C703968"/>
    <w:multiLevelType w:val="multilevel"/>
    <w:tmpl w:val="BD5E549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6"/>
  </w:num>
  <w:num w:numId="20">
    <w:abstractNumId w:val="12"/>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3D"/>
    <w:rsid w:val="000B5189"/>
    <w:rsid w:val="00106F6E"/>
    <w:rsid w:val="00114CAA"/>
    <w:rsid w:val="00171120"/>
    <w:rsid w:val="001C2D22"/>
    <w:rsid w:val="001E26F1"/>
    <w:rsid w:val="001F4047"/>
    <w:rsid w:val="00235D4C"/>
    <w:rsid w:val="0024162E"/>
    <w:rsid w:val="0030143D"/>
    <w:rsid w:val="003863A4"/>
    <w:rsid w:val="003B7115"/>
    <w:rsid w:val="004141F8"/>
    <w:rsid w:val="00416724"/>
    <w:rsid w:val="00455352"/>
    <w:rsid w:val="004611CD"/>
    <w:rsid w:val="00476E28"/>
    <w:rsid w:val="004B1ED5"/>
    <w:rsid w:val="00527C96"/>
    <w:rsid w:val="00633FFC"/>
    <w:rsid w:val="00646173"/>
    <w:rsid w:val="00670B67"/>
    <w:rsid w:val="006D0BC0"/>
    <w:rsid w:val="007A5190"/>
    <w:rsid w:val="00811932"/>
    <w:rsid w:val="00831BC5"/>
    <w:rsid w:val="0087455A"/>
    <w:rsid w:val="008B6F75"/>
    <w:rsid w:val="00901257"/>
    <w:rsid w:val="009054AE"/>
    <w:rsid w:val="00A42E34"/>
    <w:rsid w:val="00A5520D"/>
    <w:rsid w:val="00A55C54"/>
    <w:rsid w:val="00AB56E5"/>
    <w:rsid w:val="00B82EDD"/>
    <w:rsid w:val="00C14E67"/>
    <w:rsid w:val="00C15DE4"/>
    <w:rsid w:val="00C7742E"/>
    <w:rsid w:val="00C80B49"/>
    <w:rsid w:val="00D703E5"/>
    <w:rsid w:val="00D918A6"/>
    <w:rsid w:val="00DB795B"/>
    <w:rsid w:val="00DD2864"/>
    <w:rsid w:val="00E17F97"/>
    <w:rsid w:val="00F10CD9"/>
    <w:rsid w:val="00F25F7C"/>
    <w:rsid w:val="00F447D8"/>
    <w:rsid w:val="00FA47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8B53A"/>
  <w15:docId w15:val="{3D99F8DE-5DDC-4F76-AC13-3FAE4C3E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uiPriority w:val="9"/>
    <w:qFormat/>
    <w:pPr>
      <w:widowControl w:val="0"/>
      <w:numPr>
        <w:ilvl w:val="2"/>
        <w:numId w:val="1"/>
      </w:numPr>
      <w:spacing w:after="240"/>
      <w:outlineLvl w:val="2"/>
    </w:pPr>
  </w:style>
  <w:style w:type="paragraph" w:styleId="Heading4">
    <w:name w:val="heading 4"/>
    <w:aliases w:val="Heading 11,para 4,Título 41,heading 4"/>
    <w:basedOn w:val="Normal"/>
    <w:next w:val="Heading9"/>
    <w:uiPriority w:val="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uiPriority w:val="99"/>
    <w:semiHidden/>
    <w:rsid w:val="00F447D8"/>
    <w:rPr>
      <w:sz w:val="20"/>
      <w:szCs w:val="20"/>
    </w:rPr>
  </w:style>
  <w:style w:type="character" w:customStyle="1" w:styleId="FootnoteTextChar">
    <w:name w:val="Footnote Text Char"/>
    <w:basedOn w:val="DefaultParagraphFont"/>
    <w:link w:val="FootnoteText"/>
    <w:uiPriority w:val="99"/>
    <w:semiHidden/>
    <w:rsid w:val="00F447D8"/>
    <w:rPr>
      <w:lang w:val="en-GB"/>
    </w:rPr>
  </w:style>
  <w:style w:type="character" w:styleId="FootnoteReference">
    <w:name w:val="footnote reference"/>
    <w:uiPriority w:val="99"/>
    <w:semiHidden/>
    <w:rsid w:val="00F447D8"/>
    <w:rPr>
      <w:vertAlign w:val="superscript"/>
    </w:rPr>
  </w:style>
  <w:style w:type="paragraph" w:styleId="DocumentMap">
    <w:name w:val="Document Map"/>
    <w:basedOn w:val="Normal"/>
    <w:link w:val="DocumentMapChar"/>
    <w:uiPriority w:val="99"/>
    <w:semiHidden/>
    <w:unhideWhenUsed/>
    <w:rsid w:val="00C15DE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15DE4"/>
    <w:rPr>
      <w:rFonts w:ascii="Lucida Grande"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UNEP/OzL.Pro/ExCom/84/6</Document_x0020_Number>
  </documentManagement>
</p:properties>
</file>

<file path=customXml/itemProps1.xml><?xml version="1.0" encoding="utf-8"?>
<ds:datastoreItem xmlns:ds="http://schemas.openxmlformats.org/officeDocument/2006/customXml" ds:itemID="{6827162B-610C-4CA9-93F1-2874CA3EE6AD}"/>
</file>

<file path=customXml/itemProps2.xml><?xml version="1.0" encoding="utf-8"?>
<ds:datastoreItem xmlns:ds="http://schemas.openxmlformats.org/officeDocument/2006/customXml" ds:itemID="{A2DB9567-9112-4F72-A832-63AD6C1FC631}"/>
</file>

<file path=customXml/itemProps3.xml><?xml version="1.0" encoding="utf-8"?>
<ds:datastoreItem xmlns:ds="http://schemas.openxmlformats.org/officeDocument/2006/customXml" ds:itemID="{6AC6668D-EDA3-49DB-8FED-A923ED584692}"/>
</file>

<file path=customXml/itemProps4.xml><?xml version="1.0" encoding="utf-8"?>
<ds:datastoreItem xmlns:ds="http://schemas.openxmlformats.org/officeDocument/2006/customXml" ds:itemID="{CD93F20E-B7DF-4290-9E45-3BBA4383E026}"/>
</file>

<file path=docProps/app.xml><?xml version="1.0" encoding="utf-8"?>
<Properties xmlns="http://schemas.openxmlformats.org/officeDocument/2006/extended-properties" xmlns:vt="http://schemas.openxmlformats.org/officeDocument/2006/docPropsVTypes">
  <Template>normal</Template>
  <TotalTime>80</TotalTime>
  <Pages>5</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Cuentas finales de 2018</vt:lpstr>
    </vt:vector>
  </TitlesOfParts>
  <Manager/>
  <Company>UNMFS</Company>
  <LinksUpToDate>false</LinksUpToDate>
  <CharactersWithSpaces>5685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Cuentas finales de 2018</dc:title>
  <dc:subject/>
  <dc:creator>Lili</dc:creator>
  <cp:keywords/>
  <dc:description/>
  <cp:lastModifiedBy>HBE</cp:lastModifiedBy>
  <cp:revision>21</cp:revision>
  <cp:lastPrinted>2001-05-26T16:40:00Z</cp:lastPrinted>
  <dcterms:created xsi:type="dcterms:W3CDTF">2019-11-28T23:13:00Z</dcterms:created>
  <dcterms:modified xsi:type="dcterms:W3CDTF">2019-11-30T22:07:00Z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UNEP/OzL.Pro/ExCom/84/6</vt:lpwstr>
  </property>
  <property fmtid="{D5CDD505-2E9C-101B-9397-08002B2CF9AE}" pid="3" name="Revision date">
    <vt:lpwstr>10/1/2019</vt:lpwstr>
  </property>
  <property fmtid="{D5CDD505-2E9C-101B-9397-08002B2CF9AE}" pid="4" name="ContentTypeId">
    <vt:lpwstr>0x010100CF2D22381220FE4184AFB35730DED85F</vt:lpwstr>
  </property>
</Properties>
</file>