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 w:rsidRPr="00874A44" w14:paraId="12B0D0FB" w14:textId="77777777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14:paraId="54A5BD5A" w14:textId="77777777" w:rsidR="00441083" w:rsidRPr="00874A44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  <w:lang w:val="fr-CA"/>
              </w:rPr>
            </w:pPr>
            <w:r w:rsidRPr="00874A44">
              <w:rPr>
                <w:rFonts w:ascii="Univers" w:hAnsi="Univers"/>
                <w:b/>
                <w:sz w:val="28"/>
                <w:szCs w:val="28"/>
                <w:lang w:val="fr-CA"/>
              </w:rPr>
              <w:t>NATIONS</w:t>
            </w:r>
          </w:p>
          <w:p w14:paraId="755E0E4B" w14:textId="77777777" w:rsidR="00441083" w:rsidRPr="00874A44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  <w:lang w:val="fr-CA"/>
              </w:rPr>
            </w:pPr>
            <w:r w:rsidRPr="00874A44">
              <w:rPr>
                <w:rFonts w:ascii="Univers" w:hAnsi="Univers"/>
                <w:b/>
                <w:sz w:val="28"/>
                <w:szCs w:val="28"/>
                <w:lang w:val="fr-CA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345742F7" w14:textId="77777777" w:rsidR="00441083" w:rsidRPr="00874A44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  <w:lang w:val="fr-CA"/>
              </w:rPr>
            </w:pPr>
            <w:r w:rsidRPr="00874A44"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 w:rsidRPr="00874A44" w14:paraId="2F0224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44DD918" w14:textId="77777777" w:rsidR="00441083" w:rsidRPr="00874A44" w:rsidRDefault="00C6443E">
            <w:pPr>
              <w:spacing w:before="120"/>
              <w:rPr>
                <w:lang w:val="fr-CA"/>
              </w:rPr>
            </w:pPr>
            <w:r w:rsidRPr="00874A44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35E0F378" wp14:editId="11E9037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 w:rsidRPr="00874A44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33376B10" wp14:editId="7013156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98E3221" w14:textId="77777777" w:rsidR="00441083" w:rsidRPr="00874A44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14:paraId="3F25EF9C" w14:textId="77777777" w:rsidR="00441083" w:rsidRPr="00874A44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 w:rsidRPr="00874A44"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14:paraId="2D66026C" w14:textId="77777777" w:rsidR="00441083" w:rsidRPr="00874A44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 w:rsidRPr="00874A44"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14:paraId="3D77BF67" w14:textId="77777777" w:rsidR="00441083" w:rsidRPr="00874A44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 w:rsidRPr="00874A44"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14:paraId="35F6A7E9" w14:textId="77777777" w:rsidR="00441083" w:rsidRPr="00874A44" w:rsidRDefault="00E60D9C">
            <w:pPr>
              <w:spacing w:before="720"/>
              <w:ind w:left="158"/>
              <w:rPr>
                <w:lang w:val="fr-CA"/>
              </w:rPr>
            </w:pPr>
            <w:r w:rsidRPr="00874A44">
              <w:rPr>
                <w:lang w:val="fr-C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2947926" w14:textId="77777777" w:rsidR="00441083" w:rsidRPr="00874A44" w:rsidRDefault="00441083">
            <w:pPr>
              <w:rPr>
                <w:lang w:val="fr-CA"/>
              </w:rPr>
            </w:pPr>
          </w:p>
          <w:p w14:paraId="24F8890A" w14:textId="77777777" w:rsidR="00441083" w:rsidRPr="00874A44" w:rsidRDefault="00E60D9C">
            <w:pPr>
              <w:rPr>
                <w:lang w:val="fr-CA"/>
              </w:rPr>
            </w:pPr>
            <w:proofErr w:type="spellStart"/>
            <w:r w:rsidRPr="00874A44">
              <w:rPr>
                <w:lang w:val="fr-CA"/>
              </w:rPr>
              <w:t>Distr</w:t>
            </w:r>
            <w:proofErr w:type="spellEnd"/>
            <w:r w:rsidRPr="00874A44">
              <w:rPr>
                <w:lang w:val="fr-CA"/>
              </w:rPr>
              <w:t>.</w:t>
            </w:r>
          </w:p>
          <w:p w14:paraId="6DADFD20" w14:textId="77777777" w:rsidR="00441083" w:rsidRPr="00874A44" w:rsidRDefault="00E60D9C" w:rsidP="00DD3433">
            <w:pPr>
              <w:rPr>
                <w:lang w:val="fr-CA"/>
              </w:rPr>
            </w:pPr>
            <w:r w:rsidRPr="00874A44">
              <w:rPr>
                <w:lang w:val="fr-CA"/>
              </w:rPr>
              <w:t>G</w:t>
            </w:r>
            <w:r w:rsidR="00DD3433" w:rsidRPr="00874A44">
              <w:rPr>
                <w:lang w:val="fr-CA"/>
              </w:rPr>
              <w:t>É</w:t>
            </w:r>
            <w:r w:rsidRPr="00874A44">
              <w:rPr>
                <w:lang w:val="fr-CA"/>
              </w:rPr>
              <w:t>N</w:t>
            </w:r>
            <w:r w:rsidR="00DD3433" w:rsidRPr="00874A44">
              <w:rPr>
                <w:lang w:val="fr-CA"/>
              </w:rPr>
              <w:t>É</w:t>
            </w:r>
            <w:r w:rsidRPr="00874A44">
              <w:rPr>
                <w:lang w:val="fr-CA"/>
              </w:rPr>
              <w:t>RAL</w:t>
            </w:r>
            <w:r w:rsidR="00FF3CF1" w:rsidRPr="00874A44">
              <w:rPr>
                <w:lang w:val="fr-CA"/>
              </w:rPr>
              <w:t>E</w:t>
            </w:r>
          </w:p>
          <w:p w14:paraId="46D4B32E" w14:textId="77777777" w:rsidR="00441083" w:rsidRPr="00874A44" w:rsidRDefault="00441083">
            <w:pPr>
              <w:rPr>
                <w:lang w:val="fr-CA"/>
              </w:rPr>
            </w:pPr>
          </w:p>
          <w:p w14:paraId="68EABD9B" w14:textId="40A223C7" w:rsidR="00441083" w:rsidRPr="00874A44" w:rsidRDefault="00E60D9C">
            <w:pPr>
              <w:rPr>
                <w:lang w:val="fr-CA"/>
              </w:rPr>
            </w:pPr>
            <w:r w:rsidRPr="00874A44">
              <w:rPr>
                <w:lang w:val="fr-CA"/>
              </w:rPr>
              <w:fldChar w:fldCharType="begin"/>
            </w:r>
            <w:r w:rsidRPr="00874A44">
              <w:rPr>
                <w:lang w:val="fr-CA"/>
              </w:rPr>
              <w:instrText xml:space="preserve"> DOCPROPERTY "Document number"  \* MERGEFORMAT </w:instrText>
            </w:r>
            <w:r w:rsidRPr="00874A44">
              <w:rPr>
                <w:lang w:val="fr-CA"/>
              </w:rPr>
              <w:fldChar w:fldCharType="separate"/>
            </w:r>
            <w:r w:rsidR="00AB77C7">
              <w:rPr>
                <w:lang w:val="fr-CA"/>
              </w:rPr>
              <w:t>UNEP/</w:t>
            </w:r>
            <w:proofErr w:type="spellStart"/>
            <w:r w:rsidR="00AB77C7">
              <w:rPr>
                <w:lang w:val="fr-CA"/>
              </w:rPr>
              <w:t>OzL.Pro</w:t>
            </w:r>
            <w:proofErr w:type="spellEnd"/>
            <w:r w:rsidR="00AB77C7">
              <w:rPr>
                <w:lang w:val="fr-CA"/>
              </w:rPr>
              <w:t>/</w:t>
            </w:r>
            <w:proofErr w:type="spellStart"/>
            <w:r w:rsidR="00AB77C7">
              <w:rPr>
                <w:lang w:val="fr-CA"/>
              </w:rPr>
              <w:t>ExCom</w:t>
            </w:r>
            <w:proofErr w:type="spellEnd"/>
            <w:r w:rsidR="00AB77C7">
              <w:rPr>
                <w:lang w:val="fr-CA"/>
              </w:rPr>
              <w:t>/84/70</w:t>
            </w:r>
            <w:r w:rsidRPr="00874A44">
              <w:rPr>
                <w:lang w:val="fr-CA"/>
              </w:rPr>
              <w:fldChar w:fldCharType="end"/>
            </w:r>
          </w:p>
          <w:p w14:paraId="1078D19B" w14:textId="4513FDA2" w:rsidR="002F0B57" w:rsidRPr="00874A44" w:rsidRDefault="002F0B57" w:rsidP="000F6C8E">
            <w:pPr>
              <w:rPr>
                <w:lang w:val="fr-CA"/>
              </w:rPr>
            </w:pPr>
            <w:r w:rsidRPr="00874A44">
              <w:rPr>
                <w:lang w:val="fr-CA"/>
              </w:rPr>
              <w:fldChar w:fldCharType="begin"/>
            </w:r>
            <w:r w:rsidRPr="00874A44">
              <w:rPr>
                <w:lang w:val="fr-CA"/>
              </w:rPr>
              <w:instrText xml:space="preserve"> DOCPROPERTY "Revision date" \@ "d MMMM YYYY"  \* MERGEFORMAT </w:instrText>
            </w:r>
            <w:r w:rsidRPr="00874A44">
              <w:rPr>
                <w:lang w:val="fr-CA"/>
              </w:rPr>
              <w:fldChar w:fldCharType="separate"/>
            </w:r>
            <w:r w:rsidR="00AB77C7">
              <w:rPr>
                <w:lang w:val="fr-CA"/>
              </w:rPr>
              <w:t>29 novembre 2019</w:t>
            </w:r>
            <w:r w:rsidRPr="00874A44">
              <w:rPr>
                <w:lang w:val="fr-CA"/>
              </w:rPr>
              <w:fldChar w:fldCharType="end"/>
            </w:r>
          </w:p>
          <w:p w14:paraId="060DE92D" w14:textId="77777777" w:rsidR="00441083" w:rsidRPr="00874A44" w:rsidRDefault="00FC5578">
            <w:pPr>
              <w:rPr>
                <w:caps/>
                <w:lang w:val="fr-CA"/>
              </w:rPr>
            </w:pPr>
            <w:r w:rsidRPr="00874A44">
              <w:rPr>
                <w:caps/>
                <w:lang w:val="fr-CA"/>
              </w:rPr>
              <w:br/>
            </w:r>
            <w:r w:rsidR="00E60D9C" w:rsidRPr="00874A44">
              <w:rPr>
                <w:caps/>
                <w:lang w:val="fr-CA"/>
              </w:rPr>
              <w:t>FRANÇAIS</w:t>
            </w:r>
          </w:p>
          <w:p w14:paraId="5EB709DC" w14:textId="77777777" w:rsidR="00441083" w:rsidRPr="00874A44" w:rsidRDefault="00E60D9C">
            <w:pPr>
              <w:rPr>
                <w:lang w:val="fr-CA"/>
              </w:rPr>
            </w:pPr>
            <w:r w:rsidRPr="00874A44">
              <w:rPr>
                <w:lang w:val="fr-CA"/>
              </w:rPr>
              <w:t xml:space="preserve">ORIGINAL: </w:t>
            </w:r>
            <w:r w:rsidR="0091161A" w:rsidRPr="00874A44">
              <w:rPr>
                <w:lang w:val="fr-CA"/>
              </w:rPr>
              <w:t>ANGLAIS</w:t>
            </w:r>
          </w:p>
        </w:tc>
      </w:tr>
    </w:tbl>
    <w:p w14:paraId="32EC52A5" w14:textId="77777777" w:rsidR="00441083" w:rsidRPr="00874A44" w:rsidRDefault="00E60D9C" w:rsidP="00DD3433">
      <w:pPr>
        <w:jc w:val="left"/>
        <w:rPr>
          <w:lang w:val="fr-CA"/>
        </w:rPr>
      </w:pPr>
      <w:r w:rsidRPr="00874A44">
        <w:rPr>
          <w:lang w:val="fr-CA"/>
        </w:rPr>
        <w:t>COMIT</w:t>
      </w:r>
      <w:r w:rsidR="00DD3433" w:rsidRPr="00874A44">
        <w:rPr>
          <w:lang w:val="fr-CA"/>
        </w:rPr>
        <w:t>É</w:t>
      </w:r>
      <w:r w:rsidRPr="00874A44">
        <w:rPr>
          <w:lang w:val="fr-CA"/>
        </w:rPr>
        <w:t xml:space="preserve"> EX</w:t>
      </w:r>
      <w:r w:rsidR="00DD3433" w:rsidRPr="00874A44">
        <w:rPr>
          <w:lang w:val="fr-CA"/>
        </w:rPr>
        <w:t xml:space="preserve">ÉCUTIF </w:t>
      </w:r>
      <w:r w:rsidR="00DD3433" w:rsidRPr="00874A44">
        <w:rPr>
          <w:lang w:val="fr-CA"/>
        </w:rPr>
        <w:br/>
        <w:t xml:space="preserve">  DU FONDS MULTILATÉ</w:t>
      </w:r>
      <w:r w:rsidRPr="00874A44">
        <w:rPr>
          <w:lang w:val="fr-CA"/>
        </w:rPr>
        <w:t xml:space="preserve">RAL AUX FINS </w:t>
      </w:r>
      <w:r w:rsidRPr="00874A44">
        <w:rPr>
          <w:lang w:val="fr-CA"/>
        </w:rPr>
        <w:br/>
        <w:t xml:space="preserve">  D’APPLICATION DU PROTOCOLE DE MONTR</w:t>
      </w:r>
      <w:r w:rsidR="00DD3433" w:rsidRPr="00874A44">
        <w:rPr>
          <w:lang w:val="fr-CA"/>
        </w:rPr>
        <w:t>É</w:t>
      </w:r>
      <w:r w:rsidRPr="00874A44">
        <w:rPr>
          <w:lang w:val="fr-CA"/>
        </w:rPr>
        <w:t>AL</w:t>
      </w:r>
      <w:r w:rsidRPr="00874A44">
        <w:rPr>
          <w:lang w:val="fr-CA"/>
        </w:rPr>
        <w:br/>
      </w:r>
      <w:r w:rsidR="00E54871" w:rsidRPr="00874A44">
        <w:rPr>
          <w:lang w:val="fr-CA"/>
        </w:rPr>
        <w:t>Quatre</w:t>
      </w:r>
      <w:r w:rsidRPr="00874A44">
        <w:rPr>
          <w:lang w:val="fr-CA"/>
        </w:rPr>
        <w:t>-</w:t>
      </w:r>
      <w:r w:rsidR="00E54871" w:rsidRPr="00874A44">
        <w:rPr>
          <w:lang w:val="fr-CA"/>
        </w:rPr>
        <w:t>vingt</w:t>
      </w:r>
      <w:r w:rsidR="00AE63D8" w:rsidRPr="00874A44">
        <w:rPr>
          <w:lang w:val="fr-CA"/>
        </w:rPr>
        <w:t>-</w:t>
      </w:r>
      <w:r w:rsidR="00AC013C" w:rsidRPr="00874A44">
        <w:rPr>
          <w:lang w:val="fr-CA"/>
        </w:rPr>
        <w:t>quat</w:t>
      </w:r>
      <w:r w:rsidR="004C2C87" w:rsidRPr="00874A44">
        <w:rPr>
          <w:lang w:val="fr-CA"/>
        </w:rPr>
        <w:t>ri</w:t>
      </w:r>
      <w:r w:rsidR="00E54871" w:rsidRPr="00874A44">
        <w:rPr>
          <w:lang w:val="fr-CA"/>
        </w:rPr>
        <w:t>ème</w:t>
      </w:r>
      <w:r w:rsidR="00FC5578" w:rsidRPr="00874A44">
        <w:rPr>
          <w:lang w:val="fr-CA"/>
        </w:rPr>
        <w:t xml:space="preserve"> </w:t>
      </w:r>
      <w:r w:rsidRPr="00874A44">
        <w:rPr>
          <w:lang w:val="fr-CA"/>
        </w:rPr>
        <w:t>réunion</w:t>
      </w:r>
    </w:p>
    <w:p w14:paraId="2F2B4B20" w14:textId="77777777" w:rsidR="00441083" w:rsidRPr="00874A44" w:rsidRDefault="00E54871" w:rsidP="00AC013C">
      <w:pPr>
        <w:jc w:val="left"/>
        <w:rPr>
          <w:lang w:val="fr-CA"/>
        </w:rPr>
      </w:pPr>
      <w:r w:rsidRPr="00874A44">
        <w:rPr>
          <w:lang w:val="fr-CA"/>
        </w:rPr>
        <w:t>Montréal,</w:t>
      </w:r>
      <w:r w:rsidR="00FC5578" w:rsidRPr="00874A44">
        <w:rPr>
          <w:lang w:val="fr-CA"/>
        </w:rPr>
        <w:t xml:space="preserve"> </w:t>
      </w:r>
      <w:r w:rsidR="00AC013C" w:rsidRPr="00874A44">
        <w:rPr>
          <w:lang w:val="fr-CA"/>
        </w:rPr>
        <w:t xml:space="preserve">16 </w:t>
      </w:r>
      <w:r w:rsidR="00E60D9C" w:rsidRPr="00874A44">
        <w:rPr>
          <w:lang w:val="fr-CA"/>
        </w:rPr>
        <w:t xml:space="preserve">– </w:t>
      </w:r>
      <w:r w:rsidR="00AC013C" w:rsidRPr="00874A44">
        <w:rPr>
          <w:lang w:val="fr-CA"/>
        </w:rPr>
        <w:t>20 décembre</w:t>
      </w:r>
      <w:r w:rsidR="004C2C87" w:rsidRPr="00874A44">
        <w:rPr>
          <w:lang w:val="fr-CA"/>
        </w:rPr>
        <w:t xml:space="preserve"> 2019</w:t>
      </w:r>
    </w:p>
    <w:p w14:paraId="2AEDE1EB" w14:textId="77777777" w:rsidR="00441083" w:rsidRPr="00874A44" w:rsidRDefault="00441083">
      <w:pPr>
        <w:jc w:val="left"/>
        <w:rPr>
          <w:lang w:val="fr-CA"/>
        </w:rPr>
      </w:pPr>
    </w:p>
    <w:p w14:paraId="0300BF4E" w14:textId="77777777" w:rsidR="00441083" w:rsidRPr="00874A44" w:rsidRDefault="00441083">
      <w:pPr>
        <w:pStyle w:val="Heading3"/>
        <w:numPr>
          <w:ilvl w:val="0"/>
          <w:numId w:val="0"/>
        </w:numPr>
        <w:spacing w:after="0"/>
        <w:rPr>
          <w:lang w:val="fr-CA"/>
        </w:rPr>
      </w:pPr>
    </w:p>
    <w:p w14:paraId="79420308" w14:textId="77777777" w:rsidR="00441083" w:rsidRPr="00874A44" w:rsidRDefault="00441083">
      <w:pPr>
        <w:pStyle w:val="Title1"/>
        <w:rPr>
          <w:lang w:val="fr-CA"/>
        </w:rPr>
      </w:pPr>
    </w:p>
    <w:p w14:paraId="78223D83" w14:textId="77777777" w:rsidR="00874A44" w:rsidRPr="00874A44" w:rsidRDefault="00245EB5" w:rsidP="00DE09F4">
      <w:pPr>
        <w:jc w:val="center"/>
        <w:rPr>
          <w:b/>
          <w:bCs/>
          <w:lang w:val="fr-CA"/>
        </w:rPr>
      </w:pPr>
      <w:r w:rsidRPr="00874A44">
        <w:rPr>
          <w:b/>
          <w:bCs/>
          <w:lang w:val="fr-CA"/>
        </w:rPr>
        <w:t xml:space="preserve">PRINCIPAUX ASPECTS LIÉS AUX TECHNOLOGIES DE CONTRÔLE </w:t>
      </w:r>
    </w:p>
    <w:p w14:paraId="747B314E" w14:textId="50528343" w:rsidR="00441083" w:rsidRPr="00874A44" w:rsidRDefault="00245EB5">
      <w:pPr>
        <w:jc w:val="center"/>
        <w:rPr>
          <w:lang w:val="fr-CA"/>
        </w:rPr>
      </w:pPr>
      <w:r w:rsidRPr="00874A44">
        <w:rPr>
          <w:b/>
          <w:bCs/>
          <w:lang w:val="fr-CA"/>
        </w:rPr>
        <w:t xml:space="preserve">DU </w:t>
      </w:r>
      <w:r w:rsidR="008C65D6">
        <w:rPr>
          <w:b/>
          <w:bCs/>
          <w:lang w:val="fr-CA"/>
        </w:rPr>
        <w:t>SOUS-PRODUIT</w:t>
      </w:r>
      <w:r w:rsidRPr="00874A44">
        <w:rPr>
          <w:b/>
          <w:bCs/>
          <w:lang w:val="fr-CA"/>
        </w:rPr>
        <w:t xml:space="preserve"> HFC-23 (DÉCISION</w:t>
      </w:r>
      <w:r w:rsidR="00DE09F4" w:rsidRPr="00874A44">
        <w:rPr>
          <w:b/>
          <w:bCs/>
          <w:lang w:val="fr-CA"/>
        </w:rPr>
        <w:t>S</w:t>
      </w:r>
      <w:r w:rsidRPr="00874A44">
        <w:rPr>
          <w:b/>
          <w:bCs/>
          <w:lang w:val="fr-CA"/>
        </w:rPr>
        <w:t xml:space="preserve"> 8</w:t>
      </w:r>
      <w:r w:rsidR="00DE09F4" w:rsidRPr="00874A44">
        <w:rPr>
          <w:b/>
          <w:bCs/>
          <w:lang w:val="fr-CA"/>
        </w:rPr>
        <w:t>3</w:t>
      </w:r>
      <w:r w:rsidRPr="00874A44">
        <w:rPr>
          <w:b/>
          <w:bCs/>
          <w:lang w:val="fr-CA"/>
        </w:rPr>
        <w:t>/6</w:t>
      </w:r>
      <w:r w:rsidR="00DE09F4" w:rsidRPr="00874A44">
        <w:rPr>
          <w:b/>
          <w:bCs/>
          <w:lang w:val="fr-CA"/>
        </w:rPr>
        <w:t xml:space="preserve">6 ET </w:t>
      </w:r>
      <w:r w:rsidRPr="00874A44">
        <w:rPr>
          <w:b/>
          <w:bCs/>
          <w:lang w:val="fr-CA"/>
        </w:rPr>
        <w:t>8</w:t>
      </w:r>
      <w:r w:rsidR="00DE09F4" w:rsidRPr="00874A44">
        <w:rPr>
          <w:b/>
          <w:bCs/>
          <w:lang w:val="fr-CA"/>
        </w:rPr>
        <w:t>3/67</w:t>
      </w:r>
      <w:r w:rsidRPr="00874A44">
        <w:rPr>
          <w:b/>
          <w:bCs/>
          <w:lang w:val="fr-CA"/>
        </w:rPr>
        <w:t>)</w:t>
      </w:r>
    </w:p>
    <w:p w14:paraId="110221F5" w14:textId="77777777" w:rsidR="00DE09F4" w:rsidRPr="00874A44" w:rsidRDefault="00DE09F4" w:rsidP="00DE09F4">
      <w:pPr>
        <w:jc w:val="left"/>
        <w:rPr>
          <w:lang w:val="fr-CA"/>
        </w:rPr>
      </w:pPr>
    </w:p>
    <w:p w14:paraId="19DD642F" w14:textId="7017D67D" w:rsidR="00DE09F4" w:rsidRPr="00874A44" w:rsidRDefault="00874A44" w:rsidP="00DE09F4">
      <w:pPr>
        <w:rPr>
          <w:u w:val="single"/>
          <w:lang w:val="fr-CA"/>
        </w:rPr>
      </w:pPr>
      <w:r w:rsidRPr="00874A44">
        <w:rPr>
          <w:u w:val="single"/>
          <w:lang w:val="fr-CA"/>
        </w:rPr>
        <w:t>Historique</w:t>
      </w:r>
    </w:p>
    <w:p w14:paraId="5D59310B" w14:textId="77777777" w:rsidR="00DE09F4" w:rsidRPr="00874A44" w:rsidRDefault="00DE09F4" w:rsidP="00DE09F4">
      <w:pPr>
        <w:rPr>
          <w:lang w:val="fr-CA"/>
        </w:rPr>
      </w:pPr>
    </w:p>
    <w:p w14:paraId="41BB6842" w14:textId="701B39A6" w:rsidR="00DE09F4" w:rsidRPr="008C65D6" w:rsidRDefault="00874A44" w:rsidP="008C65D6">
      <w:pPr>
        <w:pStyle w:val="Heading1"/>
        <w:rPr>
          <w:lang w:val="fr-CA"/>
        </w:rPr>
      </w:pPr>
      <w:r w:rsidRPr="00874A44">
        <w:rPr>
          <w:lang w:val="fr-CA"/>
        </w:rPr>
        <w:t xml:space="preserve">À </w:t>
      </w:r>
      <w:r w:rsidR="008C65D6">
        <w:rPr>
          <w:lang w:val="fr-CA"/>
        </w:rPr>
        <w:t>s</w:t>
      </w:r>
      <w:r w:rsidRPr="00874A44">
        <w:rPr>
          <w:lang w:val="fr-CA"/>
        </w:rPr>
        <w:t xml:space="preserve">a </w:t>
      </w:r>
      <w:r w:rsidR="00DE09F4" w:rsidRPr="00874A44">
        <w:rPr>
          <w:lang w:val="fr-CA"/>
        </w:rPr>
        <w:t>83</w:t>
      </w:r>
      <w:r w:rsidR="008C65D6">
        <w:rPr>
          <w:vertAlign w:val="superscript"/>
          <w:lang w:val="fr-CA"/>
        </w:rPr>
        <w:t>e</w:t>
      </w:r>
      <w:r w:rsidR="00DE09F4" w:rsidRPr="00874A44">
        <w:rPr>
          <w:lang w:val="fr-CA"/>
        </w:rPr>
        <w:t> </w:t>
      </w:r>
      <w:r w:rsidRPr="00874A44">
        <w:rPr>
          <w:lang w:val="fr-CA"/>
        </w:rPr>
        <w:t>réunion</w:t>
      </w:r>
      <w:r w:rsidR="00DE09F4" w:rsidRPr="00874A44">
        <w:rPr>
          <w:lang w:val="fr-CA"/>
        </w:rPr>
        <w:t xml:space="preserve">, </w:t>
      </w:r>
      <w:r w:rsidR="008C65D6">
        <w:rPr>
          <w:lang w:val="fr-CA"/>
        </w:rPr>
        <w:t>l</w:t>
      </w:r>
      <w:r w:rsidR="00DE09F4" w:rsidRPr="00874A44">
        <w:rPr>
          <w:lang w:val="fr-CA"/>
        </w:rPr>
        <w:t xml:space="preserve">e </w:t>
      </w:r>
      <w:r w:rsidRPr="00874A44">
        <w:rPr>
          <w:lang w:val="fr-CA"/>
        </w:rPr>
        <w:t>Comité exécutif</w:t>
      </w:r>
      <w:r w:rsidR="00DE09F4" w:rsidRPr="00874A44">
        <w:rPr>
          <w:lang w:val="fr-CA"/>
        </w:rPr>
        <w:t xml:space="preserve"> </w:t>
      </w:r>
      <w:r w:rsidR="008C65D6">
        <w:rPr>
          <w:lang w:val="fr-CA"/>
        </w:rPr>
        <w:t>s’est penché sur le</w:t>
      </w:r>
      <w:r w:rsidR="00DE09F4" w:rsidRPr="00874A44">
        <w:rPr>
          <w:lang w:val="fr-CA"/>
        </w:rPr>
        <w:t xml:space="preserve"> document </w:t>
      </w:r>
      <w:r w:rsidR="008C65D6">
        <w:rPr>
          <w:lang w:val="fr-CA"/>
        </w:rPr>
        <w:t>relatif aux aspects principaux des technologies de contrôle du sous-produit</w:t>
      </w:r>
      <w:r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>,</w:t>
      </w:r>
      <w:r w:rsidR="00DE09F4" w:rsidRPr="00874A44">
        <w:rPr>
          <w:rStyle w:val="FootnoteReference"/>
          <w:lang w:val="fr-CA"/>
        </w:rPr>
        <w:footnoteReference w:id="1"/>
      </w:r>
      <w:r w:rsidR="00DE09F4" w:rsidRPr="00874A44">
        <w:rPr>
          <w:lang w:val="fr-CA"/>
        </w:rPr>
        <w:t xml:space="preserve"> </w:t>
      </w:r>
      <w:r w:rsidR="008C65D6">
        <w:rPr>
          <w:lang w:val="fr-CA"/>
        </w:rPr>
        <w:t>et composé de deux parties : la première partie cont</w:t>
      </w:r>
      <w:r w:rsidR="001050E3">
        <w:rPr>
          <w:lang w:val="fr-CA"/>
        </w:rPr>
        <w:t>ien</w:t>
      </w:r>
      <w:r w:rsidR="008C65D6">
        <w:rPr>
          <w:lang w:val="fr-CA"/>
        </w:rPr>
        <w:t>t des détails sur la proposition de contrôler les émissions du sous-produit</w:t>
      </w:r>
      <w:r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 w:rsidR="008C65D6">
        <w:rPr>
          <w:lang w:val="fr-CA"/>
        </w:rPr>
        <w:t xml:space="preserve">à l’usine </w:t>
      </w:r>
      <w:r w:rsidR="00DE09F4" w:rsidRPr="00874A44">
        <w:rPr>
          <w:lang w:val="fr-CA"/>
        </w:rPr>
        <w:t xml:space="preserve">Frio </w:t>
      </w:r>
      <w:proofErr w:type="spellStart"/>
      <w:r w:rsidR="00DE09F4" w:rsidRPr="00874A44">
        <w:rPr>
          <w:lang w:val="fr-CA"/>
        </w:rPr>
        <w:t>Industrias</w:t>
      </w:r>
      <w:proofErr w:type="spellEnd"/>
      <w:r w:rsidR="00DE09F4" w:rsidRPr="00874A44">
        <w:rPr>
          <w:lang w:val="fr-CA"/>
        </w:rPr>
        <w:t xml:space="preserve"> </w:t>
      </w:r>
      <w:proofErr w:type="spellStart"/>
      <w:r w:rsidRPr="00874A44">
        <w:rPr>
          <w:lang w:val="fr-CA"/>
        </w:rPr>
        <w:t>Argentin</w:t>
      </w:r>
      <w:r w:rsidR="008C65D6">
        <w:rPr>
          <w:lang w:val="fr-CA"/>
        </w:rPr>
        <w:t>a</w:t>
      </w:r>
      <w:r w:rsidR="00DE09F4" w:rsidRPr="00874A44">
        <w:rPr>
          <w:lang w:val="fr-CA"/>
        </w:rPr>
        <w:t>s</w:t>
      </w:r>
      <w:proofErr w:type="spellEnd"/>
      <w:r w:rsidR="00DE09F4" w:rsidRPr="00874A44">
        <w:rPr>
          <w:lang w:val="fr-CA"/>
        </w:rPr>
        <w:t xml:space="preserve"> (FIASA), </w:t>
      </w:r>
      <w:r w:rsidR="008C65D6">
        <w:rPr>
          <w:lang w:val="fr-CA"/>
        </w:rPr>
        <w:t xml:space="preserve">ainsi qu’un résumé de la vérification technique indépendante réalisée par un </w:t>
      </w:r>
      <w:r w:rsidR="00DE09F4" w:rsidRPr="00874A44">
        <w:rPr>
          <w:lang w:val="fr-CA"/>
        </w:rPr>
        <w:t>consultant,</w:t>
      </w:r>
      <w:r w:rsidR="008C65D6">
        <w:rPr>
          <w:lang w:val="fr-CA"/>
        </w:rPr>
        <w:t xml:space="preserve"> et les observations du </w:t>
      </w:r>
      <w:r w:rsidRPr="00874A44">
        <w:rPr>
          <w:lang w:val="fr-CA"/>
        </w:rPr>
        <w:t>Secrétariat</w:t>
      </w:r>
      <w:r w:rsidR="00DE09F4" w:rsidRPr="00874A44">
        <w:rPr>
          <w:lang w:val="fr-CA"/>
        </w:rPr>
        <w:t xml:space="preserve">; </w:t>
      </w:r>
      <w:r w:rsidR="008C65D6">
        <w:rPr>
          <w:lang w:val="fr-CA"/>
        </w:rPr>
        <w:t>la</w:t>
      </w:r>
      <w:r w:rsidR="00DE09F4" w:rsidRPr="00874A44">
        <w:rPr>
          <w:lang w:val="fr-CA"/>
        </w:rPr>
        <w:t xml:space="preserve"> </w:t>
      </w:r>
      <w:r w:rsidR="008C65D6">
        <w:rPr>
          <w:lang w:val="fr-CA"/>
        </w:rPr>
        <w:t xml:space="preserve">seconde </w:t>
      </w:r>
      <w:r w:rsidR="00DE09F4" w:rsidRPr="00874A44">
        <w:rPr>
          <w:lang w:val="fr-CA"/>
        </w:rPr>
        <w:t>part</w:t>
      </w:r>
      <w:r w:rsidR="008C65D6">
        <w:rPr>
          <w:lang w:val="fr-CA"/>
        </w:rPr>
        <w:t>ie</w:t>
      </w:r>
      <w:r w:rsidR="00DE09F4" w:rsidRPr="00874A44">
        <w:rPr>
          <w:lang w:val="fr-CA"/>
        </w:rPr>
        <w:t xml:space="preserve"> </w:t>
      </w:r>
      <w:r w:rsidR="001050E3">
        <w:rPr>
          <w:lang w:val="fr-CA"/>
        </w:rPr>
        <w:t>énumère</w:t>
      </w:r>
      <w:r w:rsidR="008C65D6">
        <w:rPr>
          <w:lang w:val="fr-CA"/>
        </w:rPr>
        <w:t xml:space="preserve"> les problèmes de politique liés aux mesures de contrôle des émissions du s</w:t>
      </w:r>
      <w:r w:rsidR="008C65D6" w:rsidRPr="008C65D6">
        <w:rPr>
          <w:lang w:val="fr-CA"/>
        </w:rPr>
        <w:t>ous-produit</w:t>
      </w:r>
      <w:r w:rsidRPr="008C65D6">
        <w:rPr>
          <w:lang w:val="fr-CA"/>
        </w:rPr>
        <w:t xml:space="preserve"> HFC-23</w:t>
      </w:r>
      <w:r w:rsidR="00DE09F4" w:rsidRPr="008C65D6">
        <w:rPr>
          <w:lang w:val="fr-CA"/>
        </w:rPr>
        <w:t xml:space="preserve"> </w:t>
      </w:r>
      <w:r w:rsidR="008C65D6">
        <w:rPr>
          <w:lang w:val="fr-CA"/>
        </w:rPr>
        <w:t>dans les p</w:t>
      </w:r>
      <w:r w:rsidRPr="008C65D6">
        <w:rPr>
          <w:lang w:val="fr-CA"/>
        </w:rPr>
        <w:t>arties visées à l’article 5</w:t>
      </w:r>
      <w:r w:rsidR="008C65D6">
        <w:rPr>
          <w:lang w:val="fr-CA"/>
        </w:rPr>
        <w:t xml:space="preserve">, pour lesquels le </w:t>
      </w:r>
      <w:r w:rsidRPr="008C65D6">
        <w:rPr>
          <w:lang w:val="fr-CA"/>
        </w:rPr>
        <w:t>Secrétariat</w:t>
      </w:r>
      <w:r w:rsidR="00DE09F4" w:rsidRPr="008C65D6">
        <w:rPr>
          <w:lang w:val="fr-CA"/>
        </w:rPr>
        <w:t xml:space="preserve"> </w:t>
      </w:r>
      <w:r w:rsidR="008C65D6">
        <w:rPr>
          <w:lang w:val="fr-CA"/>
        </w:rPr>
        <w:t xml:space="preserve">demandait des directives du </w:t>
      </w:r>
      <w:r w:rsidRPr="008C65D6">
        <w:rPr>
          <w:lang w:val="fr-CA"/>
        </w:rPr>
        <w:t>Comité exécutif</w:t>
      </w:r>
      <w:r w:rsidR="00DE09F4" w:rsidRPr="008C65D6">
        <w:rPr>
          <w:lang w:val="fr-CA"/>
        </w:rPr>
        <w:t xml:space="preserve">. </w:t>
      </w:r>
    </w:p>
    <w:p w14:paraId="4D9B9015" w14:textId="630C3A26" w:rsidR="00DE09F4" w:rsidRPr="00874A44" w:rsidRDefault="00762754" w:rsidP="00DE09F4">
      <w:pPr>
        <w:pStyle w:val="Heading1"/>
        <w:rPr>
          <w:lang w:val="fr-CA"/>
        </w:rPr>
      </w:pPr>
      <w:r>
        <w:rPr>
          <w:lang w:val="fr-CA"/>
        </w:rPr>
        <w:t>Concernant les options de contrôle et d’élimination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à</w:t>
      </w:r>
      <w:r w:rsidR="00DE09F4" w:rsidRPr="00874A44">
        <w:rPr>
          <w:lang w:val="fr-CA"/>
        </w:rPr>
        <w:t xml:space="preserve"> FIASA, </w:t>
      </w:r>
      <w:r w:rsidR="001050E3">
        <w:rPr>
          <w:lang w:val="fr-CA"/>
        </w:rPr>
        <w:t>l’opinion commune était que l’</w:t>
      </w:r>
      <w:r w:rsidR="00855B49">
        <w:rPr>
          <w:lang w:val="fr-CA"/>
        </w:rPr>
        <w:t>analyse</w:t>
      </w:r>
      <w:r w:rsidR="001050E3">
        <w:rPr>
          <w:lang w:val="fr-CA"/>
        </w:rPr>
        <w:t xml:space="preserve"> détaillée </w:t>
      </w:r>
      <w:r w:rsidR="00855B49">
        <w:rPr>
          <w:lang w:val="fr-CA"/>
        </w:rPr>
        <w:t xml:space="preserve">du projet était d’une grande utilité pour l’évaluation de projets similaires futurs, et a contribué à l’examen des problèmes de politique indiqués dans la deuxième partie du </w:t>
      </w:r>
      <w:r w:rsidR="00DE09F4" w:rsidRPr="00874A44">
        <w:rPr>
          <w:lang w:val="fr-CA"/>
        </w:rPr>
        <w:t>document.</w:t>
      </w:r>
    </w:p>
    <w:p w14:paraId="63F342E1" w14:textId="68409814" w:rsidR="00DE09F4" w:rsidRPr="006B1B6A" w:rsidRDefault="00855B49" w:rsidP="006B1B6A">
      <w:pPr>
        <w:pStyle w:val="Heading1"/>
        <w:rPr>
          <w:lang w:val="fr-CA"/>
        </w:rPr>
      </w:pPr>
      <w:r>
        <w:rPr>
          <w:lang w:val="fr-CA"/>
        </w:rPr>
        <w:t xml:space="preserve">Les sujets ci-après ont été identifiés comme appelant un complément d’examen : influence des politiques et des règlements du gouvernement sur la disponibilité </w:t>
      </w:r>
      <w:r w:rsidR="009942F9">
        <w:rPr>
          <w:lang w:val="fr-CA"/>
        </w:rPr>
        <w:t>d’options efficaces par rapport au coût et incidence de l’historique de l’usine de production de réserve, notamment le projet de Mécanisme pour un développement propre (MDP)</w:t>
      </w:r>
      <w:r w:rsidR="00DE09F4" w:rsidRPr="00855B49">
        <w:rPr>
          <w:lang w:val="fr-CA"/>
        </w:rPr>
        <w:t xml:space="preserve"> </w:t>
      </w:r>
      <w:r w:rsidR="009942F9">
        <w:rPr>
          <w:lang w:val="fr-CA"/>
        </w:rPr>
        <w:t>destiné à contrôler les émissions du s</w:t>
      </w:r>
      <w:r w:rsidR="008C65D6" w:rsidRPr="00855B49">
        <w:rPr>
          <w:lang w:val="fr-CA"/>
        </w:rPr>
        <w:t>ous-produit</w:t>
      </w:r>
      <w:r w:rsidR="00874A44" w:rsidRPr="00855B49">
        <w:rPr>
          <w:lang w:val="fr-CA"/>
        </w:rPr>
        <w:t xml:space="preserve"> HFC-23</w:t>
      </w:r>
      <w:r w:rsidR="009942F9">
        <w:rPr>
          <w:lang w:val="fr-CA"/>
        </w:rPr>
        <w:t xml:space="preserve"> qui a été mis en application à </w:t>
      </w:r>
      <w:r w:rsidR="00DE09F4" w:rsidRPr="00855B49">
        <w:rPr>
          <w:lang w:val="fr-CA"/>
        </w:rPr>
        <w:t>FIASA dur</w:t>
      </w:r>
      <w:r w:rsidR="009942F9">
        <w:rPr>
          <w:lang w:val="fr-CA"/>
        </w:rPr>
        <w:t xml:space="preserve">ant la période </w:t>
      </w:r>
      <w:r w:rsidR="00DE09F4" w:rsidRPr="00855B49">
        <w:rPr>
          <w:lang w:val="fr-CA"/>
        </w:rPr>
        <w:t xml:space="preserve">2007–2013. </w:t>
      </w:r>
      <w:r w:rsidR="009942F9">
        <w:rPr>
          <w:lang w:val="fr-CA"/>
        </w:rPr>
        <w:t xml:space="preserve">Un membre a indiqué que, </w:t>
      </w:r>
      <w:r w:rsidR="006B1B6A">
        <w:rPr>
          <w:lang w:val="fr-CA"/>
        </w:rPr>
        <w:t xml:space="preserve">même </w:t>
      </w:r>
      <w:r w:rsidR="009942F9">
        <w:rPr>
          <w:lang w:val="fr-CA"/>
        </w:rPr>
        <w:t xml:space="preserve">si sa délégation était prête à </w:t>
      </w:r>
      <w:r w:rsidR="006B1B6A">
        <w:rPr>
          <w:lang w:val="fr-CA"/>
        </w:rPr>
        <w:t>envisag</w:t>
      </w:r>
      <w:r w:rsidR="009942F9">
        <w:rPr>
          <w:lang w:val="fr-CA"/>
        </w:rPr>
        <w:t>er les diverses options dont le g</w:t>
      </w:r>
      <w:r w:rsidR="00874A44" w:rsidRPr="00855B49">
        <w:rPr>
          <w:lang w:val="fr-CA"/>
        </w:rPr>
        <w:t>ouvernement</w:t>
      </w:r>
      <w:r w:rsidR="00DE09F4" w:rsidRPr="00855B49">
        <w:rPr>
          <w:lang w:val="fr-CA"/>
        </w:rPr>
        <w:t xml:space="preserve"> </w:t>
      </w:r>
      <w:r w:rsidR="009942F9">
        <w:rPr>
          <w:lang w:val="fr-CA"/>
        </w:rPr>
        <w:t>de l’A</w:t>
      </w:r>
      <w:r w:rsidR="00874A44" w:rsidRPr="00855B49">
        <w:rPr>
          <w:lang w:val="fr-CA"/>
        </w:rPr>
        <w:t>rgentine</w:t>
      </w:r>
      <w:r w:rsidR="00DE09F4" w:rsidRPr="00855B49">
        <w:rPr>
          <w:lang w:val="fr-CA"/>
        </w:rPr>
        <w:t xml:space="preserve"> </w:t>
      </w:r>
      <w:r w:rsidR="009942F9">
        <w:rPr>
          <w:lang w:val="fr-CA"/>
        </w:rPr>
        <w:t xml:space="preserve">disposait pour </w:t>
      </w:r>
      <w:r w:rsidR="006B1B6A">
        <w:rPr>
          <w:lang w:val="fr-CA"/>
        </w:rPr>
        <w:t>réduire</w:t>
      </w:r>
      <w:r w:rsidR="009942F9">
        <w:rPr>
          <w:lang w:val="fr-CA"/>
        </w:rPr>
        <w:t xml:space="preserve"> les émissions du s</w:t>
      </w:r>
      <w:r w:rsidR="008C65D6" w:rsidRPr="00855B49">
        <w:rPr>
          <w:lang w:val="fr-CA"/>
        </w:rPr>
        <w:t>ous-produit</w:t>
      </w:r>
      <w:r w:rsidR="00874A44" w:rsidRPr="00855B49">
        <w:rPr>
          <w:lang w:val="fr-CA"/>
        </w:rPr>
        <w:t xml:space="preserve"> HFC-23</w:t>
      </w:r>
      <w:r w:rsidR="009942F9">
        <w:rPr>
          <w:lang w:val="fr-CA"/>
        </w:rPr>
        <w:t xml:space="preserve">, la priorité devrait être accordée au principe </w:t>
      </w:r>
      <w:r w:rsidR="006B1B6A">
        <w:rPr>
          <w:lang w:val="fr-CA"/>
        </w:rPr>
        <w:t>de rentabilité économique</w:t>
      </w:r>
      <w:r w:rsidR="00DE09F4" w:rsidRPr="00855B49">
        <w:rPr>
          <w:lang w:val="fr-CA"/>
        </w:rPr>
        <w:t xml:space="preserve">. </w:t>
      </w:r>
      <w:r w:rsidR="006B1B6A">
        <w:rPr>
          <w:lang w:val="fr-CA"/>
        </w:rPr>
        <w:t>Des q</w:t>
      </w:r>
      <w:r w:rsidR="00DE09F4" w:rsidRPr="00855B49">
        <w:rPr>
          <w:lang w:val="fr-CA"/>
        </w:rPr>
        <w:t xml:space="preserve">uestions </w:t>
      </w:r>
      <w:r w:rsidR="006B1B6A">
        <w:rPr>
          <w:lang w:val="fr-CA"/>
        </w:rPr>
        <w:t xml:space="preserve">ont été soulevées sur les sujets suivants : prix estimatif du marché du </w:t>
      </w:r>
      <w:r w:rsidR="00DE09F4" w:rsidRPr="00855B49">
        <w:rPr>
          <w:lang w:val="fr-CA"/>
        </w:rPr>
        <w:t xml:space="preserve">HCFC-22 </w:t>
      </w:r>
      <w:r w:rsidR="006B1B6A">
        <w:rPr>
          <w:lang w:val="fr-CA"/>
        </w:rPr>
        <w:t>et coût des matières premières</w:t>
      </w:r>
      <w:r w:rsidR="00DE09F4" w:rsidRPr="00855B49">
        <w:rPr>
          <w:lang w:val="fr-CA"/>
        </w:rPr>
        <w:t>; m</w:t>
      </w:r>
      <w:r w:rsidR="006B1B6A">
        <w:rPr>
          <w:lang w:val="fr-CA"/>
        </w:rPr>
        <w:t>é</w:t>
      </w:r>
      <w:r w:rsidR="00DE09F4" w:rsidRPr="00855B49">
        <w:rPr>
          <w:lang w:val="fr-CA"/>
        </w:rPr>
        <w:t>thod</w:t>
      </w:r>
      <w:r w:rsidR="006B1B6A">
        <w:rPr>
          <w:lang w:val="fr-CA"/>
        </w:rPr>
        <w:t>e</w:t>
      </w:r>
      <w:r w:rsidR="00DE09F4" w:rsidRPr="00855B49">
        <w:rPr>
          <w:lang w:val="fr-CA"/>
        </w:rPr>
        <w:t xml:space="preserve">s </w:t>
      </w:r>
      <w:r w:rsidR="006B1B6A">
        <w:rPr>
          <w:lang w:val="fr-CA"/>
        </w:rPr>
        <w:t xml:space="preserve">suivies pour déterminer la durée de vie restante de l’usine et date à laquelle </w:t>
      </w:r>
      <w:r w:rsidR="006B1B6A">
        <w:rPr>
          <w:lang w:val="fr-CA"/>
        </w:rPr>
        <w:lastRenderedPageBreak/>
        <w:t>elle ne sera plus financièrement viable</w:t>
      </w:r>
      <w:r w:rsidR="00DE09F4" w:rsidRPr="006B1B6A">
        <w:rPr>
          <w:lang w:val="fr-CA"/>
        </w:rPr>
        <w:t xml:space="preserve">; </w:t>
      </w:r>
      <w:r w:rsidR="006B1B6A" w:rsidRPr="006B1B6A">
        <w:rPr>
          <w:lang w:val="fr-CA"/>
        </w:rPr>
        <w:t>détermination</w:t>
      </w:r>
      <w:r w:rsidR="00DE09F4" w:rsidRPr="006B1B6A">
        <w:rPr>
          <w:lang w:val="fr-CA"/>
        </w:rPr>
        <w:t xml:space="preserve"> </w:t>
      </w:r>
      <w:r w:rsidR="006B1B6A">
        <w:rPr>
          <w:lang w:val="fr-CA"/>
        </w:rPr>
        <w:t xml:space="preserve">des coûts différentiels </w:t>
      </w:r>
      <w:r w:rsidR="00CF7C4E">
        <w:rPr>
          <w:lang w:val="fr-CA"/>
        </w:rPr>
        <w:t>d’exploitation (CDE) admissibles du projet</w:t>
      </w:r>
      <w:r w:rsidR="00DE09F4" w:rsidRPr="006B1B6A">
        <w:rPr>
          <w:lang w:val="fr-CA"/>
        </w:rPr>
        <w:t xml:space="preserve">. </w:t>
      </w:r>
    </w:p>
    <w:p w14:paraId="065995FF" w14:textId="27234214" w:rsidR="00DE09F4" w:rsidRPr="00874A44" w:rsidRDefault="00CF7C4E" w:rsidP="00DE09F4">
      <w:pPr>
        <w:pStyle w:val="Heading1"/>
        <w:rPr>
          <w:lang w:val="fr-CA"/>
        </w:rPr>
      </w:pPr>
      <w:r>
        <w:rPr>
          <w:lang w:val="fr-CA"/>
        </w:rPr>
        <w:t xml:space="preserve">À l’issue du débat, le </w:t>
      </w:r>
      <w:r w:rsidR="00874A44" w:rsidRPr="00874A44">
        <w:rPr>
          <w:lang w:val="fr-CA"/>
        </w:rPr>
        <w:t>Comité exécutif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est convenu d’établir un groupe de contact chargé d’étudier la proposition de projet sur les options de contrôle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e</w:t>
      </w:r>
      <w:r w:rsidR="00DE09F4" w:rsidRPr="00874A44">
        <w:rPr>
          <w:lang w:val="fr-CA"/>
        </w:rPr>
        <w:t xml:space="preserve">n </w:t>
      </w:r>
      <w:r w:rsidR="00874A44" w:rsidRPr="00874A44">
        <w:rPr>
          <w:lang w:val="fr-CA"/>
        </w:rPr>
        <w:t>Argentine</w:t>
      </w:r>
      <w:r w:rsidR="00DE09F4" w:rsidRPr="00874A44">
        <w:rPr>
          <w:lang w:val="fr-CA"/>
        </w:rPr>
        <w:t xml:space="preserve">, </w:t>
      </w:r>
      <w:r>
        <w:rPr>
          <w:lang w:val="fr-CA"/>
        </w:rPr>
        <w:t>les problèmes de politique identifiés par le</w:t>
      </w:r>
      <w:r w:rsidR="00DE09F4" w:rsidRPr="00874A44">
        <w:rPr>
          <w:lang w:val="fr-CA"/>
        </w:rPr>
        <w:t xml:space="preserve"> </w:t>
      </w:r>
      <w:r w:rsidR="00874A44" w:rsidRPr="00874A44">
        <w:rPr>
          <w:lang w:val="fr-CA"/>
        </w:rPr>
        <w:t>Secrétariat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et la demande de préparation de projet pour le contrôle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dans le secteur de la production de </w:t>
      </w:r>
      <w:r w:rsidR="00DE09F4" w:rsidRPr="00874A44">
        <w:rPr>
          <w:lang w:val="fr-CA"/>
        </w:rPr>
        <w:t xml:space="preserve">HCFC </w:t>
      </w:r>
      <w:r>
        <w:rPr>
          <w:lang w:val="fr-CA"/>
        </w:rPr>
        <w:t xml:space="preserve">au </w:t>
      </w:r>
      <w:r w:rsidR="00874A44" w:rsidRPr="00874A44">
        <w:rPr>
          <w:lang w:val="fr-CA"/>
        </w:rPr>
        <w:t>Mexique</w:t>
      </w:r>
      <w:r w:rsidR="00DE09F4" w:rsidRPr="00874A44">
        <w:rPr>
          <w:lang w:val="fr-CA"/>
        </w:rPr>
        <w:t>.</w:t>
      </w:r>
    </w:p>
    <w:p w14:paraId="306421AD" w14:textId="58A6134A" w:rsidR="00DE09F4" w:rsidRPr="00874A44" w:rsidRDefault="009A32F3" w:rsidP="00DE09F4">
      <w:pPr>
        <w:pStyle w:val="Heading1"/>
        <w:rPr>
          <w:lang w:val="fr-CA"/>
        </w:rPr>
      </w:pPr>
      <w:r>
        <w:rPr>
          <w:lang w:val="fr-CA"/>
        </w:rPr>
        <w:t xml:space="preserve">Le coordonnateur du groupe de contact a indiqué </w:t>
      </w:r>
      <w:r w:rsidR="00EE7687">
        <w:rPr>
          <w:lang w:val="fr-CA"/>
        </w:rPr>
        <w:t xml:space="preserve">par la suite </w:t>
      </w:r>
      <w:r>
        <w:rPr>
          <w:lang w:val="fr-CA"/>
        </w:rPr>
        <w:t xml:space="preserve">que le groupe était arrivé à s’entendre sur la demande de préparation du projet du </w:t>
      </w:r>
      <w:r w:rsidR="00874A44" w:rsidRPr="00874A44">
        <w:rPr>
          <w:lang w:val="fr-CA"/>
        </w:rPr>
        <w:t>Mexique</w:t>
      </w:r>
      <w:r w:rsidR="00DE09F4" w:rsidRPr="00874A44">
        <w:rPr>
          <w:lang w:val="fr-CA"/>
        </w:rPr>
        <w:t xml:space="preserve">, </w:t>
      </w:r>
      <w:r>
        <w:rPr>
          <w:lang w:val="fr-CA"/>
        </w:rPr>
        <w:t>mais qu’il n’avait pas pu conclure ses délibérations sur la proposition de contrôle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e</w:t>
      </w:r>
      <w:r w:rsidR="00DE09F4" w:rsidRPr="00874A44">
        <w:rPr>
          <w:lang w:val="fr-CA"/>
        </w:rPr>
        <w:t xml:space="preserve">n </w:t>
      </w:r>
      <w:r w:rsidR="00874A44" w:rsidRPr="00874A44">
        <w:rPr>
          <w:lang w:val="fr-CA"/>
        </w:rPr>
        <w:t>Argentine</w:t>
      </w:r>
      <w:r w:rsidR="00DE09F4" w:rsidRPr="00874A44">
        <w:rPr>
          <w:lang w:val="fr-CA"/>
        </w:rPr>
        <w:t xml:space="preserve">. </w:t>
      </w:r>
      <w:r w:rsidR="00EE7687">
        <w:rPr>
          <w:lang w:val="fr-CA"/>
        </w:rPr>
        <w:t>L</w:t>
      </w:r>
      <w:r>
        <w:rPr>
          <w:lang w:val="fr-CA"/>
        </w:rPr>
        <w:t xml:space="preserve">e </w:t>
      </w:r>
      <w:r w:rsidR="00874A44" w:rsidRPr="00874A44">
        <w:rPr>
          <w:lang w:val="fr-CA"/>
        </w:rPr>
        <w:t>Comité exécutif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a </w:t>
      </w:r>
      <w:r w:rsidR="00EE7687">
        <w:rPr>
          <w:lang w:val="fr-CA"/>
        </w:rPr>
        <w:t xml:space="preserve">donc </w:t>
      </w:r>
      <w:r>
        <w:rPr>
          <w:lang w:val="fr-CA"/>
        </w:rPr>
        <w:t xml:space="preserve">approuvé la demande de préparation de projet du </w:t>
      </w:r>
      <w:r w:rsidR="00874A44" w:rsidRPr="00874A44">
        <w:rPr>
          <w:lang w:val="fr-CA"/>
        </w:rPr>
        <w:t>Mexique</w:t>
      </w:r>
      <w:r w:rsidR="00DE09F4" w:rsidRPr="00874A44">
        <w:rPr>
          <w:lang w:val="fr-CA"/>
        </w:rPr>
        <w:t xml:space="preserve"> (</w:t>
      </w:r>
      <w:r w:rsidR="00874A44" w:rsidRPr="00874A44">
        <w:rPr>
          <w:lang w:val="fr-CA"/>
        </w:rPr>
        <w:t>décision</w:t>
      </w:r>
      <w:r w:rsidR="00DE09F4" w:rsidRPr="00874A44">
        <w:rPr>
          <w:lang w:val="fr-CA"/>
        </w:rPr>
        <w:t xml:space="preserve"> 83/67) </w:t>
      </w:r>
      <w:r>
        <w:rPr>
          <w:lang w:val="fr-CA"/>
        </w:rPr>
        <w:t xml:space="preserve">et a reporté à la </w:t>
      </w:r>
      <w:r w:rsidR="00DE09F4" w:rsidRPr="00874A44">
        <w:rPr>
          <w:lang w:val="fr-CA"/>
        </w:rPr>
        <w:t>84</w:t>
      </w:r>
      <w:r>
        <w:rPr>
          <w:vertAlign w:val="superscript"/>
          <w:lang w:val="fr-CA"/>
        </w:rPr>
        <w:t>e</w:t>
      </w:r>
      <w:r w:rsidR="00DE09F4" w:rsidRPr="00874A44">
        <w:rPr>
          <w:vertAlign w:val="superscript"/>
          <w:lang w:val="fr-CA"/>
        </w:rPr>
        <w:t> </w:t>
      </w:r>
      <w:r w:rsidR="00874A44" w:rsidRPr="00874A44">
        <w:rPr>
          <w:lang w:val="fr-CA"/>
        </w:rPr>
        <w:t>réunion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la poursuite de l’examen de la proposition de projet de contrôle des émissions </w:t>
      </w:r>
      <w:r w:rsidR="00EE7687">
        <w:rPr>
          <w:lang w:val="fr-CA"/>
        </w:rPr>
        <w:t>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 w:rsidR="00EE7687">
        <w:rPr>
          <w:lang w:val="fr-CA"/>
        </w:rPr>
        <w:t>e</w:t>
      </w:r>
      <w:r w:rsidR="00DE09F4" w:rsidRPr="00874A44">
        <w:rPr>
          <w:lang w:val="fr-CA"/>
        </w:rPr>
        <w:t xml:space="preserve">n </w:t>
      </w:r>
      <w:r w:rsidR="00874A44" w:rsidRPr="00874A44">
        <w:rPr>
          <w:lang w:val="fr-CA"/>
        </w:rPr>
        <w:t>Argentine</w:t>
      </w:r>
      <w:r w:rsidR="00DE09F4" w:rsidRPr="00874A44">
        <w:rPr>
          <w:lang w:val="fr-CA"/>
        </w:rPr>
        <w:t xml:space="preserve"> </w:t>
      </w:r>
      <w:r w:rsidR="00EE7687">
        <w:rPr>
          <w:lang w:val="fr-CA"/>
        </w:rPr>
        <w:t xml:space="preserve">et des </w:t>
      </w:r>
      <w:r w:rsidR="00EE7687" w:rsidRPr="00EE7687">
        <w:rPr>
          <w:lang w:val="fr-CA"/>
        </w:rPr>
        <w:t>questions d’orientation connexes soulevées par le Secrétariat</w:t>
      </w:r>
      <w:r w:rsidR="00DE09F4" w:rsidRPr="00874A44">
        <w:rPr>
          <w:lang w:val="fr-CA"/>
        </w:rPr>
        <w:t xml:space="preserve"> (</w:t>
      </w:r>
      <w:r w:rsidR="00874A44" w:rsidRPr="00874A44">
        <w:rPr>
          <w:lang w:val="fr-CA"/>
        </w:rPr>
        <w:t>décision</w:t>
      </w:r>
      <w:r w:rsidR="00DE09F4" w:rsidRPr="00874A44">
        <w:rPr>
          <w:lang w:val="fr-CA"/>
        </w:rPr>
        <w:t xml:space="preserve"> 83/66). </w:t>
      </w:r>
    </w:p>
    <w:p w14:paraId="0C6CBED2" w14:textId="5A457E17" w:rsidR="00DE09F4" w:rsidRPr="00874A44" w:rsidRDefault="00EE7687" w:rsidP="00DE09F4">
      <w:pPr>
        <w:pStyle w:val="Heading1"/>
        <w:rPr>
          <w:lang w:val="fr-CA"/>
        </w:rPr>
      </w:pPr>
      <w:r>
        <w:rPr>
          <w:lang w:val="fr-CA"/>
        </w:rPr>
        <w:t>E</w:t>
      </w:r>
      <w:r w:rsidR="00DE09F4" w:rsidRPr="00874A44">
        <w:rPr>
          <w:lang w:val="fr-CA"/>
        </w:rPr>
        <w:t>n appro</w:t>
      </w:r>
      <w:r>
        <w:rPr>
          <w:lang w:val="fr-CA"/>
        </w:rPr>
        <w:t xml:space="preserve">uvant la demande de préparation de projet du </w:t>
      </w:r>
      <w:r w:rsidR="00874A44" w:rsidRPr="00874A44">
        <w:rPr>
          <w:lang w:val="fr-CA"/>
        </w:rPr>
        <w:t>Mexique</w:t>
      </w:r>
      <w:r w:rsidR="00DE09F4" w:rsidRPr="00874A44">
        <w:rPr>
          <w:lang w:val="fr-CA"/>
        </w:rPr>
        <w:t xml:space="preserve">, </w:t>
      </w:r>
      <w:r>
        <w:rPr>
          <w:lang w:val="fr-CA"/>
        </w:rPr>
        <w:t>l</w:t>
      </w:r>
      <w:r w:rsidR="00DE09F4" w:rsidRPr="00874A44">
        <w:rPr>
          <w:lang w:val="fr-CA"/>
        </w:rPr>
        <w:t xml:space="preserve">e </w:t>
      </w:r>
      <w:r w:rsidR="00874A44" w:rsidRPr="00874A44">
        <w:rPr>
          <w:lang w:val="fr-CA"/>
        </w:rPr>
        <w:t>Comité exécutif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a décidé entre autres </w:t>
      </w:r>
      <w:r w:rsidR="00B814AE">
        <w:rPr>
          <w:lang w:val="fr-CA"/>
        </w:rPr>
        <w:t>d’examiner</w:t>
      </w:r>
      <w:r w:rsidRPr="00EE7687">
        <w:rPr>
          <w:lang w:val="fr-CA"/>
        </w:rPr>
        <w:t xml:space="preserve"> </w:t>
      </w:r>
      <w:r w:rsidR="00B814AE">
        <w:rPr>
          <w:lang w:val="fr-CA"/>
        </w:rPr>
        <w:t>l</w:t>
      </w:r>
      <w:r w:rsidRPr="00EE7687">
        <w:rPr>
          <w:lang w:val="fr-CA"/>
        </w:rPr>
        <w:t>es critères de financement des activités liées aux obligations de conformité des pays visés à l'article 5 en lien avec le contrôle des émissions du sous-produit HFC-23 à la 84e réunion</w:t>
      </w:r>
      <w:r>
        <w:rPr>
          <w:lang w:val="fr-CA"/>
        </w:rPr>
        <w:t xml:space="preserve"> </w:t>
      </w:r>
      <w:r w:rsidR="00DE09F4" w:rsidRPr="00874A44">
        <w:rPr>
          <w:lang w:val="fr-CA"/>
        </w:rPr>
        <w:t>(</w:t>
      </w:r>
      <w:r w:rsidR="00874A44" w:rsidRPr="00874A44">
        <w:rPr>
          <w:lang w:val="fr-CA"/>
        </w:rPr>
        <w:t>décision</w:t>
      </w:r>
      <w:r w:rsidR="00DE09F4" w:rsidRPr="00874A44">
        <w:rPr>
          <w:lang w:val="fr-CA"/>
        </w:rPr>
        <w:t xml:space="preserve"> 83/67(d)). </w:t>
      </w:r>
    </w:p>
    <w:p w14:paraId="42E13104" w14:textId="0049367F" w:rsidR="00DE09F4" w:rsidRPr="00874A44" w:rsidRDefault="00EE7687" w:rsidP="00DE09F4">
      <w:pPr>
        <w:keepNext/>
        <w:keepLines/>
        <w:rPr>
          <w:u w:val="single"/>
          <w:lang w:val="fr-CA"/>
        </w:rPr>
      </w:pPr>
      <w:r>
        <w:rPr>
          <w:u w:val="single"/>
          <w:lang w:val="fr-CA"/>
        </w:rPr>
        <w:t>Portée du</w:t>
      </w:r>
      <w:r w:rsidR="00DE09F4" w:rsidRPr="00874A44">
        <w:rPr>
          <w:u w:val="single"/>
          <w:lang w:val="fr-CA"/>
        </w:rPr>
        <w:t xml:space="preserve"> document</w:t>
      </w:r>
    </w:p>
    <w:p w14:paraId="54223F2B" w14:textId="77777777" w:rsidR="00DE09F4" w:rsidRPr="00874A44" w:rsidRDefault="00DE09F4" w:rsidP="00DE09F4">
      <w:pPr>
        <w:keepNext/>
        <w:keepLines/>
        <w:rPr>
          <w:u w:val="single"/>
          <w:lang w:val="fr-CA"/>
        </w:rPr>
      </w:pPr>
    </w:p>
    <w:p w14:paraId="40DE30DC" w14:textId="629BD572" w:rsidR="00DE09F4" w:rsidRPr="00874A44" w:rsidRDefault="00EE7687" w:rsidP="00DE09F4">
      <w:pPr>
        <w:pStyle w:val="Heading1"/>
        <w:rPr>
          <w:lang w:val="fr-CA"/>
        </w:rPr>
      </w:pPr>
      <w:r>
        <w:rPr>
          <w:lang w:val="fr-CA"/>
        </w:rPr>
        <w:t>En application de la</w:t>
      </w:r>
      <w:r w:rsidR="00DE09F4" w:rsidRPr="00874A44">
        <w:rPr>
          <w:lang w:val="fr-CA"/>
        </w:rPr>
        <w:t xml:space="preserve"> </w:t>
      </w:r>
      <w:r w:rsidR="00874A44" w:rsidRPr="00874A44">
        <w:rPr>
          <w:lang w:val="fr-CA"/>
        </w:rPr>
        <w:t>décision</w:t>
      </w:r>
      <w:r w:rsidR="00DE09F4" w:rsidRPr="00874A44">
        <w:rPr>
          <w:lang w:val="fr-CA"/>
        </w:rPr>
        <w:t xml:space="preserve"> 83/67(d), </w:t>
      </w:r>
      <w:r>
        <w:rPr>
          <w:lang w:val="fr-CA"/>
        </w:rPr>
        <w:t>l</w:t>
      </w:r>
      <w:r w:rsidR="00DE09F4" w:rsidRPr="00874A44">
        <w:rPr>
          <w:lang w:val="fr-CA"/>
        </w:rPr>
        <w:t xml:space="preserve">e </w:t>
      </w:r>
      <w:r w:rsidR="00874A44" w:rsidRPr="00874A44">
        <w:rPr>
          <w:lang w:val="fr-CA"/>
        </w:rPr>
        <w:t>Secrétariat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a</w:t>
      </w:r>
      <w:r w:rsidR="00DE09F4" w:rsidRPr="00874A44">
        <w:rPr>
          <w:lang w:val="fr-CA"/>
        </w:rPr>
        <w:t xml:space="preserve"> </w:t>
      </w:r>
      <w:r w:rsidRPr="00874A44">
        <w:rPr>
          <w:lang w:val="fr-CA"/>
        </w:rPr>
        <w:t>prépar</w:t>
      </w:r>
      <w:r>
        <w:rPr>
          <w:lang w:val="fr-CA"/>
        </w:rPr>
        <w:t>é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le</w:t>
      </w:r>
      <w:r w:rsidR="00DE09F4" w:rsidRPr="00874A44">
        <w:rPr>
          <w:lang w:val="fr-CA"/>
        </w:rPr>
        <w:t xml:space="preserve"> </w:t>
      </w:r>
      <w:r w:rsidRPr="00874A44">
        <w:rPr>
          <w:lang w:val="fr-CA"/>
        </w:rPr>
        <w:t>présent</w:t>
      </w:r>
      <w:r w:rsidR="00DE09F4" w:rsidRPr="00874A44">
        <w:rPr>
          <w:lang w:val="fr-CA"/>
        </w:rPr>
        <w:t xml:space="preserve"> document. </w:t>
      </w:r>
      <w:r w:rsidR="00DD75FB">
        <w:rPr>
          <w:lang w:val="fr-CA"/>
        </w:rPr>
        <w:t>L</w:t>
      </w:r>
      <w:r w:rsidR="00DE09F4" w:rsidRPr="00874A44">
        <w:rPr>
          <w:lang w:val="fr-CA"/>
        </w:rPr>
        <w:t xml:space="preserve">e document </w:t>
      </w:r>
      <w:r>
        <w:rPr>
          <w:lang w:val="fr-CA"/>
        </w:rPr>
        <w:t xml:space="preserve">ne </w:t>
      </w:r>
      <w:r w:rsidR="00DD75FB">
        <w:rPr>
          <w:lang w:val="fr-CA"/>
        </w:rPr>
        <w:t xml:space="preserve">porte </w:t>
      </w:r>
      <w:r>
        <w:rPr>
          <w:lang w:val="fr-CA"/>
        </w:rPr>
        <w:t xml:space="preserve">que </w:t>
      </w:r>
      <w:r w:rsidR="00DD75FB">
        <w:rPr>
          <w:lang w:val="fr-CA"/>
        </w:rPr>
        <w:t xml:space="preserve">sur </w:t>
      </w:r>
      <w:r>
        <w:rPr>
          <w:lang w:val="fr-CA"/>
        </w:rPr>
        <w:t xml:space="preserve">les </w:t>
      </w:r>
      <w:r w:rsidR="00DD75FB">
        <w:rPr>
          <w:lang w:val="fr-CA"/>
        </w:rPr>
        <w:t>problèmes</w:t>
      </w:r>
      <w:r>
        <w:rPr>
          <w:lang w:val="fr-CA"/>
        </w:rPr>
        <w:t xml:space="preserve"> </w:t>
      </w:r>
      <w:r w:rsidR="00DD75FB">
        <w:rPr>
          <w:lang w:val="fr-CA"/>
        </w:rPr>
        <w:t>de politique</w:t>
      </w:r>
      <w:r>
        <w:rPr>
          <w:lang w:val="fr-CA"/>
        </w:rPr>
        <w:t xml:space="preserve"> liés au contrôle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dans les p</w:t>
      </w:r>
      <w:r w:rsidR="00874A44" w:rsidRPr="00874A44">
        <w:rPr>
          <w:lang w:val="fr-CA"/>
        </w:rPr>
        <w:t>ays visés à l’article 5</w:t>
      </w:r>
      <w:r w:rsidR="00DD75FB">
        <w:rPr>
          <w:lang w:val="fr-CA"/>
        </w:rPr>
        <w:t>, et</w:t>
      </w:r>
      <w:r w:rsidR="00DE09F4" w:rsidRPr="00874A44">
        <w:rPr>
          <w:lang w:val="fr-CA"/>
        </w:rPr>
        <w:t xml:space="preserve"> </w:t>
      </w:r>
      <w:r w:rsidR="00DD75FB">
        <w:rPr>
          <w:lang w:val="fr-CA"/>
        </w:rPr>
        <w:t xml:space="preserve">qui résultent de l’examen par le </w:t>
      </w:r>
      <w:r w:rsidR="00874A44" w:rsidRPr="00874A44">
        <w:rPr>
          <w:lang w:val="fr-CA"/>
        </w:rPr>
        <w:t>Secrétariat</w:t>
      </w:r>
      <w:r w:rsidR="00DD75FB">
        <w:rPr>
          <w:lang w:val="fr-CA"/>
        </w:rPr>
        <w:t xml:space="preserve"> des projets en </w:t>
      </w:r>
      <w:r w:rsidR="00874A44" w:rsidRPr="00874A44">
        <w:rPr>
          <w:lang w:val="fr-CA"/>
        </w:rPr>
        <w:t>Argentine</w:t>
      </w:r>
      <w:r w:rsidR="00DE09F4" w:rsidRPr="00874A44">
        <w:rPr>
          <w:rStyle w:val="FootnoteReference"/>
          <w:lang w:val="fr-CA"/>
        </w:rPr>
        <w:footnoteReference w:id="2"/>
      </w:r>
      <w:r w:rsidR="00DE09F4" w:rsidRPr="00874A44">
        <w:rPr>
          <w:lang w:val="fr-CA"/>
        </w:rPr>
        <w:t xml:space="preserve"> </w:t>
      </w:r>
      <w:r w:rsidR="00DD75FB">
        <w:rPr>
          <w:lang w:val="fr-CA"/>
        </w:rPr>
        <w:t>et au</w:t>
      </w:r>
      <w:r w:rsidR="00DE09F4" w:rsidRPr="00874A44">
        <w:rPr>
          <w:lang w:val="fr-CA"/>
        </w:rPr>
        <w:t xml:space="preserve"> </w:t>
      </w:r>
      <w:r w:rsidR="00874A44" w:rsidRPr="00874A44">
        <w:rPr>
          <w:lang w:val="fr-CA"/>
        </w:rPr>
        <w:t>Mexique</w:t>
      </w:r>
      <w:r w:rsidR="00DE09F4" w:rsidRPr="00874A44">
        <w:rPr>
          <w:lang w:val="fr-CA"/>
        </w:rPr>
        <w:t>.</w:t>
      </w:r>
      <w:r w:rsidR="00DE09F4" w:rsidRPr="00874A44">
        <w:rPr>
          <w:rStyle w:val="FootnoteReference"/>
          <w:lang w:val="fr-CA"/>
        </w:rPr>
        <w:footnoteReference w:id="3"/>
      </w:r>
      <w:r w:rsidR="00DE09F4" w:rsidRPr="00874A44">
        <w:rPr>
          <w:lang w:val="fr-CA"/>
        </w:rPr>
        <w:t xml:space="preserve"> </w:t>
      </w:r>
      <w:r w:rsidR="00DD75FB">
        <w:rPr>
          <w:lang w:val="fr-CA"/>
        </w:rPr>
        <w:t xml:space="preserve">Le document comprend trois parties et une </w:t>
      </w:r>
      <w:r w:rsidR="00874A44" w:rsidRPr="00874A44">
        <w:rPr>
          <w:lang w:val="fr-CA"/>
        </w:rPr>
        <w:t>recommandation</w:t>
      </w:r>
      <w:r w:rsidR="00DE09F4" w:rsidRPr="00874A44">
        <w:rPr>
          <w:lang w:val="fr-CA"/>
        </w:rPr>
        <w:t xml:space="preserve">: </w:t>
      </w:r>
    </w:p>
    <w:p w14:paraId="27053267" w14:textId="11FC9570" w:rsidR="00DE09F4" w:rsidRPr="00874A44" w:rsidRDefault="00DE09F4" w:rsidP="00DD75FB">
      <w:pPr>
        <w:pStyle w:val="Heading1"/>
        <w:numPr>
          <w:ilvl w:val="0"/>
          <w:numId w:val="0"/>
        </w:numPr>
        <w:ind w:left="1440" w:hanging="720"/>
        <w:rPr>
          <w:lang w:val="fr-CA"/>
        </w:rPr>
      </w:pPr>
      <w:r w:rsidRPr="00874A44">
        <w:rPr>
          <w:lang w:val="fr-CA"/>
        </w:rPr>
        <w:t>I</w:t>
      </w:r>
      <w:r w:rsidRPr="00874A44">
        <w:rPr>
          <w:lang w:val="fr-CA"/>
        </w:rPr>
        <w:tab/>
      </w:r>
      <w:bookmarkStart w:id="0" w:name="_Hlk26234332"/>
      <w:bookmarkStart w:id="1" w:name="_Hlk26234041"/>
      <w:r w:rsidR="00DD75FB">
        <w:rPr>
          <w:lang w:val="fr-CA"/>
        </w:rPr>
        <w:t>Problèmes</w:t>
      </w:r>
      <w:bookmarkEnd w:id="0"/>
      <w:r w:rsidR="00DD75FB">
        <w:rPr>
          <w:lang w:val="fr-CA"/>
        </w:rPr>
        <w:t xml:space="preserve"> de politique </w:t>
      </w:r>
      <w:r w:rsidR="00B814AE">
        <w:rPr>
          <w:lang w:val="fr-CA"/>
        </w:rPr>
        <w:t>détect</w:t>
      </w:r>
      <w:r w:rsidR="00DD75FB">
        <w:rPr>
          <w:lang w:val="fr-CA"/>
        </w:rPr>
        <w:t xml:space="preserve">és dans les projets en </w:t>
      </w:r>
      <w:r w:rsidR="00874A44" w:rsidRPr="00874A44">
        <w:rPr>
          <w:lang w:val="fr-CA"/>
        </w:rPr>
        <w:t>Argentine</w:t>
      </w:r>
      <w:r w:rsidRPr="00874A44">
        <w:rPr>
          <w:lang w:val="fr-CA"/>
        </w:rPr>
        <w:t xml:space="preserve"> </w:t>
      </w:r>
      <w:bookmarkEnd w:id="1"/>
      <w:r w:rsidR="00DD75FB">
        <w:rPr>
          <w:lang w:val="fr-CA"/>
        </w:rPr>
        <w:t>et au</w:t>
      </w:r>
      <w:r w:rsidRPr="00874A44">
        <w:rPr>
          <w:lang w:val="fr-CA"/>
        </w:rPr>
        <w:t xml:space="preserve"> </w:t>
      </w:r>
      <w:r w:rsidR="00874A44" w:rsidRPr="00874A44">
        <w:rPr>
          <w:lang w:val="fr-CA"/>
        </w:rPr>
        <w:t>Mexique</w:t>
      </w:r>
    </w:p>
    <w:p w14:paraId="0D6B6207" w14:textId="22EB4E67" w:rsidR="00DE09F4" w:rsidRPr="00874A44" w:rsidRDefault="00DE09F4" w:rsidP="00DE09F4">
      <w:pPr>
        <w:pStyle w:val="Heading1"/>
        <w:numPr>
          <w:ilvl w:val="0"/>
          <w:numId w:val="0"/>
        </w:numPr>
        <w:ind w:left="1440" w:hanging="720"/>
        <w:rPr>
          <w:lang w:val="fr-CA"/>
        </w:rPr>
      </w:pPr>
      <w:r w:rsidRPr="00874A44">
        <w:rPr>
          <w:lang w:val="fr-CA"/>
        </w:rPr>
        <w:t>II</w:t>
      </w:r>
      <w:r w:rsidRPr="00874A44">
        <w:rPr>
          <w:lang w:val="fr-CA"/>
        </w:rPr>
        <w:tab/>
      </w:r>
      <w:r w:rsidR="00DD75FB">
        <w:rPr>
          <w:lang w:val="fr-CA"/>
        </w:rPr>
        <w:t>Problèmes</w:t>
      </w:r>
      <w:r w:rsidR="00DD75FB" w:rsidRPr="00DD75FB">
        <w:rPr>
          <w:lang w:val="fr-CA"/>
        </w:rPr>
        <w:t xml:space="preserve"> de politique </w:t>
      </w:r>
      <w:r w:rsidR="00B814AE">
        <w:rPr>
          <w:lang w:val="fr-CA"/>
        </w:rPr>
        <w:t>détecté</w:t>
      </w:r>
      <w:r w:rsidR="00DD75FB" w:rsidRPr="00DD75FB">
        <w:rPr>
          <w:lang w:val="fr-CA"/>
        </w:rPr>
        <w:t>s dans le projet en Argentine</w:t>
      </w:r>
    </w:p>
    <w:p w14:paraId="6B9C5A64" w14:textId="75F1646A" w:rsidR="00DE09F4" w:rsidRPr="00874A44" w:rsidRDefault="00DE09F4" w:rsidP="00DE09F4">
      <w:pPr>
        <w:pStyle w:val="Heading1"/>
        <w:numPr>
          <w:ilvl w:val="0"/>
          <w:numId w:val="0"/>
        </w:numPr>
        <w:ind w:left="1440" w:hanging="720"/>
        <w:rPr>
          <w:lang w:val="fr-CA"/>
        </w:rPr>
      </w:pPr>
      <w:r w:rsidRPr="00874A44">
        <w:rPr>
          <w:lang w:val="fr-CA"/>
        </w:rPr>
        <w:t>III</w:t>
      </w:r>
      <w:r w:rsidRPr="00874A44">
        <w:rPr>
          <w:lang w:val="fr-CA"/>
        </w:rPr>
        <w:tab/>
      </w:r>
      <w:r w:rsidR="00DD75FB">
        <w:rPr>
          <w:lang w:val="fr-CA"/>
        </w:rPr>
        <w:t>Problèmes</w:t>
      </w:r>
      <w:r w:rsidR="00DD75FB" w:rsidRPr="00DD75FB">
        <w:rPr>
          <w:lang w:val="fr-CA"/>
        </w:rPr>
        <w:t xml:space="preserve"> de politique </w:t>
      </w:r>
      <w:r w:rsidR="00B814AE">
        <w:rPr>
          <w:lang w:val="fr-CA"/>
        </w:rPr>
        <w:t>détecté</w:t>
      </w:r>
      <w:r w:rsidR="00DD75FB" w:rsidRPr="00DD75FB">
        <w:rPr>
          <w:lang w:val="fr-CA"/>
        </w:rPr>
        <w:t xml:space="preserve">s dans le projet </w:t>
      </w:r>
      <w:r w:rsidR="00DD75FB">
        <w:rPr>
          <w:lang w:val="fr-CA"/>
        </w:rPr>
        <w:t>au</w:t>
      </w:r>
      <w:r w:rsidRPr="00874A44">
        <w:rPr>
          <w:lang w:val="fr-CA"/>
        </w:rPr>
        <w:t xml:space="preserve"> </w:t>
      </w:r>
      <w:r w:rsidR="00874A44" w:rsidRPr="00874A44">
        <w:rPr>
          <w:lang w:val="fr-CA"/>
        </w:rPr>
        <w:t>Mexique</w:t>
      </w:r>
    </w:p>
    <w:p w14:paraId="6844A2D7" w14:textId="38282244" w:rsidR="00DE09F4" w:rsidRPr="00874A44" w:rsidRDefault="00DE09F4" w:rsidP="00DE09F4">
      <w:pPr>
        <w:rPr>
          <w:lang w:val="fr-CA"/>
        </w:rPr>
      </w:pPr>
      <w:r w:rsidRPr="00874A44">
        <w:rPr>
          <w:lang w:val="fr-CA"/>
        </w:rPr>
        <w:tab/>
      </w:r>
      <w:r w:rsidRPr="00874A44">
        <w:rPr>
          <w:lang w:val="fr-CA"/>
        </w:rPr>
        <w:tab/>
      </w:r>
      <w:r w:rsidR="00874A44" w:rsidRPr="00874A44">
        <w:rPr>
          <w:lang w:val="fr-CA"/>
        </w:rPr>
        <w:t>Recommandation</w:t>
      </w:r>
    </w:p>
    <w:p w14:paraId="2C27FD54" w14:textId="77777777" w:rsidR="00DE09F4" w:rsidRPr="00874A44" w:rsidRDefault="00DE09F4" w:rsidP="00DE09F4">
      <w:pPr>
        <w:rPr>
          <w:lang w:val="fr-CA"/>
        </w:rPr>
      </w:pPr>
    </w:p>
    <w:p w14:paraId="152E5696" w14:textId="155C0B69" w:rsidR="00DE09F4" w:rsidRPr="00874A44" w:rsidRDefault="00DD75FB" w:rsidP="00DE09F4">
      <w:pPr>
        <w:pStyle w:val="Heading1"/>
        <w:rPr>
          <w:lang w:val="fr-CA"/>
        </w:rPr>
      </w:pPr>
      <w:r>
        <w:rPr>
          <w:lang w:val="fr-CA"/>
        </w:rPr>
        <w:t xml:space="preserve">Dans chaque partie, le </w:t>
      </w:r>
      <w:r w:rsidR="00DE09F4" w:rsidRPr="00874A44">
        <w:rPr>
          <w:lang w:val="fr-CA"/>
        </w:rPr>
        <w:t xml:space="preserve">document </w:t>
      </w:r>
      <w:r>
        <w:rPr>
          <w:lang w:val="fr-CA"/>
        </w:rPr>
        <w:t xml:space="preserve">explique brièvement chacune des questions identifiées et sollicite des </w:t>
      </w:r>
      <w:r w:rsidR="00B814AE">
        <w:rPr>
          <w:lang w:val="fr-CA"/>
        </w:rPr>
        <w:t>directives</w:t>
      </w:r>
      <w:r>
        <w:rPr>
          <w:lang w:val="fr-CA"/>
        </w:rPr>
        <w:t xml:space="preserve"> du </w:t>
      </w:r>
      <w:r w:rsidR="00874A44" w:rsidRPr="00874A44">
        <w:rPr>
          <w:lang w:val="fr-CA"/>
        </w:rPr>
        <w:t>Comité exécutif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pour trouver des solutions efficaces à ces questions</w:t>
      </w:r>
      <w:r w:rsidR="00DE09F4" w:rsidRPr="00874A44">
        <w:rPr>
          <w:lang w:val="fr-CA"/>
        </w:rPr>
        <w:t xml:space="preserve">. </w:t>
      </w:r>
    </w:p>
    <w:p w14:paraId="2DBC6E84" w14:textId="281D7EAB" w:rsidR="00DE09F4" w:rsidRPr="00874A44" w:rsidRDefault="00DD75FB" w:rsidP="00DE09F4">
      <w:pPr>
        <w:pStyle w:val="ListParagraph"/>
        <w:numPr>
          <w:ilvl w:val="0"/>
          <w:numId w:val="23"/>
        </w:numPr>
        <w:ind w:left="720"/>
        <w:rPr>
          <w:b/>
          <w:lang w:val="fr-CA"/>
        </w:rPr>
      </w:pPr>
      <w:r>
        <w:rPr>
          <w:b/>
          <w:lang w:val="fr-CA"/>
        </w:rPr>
        <w:t xml:space="preserve">Problèmes de politique </w:t>
      </w:r>
      <w:r w:rsidR="00B814AE">
        <w:rPr>
          <w:b/>
          <w:lang w:val="fr-CA"/>
        </w:rPr>
        <w:t>détect</w:t>
      </w:r>
      <w:r>
        <w:rPr>
          <w:b/>
          <w:lang w:val="fr-CA"/>
        </w:rPr>
        <w:t xml:space="preserve">és dans les projets en </w:t>
      </w:r>
      <w:r w:rsidR="00874A44" w:rsidRPr="00874A44">
        <w:rPr>
          <w:b/>
          <w:lang w:val="fr-CA"/>
        </w:rPr>
        <w:t>Argentine</w:t>
      </w:r>
      <w:r w:rsidR="00DE09F4" w:rsidRPr="00874A44">
        <w:rPr>
          <w:b/>
          <w:lang w:val="fr-CA"/>
        </w:rPr>
        <w:t xml:space="preserve"> </w:t>
      </w:r>
      <w:r>
        <w:rPr>
          <w:b/>
          <w:lang w:val="fr-CA"/>
        </w:rPr>
        <w:t>et au</w:t>
      </w:r>
      <w:r w:rsidR="00DE09F4" w:rsidRPr="00874A44">
        <w:rPr>
          <w:b/>
          <w:lang w:val="fr-CA"/>
        </w:rPr>
        <w:t xml:space="preserve"> </w:t>
      </w:r>
      <w:r w:rsidR="00874A44" w:rsidRPr="00874A44">
        <w:rPr>
          <w:b/>
          <w:lang w:val="fr-CA"/>
        </w:rPr>
        <w:t>Mexique</w:t>
      </w:r>
    </w:p>
    <w:p w14:paraId="30E8965F" w14:textId="77777777" w:rsidR="00DE09F4" w:rsidRPr="00874A44" w:rsidRDefault="00DE09F4" w:rsidP="00DE09F4">
      <w:pPr>
        <w:rPr>
          <w:lang w:val="fr-CA"/>
        </w:rPr>
      </w:pPr>
    </w:p>
    <w:p w14:paraId="65DD7AE0" w14:textId="2E78ECA9" w:rsidR="00DE09F4" w:rsidRPr="00874A44" w:rsidRDefault="00DE09F4" w:rsidP="00DE09F4">
      <w:pPr>
        <w:rPr>
          <w:u w:val="single"/>
          <w:lang w:val="fr-CA"/>
        </w:rPr>
      </w:pPr>
      <w:r w:rsidRPr="00874A44">
        <w:rPr>
          <w:u w:val="single"/>
          <w:lang w:val="fr-CA"/>
        </w:rPr>
        <w:t>Bas</w:t>
      </w:r>
      <w:r w:rsidR="00AC43D6">
        <w:rPr>
          <w:u w:val="single"/>
          <w:lang w:val="fr-CA"/>
        </w:rPr>
        <w:t xml:space="preserve">e </w:t>
      </w:r>
      <w:r w:rsidR="006E57E3">
        <w:rPr>
          <w:u w:val="single"/>
          <w:lang w:val="fr-CA"/>
        </w:rPr>
        <w:t>de</w:t>
      </w:r>
      <w:r w:rsidR="00AC43D6">
        <w:rPr>
          <w:u w:val="single"/>
          <w:lang w:val="fr-CA"/>
        </w:rPr>
        <w:t xml:space="preserve"> la production du </w:t>
      </w:r>
      <w:r w:rsidRPr="00874A44">
        <w:rPr>
          <w:u w:val="single"/>
          <w:lang w:val="fr-CA"/>
        </w:rPr>
        <w:t xml:space="preserve">HCFC-22 </w:t>
      </w:r>
      <w:r w:rsidR="00AC43D6">
        <w:rPr>
          <w:u w:val="single"/>
          <w:lang w:val="fr-CA"/>
        </w:rPr>
        <w:t>à utiliser pour déterminer les CDE</w:t>
      </w:r>
    </w:p>
    <w:p w14:paraId="7CBFBE56" w14:textId="77777777" w:rsidR="00DE09F4" w:rsidRPr="00874A44" w:rsidRDefault="00DE09F4" w:rsidP="00DE09F4">
      <w:pPr>
        <w:rPr>
          <w:lang w:val="fr-CA"/>
        </w:rPr>
      </w:pPr>
    </w:p>
    <w:p w14:paraId="62F5D6B6" w14:textId="736A573E" w:rsidR="00DE09F4" w:rsidRPr="00874A44" w:rsidRDefault="006E57E3" w:rsidP="00DE09F4">
      <w:pPr>
        <w:pStyle w:val="Heading1"/>
        <w:rPr>
          <w:lang w:val="fr-CA"/>
        </w:rPr>
      </w:pPr>
      <w:r>
        <w:rPr>
          <w:lang w:val="fr-CA"/>
        </w:rPr>
        <w:t>Le Secrétariat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a calculé le niveau de production du </w:t>
      </w:r>
      <w:r w:rsidR="00DE09F4" w:rsidRPr="00874A44">
        <w:rPr>
          <w:lang w:val="fr-CA"/>
        </w:rPr>
        <w:t xml:space="preserve">HCFC-22 </w:t>
      </w:r>
      <w:r>
        <w:rPr>
          <w:lang w:val="fr-CA"/>
        </w:rPr>
        <w:t xml:space="preserve">et les émissions du sous-produit </w:t>
      </w:r>
      <w:r w:rsidR="00DE09F4" w:rsidRPr="00874A44">
        <w:rPr>
          <w:lang w:val="fr-CA"/>
        </w:rPr>
        <w:t xml:space="preserve">HFC-23 </w:t>
      </w:r>
      <w:r>
        <w:rPr>
          <w:lang w:val="fr-CA"/>
        </w:rPr>
        <w:t>connexe à partir, soit de l’année, soit d’une moyenne de trois ans immédiatement précédant la préparation du projet, conformément à la décision adoptée par le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à sa </w:t>
      </w:r>
      <w:r w:rsidR="00DE09F4" w:rsidRPr="00874A44">
        <w:rPr>
          <w:lang w:val="fr-CA"/>
        </w:rPr>
        <w:t>16</w:t>
      </w:r>
      <w:r>
        <w:rPr>
          <w:vertAlign w:val="superscript"/>
          <w:lang w:val="fr-CA"/>
        </w:rPr>
        <w:t>e</w:t>
      </w:r>
      <w:r w:rsidR="00DE09F4" w:rsidRPr="00874A44">
        <w:rPr>
          <w:lang w:val="fr-CA"/>
        </w:rPr>
        <w:t xml:space="preserve"> </w:t>
      </w:r>
      <w:r w:rsidR="00874A44" w:rsidRPr="00874A44">
        <w:rPr>
          <w:lang w:val="fr-CA"/>
        </w:rPr>
        <w:t>réunion</w:t>
      </w:r>
      <w:r w:rsidR="00DE09F4" w:rsidRPr="00874A44">
        <w:rPr>
          <w:lang w:val="fr-CA"/>
        </w:rPr>
        <w:t>.</w:t>
      </w:r>
      <w:r w:rsidR="00DE09F4" w:rsidRPr="00874A44">
        <w:rPr>
          <w:rStyle w:val="FootnoteReference"/>
          <w:lang w:val="fr-CA"/>
        </w:rPr>
        <w:footnoteReference w:id="4"/>
      </w:r>
      <w:r w:rsidR="00DE09F4" w:rsidRPr="00874A44">
        <w:rPr>
          <w:lang w:val="fr-CA"/>
        </w:rPr>
        <w:t xml:space="preserve"> </w:t>
      </w:r>
    </w:p>
    <w:p w14:paraId="0C3AEC7F" w14:textId="54D152E1" w:rsidR="00DE09F4" w:rsidRPr="00874A44" w:rsidRDefault="006E57E3" w:rsidP="00DE09F4">
      <w:pPr>
        <w:pStyle w:val="Heading1"/>
        <w:rPr>
          <w:lang w:val="fr-CA"/>
        </w:rPr>
      </w:pPr>
      <w:r>
        <w:rPr>
          <w:lang w:val="fr-CA"/>
        </w:rPr>
        <w:t>Le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est invit</w:t>
      </w:r>
      <w:r w:rsidR="00B814AE">
        <w:rPr>
          <w:lang w:val="fr-CA"/>
        </w:rPr>
        <w:t>é</w:t>
      </w:r>
      <w:r>
        <w:rPr>
          <w:lang w:val="fr-CA"/>
        </w:rPr>
        <w:t xml:space="preserve"> à donner des directives pour décider s’il convient d’utiliser la </w:t>
      </w:r>
      <w:r w:rsidR="00874A44" w:rsidRPr="00874A44">
        <w:rPr>
          <w:lang w:val="fr-CA"/>
        </w:rPr>
        <w:t>décision</w:t>
      </w:r>
      <w:r w:rsidR="00DE09F4" w:rsidRPr="00874A44">
        <w:rPr>
          <w:lang w:val="fr-CA"/>
        </w:rPr>
        <w:t xml:space="preserve"> adopt</w:t>
      </w:r>
      <w:r>
        <w:rPr>
          <w:lang w:val="fr-CA"/>
        </w:rPr>
        <w:t>é</w:t>
      </w:r>
      <w:r w:rsidR="00DE09F4" w:rsidRPr="00874A44">
        <w:rPr>
          <w:lang w:val="fr-CA"/>
        </w:rPr>
        <w:t xml:space="preserve">e </w:t>
      </w:r>
      <w:r>
        <w:rPr>
          <w:lang w:val="fr-CA"/>
        </w:rPr>
        <w:t xml:space="preserve">à la </w:t>
      </w:r>
      <w:r w:rsidR="00DE09F4" w:rsidRPr="00874A44">
        <w:rPr>
          <w:lang w:val="fr-CA"/>
        </w:rPr>
        <w:t>16</w:t>
      </w:r>
      <w:r>
        <w:rPr>
          <w:vertAlign w:val="superscript"/>
          <w:lang w:val="fr-CA"/>
        </w:rPr>
        <w:t>e</w:t>
      </w:r>
      <w:r w:rsidR="00DE09F4" w:rsidRPr="00874A44">
        <w:rPr>
          <w:lang w:val="fr-CA"/>
        </w:rPr>
        <w:t xml:space="preserve"> </w:t>
      </w:r>
      <w:r w:rsidR="00874A44" w:rsidRPr="00874A44">
        <w:rPr>
          <w:lang w:val="fr-CA"/>
        </w:rPr>
        <w:t>réunion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comme base de calcul du niveau de production du </w:t>
      </w:r>
      <w:r w:rsidR="00DE09F4" w:rsidRPr="00874A44">
        <w:rPr>
          <w:lang w:val="fr-CA"/>
        </w:rPr>
        <w:t xml:space="preserve">HCFC-22 </w:t>
      </w:r>
      <w:r>
        <w:rPr>
          <w:lang w:val="fr-CA"/>
        </w:rPr>
        <w:t xml:space="preserve">et du sous- </w:t>
      </w:r>
      <w:r w:rsidR="008C65D6">
        <w:rPr>
          <w:lang w:val="fr-CA"/>
        </w:rPr>
        <w:t>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connexe afin de déterminer les CDE, ou </w:t>
      </w:r>
      <w:r w:rsidR="00B814AE">
        <w:rPr>
          <w:lang w:val="fr-CA"/>
        </w:rPr>
        <w:t>d’appliquer</w:t>
      </w:r>
      <w:r>
        <w:rPr>
          <w:lang w:val="fr-CA"/>
        </w:rPr>
        <w:t xml:space="preserve"> une autre méthode</w:t>
      </w:r>
      <w:r w:rsidR="00DE09F4" w:rsidRPr="00874A44">
        <w:rPr>
          <w:lang w:val="fr-CA"/>
        </w:rPr>
        <w:t>.</w:t>
      </w:r>
    </w:p>
    <w:p w14:paraId="01907EC2" w14:textId="77777777" w:rsidR="006E6A2F" w:rsidRDefault="006E6A2F" w:rsidP="00DE09F4">
      <w:pPr>
        <w:rPr>
          <w:u w:val="single"/>
          <w:lang w:val="fr-CA"/>
        </w:rPr>
      </w:pPr>
    </w:p>
    <w:p w14:paraId="4B8F7896" w14:textId="23013D11" w:rsidR="00DE09F4" w:rsidRPr="00874A44" w:rsidRDefault="00DE09F4" w:rsidP="00DE09F4">
      <w:pPr>
        <w:rPr>
          <w:u w:val="single"/>
          <w:lang w:val="fr-CA"/>
        </w:rPr>
      </w:pPr>
      <w:r w:rsidRPr="00874A44">
        <w:rPr>
          <w:u w:val="single"/>
          <w:lang w:val="fr-CA"/>
        </w:rPr>
        <w:t>Dur</w:t>
      </w:r>
      <w:r w:rsidR="006E57E3">
        <w:rPr>
          <w:u w:val="single"/>
          <w:lang w:val="fr-CA"/>
        </w:rPr>
        <w:t>ée du financement des mesures de contrôle des émissions du s</w:t>
      </w:r>
      <w:r w:rsidR="008C65D6">
        <w:rPr>
          <w:u w:val="single"/>
          <w:lang w:val="fr-CA"/>
        </w:rPr>
        <w:t>ous-produit</w:t>
      </w:r>
      <w:r w:rsidR="00874A44" w:rsidRPr="00874A44">
        <w:rPr>
          <w:u w:val="single"/>
          <w:lang w:val="fr-CA"/>
        </w:rPr>
        <w:t xml:space="preserve"> HFC-23</w:t>
      </w:r>
    </w:p>
    <w:p w14:paraId="5A11F206" w14:textId="77777777" w:rsidR="00DE09F4" w:rsidRPr="00874A44" w:rsidRDefault="00DE09F4" w:rsidP="00DE09F4">
      <w:pPr>
        <w:rPr>
          <w:lang w:val="fr-CA"/>
        </w:rPr>
      </w:pPr>
    </w:p>
    <w:p w14:paraId="7D7EC0B8" w14:textId="2CB82116" w:rsidR="00DE09F4" w:rsidRPr="00874A44" w:rsidRDefault="00DE09F4" w:rsidP="00DE09F4">
      <w:pPr>
        <w:pStyle w:val="Heading1"/>
        <w:rPr>
          <w:lang w:val="fr-CA"/>
        </w:rPr>
      </w:pPr>
      <w:r w:rsidRPr="00874A44">
        <w:rPr>
          <w:lang w:val="fr-CA"/>
        </w:rPr>
        <w:t>Dur</w:t>
      </w:r>
      <w:r w:rsidR="006E57E3">
        <w:rPr>
          <w:lang w:val="fr-CA"/>
        </w:rPr>
        <w:t xml:space="preserve">ant les débats </w:t>
      </w:r>
      <w:r w:rsidR="006C3981">
        <w:rPr>
          <w:lang w:val="fr-CA"/>
        </w:rPr>
        <w:t>du Comité</w:t>
      </w:r>
      <w:r w:rsidR="006C3981" w:rsidRPr="00874A44">
        <w:rPr>
          <w:lang w:val="fr-CA"/>
        </w:rPr>
        <w:t xml:space="preserve"> exécutif </w:t>
      </w:r>
      <w:r w:rsidR="006E57E3">
        <w:rPr>
          <w:lang w:val="fr-CA"/>
        </w:rPr>
        <w:t xml:space="preserve">sur la durée du financement </w:t>
      </w:r>
      <w:r w:rsidR="00094A50">
        <w:rPr>
          <w:lang w:val="fr-CA"/>
        </w:rPr>
        <w:t>des</w:t>
      </w:r>
      <w:r w:rsidR="006E57E3">
        <w:rPr>
          <w:lang w:val="fr-CA"/>
        </w:rPr>
        <w:t xml:space="preserve"> mesures de contrôle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Pr="00874A44">
        <w:rPr>
          <w:lang w:val="fr-CA"/>
        </w:rPr>
        <w:t>, diff</w:t>
      </w:r>
      <w:r w:rsidR="006C3981">
        <w:rPr>
          <w:lang w:val="fr-CA"/>
        </w:rPr>
        <w:t>é</w:t>
      </w:r>
      <w:r w:rsidRPr="00874A44">
        <w:rPr>
          <w:lang w:val="fr-CA"/>
        </w:rPr>
        <w:t xml:space="preserve">rent </w:t>
      </w:r>
      <w:r w:rsidR="006C3981">
        <w:rPr>
          <w:lang w:val="fr-CA"/>
        </w:rPr>
        <w:t>points de vue ont été exprimés</w:t>
      </w:r>
      <w:r w:rsidRPr="00874A44">
        <w:rPr>
          <w:lang w:val="fr-CA"/>
        </w:rPr>
        <w:t xml:space="preserve">. </w:t>
      </w:r>
      <w:r w:rsidR="006C3981">
        <w:rPr>
          <w:lang w:val="fr-CA"/>
        </w:rPr>
        <w:t xml:space="preserve">Quelques membres ont proposé de financer les CDE aussi longtemps que la destruction du </w:t>
      </w:r>
      <w:r w:rsidRPr="00874A44">
        <w:rPr>
          <w:lang w:val="fr-CA"/>
        </w:rPr>
        <w:t xml:space="preserve">HFC-23 </w:t>
      </w:r>
      <w:r w:rsidR="006C3981">
        <w:rPr>
          <w:lang w:val="fr-CA"/>
        </w:rPr>
        <w:t>se poursuivra</w:t>
      </w:r>
      <w:r w:rsidRPr="00874A44">
        <w:rPr>
          <w:lang w:val="fr-CA"/>
        </w:rPr>
        <w:t xml:space="preserve">; </w:t>
      </w:r>
      <w:r w:rsidR="006C3981">
        <w:rPr>
          <w:lang w:val="fr-CA"/>
        </w:rPr>
        <w:t>d’autres membres ont suggéré une durée plus limitée</w:t>
      </w:r>
      <w:r w:rsidRPr="00874A44">
        <w:rPr>
          <w:lang w:val="fr-CA"/>
        </w:rPr>
        <w:t xml:space="preserve">. </w:t>
      </w:r>
      <w:r w:rsidR="006C3981">
        <w:rPr>
          <w:lang w:val="fr-CA"/>
        </w:rPr>
        <w:t>Des membres ont expliqué que le financement des CDE</w:t>
      </w:r>
      <w:r w:rsidRPr="00874A44">
        <w:rPr>
          <w:lang w:val="fr-CA"/>
        </w:rPr>
        <w:t xml:space="preserve"> </w:t>
      </w:r>
      <w:r w:rsidR="006C3981">
        <w:rPr>
          <w:lang w:val="fr-CA"/>
        </w:rPr>
        <w:t xml:space="preserve">vise à encourager </w:t>
      </w:r>
      <w:r w:rsidR="00094A50">
        <w:rPr>
          <w:lang w:val="fr-CA"/>
        </w:rPr>
        <w:t>une action</w:t>
      </w:r>
      <w:r w:rsidR="003C4775">
        <w:rPr>
          <w:lang w:val="fr-CA"/>
        </w:rPr>
        <w:t xml:space="preserve"> rapide</w:t>
      </w:r>
      <w:r w:rsidRPr="00874A44">
        <w:rPr>
          <w:lang w:val="fr-CA"/>
        </w:rPr>
        <w:t xml:space="preserve">, </w:t>
      </w:r>
      <w:r w:rsidR="00C92D9E">
        <w:rPr>
          <w:lang w:val="fr-CA"/>
        </w:rPr>
        <w:t>et que la nécessité d’une telle incitation peut varier, puisque le coût de l’adoption de mesures de contrôle devient le coût d’exploitation normal</w:t>
      </w:r>
      <w:r w:rsidRPr="00874A44">
        <w:rPr>
          <w:lang w:val="fr-CA"/>
        </w:rPr>
        <w:t xml:space="preserve">. </w:t>
      </w:r>
      <w:r w:rsidR="00C92D9E">
        <w:rPr>
          <w:lang w:val="fr-CA"/>
        </w:rPr>
        <w:t xml:space="preserve">D’autres membres estimaient que les coûts de </w:t>
      </w:r>
      <w:r w:rsidRPr="00874A44">
        <w:rPr>
          <w:lang w:val="fr-CA"/>
        </w:rPr>
        <w:t xml:space="preserve">destruction </w:t>
      </w:r>
      <w:r w:rsidR="00C92D9E">
        <w:rPr>
          <w:lang w:val="fr-CA"/>
        </w:rPr>
        <w:t xml:space="preserve">ne devraient pas être considérés comme des </w:t>
      </w:r>
      <w:r w:rsidR="006C3981">
        <w:rPr>
          <w:lang w:val="fr-CA"/>
        </w:rPr>
        <w:t>CDE</w:t>
      </w:r>
      <w:r w:rsidRPr="00874A44">
        <w:rPr>
          <w:lang w:val="fr-CA"/>
        </w:rPr>
        <w:t xml:space="preserve"> </w:t>
      </w:r>
      <w:r w:rsidR="00C92D9E">
        <w:rPr>
          <w:lang w:val="fr-CA"/>
        </w:rPr>
        <w:t>mais plutôt comme des coûts récurrents</w:t>
      </w:r>
      <w:r w:rsidRPr="00874A44">
        <w:rPr>
          <w:lang w:val="fr-CA"/>
        </w:rPr>
        <w:t xml:space="preserve">. </w:t>
      </w:r>
      <w:r w:rsidR="00C92D9E">
        <w:rPr>
          <w:lang w:val="fr-CA"/>
        </w:rPr>
        <w:t xml:space="preserve">À la différence des </w:t>
      </w:r>
      <w:r w:rsidR="006C3981">
        <w:rPr>
          <w:lang w:val="fr-CA"/>
        </w:rPr>
        <w:t>CDE</w:t>
      </w:r>
      <w:r w:rsidRPr="00874A44">
        <w:rPr>
          <w:lang w:val="fr-CA"/>
        </w:rPr>
        <w:t xml:space="preserve">, </w:t>
      </w:r>
      <w:r w:rsidR="00C92D9E">
        <w:rPr>
          <w:lang w:val="fr-CA"/>
        </w:rPr>
        <w:t xml:space="preserve">qui devraient normalement baisser à mesure que le coût des solutions de remplacement </w:t>
      </w:r>
      <w:r w:rsidR="00C205BC">
        <w:rPr>
          <w:lang w:val="fr-CA"/>
        </w:rPr>
        <w:t>à mettre en place d</w:t>
      </w:r>
      <w:r w:rsidR="00C92D9E">
        <w:rPr>
          <w:lang w:val="fr-CA"/>
        </w:rPr>
        <w:t>iminue</w:t>
      </w:r>
      <w:r w:rsidR="00C205BC">
        <w:rPr>
          <w:lang w:val="fr-CA"/>
        </w:rPr>
        <w:t xml:space="preserve"> et que le coût des substances réglementées à éliminer augmente, un grand nombre de ces coûts récurrents ne varient pas avec le temps et leur financement devrait continuer à leur être fourni</w:t>
      </w:r>
      <w:r w:rsidRPr="00874A44">
        <w:rPr>
          <w:lang w:val="fr-CA"/>
        </w:rPr>
        <w:t xml:space="preserve">. </w:t>
      </w:r>
    </w:p>
    <w:p w14:paraId="02B44C4E" w14:textId="6E2E2A8D" w:rsidR="00DE09F4" w:rsidRPr="00874A44" w:rsidRDefault="006E57E3" w:rsidP="00DE09F4">
      <w:pPr>
        <w:pStyle w:val="Heading1"/>
        <w:rPr>
          <w:lang w:val="fr-CA"/>
        </w:rPr>
      </w:pPr>
      <w:r>
        <w:rPr>
          <w:lang w:val="fr-CA"/>
        </w:rPr>
        <w:t>Le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r w:rsidR="00C92D9E">
        <w:rPr>
          <w:lang w:val="fr-CA"/>
        </w:rPr>
        <w:t>est invité à fournir des orientations sur les éléments ci-après</w:t>
      </w:r>
      <w:r w:rsidR="00DE09F4" w:rsidRPr="00874A44">
        <w:rPr>
          <w:lang w:val="fr-CA"/>
        </w:rPr>
        <w:t>:</w:t>
      </w:r>
    </w:p>
    <w:p w14:paraId="59E010BF" w14:textId="15C89C29" w:rsidR="00DE09F4" w:rsidRPr="00874A44" w:rsidRDefault="00C92D9E" w:rsidP="00DE09F4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Durée du financement des </w:t>
      </w:r>
      <w:r w:rsidR="006C3981">
        <w:rPr>
          <w:lang w:val="fr-CA"/>
        </w:rPr>
        <w:t>CDE</w:t>
      </w:r>
      <w:r w:rsidR="00DE09F4" w:rsidRPr="00874A44">
        <w:rPr>
          <w:lang w:val="fr-CA"/>
        </w:rPr>
        <w:t xml:space="preserve">; </w:t>
      </w:r>
      <w:r>
        <w:rPr>
          <w:lang w:val="fr-CA"/>
        </w:rPr>
        <w:t>et</w:t>
      </w:r>
      <w:r w:rsidR="00DE09F4" w:rsidRPr="00874A44">
        <w:rPr>
          <w:lang w:val="fr-CA"/>
        </w:rPr>
        <w:t>/o</w:t>
      </w:r>
      <w:r>
        <w:rPr>
          <w:lang w:val="fr-CA"/>
        </w:rPr>
        <w:t>u</w:t>
      </w:r>
    </w:p>
    <w:p w14:paraId="03EF4303" w14:textId="23770BBF" w:rsidR="00DE09F4" w:rsidRPr="00874A44" w:rsidRDefault="00C92D9E" w:rsidP="00DE09F4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Convient-il d’établir des lignes directrices pour l’</w:t>
      </w:r>
      <w:r w:rsidR="00DE09F4" w:rsidRPr="00874A44">
        <w:rPr>
          <w:lang w:val="fr-CA"/>
        </w:rPr>
        <w:t xml:space="preserve">application </w:t>
      </w:r>
      <w:r>
        <w:rPr>
          <w:lang w:val="fr-CA"/>
        </w:rPr>
        <w:t>de CDE aux projets de contrôle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. </w:t>
      </w:r>
    </w:p>
    <w:p w14:paraId="0CEA897C" w14:textId="303FBB2E" w:rsidR="00DE09F4" w:rsidRPr="00874A44" w:rsidRDefault="00C205BC" w:rsidP="00DE09F4">
      <w:pPr>
        <w:rPr>
          <w:u w:val="single"/>
          <w:lang w:val="fr-CA"/>
        </w:rPr>
      </w:pPr>
      <w:r>
        <w:rPr>
          <w:u w:val="single"/>
          <w:lang w:val="fr-CA"/>
        </w:rPr>
        <w:t>Niveau des coûts d’appui d’agence</w:t>
      </w:r>
    </w:p>
    <w:p w14:paraId="1CA900CA" w14:textId="77777777" w:rsidR="00DE09F4" w:rsidRPr="00874A44" w:rsidRDefault="00DE09F4" w:rsidP="00DE09F4">
      <w:pPr>
        <w:rPr>
          <w:lang w:val="fr-CA"/>
        </w:rPr>
      </w:pPr>
    </w:p>
    <w:p w14:paraId="1A8FF557" w14:textId="53261BAA" w:rsidR="00DE09F4" w:rsidRPr="00874A44" w:rsidRDefault="00C205BC" w:rsidP="00DE09F4">
      <w:pPr>
        <w:pStyle w:val="Heading1"/>
        <w:rPr>
          <w:lang w:val="fr-CA"/>
        </w:rPr>
      </w:pPr>
      <w:r>
        <w:rPr>
          <w:lang w:val="fr-CA"/>
        </w:rPr>
        <w:t>En application de la décision</w:t>
      </w:r>
      <w:r w:rsidR="00DE09F4" w:rsidRPr="00874A44">
        <w:rPr>
          <w:lang w:val="fr-CA"/>
        </w:rPr>
        <w:t> 67/15,</w:t>
      </w:r>
      <w:r w:rsidR="00DE09F4" w:rsidRPr="00874A44">
        <w:rPr>
          <w:rStyle w:val="FootnoteReference"/>
          <w:lang w:val="fr-CA"/>
        </w:rPr>
        <w:footnoteReference w:id="5"/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les projets d’une valeur égale ou supérieure à </w:t>
      </w:r>
      <w:r w:rsidR="00DE09F4" w:rsidRPr="00874A44">
        <w:rPr>
          <w:lang w:val="fr-CA"/>
        </w:rPr>
        <w:t>250</w:t>
      </w:r>
      <w:r>
        <w:rPr>
          <w:lang w:val="fr-CA"/>
        </w:rPr>
        <w:t> </w:t>
      </w:r>
      <w:r w:rsidR="00DE09F4" w:rsidRPr="00874A44">
        <w:rPr>
          <w:lang w:val="fr-CA"/>
        </w:rPr>
        <w:t>000</w:t>
      </w:r>
      <w:r>
        <w:rPr>
          <w:lang w:val="fr-CA"/>
        </w:rPr>
        <w:t xml:space="preserve"> $US recevront des coûts d’appui d’agence de 7 %; pour les projets dans le secteur de la production, </w:t>
      </w:r>
      <w:r w:rsidR="00250A58">
        <w:rPr>
          <w:lang w:val="fr-CA"/>
        </w:rPr>
        <w:t>ces coûts ne dépasseront pas 6,5 %, à déterminer au cas par cas</w:t>
      </w:r>
      <w:r w:rsidR="00DE09F4" w:rsidRPr="00874A44">
        <w:rPr>
          <w:lang w:val="fr-CA"/>
        </w:rPr>
        <w:t xml:space="preserve">. </w:t>
      </w:r>
      <w:r w:rsidR="00250A58">
        <w:rPr>
          <w:lang w:val="fr-CA"/>
        </w:rPr>
        <w:t xml:space="preserve">La pratique en vigueur dans le secteur de la </w:t>
      </w:r>
      <w:r w:rsidR="00DE09F4" w:rsidRPr="00874A44">
        <w:rPr>
          <w:lang w:val="fr-CA"/>
        </w:rPr>
        <w:t xml:space="preserve">production </w:t>
      </w:r>
      <w:r w:rsidR="00250A58">
        <w:rPr>
          <w:lang w:val="fr-CA"/>
        </w:rPr>
        <w:t>est d’inclure les frais de vérification indépendante dans les coûts d’appui d’agence</w:t>
      </w:r>
      <w:r w:rsidR="00DE09F4" w:rsidRPr="00874A44">
        <w:rPr>
          <w:lang w:val="fr-CA"/>
        </w:rPr>
        <w:t>. I</w:t>
      </w:r>
      <w:r w:rsidR="00250A58">
        <w:rPr>
          <w:lang w:val="fr-CA"/>
        </w:rPr>
        <w:t>l n’est pas clair si les projets de contrôle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 w:rsidR="00250A58">
        <w:rPr>
          <w:lang w:val="fr-CA"/>
        </w:rPr>
        <w:t xml:space="preserve">seraient considérés comme des projets dans le secteur de la </w:t>
      </w:r>
      <w:r w:rsidR="00DE09F4" w:rsidRPr="00874A44">
        <w:rPr>
          <w:lang w:val="fr-CA"/>
        </w:rPr>
        <w:t>production (</w:t>
      </w:r>
      <w:r w:rsidR="00250A58">
        <w:rPr>
          <w:lang w:val="fr-CA"/>
        </w:rPr>
        <w:t xml:space="preserve">avec donc des coûts d’appui d’agence maximaux de </w:t>
      </w:r>
      <w:r w:rsidR="00DE09F4" w:rsidRPr="00874A44">
        <w:rPr>
          <w:lang w:val="fr-CA"/>
        </w:rPr>
        <w:t>6</w:t>
      </w:r>
      <w:r w:rsidR="00250A58">
        <w:rPr>
          <w:lang w:val="fr-CA"/>
        </w:rPr>
        <w:t>,</w:t>
      </w:r>
      <w:r w:rsidR="00DE09F4" w:rsidRPr="00874A44">
        <w:rPr>
          <w:lang w:val="fr-CA"/>
        </w:rPr>
        <w:t>5 </w:t>
      </w:r>
      <w:r w:rsidR="00250A58">
        <w:rPr>
          <w:lang w:val="fr-CA"/>
        </w:rPr>
        <w:t>%, à déterminer au cas par cas</w:t>
      </w:r>
      <w:r w:rsidR="00DE09F4" w:rsidRPr="00874A44">
        <w:rPr>
          <w:lang w:val="fr-CA"/>
        </w:rPr>
        <w:t>), o</w:t>
      </w:r>
      <w:r w:rsidR="00250A58">
        <w:rPr>
          <w:lang w:val="fr-CA"/>
        </w:rPr>
        <w:t>u comme des projets d’investissement</w:t>
      </w:r>
      <w:r w:rsidR="00DE09F4" w:rsidRPr="00874A44">
        <w:rPr>
          <w:lang w:val="fr-CA"/>
        </w:rPr>
        <w:t xml:space="preserve"> (</w:t>
      </w:r>
      <w:r w:rsidR="00250A58">
        <w:rPr>
          <w:lang w:val="fr-CA"/>
        </w:rPr>
        <w:t xml:space="preserve">c’est-à-dire avec des coûts d’appui d’agence de </w:t>
      </w:r>
      <w:r w:rsidR="00DE09F4" w:rsidRPr="00874A44">
        <w:rPr>
          <w:lang w:val="fr-CA"/>
        </w:rPr>
        <w:t>7</w:t>
      </w:r>
      <w:r w:rsidR="00250A58">
        <w:rPr>
          <w:lang w:val="fr-CA"/>
        </w:rPr>
        <w:t> %</w:t>
      </w:r>
      <w:r w:rsidR="00DE09F4" w:rsidRPr="00874A44">
        <w:rPr>
          <w:lang w:val="fr-CA"/>
        </w:rPr>
        <w:t xml:space="preserve">). </w:t>
      </w:r>
    </w:p>
    <w:p w14:paraId="1FC3C7AD" w14:textId="60A41164" w:rsidR="00DE09F4" w:rsidRPr="00874A44" w:rsidRDefault="006E57E3" w:rsidP="00DE09F4">
      <w:pPr>
        <w:pStyle w:val="Heading1"/>
        <w:rPr>
          <w:lang w:val="fr-CA"/>
        </w:rPr>
      </w:pPr>
      <w:r>
        <w:rPr>
          <w:lang w:val="fr-CA"/>
        </w:rPr>
        <w:t>Le Secrétariat</w:t>
      </w:r>
      <w:r w:rsidR="00DE09F4" w:rsidRPr="00874A44">
        <w:rPr>
          <w:lang w:val="fr-CA"/>
        </w:rPr>
        <w:t xml:space="preserve"> consid</w:t>
      </w:r>
      <w:r w:rsidR="00250A58">
        <w:rPr>
          <w:lang w:val="fr-CA"/>
        </w:rPr>
        <w:t>ère que, pour les projets de contrôle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 w:rsidR="00250A58" w:rsidRPr="00250A58">
        <w:rPr>
          <w:lang w:val="fr-CA"/>
        </w:rPr>
        <w:t xml:space="preserve">où </w:t>
      </w:r>
      <w:r w:rsidR="00250A58">
        <w:rPr>
          <w:lang w:val="fr-CA"/>
        </w:rPr>
        <w:t xml:space="preserve">la production </w:t>
      </w:r>
      <w:r w:rsidR="00DE09F4" w:rsidRPr="00874A44">
        <w:rPr>
          <w:lang w:val="fr-CA"/>
        </w:rPr>
        <w:t>HCFC-22</w:t>
      </w:r>
      <w:r w:rsidR="00250A58">
        <w:rPr>
          <w:lang w:val="fr-CA"/>
        </w:rPr>
        <w:t xml:space="preserve"> serait continue</w:t>
      </w:r>
      <w:r w:rsidR="00DE09F4" w:rsidRPr="00874A44">
        <w:rPr>
          <w:lang w:val="fr-CA"/>
        </w:rPr>
        <w:t xml:space="preserve">, </w:t>
      </w:r>
      <w:r w:rsidR="00250A58">
        <w:rPr>
          <w:lang w:val="fr-CA"/>
        </w:rPr>
        <w:t>produisant sans cesse des s</w:t>
      </w:r>
      <w:r w:rsidR="008C65D6">
        <w:rPr>
          <w:lang w:val="fr-CA"/>
        </w:rPr>
        <w:t>ous-produit</w:t>
      </w:r>
      <w:r w:rsidR="00250A58">
        <w:rPr>
          <w:lang w:val="fr-CA"/>
        </w:rPr>
        <w:t>s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 w:rsidR="00250A58">
        <w:rPr>
          <w:lang w:val="fr-CA"/>
        </w:rPr>
        <w:t xml:space="preserve">qui devront être contrôlés </w:t>
      </w:r>
      <w:r w:rsidR="00DE09F4" w:rsidRPr="00874A44">
        <w:rPr>
          <w:lang w:val="fr-CA"/>
        </w:rPr>
        <w:t>(</w:t>
      </w:r>
      <w:r w:rsidR="00250A58">
        <w:rPr>
          <w:lang w:val="fr-CA"/>
        </w:rPr>
        <w:t>sur place ou hors site</w:t>
      </w:r>
      <w:r w:rsidR="00DE09F4" w:rsidRPr="00874A44">
        <w:rPr>
          <w:lang w:val="fr-CA"/>
        </w:rPr>
        <w:t xml:space="preserve">), </w:t>
      </w:r>
      <w:r w:rsidR="00250A58">
        <w:rPr>
          <w:lang w:val="fr-CA"/>
        </w:rPr>
        <w:t>les coûts d’appui d’agence seront constants</w:t>
      </w:r>
      <w:r w:rsidR="00DE09F4" w:rsidRPr="00874A44">
        <w:rPr>
          <w:lang w:val="fr-CA"/>
        </w:rPr>
        <w:t xml:space="preserve">. </w:t>
      </w:r>
      <w:r w:rsidR="00250A58">
        <w:rPr>
          <w:lang w:val="fr-CA"/>
        </w:rPr>
        <w:t xml:space="preserve">Dans ce cas, ce seront </w:t>
      </w:r>
      <w:r w:rsidR="00FA2615">
        <w:rPr>
          <w:lang w:val="fr-CA"/>
        </w:rPr>
        <w:t>les coûts d’appui d’agence des projets d’investissement (soit 7 %) qui s’appliqueront</w:t>
      </w:r>
      <w:r w:rsidR="00DE09F4" w:rsidRPr="00874A44">
        <w:rPr>
          <w:lang w:val="fr-CA"/>
        </w:rPr>
        <w:t xml:space="preserve">. </w:t>
      </w:r>
    </w:p>
    <w:p w14:paraId="34CFECBF" w14:textId="74119906" w:rsidR="00DE09F4" w:rsidRPr="00874A44" w:rsidRDefault="00FA2615" w:rsidP="00DE09F4">
      <w:pPr>
        <w:pStyle w:val="Heading1"/>
        <w:rPr>
          <w:lang w:val="fr-CA"/>
        </w:rPr>
      </w:pPr>
      <w:r>
        <w:rPr>
          <w:lang w:val="fr-CA"/>
        </w:rPr>
        <w:t>E</w:t>
      </w:r>
      <w:r w:rsidR="00DE09F4" w:rsidRPr="00874A44">
        <w:rPr>
          <w:lang w:val="fr-CA"/>
        </w:rPr>
        <w:t xml:space="preserve">n </w:t>
      </w:r>
      <w:r>
        <w:rPr>
          <w:lang w:val="fr-CA"/>
        </w:rPr>
        <w:t xml:space="preserve">revanche, dans les projets </w:t>
      </w:r>
      <w:r w:rsidRPr="00FA2615">
        <w:rPr>
          <w:lang w:val="fr-CA"/>
        </w:rPr>
        <w:t xml:space="preserve">où </w:t>
      </w:r>
      <w:r>
        <w:rPr>
          <w:lang w:val="fr-CA"/>
        </w:rPr>
        <w:t xml:space="preserve">la fermeture des usines de production de </w:t>
      </w:r>
      <w:r w:rsidR="00DE09F4" w:rsidRPr="00874A44">
        <w:rPr>
          <w:lang w:val="fr-CA"/>
        </w:rPr>
        <w:t xml:space="preserve">HCFC-22 </w:t>
      </w:r>
      <w:r>
        <w:rPr>
          <w:lang w:val="fr-CA"/>
        </w:rPr>
        <w:t>est la méthode utilisée pour se conformer aux obligations de contrôle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>
        <w:rPr>
          <w:lang w:val="fr-CA"/>
        </w:rPr>
        <w:t xml:space="preserve">, les coûts d’appui d’agence pour le secteur de la </w:t>
      </w:r>
      <w:r w:rsidR="00DE09F4" w:rsidRPr="00874A44">
        <w:rPr>
          <w:lang w:val="fr-CA"/>
        </w:rPr>
        <w:t>production (6</w:t>
      </w:r>
      <w:r>
        <w:rPr>
          <w:lang w:val="fr-CA"/>
        </w:rPr>
        <w:t>,</w:t>
      </w:r>
      <w:r w:rsidR="00DE09F4" w:rsidRPr="00874A44">
        <w:rPr>
          <w:lang w:val="fr-CA"/>
        </w:rPr>
        <w:t>5</w:t>
      </w:r>
      <w:r>
        <w:rPr>
          <w:lang w:val="fr-CA"/>
        </w:rPr>
        <w:t> %, à déterminer au cas par cas</w:t>
      </w:r>
      <w:r w:rsidR="00DE09F4" w:rsidRPr="00874A44">
        <w:rPr>
          <w:lang w:val="fr-CA"/>
        </w:rPr>
        <w:t xml:space="preserve">) </w:t>
      </w:r>
      <w:r>
        <w:rPr>
          <w:lang w:val="fr-CA"/>
        </w:rPr>
        <w:t>s’appliqueront</w:t>
      </w:r>
      <w:r w:rsidR="00DE09F4" w:rsidRPr="00874A44">
        <w:rPr>
          <w:lang w:val="fr-CA"/>
        </w:rPr>
        <w:t xml:space="preserve">. </w:t>
      </w:r>
    </w:p>
    <w:p w14:paraId="27BA3E5E" w14:textId="3C97C37C" w:rsidR="00DE09F4" w:rsidRPr="00874A44" w:rsidRDefault="00FA2615" w:rsidP="00DE09F4">
      <w:pPr>
        <w:pStyle w:val="Heading1"/>
        <w:rPr>
          <w:lang w:val="fr-CA"/>
        </w:rPr>
      </w:pPr>
      <w:r>
        <w:rPr>
          <w:lang w:val="fr-CA"/>
        </w:rPr>
        <w:t>L’ONUDI</w:t>
      </w:r>
      <w:r w:rsidR="00DE09F4" w:rsidRPr="00874A44">
        <w:rPr>
          <w:lang w:val="fr-CA"/>
        </w:rPr>
        <w:t xml:space="preserve"> consid</w:t>
      </w:r>
      <w:r>
        <w:rPr>
          <w:lang w:val="fr-CA"/>
        </w:rPr>
        <w:t>ère que son portefeuille est un facteur plus pertinent pour déterminer les coûts d’appui d’agence, plutôt qu</w:t>
      </w:r>
      <w:r w:rsidR="009B58BF">
        <w:rPr>
          <w:lang w:val="fr-CA"/>
        </w:rPr>
        <w:t>’</w:t>
      </w:r>
      <w:r>
        <w:rPr>
          <w:lang w:val="fr-CA"/>
        </w:rPr>
        <w:t xml:space="preserve">au cas par cas, et que les projets dans le secteur de la </w:t>
      </w:r>
      <w:r w:rsidR="00DE09F4" w:rsidRPr="00874A44">
        <w:rPr>
          <w:lang w:val="fr-CA"/>
        </w:rPr>
        <w:t xml:space="preserve">production </w:t>
      </w:r>
      <w:r>
        <w:rPr>
          <w:lang w:val="fr-CA"/>
        </w:rPr>
        <w:t>ont toujours tenu compte du manque à gagner et que, dans de tels cas</w:t>
      </w:r>
      <w:r w:rsidR="009B58BF">
        <w:rPr>
          <w:lang w:val="fr-CA"/>
        </w:rPr>
        <w:t>, il est normal que des coûts d’appui d’agence</w:t>
      </w:r>
      <w:r>
        <w:rPr>
          <w:lang w:val="fr-CA"/>
        </w:rPr>
        <w:t xml:space="preserve"> </w:t>
      </w:r>
      <w:r w:rsidR="009B58BF">
        <w:rPr>
          <w:lang w:val="fr-CA"/>
        </w:rPr>
        <w:t>plus faibles soient appliqués</w:t>
      </w:r>
      <w:r w:rsidR="00DE09F4" w:rsidRPr="00874A44">
        <w:rPr>
          <w:lang w:val="fr-CA"/>
        </w:rPr>
        <w:t xml:space="preserve">. </w:t>
      </w:r>
      <w:r w:rsidR="009B58BF">
        <w:rPr>
          <w:lang w:val="fr-CA"/>
        </w:rPr>
        <w:t xml:space="preserve">En ce qui concerne les usines de production de réserve, </w:t>
      </w:r>
      <w:r w:rsidR="009B58BF" w:rsidRPr="00FA2615">
        <w:rPr>
          <w:lang w:val="fr-CA"/>
        </w:rPr>
        <w:t>où</w:t>
      </w:r>
      <w:r w:rsidR="009B58BF" w:rsidRPr="00874A44">
        <w:rPr>
          <w:lang w:val="fr-CA"/>
        </w:rPr>
        <w:t xml:space="preserve"> </w:t>
      </w:r>
      <w:r w:rsidR="009B58BF">
        <w:rPr>
          <w:lang w:val="fr-CA"/>
        </w:rPr>
        <w:t>il n’est pas encore déterminé si le manque à gagner est admissible, l’</w:t>
      </w:r>
      <w:r>
        <w:rPr>
          <w:lang w:val="fr-CA"/>
        </w:rPr>
        <w:t>ONUDI</w:t>
      </w:r>
      <w:r w:rsidR="00DE09F4" w:rsidRPr="00874A44">
        <w:rPr>
          <w:lang w:val="fr-CA"/>
        </w:rPr>
        <w:t xml:space="preserve"> </w:t>
      </w:r>
      <w:r w:rsidR="009B58BF">
        <w:rPr>
          <w:lang w:val="fr-CA"/>
        </w:rPr>
        <w:t xml:space="preserve">estime qu’un taux de 7 % </w:t>
      </w:r>
      <w:r w:rsidR="006B5B39">
        <w:rPr>
          <w:lang w:val="fr-CA"/>
        </w:rPr>
        <w:t>serait</w:t>
      </w:r>
      <w:r w:rsidR="009B58BF">
        <w:rPr>
          <w:lang w:val="fr-CA"/>
        </w:rPr>
        <w:t xml:space="preserve"> approprié</w:t>
      </w:r>
      <w:r w:rsidR="00DE09F4" w:rsidRPr="00874A44">
        <w:rPr>
          <w:lang w:val="fr-CA"/>
        </w:rPr>
        <w:t>.</w:t>
      </w:r>
    </w:p>
    <w:p w14:paraId="2EF773F7" w14:textId="30F0E8FA" w:rsidR="00DE09F4" w:rsidRPr="00874A44" w:rsidRDefault="006E57E3" w:rsidP="00DE09F4">
      <w:pPr>
        <w:pStyle w:val="Heading1"/>
        <w:rPr>
          <w:lang w:val="fr-CA"/>
        </w:rPr>
      </w:pPr>
      <w:r>
        <w:rPr>
          <w:lang w:val="fr-CA"/>
        </w:rPr>
        <w:t>Le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bookmarkStart w:id="2" w:name="_Hlk26315668"/>
      <w:r w:rsidR="009B58BF" w:rsidRPr="009B58BF">
        <w:rPr>
          <w:lang w:val="fr-CA"/>
        </w:rPr>
        <w:t>est invité à fournir des orientations sur les éléments ci-après</w:t>
      </w:r>
      <w:r w:rsidR="00DE09F4" w:rsidRPr="00874A44">
        <w:rPr>
          <w:lang w:val="fr-CA"/>
        </w:rPr>
        <w:t>:</w:t>
      </w:r>
      <w:bookmarkEnd w:id="2"/>
    </w:p>
    <w:p w14:paraId="6628A012" w14:textId="3788D01D" w:rsidR="00DE09F4" w:rsidRPr="00874A44" w:rsidRDefault="009B58BF" w:rsidP="00DE09F4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Le niveau approprié des coûts d’appui d’agence pour les projets de contrôle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dans les p</w:t>
      </w:r>
      <w:r w:rsidR="00874A44" w:rsidRPr="00874A44">
        <w:rPr>
          <w:lang w:val="fr-CA"/>
        </w:rPr>
        <w:t>ays visés à l’article 5</w:t>
      </w:r>
      <w:r w:rsidR="00DE09F4" w:rsidRPr="00874A44">
        <w:rPr>
          <w:lang w:val="fr-CA"/>
        </w:rPr>
        <w:t>,</w:t>
      </w:r>
      <w:r>
        <w:rPr>
          <w:lang w:val="fr-CA"/>
        </w:rPr>
        <w:t xml:space="preserve"> en précisant notamment s’il convient d’appliquer </w:t>
      </w:r>
      <w:r>
        <w:rPr>
          <w:lang w:val="fr-CA"/>
        </w:rPr>
        <w:lastRenderedPageBreak/>
        <w:t xml:space="preserve">des niveaux différents entre des projets </w:t>
      </w:r>
      <w:r w:rsidR="009E405A" w:rsidRPr="00FA2615">
        <w:rPr>
          <w:lang w:val="fr-CA"/>
        </w:rPr>
        <w:t>où</w:t>
      </w:r>
      <w:r w:rsidR="009E405A">
        <w:rPr>
          <w:lang w:val="fr-CA"/>
        </w:rPr>
        <w:t xml:space="preserve"> le contrôle du </w:t>
      </w:r>
      <w:r w:rsidR="00DE09F4" w:rsidRPr="00874A44">
        <w:rPr>
          <w:lang w:val="fr-CA"/>
        </w:rPr>
        <w:t xml:space="preserve">HFC-23 </w:t>
      </w:r>
      <w:r w:rsidR="009E405A">
        <w:rPr>
          <w:lang w:val="fr-CA"/>
        </w:rPr>
        <w:t xml:space="preserve">se fait par la </w:t>
      </w:r>
      <w:r w:rsidR="00DE09F4" w:rsidRPr="00874A44">
        <w:rPr>
          <w:lang w:val="fr-CA"/>
        </w:rPr>
        <w:t xml:space="preserve">destruction </w:t>
      </w:r>
      <w:r w:rsidR="009E405A">
        <w:rPr>
          <w:lang w:val="fr-CA"/>
        </w:rPr>
        <w:t xml:space="preserve">et les projets qui favorisent la fermeture des installations de production du </w:t>
      </w:r>
      <w:r w:rsidR="00DE09F4" w:rsidRPr="00874A44">
        <w:rPr>
          <w:lang w:val="fr-CA"/>
        </w:rPr>
        <w:t>HCFC-22</w:t>
      </w:r>
      <w:r w:rsidR="009E405A">
        <w:rPr>
          <w:lang w:val="fr-CA"/>
        </w:rPr>
        <w:t>;</w:t>
      </w:r>
    </w:p>
    <w:p w14:paraId="3F91CE79" w14:textId="4B1B9540" w:rsidR="00DE09F4" w:rsidRPr="00874A44" w:rsidRDefault="009E405A" w:rsidP="00DE09F4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Convient-il d’inclure les coûts de vérification indépendante dans les coûts d’appui d’agence ou dans les coûts du projet</w:t>
      </w:r>
      <w:r w:rsidR="00DE09F4" w:rsidRPr="00874A44">
        <w:rPr>
          <w:lang w:val="fr-CA"/>
        </w:rPr>
        <w:t>.</w:t>
      </w:r>
    </w:p>
    <w:p w14:paraId="57AABC11" w14:textId="68B4B13A" w:rsidR="00DE09F4" w:rsidRPr="00874A44" w:rsidRDefault="009E405A" w:rsidP="00DE09F4">
      <w:pPr>
        <w:pStyle w:val="ListParagraph"/>
        <w:keepNext/>
        <w:numPr>
          <w:ilvl w:val="0"/>
          <w:numId w:val="23"/>
        </w:numPr>
        <w:ind w:left="720"/>
        <w:rPr>
          <w:b/>
          <w:lang w:val="fr-CA"/>
        </w:rPr>
      </w:pPr>
      <w:r>
        <w:rPr>
          <w:b/>
          <w:lang w:val="fr-CA"/>
        </w:rPr>
        <w:t xml:space="preserve">Problèmes de politique détectés dans le projet en </w:t>
      </w:r>
      <w:r w:rsidR="00874A44" w:rsidRPr="00874A44">
        <w:rPr>
          <w:b/>
          <w:lang w:val="fr-CA"/>
        </w:rPr>
        <w:t>Argentine</w:t>
      </w:r>
    </w:p>
    <w:p w14:paraId="4BFDB649" w14:textId="77777777" w:rsidR="00DE09F4" w:rsidRPr="00874A44" w:rsidRDefault="00DE09F4" w:rsidP="00DE09F4">
      <w:pPr>
        <w:keepNext/>
        <w:tabs>
          <w:tab w:val="left" w:pos="8280"/>
        </w:tabs>
        <w:rPr>
          <w:lang w:val="fr-CA"/>
        </w:rPr>
      </w:pPr>
    </w:p>
    <w:p w14:paraId="5F46EDC0" w14:textId="6E963682" w:rsidR="00DE09F4" w:rsidRPr="00874A44" w:rsidRDefault="009E405A" w:rsidP="00DE09F4">
      <w:pPr>
        <w:keepNext/>
        <w:rPr>
          <w:u w:val="single"/>
          <w:lang w:val="fr-CA"/>
        </w:rPr>
      </w:pPr>
      <w:r>
        <w:rPr>
          <w:u w:val="single"/>
          <w:lang w:val="fr-CA"/>
        </w:rPr>
        <w:t xml:space="preserve">Mesure dans laquelle la demande </w:t>
      </w:r>
      <w:r w:rsidR="006B5B39">
        <w:rPr>
          <w:u w:val="single"/>
          <w:lang w:val="fr-CA"/>
        </w:rPr>
        <w:t>du</w:t>
      </w:r>
      <w:r>
        <w:rPr>
          <w:u w:val="single"/>
          <w:lang w:val="fr-CA"/>
        </w:rPr>
        <w:t xml:space="preserve"> marché et la </w:t>
      </w:r>
      <w:r w:rsidR="006B5B39">
        <w:rPr>
          <w:u w:val="single"/>
          <w:lang w:val="fr-CA"/>
        </w:rPr>
        <w:t>ren</w:t>
      </w:r>
      <w:r>
        <w:rPr>
          <w:u w:val="single"/>
          <w:lang w:val="fr-CA"/>
        </w:rPr>
        <w:t xml:space="preserve">tabilité de la production du </w:t>
      </w:r>
      <w:r w:rsidR="00DE09F4" w:rsidRPr="00874A44">
        <w:rPr>
          <w:u w:val="single"/>
          <w:lang w:val="fr-CA"/>
        </w:rPr>
        <w:t xml:space="preserve">HCFC-22 </w:t>
      </w:r>
      <w:r>
        <w:rPr>
          <w:u w:val="single"/>
          <w:lang w:val="fr-CA"/>
        </w:rPr>
        <w:t>devrai</w:t>
      </w:r>
      <w:r w:rsidR="006B5B39">
        <w:rPr>
          <w:u w:val="single"/>
          <w:lang w:val="fr-CA"/>
        </w:rPr>
        <w:t>en</w:t>
      </w:r>
      <w:r>
        <w:rPr>
          <w:u w:val="single"/>
          <w:lang w:val="fr-CA"/>
        </w:rPr>
        <w:t xml:space="preserve">t déterminer </w:t>
      </w:r>
      <w:r w:rsidR="006B5B39">
        <w:rPr>
          <w:u w:val="single"/>
          <w:lang w:val="fr-CA"/>
        </w:rPr>
        <w:t>l</w:t>
      </w:r>
      <w:r>
        <w:rPr>
          <w:u w:val="single"/>
          <w:lang w:val="fr-CA"/>
        </w:rPr>
        <w:t>a production future escomptée</w:t>
      </w:r>
      <w:r w:rsidR="006B5B39">
        <w:rPr>
          <w:u w:val="single"/>
          <w:lang w:val="fr-CA"/>
        </w:rPr>
        <w:t xml:space="preserve"> du HCFC-22</w:t>
      </w:r>
    </w:p>
    <w:p w14:paraId="3F1BD9C8" w14:textId="77777777" w:rsidR="00DE09F4" w:rsidRPr="00874A44" w:rsidRDefault="00DE09F4" w:rsidP="00DE09F4">
      <w:pPr>
        <w:keepNext/>
        <w:rPr>
          <w:lang w:val="fr-CA"/>
        </w:rPr>
      </w:pPr>
    </w:p>
    <w:p w14:paraId="2A7EB13D" w14:textId="5D503456" w:rsidR="00DE09F4" w:rsidRPr="00874A44" w:rsidRDefault="009E405A" w:rsidP="00DE09F4">
      <w:pPr>
        <w:pStyle w:val="Heading1"/>
        <w:rPr>
          <w:lang w:val="fr-CA"/>
        </w:rPr>
      </w:pPr>
      <w:r>
        <w:rPr>
          <w:lang w:val="fr-CA"/>
        </w:rPr>
        <w:t>Se fondant sur l’analyse du consultant indépendant</w:t>
      </w:r>
      <w:r w:rsidR="00DE09F4" w:rsidRPr="00874A44">
        <w:rPr>
          <w:lang w:val="fr-CA"/>
        </w:rPr>
        <w:t>,</w:t>
      </w:r>
      <w:r w:rsidR="00DE09F4" w:rsidRPr="00874A44">
        <w:rPr>
          <w:rStyle w:val="FootnoteReference"/>
          <w:lang w:val="fr-CA"/>
        </w:rPr>
        <w:footnoteReference w:id="6"/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l</w:t>
      </w:r>
      <w:r w:rsidR="006E57E3">
        <w:rPr>
          <w:lang w:val="fr-CA"/>
        </w:rPr>
        <w:t>e Secrétariat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a considéré, à la</w:t>
      </w:r>
      <w:r w:rsidRPr="00874A44">
        <w:rPr>
          <w:lang w:val="fr-CA"/>
        </w:rPr>
        <w:t xml:space="preserve"> 83</w:t>
      </w:r>
      <w:r>
        <w:rPr>
          <w:vertAlign w:val="superscript"/>
          <w:lang w:val="fr-CA"/>
        </w:rPr>
        <w:t>e</w:t>
      </w:r>
      <w:r w:rsidRPr="00874A44">
        <w:rPr>
          <w:lang w:val="fr-CA"/>
        </w:rPr>
        <w:t xml:space="preserve"> réunion</w:t>
      </w:r>
      <w:r>
        <w:rPr>
          <w:lang w:val="fr-CA"/>
        </w:rPr>
        <w:t xml:space="preserve">, que </w:t>
      </w:r>
      <w:r w:rsidR="00DE09F4" w:rsidRPr="00874A44">
        <w:rPr>
          <w:lang w:val="fr-CA"/>
        </w:rPr>
        <w:t xml:space="preserve">FIASA </w:t>
      </w:r>
      <w:r>
        <w:rPr>
          <w:lang w:val="fr-CA"/>
        </w:rPr>
        <w:t xml:space="preserve">fermera sa production </w:t>
      </w:r>
      <w:r w:rsidR="008C1481">
        <w:rPr>
          <w:lang w:val="fr-CA"/>
        </w:rPr>
        <w:t xml:space="preserve">au </w:t>
      </w:r>
      <w:r w:rsidR="00DE09F4" w:rsidRPr="00874A44">
        <w:rPr>
          <w:lang w:val="fr-CA"/>
        </w:rPr>
        <w:t>1</w:t>
      </w:r>
      <w:r w:rsidR="008C1481" w:rsidRPr="008C1481">
        <w:rPr>
          <w:vertAlign w:val="superscript"/>
          <w:lang w:val="fr-CA"/>
        </w:rPr>
        <w:t>er</w:t>
      </w:r>
      <w:r w:rsidR="008C1481">
        <w:rPr>
          <w:lang w:val="fr-CA"/>
        </w:rPr>
        <w:t> janvier</w:t>
      </w:r>
      <w:r w:rsidR="00DE09F4" w:rsidRPr="00874A44">
        <w:rPr>
          <w:lang w:val="fr-CA"/>
        </w:rPr>
        <w:t>  2024</w:t>
      </w:r>
      <w:r w:rsidR="008C1481">
        <w:rPr>
          <w:lang w:val="fr-CA"/>
        </w:rPr>
        <w:t xml:space="preserve">, compte tenu de la tendance dans la consommation et la production de </w:t>
      </w:r>
      <w:r w:rsidR="00DE09F4" w:rsidRPr="00874A44">
        <w:rPr>
          <w:lang w:val="fr-CA"/>
        </w:rPr>
        <w:t xml:space="preserve">HCFC </w:t>
      </w:r>
      <w:r w:rsidR="008C1481">
        <w:rPr>
          <w:lang w:val="fr-CA"/>
        </w:rPr>
        <w:t>dans le pays</w:t>
      </w:r>
      <w:r w:rsidR="00DE09F4" w:rsidRPr="00874A44">
        <w:rPr>
          <w:lang w:val="fr-CA"/>
        </w:rPr>
        <w:t xml:space="preserve">, </w:t>
      </w:r>
      <w:r w:rsidR="008C1481">
        <w:rPr>
          <w:lang w:val="fr-CA"/>
        </w:rPr>
        <w:t xml:space="preserve">la demande de </w:t>
      </w:r>
      <w:r w:rsidR="00DE09F4" w:rsidRPr="00874A44">
        <w:rPr>
          <w:lang w:val="fr-CA"/>
        </w:rPr>
        <w:t xml:space="preserve">HCFC-22 </w:t>
      </w:r>
      <w:r w:rsidR="008C1481">
        <w:rPr>
          <w:lang w:val="fr-CA"/>
        </w:rPr>
        <w:t>sur le marché e</w:t>
      </w:r>
      <w:r w:rsidR="00DE09F4" w:rsidRPr="00874A44">
        <w:rPr>
          <w:lang w:val="fr-CA"/>
        </w:rPr>
        <w:t xml:space="preserve">n </w:t>
      </w:r>
      <w:r w:rsidR="00874A44" w:rsidRPr="00874A44">
        <w:rPr>
          <w:lang w:val="fr-CA"/>
        </w:rPr>
        <w:t>Argentine</w:t>
      </w:r>
      <w:r w:rsidR="00DE09F4" w:rsidRPr="00874A44">
        <w:rPr>
          <w:lang w:val="fr-CA"/>
        </w:rPr>
        <w:t xml:space="preserve">, </w:t>
      </w:r>
      <w:r w:rsidR="008C1481">
        <w:rPr>
          <w:lang w:val="fr-CA"/>
        </w:rPr>
        <w:t>le prix du</w:t>
      </w:r>
      <w:r w:rsidR="00DE09F4" w:rsidRPr="00874A44">
        <w:rPr>
          <w:lang w:val="fr-CA"/>
        </w:rPr>
        <w:t xml:space="preserve"> HCFC-22 </w:t>
      </w:r>
      <w:r w:rsidR="008C1481">
        <w:rPr>
          <w:lang w:val="fr-CA"/>
        </w:rPr>
        <w:t xml:space="preserve">de </w:t>
      </w:r>
      <w:r w:rsidR="00094A50">
        <w:rPr>
          <w:lang w:val="fr-CA"/>
        </w:rPr>
        <w:t>F</w:t>
      </w:r>
      <w:r w:rsidR="008C1481">
        <w:rPr>
          <w:lang w:val="fr-CA"/>
        </w:rPr>
        <w:t xml:space="preserve">IASA par rapport au prix d’importation possible du </w:t>
      </w:r>
      <w:r w:rsidR="00DE09F4" w:rsidRPr="00874A44">
        <w:rPr>
          <w:lang w:val="fr-CA"/>
        </w:rPr>
        <w:t xml:space="preserve">HCFC-22, </w:t>
      </w:r>
      <w:r w:rsidR="008C1481">
        <w:rPr>
          <w:lang w:val="fr-CA"/>
        </w:rPr>
        <w:t xml:space="preserve">le coût de production de </w:t>
      </w:r>
      <w:r w:rsidR="00DE09F4" w:rsidRPr="00874A44">
        <w:rPr>
          <w:lang w:val="fr-CA"/>
        </w:rPr>
        <w:t>FIASA</w:t>
      </w:r>
      <w:r w:rsidR="008C1481">
        <w:rPr>
          <w:lang w:val="fr-CA"/>
        </w:rPr>
        <w:t xml:space="preserve"> comparé à ses concurrents internationaux</w:t>
      </w:r>
      <w:r w:rsidR="00DE09F4" w:rsidRPr="00874A44">
        <w:rPr>
          <w:lang w:val="fr-CA"/>
        </w:rPr>
        <w:t xml:space="preserve">, </w:t>
      </w:r>
      <w:r w:rsidR="008C1481">
        <w:rPr>
          <w:lang w:val="fr-CA"/>
        </w:rPr>
        <w:t xml:space="preserve">et le fait que le coût de production de </w:t>
      </w:r>
      <w:r w:rsidR="00DE09F4" w:rsidRPr="00874A44">
        <w:rPr>
          <w:lang w:val="fr-CA"/>
        </w:rPr>
        <w:t>FIASA</w:t>
      </w:r>
      <w:r w:rsidR="008C1481">
        <w:rPr>
          <w:lang w:val="fr-CA"/>
        </w:rPr>
        <w:t xml:space="preserve"> augmentera alors que la production continuera de baisser </w:t>
      </w:r>
      <w:r w:rsidR="006B5B39">
        <w:rPr>
          <w:lang w:val="fr-CA"/>
        </w:rPr>
        <w:t>jusqu’</w:t>
      </w:r>
      <w:r w:rsidR="008C1481">
        <w:rPr>
          <w:lang w:val="fr-CA"/>
        </w:rPr>
        <w:t xml:space="preserve">à un point </w:t>
      </w:r>
      <w:r w:rsidR="008C1481" w:rsidRPr="00FA2615">
        <w:rPr>
          <w:lang w:val="fr-CA"/>
        </w:rPr>
        <w:t>où</w:t>
      </w:r>
      <w:r w:rsidR="008C1481">
        <w:rPr>
          <w:lang w:val="fr-CA"/>
        </w:rPr>
        <w:t xml:space="preserve"> elle cessera d’être profitable</w:t>
      </w:r>
      <w:r w:rsidR="00DE09F4" w:rsidRPr="00874A44">
        <w:rPr>
          <w:lang w:val="fr-CA"/>
        </w:rPr>
        <w:t xml:space="preserve">. </w:t>
      </w:r>
      <w:r w:rsidR="008C1481">
        <w:rPr>
          <w:lang w:val="fr-CA"/>
        </w:rPr>
        <w:t xml:space="preserve">Une évaluation effectuée à l’intention de la </w:t>
      </w:r>
      <w:r w:rsidR="00DE09F4" w:rsidRPr="00874A44">
        <w:rPr>
          <w:lang w:val="fr-CA"/>
        </w:rPr>
        <w:t>84</w:t>
      </w:r>
      <w:r w:rsidR="008C1481">
        <w:rPr>
          <w:vertAlign w:val="superscript"/>
          <w:lang w:val="fr-CA"/>
        </w:rPr>
        <w:t>e</w:t>
      </w:r>
      <w:r w:rsidR="00DE09F4" w:rsidRPr="00874A44">
        <w:rPr>
          <w:lang w:val="fr-CA"/>
        </w:rPr>
        <w:t xml:space="preserve"> </w:t>
      </w:r>
      <w:r w:rsidR="00874A44" w:rsidRPr="00874A44">
        <w:rPr>
          <w:lang w:val="fr-CA"/>
        </w:rPr>
        <w:t>réunion</w:t>
      </w:r>
      <w:r w:rsidR="00DE09F4" w:rsidRPr="00874A44">
        <w:rPr>
          <w:lang w:val="fr-CA"/>
        </w:rPr>
        <w:t xml:space="preserve"> </w:t>
      </w:r>
      <w:r w:rsidR="008C1481">
        <w:rPr>
          <w:lang w:val="fr-CA"/>
        </w:rPr>
        <w:t xml:space="preserve">indique que le krach boursier survenu en août </w:t>
      </w:r>
      <w:r w:rsidR="00DE09F4" w:rsidRPr="00874A44">
        <w:rPr>
          <w:lang w:val="fr-CA"/>
        </w:rPr>
        <w:t xml:space="preserve">2019 </w:t>
      </w:r>
      <w:r w:rsidR="008C1481">
        <w:rPr>
          <w:lang w:val="fr-CA"/>
        </w:rPr>
        <w:t xml:space="preserve">en </w:t>
      </w:r>
      <w:r w:rsidR="00874A44" w:rsidRPr="00874A44">
        <w:rPr>
          <w:lang w:val="fr-CA"/>
        </w:rPr>
        <w:t>Argentine</w:t>
      </w:r>
      <w:r w:rsidR="00DE09F4" w:rsidRPr="00874A44">
        <w:rPr>
          <w:lang w:val="fr-CA"/>
        </w:rPr>
        <w:t xml:space="preserve"> </w:t>
      </w:r>
      <w:r w:rsidR="008C1481">
        <w:rPr>
          <w:lang w:val="fr-CA"/>
        </w:rPr>
        <w:t>pourrait avoir compromis la viabilité financière de l’</w:t>
      </w:r>
      <w:r w:rsidR="00DE09F4" w:rsidRPr="00874A44">
        <w:rPr>
          <w:lang w:val="fr-CA"/>
        </w:rPr>
        <w:t>ent</w:t>
      </w:r>
      <w:r w:rsidR="008C1481">
        <w:rPr>
          <w:lang w:val="fr-CA"/>
        </w:rPr>
        <w:t>r</w:t>
      </w:r>
      <w:r w:rsidR="00DE09F4" w:rsidRPr="00874A44">
        <w:rPr>
          <w:lang w:val="fr-CA"/>
        </w:rPr>
        <w:t>eprise.</w:t>
      </w:r>
      <w:r w:rsidR="00DE09F4" w:rsidRPr="00874A44">
        <w:rPr>
          <w:rStyle w:val="FootnoteReference"/>
          <w:lang w:val="fr-CA"/>
        </w:rPr>
        <w:footnoteReference w:id="7"/>
      </w:r>
    </w:p>
    <w:p w14:paraId="596233FF" w14:textId="402A3F09" w:rsidR="00DE09F4" w:rsidRPr="00874A44" w:rsidRDefault="006B5B39" w:rsidP="00DE09F4">
      <w:pPr>
        <w:pStyle w:val="Heading1"/>
        <w:rPr>
          <w:lang w:val="fr-CA"/>
        </w:rPr>
      </w:pPr>
      <w:r>
        <w:rPr>
          <w:lang w:val="fr-CA"/>
        </w:rPr>
        <w:t>L</w:t>
      </w:r>
      <w:r w:rsidR="008C1481">
        <w:rPr>
          <w:lang w:val="fr-CA"/>
        </w:rPr>
        <w:t>e g</w:t>
      </w:r>
      <w:r w:rsidR="00874A44" w:rsidRPr="00874A44">
        <w:rPr>
          <w:lang w:val="fr-CA"/>
        </w:rPr>
        <w:t>ouvernement</w:t>
      </w:r>
      <w:r w:rsidR="00DE09F4" w:rsidRPr="00874A44">
        <w:rPr>
          <w:lang w:val="fr-CA"/>
        </w:rPr>
        <w:t xml:space="preserve"> </w:t>
      </w:r>
      <w:r w:rsidR="008C1481">
        <w:rPr>
          <w:lang w:val="fr-CA"/>
        </w:rPr>
        <w:t>de l’</w:t>
      </w:r>
      <w:r w:rsidR="00874A44" w:rsidRPr="00874A44">
        <w:rPr>
          <w:lang w:val="fr-CA"/>
        </w:rPr>
        <w:t>Argentine</w:t>
      </w:r>
      <w:r w:rsidR="00DE09F4" w:rsidRPr="00874A44">
        <w:rPr>
          <w:lang w:val="fr-CA"/>
        </w:rPr>
        <w:t xml:space="preserve"> </w:t>
      </w:r>
      <w:r w:rsidR="008C1481">
        <w:rPr>
          <w:lang w:val="fr-CA"/>
        </w:rPr>
        <w:t xml:space="preserve">a </w:t>
      </w:r>
      <w:r>
        <w:rPr>
          <w:lang w:val="fr-CA"/>
        </w:rPr>
        <w:t xml:space="preserve">cependant </w:t>
      </w:r>
      <w:r w:rsidR="008C1481">
        <w:rPr>
          <w:lang w:val="fr-CA"/>
        </w:rPr>
        <w:t>fait une analyse fort différente</w:t>
      </w:r>
      <w:r w:rsidR="00DE09F4" w:rsidRPr="00874A44">
        <w:rPr>
          <w:lang w:val="fr-CA"/>
        </w:rPr>
        <w:t xml:space="preserve">. </w:t>
      </w:r>
      <w:r w:rsidR="008C1481">
        <w:rPr>
          <w:lang w:val="fr-CA"/>
        </w:rPr>
        <w:t xml:space="preserve">Comparé à </w:t>
      </w:r>
      <w:r w:rsidR="00DE09F4" w:rsidRPr="00874A44">
        <w:rPr>
          <w:lang w:val="fr-CA"/>
        </w:rPr>
        <w:t xml:space="preserve">2018, </w:t>
      </w:r>
      <w:r w:rsidR="008C1481">
        <w:rPr>
          <w:lang w:val="fr-CA"/>
        </w:rPr>
        <w:t xml:space="preserve">la </w:t>
      </w:r>
      <w:r w:rsidR="00DE09F4" w:rsidRPr="00874A44">
        <w:rPr>
          <w:lang w:val="fr-CA"/>
        </w:rPr>
        <w:t xml:space="preserve">production </w:t>
      </w:r>
      <w:r w:rsidR="008C1481">
        <w:rPr>
          <w:lang w:val="fr-CA"/>
        </w:rPr>
        <w:t xml:space="preserve">du </w:t>
      </w:r>
      <w:r w:rsidR="00DE09F4" w:rsidRPr="00874A44">
        <w:rPr>
          <w:lang w:val="fr-CA"/>
        </w:rPr>
        <w:t xml:space="preserve">HCFC-22 </w:t>
      </w:r>
      <w:r w:rsidR="008C1481">
        <w:rPr>
          <w:lang w:val="fr-CA"/>
        </w:rPr>
        <w:t>à</w:t>
      </w:r>
      <w:r w:rsidR="00DE09F4" w:rsidRPr="00874A44">
        <w:rPr>
          <w:lang w:val="fr-CA"/>
        </w:rPr>
        <w:t xml:space="preserve"> FIASA </w:t>
      </w:r>
      <w:r w:rsidR="00F3226A">
        <w:rPr>
          <w:lang w:val="fr-CA"/>
        </w:rPr>
        <w:t xml:space="preserve">augmentera d’au moins </w:t>
      </w:r>
      <w:r w:rsidR="00DE09F4" w:rsidRPr="00874A44">
        <w:rPr>
          <w:lang w:val="fr-CA"/>
        </w:rPr>
        <w:t>69 </w:t>
      </w:r>
      <w:r w:rsidR="00F3226A">
        <w:rPr>
          <w:lang w:val="fr-CA"/>
        </w:rPr>
        <w:t xml:space="preserve">% en </w:t>
      </w:r>
      <w:r w:rsidR="00DE09F4" w:rsidRPr="00874A44">
        <w:rPr>
          <w:lang w:val="fr-CA"/>
        </w:rPr>
        <w:t>2020,</w:t>
      </w:r>
      <w:r w:rsidR="00F3226A">
        <w:rPr>
          <w:lang w:val="fr-CA"/>
        </w:rPr>
        <w:t xml:space="preserve"> hausse qui pourra</w:t>
      </w:r>
      <w:r>
        <w:rPr>
          <w:lang w:val="fr-CA"/>
        </w:rPr>
        <w:t>it</w:t>
      </w:r>
      <w:r w:rsidR="00F3226A">
        <w:rPr>
          <w:lang w:val="fr-CA"/>
        </w:rPr>
        <w:t xml:space="preserve"> se maintenir jusqu’en </w:t>
      </w:r>
      <w:r w:rsidR="00DE09F4" w:rsidRPr="00874A44">
        <w:rPr>
          <w:lang w:val="fr-CA"/>
        </w:rPr>
        <w:t xml:space="preserve">2024, </w:t>
      </w:r>
      <w:r w:rsidR="00F3226A">
        <w:rPr>
          <w:lang w:val="fr-CA"/>
        </w:rPr>
        <w:t xml:space="preserve">et se poursuivre à 10 % au-dessus des niveaux de production de </w:t>
      </w:r>
      <w:r w:rsidR="00DE09F4" w:rsidRPr="00874A44">
        <w:rPr>
          <w:lang w:val="fr-CA"/>
        </w:rPr>
        <w:t xml:space="preserve">2018 </w:t>
      </w:r>
      <w:r>
        <w:rPr>
          <w:lang w:val="fr-CA"/>
        </w:rPr>
        <w:t xml:space="preserve">durant la période </w:t>
      </w:r>
      <w:r w:rsidR="00DE09F4" w:rsidRPr="00874A44">
        <w:rPr>
          <w:lang w:val="fr-CA"/>
        </w:rPr>
        <w:t>2025</w:t>
      </w:r>
      <w:r>
        <w:rPr>
          <w:lang w:val="fr-CA"/>
        </w:rPr>
        <w:t>-</w:t>
      </w:r>
      <w:r w:rsidR="00DE09F4" w:rsidRPr="00874A44">
        <w:rPr>
          <w:lang w:val="fr-CA"/>
        </w:rPr>
        <w:t xml:space="preserve">2029. </w:t>
      </w:r>
    </w:p>
    <w:p w14:paraId="27719860" w14:textId="746FD81B" w:rsidR="00DE09F4" w:rsidRPr="00874A44" w:rsidRDefault="00DE09F4" w:rsidP="00DE09F4">
      <w:pPr>
        <w:pStyle w:val="Heading1"/>
        <w:rPr>
          <w:lang w:val="fr-CA"/>
        </w:rPr>
      </w:pPr>
      <w:r w:rsidRPr="00874A44">
        <w:rPr>
          <w:lang w:val="fr-CA"/>
        </w:rPr>
        <w:t xml:space="preserve">FIASA </w:t>
      </w:r>
      <w:r w:rsidR="006B5B39">
        <w:rPr>
          <w:lang w:val="fr-CA"/>
        </w:rPr>
        <w:t xml:space="preserve">était une entreprise rentable à la </w:t>
      </w:r>
      <w:r w:rsidRPr="00874A44">
        <w:rPr>
          <w:lang w:val="fr-CA"/>
        </w:rPr>
        <w:t>83</w:t>
      </w:r>
      <w:r w:rsidR="006B5B39">
        <w:rPr>
          <w:vertAlign w:val="superscript"/>
          <w:lang w:val="fr-CA"/>
        </w:rPr>
        <w:t>e</w:t>
      </w:r>
      <w:r w:rsidRPr="00874A44">
        <w:rPr>
          <w:lang w:val="fr-CA"/>
        </w:rPr>
        <w:t xml:space="preserve"> </w:t>
      </w:r>
      <w:r w:rsidR="00874A44" w:rsidRPr="00874A44">
        <w:rPr>
          <w:lang w:val="fr-CA"/>
        </w:rPr>
        <w:t>réunion</w:t>
      </w:r>
      <w:r w:rsidRPr="00874A44">
        <w:rPr>
          <w:lang w:val="fr-CA"/>
        </w:rPr>
        <w:t xml:space="preserve"> </w:t>
      </w:r>
      <w:r w:rsidR="006B5B39">
        <w:rPr>
          <w:lang w:val="fr-CA"/>
        </w:rPr>
        <w:t>parce qu’elle pouvait imposer aux consommateurs locaux un prix qui était au moins le double du prix du marché international</w:t>
      </w:r>
      <w:r w:rsidRPr="00874A44">
        <w:rPr>
          <w:lang w:val="fr-CA"/>
        </w:rPr>
        <w:t xml:space="preserve">. </w:t>
      </w:r>
      <w:r w:rsidR="006B5B39">
        <w:rPr>
          <w:lang w:val="fr-CA"/>
        </w:rPr>
        <w:t>Une situation similaire était applicable aux installations de production du</w:t>
      </w:r>
      <w:r w:rsidRPr="00874A44">
        <w:rPr>
          <w:lang w:val="fr-CA"/>
        </w:rPr>
        <w:t xml:space="preserve"> HCFC-22 </w:t>
      </w:r>
      <w:r w:rsidR="006B5B39">
        <w:rPr>
          <w:lang w:val="fr-CA"/>
        </w:rPr>
        <w:t>dans d’autres p</w:t>
      </w:r>
      <w:r w:rsidR="00874A44" w:rsidRPr="00874A44">
        <w:rPr>
          <w:lang w:val="fr-CA"/>
        </w:rPr>
        <w:t>ays visés à l’article 5</w:t>
      </w:r>
      <w:r w:rsidRPr="00874A44">
        <w:rPr>
          <w:lang w:val="fr-CA"/>
        </w:rPr>
        <w:t xml:space="preserve">. </w:t>
      </w:r>
    </w:p>
    <w:p w14:paraId="4BEF7371" w14:textId="01C270D5" w:rsidR="00DE09F4" w:rsidRPr="00874A44" w:rsidRDefault="006E57E3" w:rsidP="00DE09F4">
      <w:pPr>
        <w:pStyle w:val="Heading1"/>
        <w:rPr>
          <w:lang w:val="fr-CA"/>
        </w:rPr>
      </w:pPr>
      <w:r>
        <w:rPr>
          <w:lang w:val="fr-CA"/>
        </w:rPr>
        <w:t>Le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r w:rsidR="008C1481" w:rsidRPr="009B58BF">
        <w:rPr>
          <w:lang w:val="fr-CA"/>
        </w:rPr>
        <w:t>est invité à fournir des orientations sur les éléments ci-après</w:t>
      </w:r>
      <w:r w:rsidR="00DE09F4" w:rsidRPr="00874A44">
        <w:rPr>
          <w:lang w:val="fr-CA"/>
        </w:rPr>
        <w:t>:</w:t>
      </w:r>
    </w:p>
    <w:p w14:paraId="3C2C845A" w14:textId="1B32A19E" w:rsidR="00DE09F4" w:rsidRPr="00874A44" w:rsidRDefault="006B5B39" w:rsidP="00DE09F4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Mesure dans laquelle la demande du marché et la rentabilité de la production de </w:t>
      </w:r>
      <w:r w:rsidR="00DE09F4" w:rsidRPr="00874A44">
        <w:rPr>
          <w:lang w:val="fr-CA"/>
        </w:rPr>
        <w:t xml:space="preserve">HCFC-22 </w:t>
      </w:r>
      <w:r>
        <w:rPr>
          <w:lang w:val="fr-CA"/>
        </w:rPr>
        <w:t xml:space="preserve">déterminent la production future escomptée du </w:t>
      </w:r>
      <w:r w:rsidR="00DE09F4" w:rsidRPr="00874A44">
        <w:rPr>
          <w:lang w:val="fr-CA"/>
        </w:rPr>
        <w:t>HCFC-22;</w:t>
      </w:r>
      <w:r>
        <w:rPr>
          <w:lang w:val="fr-CA"/>
        </w:rPr>
        <w:t xml:space="preserve"> et</w:t>
      </w:r>
    </w:p>
    <w:p w14:paraId="12DE436B" w14:textId="280B2901" w:rsidR="00DE09F4" w:rsidRPr="00874A44" w:rsidRDefault="006B5B39" w:rsidP="00DE09F4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Mesure dans laquelle la rentabilité de la production du </w:t>
      </w:r>
      <w:r w:rsidR="00DE09F4" w:rsidRPr="00874A44">
        <w:rPr>
          <w:lang w:val="fr-CA"/>
        </w:rPr>
        <w:t xml:space="preserve">HCFC-22 </w:t>
      </w:r>
      <w:r w:rsidR="00AF5C98">
        <w:rPr>
          <w:lang w:val="fr-CA"/>
        </w:rPr>
        <w:t xml:space="preserve">devrait dépendre des prix du marché local par rapport au prix du marché </w:t>
      </w:r>
      <w:r w:rsidR="00DE09F4" w:rsidRPr="00874A44">
        <w:rPr>
          <w:lang w:val="fr-CA"/>
        </w:rPr>
        <w:t xml:space="preserve">international. </w:t>
      </w:r>
    </w:p>
    <w:p w14:paraId="73CD27B9" w14:textId="7C15064A" w:rsidR="00DE09F4" w:rsidRPr="00874A44" w:rsidRDefault="00DE09F4" w:rsidP="00DE09F4">
      <w:pPr>
        <w:rPr>
          <w:b/>
          <w:lang w:val="fr-CA"/>
        </w:rPr>
      </w:pPr>
      <w:r w:rsidRPr="00874A44">
        <w:rPr>
          <w:b/>
          <w:lang w:val="fr-CA"/>
        </w:rPr>
        <w:t>III</w:t>
      </w:r>
      <w:r w:rsidRPr="00874A44">
        <w:rPr>
          <w:b/>
          <w:lang w:val="fr-CA"/>
        </w:rPr>
        <w:tab/>
        <w:t>P</w:t>
      </w:r>
      <w:r w:rsidR="00AF5C98">
        <w:rPr>
          <w:b/>
          <w:lang w:val="fr-CA"/>
        </w:rPr>
        <w:t>roblèmes de politique détectés dans le projet au</w:t>
      </w:r>
      <w:r w:rsidRPr="00874A44">
        <w:rPr>
          <w:b/>
          <w:lang w:val="fr-CA"/>
        </w:rPr>
        <w:t xml:space="preserve"> </w:t>
      </w:r>
      <w:r w:rsidR="00874A44" w:rsidRPr="00874A44">
        <w:rPr>
          <w:b/>
          <w:lang w:val="fr-CA"/>
        </w:rPr>
        <w:t>Mexique</w:t>
      </w:r>
    </w:p>
    <w:p w14:paraId="2079EBD4" w14:textId="77777777" w:rsidR="00DE09F4" w:rsidRPr="00874A44" w:rsidRDefault="00DE09F4" w:rsidP="00DE09F4">
      <w:pPr>
        <w:rPr>
          <w:b/>
          <w:lang w:val="fr-CA"/>
        </w:rPr>
      </w:pPr>
    </w:p>
    <w:p w14:paraId="0058F52B" w14:textId="2653457A" w:rsidR="00DE09F4" w:rsidRPr="00874A44" w:rsidRDefault="00AF5C98" w:rsidP="00DE09F4">
      <w:pPr>
        <w:rPr>
          <w:u w:val="single"/>
          <w:lang w:val="fr-CA"/>
        </w:rPr>
      </w:pPr>
      <w:r>
        <w:rPr>
          <w:u w:val="single"/>
          <w:lang w:val="fr-CA"/>
        </w:rPr>
        <w:t>Calendrier pour le contrôle des émissions du s</w:t>
      </w:r>
      <w:r w:rsidR="008C65D6">
        <w:rPr>
          <w:u w:val="single"/>
          <w:lang w:val="fr-CA"/>
        </w:rPr>
        <w:t>ous-produit</w:t>
      </w:r>
      <w:r w:rsidR="00874A44" w:rsidRPr="00874A44">
        <w:rPr>
          <w:u w:val="single"/>
          <w:lang w:val="fr-CA"/>
        </w:rPr>
        <w:t xml:space="preserve"> HFC-23</w:t>
      </w:r>
    </w:p>
    <w:p w14:paraId="6FC21B3B" w14:textId="77777777" w:rsidR="00DE09F4" w:rsidRPr="00874A44" w:rsidRDefault="00DE09F4" w:rsidP="00DE09F4">
      <w:pPr>
        <w:rPr>
          <w:i/>
          <w:lang w:val="fr-CA"/>
        </w:rPr>
      </w:pPr>
    </w:p>
    <w:p w14:paraId="049B9183" w14:textId="6C0F50E0" w:rsidR="00DE09F4" w:rsidRPr="00874A44" w:rsidRDefault="00AF5C98" w:rsidP="00DE09F4">
      <w:pPr>
        <w:pStyle w:val="Heading1"/>
        <w:rPr>
          <w:lang w:val="fr-CA"/>
        </w:rPr>
      </w:pPr>
      <w:r>
        <w:rPr>
          <w:lang w:val="fr-CA"/>
        </w:rPr>
        <w:t xml:space="preserve">L’Amendement de </w:t>
      </w:r>
      <w:r w:rsidR="00DE09F4" w:rsidRPr="00874A44">
        <w:rPr>
          <w:lang w:val="fr-CA"/>
        </w:rPr>
        <w:t xml:space="preserve">Kigali </w:t>
      </w:r>
      <w:r>
        <w:rPr>
          <w:lang w:val="fr-CA"/>
        </w:rPr>
        <w:t xml:space="preserve">est entré en vigueur le </w:t>
      </w:r>
      <w:r w:rsidR="00DE09F4" w:rsidRPr="00874A44">
        <w:rPr>
          <w:lang w:val="fr-CA"/>
        </w:rPr>
        <w:t>1</w:t>
      </w:r>
      <w:r w:rsidRPr="00AF5C98">
        <w:rPr>
          <w:vertAlign w:val="superscript"/>
          <w:lang w:val="fr-CA"/>
        </w:rPr>
        <w:t>er</w:t>
      </w:r>
      <w:r>
        <w:rPr>
          <w:lang w:val="fr-CA"/>
        </w:rPr>
        <w:t> janvier</w:t>
      </w:r>
      <w:r w:rsidR="00DE09F4" w:rsidRPr="00874A44">
        <w:rPr>
          <w:lang w:val="fr-CA"/>
        </w:rPr>
        <w:t xml:space="preserve"> 2019. </w:t>
      </w:r>
      <w:r>
        <w:rPr>
          <w:lang w:val="fr-CA"/>
        </w:rPr>
        <w:t>Le p</w:t>
      </w:r>
      <w:r w:rsidR="00DE09F4" w:rsidRPr="00874A44">
        <w:rPr>
          <w:lang w:val="fr-CA"/>
        </w:rPr>
        <w:t>aragraph</w:t>
      </w:r>
      <w:r>
        <w:rPr>
          <w:lang w:val="fr-CA"/>
        </w:rPr>
        <w:t>e</w:t>
      </w:r>
      <w:r w:rsidR="00DE09F4" w:rsidRPr="00874A44">
        <w:rPr>
          <w:lang w:val="fr-CA"/>
        </w:rPr>
        <w:t xml:space="preserve"> 6 </w:t>
      </w:r>
      <w:r>
        <w:rPr>
          <w:lang w:val="fr-CA"/>
        </w:rPr>
        <w:t>de l’a</w:t>
      </w:r>
      <w:r w:rsidR="00DE09F4" w:rsidRPr="00874A44">
        <w:rPr>
          <w:lang w:val="fr-CA"/>
        </w:rPr>
        <w:t xml:space="preserve">rticle 2J </w:t>
      </w:r>
      <w:r>
        <w:rPr>
          <w:lang w:val="fr-CA"/>
        </w:rPr>
        <w:t xml:space="preserve">de l’Amendement </w:t>
      </w:r>
      <w:r w:rsidR="001A5333">
        <w:rPr>
          <w:lang w:val="fr-CA"/>
        </w:rPr>
        <w:t xml:space="preserve">stipule que </w:t>
      </w:r>
      <w:r w:rsidR="001A5333" w:rsidRPr="00AB77C7">
        <w:rPr>
          <w:lang w:val="fr-CA"/>
        </w:rPr>
        <w:t>«</w:t>
      </w:r>
      <w:r w:rsidR="001A5333" w:rsidRPr="001A5333">
        <w:rPr>
          <w:lang w:val="fr-CA"/>
        </w:rPr>
        <w:t>Chaque Partie qui fabrique des substances du groupe I de l’Annexe C ou des substances de l’Annexe F veille à ce que, pendant la période de douze mois commençant le 1</w:t>
      </w:r>
      <w:r w:rsidR="001A5333" w:rsidRPr="001A5333">
        <w:rPr>
          <w:vertAlign w:val="superscript"/>
          <w:lang w:val="fr-CA"/>
        </w:rPr>
        <w:t>er</w:t>
      </w:r>
      <w:r w:rsidR="001A5333" w:rsidRPr="001A5333">
        <w:rPr>
          <w:lang w:val="fr-CA"/>
        </w:rPr>
        <w:t xml:space="preserve"> janvier 2020, et ensuite pendant chaque période de douze mois, ses émissions de</w:t>
      </w:r>
      <w:r w:rsidR="001A5333">
        <w:rPr>
          <w:lang w:val="fr-CA"/>
        </w:rPr>
        <w:t xml:space="preserve"> </w:t>
      </w:r>
      <w:r w:rsidR="001A5333" w:rsidRPr="001A5333">
        <w:rPr>
          <w:lang w:val="fr-CA"/>
        </w:rPr>
        <w:t>substances du groupe II de l’Annexe F engendrées par les installations produisant des substances du groupe I de l’Annexe C ou des substances de l’Annexe F sont détruites dans la mesure du possible au moyen de technologies approuvées par les Parties au cours de la même période de douze mois.</w:t>
      </w:r>
      <w:r w:rsidR="001A5333">
        <w:rPr>
          <w:lang w:val="fr-CA"/>
        </w:rPr>
        <w:t>»</w:t>
      </w:r>
      <w:r w:rsidR="001A5333" w:rsidRPr="001A5333">
        <w:rPr>
          <w:lang w:val="fr-CA"/>
        </w:rPr>
        <w:t xml:space="preserve"> </w:t>
      </w:r>
    </w:p>
    <w:p w14:paraId="5F29FFD1" w14:textId="5121F24E" w:rsidR="00DE09F4" w:rsidRPr="00CC0979" w:rsidRDefault="001A5333" w:rsidP="00AB77C7">
      <w:pPr>
        <w:pStyle w:val="Heading1"/>
        <w:keepNext/>
        <w:keepLines/>
        <w:rPr>
          <w:lang w:val="fr-CA"/>
        </w:rPr>
      </w:pPr>
      <w:r>
        <w:rPr>
          <w:lang w:val="fr-CA"/>
        </w:rPr>
        <w:lastRenderedPageBreak/>
        <w:t>L</w:t>
      </w:r>
      <w:r w:rsidR="00DE09F4" w:rsidRPr="00874A44">
        <w:rPr>
          <w:lang w:val="fr-CA"/>
        </w:rPr>
        <w:t xml:space="preserve">e </w:t>
      </w:r>
      <w:r w:rsidR="00CC0979">
        <w:rPr>
          <w:lang w:val="fr-CA"/>
        </w:rPr>
        <w:t>g</w:t>
      </w:r>
      <w:r w:rsidR="00874A44" w:rsidRPr="00874A44">
        <w:rPr>
          <w:lang w:val="fr-CA"/>
        </w:rPr>
        <w:t>ouvernement</w:t>
      </w:r>
      <w:r w:rsidR="00DE09F4" w:rsidRPr="00874A44">
        <w:rPr>
          <w:lang w:val="fr-CA"/>
        </w:rPr>
        <w:t xml:space="preserve"> </w:t>
      </w:r>
      <w:r w:rsidR="00CC0979">
        <w:rPr>
          <w:lang w:val="fr-CA"/>
        </w:rPr>
        <w:t>du</w:t>
      </w:r>
      <w:r w:rsidR="00DE09F4" w:rsidRPr="00874A44">
        <w:rPr>
          <w:lang w:val="fr-CA"/>
        </w:rPr>
        <w:t xml:space="preserve"> </w:t>
      </w:r>
      <w:r w:rsidR="00874A44" w:rsidRPr="00874A44">
        <w:rPr>
          <w:lang w:val="fr-CA"/>
        </w:rPr>
        <w:t>Mexique</w:t>
      </w:r>
      <w:r w:rsidR="00DE09F4" w:rsidRPr="00874A44">
        <w:rPr>
          <w:lang w:val="fr-CA"/>
        </w:rPr>
        <w:t xml:space="preserve"> </w:t>
      </w:r>
      <w:r w:rsidR="00CC0979">
        <w:rPr>
          <w:lang w:val="fr-CA"/>
        </w:rPr>
        <w:t xml:space="preserve">a </w:t>
      </w:r>
      <w:r w:rsidR="00DE09F4" w:rsidRPr="00874A44">
        <w:rPr>
          <w:lang w:val="fr-CA"/>
        </w:rPr>
        <w:t>ratifi</w:t>
      </w:r>
      <w:r w:rsidR="00CC0979">
        <w:rPr>
          <w:lang w:val="fr-CA"/>
        </w:rPr>
        <w:t>é</w:t>
      </w:r>
      <w:r w:rsidR="00DE09F4" w:rsidRPr="00874A44">
        <w:rPr>
          <w:lang w:val="fr-CA"/>
        </w:rPr>
        <w:t xml:space="preserve"> </w:t>
      </w:r>
      <w:bookmarkStart w:id="3" w:name="_Hlk26350575"/>
      <w:r w:rsidR="00CC0979">
        <w:rPr>
          <w:lang w:val="fr-CA"/>
        </w:rPr>
        <w:t>l’Amendement de</w:t>
      </w:r>
      <w:r w:rsidR="00DE09F4" w:rsidRPr="00874A44">
        <w:rPr>
          <w:lang w:val="fr-CA"/>
        </w:rPr>
        <w:t xml:space="preserve"> Kigali</w:t>
      </w:r>
      <w:bookmarkEnd w:id="3"/>
      <w:r w:rsidR="00DE09F4" w:rsidRPr="00874A44">
        <w:rPr>
          <w:lang w:val="fr-CA"/>
        </w:rPr>
        <w:t xml:space="preserve"> </w:t>
      </w:r>
      <w:r w:rsidR="00CC0979">
        <w:rPr>
          <w:lang w:val="fr-CA"/>
        </w:rPr>
        <w:t xml:space="preserve">le </w:t>
      </w:r>
      <w:r w:rsidR="00DE09F4" w:rsidRPr="00874A44">
        <w:rPr>
          <w:lang w:val="fr-CA"/>
        </w:rPr>
        <w:t xml:space="preserve">25 </w:t>
      </w:r>
      <w:r w:rsidR="00CC0979">
        <w:rPr>
          <w:lang w:val="fr-CA"/>
        </w:rPr>
        <w:t>s</w:t>
      </w:r>
      <w:r w:rsidR="00DE09F4" w:rsidRPr="00874A44">
        <w:rPr>
          <w:lang w:val="fr-CA"/>
        </w:rPr>
        <w:t>eptemb</w:t>
      </w:r>
      <w:r w:rsidR="00CC0979">
        <w:rPr>
          <w:lang w:val="fr-CA"/>
        </w:rPr>
        <w:t>r</w:t>
      </w:r>
      <w:r w:rsidR="00DE09F4" w:rsidRPr="00874A44">
        <w:rPr>
          <w:lang w:val="fr-CA"/>
        </w:rPr>
        <w:t xml:space="preserve">e 2018. </w:t>
      </w:r>
      <w:r w:rsidR="00CC0979">
        <w:rPr>
          <w:lang w:val="fr-CA"/>
        </w:rPr>
        <w:t>Toutefois, toutes les options proposées par l’</w:t>
      </w:r>
      <w:r w:rsidR="00FA2615">
        <w:rPr>
          <w:lang w:val="fr-CA"/>
        </w:rPr>
        <w:t>ONUDI</w:t>
      </w:r>
      <w:r w:rsidR="00DE09F4" w:rsidRPr="00874A44">
        <w:rPr>
          <w:lang w:val="fr-CA"/>
        </w:rPr>
        <w:t xml:space="preserve"> </w:t>
      </w:r>
      <w:r w:rsidR="00CC0979">
        <w:rPr>
          <w:lang w:val="fr-CA"/>
        </w:rPr>
        <w:t>prévoient la poursuite des é</w:t>
      </w:r>
      <w:r w:rsidR="00DE09F4" w:rsidRPr="00874A44">
        <w:rPr>
          <w:lang w:val="fr-CA"/>
        </w:rPr>
        <w:t xml:space="preserve">missions </w:t>
      </w:r>
      <w:r w:rsidR="00CC0979">
        <w:rPr>
          <w:lang w:val="fr-CA"/>
        </w:rPr>
        <w:t>du sous-produit</w:t>
      </w:r>
      <w:r w:rsidR="00CC0979" w:rsidRPr="00874A44">
        <w:rPr>
          <w:lang w:val="fr-CA"/>
        </w:rPr>
        <w:t xml:space="preserve"> HFC-23 </w:t>
      </w:r>
      <w:r w:rsidR="00CC0979">
        <w:rPr>
          <w:lang w:val="fr-CA"/>
        </w:rPr>
        <w:t xml:space="preserve">pendant environ six mois à </w:t>
      </w:r>
      <w:r w:rsidR="00DE09F4" w:rsidRPr="00874A44">
        <w:rPr>
          <w:lang w:val="fr-CA"/>
        </w:rPr>
        <w:t xml:space="preserve">Quimobásicos, </w:t>
      </w:r>
      <w:r w:rsidR="00CC0979">
        <w:rPr>
          <w:lang w:val="fr-CA"/>
        </w:rPr>
        <w:t>qui est l’usine de production d</w:t>
      </w:r>
      <w:r w:rsidR="0036412C">
        <w:rPr>
          <w:lang w:val="fr-CA"/>
        </w:rPr>
        <w:t>e</w:t>
      </w:r>
      <w:r w:rsidR="00DE09F4" w:rsidRPr="00874A44">
        <w:rPr>
          <w:lang w:val="fr-CA"/>
        </w:rPr>
        <w:t xml:space="preserve"> HCFC-22 </w:t>
      </w:r>
      <w:r w:rsidR="00CC0979">
        <w:rPr>
          <w:lang w:val="fr-CA"/>
        </w:rPr>
        <w:t xml:space="preserve">au </w:t>
      </w:r>
      <w:r w:rsidR="00874A44" w:rsidRPr="00874A44">
        <w:rPr>
          <w:lang w:val="fr-CA"/>
        </w:rPr>
        <w:t>Mexique</w:t>
      </w:r>
      <w:r w:rsidR="00DE09F4" w:rsidRPr="00874A44">
        <w:rPr>
          <w:lang w:val="fr-CA"/>
        </w:rPr>
        <w:t xml:space="preserve">, </w:t>
      </w:r>
      <w:r w:rsidR="00CC0979">
        <w:rPr>
          <w:lang w:val="fr-CA"/>
        </w:rPr>
        <w:t xml:space="preserve">soit au-delà de la date-butoir du </w:t>
      </w:r>
      <w:r w:rsidR="00DE09F4" w:rsidRPr="00CC0979">
        <w:rPr>
          <w:lang w:val="fr-CA"/>
        </w:rPr>
        <w:t>1</w:t>
      </w:r>
      <w:r w:rsidR="00CC0979" w:rsidRPr="00CC0979">
        <w:rPr>
          <w:vertAlign w:val="superscript"/>
          <w:lang w:val="fr-CA"/>
        </w:rPr>
        <w:t>er</w:t>
      </w:r>
      <w:r w:rsidR="00CC0979">
        <w:rPr>
          <w:lang w:val="fr-CA"/>
        </w:rPr>
        <w:t xml:space="preserve"> janvier </w:t>
      </w:r>
      <w:r w:rsidR="00DE09F4" w:rsidRPr="00CC0979">
        <w:rPr>
          <w:lang w:val="fr-CA"/>
        </w:rPr>
        <w:t xml:space="preserve">2020. </w:t>
      </w:r>
      <w:r w:rsidR="00CC0979">
        <w:rPr>
          <w:lang w:val="fr-CA"/>
        </w:rPr>
        <w:t>Le</w:t>
      </w:r>
      <w:r w:rsidR="00DE09F4" w:rsidRPr="00CC0979">
        <w:rPr>
          <w:lang w:val="fr-CA"/>
        </w:rPr>
        <w:t xml:space="preserve"> </w:t>
      </w:r>
      <w:r w:rsidR="00874A44" w:rsidRPr="00CC0979">
        <w:rPr>
          <w:lang w:val="fr-CA"/>
        </w:rPr>
        <w:t>Secrétariat</w:t>
      </w:r>
      <w:r w:rsidR="00DE09F4" w:rsidRPr="00CC0979">
        <w:rPr>
          <w:lang w:val="fr-CA"/>
        </w:rPr>
        <w:t xml:space="preserve"> </w:t>
      </w:r>
      <w:r w:rsidR="00CC0979">
        <w:rPr>
          <w:lang w:val="fr-CA"/>
        </w:rPr>
        <w:t xml:space="preserve">du Fonds </w:t>
      </w:r>
      <w:r w:rsidR="0036412C">
        <w:rPr>
          <w:lang w:val="fr-CA"/>
        </w:rPr>
        <w:t xml:space="preserve">s’est inquiété du fait qu’au </w:t>
      </w:r>
      <w:r w:rsidR="00DE09F4" w:rsidRPr="00CC0979">
        <w:rPr>
          <w:lang w:val="fr-CA"/>
        </w:rPr>
        <w:t>1</w:t>
      </w:r>
      <w:r w:rsidR="0036412C" w:rsidRPr="0036412C">
        <w:rPr>
          <w:vertAlign w:val="superscript"/>
          <w:lang w:val="fr-CA"/>
        </w:rPr>
        <w:t>er</w:t>
      </w:r>
      <w:r w:rsidR="0036412C">
        <w:rPr>
          <w:lang w:val="fr-CA"/>
        </w:rPr>
        <w:t xml:space="preserve"> janvier </w:t>
      </w:r>
      <w:r w:rsidR="00DE09F4" w:rsidRPr="00CC0979">
        <w:rPr>
          <w:lang w:val="fr-CA"/>
        </w:rPr>
        <w:t>2020</w:t>
      </w:r>
      <w:r w:rsidR="0036412C">
        <w:rPr>
          <w:lang w:val="fr-CA"/>
        </w:rPr>
        <w:t xml:space="preserve">, le pays risque de ne pas pouvoir se conformer à ses </w:t>
      </w:r>
      <w:r w:rsidR="00DE09F4" w:rsidRPr="00CC0979">
        <w:rPr>
          <w:lang w:val="fr-CA"/>
        </w:rPr>
        <w:t xml:space="preserve">obligations </w:t>
      </w:r>
      <w:r w:rsidR="0036412C">
        <w:rPr>
          <w:lang w:val="fr-CA"/>
        </w:rPr>
        <w:t xml:space="preserve">au titre du </w:t>
      </w:r>
      <w:r w:rsidR="00DE09F4" w:rsidRPr="00CC0979">
        <w:rPr>
          <w:lang w:val="fr-CA"/>
        </w:rPr>
        <w:t>paragraph</w:t>
      </w:r>
      <w:r w:rsidR="0036412C">
        <w:rPr>
          <w:lang w:val="fr-CA"/>
        </w:rPr>
        <w:t>e</w:t>
      </w:r>
      <w:r w:rsidR="00DE09F4" w:rsidRPr="00CC0979">
        <w:rPr>
          <w:lang w:val="fr-CA"/>
        </w:rPr>
        <w:t xml:space="preserve"> 6 </w:t>
      </w:r>
      <w:r w:rsidR="0036412C">
        <w:rPr>
          <w:lang w:val="fr-CA"/>
        </w:rPr>
        <w:t>de l’a</w:t>
      </w:r>
      <w:r w:rsidR="00DE09F4" w:rsidRPr="00CC0979">
        <w:rPr>
          <w:lang w:val="fr-CA"/>
        </w:rPr>
        <w:t>rticle</w:t>
      </w:r>
      <w:r w:rsidR="0036412C">
        <w:rPr>
          <w:lang w:val="fr-CA"/>
        </w:rPr>
        <w:t> </w:t>
      </w:r>
      <w:r w:rsidR="00DE09F4" w:rsidRPr="00CC0979">
        <w:rPr>
          <w:lang w:val="fr-CA"/>
        </w:rPr>
        <w:t xml:space="preserve">2J </w:t>
      </w:r>
      <w:r w:rsidR="0036412C">
        <w:rPr>
          <w:lang w:val="fr-CA"/>
        </w:rPr>
        <w:t xml:space="preserve">de </w:t>
      </w:r>
      <w:r w:rsidR="0036412C" w:rsidRPr="0036412C">
        <w:rPr>
          <w:lang w:val="fr-CA"/>
        </w:rPr>
        <w:t>l’Amendement de Kigali</w:t>
      </w:r>
      <w:r w:rsidR="00DE09F4" w:rsidRPr="00CC0979">
        <w:rPr>
          <w:lang w:val="fr-CA"/>
        </w:rPr>
        <w:t xml:space="preserve">. </w:t>
      </w:r>
      <w:r w:rsidR="00094A50">
        <w:rPr>
          <w:lang w:val="fr-CA"/>
        </w:rPr>
        <w:t>Compte tenu de</w:t>
      </w:r>
      <w:r w:rsidR="0036412C">
        <w:rPr>
          <w:lang w:val="fr-CA"/>
        </w:rPr>
        <w:t xml:space="preserve"> ces inquiétudes, le </w:t>
      </w:r>
      <w:r w:rsidR="006E57E3" w:rsidRPr="00CC0979">
        <w:rPr>
          <w:lang w:val="fr-CA"/>
        </w:rPr>
        <w:t>Secrétariat</w:t>
      </w:r>
      <w:r w:rsidR="00DE09F4" w:rsidRPr="00CC0979">
        <w:rPr>
          <w:lang w:val="fr-CA"/>
        </w:rPr>
        <w:t xml:space="preserve"> </w:t>
      </w:r>
      <w:r w:rsidR="0036412C">
        <w:rPr>
          <w:lang w:val="fr-CA"/>
        </w:rPr>
        <w:t xml:space="preserve">a demandé conseil au </w:t>
      </w:r>
      <w:r w:rsidR="00874A44" w:rsidRPr="00CC0979">
        <w:rPr>
          <w:lang w:val="fr-CA"/>
        </w:rPr>
        <w:t>Secrétariat</w:t>
      </w:r>
      <w:r w:rsidR="00DE09F4" w:rsidRPr="00CC0979">
        <w:rPr>
          <w:lang w:val="fr-CA"/>
        </w:rPr>
        <w:t xml:space="preserve"> </w:t>
      </w:r>
      <w:r w:rsidR="0036412C">
        <w:rPr>
          <w:lang w:val="fr-CA"/>
        </w:rPr>
        <w:t xml:space="preserve">de l’Ozone concernant les obligations de conformité d’un pays partie à </w:t>
      </w:r>
      <w:r w:rsidR="0036412C" w:rsidRPr="0036412C">
        <w:rPr>
          <w:lang w:val="fr-CA"/>
        </w:rPr>
        <w:t xml:space="preserve">l’Amendement de Kigali </w:t>
      </w:r>
      <w:r w:rsidR="0036412C">
        <w:rPr>
          <w:lang w:val="fr-CA"/>
        </w:rPr>
        <w:t>qui produit des substances du Groupe I de l’</w:t>
      </w:r>
      <w:r w:rsidR="00DE09F4" w:rsidRPr="00CC0979">
        <w:rPr>
          <w:lang w:val="fr-CA"/>
        </w:rPr>
        <w:t>Annex</w:t>
      </w:r>
      <w:r w:rsidR="0036412C">
        <w:rPr>
          <w:lang w:val="fr-CA"/>
        </w:rPr>
        <w:t>e</w:t>
      </w:r>
      <w:r w:rsidR="00DE09F4" w:rsidRPr="00CC0979">
        <w:rPr>
          <w:lang w:val="fr-CA"/>
        </w:rPr>
        <w:t xml:space="preserve"> C, </w:t>
      </w:r>
      <w:r w:rsidR="0036412C">
        <w:rPr>
          <w:lang w:val="fr-CA"/>
        </w:rPr>
        <w:t>ou des substances de l’</w:t>
      </w:r>
      <w:r w:rsidR="00DE09F4" w:rsidRPr="00CC0979">
        <w:rPr>
          <w:lang w:val="fr-CA"/>
        </w:rPr>
        <w:t>Annex</w:t>
      </w:r>
      <w:r w:rsidR="0036412C">
        <w:rPr>
          <w:lang w:val="fr-CA"/>
        </w:rPr>
        <w:t>e</w:t>
      </w:r>
      <w:r w:rsidR="00DE09F4" w:rsidRPr="00CC0979">
        <w:rPr>
          <w:lang w:val="fr-CA"/>
        </w:rPr>
        <w:t xml:space="preserve"> F. </w:t>
      </w:r>
    </w:p>
    <w:p w14:paraId="6947DBBA" w14:textId="4D3C5D4A" w:rsidR="00DE09F4" w:rsidRPr="00094A50" w:rsidRDefault="0036412C" w:rsidP="00070C53">
      <w:pPr>
        <w:pStyle w:val="Heading1"/>
        <w:rPr>
          <w:lang w:val="fr-CA"/>
        </w:rPr>
      </w:pPr>
      <w:r w:rsidRPr="00094A50">
        <w:rPr>
          <w:lang w:val="fr-CA"/>
        </w:rPr>
        <w:t xml:space="preserve">Tout en soulignant </w:t>
      </w:r>
      <w:r w:rsidR="004E2CF3" w:rsidRPr="00094A50">
        <w:rPr>
          <w:lang w:val="fr-CA"/>
        </w:rPr>
        <w:t>que l’</w:t>
      </w:r>
      <w:r w:rsidR="00DE09F4" w:rsidRPr="00094A50">
        <w:rPr>
          <w:lang w:val="fr-CA"/>
        </w:rPr>
        <w:t>interpr</w:t>
      </w:r>
      <w:r w:rsidR="004E2CF3" w:rsidRPr="00094A50">
        <w:rPr>
          <w:lang w:val="fr-CA"/>
        </w:rPr>
        <w:t>é</w:t>
      </w:r>
      <w:r w:rsidR="00DE09F4" w:rsidRPr="00094A50">
        <w:rPr>
          <w:lang w:val="fr-CA"/>
        </w:rPr>
        <w:t xml:space="preserve">tation </w:t>
      </w:r>
      <w:r w:rsidR="004E2CF3" w:rsidRPr="00094A50">
        <w:rPr>
          <w:lang w:val="fr-CA"/>
        </w:rPr>
        <w:t xml:space="preserve">des dispositions du Protocole de Montréal </w:t>
      </w:r>
      <w:r w:rsidR="00094A50" w:rsidRPr="00094A50">
        <w:rPr>
          <w:lang w:val="fr-CA"/>
        </w:rPr>
        <w:t>rel</w:t>
      </w:r>
      <w:r w:rsidR="00094A50">
        <w:rPr>
          <w:lang w:val="fr-CA"/>
        </w:rPr>
        <w:t>èv</w:t>
      </w:r>
      <w:r w:rsidR="00094A50" w:rsidRPr="00094A50">
        <w:rPr>
          <w:lang w:val="fr-CA"/>
        </w:rPr>
        <w:t>e de</w:t>
      </w:r>
      <w:r w:rsidR="004E2CF3" w:rsidRPr="00094A50">
        <w:rPr>
          <w:lang w:val="fr-CA"/>
        </w:rPr>
        <w:t xml:space="preserve"> la responsabilité des Parties, le </w:t>
      </w:r>
      <w:r w:rsidR="00874A44" w:rsidRPr="00094A50">
        <w:rPr>
          <w:lang w:val="fr-CA"/>
        </w:rPr>
        <w:t>Secrétariat</w:t>
      </w:r>
      <w:r w:rsidR="00DE09F4" w:rsidRPr="00094A50">
        <w:rPr>
          <w:lang w:val="fr-CA"/>
        </w:rPr>
        <w:t xml:space="preserve"> </w:t>
      </w:r>
      <w:r w:rsidR="004E2CF3" w:rsidRPr="00094A50">
        <w:rPr>
          <w:lang w:val="fr-CA"/>
        </w:rPr>
        <w:t>de l’Ozone comprend le terme « dans la mesure du possible » comme pouvant s’appliquer soit à la « destruction » (c’est-à-dire détruire dans la mesure du possible), soit aux « technologies approuvées » (c’est-à-dire en utilisant des technologies approuvées dans la mesure du possible</w:t>
      </w:r>
      <w:r w:rsidR="00DE09F4" w:rsidRPr="00094A50">
        <w:rPr>
          <w:lang w:val="fr-CA"/>
        </w:rPr>
        <w:t xml:space="preserve">). </w:t>
      </w:r>
      <w:r w:rsidR="004E2CF3" w:rsidRPr="00094A50">
        <w:rPr>
          <w:lang w:val="fr-CA"/>
        </w:rPr>
        <w:t xml:space="preserve">En conséquence, aussi longtemps qu’une Partie qui produit du </w:t>
      </w:r>
      <w:r w:rsidR="00DE09F4" w:rsidRPr="00094A50">
        <w:rPr>
          <w:lang w:val="fr-CA"/>
        </w:rPr>
        <w:t xml:space="preserve">HFC-23 </w:t>
      </w:r>
      <w:r w:rsidR="004E2CF3" w:rsidRPr="00094A50">
        <w:rPr>
          <w:lang w:val="fr-CA"/>
        </w:rPr>
        <w:t xml:space="preserve">soumet le nouveau formulaire de compte rendu pour signaler des émissions de </w:t>
      </w:r>
      <w:r w:rsidR="00DE09F4" w:rsidRPr="00094A50">
        <w:rPr>
          <w:lang w:val="fr-CA"/>
        </w:rPr>
        <w:t>HFC-23</w:t>
      </w:r>
      <w:r w:rsidR="004E2CF3" w:rsidRPr="00094A50">
        <w:rPr>
          <w:lang w:val="fr-CA"/>
        </w:rPr>
        <w:t xml:space="preserve"> et qu’elle informe le </w:t>
      </w:r>
      <w:r w:rsidR="00874A44" w:rsidRPr="00094A50">
        <w:rPr>
          <w:lang w:val="fr-CA"/>
        </w:rPr>
        <w:t>Secrétariat</w:t>
      </w:r>
      <w:r w:rsidR="00DE09F4" w:rsidRPr="00094A50">
        <w:rPr>
          <w:lang w:val="fr-CA"/>
        </w:rPr>
        <w:t xml:space="preserve"> </w:t>
      </w:r>
      <w:r w:rsidR="004E2CF3" w:rsidRPr="00094A50">
        <w:rPr>
          <w:lang w:val="fr-CA"/>
        </w:rPr>
        <w:t>de l’Ozone en</w:t>
      </w:r>
      <w:r w:rsidR="00DE09F4" w:rsidRPr="00094A50">
        <w:rPr>
          <w:lang w:val="fr-CA"/>
        </w:rPr>
        <w:t xml:space="preserve"> 2021 </w:t>
      </w:r>
      <w:r w:rsidR="004E2CF3" w:rsidRPr="00094A50">
        <w:rPr>
          <w:lang w:val="fr-CA"/>
        </w:rPr>
        <w:t xml:space="preserve">qu’elle a détruit les émissions de </w:t>
      </w:r>
      <w:r w:rsidR="00DE09F4" w:rsidRPr="00094A50">
        <w:rPr>
          <w:lang w:val="fr-CA"/>
        </w:rPr>
        <w:t xml:space="preserve">HFC-23 </w:t>
      </w:r>
      <w:r w:rsidR="004E2CF3" w:rsidRPr="00094A50">
        <w:rPr>
          <w:lang w:val="fr-CA"/>
        </w:rPr>
        <w:t xml:space="preserve">dans la mesure du possible en </w:t>
      </w:r>
      <w:r w:rsidR="00DE09F4" w:rsidRPr="00094A50">
        <w:rPr>
          <w:lang w:val="fr-CA"/>
        </w:rPr>
        <w:t>2020 (</w:t>
      </w:r>
      <w:r w:rsidR="004E2CF3" w:rsidRPr="00094A50">
        <w:rPr>
          <w:lang w:val="fr-CA"/>
        </w:rPr>
        <w:t>indépendamment de la quantité de s</w:t>
      </w:r>
      <w:r w:rsidR="008C65D6" w:rsidRPr="00094A50">
        <w:rPr>
          <w:lang w:val="fr-CA"/>
        </w:rPr>
        <w:t>ous-produit</w:t>
      </w:r>
      <w:r w:rsidR="00874A44" w:rsidRPr="00094A50">
        <w:rPr>
          <w:lang w:val="fr-CA"/>
        </w:rPr>
        <w:t xml:space="preserve"> HFC-23</w:t>
      </w:r>
      <w:r w:rsidR="00DE09F4" w:rsidRPr="00094A50">
        <w:rPr>
          <w:lang w:val="fr-CA"/>
        </w:rPr>
        <w:t xml:space="preserve"> </w:t>
      </w:r>
      <w:r w:rsidR="004E2CF3" w:rsidRPr="00094A50">
        <w:rPr>
          <w:lang w:val="fr-CA"/>
        </w:rPr>
        <w:t>détruite</w:t>
      </w:r>
      <w:r w:rsidR="00DE09F4" w:rsidRPr="00094A50">
        <w:rPr>
          <w:lang w:val="fr-CA"/>
        </w:rPr>
        <w:t xml:space="preserve">), </w:t>
      </w:r>
      <w:r w:rsidR="004E2CF3" w:rsidRPr="00094A50">
        <w:rPr>
          <w:lang w:val="fr-CA"/>
        </w:rPr>
        <w:t xml:space="preserve">le </w:t>
      </w:r>
      <w:r w:rsidR="00874A44" w:rsidRPr="00094A50">
        <w:rPr>
          <w:lang w:val="fr-CA"/>
        </w:rPr>
        <w:t>Secrétariat</w:t>
      </w:r>
      <w:r w:rsidR="00DE09F4" w:rsidRPr="00094A50">
        <w:rPr>
          <w:lang w:val="fr-CA"/>
        </w:rPr>
        <w:t xml:space="preserve"> </w:t>
      </w:r>
      <w:r w:rsidR="004E2CF3" w:rsidRPr="00094A50">
        <w:rPr>
          <w:lang w:val="fr-CA"/>
        </w:rPr>
        <w:t xml:space="preserve">de l’Ozone considérerait que la Partie en question s’est conformée à ses </w:t>
      </w:r>
      <w:r w:rsidR="00DE09F4" w:rsidRPr="00094A50">
        <w:rPr>
          <w:lang w:val="fr-CA"/>
        </w:rPr>
        <w:t xml:space="preserve">obligations </w:t>
      </w:r>
      <w:r w:rsidR="004E2CF3" w:rsidRPr="00094A50">
        <w:rPr>
          <w:lang w:val="fr-CA"/>
        </w:rPr>
        <w:t xml:space="preserve">au titre du </w:t>
      </w:r>
      <w:r w:rsidR="00DE09F4" w:rsidRPr="00094A50">
        <w:rPr>
          <w:lang w:val="fr-CA"/>
        </w:rPr>
        <w:t>paragraph</w:t>
      </w:r>
      <w:r w:rsidR="004E2CF3" w:rsidRPr="00094A50">
        <w:rPr>
          <w:lang w:val="fr-CA"/>
        </w:rPr>
        <w:t>e</w:t>
      </w:r>
      <w:r w:rsidR="00DE09F4" w:rsidRPr="00094A50">
        <w:rPr>
          <w:lang w:val="fr-CA"/>
        </w:rPr>
        <w:t xml:space="preserve"> 6 </w:t>
      </w:r>
      <w:r w:rsidR="004E2CF3" w:rsidRPr="00094A50">
        <w:rPr>
          <w:lang w:val="fr-CA"/>
        </w:rPr>
        <w:t>de l’a</w:t>
      </w:r>
      <w:r w:rsidR="00DE09F4" w:rsidRPr="00094A50">
        <w:rPr>
          <w:lang w:val="fr-CA"/>
        </w:rPr>
        <w:t xml:space="preserve">rticle 2J </w:t>
      </w:r>
      <w:r w:rsidR="004E2CF3" w:rsidRPr="00094A50">
        <w:rPr>
          <w:lang w:val="fr-CA"/>
        </w:rPr>
        <w:t>de l’Amendement</w:t>
      </w:r>
      <w:r w:rsidR="00DE09F4" w:rsidRPr="00094A50">
        <w:rPr>
          <w:lang w:val="fr-CA"/>
        </w:rPr>
        <w:t>. </w:t>
      </w:r>
      <w:r w:rsidR="00285B75" w:rsidRPr="00094A50">
        <w:rPr>
          <w:lang w:val="fr-CA"/>
        </w:rPr>
        <w:t>Par ailleurs, il n’y a aucun objectif de réduction, aucun calendrier ou valeur de référence pour la réduction des émissions du s</w:t>
      </w:r>
      <w:r w:rsidR="008C65D6" w:rsidRPr="00094A50">
        <w:rPr>
          <w:lang w:val="fr-CA"/>
        </w:rPr>
        <w:t>ous-produit</w:t>
      </w:r>
      <w:r w:rsidR="00874A44" w:rsidRPr="00094A50">
        <w:rPr>
          <w:lang w:val="fr-CA"/>
        </w:rPr>
        <w:t xml:space="preserve"> HFC-23</w:t>
      </w:r>
      <w:r w:rsidR="00DE09F4" w:rsidRPr="00094A50">
        <w:rPr>
          <w:lang w:val="fr-CA"/>
        </w:rPr>
        <w:t xml:space="preserve">, </w:t>
      </w:r>
      <w:r w:rsidR="00285B75" w:rsidRPr="00094A50">
        <w:rPr>
          <w:lang w:val="fr-CA"/>
        </w:rPr>
        <w:t xml:space="preserve">pas plus que le </w:t>
      </w:r>
      <w:r w:rsidR="00DE09F4" w:rsidRPr="00094A50">
        <w:rPr>
          <w:lang w:val="fr-CA"/>
        </w:rPr>
        <w:t>paragraph</w:t>
      </w:r>
      <w:r w:rsidR="00285B75" w:rsidRPr="00094A50">
        <w:rPr>
          <w:lang w:val="fr-CA"/>
        </w:rPr>
        <w:t>e</w:t>
      </w:r>
      <w:r w:rsidR="00DE09F4" w:rsidRPr="00094A50">
        <w:rPr>
          <w:lang w:val="fr-CA"/>
        </w:rPr>
        <w:t xml:space="preserve"> 6 </w:t>
      </w:r>
      <w:r w:rsidR="00285B75" w:rsidRPr="00094A50">
        <w:rPr>
          <w:lang w:val="fr-CA"/>
        </w:rPr>
        <w:t>de l’a</w:t>
      </w:r>
      <w:r w:rsidR="00DE09F4" w:rsidRPr="00094A50">
        <w:rPr>
          <w:lang w:val="fr-CA"/>
        </w:rPr>
        <w:t xml:space="preserve">rticle 2J </w:t>
      </w:r>
      <w:r w:rsidR="00285B75" w:rsidRPr="00094A50">
        <w:rPr>
          <w:lang w:val="fr-CA"/>
        </w:rPr>
        <w:t xml:space="preserve">n’exige des </w:t>
      </w:r>
      <w:r w:rsidR="00DE09F4" w:rsidRPr="00094A50">
        <w:rPr>
          <w:lang w:val="fr-CA"/>
        </w:rPr>
        <w:t xml:space="preserve">Parties </w:t>
      </w:r>
      <w:r w:rsidR="00285B75" w:rsidRPr="00094A50">
        <w:rPr>
          <w:lang w:val="fr-CA"/>
        </w:rPr>
        <w:t xml:space="preserve">qu’elles démontrent une baisse des émission du sous-produit </w:t>
      </w:r>
      <w:r w:rsidR="00DE09F4" w:rsidRPr="00094A50">
        <w:rPr>
          <w:lang w:val="fr-CA"/>
        </w:rPr>
        <w:t>HFC-23</w:t>
      </w:r>
      <w:r w:rsidR="00285B75" w:rsidRPr="00094A50">
        <w:rPr>
          <w:lang w:val="fr-CA"/>
        </w:rPr>
        <w:t xml:space="preserve"> d’une année à l’autre</w:t>
      </w:r>
      <w:r w:rsidR="00DE09F4" w:rsidRPr="00094A50">
        <w:rPr>
          <w:lang w:val="fr-CA"/>
        </w:rPr>
        <w:t>.</w:t>
      </w:r>
    </w:p>
    <w:p w14:paraId="04C55081" w14:textId="6F9FE5B6" w:rsidR="00DE09F4" w:rsidRPr="00874A44" w:rsidRDefault="00285B75" w:rsidP="00DE09F4">
      <w:pPr>
        <w:pStyle w:val="Heading1"/>
        <w:rPr>
          <w:lang w:val="fr-CA"/>
        </w:rPr>
      </w:pPr>
      <w:r>
        <w:rPr>
          <w:lang w:val="fr-CA"/>
        </w:rPr>
        <w:t xml:space="preserve">Notant qu’un </w:t>
      </w:r>
      <w:r w:rsidR="00DE09F4" w:rsidRPr="00874A44">
        <w:rPr>
          <w:lang w:val="fr-CA"/>
        </w:rPr>
        <w:t xml:space="preserve">kilogramme (kg) </w:t>
      </w:r>
      <w:r>
        <w:rPr>
          <w:lang w:val="fr-CA"/>
        </w:rPr>
        <w:t>de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émis dans l’atmosphère équivaut à </w:t>
      </w:r>
      <w:r w:rsidR="00DE09F4" w:rsidRPr="00874A44">
        <w:rPr>
          <w:lang w:val="fr-CA"/>
        </w:rPr>
        <w:t>14</w:t>
      </w:r>
      <w:r>
        <w:rPr>
          <w:lang w:val="fr-CA"/>
        </w:rPr>
        <w:t> </w:t>
      </w:r>
      <w:r w:rsidR="00DE09F4" w:rsidRPr="00874A44">
        <w:rPr>
          <w:lang w:val="fr-CA"/>
        </w:rPr>
        <w:t xml:space="preserve">800 kg </w:t>
      </w:r>
      <w:r>
        <w:rPr>
          <w:lang w:val="fr-CA"/>
        </w:rPr>
        <w:t xml:space="preserve">de </w:t>
      </w:r>
      <w:r w:rsidR="00DE09F4" w:rsidRPr="00874A44">
        <w:rPr>
          <w:lang w:val="fr-CA"/>
        </w:rPr>
        <w:t>CO</w:t>
      </w:r>
      <w:r w:rsidR="00DE09F4" w:rsidRPr="00874A44">
        <w:rPr>
          <w:vertAlign w:val="subscript"/>
          <w:lang w:val="fr-CA"/>
        </w:rPr>
        <w:t>2</w:t>
      </w:r>
      <w:r w:rsidR="00DE09F4" w:rsidRPr="00874A44">
        <w:rPr>
          <w:lang w:val="fr-CA"/>
        </w:rPr>
        <w:t xml:space="preserve">, </w:t>
      </w:r>
      <w:r>
        <w:rPr>
          <w:lang w:val="fr-CA"/>
        </w:rPr>
        <w:t>et constatant que les é</w:t>
      </w:r>
      <w:r w:rsidR="00DE09F4" w:rsidRPr="00874A44">
        <w:rPr>
          <w:lang w:val="fr-CA"/>
        </w:rPr>
        <w:t xml:space="preserve">missions </w:t>
      </w:r>
      <w:r>
        <w:rPr>
          <w:lang w:val="fr-CA"/>
        </w:rPr>
        <w:t xml:space="preserve">de cette </w:t>
      </w:r>
      <w:r w:rsidR="00DE09F4" w:rsidRPr="00874A44">
        <w:rPr>
          <w:lang w:val="fr-CA"/>
        </w:rPr>
        <w:t xml:space="preserve">substance </w:t>
      </w:r>
      <w:r>
        <w:rPr>
          <w:lang w:val="fr-CA"/>
        </w:rPr>
        <w:t>générée comme sous</w:t>
      </w:r>
      <w:r w:rsidR="00DE09F4" w:rsidRPr="00874A44">
        <w:rPr>
          <w:lang w:val="fr-CA"/>
        </w:rPr>
        <w:t>-produ</w:t>
      </w:r>
      <w:r>
        <w:rPr>
          <w:lang w:val="fr-CA"/>
        </w:rPr>
        <w:t>i</w:t>
      </w:r>
      <w:r w:rsidR="00DE09F4" w:rsidRPr="00874A44">
        <w:rPr>
          <w:lang w:val="fr-CA"/>
        </w:rPr>
        <w:t xml:space="preserve">t </w:t>
      </w:r>
      <w:r>
        <w:rPr>
          <w:lang w:val="fr-CA"/>
        </w:rPr>
        <w:t xml:space="preserve">de la </w:t>
      </w:r>
      <w:r w:rsidR="00DE09F4" w:rsidRPr="00874A44">
        <w:rPr>
          <w:lang w:val="fr-CA"/>
        </w:rPr>
        <w:t xml:space="preserve">production </w:t>
      </w:r>
      <w:r>
        <w:rPr>
          <w:lang w:val="fr-CA"/>
        </w:rPr>
        <w:t>de</w:t>
      </w:r>
      <w:r w:rsidR="00DE09F4" w:rsidRPr="00874A44">
        <w:rPr>
          <w:lang w:val="fr-CA"/>
        </w:rPr>
        <w:t xml:space="preserve"> HCFC-22 </w:t>
      </w:r>
      <w:r>
        <w:rPr>
          <w:lang w:val="fr-CA"/>
        </w:rPr>
        <w:t xml:space="preserve">par </w:t>
      </w:r>
      <w:r w:rsidR="00DE09F4" w:rsidRPr="00874A44">
        <w:rPr>
          <w:lang w:val="fr-CA"/>
        </w:rPr>
        <w:t xml:space="preserve">Quimobásicos </w:t>
      </w:r>
      <w:r>
        <w:rPr>
          <w:lang w:val="fr-CA"/>
        </w:rPr>
        <w:t xml:space="preserve">représente environ </w:t>
      </w:r>
      <w:r w:rsidR="00DE09F4" w:rsidRPr="00874A44">
        <w:rPr>
          <w:lang w:val="fr-CA"/>
        </w:rPr>
        <w:t>1</w:t>
      </w:r>
      <w:r>
        <w:rPr>
          <w:lang w:val="fr-CA"/>
        </w:rPr>
        <w:t>,</w:t>
      </w:r>
      <w:r w:rsidR="00DE09F4" w:rsidRPr="00874A44">
        <w:rPr>
          <w:lang w:val="fr-CA"/>
        </w:rPr>
        <w:t>6</w:t>
      </w:r>
      <w:r>
        <w:rPr>
          <w:lang w:val="fr-CA"/>
        </w:rPr>
        <w:t> </w:t>
      </w:r>
      <w:r w:rsidR="00DE09F4" w:rsidRPr="00874A44">
        <w:rPr>
          <w:lang w:val="fr-CA"/>
        </w:rPr>
        <w:t>million</w:t>
      </w:r>
      <w:r>
        <w:rPr>
          <w:lang w:val="fr-CA"/>
        </w:rPr>
        <w:t xml:space="preserve">s de tonnes métriques de </w:t>
      </w:r>
      <w:r w:rsidR="00DE09F4" w:rsidRPr="00874A44">
        <w:rPr>
          <w:lang w:val="fr-CA"/>
        </w:rPr>
        <w:t>CO</w:t>
      </w:r>
      <w:r w:rsidR="00DE09F4" w:rsidRPr="00874A44">
        <w:rPr>
          <w:vertAlign w:val="subscript"/>
          <w:lang w:val="fr-CA"/>
        </w:rPr>
        <w:t>2</w:t>
      </w:r>
      <w:r w:rsidR="00DE09F4" w:rsidRPr="00874A44">
        <w:rPr>
          <w:lang w:val="fr-CA"/>
        </w:rPr>
        <w:t xml:space="preserve">-eq, </w:t>
      </w:r>
      <w:r>
        <w:rPr>
          <w:lang w:val="fr-CA"/>
        </w:rPr>
        <w:t>depuis le moment où la proposition de projet a été soumise jusqu’à ce que les options proposées par l’</w:t>
      </w:r>
      <w:r w:rsidR="00FA2615">
        <w:rPr>
          <w:lang w:val="fr-CA"/>
        </w:rPr>
        <w:t>ONUDI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puissent être mises en œuvre, le </w:t>
      </w:r>
      <w:r w:rsidR="006E57E3">
        <w:rPr>
          <w:lang w:val="fr-CA"/>
        </w:rPr>
        <w:t>Secrétariat</w:t>
      </w:r>
      <w:r>
        <w:rPr>
          <w:lang w:val="fr-CA"/>
        </w:rPr>
        <w:t xml:space="preserve"> a envisagé de quelle façon </w:t>
      </w:r>
      <w:r w:rsidR="00DE09F4" w:rsidRPr="00874A44">
        <w:rPr>
          <w:lang w:val="fr-CA"/>
        </w:rPr>
        <w:t xml:space="preserve">Quimobásicos </w:t>
      </w:r>
      <w:r>
        <w:rPr>
          <w:lang w:val="fr-CA"/>
        </w:rPr>
        <w:t xml:space="preserve">pourrait, en utilisant ses propres fonds, </w:t>
      </w:r>
      <w:r w:rsidR="006D1C16">
        <w:rPr>
          <w:lang w:val="fr-CA"/>
        </w:rPr>
        <w:t>mener</w:t>
      </w:r>
      <w:r>
        <w:rPr>
          <w:lang w:val="fr-CA"/>
        </w:rPr>
        <w:t xml:space="preserve"> les </w:t>
      </w:r>
      <w:r w:rsidR="006D1C16">
        <w:rPr>
          <w:lang w:val="fr-CA"/>
        </w:rPr>
        <w:t xml:space="preserve">activités requises pour réduire au minimum les émissions de HFC-23 dans l’atmosphère, avant la réunion du </w:t>
      </w:r>
      <w:r w:rsidR="006E57E3">
        <w:rPr>
          <w:lang w:val="fr-CA"/>
        </w:rPr>
        <w:t>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. </w:t>
      </w:r>
      <w:r w:rsidR="006D1C16">
        <w:rPr>
          <w:lang w:val="fr-CA"/>
        </w:rPr>
        <w:t xml:space="preserve">Malheureusement, ni </w:t>
      </w:r>
      <w:r w:rsidR="00DE09F4" w:rsidRPr="00874A44">
        <w:rPr>
          <w:lang w:val="fr-CA"/>
        </w:rPr>
        <w:t>Quimobásicos n</w:t>
      </w:r>
      <w:r w:rsidR="006D1C16">
        <w:rPr>
          <w:lang w:val="fr-CA"/>
        </w:rPr>
        <w:t>i le g</w:t>
      </w:r>
      <w:r w:rsidR="00874A44" w:rsidRPr="00874A44">
        <w:rPr>
          <w:lang w:val="fr-CA"/>
        </w:rPr>
        <w:t>ouvernement</w:t>
      </w:r>
      <w:r w:rsidR="00DE09F4" w:rsidRPr="00874A44">
        <w:rPr>
          <w:lang w:val="fr-CA"/>
        </w:rPr>
        <w:t xml:space="preserve"> </w:t>
      </w:r>
      <w:r w:rsidR="006D1C16">
        <w:rPr>
          <w:lang w:val="fr-CA"/>
        </w:rPr>
        <w:t>ne disposait de budget pour de telles activités</w:t>
      </w:r>
      <w:r w:rsidR="00DE09F4" w:rsidRPr="00874A44">
        <w:rPr>
          <w:lang w:val="fr-CA"/>
        </w:rPr>
        <w:t xml:space="preserve">; </w:t>
      </w:r>
      <w:r w:rsidR="006D1C16">
        <w:rPr>
          <w:lang w:val="fr-CA"/>
        </w:rPr>
        <w:t xml:space="preserve">par ailleurs, </w:t>
      </w:r>
      <w:r w:rsidR="009E30E2">
        <w:rPr>
          <w:lang w:val="fr-CA"/>
        </w:rPr>
        <w:t xml:space="preserve">il n’est pas clair laquelle des options de contrôle demandées dans la </w:t>
      </w:r>
      <w:r w:rsidR="00874A44" w:rsidRPr="00874A44">
        <w:rPr>
          <w:lang w:val="fr-CA"/>
        </w:rPr>
        <w:t>décision</w:t>
      </w:r>
      <w:r w:rsidR="00DE09F4" w:rsidRPr="00874A44">
        <w:rPr>
          <w:lang w:val="fr-CA"/>
        </w:rPr>
        <w:t xml:space="preserve"> 83/67(a) </w:t>
      </w:r>
      <w:r w:rsidR="009E30E2">
        <w:rPr>
          <w:lang w:val="fr-CA"/>
        </w:rPr>
        <w:t>l</w:t>
      </w:r>
      <w:r w:rsidR="006E57E3">
        <w:rPr>
          <w:lang w:val="fr-CA"/>
        </w:rPr>
        <w:t>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r w:rsidR="009E30E2">
        <w:rPr>
          <w:lang w:val="fr-CA"/>
        </w:rPr>
        <w:t>pourrait retenir</w:t>
      </w:r>
      <w:r w:rsidR="00DE09F4" w:rsidRPr="00874A44">
        <w:rPr>
          <w:lang w:val="fr-CA"/>
        </w:rPr>
        <w:t xml:space="preserve">. </w:t>
      </w:r>
    </w:p>
    <w:p w14:paraId="20AE27DA" w14:textId="4E015E59" w:rsidR="00DE09F4" w:rsidRPr="009E30E2" w:rsidRDefault="009E30E2" w:rsidP="009E30E2">
      <w:pPr>
        <w:pStyle w:val="Heading1"/>
        <w:rPr>
          <w:lang w:val="fr-CA"/>
        </w:rPr>
      </w:pPr>
      <w:r>
        <w:rPr>
          <w:lang w:val="fr-CA"/>
        </w:rPr>
        <w:t>En conséquence, afin d’aider le g</w:t>
      </w:r>
      <w:r w:rsidR="00874A44" w:rsidRPr="00874A44">
        <w:rPr>
          <w:lang w:val="fr-CA"/>
        </w:rPr>
        <w:t>ouvernement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du </w:t>
      </w:r>
      <w:r w:rsidR="00874A44" w:rsidRPr="00874A44">
        <w:rPr>
          <w:lang w:val="fr-CA"/>
        </w:rPr>
        <w:t>Mexique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à se conformer à ses nouvelles </w:t>
      </w:r>
      <w:r w:rsidR="00DE09F4" w:rsidRPr="00874A44">
        <w:rPr>
          <w:lang w:val="fr-CA"/>
        </w:rPr>
        <w:t xml:space="preserve">obligations </w:t>
      </w:r>
      <w:r>
        <w:rPr>
          <w:lang w:val="fr-CA"/>
        </w:rPr>
        <w:t xml:space="preserve">au titre de </w:t>
      </w:r>
      <w:r w:rsidR="0036412C" w:rsidRPr="0036412C">
        <w:rPr>
          <w:lang w:val="fr-CA"/>
        </w:rPr>
        <w:t xml:space="preserve">l’Amendement de Kigali </w:t>
      </w:r>
      <w:r>
        <w:rPr>
          <w:lang w:val="fr-CA"/>
        </w:rPr>
        <w:t>le plus rapidement possible</w:t>
      </w:r>
      <w:r w:rsidR="00DE09F4" w:rsidRPr="00874A44">
        <w:rPr>
          <w:lang w:val="fr-CA"/>
        </w:rPr>
        <w:t xml:space="preserve">, </w:t>
      </w:r>
      <w:r>
        <w:rPr>
          <w:lang w:val="fr-CA"/>
        </w:rPr>
        <w:t>l</w:t>
      </w:r>
      <w:r w:rsidR="006E57E3">
        <w:rPr>
          <w:lang w:val="fr-CA"/>
        </w:rPr>
        <w:t>e Secrétariat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a voulu assurer la disponibilité d’options techniquement possibles qui permettraient de réduire la durée nécessaire pour réduire les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. </w:t>
      </w:r>
      <w:r>
        <w:rPr>
          <w:lang w:val="fr-CA"/>
        </w:rPr>
        <w:t xml:space="preserve">Comme il est expliqué en détail dans le </w:t>
      </w:r>
      <w:r w:rsidR="00DE09F4" w:rsidRPr="00874A44">
        <w:rPr>
          <w:lang w:val="fr-CA"/>
        </w:rPr>
        <w:t>document UNEP/</w:t>
      </w:r>
      <w:proofErr w:type="spellStart"/>
      <w:r w:rsidR="00DE09F4" w:rsidRPr="00874A44">
        <w:rPr>
          <w:lang w:val="fr-CA"/>
        </w:rPr>
        <w:t>OzL.Pro</w:t>
      </w:r>
      <w:proofErr w:type="spellEnd"/>
      <w:r w:rsidR="00DE09F4" w:rsidRPr="00874A44">
        <w:rPr>
          <w:lang w:val="fr-CA"/>
        </w:rPr>
        <w:t>/</w:t>
      </w:r>
      <w:proofErr w:type="spellStart"/>
      <w:r w:rsidR="00DE09F4" w:rsidRPr="00874A44">
        <w:rPr>
          <w:lang w:val="fr-CA"/>
        </w:rPr>
        <w:t>ExCom</w:t>
      </w:r>
      <w:proofErr w:type="spellEnd"/>
      <w:r w:rsidR="00DE09F4" w:rsidRPr="00874A44">
        <w:rPr>
          <w:lang w:val="fr-CA"/>
        </w:rPr>
        <w:t xml:space="preserve">/84/72, </w:t>
      </w:r>
      <w:r>
        <w:rPr>
          <w:lang w:val="fr-CA"/>
        </w:rPr>
        <w:t>l</w:t>
      </w:r>
      <w:r w:rsidR="00DE09F4" w:rsidRPr="00874A44">
        <w:rPr>
          <w:lang w:val="fr-CA"/>
        </w:rPr>
        <w:t>e</w:t>
      </w:r>
      <w:r>
        <w:rPr>
          <w:lang w:val="fr-CA"/>
        </w:rPr>
        <w:t>s</w:t>
      </w:r>
      <w:r w:rsidR="00DE09F4" w:rsidRPr="00874A44">
        <w:rPr>
          <w:lang w:val="fr-CA"/>
        </w:rPr>
        <w:t xml:space="preserve"> options </w:t>
      </w:r>
      <w:r>
        <w:rPr>
          <w:lang w:val="fr-CA"/>
        </w:rPr>
        <w:t xml:space="preserve">identifiées par le </w:t>
      </w:r>
      <w:r w:rsidR="006E57E3">
        <w:rPr>
          <w:lang w:val="fr-CA"/>
        </w:rPr>
        <w:t>Secrétariat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comprennent la destruction hors site et des modifications techniques à apporter à</w:t>
      </w:r>
      <w:r w:rsidRPr="009E30E2">
        <w:rPr>
          <w:lang w:val="fr-CA"/>
        </w:rPr>
        <w:t xml:space="preserve"> la procédure de production de </w:t>
      </w:r>
      <w:r w:rsidR="00DE09F4" w:rsidRPr="009E30E2">
        <w:rPr>
          <w:lang w:val="fr-CA"/>
        </w:rPr>
        <w:t xml:space="preserve">HCFC-22 </w:t>
      </w:r>
      <w:r>
        <w:rPr>
          <w:lang w:val="fr-CA"/>
        </w:rPr>
        <w:t xml:space="preserve">appliquée à </w:t>
      </w:r>
      <w:r w:rsidR="00DE09F4" w:rsidRPr="009E30E2">
        <w:rPr>
          <w:lang w:val="fr-CA"/>
        </w:rPr>
        <w:t xml:space="preserve">Quimobásicos. </w:t>
      </w:r>
      <w:r>
        <w:rPr>
          <w:lang w:val="fr-CA"/>
        </w:rPr>
        <w:t xml:space="preserve">Par contre, comme il est aussi indiqué dans le </w:t>
      </w:r>
      <w:r w:rsidR="00DE09F4" w:rsidRPr="009E30E2">
        <w:rPr>
          <w:lang w:val="fr-CA"/>
        </w:rPr>
        <w:t xml:space="preserve">document, </w:t>
      </w:r>
      <w:r>
        <w:rPr>
          <w:lang w:val="fr-CA"/>
        </w:rPr>
        <w:t xml:space="preserve">il n’est pas clair quelles </w:t>
      </w:r>
      <w:r w:rsidR="00DE09F4" w:rsidRPr="009E30E2">
        <w:rPr>
          <w:lang w:val="fr-CA"/>
        </w:rPr>
        <w:t xml:space="preserve">options </w:t>
      </w:r>
      <w:r>
        <w:rPr>
          <w:lang w:val="fr-CA"/>
        </w:rPr>
        <w:t xml:space="preserve">pourraient </w:t>
      </w:r>
      <w:r w:rsidR="00E35E44">
        <w:rPr>
          <w:lang w:val="fr-CA"/>
        </w:rPr>
        <w:t>être mises en œuvre en pratique dans le calendrier envisagé</w:t>
      </w:r>
      <w:r w:rsidR="00DE09F4" w:rsidRPr="009E30E2">
        <w:rPr>
          <w:lang w:val="fr-CA"/>
        </w:rPr>
        <w:t xml:space="preserve">. </w:t>
      </w:r>
      <w:r w:rsidR="00E35E44">
        <w:rPr>
          <w:lang w:val="fr-CA"/>
        </w:rPr>
        <w:t xml:space="preserve">Par ailleurs, </w:t>
      </w:r>
      <w:r w:rsidR="00DE09F4" w:rsidRPr="009E30E2">
        <w:rPr>
          <w:lang w:val="fr-CA"/>
        </w:rPr>
        <w:t xml:space="preserve">Quimobásicos </w:t>
      </w:r>
      <w:r w:rsidR="00E35E44">
        <w:rPr>
          <w:lang w:val="fr-CA"/>
        </w:rPr>
        <w:t xml:space="preserve">n’a pas accepté de modifier sa procédure de production de </w:t>
      </w:r>
      <w:r w:rsidR="00DE09F4" w:rsidRPr="009E30E2">
        <w:rPr>
          <w:lang w:val="fr-CA"/>
        </w:rPr>
        <w:t>HCFC-22.</w:t>
      </w:r>
    </w:p>
    <w:p w14:paraId="543B9882" w14:textId="3293A65B" w:rsidR="00DE09F4" w:rsidRPr="00874A44" w:rsidRDefault="006E57E3" w:rsidP="00DE09F4">
      <w:pPr>
        <w:pStyle w:val="Heading1"/>
        <w:rPr>
          <w:lang w:val="fr-CA"/>
        </w:rPr>
      </w:pPr>
      <w:r>
        <w:rPr>
          <w:lang w:val="fr-CA"/>
        </w:rPr>
        <w:t>Le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r w:rsidR="00E35E44">
        <w:rPr>
          <w:lang w:val="fr-CA"/>
        </w:rPr>
        <w:t>est invité à indiquer si le calendrier est un facteur à considérer dans la sélection d’une option de contrôle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. </w:t>
      </w:r>
    </w:p>
    <w:p w14:paraId="0D56838E" w14:textId="21DA177F" w:rsidR="00DE09F4" w:rsidRPr="00874A44" w:rsidRDefault="00E35E44" w:rsidP="00DE09F4">
      <w:pPr>
        <w:rPr>
          <w:u w:val="single"/>
          <w:lang w:val="fr-CA"/>
        </w:rPr>
      </w:pPr>
      <w:r>
        <w:rPr>
          <w:u w:val="single"/>
          <w:lang w:val="fr-CA"/>
        </w:rPr>
        <w:t>Admissibilité du s</w:t>
      </w:r>
      <w:r w:rsidR="008C65D6">
        <w:rPr>
          <w:u w:val="single"/>
          <w:lang w:val="fr-CA"/>
        </w:rPr>
        <w:t>ous-produit</w:t>
      </w:r>
      <w:r w:rsidR="00874A44" w:rsidRPr="00874A44">
        <w:rPr>
          <w:u w:val="single"/>
          <w:lang w:val="fr-CA"/>
        </w:rPr>
        <w:t xml:space="preserve"> HFC-23</w:t>
      </w:r>
      <w:r w:rsidR="00DE09F4" w:rsidRPr="00874A44">
        <w:rPr>
          <w:u w:val="single"/>
          <w:lang w:val="fr-CA"/>
        </w:rPr>
        <w:t xml:space="preserve"> </w:t>
      </w:r>
      <w:r w:rsidR="00466EC8">
        <w:rPr>
          <w:u w:val="single"/>
          <w:lang w:val="fr-CA"/>
        </w:rPr>
        <w:t>associ</w:t>
      </w:r>
      <w:r>
        <w:rPr>
          <w:u w:val="single"/>
          <w:lang w:val="fr-CA"/>
        </w:rPr>
        <w:t xml:space="preserve">é aux exportations de </w:t>
      </w:r>
      <w:r w:rsidR="00DE09F4" w:rsidRPr="00874A44">
        <w:rPr>
          <w:u w:val="single"/>
          <w:lang w:val="fr-CA"/>
        </w:rPr>
        <w:t xml:space="preserve">HCFC-22 </w:t>
      </w:r>
      <w:r>
        <w:rPr>
          <w:u w:val="single"/>
          <w:lang w:val="fr-CA"/>
        </w:rPr>
        <w:t>à un pays non visé à l’a</w:t>
      </w:r>
      <w:r w:rsidR="00DE09F4" w:rsidRPr="00874A44">
        <w:rPr>
          <w:u w:val="single"/>
          <w:lang w:val="fr-CA"/>
        </w:rPr>
        <w:t>rticle</w:t>
      </w:r>
      <w:r w:rsidR="00AB77C7">
        <w:rPr>
          <w:u w:val="single"/>
          <w:lang w:val="fr-CA"/>
        </w:rPr>
        <w:t> </w:t>
      </w:r>
      <w:r w:rsidR="00DE09F4" w:rsidRPr="00874A44">
        <w:rPr>
          <w:u w:val="single"/>
          <w:lang w:val="fr-CA"/>
        </w:rPr>
        <w:t>5</w:t>
      </w:r>
    </w:p>
    <w:p w14:paraId="4B018746" w14:textId="77777777" w:rsidR="00DE09F4" w:rsidRPr="00874A44" w:rsidRDefault="00DE09F4" w:rsidP="00DE09F4">
      <w:pPr>
        <w:rPr>
          <w:lang w:val="fr-CA"/>
        </w:rPr>
      </w:pPr>
    </w:p>
    <w:p w14:paraId="14AF541C" w14:textId="4677C224" w:rsidR="00DE09F4" w:rsidRPr="00874A44" w:rsidRDefault="00E35E44" w:rsidP="00DE09F4">
      <w:pPr>
        <w:pStyle w:val="Heading1"/>
        <w:rPr>
          <w:lang w:val="fr-CA"/>
        </w:rPr>
      </w:pPr>
      <w:r>
        <w:rPr>
          <w:lang w:val="fr-CA"/>
        </w:rPr>
        <w:t xml:space="preserve">À sa </w:t>
      </w:r>
      <w:r w:rsidR="00DE09F4" w:rsidRPr="00874A44">
        <w:rPr>
          <w:lang w:val="fr-CA"/>
        </w:rPr>
        <w:t>15</w:t>
      </w:r>
      <w:r>
        <w:rPr>
          <w:vertAlign w:val="superscript"/>
          <w:lang w:val="fr-CA"/>
        </w:rPr>
        <w:t>e</w:t>
      </w:r>
      <w:r w:rsidR="00DE09F4" w:rsidRPr="00874A44">
        <w:rPr>
          <w:lang w:val="fr-CA"/>
        </w:rPr>
        <w:t xml:space="preserve"> </w:t>
      </w:r>
      <w:r w:rsidR="00874A44" w:rsidRPr="00874A44">
        <w:rPr>
          <w:lang w:val="fr-CA"/>
        </w:rPr>
        <w:t>réunion</w:t>
      </w:r>
      <w:r w:rsidR="00DE09F4" w:rsidRPr="00874A44">
        <w:rPr>
          <w:lang w:val="fr-CA"/>
        </w:rPr>
        <w:t xml:space="preserve">, </w:t>
      </w:r>
      <w:r>
        <w:rPr>
          <w:lang w:val="fr-CA"/>
        </w:rPr>
        <w:t>l</w:t>
      </w:r>
      <w:r w:rsidR="006E57E3">
        <w:rPr>
          <w:lang w:val="fr-CA"/>
        </w:rPr>
        <w:t>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a approuvé les lignes directrices à appliquer dans les projets destinés aux entreprises qui exportent une partie de leur production à des pays non </w:t>
      </w:r>
      <w:r w:rsidR="00874A44" w:rsidRPr="00874A44">
        <w:rPr>
          <w:lang w:val="fr-CA"/>
        </w:rPr>
        <w:t>visés à l’article 5</w:t>
      </w:r>
      <w:r w:rsidR="00DE09F4" w:rsidRPr="00874A44">
        <w:rPr>
          <w:lang w:val="fr-CA"/>
        </w:rPr>
        <w:t>.</w:t>
      </w:r>
      <w:r w:rsidR="00DE09F4" w:rsidRPr="00874A44">
        <w:rPr>
          <w:rStyle w:val="FootnoteReference"/>
          <w:lang w:val="fr-CA"/>
        </w:rPr>
        <w:footnoteReference w:id="8"/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Conformément à ces lignes directrices, les </w:t>
      </w:r>
      <w:r w:rsidR="00DE09F4" w:rsidRPr="00874A44">
        <w:rPr>
          <w:lang w:val="fr-CA"/>
        </w:rPr>
        <w:t xml:space="preserve">HCFC </w:t>
      </w:r>
      <w:r>
        <w:rPr>
          <w:lang w:val="fr-CA"/>
        </w:rPr>
        <w:t>exportés à des pays non</w:t>
      </w:r>
      <w:r w:rsidR="00874A44" w:rsidRPr="00874A44">
        <w:rPr>
          <w:lang w:val="fr-CA"/>
        </w:rPr>
        <w:t xml:space="preserve"> visés à l’article 5</w:t>
      </w:r>
      <w:r w:rsidR="00DE09F4" w:rsidRPr="00874A44">
        <w:rPr>
          <w:lang w:val="fr-CA"/>
        </w:rPr>
        <w:t xml:space="preserve"> </w:t>
      </w:r>
      <w:r w:rsidR="0009307A">
        <w:rPr>
          <w:lang w:val="fr-CA"/>
        </w:rPr>
        <w:t xml:space="preserve">ne sont pas pris </w:t>
      </w:r>
      <w:r w:rsidR="0009307A">
        <w:rPr>
          <w:lang w:val="fr-CA"/>
        </w:rPr>
        <w:lastRenderedPageBreak/>
        <w:t>en compte pour déterminer le financement de compensation, puisque ces exportations ne sont pas admissibles</w:t>
      </w:r>
      <w:r w:rsidR="00DE09F4" w:rsidRPr="00874A44">
        <w:rPr>
          <w:lang w:val="fr-CA"/>
        </w:rPr>
        <w:t xml:space="preserve">. </w:t>
      </w:r>
    </w:p>
    <w:p w14:paraId="253A7B2F" w14:textId="5DFB725F" w:rsidR="00DE09F4" w:rsidRPr="00874A44" w:rsidRDefault="00DE09F4" w:rsidP="00DE09F4">
      <w:pPr>
        <w:pStyle w:val="Heading1"/>
        <w:rPr>
          <w:lang w:val="fr-CA"/>
        </w:rPr>
      </w:pPr>
      <w:r w:rsidRPr="00874A44">
        <w:rPr>
          <w:lang w:val="fr-CA"/>
        </w:rPr>
        <w:t>Quimobásicos</w:t>
      </w:r>
      <w:r w:rsidR="0009307A">
        <w:rPr>
          <w:lang w:val="fr-CA"/>
        </w:rPr>
        <w:t xml:space="preserve"> exporte plus de 70 % de sa production à un pays non visé à l’a</w:t>
      </w:r>
      <w:r w:rsidRPr="00874A44">
        <w:rPr>
          <w:lang w:val="fr-CA"/>
        </w:rPr>
        <w:t xml:space="preserve">rticle 5. </w:t>
      </w:r>
      <w:r w:rsidR="0009307A">
        <w:rPr>
          <w:lang w:val="fr-CA"/>
        </w:rPr>
        <w:t xml:space="preserve">Si les lignes directrices approuvées par le Comité à sa </w:t>
      </w:r>
      <w:r w:rsidRPr="00874A44">
        <w:rPr>
          <w:lang w:val="fr-CA"/>
        </w:rPr>
        <w:t>15</w:t>
      </w:r>
      <w:r w:rsidR="0009307A">
        <w:rPr>
          <w:vertAlign w:val="superscript"/>
          <w:lang w:val="fr-CA"/>
        </w:rPr>
        <w:t>e</w:t>
      </w:r>
      <w:r w:rsidRPr="00874A44">
        <w:rPr>
          <w:lang w:val="fr-CA"/>
        </w:rPr>
        <w:t xml:space="preserve"> </w:t>
      </w:r>
      <w:r w:rsidR="00874A44" w:rsidRPr="00874A44">
        <w:rPr>
          <w:lang w:val="fr-CA"/>
        </w:rPr>
        <w:t>réunion</w:t>
      </w:r>
      <w:r w:rsidRPr="00874A44">
        <w:rPr>
          <w:lang w:val="fr-CA"/>
        </w:rPr>
        <w:t xml:space="preserve"> </w:t>
      </w:r>
      <w:r w:rsidR="0009307A">
        <w:rPr>
          <w:lang w:val="fr-CA"/>
        </w:rPr>
        <w:t>étaient appliquées, le projet ne seraient pas admissible</w:t>
      </w:r>
      <w:r w:rsidRPr="00874A44">
        <w:rPr>
          <w:lang w:val="fr-CA"/>
        </w:rPr>
        <w:t xml:space="preserve">. </w:t>
      </w:r>
    </w:p>
    <w:p w14:paraId="4F9478B7" w14:textId="21DF3240" w:rsidR="00DE09F4" w:rsidRPr="00874A44" w:rsidRDefault="0009307A" w:rsidP="00DE09F4">
      <w:pPr>
        <w:pStyle w:val="Heading1"/>
        <w:rPr>
          <w:lang w:val="fr-CA"/>
        </w:rPr>
      </w:pPr>
      <w:r>
        <w:rPr>
          <w:lang w:val="fr-CA"/>
        </w:rPr>
        <w:t>Les obligations de contrôle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sont nouvelles et différentes de celles qui ont été examinées précédemment par le </w:t>
      </w:r>
      <w:r w:rsidR="006E57E3">
        <w:rPr>
          <w:lang w:val="fr-CA"/>
        </w:rPr>
        <w:t>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. </w:t>
      </w:r>
      <w:r>
        <w:rPr>
          <w:lang w:val="fr-CA"/>
        </w:rPr>
        <w:t>Le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serait généré au </w:t>
      </w:r>
      <w:r w:rsidR="00874A44" w:rsidRPr="00874A44">
        <w:rPr>
          <w:lang w:val="fr-CA"/>
        </w:rPr>
        <w:t>Mexique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et, en l’absence de tout contrôle, il y produirait des émissions, </w:t>
      </w:r>
      <w:r w:rsidR="00466EC8">
        <w:rPr>
          <w:lang w:val="fr-CA"/>
        </w:rPr>
        <w:t xml:space="preserve">que la production de </w:t>
      </w:r>
      <w:r w:rsidR="00466EC8" w:rsidRPr="00874A44">
        <w:rPr>
          <w:lang w:val="fr-CA"/>
        </w:rPr>
        <w:t>HCFC-22</w:t>
      </w:r>
      <w:r w:rsidR="00466EC8">
        <w:rPr>
          <w:lang w:val="fr-CA"/>
        </w:rPr>
        <w:t xml:space="preserve"> auquel ces émissions sont associées soit exportée ou non à un pays non visé à l’a</w:t>
      </w:r>
      <w:r w:rsidR="00DE09F4" w:rsidRPr="00874A44">
        <w:rPr>
          <w:lang w:val="fr-CA"/>
        </w:rPr>
        <w:t>rticle 5.</w:t>
      </w:r>
    </w:p>
    <w:p w14:paraId="0DE7D8A1" w14:textId="0601678D" w:rsidR="00DE09F4" w:rsidRPr="00874A44" w:rsidRDefault="00000E7B" w:rsidP="00DE09F4">
      <w:pPr>
        <w:pStyle w:val="Heading1"/>
        <w:keepNext/>
        <w:rPr>
          <w:lang w:val="fr-CA"/>
        </w:rPr>
      </w:pPr>
      <w:r>
        <w:rPr>
          <w:lang w:val="fr-CA"/>
        </w:rPr>
        <w:t>L</w:t>
      </w:r>
      <w:r w:rsidR="00DE09F4" w:rsidRPr="00874A44">
        <w:rPr>
          <w:lang w:val="fr-CA"/>
        </w:rPr>
        <w:t xml:space="preserve">e </w:t>
      </w:r>
      <w:r w:rsidR="00874A44" w:rsidRPr="00874A44">
        <w:rPr>
          <w:lang w:val="fr-CA"/>
        </w:rPr>
        <w:t>Comité exécutif</w:t>
      </w:r>
      <w:r w:rsidR="00DE09F4" w:rsidRPr="00874A44">
        <w:rPr>
          <w:lang w:val="fr-CA"/>
        </w:rPr>
        <w:t xml:space="preserve"> </w:t>
      </w:r>
      <w:r w:rsidR="00466EC8">
        <w:rPr>
          <w:lang w:val="fr-CA"/>
        </w:rPr>
        <w:t>est invité à fournir des orientations sur les éléments ci-après</w:t>
      </w:r>
      <w:r w:rsidR="00DE09F4" w:rsidRPr="00874A44">
        <w:rPr>
          <w:lang w:val="fr-CA"/>
        </w:rPr>
        <w:t>:</w:t>
      </w:r>
    </w:p>
    <w:p w14:paraId="126E4B4B" w14:textId="6730E2E0" w:rsidR="00DE09F4" w:rsidRPr="00874A44" w:rsidRDefault="00466EC8" w:rsidP="00DE09F4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Convient-il de considérer tous les s</w:t>
      </w:r>
      <w:r w:rsidR="008C65D6">
        <w:rPr>
          <w:lang w:val="fr-CA"/>
        </w:rPr>
        <w:t>ous-produit</w:t>
      </w:r>
      <w:r>
        <w:rPr>
          <w:lang w:val="fr-CA"/>
        </w:rPr>
        <w:t>s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comme étant admissibles, que le </w:t>
      </w:r>
      <w:r w:rsidR="00DE09F4" w:rsidRPr="00874A44">
        <w:rPr>
          <w:lang w:val="fr-CA"/>
        </w:rPr>
        <w:t xml:space="preserve">HCFC-22 </w:t>
      </w:r>
      <w:r>
        <w:rPr>
          <w:lang w:val="fr-CA"/>
        </w:rPr>
        <w:t>dont ils résultent soit exporté ou non à un pays non visé à l’a</w:t>
      </w:r>
      <w:r w:rsidR="00DE09F4" w:rsidRPr="00874A44">
        <w:rPr>
          <w:lang w:val="fr-CA"/>
        </w:rPr>
        <w:t xml:space="preserve">rticle 5, </w:t>
      </w:r>
      <w:r>
        <w:rPr>
          <w:lang w:val="fr-CA"/>
        </w:rPr>
        <w:t>et</w:t>
      </w:r>
      <w:r w:rsidR="00DE09F4" w:rsidRPr="00874A44">
        <w:rPr>
          <w:lang w:val="fr-CA"/>
        </w:rPr>
        <w:t xml:space="preserve"> </w:t>
      </w:r>
    </w:p>
    <w:p w14:paraId="2C4B3591" w14:textId="7CEF8259" w:rsidR="00DE09F4" w:rsidRPr="00874A44" w:rsidRDefault="00466EC8" w:rsidP="00DE09F4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Convient-il de déduire la part de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liée aux exportations de </w:t>
      </w:r>
      <w:r w:rsidR="00DE09F4" w:rsidRPr="00874A44">
        <w:rPr>
          <w:lang w:val="fr-CA"/>
        </w:rPr>
        <w:t xml:space="preserve">HCFC-22 </w:t>
      </w:r>
      <w:r>
        <w:rPr>
          <w:lang w:val="fr-CA"/>
        </w:rPr>
        <w:t>à un pays non visés à l’a</w:t>
      </w:r>
      <w:r w:rsidR="00DE09F4" w:rsidRPr="00874A44">
        <w:rPr>
          <w:lang w:val="fr-CA"/>
        </w:rPr>
        <w:t xml:space="preserve">rticle 5. </w:t>
      </w:r>
    </w:p>
    <w:p w14:paraId="5C52D3CA" w14:textId="17BCA910" w:rsidR="00DE09F4" w:rsidRPr="00874A44" w:rsidRDefault="00466EC8" w:rsidP="00CC72CD">
      <w:pPr>
        <w:rPr>
          <w:u w:val="single"/>
          <w:lang w:val="fr-CA"/>
        </w:rPr>
      </w:pPr>
      <w:r>
        <w:rPr>
          <w:u w:val="single"/>
          <w:lang w:val="fr-CA"/>
        </w:rPr>
        <w:t xml:space="preserve">Admissibilité du </w:t>
      </w:r>
      <w:r w:rsidR="00000E7B">
        <w:rPr>
          <w:u w:val="single"/>
          <w:lang w:val="fr-CA"/>
        </w:rPr>
        <w:t>s</w:t>
      </w:r>
      <w:r w:rsidR="008C65D6">
        <w:rPr>
          <w:u w:val="single"/>
          <w:lang w:val="fr-CA"/>
        </w:rPr>
        <w:t>ous-produit</w:t>
      </w:r>
      <w:r w:rsidR="00874A44" w:rsidRPr="00874A44">
        <w:rPr>
          <w:u w:val="single"/>
          <w:lang w:val="fr-CA"/>
        </w:rPr>
        <w:t xml:space="preserve"> HFC-23</w:t>
      </w:r>
      <w:r w:rsidR="00DE09F4" w:rsidRPr="00874A44">
        <w:rPr>
          <w:u w:val="single"/>
          <w:lang w:val="fr-CA"/>
        </w:rPr>
        <w:t xml:space="preserve"> associ</w:t>
      </w:r>
      <w:r>
        <w:rPr>
          <w:u w:val="single"/>
          <w:lang w:val="fr-CA"/>
        </w:rPr>
        <w:t xml:space="preserve">é à la production de </w:t>
      </w:r>
      <w:r w:rsidR="00DE09F4" w:rsidRPr="00874A44">
        <w:rPr>
          <w:u w:val="single"/>
          <w:lang w:val="fr-CA"/>
        </w:rPr>
        <w:t xml:space="preserve">HCFC-22 </w:t>
      </w:r>
      <w:r w:rsidR="00CC72CD">
        <w:rPr>
          <w:u w:val="single"/>
          <w:lang w:val="fr-CA"/>
        </w:rPr>
        <w:t>à utiliser comme matière première</w:t>
      </w:r>
    </w:p>
    <w:p w14:paraId="7093DD99" w14:textId="77777777" w:rsidR="00DE09F4" w:rsidRPr="00874A44" w:rsidRDefault="00DE09F4" w:rsidP="00DE09F4">
      <w:pPr>
        <w:rPr>
          <w:lang w:val="fr-CA"/>
        </w:rPr>
      </w:pPr>
    </w:p>
    <w:p w14:paraId="73A92207" w14:textId="33B925D1" w:rsidR="00DE09F4" w:rsidRPr="00874A44" w:rsidRDefault="00CC72CD" w:rsidP="00DE09F4">
      <w:pPr>
        <w:pStyle w:val="Heading1"/>
        <w:rPr>
          <w:lang w:val="fr-CA"/>
        </w:rPr>
      </w:pPr>
      <w:r>
        <w:rPr>
          <w:lang w:val="fr-CA"/>
        </w:rPr>
        <w:t>Les</w:t>
      </w:r>
      <w:r w:rsidR="00DE09F4" w:rsidRPr="00874A44">
        <w:rPr>
          <w:lang w:val="fr-CA"/>
        </w:rPr>
        <w:t xml:space="preserve"> Parties </w:t>
      </w:r>
      <w:r>
        <w:rPr>
          <w:lang w:val="fr-CA"/>
        </w:rPr>
        <w:t xml:space="preserve">au Protocole de </w:t>
      </w:r>
      <w:r w:rsidR="00DE09F4" w:rsidRPr="00874A44">
        <w:rPr>
          <w:lang w:val="fr-CA"/>
        </w:rPr>
        <w:t>Montr</w:t>
      </w:r>
      <w:r>
        <w:rPr>
          <w:lang w:val="fr-CA"/>
        </w:rPr>
        <w:t>é</w:t>
      </w:r>
      <w:r w:rsidR="00DE09F4" w:rsidRPr="00874A44">
        <w:rPr>
          <w:lang w:val="fr-CA"/>
        </w:rPr>
        <w:t xml:space="preserve">al </w:t>
      </w:r>
      <w:r>
        <w:rPr>
          <w:lang w:val="fr-CA"/>
        </w:rPr>
        <w:t xml:space="preserve">avaient décidé que la </w:t>
      </w:r>
      <w:r w:rsidR="00DE09F4" w:rsidRPr="00874A44">
        <w:rPr>
          <w:lang w:val="fr-CA"/>
        </w:rPr>
        <w:t>production (</w:t>
      </w:r>
      <w:r>
        <w:rPr>
          <w:lang w:val="fr-CA"/>
        </w:rPr>
        <w:t>et la consommation</w:t>
      </w:r>
      <w:r w:rsidR="00DE09F4" w:rsidRPr="00874A44">
        <w:rPr>
          <w:lang w:val="fr-CA"/>
        </w:rPr>
        <w:t xml:space="preserve">) </w:t>
      </w:r>
      <w:r>
        <w:rPr>
          <w:lang w:val="fr-CA"/>
        </w:rPr>
        <w:t>de substances réglementées à utiliser comme matière première devraient être exclues des mesures de contrôle</w:t>
      </w:r>
      <w:r w:rsidR="00DE09F4" w:rsidRPr="00874A44">
        <w:rPr>
          <w:lang w:val="fr-CA"/>
        </w:rPr>
        <w:t xml:space="preserve">, </w:t>
      </w:r>
      <w:r>
        <w:rPr>
          <w:lang w:val="fr-CA"/>
        </w:rPr>
        <w:t>étant entendu que ces substances réglementées seraient transformées durant la production de produits chimiques et donneraient donc une quantité négligeable d’émissions dans l’atmosphère</w:t>
      </w:r>
      <w:r w:rsidR="00DE09F4" w:rsidRPr="00874A44">
        <w:rPr>
          <w:lang w:val="fr-CA"/>
        </w:rPr>
        <w:t xml:space="preserve">. </w:t>
      </w:r>
    </w:p>
    <w:p w14:paraId="3A8B52AA" w14:textId="712432EA" w:rsidR="00DE09F4" w:rsidRPr="00874A44" w:rsidRDefault="00CC72CD" w:rsidP="00DE09F4">
      <w:pPr>
        <w:pStyle w:val="Heading1"/>
        <w:rPr>
          <w:lang w:val="fr-CA"/>
        </w:rPr>
      </w:pPr>
      <w:r>
        <w:rPr>
          <w:lang w:val="fr-CA"/>
        </w:rPr>
        <w:t>Les mesures de contrôle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visent à apporter des avantages pour le climat, et ces mesures sont nécessaires</w:t>
      </w:r>
      <w:r w:rsidR="008357E2">
        <w:rPr>
          <w:lang w:val="fr-CA"/>
        </w:rPr>
        <w:t xml:space="preserve"> à cette fin</w:t>
      </w:r>
      <w:r>
        <w:rPr>
          <w:lang w:val="fr-CA"/>
        </w:rPr>
        <w:t xml:space="preserve">, que la production de HCFC-22 dont il résulte </w:t>
      </w:r>
      <w:r w:rsidR="008357E2">
        <w:rPr>
          <w:lang w:val="fr-CA"/>
        </w:rPr>
        <w:t>soit utilisée</w:t>
      </w:r>
      <w:r>
        <w:rPr>
          <w:lang w:val="fr-CA"/>
        </w:rPr>
        <w:t xml:space="preserve"> ou non </w:t>
      </w:r>
      <w:r w:rsidR="008357E2">
        <w:rPr>
          <w:lang w:val="fr-CA"/>
        </w:rPr>
        <w:t xml:space="preserve">comme </w:t>
      </w:r>
      <w:r>
        <w:rPr>
          <w:lang w:val="fr-CA"/>
        </w:rPr>
        <w:t xml:space="preserve">matière première </w:t>
      </w:r>
      <w:r w:rsidR="008357E2">
        <w:rPr>
          <w:lang w:val="fr-CA"/>
        </w:rPr>
        <w:t>ou comme utilisations réglementées</w:t>
      </w:r>
      <w:r w:rsidR="00DE09F4" w:rsidRPr="00874A44">
        <w:rPr>
          <w:lang w:val="fr-CA"/>
        </w:rPr>
        <w:t xml:space="preserve">. </w:t>
      </w:r>
    </w:p>
    <w:p w14:paraId="0DEF21CC" w14:textId="78C58B30" w:rsidR="00DE09F4" w:rsidRPr="00874A44" w:rsidRDefault="006E57E3" w:rsidP="00DE09F4">
      <w:pPr>
        <w:pStyle w:val="Heading1"/>
        <w:rPr>
          <w:lang w:val="fr-CA"/>
        </w:rPr>
      </w:pPr>
      <w:r>
        <w:rPr>
          <w:lang w:val="fr-CA"/>
        </w:rPr>
        <w:t>Le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r w:rsidR="008357E2">
        <w:rPr>
          <w:lang w:val="fr-CA"/>
        </w:rPr>
        <w:t xml:space="preserve">est invité à confirmer </w:t>
      </w:r>
      <w:r w:rsidR="00EB57EE">
        <w:rPr>
          <w:lang w:val="fr-CA"/>
        </w:rPr>
        <w:t>que l’admissibilité des mesures de contrôle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 w:rsidR="00EB57EE">
        <w:rPr>
          <w:lang w:val="fr-CA"/>
        </w:rPr>
        <w:t xml:space="preserve">serait indépendante de l’utilisation de la production de HCFC-22 comme substances réglementées ou </w:t>
      </w:r>
      <w:r w:rsidR="00DE09F4" w:rsidRPr="00874A44">
        <w:rPr>
          <w:lang w:val="fr-CA"/>
        </w:rPr>
        <w:t>co</w:t>
      </w:r>
      <w:r w:rsidR="00EB57EE">
        <w:rPr>
          <w:lang w:val="fr-CA"/>
        </w:rPr>
        <w:t>mme matière première</w:t>
      </w:r>
      <w:r w:rsidR="00DE09F4" w:rsidRPr="00874A44">
        <w:rPr>
          <w:lang w:val="fr-CA"/>
        </w:rPr>
        <w:t xml:space="preserve">. </w:t>
      </w:r>
    </w:p>
    <w:p w14:paraId="29F04103" w14:textId="630C7D8D" w:rsidR="00DE09F4" w:rsidRPr="00874A44" w:rsidRDefault="00EB57EE" w:rsidP="00DE09F4">
      <w:pPr>
        <w:rPr>
          <w:u w:val="single"/>
          <w:lang w:val="fr-CA"/>
        </w:rPr>
      </w:pPr>
      <w:r>
        <w:rPr>
          <w:u w:val="single"/>
          <w:lang w:val="fr-CA"/>
        </w:rPr>
        <w:t>Admissibilité des systèmes de sauvegarde permettant le contrôle des émissions du s</w:t>
      </w:r>
      <w:r w:rsidR="008C65D6">
        <w:rPr>
          <w:u w:val="single"/>
          <w:lang w:val="fr-CA"/>
        </w:rPr>
        <w:t>ous-produit</w:t>
      </w:r>
      <w:r w:rsidR="00874A44" w:rsidRPr="00874A44">
        <w:rPr>
          <w:u w:val="single"/>
          <w:lang w:val="fr-CA"/>
        </w:rPr>
        <w:t xml:space="preserve"> HFC-23</w:t>
      </w:r>
    </w:p>
    <w:p w14:paraId="00FAE8E2" w14:textId="77777777" w:rsidR="00DE09F4" w:rsidRPr="00874A44" w:rsidRDefault="00DE09F4" w:rsidP="00DE09F4">
      <w:pPr>
        <w:rPr>
          <w:lang w:val="fr-CA"/>
        </w:rPr>
      </w:pPr>
    </w:p>
    <w:p w14:paraId="34C4E2F2" w14:textId="5284EB06" w:rsidR="00DE09F4" w:rsidRPr="00874A44" w:rsidRDefault="0034556A" w:rsidP="00DE09F4">
      <w:pPr>
        <w:pStyle w:val="Heading1"/>
        <w:rPr>
          <w:lang w:val="fr-CA"/>
        </w:rPr>
      </w:pPr>
      <w:r>
        <w:rPr>
          <w:lang w:val="fr-CA"/>
        </w:rPr>
        <w:t>Concernant les options de destruction sur place ou hors-site, l’O</w:t>
      </w:r>
      <w:r w:rsidR="00FA2615">
        <w:rPr>
          <w:lang w:val="fr-CA"/>
        </w:rPr>
        <w:t>NUDI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avait proposé des équipements remis à neuf ou nouvellement acquis pour servir de sauvegarde, afin d’assurer que qu’aucun </w:t>
      </w:r>
      <w:r w:rsidR="00DE09F4" w:rsidRPr="00874A44">
        <w:rPr>
          <w:lang w:val="fr-CA"/>
        </w:rPr>
        <w:t xml:space="preserve">HFC-23 </w:t>
      </w:r>
      <w:r>
        <w:rPr>
          <w:lang w:val="fr-CA"/>
        </w:rPr>
        <w:t>ne serait émis en cas de réparation ou d’entretien de l’équipement de destruction</w:t>
      </w:r>
      <w:r w:rsidR="00DE09F4" w:rsidRPr="00874A44">
        <w:rPr>
          <w:lang w:val="fr-CA"/>
        </w:rPr>
        <w:t xml:space="preserve"> (</w:t>
      </w:r>
      <w:r>
        <w:rPr>
          <w:lang w:val="fr-CA"/>
        </w:rPr>
        <w:t>en cas de destruction sur place</w:t>
      </w:r>
      <w:r w:rsidR="00DE09F4" w:rsidRPr="00874A44">
        <w:rPr>
          <w:lang w:val="fr-CA"/>
        </w:rPr>
        <w:t>) o</w:t>
      </w:r>
      <w:r>
        <w:rPr>
          <w:lang w:val="fr-CA"/>
        </w:rPr>
        <w:t>u en cas de reta</w:t>
      </w:r>
      <w:r w:rsidR="00DE09F4" w:rsidRPr="00874A44">
        <w:rPr>
          <w:lang w:val="fr-CA"/>
        </w:rPr>
        <w:t>r</w:t>
      </w:r>
      <w:r>
        <w:rPr>
          <w:lang w:val="fr-CA"/>
        </w:rPr>
        <w:t>d</w:t>
      </w:r>
      <w:r w:rsidR="00DE09F4" w:rsidRPr="00874A44">
        <w:rPr>
          <w:lang w:val="fr-CA"/>
        </w:rPr>
        <w:t xml:space="preserve"> (</w:t>
      </w:r>
      <w:r>
        <w:rPr>
          <w:lang w:val="fr-CA"/>
        </w:rPr>
        <w:t>e</w:t>
      </w:r>
      <w:r w:rsidR="00DE09F4" w:rsidRPr="00874A44">
        <w:rPr>
          <w:lang w:val="fr-CA"/>
        </w:rPr>
        <w:t xml:space="preserve">n </w:t>
      </w:r>
      <w:r>
        <w:rPr>
          <w:lang w:val="fr-CA"/>
        </w:rPr>
        <w:t xml:space="preserve">de </w:t>
      </w:r>
      <w:r w:rsidR="00DE09F4" w:rsidRPr="00874A44">
        <w:rPr>
          <w:lang w:val="fr-CA"/>
        </w:rPr>
        <w:t>destruction</w:t>
      </w:r>
      <w:r>
        <w:rPr>
          <w:lang w:val="fr-CA"/>
        </w:rPr>
        <w:t xml:space="preserve"> hors-site</w:t>
      </w:r>
      <w:r w:rsidR="00DE09F4" w:rsidRPr="00874A44">
        <w:rPr>
          <w:lang w:val="fr-CA"/>
        </w:rPr>
        <w:t xml:space="preserve">). </w:t>
      </w:r>
      <w:r>
        <w:rPr>
          <w:lang w:val="fr-CA"/>
        </w:rPr>
        <w:t xml:space="preserve">Dans son examen de la proposition, le </w:t>
      </w:r>
      <w:r w:rsidR="006E57E3">
        <w:rPr>
          <w:lang w:val="fr-CA"/>
        </w:rPr>
        <w:t>Secrétariat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a considéré que les coûts liés à ces systèmes de sauvegarde sont admissibles</w:t>
      </w:r>
      <w:r w:rsidR="00DE09F4" w:rsidRPr="00874A44">
        <w:rPr>
          <w:lang w:val="fr-CA"/>
        </w:rPr>
        <w:t xml:space="preserve">. </w:t>
      </w:r>
    </w:p>
    <w:p w14:paraId="00432447" w14:textId="6907FE79" w:rsidR="00DE09F4" w:rsidRPr="00874A44" w:rsidRDefault="0034556A" w:rsidP="00DE09F4">
      <w:pPr>
        <w:pStyle w:val="Heading1"/>
        <w:rPr>
          <w:lang w:val="fr-CA"/>
        </w:rPr>
      </w:pPr>
      <w:r>
        <w:rPr>
          <w:lang w:val="fr-CA"/>
        </w:rPr>
        <w:t xml:space="preserve">L’obligation de conformité mentionnée au </w:t>
      </w:r>
      <w:r w:rsidR="00DE09F4" w:rsidRPr="00874A44">
        <w:rPr>
          <w:lang w:val="fr-CA"/>
        </w:rPr>
        <w:t>paragraph</w:t>
      </w:r>
      <w:r>
        <w:rPr>
          <w:lang w:val="fr-CA"/>
        </w:rPr>
        <w:t>e</w:t>
      </w:r>
      <w:r w:rsidR="00DE09F4" w:rsidRPr="00874A44">
        <w:rPr>
          <w:lang w:val="fr-CA"/>
        </w:rPr>
        <w:t xml:space="preserve"> 6 </w:t>
      </w:r>
      <w:r>
        <w:rPr>
          <w:lang w:val="fr-CA"/>
        </w:rPr>
        <w:t>de l’a</w:t>
      </w:r>
      <w:r w:rsidR="00DE09F4" w:rsidRPr="00874A44">
        <w:rPr>
          <w:lang w:val="fr-CA"/>
        </w:rPr>
        <w:t xml:space="preserve">rticle 2J </w:t>
      </w:r>
      <w:r>
        <w:rPr>
          <w:lang w:val="fr-CA"/>
        </w:rPr>
        <w:t xml:space="preserve">de </w:t>
      </w:r>
      <w:r w:rsidR="0036412C" w:rsidRPr="0036412C">
        <w:rPr>
          <w:lang w:val="fr-CA"/>
        </w:rPr>
        <w:t xml:space="preserve">l’Amendement de Kigali </w:t>
      </w:r>
      <w:r w:rsidR="002B145C">
        <w:rPr>
          <w:lang w:val="fr-CA"/>
        </w:rPr>
        <w:t>stipule entre autres que le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 w:rsidR="002B145C">
        <w:rPr>
          <w:lang w:val="fr-CA"/>
        </w:rPr>
        <w:t>sera détruit « dans la mesure du possible au moyen de technologies approuvées par les Parties au cours de la même période de douze mois. »</w:t>
      </w:r>
      <w:r w:rsidR="00DE09F4" w:rsidRPr="00874A44">
        <w:rPr>
          <w:lang w:val="fr-CA"/>
        </w:rPr>
        <w:t xml:space="preserve"> </w:t>
      </w:r>
      <w:r w:rsidR="002B145C">
        <w:rPr>
          <w:lang w:val="fr-CA"/>
        </w:rPr>
        <w:t xml:space="preserve">Bien que ce </w:t>
      </w:r>
      <w:r w:rsidR="00DE09F4" w:rsidRPr="00874A44">
        <w:rPr>
          <w:lang w:val="fr-CA"/>
        </w:rPr>
        <w:t>paragraph</w:t>
      </w:r>
      <w:r w:rsidR="002B145C">
        <w:rPr>
          <w:lang w:val="fr-CA"/>
        </w:rPr>
        <w:t>e</w:t>
      </w:r>
      <w:r w:rsidR="00DE09F4" w:rsidRPr="00874A44">
        <w:rPr>
          <w:lang w:val="fr-CA"/>
        </w:rPr>
        <w:t xml:space="preserve"> 6 </w:t>
      </w:r>
      <w:r w:rsidR="002B145C">
        <w:rPr>
          <w:lang w:val="fr-CA"/>
        </w:rPr>
        <w:t>de l’a</w:t>
      </w:r>
      <w:r w:rsidR="00DE09F4" w:rsidRPr="00874A44">
        <w:rPr>
          <w:lang w:val="fr-CA"/>
        </w:rPr>
        <w:t xml:space="preserve">rticle 2J </w:t>
      </w:r>
      <w:r w:rsidR="002B145C">
        <w:rPr>
          <w:lang w:val="fr-CA"/>
        </w:rPr>
        <w:t>ne précise pas d’objectif de réduction, ni de calendrier ou de valeur de référence pour la réduction des émissions du sous-produit</w:t>
      </w:r>
      <w:r w:rsidR="002B145C" w:rsidRPr="00874A44">
        <w:rPr>
          <w:lang w:val="fr-CA"/>
        </w:rPr>
        <w:t xml:space="preserve"> HFC-23, </w:t>
      </w:r>
      <w:r w:rsidR="002B145C">
        <w:rPr>
          <w:lang w:val="fr-CA"/>
        </w:rPr>
        <w:t xml:space="preserve">pas plus que le </w:t>
      </w:r>
      <w:r w:rsidR="002B145C" w:rsidRPr="00874A44">
        <w:rPr>
          <w:lang w:val="fr-CA"/>
        </w:rPr>
        <w:t>paragraph</w:t>
      </w:r>
      <w:r w:rsidR="002B145C">
        <w:rPr>
          <w:lang w:val="fr-CA"/>
        </w:rPr>
        <w:t>e</w:t>
      </w:r>
      <w:r w:rsidR="002B145C" w:rsidRPr="00874A44">
        <w:rPr>
          <w:lang w:val="fr-CA"/>
        </w:rPr>
        <w:t xml:space="preserve"> 6 </w:t>
      </w:r>
      <w:r w:rsidR="002B145C">
        <w:rPr>
          <w:lang w:val="fr-CA"/>
        </w:rPr>
        <w:t>de l’a</w:t>
      </w:r>
      <w:r w:rsidR="002B145C" w:rsidRPr="00874A44">
        <w:rPr>
          <w:lang w:val="fr-CA"/>
        </w:rPr>
        <w:t xml:space="preserve">rticle 2J </w:t>
      </w:r>
      <w:r w:rsidR="002B145C">
        <w:rPr>
          <w:lang w:val="fr-CA"/>
        </w:rPr>
        <w:t xml:space="preserve">n’exige des </w:t>
      </w:r>
      <w:r w:rsidR="002B145C" w:rsidRPr="00874A44">
        <w:rPr>
          <w:lang w:val="fr-CA"/>
        </w:rPr>
        <w:t xml:space="preserve">Parties </w:t>
      </w:r>
      <w:r w:rsidR="002B145C">
        <w:rPr>
          <w:lang w:val="fr-CA"/>
        </w:rPr>
        <w:t xml:space="preserve">qu’elles démontrent une baisse des émission du sous-produit </w:t>
      </w:r>
      <w:r w:rsidR="002B145C" w:rsidRPr="00874A44">
        <w:rPr>
          <w:lang w:val="fr-CA"/>
        </w:rPr>
        <w:t>HFC-23</w:t>
      </w:r>
      <w:r w:rsidR="002B145C">
        <w:rPr>
          <w:lang w:val="fr-CA"/>
        </w:rPr>
        <w:t xml:space="preserve"> d’une année à l’autre.</w:t>
      </w:r>
      <w:r w:rsidR="00DE09F4" w:rsidRPr="00874A44">
        <w:rPr>
          <w:lang w:val="fr-CA"/>
        </w:rPr>
        <w:t xml:space="preserve"> </w:t>
      </w:r>
      <w:r w:rsidR="006E57E3">
        <w:rPr>
          <w:lang w:val="fr-CA"/>
        </w:rPr>
        <w:t>Le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r w:rsidR="002B145C">
        <w:rPr>
          <w:lang w:val="fr-CA"/>
        </w:rPr>
        <w:t xml:space="preserve">est invité à confirmer que la mise en œuvre d’un système de sauvegarde pour le contrôle du </w:t>
      </w:r>
      <w:r w:rsidR="00DE09F4" w:rsidRPr="00874A44">
        <w:rPr>
          <w:lang w:val="fr-CA"/>
        </w:rPr>
        <w:t xml:space="preserve">HFC-23 </w:t>
      </w:r>
      <w:r w:rsidR="002B145C">
        <w:rPr>
          <w:lang w:val="fr-CA"/>
        </w:rPr>
        <w:t>est « possible » et donc admissible</w:t>
      </w:r>
      <w:r w:rsidR="00DE09F4" w:rsidRPr="00874A44">
        <w:rPr>
          <w:lang w:val="fr-CA"/>
        </w:rPr>
        <w:t xml:space="preserve">. </w:t>
      </w:r>
    </w:p>
    <w:p w14:paraId="2AD365EA" w14:textId="16237F54" w:rsidR="00DE09F4" w:rsidRPr="00874A44" w:rsidRDefault="002B145C" w:rsidP="00AB77C7">
      <w:pPr>
        <w:keepNext/>
        <w:keepLines/>
        <w:rPr>
          <w:u w:val="single"/>
          <w:lang w:val="fr-CA"/>
        </w:rPr>
      </w:pPr>
      <w:r>
        <w:rPr>
          <w:u w:val="single"/>
          <w:lang w:val="fr-CA"/>
        </w:rPr>
        <w:lastRenderedPageBreak/>
        <w:t>Taux de génération du sous-produit</w:t>
      </w:r>
    </w:p>
    <w:p w14:paraId="0AF980FD" w14:textId="77777777" w:rsidR="00DE09F4" w:rsidRPr="00874A44" w:rsidRDefault="00DE09F4" w:rsidP="00AB77C7">
      <w:pPr>
        <w:keepNext/>
        <w:keepLines/>
        <w:rPr>
          <w:i/>
          <w:lang w:val="fr-CA"/>
        </w:rPr>
      </w:pPr>
    </w:p>
    <w:p w14:paraId="20D63241" w14:textId="500FFA2F" w:rsidR="00DE09F4" w:rsidRPr="00D6300C" w:rsidRDefault="00D6300C" w:rsidP="00AB77C7">
      <w:pPr>
        <w:pStyle w:val="Heading1"/>
        <w:keepNext/>
        <w:keepLines/>
        <w:rPr>
          <w:lang w:val="fr-CA"/>
        </w:rPr>
      </w:pPr>
      <w:r>
        <w:rPr>
          <w:lang w:val="fr-CA"/>
        </w:rPr>
        <w:t>Dans son évaluation des coûts du contrôle du sous-produit HFC-23, l’</w:t>
      </w:r>
      <w:r w:rsidR="00FA2615">
        <w:rPr>
          <w:lang w:val="fr-CA"/>
        </w:rPr>
        <w:t>ONUDI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a utilisé le taux de génération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à compter de l’année immédiatement précédant la préparation du projet</w:t>
      </w:r>
      <w:r w:rsidR="00DE09F4" w:rsidRPr="00874A44">
        <w:rPr>
          <w:lang w:val="fr-CA"/>
        </w:rPr>
        <w:t xml:space="preserve">. </w:t>
      </w:r>
      <w:r w:rsidR="006E57E3">
        <w:rPr>
          <w:lang w:val="fr-CA"/>
        </w:rPr>
        <w:t>Le Secrétariat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a rappelé qu’un autre pays visé à l’a</w:t>
      </w:r>
      <w:r w:rsidR="00DE09F4" w:rsidRPr="00874A44">
        <w:rPr>
          <w:lang w:val="fr-CA"/>
        </w:rPr>
        <w:t xml:space="preserve">rticle 5 </w:t>
      </w:r>
      <w:r>
        <w:rPr>
          <w:lang w:val="fr-CA"/>
        </w:rPr>
        <w:t>avait signalé une baisse continue du taux de génération du sous-produit avec le temps</w:t>
      </w:r>
      <w:r w:rsidR="00DE09F4" w:rsidRPr="00874A44">
        <w:rPr>
          <w:lang w:val="fr-CA"/>
        </w:rPr>
        <w:t xml:space="preserve">. </w:t>
      </w:r>
      <w:r w:rsidR="006E57E3">
        <w:rPr>
          <w:lang w:val="fr-CA"/>
        </w:rPr>
        <w:t>Le Secrétariat</w:t>
      </w:r>
      <w:r w:rsidR="00DE09F4" w:rsidRPr="00874A44">
        <w:rPr>
          <w:lang w:val="fr-CA"/>
        </w:rPr>
        <w:t xml:space="preserve"> a</w:t>
      </w:r>
      <w:r>
        <w:rPr>
          <w:lang w:val="fr-CA"/>
        </w:rPr>
        <w:t xml:space="preserve"> aussi rappelé les inquiétudes exprimées par certains membres du </w:t>
      </w:r>
      <w:r w:rsidR="00874A44" w:rsidRPr="00874A44">
        <w:rPr>
          <w:lang w:val="fr-CA"/>
        </w:rPr>
        <w:t>Comité exécutif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concernant les risques d’incitation perverse</w:t>
      </w:r>
      <w:r w:rsidR="00DE09F4" w:rsidRPr="00874A44">
        <w:rPr>
          <w:lang w:val="fr-CA"/>
        </w:rPr>
        <w:t>. Not</w:t>
      </w:r>
      <w:r>
        <w:rPr>
          <w:lang w:val="fr-CA"/>
        </w:rPr>
        <w:t xml:space="preserve">ant que l’entreprise du </w:t>
      </w:r>
      <w:r w:rsidR="00874A44" w:rsidRPr="00874A44">
        <w:rPr>
          <w:lang w:val="fr-CA"/>
        </w:rPr>
        <w:t>Mexique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avaient obtenu des taux de génération inférieurs, le </w:t>
      </w:r>
      <w:r w:rsidR="006E57E3">
        <w:rPr>
          <w:lang w:val="fr-CA"/>
        </w:rPr>
        <w:t>Secrétariat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a proposé une autre option basée sur le taux de génération minimal des flux de déchet de </w:t>
      </w:r>
      <w:r w:rsidR="00DE09F4" w:rsidRPr="00874A44">
        <w:rPr>
          <w:lang w:val="fr-CA"/>
        </w:rPr>
        <w:t xml:space="preserve">HFC-23 </w:t>
      </w:r>
      <w:r>
        <w:rPr>
          <w:lang w:val="fr-CA"/>
        </w:rPr>
        <w:t>obtenu durant les trois années qui précèdent la préparation du projet</w:t>
      </w:r>
      <w:r w:rsidR="00DE09F4" w:rsidRPr="00D6300C">
        <w:rPr>
          <w:lang w:val="fr-CA"/>
        </w:rPr>
        <w:t xml:space="preserve">. </w:t>
      </w:r>
      <w:r>
        <w:rPr>
          <w:lang w:val="fr-CA"/>
        </w:rPr>
        <w:t xml:space="preserve">D’autres </w:t>
      </w:r>
      <w:r w:rsidR="007513A7">
        <w:rPr>
          <w:lang w:val="fr-CA"/>
        </w:rPr>
        <w:t>méthodes peuvent aussi être considérées, fondées par exemple sur un taux de génération qui diminuerait avec le temps</w:t>
      </w:r>
      <w:r w:rsidR="00DE09F4" w:rsidRPr="00D6300C">
        <w:rPr>
          <w:lang w:val="fr-CA"/>
        </w:rPr>
        <w:t>.</w:t>
      </w:r>
    </w:p>
    <w:p w14:paraId="051AE928" w14:textId="725CF3E7" w:rsidR="00DE09F4" w:rsidRPr="00874A44" w:rsidRDefault="00874A44" w:rsidP="00DE09F4">
      <w:pPr>
        <w:keepNext/>
        <w:keepLines/>
        <w:rPr>
          <w:b/>
          <w:lang w:val="fr-CA"/>
        </w:rPr>
      </w:pPr>
      <w:r w:rsidRPr="00874A44">
        <w:rPr>
          <w:b/>
          <w:lang w:val="fr-CA"/>
        </w:rPr>
        <w:t>RECOMMANDATION</w:t>
      </w:r>
    </w:p>
    <w:p w14:paraId="746F66F7" w14:textId="77777777" w:rsidR="00DE09F4" w:rsidRPr="00874A44" w:rsidRDefault="00DE09F4" w:rsidP="00DE09F4">
      <w:pPr>
        <w:keepNext/>
        <w:keepLines/>
        <w:rPr>
          <w:lang w:val="fr-CA"/>
        </w:rPr>
      </w:pPr>
    </w:p>
    <w:p w14:paraId="70CDFDD9" w14:textId="7348F927" w:rsidR="00DE09F4" w:rsidRPr="00874A44" w:rsidRDefault="006E57E3" w:rsidP="00DE09F4">
      <w:pPr>
        <w:pStyle w:val="Heading1"/>
        <w:keepNext/>
        <w:keepLines/>
        <w:rPr>
          <w:lang w:val="fr-CA"/>
        </w:rPr>
      </w:pPr>
      <w:r>
        <w:rPr>
          <w:lang w:val="fr-CA"/>
        </w:rPr>
        <w:t>Le Comité</w:t>
      </w:r>
      <w:r w:rsidR="00874A44" w:rsidRPr="00874A44">
        <w:rPr>
          <w:lang w:val="fr-CA"/>
        </w:rPr>
        <w:t xml:space="preserve"> exécutif</w:t>
      </w:r>
      <w:r w:rsidR="00DE09F4" w:rsidRPr="00874A44">
        <w:rPr>
          <w:lang w:val="fr-CA"/>
        </w:rPr>
        <w:t xml:space="preserve"> </w:t>
      </w:r>
      <w:r w:rsidR="007513A7">
        <w:rPr>
          <w:lang w:val="fr-CA"/>
        </w:rPr>
        <w:t>est invité</w:t>
      </w:r>
      <w:r w:rsidR="00DE09F4" w:rsidRPr="00874A44">
        <w:rPr>
          <w:lang w:val="fr-CA"/>
        </w:rPr>
        <w:t>:</w:t>
      </w:r>
    </w:p>
    <w:p w14:paraId="2990723B" w14:textId="70E8C887" w:rsidR="00DE09F4" w:rsidRPr="00874A44" w:rsidRDefault="007513A7" w:rsidP="00DE09F4">
      <w:pPr>
        <w:pStyle w:val="Heading2"/>
        <w:keepNext/>
        <w:keepLines/>
        <w:numPr>
          <w:ilvl w:val="1"/>
          <w:numId w:val="1"/>
        </w:numPr>
        <w:rPr>
          <w:lang w:val="fr-CA"/>
        </w:rPr>
      </w:pPr>
      <w:r>
        <w:rPr>
          <w:lang w:val="fr-CA"/>
        </w:rPr>
        <w:t>À noter les aspects principaux des technologies de contrôle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(</w:t>
      </w:r>
      <w:r w:rsidR="00874A44" w:rsidRPr="00874A44">
        <w:rPr>
          <w:lang w:val="fr-CA"/>
        </w:rPr>
        <w:t>décision</w:t>
      </w:r>
      <w:r w:rsidR="00DE09F4" w:rsidRPr="00874A44">
        <w:rPr>
          <w:lang w:val="fr-CA"/>
        </w:rPr>
        <w:t xml:space="preserve">s 83/66 </w:t>
      </w:r>
      <w:r>
        <w:rPr>
          <w:lang w:val="fr-CA"/>
        </w:rPr>
        <w:t>et</w:t>
      </w:r>
      <w:r w:rsidR="00DE09F4" w:rsidRPr="00874A44">
        <w:rPr>
          <w:lang w:val="fr-CA"/>
        </w:rPr>
        <w:t xml:space="preserve"> 67) </w:t>
      </w:r>
      <w:r>
        <w:rPr>
          <w:lang w:val="fr-CA"/>
        </w:rPr>
        <w:t xml:space="preserve">figurant dans le </w:t>
      </w:r>
      <w:r w:rsidR="00DE09F4" w:rsidRPr="00874A44">
        <w:rPr>
          <w:lang w:val="fr-CA"/>
        </w:rPr>
        <w:t>document UNEP/</w:t>
      </w:r>
      <w:proofErr w:type="spellStart"/>
      <w:r w:rsidR="00DE09F4" w:rsidRPr="00874A44">
        <w:rPr>
          <w:lang w:val="fr-CA"/>
        </w:rPr>
        <w:t>OzL.Pro</w:t>
      </w:r>
      <w:proofErr w:type="spellEnd"/>
      <w:r w:rsidR="00DE09F4" w:rsidRPr="00874A44">
        <w:rPr>
          <w:lang w:val="fr-CA"/>
        </w:rPr>
        <w:t>/</w:t>
      </w:r>
      <w:proofErr w:type="spellStart"/>
      <w:r w:rsidR="00DE09F4" w:rsidRPr="00874A44">
        <w:rPr>
          <w:lang w:val="fr-CA"/>
        </w:rPr>
        <w:t>ExCom</w:t>
      </w:r>
      <w:proofErr w:type="spellEnd"/>
      <w:r w:rsidR="00DE09F4" w:rsidRPr="00874A44">
        <w:rPr>
          <w:lang w:val="fr-CA"/>
        </w:rPr>
        <w:t>/84/70;</w:t>
      </w:r>
    </w:p>
    <w:p w14:paraId="257B19C7" w14:textId="43BDDF3D" w:rsidR="00DE09F4" w:rsidRPr="00874A44" w:rsidRDefault="007513A7" w:rsidP="00DE09F4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À fournir des orientations de politique sur les sujets ci-après liés aux projets de contrôle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>:</w:t>
      </w:r>
    </w:p>
    <w:p w14:paraId="7E98A0AF" w14:textId="10AADC2D" w:rsidR="00DE09F4" w:rsidRPr="00874A44" w:rsidRDefault="007513A7" w:rsidP="00DE09F4">
      <w:pPr>
        <w:ind w:left="720" w:firstLine="720"/>
        <w:rPr>
          <w:i/>
          <w:lang w:val="fr-CA"/>
        </w:rPr>
      </w:pPr>
      <w:r>
        <w:rPr>
          <w:i/>
          <w:lang w:val="fr-CA"/>
        </w:rPr>
        <w:t xml:space="preserve">Concernant la base de la production de </w:t>
      </w:r>
      <w:r w:rsidR="00DE09F4" w:rsidRPr="00874A44">
        <w:rPr>
          <w:i/>
          <w:lang w:val="fr-CA"/>
        </w:rPr>
        <w:t xml:space="preserve">HCFC-22 </w:t>
      </w:r>
      <w:r>
        <w:rPr>
          <w:i/>
          <w:lang w:val="fr-CA"/>
        </w:rPr>
        <w:t>à utiliser pour déterminer le</w:t>
      </w:r>
      <w:r w:rsidR="00DE09F4" w:rsidRPr="00874A44">
        <w:rPr>
          <w:i/>
          <w:lang w:val="fr-CA"/>
        </w:rPr>
        <w:t xml:space="preserve"> </w:t>
      </w:r>
      <w:r w:rsidR="006C3981">
        <w:rPr>
          <w:i/>
          <w:lang w:val="fr-CA"/>
        </w:rPr>
        <w:t>CDE</w:t>
      </w:r>
    </w:p>
    <w:p w14:paraId="40595F06" w14:textId="77777777" w:rsidR="00DE09F4" w:rsidRPr="00874A44" w:rsidRDefault="00DE09F4" w:rsidP="00DE09F4">
      <w:pPr>
        <w:rPr>
          <w:lang w:val="fr-CA"/>
        </w:rPr>
      </w:pPr>
    </w:p>
    <w:p w14:paraId="3F9F2FFD" w14:textId="20D6CB39" w:rsidR="00DE09F4" w:rsidRPr="00874A44" w:rsidRDefault="007513A7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Convient-il d’utiliser la </w:t>
      </w:r>
      <w:r w:rsidR="00874A44" w:rsidRPr="00874A44">
        <w:rPr>
          <w:lang w:val="fr-CA"/>
        </w:rPr>
        <w:t>décision</w:t>
      </w:r>
      <w:r w:rsidR="00DE09F4" w:rsidRPr="00874A44">
        <w:rPr>
          <w:lang w:val="fr-CA"/>
        </w:rPr>
        <w:t xml:space="preserve"> adopt</w:t>
      </w:r>
      <w:r>
        <w:rPr>
          <w:lang w:val="fr-CA"/>
        </w:rPr>
        <w:t>é</w:t>
      </w:r>
      <w:r w:rsidR="00DE09F4" w:rsidRPr="00874A44">
        <w:rPr>
          <w:lang w:val="fr-CA"/>
        </w:rPr>
        <w:t>e</w:t>
      </w:r>
      <w:r>
        <w:rPr>
          <w:lang w:val="fr-CA"/>
        </w:rPr>
        <w:t xml:space="preserve"> à la </w:t>
      </w:r>
      <w:r w:rsidR="00DE09F4" w:rsidRPr="00874A44">
        <w:rPr>
          <w:lang w:val="fr-CA"/>
        </w:rPr>
        <w:t>16</w:t>
      </w:r>
      <w:r>
        <w:rPr>
          <w:vertAlign w:val="superscript"/>
          <w:lang w:val="fr-CA"/>
        </w:rPr>
        <w:t>e</w:t>
      </w:r>
      <w:r w:rsidR="00DE09F4" w:rsidRPr="00874A44">
        <w:rPr>
          <w:lang w:val="fr-CA"/>
        </w:rPr>
        <w:t xml:space="preserve"> </w:t>
      </w:r>
      <w:r w:rsidR="00874A44" w:rsidRPr="00874A44">
        <w:rPr>
          <w:lang w:val="fr-CA"/>
        </w:rPr>
        <w:t>réunion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comme base de calcul du niveau de production de</w:t>
      </w:r>
      <w:r w:rsidR="00DE09F4" w:rsidRPr="00874A44">
        <w:rPr>
          <w:lang w:val="fr-CA"/>
        </w:rPr>
        <w:t xml:space="preserve"> HCFC-22 </w:t>
      </w:r>
      <w:r>
        <w:rPr>
          <w:lang w:val="fr-CA"/>
        </w:rPr>
        <w:t>et des émissions connexes du sous-produit, à utiliser pour déterminer le</w:t>
      </w:r>
      <w:r w:rsidR="00DE09F4" w:rsidRPr="00874A44">
        <w:rPr>
          <w:lang w:val="fr-CA"/>
        </w:rPr>
        <w:t xml:space="preserve"> </w:t>
      </w:r>
      <w:r w:rsidR="006C3981">
        <w:rPr>
          <w:lang w:val="fr-CA"/>
        </w:rPr>
        <w:t>CDE</w:t>
      </w:r>
      <w:r w:rsidR="00DE09F4" w:rsidRPr="00874A44">
        <w:rPr>
          <w:lang w:val="fr-CA"/>
        </w:rPr>
        <w:t>, o</w:t>
      </w:r>
      <w:r>
        <w:rPr>
          <w:lang w:val="fr-CA"/>
        </w:rPr>
        <w:t>u d’utiliser une autre méthode</w:t>
      </w:r>
      <w:r w:rsidR="00DE09F4" w:rsidRPr="00874A44">
        <w:rPr>
          <w:lang w:val="fr-CA"/>
        </w:rPr>
        <w:t>;</w:t>
      </w:r>
    </w:p>
    <w:p w14:paraId="5900C956" w14:textId="3260653C" w:rsidR="00DE09F4" w:rsidRPr="00874A44" w:rsidRDefault="007513A7" w:rsidP="00DE09F4">
      <w:pPr>
        <w:ind w:left="1440"/>
        <w:rPr>
          <w:i/>
          <w:lang w:val="fr-CA"/>
        </w:rPr>
      </w:pPr>
      <w:r>
        <w:rPr>
          <w:i/>
          <w:lang w:val="fr-CA"/>
        </w:rPr>
        <w:t>Concernant la durée du financement de soutien des mesures de contrôle des émissions du s</w:t>
      </w:r>
      <w:r w:rsidR="008C65D6">
        <w:rPr>
          <w:i/>
          <w:lang w:val="fr-CA"/>
        </w:rPr>
        <w:t>ous-produit</w:t>
      </w:r>
      <w:r w:rsidR="00874A44" w:rsidRPr="00874A44">
        <w:rPr>
          <w:i/>
          <w:lang w:val="fr-CA"/>
        </w:rPr>
        <w:t xml:space="preserve"> HFC-23</w:t>
      </w:r>
    </w:p>
    <w:p w14:paraId="0E38CC93" w14:textId="77777777" w:rsidR="00DE09F4" w:rsidRPr="00874A44" w:rsidRDefault="00DE09F4" w:rsidP="00DE09F4">
      <w:pPr>
        <w:rPr>
          <w:lang w:val="fr-CA"/>
        </w:rPr>
      </w:pPr>
    </w:p>
    <w:p w14:paraId="340CDF32" w14:textId="0E241113" w:rsidR="00DE09F4" w:rsidRPr="00874A44" w:rsidRDefault="007513A7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La durée du </w:t>
      </w:r>
      <w:r w:rsidR="006C3981">
        <w:rPr>
          <w:lang w:val="fr-CA"/>
        </w:rPr>
        <w:t>CDE</w:t>
      </w:r>
      <w:r w:rsidR="00DE09F4" w:rsidRPr="00874A44">
        <w:rPr>
          <w:lang w:val="fr-CA"/>
        </w:rPr>
        <w:t xml:space="preserve">; </w:t>
      </w:r>
      <w:r>
        <w:rPr>
          <w:lang w:val="fr-CA"/>
        </w:rPr>
        <w:t>et</w:t>
      </w:r>
      <w:r w:rsidR="00DE09F4" w:rsidRPr="00874A44">
        <w:rPr>
          <w:lang w:val="fr-CA"/>
        </w:rPr>
        <w:t>/o</w:t>
      </w:r>
      <w:r>
        <w:rPr>
          <w:lang w:val="fr-CA"/>
        </w:rPr>
        <w:t>u</w:t>
      </w:r>
    </w:p>
    <w:p w14:paraId="6CDB590D" w14:textId="575551A6" w:rsidR="00DE09F4" w:rsidRPr="00874A44" w:rsidRDefault="007513A7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Convient-il d’établir des lignes directrices pour l’</w:t>
      </w:r>
      <w:r w:rsidR="00DE09F4" w:rsidRPr="00874A44">
        <w:rPr>
          <w:lang w:val="fr-CA"/>
        </w:rPr>
        <w:t xml:space="preserve">application </w:t>
      </w:r>
      <w:r>
        <w:rPr>
          <w:lang w:val="fr-CA"/>
        </w:rPr>
        <w:t>du CDE aux projets de contrôle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; </w:t>
      </w:r>
    </w:p>
    <w:p w14:paraId="35F44A66" w14:textId="6266C86C" w:rsidR="00DE09F4" w:rsidRPr="00874A44" w:rsidRDefault="007513A7" w:rsidP="00DE09F4">
      <w:pPr>
        <w:ind w:left="720" w:firstLine="720"/>
        <w:rPr>
          <w:i/>
          <w:lang w:val="fr-CA"/>
        </w:rPr>
      </w:pPr>
      <w:r>
        <w:rPr>
          <w:i/>
          <w:lang w:val="fr-CA"/>
        </w:rPr>
        <w:t>Concernant le niveau des coûts d’appui d’agence</w:t>
      </w:r>
    </w:p>
    <w:p w14:paraId="77D6FC80" w14:textId="77777777" w:rsidR="00DE09F4" w:rsidRPr="00874A44" w:rsidRDefault="00DE09F4" w:rsidP="00DE09F4">
      <w:pPr>
        <w:rPr>
          <w:lang w:val="fr-CA"/>
        </w:rPr>
      </w:pPr>
    </w:p>
    <w:p w14:paraId="0DA1A55A" w14:textId="14F980ED" w:rsidR="00DE09F4" w:rsidRPr="00874A44" w:rsidRDefault="007513A7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Le niveau approprié </w:t>
      </w:r>
      <w:r w:rsidR="00A3036E">
        <w:rPr>
          <w:lang w:val="fr-CA"/>
        </w:rPr>
        <w:t>des coûts d’appui d’agence dans les projets de contrôle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 w:rsidR="00A3036E">
        <w:rPr>
          <w:lang w:val="fr-CA"/>
        </w:rPr>
        <w:t>dans les p</w:t>
      </w:r>
      <w:r w:rsidR="00874A44" w:rsidRPr="00874A44">
        <w:rPr>
          <w:lang w:val="fr-CA"/>
        </w:rPr>
        <w:t>ays visés à l’article 5</w:t>
      </w:r>
      <w:r w:rsidR="00DE09F4" w:rsidRPr="00874A44">
        <w:rPr>
          <w:lang w:val="fr-CA"/>
        </w:rPr>
        <w:t>;</w:t>
      </w:r>
    </w:p>
    <w:p w14:paraId="0D512213" w14:textId="2560EDD2" w:rsidR="00DE09F4" w:rsidRPr="00874A44" w:rsidRDefault="00A3036E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Convient-il d’inclure les coûts des vérifications indépendantes dans les coûts d’appui d’agence ou dans les coûts du projet</w:t>
      </w:r>
      <w:r w:rsidR="00DE09F4" w:rsidRPr="00874A44">
        <w:rPr>
          <w:lang w:val="fr-CA"/>
        </w:rPr>
        <w:t xml:space="preserve">; </w:t>
      </w:r>
      <w:r>
        <w:rPr>
          <w:lang w:val="fr-CA"/>
        </w:rPr>
        <w:t>et</w:t>
      </w:r>
      <w:r w:rsidR="00DE09F4" w:rsidRPr="00874A44">
        <w:rPr>
          <w:lang w:val="fr-CA"/>
        </w:rPr>
        <w:t xml:space="preserve"> </w:t>
      </w:r>
    </w:p>
    <w:p w14:paraId="7C94E51A" w14:textId="10DE3B2B" w:rsidR="00DE09F4" w:rsidRPr="00874A44" w:rsidRDefault="00A3036E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Convient-il d’appliquer des coûts d’appui d’agence différents entre la destruction (sur place ou hors-site)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et la fermeture des installations de production de </w:t>
      </w:r>
      <w:r w:rsidR="00DE09F4" w:rsidRPr="00874A44">
        <w:rPr>
          <w:lang w:val="fr-CA"/>
        </w:rPr>
        <w:t>HCFC-22;</w:t>
      </w:r>
    </w:p>
    <w:p w14:paraId="77260B1B" w14:textId="546F5788" w:rsidR="00DE09F4" w:rsidRPr="00874A44" w:rsidRDefault="00A3036E" w:rsidP="00DE09F4">
      <w:pPr>
        <w:ind w:left="1440"/>
        <w:rPr>
          <w:i/>
          <w:lang w:val="fr-CA"/>
        </w:rPr>
      </w:pPr>
      <w:r>
        <w:rPr>
          <w:i/>
          <w:lang w:val="fr-CA"/>
        </w:rPr>
        <w:t xml:space="preserve">Concernant la mesure dans laquelle la production future escomptée de </w:t>
      </w:r>
      <w:r w:rsidRPr="00874A44">
        <w:rPr>
          <w:i/>
          <w:lang w:val="fr-CA"/>
        </w:rPr>
        <w:t>HCFC-22</w:t>
      </w:r>
      <w:r>
        <w:rPr>
          <w:i/>
          <w:lang w:val="fr-CA"/>
        </w:rPr>
        <w:t xml:space="preserve"> devrait dépendre de la demande du marché et de la rentabilité de la production </w:t>
      </w:r>
    </w:p>
    <w:p w14:paraId="098503F9" w14:textId="77777777" w:rsidR="00DE09F4" w:rsidRPr="00874A44" w:rsidRDefault="00DE09F4" w:rsidP="00DE09F4">
      <w:pPr>
        <w:rPr>
          <w:lang w:val="fr-CA"/>
        </w:rPr>
      </w:pPr>
    </w:p>
    <w:p w14:paraId="4EF60FFE" w14:textId="41233824" w:rsidR="00DE09F4" w:rsidRPr="00874A44" w:rsidRDefault="00A3036E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La mesure dans laquelle la production future escomptée de </w:t>
      </w:r>
      <w:r w:rsidR="00DE09F4" w:rsidRPr="00874A44">
        <w:rPr>
          <w:lang w:val="fr-CA"/>
        </w:rPr>
        <w:t xml:space="preserve">HCFC-22 </w:t>
      </w:r>
      <w:r>
        <w:rPr>
          <w:lang w:val="fr-CA"/>
        </w:rPr>
        <w:t xml:space="preserve">dépend de la demande du marché et la rentabilité de la </w:t>
      </w:r>
      <w:r w:rsidR="00DE09F4" w:rsidRPr="00874A44">
        <w:rPr>
          <w:lang w:val="fr-CA"/>
        </w:rPr>
        <w:t>production</w:t>
      </w:r>
      <w:r>
        <w:rPr>
          <w:lang w:val="fr-CA"/>
        </w:rPr>
        <w:t xml:space="preserve">; et </w:t>
      </w:r>
    </w:p>
    <w:p w14:paraId="50D06760" w14:textId="11044CCD" w:rsidR="00DE09F4" w:rsidRPr="00874A44" w:rsidRDefault="00A3036E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lastRenderedPageBreak/>
        <w:t xml:space="preserve">La mesure dans laquelle la rentabilité de la chaine de production de </w:t>
      </w:r>
      <w:r w:rsidR="00DE09F4" w:rsidRPr="00874A44">
        <w:rPr>
          <w:lang w:val="fr-CA"/>
        </w:rPr>
        <w:t xml:space="preserve">HCFC-22 </w:t>
      </w:r>
      <w:r>
        <w:rPr>
          <w:lang w:val="fr-CA"/>
        </w:rPr>
        <w:t>devrait dépendre du prix du marché local par rapport au prix du marché international</w:t>
      </w:r>
      <w:r w:rsidR="00DE09F4" w:rsidRPr="00874A44">
        <w:rPr>
          <w:lang w:val="fr-CA"/>
        </w:rPr>
        <w:t xml:space="preserve">; </w:t>
      </w:r>
    </w:p>
    <w:p w14:paraId="661AC17D" w14:textId="37D5E159" w:rsidR="00DE09F4" w:rsidRPr="00874A44" w:rsidRDefault="007501A0" w:rsidP="00DE09F4">
      <w:pPr>
        <w:ind w:left="720" w:firstLine="720"/>
        <w:rPr>
          <w:i/>
          <w:lang w:val="fr-CA"/>
        </w:rPr>
      </w:pPr>
      <w:r>
        <w:rPr>
          <w:i/>
          <w:lang w:val="fr-CA"/>
        </w:rPr>
        <w:t>Concernant le calendrier du contrôle des émissions du s</w:t>
      </w:r>
      <w:r w:rsidR="008C65D6">
        <w:rPr>
          <w:i/>
          <w:lang w:val="fr-CA"/>
        </w:rPr>
        <w:t>ous-produit</w:t>
      </w:r>
      <w:r w:rsidR="00874A44" w:rsidRPr="00874A44">
        <w:rPr>
          <w:i/>
          <w:lang w:val="fr-CA"/>
        </w:rPr>
        <w:t xml:space="preserve"> HFC-23</w:t>
      </w:r>
    </w:p>
    <w:p w14:paraId="2B7DBCAA" w14:textId="77777777" w:rsidR="00DE09F4" w:rsidRPr="00874A44" w:rsidRDefault="00DE09F4" w:rsidP="00DE09F4">
      <w:pPr>
        <w:rPr>
          <w:i/>
          <w:lang w:val="fr-CA"/>
        </w:rPr>
      </w:pPr>
    </w:p>
    <w:p w14:paraId="11BBA0F3" w14:textId="009253E9" w:rsidR="00DE09F4" w:rsidRPr="00874A44" w:rsidRDefault="007501A0" w:rsidP="007501A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Le calendrier du contrôle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>
        <w:rPr>
          <w:lang w:val="fr-CA"/>
        </w:rPr>
        <w:t xml:space="preserve"> est-il un facteur pertinent à prendre en considération pour choisir une option de contrôle</w:t>
      </w:r>
      <w:r w:rsidR="00DE09F4" w:rsidRPr="00874A44">
        <w:rPr>
          <w:lang w:val="fr-CA"/>
        </w:rPr>
        <w:t xml:space="preserve">; </w:t>
      </w:r>
    </w:p>
    <w:p w14:paraId="661A3FED" w14:textId="3561BB26" w:rsidR="00DE09F4" w:rsidRPr="00874A44" w:rsidRDefault="007501A0" w:rsidP="00DE09F4">
      <w:pPr>
        <w:keepNext/>
        <w:ind w:left="1440"/>
        <w:rPr>
          <w:i/>
          <w:lang w:val="fr-CA"/>
        </w:rPr>
      </w:pPr>
      <w:r>
        <w:rPr>
          <w:i/>
          <w:lang w:val="fr-CA"/>
        </w:rPr>
        <w:t>Concernant l’admissibilité du s</w:t>
      </w:r>
      <w:r w:rsidR="008C65D6">
        <w:rPr>
          <w:i/>
          <w:lang w:val="fr-CA"/>
        </w:rPr>
        <w:t>ous-produit</w:t>
      </w:r>
      <w:r w:rsidR="00874A44" w:rsidRPr="00874A44">
        <w:rPr>
          <w:i/>
          <w:lang w:val="fr-CA"/>
        </w:rPr>
        <w:t xml:space="preserve"> HFC-23</w:t>
      </w:r>
      <w:r w:rsidR="00DE09F4" w:rsidRPr="00874A44">
        <w:rPr>
          <w:i/>
          <w:lang w:val="fr-CA"/>
        </w:rPr>
        <w:t xml:space="preserve"> </w:t>
      </w:r>
      <w:r>
        <w:rPr>
          <w:i/>
          <w:lang w:val="fr-CA"/>
        </w:rPr>
        <w:t xml:space="preserve">lié aux exportations de </w:t>
      </w:r>
      <w:r w:rsidR="00DE09F4" w:rsidRPr="00874A44">
        <w:rPr>
          <w:i/>
          <w:lang w:val="fr-CA"/>
        </w:rPr>
        <w:t xml:space="preserve">HCFC-22 </w:t>
      </w:r>
      <w:r>
        <w:rPr>
          <w:i/>
          <w:lang w:val="fr-CA"/>
        </w:rPr>
        <w:t>à un pays non visé à l’a</w:t>
      </w:r>
      <w:r w:rsidR="00DE09F4" w:rsidRPr="00874A44">
        <w:rPr>
          <w:i/>
          <w:lang w:val="fr-CA"/>
        </w:rPr>
        <w:t>rticle 5</w:t>
      </w:r>
    </w:p>
    <w:p w14:paraId="1813430A" w14:textId="77777777" w:rsidR="00DE09F4" w:rsidRPr="00874A44" w:rsidRDefault="00DE09F4" w:rsidP="00DE09F4">
      <w:pPr>
        <w:keepNext/>
        <w:rPr>
          <w:lang w:val="fr-CA"/>
        </w:rPr>
      </w:pPr>
    </w:p>
    <w:p w14:paraId="35FF853D" w14:textId="037F347B" w:rsidR="00DE09F4" w:rsidRPr="00874A44" w:rsidRDefault="007501A0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Convient-il de considérer tous les s</w:t>
      </w:r>
      <w:r w:rsidR="008C65D6">
        <w:rPr>
          <w:lang w:val="fr-CA"/>
        </w:rPr>
        <w:t>ous-produit</w:t>
      </w:r>
      <w:r>
        <w:rPr>
          <w:lang w:val="fr-CA"/>
        </w:rPr>
        <w:t>s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comme étant admissibles, que la production de </w:t>
      </w:r>
      <w:r w:rsidR="00DE09F4" w:rsidRPr="00874A44">
        <w:rPr>
          <w:lang w:val="fr-CA"/>
        </w:rPr>
        <w:t>HCFC-22</w:t>
      </w:r>
      <w:r>
        <w:rPr>
          <w:lang w:val="fr-CA"/>
        </w:rPr>
        <w:t xml:space="preserve"> dont proviennent ces sous-produits soit exportée ou non à un pays non visé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>à l’a</w:t>
      </w:r>
      <w:r w:rsidR="00DE09F4" w:rsidRPr="00874A44">
        <w:rPr>
          <w:lang w:val="fr-CA"/>
        </w:rPr>
        <w:t xml:space="preserve">rticle 5, </w:t>
      </w:r>
      <w:r>
        <w:rPr>
          <w:lang w:val="fr-CA"/>
        </w:rPr>
        <w:t>et</w:t>
      </w:r>
      <w:r w:rsidR="00DE09F4" w:rsidRPr="00874A44">
        <w:rPr>
          <w:lang w:val="fr-CA"/>
        </w:rPr>
        <w:t xml:space="preserve"> </w:t>
      </w:r>
    </w:p>
    <w:p w14:paraId="26A74E40" w14:textId="6C9E9AD5" w:rsidR="00DE09F4" w:rsidRPr="00874A44" w:rsidRDefault="007501A0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Convient-il de déduire cette partie de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associée à la production de </w:t>
      </w:r>
      <w:r w:rsidR="00DE09F4" w:rsidRPr="00874A44">
        <w:rPr>
          <w:lang w:val="fr-CA"/>
        </w:rPr>
        <w:t>HCFC</w:t>
      </w:r>
      <w:r w:rsidR="00DE09F4" w:rsidRPr="00874A44">
        <w:rPr>
          <w:lang w:val="fr-CA"/>
        </w:rPr>
        <w:noBreakHyphen/>
        <w:t>22 export</w:t>
      </w:r>
      <w:r>
        <w:rPr>
          <w:lang w:val="fr-CA"/>
        </w:rPr>
        <w:t>ée à un pays non visé à l’a</w:t>
      </w:r>
      <w:r w:rsidR="00DE09F4" w:rsidRPr="00874A44">
        <w:rPr>
          <w:lang w:val="fr-CA"/>
        </w:rPr>
        <w:t xml:space="preserve">rticle 5; </w:t>
      </w:r>
    </w:p>
    <w:p w14:paraId="7B71C5F6" w14:textId="21E9B767" w:rsidR="00DE09F4" w:rsidRPr="00874A44" w:rsidRDefault="007501A0" w:rsidP="00DE09F4">
      <w:pPr>
        <w:ind w:left="1440"/>
        <w:rPr>
          <w:i/>
          <w:lang w:val="fr-CA"/>
        </w:rPr>
      </w:pPr>
      <w:r>
        <w:rPr>
          <w:i/>
          <w:lang w:val="fr-CA"/>
        </w:rPr>
        <w:t>Concernant le taux de génération d</w:t>
      </w:r>
      <w:r w:rsidR="00AE2CDA">
        <w:rPr>
          <w:i/>
          <w:lang w:val="fr-CA"/>
        </w:rPr>
        <w:t>e s</w:t>
      </w:r>
      <w:r w:rsidR="008C65D6">
        <w:rPr>
          <w:i/>
          <w:lang w:val="fr-CA"/>
        </w:rPr>
        <w:t>ous-produit</w:t>
      </w:r>
      <w:r w:rsidR="00874A44" w:rsidRPr="00874A44">
        <w:rPr>
          <w:i/>
          <w:lang w:val="fr-CA"/>
        </w:rPr>
        <w:t xml:space="preserve"> HFC-23</w:t>
      </w:r>
    </w:p>
    <w:p w14:paraId="56C470F7" w14:textId="77777777" w:rsidR="00DE09F4" w:rsidRPr="00874A44" w:rsidRDefault="00DE09F4" w:rsidP="00DE09F4">
      <w:pPr>
        <w:ind w:left="1440"/>
        <w:rPr>
          <w:i/>
          <w:lang w:val="fr-CA"/>
        </w:rPr>
      </w:pPr>
    </w:p>
    <w:p w14:paraId="492EA4A6" w14:textId="7E063D12" w:rsidR="00DE09F4" w:rsidRPr="00874A44" w:rsidRDefault="00AE2CDA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Convient-il d’utiliser le taux de génération de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941698">
        <w:rPr>
          <w:lang w:val="fr-CA"/>
        </w:rPr>
        <w:t xml:space="preserve"> dans l’année immédiatement précédant la préparation du projet</w:t>
      </w:r>
      <w:r w:rsidR="00DE09F4" w:rsidRPr="00874A44">
        <w:rPr>
          <w:lang w:val="fr-CA"/>
        </w:rPr>
        <w:t xml:space="preserve">, </w:t>
      </w:r>
      <w:r w:rsidR="00941698">
        <w:rPr>
          <w:lang w:val="fr-CA"/>
        </w:rPr>
        <w:t>le taux de génération minimal dans les trois années immédiatement précédant la préparation du projet, ou une autre valeur</w:t>
      </w:r>
      <w:r w:rsidR="00DE09F4" w:rsidRPr="00874A44">
        <w:rPr>
          <w:lang w:val="fr-CA"/>
        </w:rPr>
        <w:t>;</w:t>
      </w:r>
    </w:p>
    <w:p w14:paraId="1D6F43E2" w14:textId="2774AD86" w:rsidR="00DE09F4" w:rsidRPr="00874A44" w:rsidRDefault="00AE2CDA" w:rsidP="00DE09F4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À confirmer que</w:t>
      </w:r>
      <w:r w:rsidR="00DE09F4" w:rsidRPr="00874A44">
        <w:rPr>
          <w:lang w:val="fr-CA"/>
        </w:rPr>
        <w:t>:</w:t>
      </w:r>
    </w:p>
    <w:p w14:paraId="508BE4D5" w14:textId="051B83F0" w:rsidR="00DE09F4" w:rsidRPr="00874A44" w:rsidRDefault="00941698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Les contrôles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>
        <w:rPr>
          <w:lang w:val="fr-CA"/>
        </w:rPr>
        <w:t xml:space="preserve">seraient admissibles , que la production de </w:t>
      </w:r>
      <w:r w:rsidR="00DE09F4" w:rsidRPr="00874A44">
        <w:rPr>
          <w:lang w:val="fr-CA"/>
        </w:rPr>
        <w:t>HCFC</w:t>
      </w:r>
      <w:r w:rsidR="00DE09F4" w:rsidRPr="00874A44">
        <w:rPr>
          <w:lang w:val="fr-CA"/>
        </w:rPr>
        <w:noBreakHyphen/>
        <w:t xml:space="preserve">22 </w:t>
      </w:r>
      <w:r>
        <w:rPr>
          <w:lang w:val="fr-CA"/>
        </w:rPr>
        <w:t xml:space="preserve">qui a généré le </w:t>
      </w:r>
      <w:r w:rsidR="00DE09F4" w:rsidRPr="00874A44">
        <w:rPr>
          <w:lang w:val="fr-CA"/>
        </w:rPr>
        <w:t xml:space="preserve">HFC-23 </w:t>
      </w:r>
      <w:r>
        <w:rPr>
          <w:lang w:val="fr-CA"/>
        </w:rPr>
        <w:t>soit utilisée pour des usages réglementés ou comme matière première</w:t>
      </w:r>
      <w:r w:rsidR="00DE09F4" w:rsidRPr="00874A44">
        <w:rPr>
          <w:lang w:val="fr-CA"/>
        </w:rPr>
        <w:t xml:space="preserve">; </w:t>
      </w:r>
      <w:r>
        <w:rPr>
          <w:lang w:val="fr-CA"/>
        </w:rPr>
        <w:t>et</w:t>
      </w:r>
    </w:p>
    <w:p w14:paraId="21D68DE8" w14:textId="1EA92C2A" w:rsidR="00DE09F4" w:rsidRPr="00874A44" w:rsidRDefault="00941698" w:rsidP="00DE09F4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La mise en œuvre d’un système de sauvegarde pour le contrôle des émissions du s</w:t>
      </w:r>
      <w:r w:rsidR="008C65D6">
        <w:rPr>
          <w:lang w:val="fr-CA"/>
        </w:rPr>
        <w:t>ous-produit</w:t>
      </w:r>
      <w:r w:rsidR="00874A44" w:rsidRPr="00874A44">
        <w:rPr>
          <w:lang w:val="fr-CA"/>
        </w:rPr>
        <w:t xml:space="preserve"> HFC-23</w:t>
      </w:r>
      <w:r w:rsidR="00DE09F4" w:rsidRPr="00874A44">
        <w:rPr>
          <w:lang w:val="fr-CA"/>
        </w:rPr>
        <w:t xml:space="preserve"> </w:t>
      </w:r>
      <w:r w:rsidR="00B814AE">
        <w:rPr>
          <w:lang w:val="fr-CA"/>
        </w:rPr>
        <w:t>est « possible » et donc admissible</w:t>
      </w:r>
      <w:r w:rsidR="00DE09F4" w:rsidRPr="00874A44">
        <w:rPr>
          <w:lang w:val="fr-CA"/>
        </w:rPr>
        <w:t xml:space="preserve">. </w:t>
      </w:r>
    </w:p>
    <w:p w14:paraId="3F0EBE8B" w14:textId="77777777" w:rsidR="00DE09F4" w:rsidRPr="00874A44" w:rsidRDefault="00DE09F4" w:rsidP="00DE09F4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DE09F4" w:rsidRPr="006E6A2F" w14:paraId="4C327CE2" w14:textId="77777777" w:rsidTr="009A32F3">
        <w:tc>
          <w:tcPr>
            <w:tcW w:w="1871" w:type="dxa"/>
          </w:tcPr>
          <w:p w14:paraId="324DE4B3" w14:textId="77777777" w:rsidR="00DE09F4" w:rsidRPr="00874A44" w:rsidRDefault="00DE09F4" w:rsidP="009A32F3">
            <w:pPr>
              <w:tabs>
                <w:tab w:val="left" w:pos="8280"/>
              </w:tabs>
              <w:rPr>
                <w:lang w:val="fr-CA"/>
              </w:rPr>
            </w:pPr>
            <w:bookmarkStart w:id="4" w:name="_GoBack"/>
            <w:bookmarkEnd w:id="4"/>
          </w:p>
        </w:tc>
        <w:tc>
          <w:tcPr>
            <w:tcW w:w="1872" w:type="dxa"/>
          </w:tcPr>
          <w:p w14:paraId="714B76F9" w14:textId="77777777" w:rsidR="00DE09F4" w:rsidRPr="00874A44" w:rsidRDefault="00DE09F4" w:rsidP="009A32F3">
            <w:pPr>
              <w:tabs>
                <w:tab w:val="left" w:pos="8280"/>
              </w:tabs>
              <w:rPr>
                <w:lang w:val="fr-C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7202763" w14:textId="77777777" w:rsidR="00DE09F4" w:rsidRPr="00874A44" w:rsidRDefault="00DE09F4" w:rsidP="009A32F3">
            <w:pPr>
              <w:tabs>
                <w:tab w:val="left" w:pos="8280"/>
              </w:tabs>
              <w:rPr>
                <w:lang w:val="fr-CA"/>
              </w:rPr>
            </w:pPr>
          </w:p>
        </w:tc>
        <w:tc>
          <w:tcPr>
            <w:tcW w:w="1872" w:type="dxa"/>
          </w:tcPr>
          <w:p w14:paraId="279407C3" w14:textId="77777777" w:rsidR="00DE09F4" w:rsidRPr="00874A44" w:rsidRDefault="00DE09F4" w:rsidP="009A32F3">
            <w:pPr>
              <w:tabs>
                <w:tab w:val="left" w:pos="8280"/>
              </w:tabs>
              <w:rPr>
                <w:lang w:val="fr-CA"/>
              </w:rPr>
            </w:pPr>
          </w:p>
        </w:tc>
        <w:tc>
          <w:tcPr>
            <w:tcW w:w="1873" w:type="dxa"/>
          </w:tcPr>
          <w:p w14:paraId="74FA94FC" w14:textId="77777777" w:rsidR="00DE09F4" w:rsidRPr="00874A44" w:rsidRDefault="00DE09F4" w:rsidP="009A32F3">
            <w:pPr>
              <w:tabs>
                <w:tab w:val="left" w:pos="8280"/>
              </w:tabs>
              <w:rPr>
                <w:lang w:val="fr-CA"/>
              </w:rPr>
            </w:pPr>
          </w:p>
        </w:tc>
      </w:tr>
    </w:tbl>
    <w:p w14:paraId="47EDD553" w14:textId="77777777" w:rsidR="00DE09F4" w:rsidRPr="00874A44" w:rsidRDefault="00DE09F4" w:rsidP="00DE09F4">
      <w:pPr>
        <w:tabs>
          <w:tab w:val="left" w:pos="8280"/>
        </w:tabs>
        <w:rPr>
          <w:lang w:val="fr-CA"/>
        </w:rPr>
      </w:pPr>
    </w:p>
    <w:p w14:paraId="0A1DA839" w14:textId="77777777" w:rsidR="00DE09F4" w:rsidRPr="00874A44" w:rsidRDefault="00DE09F4" w:rsidP="00DE09F4">
      <w:pPr>
        <w:tabs>
          <w:tab w:val="left" w:pos="8280"/>
        </w:tabs>
        <w:rPr>
          <w:lang w:val="fr-CA"/>
        </w:rPr>
      </w:pPr>
    </w:p>
    <w:p w14:paraId="4C2DDA02" w14:textId="10608930" w:rsidR="00441083" w:rsidRPr="00874A44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14:paraId="161159FE" w14:textId="77777777" w:rsidR="00441083" w:rsidRPr="00874A44" w:rsidRDefault="00441083">
      <w:pPr>
        <w:rPr>
          <w:lang w:val="fr-CA"/>
        </w:rPr>
        <w:sectPr w:rsidR="00441083" w:rsidRPr="00874A44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14:paraId="14A6F9C2" w14:textId="77777777" w:rsidR="00441083" w:rsidRPr="00874A44" w:rsidRDefault="00441083">
      <w:pPr>
        <w:rPr>
          <w:lang w:val="fr-CA"/>
        </w:rPr>
      </w:pPr>
    </w:p>
    <w:p w14:paraId="64C84CEF" w14:textId="77777777" w:rsidR="00441083" w:rsidRPr="00874A44" w:rsidRDefault="00441083">
      <w:pPr>
        <w:rPr>
          <w:lang w:val="fr-CA"/>
        </w:rPr>
      </w:pPr>
    </w:p>
    <w:sectPr w:rsidR="00441083" w:rsidRPr="00874A44">
      <w:headerReference w:type="first" r:id="rId15"/>
      <w:footerReference w:type="first" r:id="rId16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BB46" w14:textId="77777777" w:rsidR="00DB3616" w:rsidRDefault="00DB3616">
      <w:r>
        <w:separator/>
      </w:r>
    </w:p>
  </w:endnote>
  <w:endnote w:type="continuationSeparator" w:id="0">
    <w:p w14:paraId="53B75EB3" w14:textId="77777777" w:rsidR="00DB3616" w:rsidRDefault="00DB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"/>
    <w:panose1 w:val="00000000000000000000"/>
    <w:charset w:val="00"/>
    <w:family w:val="roman"/>
    <w:notTrueType/>
    <w:pitch w:val="default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937A" w14:textId="2769F1E6" w:rsidR="00A3036E" w:rsidRDefault="00A3036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6E6A2F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5D23" w14:textId="475A6335" w:rsidR="00A3036E" w:rsidRDefault="00A3036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6E6A2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EA17A" w14:textId="77777777" w:rsidR="00A3036E" w:rsidRDefault="00A303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14:paraId="0615871C" w14:textId="77777777" w:rsidR="00A3036E" w:rsidRDefault="00A303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publication.</w:t>
    </w:r>
  </w:p>
  <w:p w14:paraId="02ED0316" w14:textId="77777777" w:rsidR="00A3036E" w:rsidRDefault="00A3036E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03CB5" w14:textId="6438F6D5" w:rsidR="00A3036E" w:rsidRDefault="00A30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59664" w14:textId="77777777" w:rsidR="00A3036E" w:rsidRDefault="00A3036E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3BB5" w14:textId="77777777" w:rsidR="00DB3616" w:rsidRDefault="00DB3616">
      <w:r>
        <w:separator/>
      </w:r>
    </w:p>
  </w:footnote>
  <w:footnote w:type="continuationSeparator" w:id="0">
    <w:p w14:paraId="6B3EFB37" w14:textId="77777777" w:rsidR="00DB3616" w:rsidRDefault="00DB3616">
      <w:r>
        <w:continuationSeparator/>
      </w:r>
    </w:p>
  </w:footnote>
  <w:footnote w:id="1">
    <w:p w14:paraId="2ECB48BB" w14:textId="77777777" w:rsidR="00A3036E" w:rsidRDefault="00A3036E" w:rsidP="00DE09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22D6">
        <w:t>UNEP/</w:t>
      </w:r>
      <w:proofErr w:type="spellStart"/>
      <w:r w:rsidRPr="003F22D6">
        <w:t>OzL.Pro</w:t>
      </w:r>
      <w:proofErr w:type="spellEnd"/>
      <w:r w:rsidRPr="003F22D6">
        <w:t>/</w:t>
      </w:r>
      <w:proofErr w:type="spellStart"/>
      <w:r w:rsidRPr="003F22D6">
        <w:t>ExCom</w:t>
      </w:r>
      <w:proofErr w:type="spellEnd"/>
      <w:r w:rsidRPr="003F22D6">
        <w:t>/83/44</w:t>
      </w:r>
    </w:p>
    <w:p w14:paraId="47B20659" w14:textId="77777777" w:rsidR="00A3036E" w:rsidRPr="003F22D6" w:rsidRDefault="00A3036E" w:rsidP="00DE09F4">
      <w:pPr>
        <w:pStyle w:val="FootnoteText"/>
        <w:rPr>
          <w:lang w:val="en-US"/>
        </w:rPr>
      </w:pPr>
    </w:p>
  </w:footnote>
  <w:footnote w:id="2">
    <w:p w14:paraId="13AA6B10" w14:textId="77777777" w:rsidR="00A3036E" w:rsidRPr="003F22D6" w:rsidRDefault="00A3036E" w:rsidP="00DE09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F22D6">
        <w:t>UNEP/</w:t>
      </w:r>
      <w:proofErr w:type="spellStart"/>
      <w:r w:rsidRPr="003F22D6">
        <w:t>OzL.Pro</w:t>
      </w:r>
      <w:proofErr w:type="spellEnd"/>
      <w:r w:rsidRPr="003F22D6">
        <w:t>/</w:t>
      </w:r>
      <w:proofErr w:type="spellStart"/>
      <w:r w:rsidRPr="003F22D6">
        <w:t>ExCom</w:t>
      </w:r>
      <w:proofErr w:type="spellEnd"/>
      <w:r w:rsidRPr="003F22D6">
        <w:t>/84/71</w:t>
      </w:r>
    </w:p>
  </w:footnote>
  <w:footnote w:id="3">
    <w:p w14:paraId="0BD9F96A" w14:textId="77777777" w:rsidR="00A3036E" w:rsidRPr="003F22D6" w:rsidRDefault="00A3036E" w:rsidP="00DE09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UNEP/</w:t>
      </w:r>
      <w:proofErr w:type="spellStart"/>
      <w:r>
        <w:t>OzL.Pro</w:t>
      </w:r>
      <w:proofErr w:type="spellEnd"/>
      <w:r>
        <w:t>/</w:t>
      </w:r>
      <w:proofErr w:type="spellStart"/>
      <w:r>
        <w:t>ExCom</w:t>
      </w:r>
      <w:proofErr w:type="spellEnd"/>
      <w:r>
        <w:t>/84/72</w:t>
      </w:r>
    </w:p>
  </w:footnote>
  <w:footnote w:id="4">
    <w:p w14:paraId="44421E9D" w14:textId="6A17AAC8" w:rsidR="00A3036E" w:rsidRPr="001C56C1" w:rsidRDefault="00A3036E" w:rsidP="00DE09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</w:t>
      </w:r>
      <w:r w:rsidRPr="001C56C1">
        <w:t>aragraph</w:t>
      </w:r>
      <w:r>
        <w:t>e</w:t>
      </w:r>
      <w:proofErr w:type="spellEnd"/>
      <w:r w:rsidRPr="001C56C1">
        <w:t xml:space="preserve"> 32(b) </w:t>
      </w:r>
      <w:r>
        <w:t>du</w:t>
      </w:r>
      <w:r w:rsidRPr="001C56C1">
        <w:t xml:space="preserve"> document UNEP/</w:t>
      </w:r>
      <w:proofErr w:type="spellStart"/>
      <w:r w:rsidRPr="001C56C1">
        <w:t>OzL.Pro</w:t>
      </w:r>
      <w:proofErr w:type="spellEnd"/>
      <w:r w:rsidRPr="001C56C1">
        <w:t>/</w:t>
      </w:r>
      <w:proofErr w:type="spellStart"/>
      <w:r w:rsidRPr="001C56C1">
        <w:t>ExCom</w:t>
      </w:r>
      <w:proofErr w:type="spellEnd"/>
      <w:r w:rsidRPr="001C56C1">
        <w:t>/16/20</w:t>
      </w:r>
    </w:p>
  </w:footnote>
  <w:footnote w:id="5">
    <w:p w14:paraId="379D5556" w14:textId="4EE923F9" w:rsidR="00A3036E" w:rsidRPr="00AB77C7" w:rsidRDefault="00A3036E" w:rsidP="00DE09F4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AB77C7">
        <w:rPr>
          <w:lang w:val="fr-CA"/>
        </w:rPr>
        <w:t xml:space="preserve"> Régime des coûts administratifs, qui a été conservé pour le triennat 2012–2014. </w:t>
      </w:r>
    </w:p>
  </w:footnote>
  <w:footnote w:id="6">
    <w:p w14:paraId="29DF9817" w14:textId="77777777" w:rsidR="00A3036E" w:rsidRPr="00AB77C7" w:rsidRDefault="00A3036E" w:rsidP="00DE09F4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AB77C7">
        <w:rPr>
          <w:lang w:val="fr-CA"/>
        </w:rPr>
        <w:t xml:space="preserve"> UNEP/OzL.Pro/ExCom/83/44</w:t>
      </w:r>
    </w:p>
  </w:footnote>
  <w:footnote w:id="7">
    <w:p w14:paraId="01DA67A7" w14:textId="77777777" w:rsidR="00A3036E" w:rsidRPr="00AB77C7" w:rsidRDefault="00A3036E" w:rsidP="00DE09F4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AB77C7">
        <w:rPr>
          <w:lang w:val="fr-CA"/>
        </w:rPr>
        <w:t xml:space="preserve"> UNEP/OzL.Pro/ExCom/84/71</w:t>
      </w:r>
    </w:p>
  </w:footnote>
  <w:footnote w:id="8">
    <w:p w14:paraId="32C7151C" w14:textId="7185348A" w:rsidR="00A3036E" w:rsidRPr="00AB77C7" w:rsidRDefault="00A3036E" w:rsidP="00DE09F4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AB77C7">
        <w:rPr>
          <w:lang w:val="fr-CA"/>
        </w:rPr>
        <w:t xml:space="preserve"> Paragraphes 146 et 147 du document UNEP/OzL.Pro/ExCom/15/45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BA09" w14:textId="23D63E21" w:rsidR="00A3036E" w:rsidRDefault="00A3036E">
    <w:r>
      <w:fldChar w:fldCharType="begin"/>
    </w:r>
    <w:r>
      <w:instrText xml:space="preserve"> DOCPROPERTY "Document number"  \* MERGEFORMAT </w:instrText>
    </w:r>
    <w:r>
      <w:fldChar w:fldCharType="separate"/>
    </w:r>
    <w:r w:rsidR="00AB77C7">
      <w:t>UNEP/</w:t>
    </w:r>
    <w:proofErr w:type="spellStart"/>
    <w:r w:rsidR="00AB77C7">
      <w:t>OzL.Pro</w:t>
    </w:r>
    <w:proofErr w:type="spellEnd"/>
    <w:r w:rsidR="00AB77C7">
      <w:t>/</w:t>
    </w:r>
    <w:proofErr w:type="spellStart"/>
    <w:r w:rsidR="00AB77C7">
      <w:t>ExCom</w:t>
    </w:r>
    <w:proofErr w:type="spellEnd"/>
    <w:r w:rsidR="00AB77C7">
      <w:t>/84/70</w:t>
    </w:r>
    <w:r>
      <w:fldChar w:fldCharType="end"/>
    </w:r>
  </w:p>
  <w:p w14:paraId="19D2C749" w14:textId="77777777" w:rsidR="00A3036E" w:rsidRDefault="00A3036E"/>
  <w:p w14:paraId="4633F118" w14:textId="77777777" w:rsidR="00A3036E" w:rsidRDefault="00A3036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0B07" w14:textId="20DA551C" w:rsidR="00A3036E" w:rsidRDefault="00A3036E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AB77C7">
      <w:t>UNEP/</w:t>
    </w:r>
    <w:proofErr w:type="spellStart"/>
    <w:r w:rsidR="00AB77C7">
      <w:t>OzL.Pro</w:t>
    </w:r>
    <w:proofErr w:type="spellEnd"/>
    <w:r w:rsidR="00AB77C7">
      <w:t>/</w:t>
    </w:r>
    <w:proofErr w:type="spellStart"/>
    <w:r w:rsidR="00AB77C7">
      <w:t>ExCom</w:t>
    </w:r>
    <w:proofErr w:type="spellEnd"/>
    <w:r w:rsidR="00AB77C7">
      <w:t>/84/70</w:t>
    </w:r>
    <w:r>
      <w:fldChar w:fldCharType="end"/>
    </w:r>
  </w:p>
  <w:p w14:paraId="146DE443" w14:textId="77777777" w:rsidR="00A3036E" w:rsidRDefault="00A3036E"/>
  <w:p w14:paraId="56DA9436" w14:textId="77777777" w:rsidR="00A3036E" w:rsidRDefault="00A30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CE51" w14:textId="37E2ECB8" w:rsidR="00A3036E" w:rsidRDefault="00A3036E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/84/1</w:t>
    </w:r>
    <w:r>
      <w:fldChar w:fldCharType="end"/>
    </w:r>
  </w:p>
  <w:p w14:paraId="4CF6C7BA" w14:textId="77777777" w:rsidR="00A3036E" w:rsidRDefault="00A3036E">
    <w:pPr>
      <w:jc w:val="right"/>
    </w:pPr>
  </w:p>
  <w:p w14:paraId="3258FD4B" w14:textId="77777777" w:rsidR="00A3036E" w:rsidRDefault="00A303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D7176"/>
    <w:multiLevelType w:val="hybridMultilevel"/>
    <w:tmpl w:val="980EEBEE"/>
    <w:lvl w:ilvl="0" w:tplc="3C98E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6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15"/>
  </w:num>
  <w:num w:numId="21">
    <w:abstractNumId w:val="11"/>
  </w:num>
  <w:num w:numId="22">
    <w:abstractNumId w:val="12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5"/>
    <w:rsid w:val="00000E7B"/>
    <w:rsid w:val="0009307A"/>
    <w:rsid w:val="00094A50"/>
    <w:rsid w:val="000F6C8E"/>
    <w:rsid w:val="001050E3"/>
    <w:rsid w:val="001702B5"/>
    <w:rsid w:val="001A5333"/>
    <w:rsid w:val="001C3D0C"/>
    <w:rsid w:val="001D4CE7"/>
    <w:rsid w:val="00245EB5"/>
    <w:rsid w:val="00250A58"/>
    <w:rsid w:val="00265AF0"/>
    <w:rsid w:val="00285B75"/>
    <w:rsid w:val="002B145C"/>
    <w:rsid w:val="002F0B57"/>
    <w:rsid w:val="0034556A"/>
    <w:rsid w:val="0036412C"/>
    <w:rsid w:val="003A0CA4"/>
    <w:rsid w:val="003C4775"/>
    <w:rsid w:val="00441083"/>
    <w:rsid w:val="00466EC8"/>
    <w:rsid w:val="004C2C87"/>
    <w:rsid w:val="004E2CF3"/>
    <w:rsid w:val="004E3A36"/>
    <w:rsid w:val="00500CB4"/>
    <w:rsid w:val="005B3CAD"/>
    <w:rsid w:val="005B6C26"/>
    <w:rsid w:val="005C278F"/>
    <w:rsid w:val="00605093"/>
    <w:rsid w:val="006B1B6A"/>
    <w:rsid w:val="006B5B39"/>
    <w:rsid w:val="006C3981"/>
    <w:rsid w:val="006D1C16"/>
    <w:rsid w:val="006E57E3"/>
    <w:rsid w:val="006E6A2F"/>
    <w:rsid w:val="007034FA"/>
    <w:rsid w:val="007501A0"/>
    <w:rsid w:val="007513A7"/>
    <w:rsid w:val="0075750B"/>
    <w:rsid w:val="00762754"/>
    <w:rsid w:val="008357E2"/>
    <w:rsid w:val="00855B49"/>
    <w:rsid w:val="00874A44"/>
    <w:rsid w:val="008C1481"/>
    <w:rsid w:val="008C65D6"/>
    <w:rsid w:val="0091161A"/>
    <w:rsid w:val="00941698"/>
    <w:rsid w:val="00972E99"/>
    <w:rsid w:val="009942F9"/>
    <w:rsid w:val="009A32F3"/>
    <w:rsid w:val="009A5180"/>
    <w:rsid w:val="009B58BF"/>
    <w:rsid w:val="009E30E2"/>
    <w:rsid w:val="009E405A"/>
    <w:rsid w:val="00A3036E"/>
    <w:rsid w:val="00AB77C7"/>
    <w:rsid w:val="00AC013C"/>
    <w:rsid w:val="00AC43D6"/>
    <w:rsid w:val="00AE2CDA"/>
    <w:rsid w:val="00AE63D8"/>
    <w:rsid w:val="00AF5C98"/>
    <w:rsid w:val="00B811F2"/>
    <w:rsid w:val="00B814AE"/>
    <w:rsid w:val="00BC3C7D"/>
    <w:rsid w:val="00C205BC"/>
    <w:rsid w:val="00C6443E"/>
    <w:rsid w:val="00C92D9E"/>
    <w:rsid w:val="00CC0979"/>
    <w:rsid w:val="00CC72CD"/>
    <w:rsid w:val="00CF7C4E"/>
    <w:rsid w:val="00D6300C"/>
    <w:rsid w:val="00D7654A"/>
    <w:rsid w:val="00DB3616"/>
    <w:rsid w:val="00DB4E64"/>
    <w:rsid w:val="00DD3433"/>
    <w:rsid w:val="00DD75FB"/>
    <w:rsid w:val="00DE09F4"/>
    <w:rsid w:val="00E348C6"/>
    <w:rsid w:val="00E35E44"/>
    <w:rsid w:val="00E54871"/>
    <w:rsid w:val="00E60D9C"/>
    <w:rsid w:val="00EB2067"/>
    <w:rsid w:val="00EB57EE"/>
    <w:rsid w:val="00EE7687"/>
    <w:rsid w:val="00F3226A"/>
    <w:rsid w:val="00F37A42"/>
    <w:rsid w:val="00F557F5"/>
    <w:rsid w:val="00FA2615"/>
    <w:rsid w:val="00FC0D87"/>
    <w:rsid w:val="00FC5578"/>
    <w:rsid w:val="00FD22FE"/>
    <w:rsid w:val="00FE431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1438B"/>
  <w15:docId w15:val="{A216C73D-521B-4BFF-B09A-8479FA1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link w:val="Heading3Char3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DE09F4"/>
    <w:rPr>
      <w:sz w:val="22"/>
      <w:szCs w:val="22"/>
      <w:lang w:val="en-GB"/>
    </w:rPr>
  </w:style>
  <w:style w:type="character" w:customStyle="1" w:styleId="Heading3Char3">
    <w:name w:val="Heading 3 Char3"/>
    <w:aliases w:val="Char Char3,Heading 3 Char Char2,Char Char Char2,Heading 3 Char1 Char1,Heading 3 Char Char Char1,Char Char Char Char1,Char Char1 Char1,Heading 3 Char1 Char Char,Heading 3 Char Char Char Char,Char Char Char Char Char,Char Char1 Char Char"/>
    <w:basedOn w:val="DefaultParagraphFont"/>
    <w:link w:val="Heading3"/>
    <w:rsid w:val="00DE09F4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DE09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9F4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E09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84%20ExCom\F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683CADC4F284EA5F0B82357B5BF3A" ma:contentTypeVersion="2" ma:contentTypeDescription="Create a new document." ma:contentTypeScope="" ma:versionID="068ecf6b82cce04dbb15b641d5edd95a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ec3297cc96d292a79aedb3c4ee5cf4fc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UNEP/OzL.Pro/ExCom/84/70</Document_x0020_Number>
  </documentManagement>
</p:properties>
</file>

<file path=customXml/itemProps1.xml><?xml version="1.0" encoding="utf-8"?>
<ds:datastoreItem xmlns:ds="http://schemas.openxmlformats.org/officeDocument/2006/customXml" ds:itemID="{16DEBABC-CAA0-43F8-9E4C-844306C0C152}"/>
</file>

<file path=customXml/itemProps2.xml><?xml version="1.0" encoding="utf-8"?>
<ds:datastoreItem xmlns:ds="http://schemas.openxmlformats.org/officeDocument/2006/customXml" ds:itemID="{20EC17BE-4D53-4669-86E8-B361E7C43AE4}"/>
</file>

<file path=customXml/itemProps3.xml><?xml version="1.0" encoding="utf-8"?>
<ds:datastoreItem xmlns:ds="http://schemas.openxmlformats.org/officeDocument/2006/customXml" ds:itemID="{7649AAA9-88B7-4584-AFD3-DEBA758ACD74}"/>
</file>

<file path=customXml/itemProps4.xml><?xml version="1.0" encoding="utf-8"?>
<ds:datastoreItem xmlns:ds="http://schemas.openxmlformats.org/officeDocument/2006/customXml" ds:itemID="{CA011C66-4A38-443D-992F-1471D3283866}"/>
</file>

<file path=docProps/app.xml><?xml version="1.0" encoding="utf-8"?>
<Properties xmlns="http://schemas.openxmlformats.org/officeDocument/2006/extended-properties" xmlns:vt="http://schemas.openxmlformats.org/officeDocument/2006/docPropsVTypes">
  <Template>F84-Template</Template>
  <TotalTime>10</TotalTime>
  <Pages>9</Pages>
  <Words>3812</Words>
  <Characters>20359</Characters>
  <Application>Microsoft Office Word</Application>
  <DocSecurity>0</DocSecurity>
  <Lines>169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Principaux aspects liés aux technologies de controle du sous-produit HFC-23 (décisions 83/66 et 83/67)</vt:lpstr>
      <vt:lpstr/>
    </vt:vector>
  </TitlesOfParts>
  <Company>UNMFS</Company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Principaux aspects liés aux technologies de controle du sous-produit HFC-23</dc:title>
  <dc:subject>84e</dc:subject>
  <dc:creator>Dell</dc:creator>
  <dc:description/>
  <cp:lastModifiedBy>HBE</cp:lastModifiedBy>
  <cp:revision>4</cp:revision>
  <cp:lastPrinted>2001-05-26T16:40:00Z</cp:lastPrinted>
  <dcterms:created xsi:type="dcterms:W3CDTF">2019-12-05T09:16:00Z</dcterms:created>
  <dcterms:modified xsi:type="dcterms:W3CDTF">2019-12-06T17:04:00Z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UNEP/OzL.Pro/ExCom/84/70</vt:lpwstr>
  </property>
  <property fmtid="{D5CDD505-2E9C-101B-9397-08002B2CF9AE}" pid="3" name="Revision date">
    <vt:lpwstr>11/29/2019</vt:lpwstr>
  </property>
  <property fmtid="{D5CDD505-2E9C-101B-9397-08002B2CF9AE}" pid="4" name="ContentTypeId">
    <vt:lpwstr>0x010100109683CADC4F284EA5F0B82357B5BF3A</vt:lpwstr>
  </property>
</Properties>
</file>