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940" w:rsidRDefault="006D1D2D" w:rsidP="003919B9">
      <w:bookmarkStart w:id="0" w:name="_GoBack"/>
      <w:bookmarkEnd w:id="0"/>
      <w:r>
        <w:t xml:space="preserve"> </w:t>
      </w:r>
    </w:p>
    <w:tbl>
      <w:tblPr>
        <w:tblW w:w="10605" w:type="dxa"/>
        <w:tblInd w:w="-432" w:type="dxa"/>
        <w:tblLayout w:type="fixed"/>
        <w:tblLook w:val="0000" w:firstRow="0" w:lastRow="0" w:firstColumn="0" w:lastColumn="0" w:noHBand="0" w:noVBand="0"/>
      </w:tblPr>
      <w:tblGrid>
        <w:gridCol w:w="2070"/>
        <w:gridCol w:w="4991"/>
        <w:gridCol w:w="3544"/>
      </w:tblGrid>
      <w:tr w:rsidR="002F2940" w:rsidTr="003E4114">
        <w:trPr>
          <w:trHeight w:val="720"/>
        </w:trPr>
        <w:tc>
          <w:tcPr>
            <w:tcW w:w="7061" w:type="dxa"/>
            <w:gridSpan w:val="2"/>
            <w:tcBorders>
              <w:bottom w:val="single" w:sz="18" w:space="0" w:color="auto"/>
            </w:tcBorders>
          </w:tcPr>
          <w:p w:rsidR="002F2940" w:rsidRDefault="002F2940" w:rsidP="003E411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rsidR="002F2940" w:rsidRDefault="002F2940" w:rsidP="003E411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rsidR="002F2940" w:rsidRDefault="003E6D2D" w:rsidP="003E4114">
            <w:pPr>
              <w:tabs>
                <w:tab w:val="left" w:pos="3010"/>
              </w:tabs>
              <w:jc w:val="center"/>
              <w:rPr>
                <w:sz w:val="52"/>
                <w:szCs w:val="52"/>
              </w:rPr>
            </w:pPr>
            <w:r>
              <w:rPr>
                <w:rFonts w:ascii="Univers Bold" w:hAnsi="Univers Bold"/>
                <w:b/>
                <w:sz w:val="72"/>
                <w:lang w:val="fr-CA"/>
              </w:rPr>
              <w:t xml:space="preserve">     </w:t>
            </w:r>
            <w:r w:rsidR="002F2940">
              <w:rPr>
                <w:rFonts w:ascii="Univers Bold" w:hAnsi="Univers Bold"/>
                <w:b/>
                <w:sz w:val="72"/>
                <w:lang w:val="fr-CA"/>
              </w:rPr>
              <w:t>EP</w:t>
            </w:r>
          </w:p>
        </w:tc>
      </w:tr>
      <w:tr w:rsidR="002F2940" w:rsidTr="003E4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2F2940" w:rsidRDefault="002F2940" w:rsidP="003E4114">
            <w:pPr>
              <w:spacing w:before="120"/>
            </w:pPr>
            <w:r>
              <w:rPr>
                <w:noProof/>
                <w:lang w:val="en-CA" w:eastAsia="en-CA"/>
              </w:rPr>
              <w:drawing>
                <wp:anchor distT="0" distB="0" distL="114300" distR="114300" simplePos="0" relativeHeight="251659264" behindDoc="0" locked="0" layoutInCell="1" allowOverlap="1" wp14:anchorId="57FA33A5" wp14:editId="349C1CE1">
                  <wp:simplePos x="0" y="0"/>
                  <wp:positionH relativeFrom="column">
                    <wp:posOffset>272938</wp:posOffset>
                  </wp:positionH>
                  <wp:positionV relativeFrom="paragraph">
                    <wp:posOffset>933562</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0288" behindDoc="1" locked="0" layoutInCell="0" allowOverlap="1" wp14:anchorId="640CB8B5" wp14:editId="5716D0D8">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rsidR="002F2940" w:rsidRDefault="002F2940" w:rsidP="003E411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rsidR="002F2940" w:rsidRDefault="002F2940" w:rsidP="003E411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rsidR="002F2940" w:rsidRDefault="002F2940" w:rsidP="003E4114">
            <w:pPr>
              <w:rPr>
                <w:rFonts w:ascii="Univers" w:hAnsi="Univers"/>
                <w:b/>
                <w:sz w:val="32"/>
                <w:lang w:val="fr-CA"/>
              </w:rPr>
            </w:pPr>
            <w:r>
              <w:rPr>
                <w:rFonts w:ascii="Univers" w:hAnsi="Univers"/>
                <w:b/>
                <w:sz w:val="32"/>
                <w:lang w:val="fr-CA"/>
              </w:rPr>
              <w:t>Nations Unies pour</w:t>
            </w:r>
          </w:p>
          <w:p w:rsidR="002F2940" w:rsidRDefault="002F2940" w:rsidP="003E4114">
            <w:pPr>
              <w:rPr>
                <w:rFonts w:ascii="Univers" w:hAnsi="Univers"/>
                <w:b/>
                <w:sz w:val="32"/>
                <w:lang w:val="fr-CA"/>
              </w:rPr>
            </w:pPr>
            <w:r>
              <w:rPr>
                <w:rFonts w:ascii="Univers" w:hAnsi="Univers"/>
                <w:b/>
                <w:sz w:val="32"/>
                <w:lang w:val="fr-CA"/>
              </w:rPr>
              <w:t>l</w:t>
            </w:r>
            <w:r w:rsidR="003E6D2D">
              <w:rPr>
                <w:rFonts w:ascii="Univers" w:hAnsi="Univers"/>
                <w:b/>
                <w:sz w:val="32"/>
                <w:lang w:val="fr-CA"/>
              </w:rPr>
              <w:t>’</w:t>
            </w:r>
            <w:r>
              <w:rPr>
                <w:rFonts w:ascii="Univers" w:hAnsi="Univers"/>
                <w:b/>
                <w:sz w:val="32"/>
                <w:lang w:val="fr-CA"/>
              </w:rPr>
              <w:t>environnement</w:t>
            </w:r>
          </w:p>
          <w:p w:rsidR="002F2940" w:rsidRDefault="002F2940" w:rsidP="003E4114">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rsidR="002F2940" w:rsidRDefault="002F2940" w:rsidP="003E4114">
            <w:pPr>
              <w:rPr>
                <w:lang w:val="fr-FR"/>
              </w:rPr>
            </w:pPr>
          </w:p>
          <w:p w:rsidR="002F2940" w:rsidRPr="00C51E0A" w:rsidRDefault="002F2940" w:rsidP="003E4114">
            <w:pPr>
              <w:rPr>
                <w:lang w:val="fr-FR"/>
              </w:rPr>
            </w:pPr>
            <w:r w:rsidRPr="00C51E0A">
              <w:rPr>
                <w:lang w:val="fr-FR"/>
              </w:rPr>
              <w:t>Distr.</w:t>
            </w:r>
          </w:p>
          <w:p w:rsidR="002F2940" w:rsidRPr="00C51E0A" w:rsidRDefault="002F2940" w:rsidP="003E4114">
            <w:pPr>
              <w:rPr>
                <w:lang w:val="fr-FR"/>
              </w:rPr>
            </w:pPr>
            <w:r w:rsidRPr="00C51E0A">
              <w:rPr>
                <w:lang w:val="fr-FR"/>
              </w:rPr>
              <w:t>GENERALE</w:t>
            </w:r>
          </w:p>
          <w:p w:rsidR="002F2940" w:rsidRPr="00C51E0A" w:rsidRDefault="002F2940" w:rsidP="003E4114">
            <w:pPr>
              <w:rPr>
                <w:lang w:val="fr-FR"/>
              </w:rPr>
            </w:pPr>
          </w:p>
          <w:p w:rsidR="002F2940" w:rsidRPr="00C51E0A" w:rsidRDefault="002F2940" w:rsidP="003E4114">
            <w:pPr>
              <w:rPr>
                <w:lang w:val="fr-FR"/>
              </w:rPr>
            </w:pPr>
            <w:r>
              <w:fldChar w:fldCharType="begin"/>
            </w:r>
            <w:r w:rsidRPr="00C51E0A">
              <w:rPr>
                <w:lang w:val="fr-FR"/>
              </w:rPr>
              <w:instrText xml:space="preserve"> DOCPROPERTY "Document number"</w:instrText>
            </w:r>
            <w:r w:rsidR="003E6D2D" w:rsidRPr="00C51E0A">
              <w:rPr>
                <w:lang w:val="fr-FR"/>
              </w:rPr>
              <w:instrText xml:space="preserve"> </w:instrText>
            </w:r>
            <w:r w:rsidRPr="00C51E0A">
              <w:rPr>
                <w:lang w:val="fr-FR"/>
              </w:rPr>
              <w:instrText xml:space="preserve">\* MERGEFORMAT </w:instrText>
            </w:r>
            <w:r>
              <w:fldChar w:fldCharType="separate"/>
            </w:r>
            <w:r w:rsidR="003E6D2D" w:rsidRPr="00C51E0A">
              <w:rPr>
                <w:lang w:val="fr-FR"/>
              </w:rPr>
              <w:t>UNEP/OzL.Pro/ExCom/83/40</w:t>
            </w:r>
            <w:r>
              <w:fldChar w:fldCharType="end"/>
            </w:r>
          </w:p>
          <w:p w:rsidR="002F2940" w:rsidRPr="00C51E0A" w:rsidRDefault="002F2940" w:rsidP="003E4114">
            <w:pPr>
              <w:rPr>
                <w:lang w:val="fr-FR"/>
              </w:rPr>
            </w:pPr>
            <w:r>
              <w:fldChar w:fldCharType="begin"/>
            </w:r>
            <w:r w:rsidRPr="00C51E0A">
              <w:rPr>
                <w:lang w:val="fr-FR"/>
              </w:rPr>
              <w:instrText xml:space="preserve"> DOCPROPERTY "Revision date" \@ "d MMMM YYYY"</w:instrText>
            </w:r>
            <w:r w:rsidR="003E6D2D" w:rsidRPr="00C51E0A">
              <w:rPr>
                <w:lang w:val="fr-FR"/>
              </w:rPr>
              <w:instrText xml:space="preserve"> </w:instrText>
            </w:r>
            <w:r w:rsidRPr="00C51E0A">
              <w:rPr>
                <w:lang w:val="fr-FR"/>
              </w:rPr>
              <w:instrText xml:space="preserve">\* MERGEFORMAT </w:instrText>
            </w:r>
            <w:r>
              <w:fldChar w:fldCharType="separate"/>
            </w:r>
            <w:r w:rsidR="003E6D2D" w:rsidRPr="00C51E0A">
              <w:rPr>
                <w:lang w:val="fr-FR"/>
              </w:rPr>
              <w:t xml:space="preserve">29 </w:t>
            </w:r>
            <w:r w:rsidR="003E6D2D" w:rsidRPr="00F36345">
              <w:rPr>
                <w:lang w:val="fr-FR"/>
              </w:rPr>
              <w:t>avr</w:t>
            </w:r>
            <w:r w:rsidR="003E6D2D" w:rsidRPr="00C51E0A">
              <w:rPr>
                <w:lang w:val="fr-FR"/>
              </w:rPr>
              <w:t>il 2019</w:t>
            </w:r>
            <w:r>
              <w:fldChar w:fldCharType="end"/>
            </w:r>
          </w:p>
          <w:p w:rsidR="002F2940" w:rsidRDefault="002F2940" w:rsidP="003E4114">
            <w:pPr>
              <w:rPr>
                <w:caps/>
                <w:lang w:val="fr-FR"/>
              </w:rPr>
            </w:pPr>
            <w:r w:rsidRPr="00C51E0A">
              <w:rPr>
                <w:caps/>
                <w:lang w:val="fr-FR"/>
              </w:rPr>
              <w:br/>
            </w:r>
            <w:r>
              <w:rPr>
                <w:caps/>
                <w:lang w:val="fr-FR"/>
              </w:rPr>
              <w:t>FRANÇAIS</w:t>
            </w:r>
          </w:p>
          <w:p w:rsidR="002F2940" w:rsidRDefault="002F2940" w:rsidP="003E4114">
            <w:r>
              <w:t>ORIGINAL</w:t>
            </w:r>
            <w:r w:rsidR="003E6D2D">
              <w:t> </w:t>
            </w:r>
            <w:r>
              <w:t>: ANGLAIS</w:t>
            </w:r>
          </w:p>
        </w:tc>
      </w:tr>
    </w:tbl>
    <w:p w:rsidR="002F2940" w:rsidRDefault="002F2940" w:rsidP="002F2940">
      <w:pPr>
        <w:jc w:val="left"/>
        <w:rPr>
          <w:lang w:val="fr-CA"/>
        </w:rPr>
      </w:pPr>
    </w:p>
    <w:p w:rsidR="002F2940" w:rsidRPr="000F1745" w:rsidRDefault="002F2940" w:rsidP="002F2940">
      <w:pPr>
        <w:jc w:val="left"/>
        <w:rPr>
          <w:lang w:val="fr-FR"/>
        </w:rPr>
      </w:pPr>
      <w:r w:rsidRPr="000F1745">
        <w:rPr>
          <w:lang w:val="fr-FR"/>
        </w:rPr>
        <w:t xml:space="preserve">COMITE EXECUTIF </w:t>
      </w:r>
      <w:r w:rsidRPr="000F1745">
        <w:rPr>
          <w:lang w:val="fr-FR"/>
        </w:rPr>
        <w:br/>
      </w:r>
      <w:r w:rsidR="003E6D2D" w:rsidRPr="000F1745">
        <w:rPr>
          <w:lang w:val="fr-FR"/>
        </w:rPr>
        <w:t xml:space="preserve"> </w:t>
      </w:r>
      <w:r w:rsidRPr="000F1745">
        <w:rPr>
          <w:lang w:val="fr-FR"/>
        </w:rPr>
        <w:t xml:space="preserve">DU FONDS MULTILATERAL AUX FINS </w:t>
      </w:r>
      <w:r w:rsidRPr="000F1745">
        <w:rPr>
          <w:lang w:val="fr-FR"/>
        </w:rPr>
        <w:br/>
      </w:r>
      <w:r w:rsidR="003E6D2D" w:rsidRPr="000F1745">
        <w:rPr>
          <w:lang w:val="fr-FR"/>
        </w:rPr>
        <w:t xml:space="preserve"> </w:t>
      </w:r>
      <w:r w:rsidRPr="000F1745">
        <w:rPr>
          <w:lang w:val="fr-FR"/>
        </w:rPr>
        <w:t>D</w:t>
      </w:r>
      <w:r w:rsidR="003E6D2D" w:rsidRPr="000F1745">
        <w:rPr>
          <w:lang w:val="fr-FR"/>
        </w:rPr>
        <w:t>’</w:t>
      </w:r>
      <w:r w:rsidRPr="000F1745">
        <w:rPr>
          <w:lang w:val="fr-FR"/>
        </w:rPr>
        <w:t>APPLICATION DU PROTOCOLE DE MONTREAL</w:t>
      </w:r>
      <w:r w:rsidRPr="000F1745">
        <w:rPr>
          <w:lang w:val="fr-FR"/>
        </w:rPr>
        <w:br/>
        <w:t>Quatre-vingt-troisième réunion</w:t>
      </w:r>
    </w:p>
    <w:p w:rsidR="00EE66BA" w:rsidRPr="000F1745" w:rsidRDefault="002F2940" w:rsidP="002F2940">
      <w:pPr>
        <w:rPr>
          <w:lang w:val="fr-FR"/>
        </w:rPr>
      </w:pPr>
      <w:r w:rsidRPr="000F1745">
        <w:rPr>
          <w:lang w:val="fr-FR"/>
        </w:rPr>
        <w:t>Montréal, 27– 31 mai 2019</w:t>
      </w:r>
    </w:p>
    <w:p w:rsidR="00EE66BA" w:rsidRPr="00C51E0A" w:rsidRDefault="00EE66BA" w:rsidP="001C3C80">
      <w:pPr>
        <w:tabs>
          <w:tab w:val="left" w:pos="8280"/>
        </w:tabs>
        <w:rPr>
          <w:lang w:val="fr-FR"/>
        </w:rPr>
      </w:pPr>
    </w:p>
    <w:p w:rsidR="00EE66BA" w:rsidRPr="00C51E0A" w:rsidRDefault="00EE66BA" w:rsidP="001C3C80">
      <w:pPr>
        <w:tabs>
          <w:tab w:val="left" w:pos="8280"/>
        </w:tabs>
        <w:rPr>
          <w:lang w:val="fr-FR"/>
        </w:rPr>
      </w:pPr>
    </w:p>
    <w:p w:rsidR="003919B9" w:rsidRPr="00C51E0A" w:rsidRDefault="003919B9" w:rsidP="001C3C80">
      <w:pPr>
        <w:tabs>
          <w:tab w:val="left" w:pos="8280"/>
        </w:tabs>
        <w:rPr>
          <w:lang w:val="fr-CA"/>
        </w:rPr>
      </w:pPr>
    </w:p>
    <w:p w:rsidR="003919B9" w:rsidRPr="00C51E0A" w:rsidRDefault="003919B9" w:rsidP="001C3C80">
      <w:pPr>
        <w:tabs>
          <w:tab w:val="left" w:pos="8280"/>
        </w:tabs>
        <w:rPr>
          <w:lang w:val="fr-FR"/>
        </w:rPr>
      </w:pPr>
    </w:p>
    <w:p w:rsidR="00EB56BA" w:rsidRPr="00C51E0A" w:rsidRDefault="00F47183" w:rsidP="00EB56BA">
      <w:pPr>
        <w:jc w:val="center"/>
        <w:rPr>
          <w:b/>
          <w:lang w:val="fr-FR"/>
        </w:rPr>
      </w:pPr>
      <w:r w:rsidRPr="00F47183">
        <w:rPr>
          <w:b/>
          <w:lang w:val="fr-FR"/>
        </w:rPr>
        <w:t xml:space="preserve">DOCUMENT </w:t>
      </w:r>
      <w:r w:rsidR="000F1745">
        <w:rPr>
          <w:b/>
          <w:lang w:val="fr-FR"/>
        </w:rPr>
        <w:t>DÉCRIVANT</w:t>
      </w:r>
      <w:r w:rsidRPr="00F47183">
        <w:rPr>
          <w:b/>
          <w:lang w:val="fr-FR"/>
        </w:rPr>
        <w:t xml:space="preserve"> LES MOYENS D</w:t>
      </w:r>
      <w:r w:rsidR="003E6D2D">
        <w:rPr>
          <w:b/>
          <w:lang w:val="fr-FR"/>
        </w:rPr>
        <w:t>’</w:t>
      </w:r>
      <w:r w:rsidRPr="00F47183">
        <w:rPr>
          <w:b/>
          <w:lang w:val="fr-FR"/>
        </w:rPr>
        <w:t>OP</w:t>
      </w:r>
      <w:r w:rsidR="000F1745">
        <w:rPr>
          <w:b/>
          <w:lang w:val="fr-FR"/>
        </w:rPr>
        <w:t>É</w:t>
      </w:r>
      <w:r w:rsidRPr="00F47183">
        <w:rPr>
          <w:b/>
          <w:lang w:val="fr-FR"/>
        </w:rPr>
        <w:t>RATIONNALISER LE PARAGRAPHE 16 DE LA DÉCISION XXVIII/2 ET LE PAR</w:t>
      </w:r>
      <w:r w:rsidR="002F2940">
        <w:rPr>
          <w:b/>
          <w:lang w:val="fr-FR"/>
        </w:rPr>
        <w:t>A</w:t>
      </w:r>
      <w:r w:rsidR="009620AB">
        <w:rPr>
          <w:b/>
          <w:lang w:val="fr-FR"/>
        </w:rPr>
        <w:t>GRAPHE 2 DE LA DÉCISION XXX/5</w:t>
      </w:r>
      <w:r w:rsidRPr="00F47183">
        <w:rPr>
          <w:b/>
          <w:lang w:val="fr-FR"/>
        </w:rPr>
        <w:t xml:space="preserve"> DES PARTIES (DÉCISION 82/83 (c))</w:t>
      </w:r>
    </w:p>
    <w:p w:rsidR="00EB56BA" w:rsidRPr="00C51E0A" w:rsidRDefault="00EB56BA" w:rsidP="00EB56BA">
      <w:pPr>
        <w:rPr>
          <w:lang w:val="fr-FR"/>
        </w:rPr>
      </w:pPr>
    </w:p>
    <w:p w:rsidR="00EB56BA" w:rsidRPr="00835FE5" w:rsidRDefault="00F47183" w:rsidP="00F47183">
      <w:pPr>
        <w:spacing w:after="240"/>
        <w:outlineLvl w:val="0"/>
        <w:rPr>
          <w:b/>
        </w:rPr>
      </w:pPr>
      <w:r w:rsidRPr="00F47183">
        <w:rPr>
          <w:b/>
          <w:lang w:val="fr-FR"/>
        </w:rPr>
        <w:t>Contexte</w:t>
      </w:r>
    </w:p>
    <w:p w:rsidR="00EB56BA" w:rsidRPr="00C51E0A" w:rsidRDefault="00F47183" w:rsidP="00A50760">
      <w:pPr>
        <w:pStyle w:val="Heading1"/>
        <w:rPr>
          <w:lang w:val="fr-FR"/>
        </w:rPr>
      </w:pPr>
      <w:r w:rsidRPr="00A50760">
        <w:rPr>
          <w:lang w:val="fr-FR"/>
        </w:rPr>
        <w:t>Lors de sa 82</w:t>
      </w:r>
      <w:r w:rsidRPr="00A50760">
        <w:rPr>
          <w:vertAlign w:val="superscript"/>
          <w:lang w:val="fr-FR"/>
        </w:rPr>
        <w:t>e</w:t>
      </w:r>
      <w:r w:rsidRPr="00A50760">
        <w:rPr>
          <w:lang w:val="fr-FR"/>
        </w:rPr>
        <w:t xml:space="preserve"> réunion, le Comité exécutif a examiné un document préparé par le Secrétariat</w:t>
      </w:r>
      <w:r w:rsidR="003E6D2D">
        <w:rPr>
          <w:lang w:val="fr-FR"/>
        </w:rPr>
        <w:t xml:space="preserve"> </w:t>
      </w:r>
      <w:r w:rsidR="00034406">
        <w:rPr>
          <w:lang w:val="fr-FR"/>
        </w:rPr>
        <w:t>résum</w:t>
      </w:r>
      <w:r w:rsidR="003E6D2D">
        <w:rPr>
          <w:lang w:val="fr-FR"/>
        </w:rPr>
        <w:t>ant</w:t>
      </w:r>
      <w:r w:rsidR="00034406">
        <w:rPr>
          <w:lang w:val="fr-FR"/>
        </w:rPr>
        <w:t xml:space="preserve"> les délibérations des </w:t>
      </w:r>
      <w:r w:rsidRPr="00A50760">
        <w:rPr>
          <w:lang w:val="fr-FR"/>
        </w:rPr>
        <w:t xml:space="preserve">Parties </w:t>
      </w:r>
      <w:r w:rsidR="00034406">
        <w:rPr>
          <w:lang w:val="fr-FR"/>
        </w:rPr>
        <w:t>dans le cadre</w:t>
      </w:r>
      <w:r w:rsidRPr="00A50760">
        <w:rPr>
          <w:lang w:val="fr-FR"/>
        </w:rPr>
        <w:t xml:space="preserve"> de la 40</w:t>
      </w:r>
      <w:r w:rsidRPr="00A50760">
        <w:rPr>
          <w:vertAlign w:val="superscript"/>
          <w:lang w:val="fr-FR"/>
        </w:rPr>
        <w:t>e</w:t>
      </w:r>
      <w:r w:rsidRPr="00A50760">
        <w:rPr>
          <w:lang w:val="fr-FR"/>
        </w:rPr>
        <w:t xml:space="preserve"> réunion du Groupe de travail à composition non limitée (OEWG) </w:t>
      </w:r>
      <w:r w:rsidR="00711FBB">
        <w:rPr>
          <w:lang w:val="fr-FR"/>
        </w:rPr>
        <w:t>des Parties et</w:t>
      </w:r>
      <w:r w:rsidRPr="00A50760">
        <w:rPr>
          <w:lang w:val="fr-FR"/>
        </w:rPr>
        <w:t xml:space="preserve"> </w:t>
      </w:r>
      <w:r w:rsidR="00A50760" w:rsidRPr="00A50760">
        <w:rPr>
          <w:lang w:val="fr-FR"/>
        </w:rPr>
        <w:t xml:space="preserve">de </w:t>
      </w:r>
      <w:r w:rsidRPr="00A50760">
        <w:rPr>
          <w:lang w:val="fr-FR"/>
        </w:rPr>
        <w:t xml:space="preserve">la </w:t>
      </w:r>
      <w:r w:rsidR="00711FBB">
        <w:rPr>
          <w:lang w:val="fr-FR"/>
        </w:rPr>
        <w:t>Trentième</w:t>
      </w:r>
      <w:r w:rsidRPr="00A50760">
        <w:rPr>
          <w:lang w:val="fr-FR"/>
        </w:rPr>
        <w:t xml:space="preserve"> Réunion des Parties au Protocole de Montréal </w:t>
      </w:r>
      <w:r w:rsidR="00A70212" w:rsidRPr="00A70212">
        <w:rPr>
          <w:lang w:val="fr-FR"/>
        </w:rPr>
        <w:t>concernant</w:t>
      </w:r>
      <w:r w:rsidRPr="00A50760">
        <w:rPr>
          <w:lang w:val="fr-FR"/>
        </w:rPr>
        <w:t xml:space="preserve"> le rapport du Groupe de l</w:t>
      </w:r>
      <w:r w:rsidR="003E6D2D">
        <w:rPr>
          <w:lang w:val="fr-FR"/>
        </w:rPr>
        <w:t>’</w:t>
      </w:r>
      <w:r w:rsidRPr="00A50760">
        <w:rPr>
          <w:lang w:val="fr-FR"/>
        </w:rPr>
        <w:t xml:space="preserve">évaluation technique et économique (TEAP) sur des questions </w:t>
      </w:r>
      <w:r w:rsidR="00A50760" w:rsidRPr="00A50760">
        <w:rPr>
          <w:lang w:val="fr-FR"/>
        </w:rPr>
        <w:t>portant sur l</w:t>
      </w:r>
      <w:r w:rsidR="003E6D2D">
        <w:rPr>
          <w:lang w:val="fr-FR"/>
        </w:rPr>
        <w:t>’</w:t>
      </w:r>
      <w:r w:rsidR="00A50760" w:rsidRPr="00A50760">
        <w:rPr>
          <w:lang w:val="fr-FR"/>
        </w:rPr>
        <w:t>efficacité énergétique</w:t>
      </w:r>
      <w:r w:rsidR="00EB56BA">
        <w:rPr>
          <w:rStyle w:val="FootnoteReference"/>
        </w:rPr>
        <w:footnoteReference w:id="1"/>
      </w:r>
      <w:r w:rsidR="00A70212">
        <w:rPr>
          <w:lang w:val="fr-FR"/>
        </w:rPr>
        <w:t>.</w:t>
      </w:r>
    </w:p>
    <w:p w:rsidR="00EB56BA" w:rsidRPr="00C51E0A" w:rsidRDefault="00A50760" w:rsidP="00A50760">
      <w:pPr>
        <w:pStyle w:val="Heading1"/>
        <w:rPr>
          <w:lang w:val="fr-FR"/>
        </w:rPr>
      </w:pPr>
      <w:r w:rsidRPr="00A50760">
        <w:rPr>
          <w:lang w:val="fr-FR"/>
        </w:rPr>
        <w:t xml:space="preserve">Le document présentait entre autres succinctement les actions </w:t>
      </w:r>
      <w:r w:rsidR="00A70212">
        <w:rPr>
          <w:lang w:val="fr-FR"/>
        </w:rPr>
        <w:t>entre</w:t>
      </w:r>
      <w:r w:rsidRPr="00A50760">
        <w:rPr>
          <w:lang w:val="fr-FR"/>
        </w:rPr>
        <w:t>prises en application de la décision XXIX/10</w:t>
      </w:r>
      <w:r w:rsidRPr="00A50760">
        <w:rPr>
          <w:rStyle w:val="FootnoteReference"/>
          <w:lang w:val="fr-FR"/>
        </w:rPr>
        <w:footnoteReference w:id="2"/>
      </w:r>
      <w:r w:rsidRPr="00A50760">
        <w:rPr>
          <w:lang w:val="fr-FR"/>
        </w:rPr>
        <w:t>, en particulier concernant le rapport du TEAP sur des questions liées à l</w:t>
      </w:r>
      <w:r w:rsidR="003E6D2D">
        <w:rPr>
          <w:lang w:val="fr-FR"/>
        </w:rPr>
        <w:t>’</w:t>
      </w:r>
      <w:r w:rsidRPr="00A50760">
        <w:rPr>
          <w:lang w:val="fr-FR"/>
        </w:rPr>
        <w:t xml:space="preserve">efficacité </w:t>
      </w:r>
      <w:r w:rsidRPr="00A50760">
        <w:rPr>
          <w:lang w:val="fr-FR"/>
        </w:rPr>
        <w:lastRenderedPageBreak/>
        <w:t>énergétique et à l</w:t>
      </w:r>
      <w:r w:rsidR="003E6D2D">
        <w:rPr>
          <w:lang w:val="fr-FR"/>
        </w:rPr>
        <w:t>’</w:t>
      </w:r>
      <w:r w:rsidRPr="00A50760">
        <w:rPr>
          <w:lang w:val="fr-FR"/>
        </w:rPr>
        <w:t xml:space="preserve">atelier sur </w:t>
      </w:r>
      <w:r w:rsidR="00034406" w:rsidRPr="00034406">
        <w:rPr>
          <w:lang w:val="fr-FR"/>
        </w:rPr>
        <w:t>l</w:t>
      </w:r>
      <w:r w:rsidRPr="00034406">
        <w:rPr>
          <w:lang w:val="fr-FR"/>
        </w:rPr>
        <w:t xml:space="preserve">es possibilités </w:t>
      </w:r>
      <w:r w:rsidR="00034406" w:rsidRPr="00034406">
        <w:rPr>
          <w:lang w:val="fr-FR"/>
        </w:rPr>
        <w:t xml:space="preserve">offertes en matière </w:t>
      </w:r>
      <w:r w:rsidRPr="00034406">
        <w:rPr>
          <w:lang w:val="fr-FR"/>
        </w:rPr>
        <w:t>d</w:t>
      </w:r>
      <w:r w:rsidR="003E6D2D">
        <w:rPr>
          <w:lang w:val="fr-FR"/>
        </w:rPr>
        <w:t>’</w:t>
      </w:r>
      <w:r w:rsidRPr="00034406">
        <w:rPr>
          <w:lang w:val="fr-FR"/>
        </w:rPr>
        <w:t>efficacité énergétique</w:t>
      </w:r>
      <w:r w:rsidRPr="00A50760">
        <w:rPr>
          <w:lang w:val="fr-FR"/>
        </w:rPr>
        <w:t xml:space="preserve"> </w:t>
      </w:r>
      <w:r w:rsidR="004208A2">
        <w:rPr>
          <w:lang w:val="fr-FR"/>
        </w:rPr>
        <w:t xml:space="preserve">dans le contexte de la </w:t>
      </w:r>
      <w:r w:rsidRPr="00A50760">
        <w:rPr>
          <w:lang w:val="fr-FR"/>
        </w:rPr>
        <w:t xml:space="preserve"> réduction progressive des HFC</w:t>
      </w:r>
      <w:r w:rsidR="003E6D2D">
        <w:rPr>
          <w:lang w:val="fr-FR"/>
        </w:rPr>
        <w:t>,</w:t>
      </w:r>
      <w:r w:rsidRPr="00A50760">
        <w:rPr>
          <w:lang w:val="fr-FR"/>
        </w:rPr>
        <w:t xml:space="preserve"> </w:t>
      </w:r>
      <w:r w:rsidR="00034406">
        <w:rPr>
          <w:lang w:val="fr-FR"/>
        </w:rPr>
        <w:t>qui s</w:t>
      </w:r>
      <w:r w:rsidR="003E6D2D">
        <w:rPr>
          <w:lang w:val="fr-FR"/>
        </w:rPr>
        <w:t>’</w:t>
      </w:r>
      <w:r w:rsidR="00034406">
        <w:rPr>
          <w:lang w:val="fr-FR"/>
        </w:rPr>
        <w:t>est tenu e</w:t>
      </w:r>
      <w:r w:rsidRPr="00A50760">
        <w:rPr>
          <w:lang w:val="fr-FR"/>
        </w:rPr>
        <w:t>n marge de la 40</w:t>
      </w:r>
      <w:r w:rsidRPr="00A50760">
        <w:rPr>
          <w:vertAlign w:val="superscript"/>
          <w:lang w:val="fr-FR"/>
        </w:rPr>
        <w:t>e</w:t>
      </w:r>
      <w:r w:rsidRPr="00A50760">
        <w:rPr>
          <w:lang w:val="fr-FR"/>
        </w:rPr>
        <w:t xml:space="preserve"> réunion de l</w:t>
      </w:r>
      <w:r w:rsidR="003E6D2D">
        <w:rPr>
          <w:lang w:val="fr-FR"/>
        </w:rPr>
        <w:t>’</w:t>
      </w:r>
      <w:r w:rsidRPr="00A50760">
        <w:rPr>
          <w:lang w:val="fr-FR"/>
        </w:rPr>
        <w:t>OEWG.</w:t>
      </w:r>
      <w:r w:rsidR="00EB56BA" w:rsidRPr="00C51E0A">
        <w:rPr>
          <w:lang w:val="fr-FR"/>
        </w:rPr>
        <w:t xml:space="preserve"> </w:t>
      </w:r>
    </w:p>
    <w:p w:rsidR="00EB56BA" w:rsidRPr="00C51E0A" w:rsidRDefault="00A50760" w:rsidP="005964AB">
      <w:pPr>
        <w:pStyle w:val="Heading1"/>
        <w:rPr>
          <w:lang w:val="fr-FR"/>
        </w:rPr>
      </w:pPr>
      <w:r w:rsidRPr="005964AB">
        <w:rPr>
          <w:lang w:val="fr-FR"/>
        </w:rPr>
        <w:t>À l</w:t>
      </w:r>
      <w:r w:rsidR="003E6D2D">
        <w:rPr>
          <w:lang w:val="fr-FR"/>
        </w:rPr>
        <w:t>’</w:t>
      </w:r>
      <w:r w:rsidRPr="005964AB">
        <w:rPr>
          <w:lang w:val="fr-FR"/>
        </w:rPr>
        <w:t xml:space="preserve">issue des débats, le Comité exécutif a entre autres demandé au Secrétariat de préparer un document </w:t>
      </w:r>
      <w:r w:rsidR="00034406">
        <w:rPr>
          <w:lang w:val="fr-FR"/>
        </w:rPr>
        <w:t>qu</w:t>
      </w:r>
      <w:r w:rsidR="003E6D2D">
        <w:rPr>
          <w:lang w:val="fr-FR"/>
        </w:rPr>
        <w:t>’</w:t>
      </w:r>
      <w:r w:rsidR="00034406">
        <w:rPr>
          <w:lang w:val="fr-FR"/>
        </w:rPr>
        <w:t xml:space="preserve">il examinerait </w:t>
      </w:r>
      <w:r w:rsidRPr="005964AB">
        <w:rPr>
          <w:lang w:val="fr-FR"/>
        </w:rPr>
        <w:t>lors de sa 83</w:t>
      </w:r>
      <w:r w:rsidRPr="00034406">
        <w:rPr>
          <w:vertAlign w:val="superscript"/>
          <w:lang w:val="fr-FR"/>
        </w:rPr>
        <w:t>e</w:t>
      </w:r>
      <w:r w:rsidR="00034406">
        <w:rPr>
          <w:lang w:val="fr-FR"/>
        </w:rPr>
        <w:t xml:space="preserve"> </w:t>
      </w:r>
      <w:r w:rsidRPr="005964AB">
        <w:rPr>
          <w:lang w:val="fr-FR"/>
        </w:rPr>
        <w:t>réunion, décrivant les</w:t>
      </w:r>
      <w:r w:rsidR="003E6D2D">
        <w:rPr>
          <w:lang w:val="fr-FR"/>
        </w:rPr>
        <w:t xml:space="preserve"> </w:t>
      </w:r>
      <w:r w:rsidRPr="005964AB">
        <w:rPr>
          <w:lang w:val="fr-FR"/>
        </w:rPr>
        <w:t xml:space="preserve"> moyens </w:t>
      </w:r>
      <w:r w:rsidR="003E6D2D">
        <w:rPr>
          <w:lang w:val="fr-FR"/>
        </w:rPr>
        <w:t>d</w:t>
      </w:r>
      <w:r w:rsidR="004208A2">
        <w:rPr>
          <w:lang w:val="fr-FR"/>
        </w:rPr>
        <w:t>’opérationnaliser</w:t>
      </w:r>
      <w:r w:rsidRPr="005964AB">
        <w:rPr>
          <w:lang w:val="fr-FR"/>
        </w:rPr>
        <w:t xml:space="preserve"> le paragraphe 16 de la décision XXVIII/2 et le paragraphe 2 de la décision XXX/5,</w:t>
      </w:r>
      <w:r w:rsidR="00777176">
        <w:rPr>
          <w:lang w:val="fr-FR"/>
        </w:rPr>
        <w:t xml:space="preserve"> en</w:t>
      </w:r>
      <w:r w:rsidRPr="005964AB">
        <w:rPr>
          <w:lang w:val="fr-FR"/>
        </w:rPr>
        <w:t xml:space="preserve"> </w:t>
      </w:r>
      <w:r w:rsidR="00034406" w:rsidRPr="00593C40">
        <w:rPr>
          <w:lang w:val="fr-FR"/>
        </w:rPr>
        <w:t>tenant compte des critères, des indicateurs d</w:t>
      </w:r>
      <w:r w:rsidR="003E6D2D">
        <w:rPr>
          <w:lang w:val="fr-FR"/>
        </w:rPr>
        <w:t>’</w:t>
      </w:r>
      <w:r w:rsidR="00034406" w:rsidRPr="00593C40">
        <w:rPr>
          <w:lang w:val="fr-FR"/>
        </w:rPr>
        <w:t>efficacité et des mécanismes de financement connexes des plans du secteur de l</w:t>
      </w:r>
      <w:r w:rsidR="003E6D2D">
        <w:rPr>
          <w:lang w:val="fr-FR"/>
        </w:rPr>
        <w:t>’</w:t>
      </w:r>
      <w:r w:rsidR="00034406" w:rsidRPr="00593C40">
        <w:rPr>
          <w:lang w:val="fr-FR"/>
        </w:rPr>
        <w:t>entretien dans les plans de gestion de l</w:t>
      </w:r>
      <w:r w:rsidR="003E6D2D">
        <w:rPr>
          <w:lang w:val="fr-FR"/>
        </w:rPr>
        <w:t>’</w:t>
      </w:r>
      <w:r w:rsidR="00034406" w:rsidRPr="00593C40">
        <w:rPr>
          <w:lang w:val="fr-FR"/>
        </w:rPr>
        <w:t xml:space="preserve">élimination des HCFC nouveaux ou </w:t>
      </w:r>
      <w:r w:rsidR="00777176">
        <w:rPr>
          <w:lang w:val="fr-FR"/>
        </w:rPr>
        <w:t>les PGEH</w:t>
      </w:r>
      <w:r w:rsidR="004208A2">
        <w:rPr>
          <w:lang w:val="fr-FR"/>
        </w:rPr>
        <w:t xml:space="preserve"> </w:t>
      </w:r>
      <w:r w:rsidR="00034406" w:rsidRPr="00593C40">
        <w:rPr>
          <w:lang w:val="fr-FR"/>
        </w:rPr>
        <w:t>existants pour les pays à faible volume de consommation</w:t>
      </w:r>
      <w:r w:rsidR="00034406" w:rsidRPr="005964AB">
        <w:rPr>
          <w:lang w:val="fr-FR"/>
        </w:rPr>
        <w:t xml:space="preserve"> </w:t>
      </w:r>
      <w:r w:rsidRPr="005964AB">
        <w:rPr>
          <w:lang w:val="fr-FR"/>
        </w:rPr>
        <w:t>(décision 82/83 (c)).</w:t>
      </w:r>
    </w:p>
    <w:p w:rsidR="00EB56BA" w:rsidRPr="00C51E0A" w:rsidRDefault="005964AB" w:rsidP="00D57928">
      <w:pPr>
        <w:keepNext/>
        <w:rPr>
          <w:u w:val="single"/>
          <w:lang w:val="fr-FR"/>
        </w:rPr>
      </w:pPr>
      <w:r w:rsidRPr="005964AB">
        <w:rPr>
          <w:u w:val="single"/>
          <w:lang w:val="fr-FR"/>
        </w:rPr>
        <w:t>Analyse de la décision 82/83 (c)</w:t>
      </w:r>
      <w:r w:rsidR="00EB56BA" w:rsidRPr="00C51E0A">
        <w:rPr>
          <w:u w:val="single"/>
          <w:lang w:val="fr-FR"/>
        </w:rPr>
        <w:t xml:space="preserve"> </w:t>
      </w:r>
    </w:p>
    <w:p w:rsidR="00EB56BA" w:rsidRPr="00C51E0A" w:rsidRDefault="00EB56BA" w:rsidP="00D57928">
      <w:pPr>
        <w:keepNext/>
        <w:rPr>
          <w:lang w:val="fr-FR"/>
        </w:rPr>
      </w:pPr>
    </w:p>
    <w:p w:rsidR="00EB56BA" w:rsidRPr="00C51E0A" w:rsidRDefault="005964AB" w:rsidP="005964AB">
      <w:pPr>
        <w:pStyle w:val="Heading1"/>
        <w:rPr>
          <w:lang w:val="fr-FR"/>
        </w:rPr>
      </w:pPr>
      <w:r w:rsidRPr="005964AB">
        <w:rPr>
          <w:lang w:val="fr-FR"/>
        </w:rPr>
        <w:t>La décision 82/83 (c) fait directement référence au paragraphe 16 de la décision XXVIII/2</w:t>
      </w:r>
      <w:r w:rsidRPr="005964AB">
        <w:rPr>
          <w:rStyle w:val="FootnoteReference"/>
          <w:lang w:val="fr-FR"/>
        </w:rPr>
        <w:footnoteReference w:id="3"/>
      </w:r>
      <w:r w:rsidRPr="005964AB">
        <w:rPr>
          <w:lang w:val="fr-FR"/>
        </w:rPr>
        <w:t xml:space="preserve"> et </w:t>
      </w:r>
      <w:r w:rsidR="00034406">
        <w:rPr>
          <w:lang w:val="fr-FR"/>
        </w:rPr>
        <w:t>au</w:t>
      </w:r>
      <w:r w:rsidRPr="005964AB">
        <w:rPr>
          <w:lang w:val="fr-FR"/>
        </w:rPr>
        <w:t xml:space="preserve"> paragraphe 2 de la décision XXX/5</w:t>
      </w:r>
      <w:r w:rsidRPr="005964AB">
        <w:rPr>
          <w:rStyle w:val="FootnoteReference"/>
          <w:lang w:val="fr-FR"/>
        </w:rPr>
        <w:footnoteReference w:id="4"/>
      </w:r>
      <w:r w:rsidRPr="005964AB">
        <w:rPr>
          <w:lang w:val="fr-FR"/>
        </w:rPr>
        <w:t>, et incorpore le paragraphe 1 de la décision XXX/5</w:t>
      </w:r>
      <w:r w:rsidRPr="005964AB">
        <w:rPr>
          <w:rStyle w:val="FootnoteReference"/>
          <w:lang w:val="fr-FR"/>
        </w:rPr>
        <w:footnoteReference w:id="5"/>
      </w:r>
      <w:r w:rsidRPr="005964AB">
        <w:rPr>
          <w:lang w:val="fr-FR"/>
        </w:rPr>
        <w:t xml:space="preserve"> (soutien de la politique d</w:t>
      </w:r>
      <w:r w:rsidR="003E6D2D">
        <w:rPr>
          <w:lang w:val="fr-FR"/>
        </w:rPr>
        <w:t>’</w:t>
      </w:r>
      <w:r w:rsidRPr="005964AB">
        <w:rPr>
          <w:lang w:val="fr-FR"/>
        </w:rPr>
        <w:t xml:space="preserve">efficacité énergétique et </w:t>
      </w:r>
      <w:r w:rsidR="003E6D2D">
        <w:rPr>
          <w:lang w:val="fr-FR"/>
        </w:rPr>
        <w:t xml:space="preserve">de </w:t>
      </w:r>
      <w:r w:rsidRPr="005964AB">
        <w:rPr>
          <w:lang w:val="fr-FR"/>
        </w:rPr>
        <w:t>la formation lorsqu</w:t>
      </w:r>
      <w:r w:rsidR="003E6D2D">
        <w:rPr>
          <w:lang w:val="fr-FR"/>
        </w:rPr>
        <w:t>’</w:t>
      </w:r>
      <w:r w:rsidRPr="005964AB">
        <w:rPr>
          <w:lang w:val="fr-FR"/>
        </w:rPr>
        <w:t>elles se rapportent à la réduction progressive des substances réglementées), ainsi que le paragraphe (c)(xii) de la décision 74/50</w:t>
      </w:r>
      <w:r w:rsidRPr="005964AB">
        <w:rPr>
          <w:rStyle w:val="FootnoteReference"/>
          <w:lang w:val="fr-FR"/>
        </w:rPr>
        <w:footnoteReference w:id="6"/>
      </w:r>
      <w:r w:rsidRPr="005964AB">
        <w:rPr>
          <w:lang w:val="fr-FR"/>
        </w:rPr>
        <w:t xml:space="preserve"> (mécanismes de financement des plans du secteur de l</w:t>
      </w:r>
      <w:r w:rsidR="003E6D2D">
        <w:rPr>
          <w:lang w:val="fr-FR"/>
        </w:rPr>
        <w:t>’</w:t>
      </w:r>
      <w:r w:rsidRPr="005964AB">
        <w:rPr>
          <w:lang w:val="fr-FR"/>
        </w:rPr>
        <w:t>entretien).</w:t>
      </w:r>
    </w:p>
    <w:p w:rsidR="00EB56BA" w:rsidRPr="00C51E0A" w:rsidRDefault="004208A2" w:rsidP="005964AB">
      <w:pPr>
        <w:pStyle w:val="Heading1"/>
        <w:rPr>
          <w:lang w:val="fr-FR"/>
        </w:rPr>
      </w:pPr>
      <w:r>
        <w:rPr>
          <w:lang w:val="fr-FR"/>
        </w:rPr>
        <w:t>Le regroupement des textes des</w:t>
      </w:r>
      <w:r w:rsidR="005964AB" w:rsidRPr="005964AB">
        <w:rPr>
          <w:lang w:val="fr-FR"/>
        </w:rPr>
        <w:t xml:space="preserve"> décisions </w:t>
      </w:r>
      <w:r>
        <w:rPr>
          <w:lang w:val="fr-FR"/>
        </w:rPr>
        <w:t>concern</w:t>
      </w:r>
      <w:r w:rsidRPr="005964AB">
        <w:rPr>
          <w:lang w:val="fr-FR"/>
        </w:rPr>
        <w:t>ées</w:t>
      </w:r>
      <w:r>
        <w:rPr>
          <w:lang w:val="fr-FR"/>
        </w:rPr>
        <w:t xml:space="preserve"> conduit</w:t>
      </w:r>
      <w:r w:rsidR="003E6D2D">
        <w:rPr>
          <w:lang w:val="fr-FR"/>
        </w:rPr>
        <w:t xml:space="preserve"> </w:t>
      </w:r>
      <w:r w:rsidR="005964AB" w:rsidRPr="005964AB">
        <w:rPr>
          <w:lang w:val="fr-FR"/>
        </w:rPr>
        <w:t>à la lecture suivante de la décision 82/83 (c) :</w:t>
      </w:r>
      <w:r w:rsidR="00EB56BA" w:rsidRPr="00C51E0A">
        <w:rPr>
          <w:lang w:val="fr-FR"/>
        </w:rPr>
        <w:t xml:space="preserve"> </w:t>
      </w:r>
    </w:p>
    <w:p w:rsidR="00EB56BA" w:rsidRPr="00C51E0A" w:rsidRDefault="00AB2ED3" w:rsidP="00711394">
      <w:pPr>
        <w:pStyle w:val="Heading1"/>
        <w:numPr>
          <w:ilvl w:val="0"/>
          <w:numId w:val="0"/>
        </w:numPr>
        <w:ind w:left="720"/>
        <w:rPr>
          <w:lang w:val="fr-FR"/>
        </w:rPr>
      </w:pPr>
      <w:r>
        <w:rPr>
          <w:lang w:val="fr-FR"/>
        </w:rPr>
        <w:t>Demander au</w:t>
      </w:r>
      <w:r w:rsidR="005964AB" w:rsidRPr="00711394">
        <w:rPr>
          <w:lang w:val="fr-FR"/>
        </w:rPr>
        <w:t xml:space="preserve"> Secrétariat de préparer un document aux fins d</w:t>
      </w:r>
      <w:r w:rsidR="003E6D2D">
        <w:rPr>
          <w:lang w:val="fr-FR"/>
        </w:rPr>
        <w:t>’</w:t>
      </w:r>
      <w:r w:rsidR="005964AB" w:rsidRPr="00711394">
        <w:rPr>
          <w:lang w:val="fr-FR"/>
        </w:rPr>
        <w:t>examen par le Comité exécutif lors de sa 83</w:t>
      </w:r>
      <w:r w:rsidR="005964AB" w:rsidRPr="00711394">
        <w:rPr>
          <w:vertAlign w:val="superscript"/>
          <w:lang w:val="fr-FR"/>
        </w:rPr>
        <w:t>e</w:t>
      </w:r>
      <w:r w:rsidR="005964AB" w:rsidRPr="00711394">
        <w:rPr>
          <w:lang w:val="fr-FR"/>
        </w:rPr>
        <w:t xml:space="preserve"> réunion décrivant les moyens de </w:t>
      </w:r>
      <w:r w:rsidR="00234F10">
        <w:rPr>
          <w:lang w:val="fr-FR"/>
        </w:rPr>
        <w:t>donner un contenu concret à l</w:t>
      </w:r>
      <w:r w:rsidR="003E6D2D">
        <w:rPr>
          <w:lang w:val="fr-FR"/>
        </w:rPr>
        <w:t>’</w:t>
      </w:r>
      <w:r w:rsidR="005964AB" w:rsidRPr="00711394">
        <w:rPr>
          <w:lang w:val="fr-FR"/>
        </w:rPr>
        <w:t>augmentation du financement</w:t>
      </w:r>
      <w:r w:rsidR="003E6D2D">
        <w:rPr>
          <w:lang w:val="fr-FR"/>
        </w:rPr>
        <w:t xml:space="preserve"> </w:t>
      </w:r>
      <w:r w:rsidR="00234F10">
        <w:rPr>
          <w:lang w:val="fr-FR"/>
        </w:rPr>
        <w:t>concernant le</w:t>
      </w:r>
      <w:r w:rsidR="005639C6" w:rsidRPr="00711394">
        <w:rPr>
          <w:lang w:val="fr-FR"/>
        </w:rPr>
        <w:t xml:space="preserve"> </w:t>
      </w:r>
      <w:r w:rsidR="005964AB" w:rsidRPr="00711394">
        <w:rPr>
          <w:lang w:val="fr-FR"/>
        </w:rPr>
        <w:t>secteur d</w:t>
      </w:r>
      <w:r w:rsidR="005639C6" w:rsidRPr="00711394">
        <w:rPr>
          <w:lang w:val="fr-FR"/>
        </w:rPr>
        <w:t>e l</w:t>
      </w:r>
      <w:r w:rsidR="003E6D2D">
        <w:rPr>
          <w:lang w:val="fr-FR"/>
        </w:rPr>
        <w:t>’</w:t>
      </w:r>
      <w:r w:rsidR="005964AB" w:rsidRPr="00711394">
        <w:rPr>
          <w:lang w:val="fr-FR"/>
        </w:rPr>
        <w:t>entretien</w:t>
      </w:r>
      <w:r w:rsidR="005639C6" w:rsidRPr="00711394">
        <w:rPr>
          <w:lang w:val="fr-FR"/>
        </w:rPr>
        <w:t xml:space="preserve">, </w:t>
      </w:r>
      <w:r w:rsidR="005964AB" w:rsidRPr="00711394">
        <w:rPr>
          <w:lang w:val="fr-FR"/>
        </w:rPr>
        <w:t>disponible</w:t>
      </w:r>
      <w:r w:rsidR="005132ED" w:rsidRPr="00711394">
        <w:rPr>
          <w:lang w:val="fr-FR"/>
        </w:rPr>
        <w:t xml:space="preserve"> en vertu de la décision</w:t>
      </w:r>
      <w:r w:rsidR="005964AB" w:rsidRPr="00711394">
        <w:rPr>
          <w:lang w:val="fr-FR"/>
        </w:rPr>
        <w:t xml:space="preserve"> 74/50 pour </w:t>
      </w:r>
      <w:r w:rsidR="00234F10">
        <w:rPr>
          <w:lang w:val="fr-FR"/>
        </w:rPr>
        <w:t xml:space="preserve">les </w:t>
      </w:r>
      <w:r w:rsidR="005132ED" w:rsidRPr="00711394">
        <w:rPr>
          <w:lang w:val="fr-FR"/>
        </w:rPr>
        <w:t>pays à faible volume de consommation de SAO, le cas échéant</w:t>
      </w:r>
      <w:r w:rsidR="005964AB" w:rsidRPr="00711394">
        <w:rPr>
          <w:lang w:val="fr-FR"/>
        </w:rPr>
        <w:t>, pour (a) l</w:t>
      </w:r>
      <w:r w:rsidR="003E6D2D">
        <w:rPr>
          <w:lang w:val="fr-FR"/>
        </w:rPr>
        <w:t>’</w:t>
      </w:r>
      <w:r w:rsidR="005964AB" w:rsidRPr="00711394">
        <w:rPr>
          <w:lang w:val="fr-FR"/>
        </w:rPr>
        <w:t xml:space="preserve">introduction </w:t>
      </w:r>
      <w:r w:rsidR="005132ED" w:rsidRPr="00711394">
        <w:rPr>
          <w:lang w:val="fr-FR"/>
        </w:rPr>
        <w:t xml:space="preserve">de solutions de remplacement des HCFC ou des HFC à </w:t>
      </w:r>
      <w:r w:rsidR="005132ED" w:rsidRPr="00711394">
        <w:rPr>
          <w:rFonts w:eastAsiaTheme="minorHAnsi"/>
          <w:lang w:val="fr-FR"/>
        </w:rPr>
        <w:t xml:space="preserve">faible potentiel de réchauffement de la planète </w:t>
      </w:r>
      <w:r>
        <w:rPr>
          <w:rFonts w:eastAsiaTheme="minorHAnsi"/>
          <w:lang w:val="fr-FR"/>
        </w:rPr>
        <w:t xml:space="preserve">(PRP) </w:t>
      </w:r>
      <w:r w:rsidR="00467830" w:rsidRPr="00711394">
        <w:rPr>
          <w:rFonts w:eastAsiaTheme="minorHAnsi"/>
          <w:lang w:val="fr-FR"/>
        </w:rPr>
        <w:t xml:space="preserve">ou sans potentiel de réchauffement </w:t>
      </w:r>
      <w:r w:rsidR="00234F10">
        <w:rPr>
          <w:rFonts w:eastAsiaTheme="minorHAnsi"/>
          <w:lang w:val="fr-FR"/>
        </w:rPr>
        <w:t>et le maintien de</w:t>
      </w:r>
      <w:r w:rsidR="00467830" w:rsidRPr="00711394">
        <w:rPr>
          <w:rFonts w:eastAsiaTheme="minorHAnsi"/>
          <w:lang w:val="fr-FR"/>
        </w:rPr>
        <w:t xml:space="preserve"> l</w:t>
      </w:r>
      <w:r w:rsidR="003E6D2D">
        <w:rPr>
          <w:rFonts w:eastAsiaTheme="minorHAnsi"/>
          <w:lang w:val="fr-FR"/>
        </w:rPr>
        <w:t>’</w:t>
      </w:r>
      <w:r w:rsidR="00467830" w:rsidRPr="00711394">
        <w:rPr>
          <w:rFonts w:eastAsiaTheme="minorHAnsi"/>
          <w:lang w:val="fr-FR"/>
        </w:rPr>
        <w:t>efficacité énergétique dans le secteur de</w:t>
      </w:r>
      <w:r w:rsidR="003E6D2D">
        <w:rPr>
          <w:rFonts w:eastAsiaTheme="minorHAnsi"/>
          <w:lang w:val="fr-FR"/>
        </w:rPr>
        <w:t xml:space="preserve"> </w:t>
      </w:r>
      <w:r w:rsidR="005964AB" w:rsidRPr="00711394">
        <w:rPr>
          <w:lang w:val="fr-FR"/>
        </w:rPr>
        <w:t>l</w:t>
      </w:r>
      <w:r w:rsidR="003E6D2D">
        <w:rPr>
          <w:lang w:val="fr-FR"/>
        </w:rPr>
        <w:t>’</w:t>
      </w:r>
      <w:r w:rsidR="005964AB" w:rsidRPr="00711394">
        <w:rPr>
          <w:lang w:val="fr-FR"/>
        </w:rPr>
        <w:t>entretien/</w:t>
      </w:r>
      <w:r w:rsidR="00467830" w:rsidRPr="00711394">
        <w:rPr>
          <w:lang w:val="fr-FR"/>
        </w:rPr>
        <w:t>u</w:t>
      </w:r>
      <w:r w:rsidR="005964AB" w:rsidRPr="00711394">
        <w:rPr>
          <w:lang w:val="fr-FR"/>
        </w:rPr>
        <w:t>tilisateur</w:t>
      </w:r>
      <w:r w:rsidR="00467830" w:rsidRPr="00711394">
        <w:rPr>
          <w:lang w:val="fr-FR"/>
        </w:rPr>
        <w:t>s finaux</w:t>
      </w:r>
      <w:r w:rsidR="00467830" w:rsidRPr="00711394">
        <w:rPr>
          <w:rStyle w:val="FootnoteReference"/>
          <w:rFonts w:eastAsiaTheme="minorHAnsi"/>
          <w:lang w:val="fr-FR"/>
        </w:rPr>
        <w:footnoteReference w:id="7"/>
      </w:r>
      <w:r w:rsidR="005964AB" w:rsidRPr="00711394">
        <w:rPr>
          <w:lang w:val="fr-FR"/>
        </w:rPr>
        <w:t xml:space="preserve"> ; (b) </w:t>
      </w:r>
      <w:r w:rsidR="00711394" w:rsidRPr="00711394">
        <w:rPr>
          <w:lang w:val="fr-FR"/>
        </w:rPr>
        <w:t>l</w:t>
      </w:r>
      <w:r w:rsidR="003E6D2D">
        <w:rPr>
          <w:lang w:val="fr-FR"/>
        </w:rPr>
        <w:t>’</w:t>
      </w:r>
      <w:r w:rsidR="00711394" w:rsidRPr="00711394">
        <w:rPr>
          <w:lang w:val="fr-FR"/>
        </w:rPr>
        <w:t xml:space="preserve">élaboration et </w:t>
      </w:r>
      <w:r w:rsidR="00234F10">
        <w:rPr>
          <w:lang w:val="fr-FR"/>
        </w:rPr>
        <w:t>l</w:t>
      </w:r>
      <w:r w:rsidR="003E6D2D">
        <w:rPr>
          <w:lang w:val="fr-FR"/>
        </w:rPr>
        <w:t>’</w:t>
      </w:r>
      <w:r w:rsidR="00711394" w:rsidRPr="00711394">
        <w:rPr>
          <w:lang w:val="fr-FR"/>
        </w:rPr>
        <w:t>application d</w:t>
      </w:r>
      <w:r w:rsidR="005964AB" w:rsidRPr="00711394">
        <w:rPr>
          <w:lang w:val="fr-FR"/>
        </w:rPr>
        <w:t xml:space="preserve">es politiques et des </w:t>
      </w:r>
      <w:r w:rsidR="00711394" w:rsidRPr="00711394">
        <w:rPr>
          <w:rFonts w:eastAsia="Cambria"/>
          <w:lang w:val="fr-FR"/>
        </w:rPr>
        <w:t xml:space="preserve">réglementations visant à éviter que des équipements </w:t>
      </w:r>
      <w:r w:rsidR="00234F10">
        <w:rPr>
          <w:rFonts w:eastAsia="Cambria"/>
          <w:lang w:val="fr-FR"/>
        </w:rPr>
        <w:t xml:space="preserve">de </w:t>
      </w:r>
      <w:r w:rsidR="00234F10" w:rsidRPr="00F93FEB">
        <w:rPr>
          <w:lang w:val="fr-FR"/>
        </w:rPr>
        <w:t>réfrigération, de climatisation et de pompes à chaleur</w:t>
      </w:r>
      <w:r w:rsidR="003E6D2D">
        <w:rPr>
          <w:lang w:val="fr-FR"/>
        </w:rPr>
        <w:t xml:space="preserve"> </w:t>
      </w:r>
      <w:r w:rsidR="00234F10">
        <w:rPr>
          <w:lang w:val="fr-FR"/>
        </w:rPr>
        <w:t>(</w:t>
      </w:r>
      <w:r w:rsidR="00711394" w:rsidRPr="00711394">
        <w:rPr>
          <w:rFonts w:eastAsia="Cambria"/>
          <w:lang w:val="fr-FR"/>
        </w:rPr>
        <w:t>RACHP</w:t>
      </w:r>
      <w:r w:rsidR="00234F10">
        <w:rPr>
          <w:rFonts w:eastAsia="Cambria"/>
          <w:lang w:val="fr-FR"/>
        </w:rPr>
        <w:t>)</w:t>
      </w:r>
      <w:r w:rsidR="00711394" w:rsidRPr="00711394">
        <w:rPr>
          <w:rFonts w:eastAsia="Cambria"/>
          <w:lang w:val="fr-FR"/>
        </w:rPr>
        <w:t xml:space="preserve"> </w:t>
      </w:r>
      <w:r w:rsidR="00234F10">
        <w:rPr>
          <w:rFonts w:eastAsia="Cambria"/>
          <w:lang w:val="fr-FR"/>
        </w:rPr>
        <w:t xml:space="preserve">à faible rendement </w:t>
      </w:r>
      <w:r w:rsidR="00711394" w:rsidRPr="00711394">
        <w:rPr>
          <w:rFonts w:eastAsia="Cambria"/>
          <w:lang w:val="fr-FR"/>
        </w:rPr>
        <w:t xml:space="preserve">énergétique </w:t>
      </w:r>
      <w:r w:rsidR="009D19DA">
        <w:rPr>
          <w:rFonts w:eastAsia="Cambria"/>
          <w:lang w:val="fr-FR"/>
        </w:rPr>
        <w:t>en</w:t>
      </w:r>
      <w:r w:rsidR="00711394" w:rsidRPr="00711394">
        <w:rPr>
          <w:rFonts w:eastAsia="Cambria"/>
          <w:lang w:val="fr-FR"/>
        </w:rPr>
        <w:t xml:space="preserve">trent </w:t>
      </w:r>
      <w:r w:rsidR="009D19DA">
        <w:rPr>
          <w:rFonts w:eastAsia="Cambria"/>
          <w:lang w:val="fr-FR"/>
        </w:rPr>
        <w:t xml:space="preserve">sur </w:t>
      </w:r>
      <w:r w:rsidR="00711394" w:rsidRPr="00711394">
        <w:rPr>
          <w:rFonts w:eastAsia="Cambria"/>
          <w:lang w:val="fr-FR"/>
        </w:rPr>
        <w:t xml:space="preserve">le </w:t>
      </w:r>
      <w:r w:rsidR="005964AB" w:rsidRPr="00711394">
        <w:rPr>
          <w:lang w:val="fr-FR"/>
        </w:rPr>
        <w:t>marché</w:t>
      </w:r>
      <w:r w:rsidR="00234F10">
        <w:rPr>
          <w:lang w:val="fr-FR"/>
        </w:rPr>
        <w:t>,</w:t>
      </w:r>
      <w:r w:rsidR="005964AB" w:rsidRPr="00711394">
        <w:rPr>
          <w:lang w:val="fr-FR"/>
        </w:rPr>
        <w:t xml:space="preserve"> </w:t>
      </w:r>
      <w:r w:rsidR="00711394" w:rsidRPr="00711394">
        <w:rPr>
          <w:lang w:val="fr-FR"/>
        </w:rPr>
        <w:t>et la promotion de</w:t>
      </w:r>
      <w:r w:rsidR="005964AB" w:rsidRPr="00711394">
        <w:rPr>
          <w:lang w:val="fr-FR"/>
        </w:rPr>
        <w:t xml:space="preserve"> la </w:t>
      </w:r>
      <w:r w:rsidR="00234F10">
        <w:rPr>
          <w:lang w:val="fr-FR"/>
        </w:rPr>
        <w:t>couverture</w:t>
      </w:r>
      <w:r w:rsidR="00711394" w:rsidRPr="00711394">
        <w:rPr>
          <w:lang w:val="fr-FR"/>
        </w:rPr>
        <w:t xml:space="preserve"> du marché </w:t>
      </w:r>
      <w:r w:rsidR="00234F10">
        <w:rPr>
          <w:lang w:val="fr-FR"/>
        </w:rPr>
        <w:t xml:space="preserve">par des équipements </w:t>
      </w:r>
      <w:r>
        <w:rPr>
          <w:lang w:val="fr-FR"/>
        </w:rPr>
        <w:t>à haut rendement én</w:t>
      </w:r>
      <w:r w:rsidR="00711394" w:rsidRPr="00711394">
        <w:rPr>
          <w:lang w:val="fr-FR"/>
        </w:rPr>
        <w:t>ergétique</w:t>
      </w:r>
      <w:r w:rsidR="005964AB" w:rsidRPr="00711394">
        <w:rPr>
          <w:lang w:val="fr-FR"/>
        </w:rPr>
        <w:t>, soutenue</w:t>
      </w:r>
      <w:r w:rsidR="00711394" w:rsidRPr="00711394">
        <w:rPr>
          <w:lang w:val="fr-FR"/>
        </w:rPr>
        <w:t>s</w:t>
      </w:r>
      <w:r w:rsidR="005964AB" w:rsidRPr="00711394">
        <w:rPr>
          <w:lang w:val="fr-FR"/>
        </w:rPr>
        <w:t xml:space="preserve"> par </w:t>
      </w:r>
      <w:r w:rsidR="00711394" w:rsidRPr="00711394">
        <w:rPr>
          <w:lang w:val="fr-FR"/>
        </w:rPr>
        <w:t>des</w:t>
      </w:r>
      <w:r w:rsidR="005964AB" w:rsidRPr="00711394">
        <w:rPr>
          <w:lang w:val="fr-FR"/>
        </w:rPr>
        <w:t xml:space="preserve"> </w:t>
      </w:r>
      <w:r w:rsidR="005964AB" w:rsidRPr="00711394">
        <w:rPr>
          <w:lang w:val="fr-FR"/>
        </w:rPr>
        <w:lastRenderedPageBreak/>
        <w:t>formation</w:t>
      </w:r>
      <w:r w:rsidR="00711394" w:rsidRPr="00711394">
        <w:rPr>
          <w:lang w:val="fr-FR"/>
        </w:rPr>
        <w:t xml:space="preserve">s axées sur la </w:t>
      </w:r>
      <w:r w:rsidR="005964AB" w:rsidRPr="00711394">
        <w:rPr>
          <w:lang w:val="fr-FR"/>
        </w:rPr>
        <w:t>certification, la s</w:t>
      </w:r>
      <w:r w:rsidR="00711394" w:rsidRPr="00711394">
        <w:rPr>
          <w:lang w:val="fr-FR"/>
        </w:rPr>
        <w:t xml:space="preserve">écurité </w:t>
      </w:r>
      <w:r w:rsidR="005964AB" w:rsidRPr="00711394">
        <w:rPr>
          <w:lang w:val="fr-FR"/>
        </w:rPr>
        <w:t xml:space="preserve">et les normes, </w:t>
      </w:r>
      <w:r w:rsidR="00234F10">
        <w:rPr>
          <w:lang w:val="fr-FR"/>
        </w:rPr>
        <w:t>l</w:t>
      </w:r>
      <w:r w:rsidR="00711394" w:rsidRPr="00711394">
        <w:rPr>
          <w:lang w:val="fr-FR"/>
        </w:rPr>
        <w:t xml:space="preserve">a </w:t>
      </w:r>
      <w:r w:rsidR="00711394" w:rsidRPr="00711394">
        <w:rPr>
          <w:rFonts w:eastAsia="Cambria"/>
          <w:lang w:val="fr-FR"/>
        </w:rPr>
        <w:t xml:space="preserve">sensibilisation </w:t>
      </w:r>
      <w:r w:rsidR="00711394" w:rsidRPr="00711394">
        <w:rPr>
          <w:lang w:val="fr-FR"/>
        </w:rPr>
        <w:t>et le renforcement des capacités</w:t>
      </w:r>
      <w:r w:rsidR="00711394" w:rsidRPr="00711394">
        <w:rPr>
          <w:rStyle w:val="FootnoteReference"/>
          <w:rFonts w:eastAsia="Cambria"/>
          <w:lang w:val="fr-FR"/>
        </w:rPr>
        <w:footnoteReference w:id="8"/>
      </w:r>
      <w:r w:rsidR="005964AB" w:rsidRPr="00711394">
        <w:rPr>
          <w:lang w:val="fr-FR"/>
        </w:rPr>
        <w:t xml:space="preserve"> ; (c)</w:t>
      </w:r>
      <w:r w:rsidR="00711394" w:rsidRPr="00711394">
        <w:rPr>
          <w:lang w:val="fr-FR"/>
        </w:rPr>
        <w:t xml:space="preserve"> la prise en compte</w:t>
      </w:r>
      <w:r w:rsidR="005964AB" w:rsidRPr="00711394">
        <w:rPr>
          <w:lang w:val="fr-FR"/>
        </w:rPr>
        <w:t xml:space="preserve"> de</w:t>
      </w:r>
      <w:r>
        <w:rPr>
          <w:lang w:val="fr-FR"/>
        </w:rPr>
        <w:t>s</w:t>
      </w:r>
      <w:r w:rsidR="005964AB" w:rsidRPr="00711394">
        <w:rPr>
          <w:lang w:val="fr-FR"/>
        </w:rPr>
        <w:t xml:space="preserve"> critères, </w:t>
      </w:r>
      <w:r w:rsidR="00711394" w:rsidRPr="00711394">
        <w:rPr>
          <w:lang w:val="fr-FR"/>
        </w:rPr>
        <w:t>d</w:t>
      </w:r>
      <w:r>
        <w:rPr>
          <w:lang w:val="fr-FR"/>
        </w:rPr>
        <w:t>es i</w:t>
      </w:r>
      <w:r w:rsidR="00711394" w:rsidRPr="00711394">
        <w:rPr>
          <w:lang w:val="fr-FR"/>
        </w:rPr>
        <w:t>ndicateurs d</w:t>
      </w:r>
      <w:r w:rsidR="003E6D2D">
        <w:rPr>
          <w:lang w:val="fr-FR"/>
        </w:rPr>
        <w:t>’</w:t>
      </w:r>
      <w:r w:rsidR="00711394" w:rsidRPr="00711394">
        <w:rPr>
          <w:lang w:val="fr-FR"/>
        </w:rPr>
        <w:t xml:space="preserve">efficacité, des mécanismes de financement connexes </w:t>
      </w:r>
      <w:r w:rsidR="00234F10">
        <w:rPr>
          <w:lang w:val="fr-FR"/>
        </w:rPr>
        <w:t xml:space="preserve">des </w:t>
      </w:r>
      <w:r w:rsidR="005964AB" w:rsidRPr="00711394">
        <w:rPr>
          <w:lang w:val="fr-FR"/>
        </w:rPr>
        <w:t>plans d</w:t>
      </w:r>
      <w:r>
        <w:rPr>
          <w:lang w:val="fr-FR"/>
        </w:rPr>
        <w:t>u</w:t>
      </w:r>
      <w:r w:rsidR="005964AB" w:rsidRPr="00711394">
        <w:rPr>
          <w:lang w:val="fr-FR"/>
        </w:rPr>
        <w:t xml:space="preserve"> secteur d</w:t>
      </w:r>
      <w:r w:rsidR="00711394" w:rsidRPr="00711394">
        <w:rPr>
          <w:lang w:val="fr-FR"/>
        </w:rPr>
        <w:t>e l</w:t>
      </w:r>
      <w:r w:rsidR="003E6D2D">
        <w:rPr>
          <w:lang w:val="fr-FR"/>
        </w:rPr>
        <w:t>’</w:t>
      </w:r>
      <w:r w:rsidR="005964AB" w:rsidRPr="00711394">
        <w:rPr>
          <w:lang w:val="fr-FR"/>
        </w:rPr>
        <w:t xml:space="preserve">entretien </w:t>
      </w:r>
      <w:r w:rsidR="00711394" w:rsidRPr="00711394">
        <w:rPr>
          <w:lang w:val="fr-FR"/>
        </w:rPr>
        <w:t>dans les nouveaux plans de gestion de l</w:t>
      </w:r>
      <w:r w:rsidR="003E6D2D">
        <w:rPr>
          <w:lang w:val="fr-FR"/>
        </w:rPr>
        <w:t>’</w:t>
      </w:r>
      <w:r w:rsidR="00711394" w:rsidRPr="00711394">
        <w:rPr>
          <w:lang w:val="fr-FR"/>
        </w:rPr>
        <w:t xml:space="preserve">élimination des HCFC ou dans ceux </w:t>
      </w:r>
      <w:r w:rsidR="005964AB" w:rsidRPr="00711394">
        <w:rPr>
          <w:lang w:val="fr-FR"/>
        </w:rPr>
        <w:t>existant</w:t>
      </w:r>
      <w:r w:rsidR="00711394" w:rsidRPr="00711394">
        <w:rPr>
          <w:lang w:val="fr-FR"/>
        </w:rPr>
        <w:t>s</w:t>
      </w:r>
      <w:r w:rsidR="005964AB" w:rsidRPr="00711394">
        <w:rPr>
          <w:lang w:val="fr-FR"/>
        </w:rPr>
        <w:t>.</w:t>
      </w:r>
    </w:p>
    <w:p w:rsidR="00EB56BA" w:rsidRPr="00C51E0A" w:rsidRDefault="00711394" w:rsidP="00F93FEB">
      <w:pPr>
        <w:pStyle w:val="Heading1"/>
        <w:rPr>
          <w:lang w:val="fr-FR"/>
        </w:rPr>
      </w:pPr>
      <w:r w:rsidRPr="00F93FEB">
        <w:rPr>
          <w:lang w:val="fr-FR"/>
        </w:rPr>
        <w:t>D</w:t>
      </w:r>
      <w:r w:rsidR="003E6D2D">
        <w:rPr>
          <w:lang w:val="fr-FR"/>
        </w:rPr>
        <w:t>’</w:t>
      </w:r>
      <w:r w:rsidRPr="00F93FEB">
        <w:rPr>
          <w:lang w:val="fr-FR"/>
        </w:rPr>
        <w:t>après ce qui précède, on note que cette décision est axée sur l</w:t>
      </w:r>
      <w:r w:rsidR="003E6D2D">
        <w:rPr>
          <w:lang w:val="fr-FR"/>
        </w:rPr>
        <w:t>’</w:t>
      </w:r>
      <w:r w:rsidRPr="00F93FEB">
        <w:rPr>
          <w:lang w:val="fr-FR"/>
        </w:rPr>
        <w:t>augmentation du financement disponible en vertu de la décision</w:t>
      </w:r>
      <w:r w:rsidR="003E6D2D">
        <w:rPr>
          <w:lang w:val="fr-FR"/>
        </w:rPr>
        <w:t xml:space="preserve"> </w:t>
      </w:r>
      <w:r w:rsidRPr="00F93FEB">
        <w:rPr>
          <w:lang w:val="fr-FR"/>
        </w:rPr>
        <w:t xml:space="preserve">74/50 pour les PGEH des pays à faible volume de consommation de SAO en vue de </w:t>
      </w:r>
      <w:r w:rsidR="00F93FEB" w:rsidRPr="00F93FEB">
        <w:rPr>
          <w:lang w:val="fr-FR"/>
        </w:rPr>
        <w:t>l</w:t>
      </w:r>
      <w:r w:rsidR="003E6D2D">
        <w:rPr>
          <w:lang w:val="fr-FR"/>
        </w:rPr>
        <w:t>’</w:t>
      </w:r>
      <w:r w:rsidR="00F93FEB" w:rsidRPr="00F93FEB">
        <w:rPr>
          <w:lang w:val="fr-FR"/>
        </w:rPr>
        <w:t xml:space="preserve">introduction de solutions de remplacement des HCFC ou des HFC à </w:t>
      </w:r>
      <w:r w:rsidR="00F93FEB" w:rsidRPr="00F93FEB">
        <w:rPr>
          <w:rFonts w:eastAsiaTheme="minorHAnsi"/>
          <w:lang w:val="fr-FR"/>
        </w:rPr>
        <w:t xml:space="preserve">faible potentiel de réchauffement de la planète (PRP) ou sans </w:t>
      </w:r>
      <w:r w:rsidR="005E1B53">
        <w:rPr>
          <w:rFonts w:eastAsiaTheme="minorHAnsi"/>
          <w:lang w:val="fr-FR"/>
        </w:rPr>
        <w:t>potentiel de réchauffement</w:t>
      </w:r>
      <w:r w:rsidR="00234F10">
        <w:rPr>
          <w:rFonts w:eastAsiaTheme="minorHAnsi"/>
          <w:lang w:val="fr-FR"/>
        </w:rPr>
        <w:t>,</w:t>
      </w:r>
      <w:r w:rsidRPr="00F93FEB">
        <w:rPr>
          <w:lang w:val="fr-FR"/>
        </w:rPr>
        <w:t xml:space="preserve"> </w:t>
      </w:r>
      <w:r w:rsidR="00F93FEB" w:rsidRPr="00F93FEB">
        <w:rPr>
          <w:lang w:val="fr-FR"/>
        </w:rPr>
        <w:t xml:space="preserve">et </w:t>
      </w:r>
      <w:r w:rsidR="00AB2ED3">
        <w:rPr>
          <w:lang w:val="fr-FR"/>
        </w:rPr>
        <w:t>d</w:t>
      </w:r>
      <w:r w:rsidR="00F93FEB" w:rsidRPr="00F93FEB">
        <w:rPr>
          <w:lang w:val="fr-FR"/>
        </w:rPr>
        <w:t>u maintien de l</w:t>
      </w:r>
      <w:r w:rsidR="003E6D2D">
        <w:rPr>
          <w:lang w:val="fr-FR"/>
        </w:rPr>
        <w:t>’</w:t>
      </w:r>
      <w:r w:rsidR="00F93FEB" w:rsidRPr="00F93FEB">
        <w:rPr>
          <w:lang w:val="fr-FR"/>
        </w:rPr>
        <w:t xml:space="preserve">efficacité énergétique </w:t>
      </w:r>
      <w:r w:rsidR="00AB2ED3">
        <w:rPr>
          <w:lang w:val="fr-FR"/>
        </w:rPr>
        <w:t xml:space="preserve">dans le contexte de la prise en main </w:t>
      </w:r>
      <w:r w:rsidR="00234F10">
        <w:rPr>
          <w:lang w:val="fr-FR"/>
        </w:rPr>
        <w:t>de</w:t>
      </w:r>
      <w:r w:rsidR="00F93FEB" w:rsidRPr="00F93FEB">
        <w:rPr>
          <w:lang w:val="fr-FR"/>
        </w:rPr>
        <w:t xml:space="preserve"> la consommation de HCFC dans le secteur de l</w:t>
      </w:r>
      <w:r w:rsidR="003E6D2D">
        <w:rPr>
          <w:lang w:val="fr-FR"/>
        </w:rPr>
        <w:t>’</w:t>
      </w:r>
      <w:r w:rsidR="00F93FEB" w:rsidRPr="00F93FEB">
        <w:rPr>
          <w:lang w:val="fr-FR"/>
        </w:rPr>
        <w:t>entretien</w:t>
      </w:r>
      <w:r w:rsidRPr="00F93FEB">
        <w:rPr>
          <w:lang w:val="fr-FR"/>
        </w:rPr>
        <w:t>.</w:t>
      </w:r>
    </w:p>
    <w:p w:rsidR="00EB56BA" w:rsidRPr="00C51E0A" w:rsidRDefault="00F93FEB" w:rsidP="00F93FEB">
      <w:pPr>
        <w:pStyle w:val="Heading1"/>
        <w:rPr>
          <w:lang w:val="fr-FR"/>
        </w:rPr>
      </w:pPr>
      <w:r w:rsidRPr="00F93FEB">
        <w:rPr>
          <w:lang w:val="fr-FR"/>
        </w:rPr>
        <w:t>Le Secrétariat a préparé le présent document en application de la décision 82/83 (c) à la lumière de ce qui précède.</w:t>
      </w:r>
    </w:p>
    <w:p w:rsidR="00EB56BA" w:rsidRPr="0057659D" w:rsidRDefault="00F93FEB" w:rsidP="00EB56BA">
      <w:pPr>
        <w:keepNext/>
        <w:rPr>
          <w:u w:val="single"/>
        </w:rPr>
      </w:pPr>
      <w:r w:rsidRPr="00F93FEB">
        <w:rPr>
          <w:u w:val="single"/>
          <w:lang w:val="fr-FR"/>
        </w:rPr>
        <w:t>Portée du document</w:t>
      </w:r>
    </w:p>
    <w:p w:rsidR="00EB56BA" w:rsidRDefault="00EB56BA" w:rsidP="00EB56BA">
      <w:pPr>
        <w:keepNext/>
      </w:pPr>
    </w:p>
    <w:p w:rsidR="00EB56BA" w:rsidRPr="00C51E0A" w:rsidRDefault="00F93FEB" w:rsidP="00F93FEB">
      <w:pPr>
        <w:pStyle w:val="Heading1"/>
        <w:rPr>
          <w:lang w:val="fr-FR"/>
        </w:rPr>
      </w:pPr>
      <w:r w:rsidRPr="00F93FEB">
        <w:rPr>
          <w:lang w:val="fr-FR"/>
        </w:rPr>
        <w:t xml:space="preserve">Le document comprend les sections suivantes traitant </w:t>
      </w:r>
      <w:r w:rsidR="009D19DA">
        <w:rPr>
          <w:lang w:val="fr-FR"/>
        </w:rPr>
        <w:t>l</w:t>
      </w:r>
      <w:r w:rsidRPr="00F93FEB">
        <w:rPr>
          <w:lang w:val="fr-FR"/>
        </w:rPr>
        <w:t xml:space="preserve">es questions spécifiques </w:t>
      </w:r>
      <w:r w:rsidR="009D19DA">
        <w:rPr>
          <w:lang w:val="fr-FR"/>
        </w:rPr>
        <w:t>relatives au</w:t>
      </w:r>
      <w:r w:rsidRPr="00F93FEB">
        <w:rPr>
          <w:lang w:val="fr-FR"/>
        </w:rPr>
        <w:t xml:space="preserve"> secteur de l</w:t>
      </w:r>
      <w:r w:rsidR="003E6D2D">
        <w:rPr>
          <w:lang w:val="fr-FR"/>
        </w:rPr>
        <w:t>’</w:t>
      </w:r>
      <w:r w:rsidRPr="00F93FEB">
        <w:rPr>
          <w:lang w:val="fr-FR"/>
        </w:rPr>
        <w:t>entretien pour des pays à faible volume de consommation (PFV)</w:t>
      </w:r>
      <w:r w:rsidRPr="00F93FEB">
        <w:rPr>
          <w:rStyle w:val="FootnoteReference"/>
          <w:lang w:val="fr-FR"/>
        </w:rPr>
        <w:t xml:space="preserve"> </w:t>
      </w:r>
      <w:r w:rsidRPr="00F93FEB">
        <w:rPr>
          <w:rStyle w:val="FootnoteReference"/>
          <w:lang w:val="fr-FR"/>
        </w:rPr>
        <w:footnoteReference w:id="9"/>
      </w:r>
      <w:r w:rsidRPr="00F93FEB">
        <w:rPr>
          <w:lang w:val="fr-FR"/>
        </w:rPr>
        <w:t> :</w:t>
      </w:r>
    </w:p>
    <w:p w:rsidR="00EB56BA" w:rsidRPr="00C51E0A" w:rsidRDefault="00F93FEB" w:rsidP="00F93FEB">
      <w:pPr>
        <w:pStyle w:val="Heading2"/>
        <w:numPr>
          <w:ilvl w:val="0"/>
          <w:numId w:val="0"/>
        </w:numPr>
        <w:ind w:left="720"/>
        <w:rPr>
          <w:lang w:val="fr-FR"/>
        </w:rPr>
      </w:pPr>
      <w:r w:rsidRPr="00F93FEB">
        <w:rPr>
          <w:u w:val="single"/>
          <w:lang w:val="fr-FR"/>
        </w:rPr>
        <w:t xml:space="preserve">Introduction de solutions de remplacement des HCFC et des HFC à faible potentiel de réchauffement de la planète ou sans </w:t>
      </w:r>
      <w:r w:rsidR="005E1B53">
        <w:rPr>
          <w:u w:val="single"/>
          <w:lang w:val="fr-FR"/>
        </w:rPr>
        <w:t>potentiel de réchauffement</w:t>
      </w:r>
      <w:r w:rsidRPr="00ED5C16">
        <w:rPr>
          <w:lang w:val="fr-FR"/>
        </w:rPr>
        <w:t> :</w:t>
      </w:r>
      <w:r w:rsidR="00EB56BA" w:rsidRPr="00C51E0A">
        <w:rPr>
          <w:lang w:val="fr-FR"/>
        </w:rPr>
        <w:t xml:space="preserve"> </w:t>
      </w:r>
      <w:r w:rsidR="00ED5C16">
        <w:rPr>
          <w:lang w:val="fr-FR"/>
        </w:rPr>
        <w:t>c</w:t>
      </w:r>
      <w:r w:rsidRPr="00F93FEB">
        <w:rPr>
          <w:lang w:val="fr-FR"/>
        </w:rPr>
        <w:t>ette section présente une vue d</w:t>
      </w:r>
      <w:r w:rsidR="003E6D2D">
        <w:rPr>
          <w:lang w:val="fr-FR"/>
        </w:rPr>
        <w:t>’</w:t>
      </w:r>
      <w:r w:rsidRPr="00F93FEB">
        <w:rPr>
          <w:lang w:val="fr-FR"/>
        </w:rPr>
        <w:t>ensemble du secteur de l</w:t>
      </w:r>
      <w:r w:rsidR="003E6D2D">
        <w:rPr>
          <w:lang w:val="fr-FR"/>
        </w:rPr>
        <w:t>’</w:t>
      </w:r>
      <w:r w:rsidRPr="00F93FEB">
        <w:rPr>
          <w:lang w:val="fr-FR"/>
        </w:rPr>
        <w:t>entretien des équipements de réfrigération et du cadre réglementaire mis en place dans les pays visés à l</w:t>
      </w:r>
      <w:r w:rsidR="003E6D2D">
        <w:rPr>
          <w:lang w:val="fr-FR"/>
        </w:rPr>
        <w:t>’</w:t>
      </w:r>
      <w:r w:rsidR="00ED5C16">
        <w:rPr>
          <w:lang w:val="fr-FR"/>
        </w:rPr>
        <w:t>article 5</w:t>
      </w:r>
      <w:r w:rsidRPr="00F93FEB">
        <w:rPr>
          <w:lang w:val="fr-FR"/>
        </w:rPr>
        <w:t>, permettant entre autres la mise en œuvre du contrôle des importations d</w:t>
      </w:r>
      <w:r w:rsidR="003E6D2D">
        <w:rPr>
          <w:lang w:val="fr-FR"/>
        </w:rPr>
        <w:t>’</w:t>
      </w:r>
      <w:r w:rsidRPr="00F93FEB">
        <w:rPr>
          <w:lang w:val="fr-FR"/>
        </w:rPr>
        <w:t>équipements de réfrigération, de climatisation et de pompes à chaleur (RACHP) contenant des substances réglementées à fort PRP.</w:t>
      </w:r>
      <w:r w:rsidR="00EB56BA" w:rsidRPr="00C51E0A">
        <w:rPr>
          <w:lang w:val="fr-FR"/>
        </w:rPr>
        <w:t xml:space="preserve"> </w:t>
      </w:r>
      <w:r w:rsidRPr="00F93FEB">
        <w:rPr>
          <w:lang w:val="fr-FR"/>
        </w:rPr>
        <w:t>Elle étudie les obstacles potentiels à l</w:t>
      </w:r>
      <w:r w:rsidR="003E6D2D">
        <w:rPr>
          <w:lang w:val="fr-FR"/>
        </w:rPr>
        <w:t>’</w:t>
      </w:r>
      <w:r w:rsidRPr="00F93FEB">
        <w:rPr>
          <w:lang w:val="fr-FR"/>
        </w:rPr>
        <w:t xml:space="preserve">introduction de technologies de remplacement à faible PRP ou sans PRP et </w:t>
      </w:r>
      <w:r w:rsidR="00234F10">
        <w:rPr>
          <w:lang w:val="fr-FR"/>
        </w:rPr>
        <w:t>la manière dont</w:t>
      </w:r>
      <w:r w:rsidR="003E6D2D">
        <w:rPr>
          <w:lang w:val="fr-FR"/>
        </w:rPr>
        <w:t xml:space="preserve"> </w:t>
      </w:r>
      <w:r w:rsidRPr="00F93FEB">
        <w:rPr>
          <w:lang w:val="fr-FR"/>
        </w:rPr>
        <w:t>les pays visés à l</w:t>
      </w:r>
      <w:r w:rsidR="003E6D2D">
        <w:rPr>
          <w:lang w:val="fr-FR"/>
        </w:rPr>
        <w:t>’</w:t>
      </w:r>
      <w:r w:rsidR="00ED5C16">
        <w:rPr>
          <w:lang w:val="fr-FR"/>
        </w:rPr>
        <w:t>article 5</w:t>
      </w:r>
      <w:r w:rsidRPr="00F93FEB">
        <w:rPr>
          <w:lang w:val="fr-FR"/>
        </w:rPr>
        <w:t xml:space="preserve"> prennent en main </w:t>
      </w:r>
      <w:r w:rsidR="00234F10">
        <w:rPr>
          <w:lang w:val="fr-FR"/>
        </w:rPr>
        <w:t>c</w:t>
      </w:r>
      <w:r w:rsidRPr="00F93FEB">
        <w:rPr>
          <w:lang w:val="fr-FR"/>
        </w:rPr>
        <w:t>es obstacles lors de la mise en œuvre de leur PGEH.</w:t>
      </w:r>
      <w:r w:rsidR="00EB56BA" w:rsidRPr="00C51E0A">
        <w:rPr>
          <w:lang w:val="fr-FR"/>
        </w:rPr>
        <w:t xml:space="preserve"> </w:t>
      </w:r>
      <w:r w:rsidRPr="00F93FEB">
        <w:rPr>
          <w:lang w:val="fr-FR"/>
        </w:rPr>
        <w:t>Elle présente également une vue d</w:t>
      </w:r>
      <w:r w:rsidR="003E6D2D">
        <w:rPr>
          <w:lang w:val="fr-FR"/>
        </w:rPr>
        <w:t>’</w:t>
      </w:r>
      <w:r w:rsidRPr="00F93FEB">
        <w:rPr>
          <w:lang w:val="fr-FR"/>
        </w:rPr>
        <w:t>ensemble de l</w:t>
      </w:r>
      <w:r w:rsidR="003E6D2D">
        <w:rPr>
          <w:lang w:val="fr-FR"/>
        </w:rPr>
        <w:t>’</w:t>
      </w:r>
      <w:r w:rsidRPr="00F93FEB">
        <w:rPr>
          <w:lang w:val="fr-FR"/>
        </w:rPr>
        <w:t xml:space="preserve">adoption de normes et comment </w:t>
      </w:r>
      <w:r w:rsidR="00ED5C16">
        <w:rPr>
          <w:lang w:val="fr-FR"/>
        </w:rPr>
        <w:t>ces dernières</w:t>
      </w:r>
      <w:r w:rsidRPr="00F93FEB">
        <w:rPr>
          <w:lang w:val="fr-FR"/>
        </w:rPr>
        <w:t xml:space="preserve"> peuvent servir à soutenir l</w:t>
      </w:r>
      <w:r w:rsidR="003E6D2D">
        <w:rPr>
          <w:lang w:val="fr-FR"/>
        </w:rPr>
        <w:t>’</w:t>
      </w:r>
      <w:r w:rsidRPr="00F93FEB">
        <w:rPr>
          <w:lang w:val="fr-FR"/>
        </w:rPr>
        <w:t>adoption de solutions de remplacement à faible potentiel de réchauffement de la planète dans le contexte de l</w:t>
      </w:r>
      <w:r w:rsidR="003E6D2D">
        <w:rPr>
          <w:lang w:val="fr-FR"/>
        </w:rPr>
        <w:t>’</w:t>
      </w:r>
      <w:r w:rsidRPr="00F93FEB">
        <w:rPr>
          <w:lang w:val="fr-FR"/>
        </w:rPr>
        <w:t>élimination des HCFC.</w:t>
      </w:r>
    </w:p>
    <w:p w:rsidR="00EB56BA" w:rsidRPr="00C51E0A" w:rsidRDefault="00EB56BA" w:rsidP="00EB56BA">
      <w:pPr>
        <w:ind w:left="720" w:hanging="720"/>
        <w:rPr>
          <w:lang w:val="fr-FR"/>
        </w:rPr>
      </w:pPr>
      <w:r w:rsidRPr="00C51E0A">
        <w:rPr>
          <w:lang w:val="fr-FR"/>
        </w:rPr>
        <w:tab/>
      </w:r>
      <w:r w:rsidR="00A558EC" w:rsidRPr="00A558EC">
        <w:rPr>
          <w:u w:val="single"/>
          <w:lang w:val="fr-FR"/>
        </w:rPr>
        <w:t xml:space="preserve">Élaboration et application </w:t>
      </w:r>
      <w:r w:rsidR="00ED5C16">
        <w:rPr>
          <w:u w:val="single"/>
          <w:lang w:val="fr-FR"/>
        </w:rPr>
        <w:t xml:space="preserve">effective </w:t>
      </w:r>
      <w:r w:rsidR="00A558EC" w:rsidRPr="00A558EC">
        <w:rPr>
          <w:u w:val="single"/>
          <w:lang w:val="fr-FR"/>
        </w:rPr>
        <w:t xml:space="preserve">de politiques et de </w:t>
      </w:r>
      <w:r w:rsidR="00A558EC" w:rsidRPr="00A558EC">
        <w:rPr>
          <w:rFonts w:eastAsia="Cambria"/>
          <w:u w:val="single"/>
          <w:lang w:val="fr-FR"/>
        </w:rPr>
        <w:t>réglementations visant à éviter la pénétration du marché d</w:t>
      </w:r>
      <w:r w:rsidR="003E6D2D">
        <w:rPr>
          <w:rFonts w:eastAsia="Cambria"/>
          <w:u w:val="single"/>
          <w:lang w:val="fr-FR"/>
        </w:rPr>
        <w:t>’</w:t>
      </w:r>
      <w:r w:rsidR="00A558EC" w:rsidRPr="00A558EC">
        <w:rPr>
          <w:u w:val="single"/>
          <w:lang w:val="fr-FR"/>
        </w:rPr>
        <w:t xml:space="preserve">équipements de réfrigération, de climatisation et de pompes à chaleur (RACHP) à faible rendement énergétique et à promouvoir celle des </w:t>
      </w:r>
      <w:r w:rsidR="00F93FEB" w:rsidRPr="00A558EC">
        <w:rPr>
          <w:u w:val="single"/>
          <w:lang w:val="fr-FR"/>
        </w:rPr>
        <w:t>équipement</w:t>
      </w:r>
      <w:r w:rsidR="00A558EC" w:rsidRPr="00A558EC">
        <w:rPr>
          <w:u w:val="single"/>
          <w:lang w:val="fr-FR"/>
        </w:rPr>
        <w:t>s à haut rendement énergétique</w:t>
      </w:r>
      <w:r w:rsidR="00A558EC" w:rsidRPr="00ED5C16">
        <w:rPr>
          <w:lang w:val="fr-FR"/>
        </w:rPr>
        <w:t> </w:t>
      </w:r>
      <w:r w:rsidR="00F93FEB" w:rsidRPr="00ED5C16">
        <w:rPr>
          <w:lang w:val="fr-FR"/>
        </w:rPr>
        <w:t>:</w:t>
      </w:r>
      <w:r w:rsidRPr="00C51E0A">
        <w:rPr>
          <w:lang w:val="fr-FR"/>
        </w:rPr>
        <w:t xml:space="preserve"> </w:t>
      </w:r>
      <w:r w:rsidR="005C0A7B">
        <w:rPr>
          <w:lang w:val="fr-FR"/>
        </w:rPr>
        <w:t>c</w:t>
      </w:r>
      <w:r w:rsidR="00A558EC" w:rsidRPr="009B4DAE">
        <w:rPr>
          <w:lang w:val="fr-FR"/>
        </w:rPr>
        <w:t>ette section présente une vue d</w:t>
      </w:r>
      <w:r w:rsidR="003E6D2D">
        <w:rPr>
          <w:lang w:val="fr-FR"/>
        </w:rPr>
        <w:t>’</w:t>
      </w:r>
      <w:r w:rsidR="00A558EC" w:rsidRPr="009B4DAE">
        <w:rPr>
          <w:lang w:val="fr-FR"/>
        </w:rPr>
        <w:t>ensemble des politiques d</w:t>
      </w:r>
      <w:r w:rsidR="003E6D2D">
        <w:rPr>
          <w:lang w:val="fr-FR"/>
        </w:rPr>
        <w:t>’</w:t>
      </w:r>
      <w:r w:rsidR="00A558EC" w:rsidRPr="009B4DAE">
        <w:rPr>
          <w:lang w:val="fr-FR"/>
        </w:rPr>
        <w:t>efficacité énergétique généralement</w:t>
      </w:r>
      <w:r w:rsidR="00ED5C16">
        <w:rPr>
          <w:lang w:val="fr-FR"/>
        </w:rPr>
        <w:t xml:space="preserve"> </w:t>
      </w:r>
      <w:r w:rsidR="00ED5C16" w:rsidRPr="009B4DAE">
        <w:rPr>
          <w:lang w:val="fr-FR"/>
        </w:rPr>
        <w:t>utilisées</w:t>
      </w:r>
      <w:r w:rsidR="00A558EC" w:rsidRPr="009B4DAE">
        <w:rPr>
          <w:lang w:val="fr-FR"/>
        </w:rPr>
        <w:t>, l</w:t>
      </w:r>
      <w:r w:rsidR="003E6D2D">
        <w:rPr>
          <w:lang w:val="fr-FR"/>
        </w:rPr>
        <w:t>’</w:t>
      </w:r>
      <w:r w:rsidR="00A558EC" w:rsidRPr="009B4DAE">
        <w:rPr>
          <w:lang w:val="fr-FR"/>
        </w:rPr>
        <w:t>accent étant mis sur les normes de rendement énergétique minimal (MPE</w:t>
      </w:r>
      <w:r w:rsidR="00ED5C16">
        <w:rPr>
          <w:lang w:val="fr-FR"/>
        </w:rPr>
        <w:t>S</w:t>
      </w:r>
      <w:r w:rsidR="00A558EC" w:rsidRPr="009B4DAE">
        <w:rPr>
          <w:lang w:val="fr-FR"/>
        </w:rPr>
        <w:t>) et les programmes de labels écologiques ; elle présente une liste de 43 pays visés à l</w:t>
      </w:r>
      <w:r w:rsidR="003E6D2D">
        <w:rPr>
          <w:lang w:val="fr-FR"/>
        </w:rPr>
        <w:t>’</w:t>
      </w:r>
      <w:r w:rsidR="00A558EC" w:rsidRPr="009B4DAE">
        <w:rPr>
          <w:lang w:val="fr-FR"/>
        </w:rPr>
        <w:t xml:space="preserve">article 5 ayant des programmes en place </w:t>
      </w:r>
      <w:r w:rsidR="00ED5C16">
        <w:rPr>
          <w:lang w:val="fr-FR"/>
        </w:rPr>
        <w:t>portant sur les</w:t>
      </w:r>
      <w:r w:rsidR="00A558EC" w:rsidRPr="009B4DAE">
        <w:rPr>
          <w:lang w:val="fr-FR"/>
        </w:rPr>
        <w:t xml:space="preserve"> normes MPE</w:t>
      </w:r>
      <w:r w:rsidR="00ED5C16">
        <w:rPr>
          <w:lang w:val="fr-FR"/>
        </w:rPr>
        <w:t>S</w:t>
      </w:r>
      <w:r w:rsidR="00A558EC" w:rsidRPr="009B4DAE">
        <w:rPr>
          <w:lang w:val="fr-FR"/>
        </w:rPr>
        <w:t xml:space="preserve"> et les labels écologiques</w:t>
      </w:r>
      <w:r w:rsidR="00ED5C16">
        <w:rPr>
          <w:lang w:val="fr-FR"/>
        </w:rPr>
        <w:t> ;</w:t>
      </w:r>
      <w:r w:rsidR="00A558EC" w:rsidRPr="009B4DAE">
        <w:rPr>
          <w:lang w:val="fr-FR"/>
        </w:rPr>
        <w:t xml:space="preserve"> et </w:t>
      </w:r>
      <w:r w:rsidR="00234F10">
        <w:rPr>
          <w:lang w:val="fr-FR"/>
        </w:rPr>
        <w:t xml:space="preserve">elle </w:t>
      </w:r>
      <w:r w:rsidR="00ED5C16">
        <w:rPr>
          <w:lang w:val="fr-FR"/>
        </w:rPr>
        <w:t>examine</w:t>
      </w:r>
      <w:r w:rsidR="00A558EC" w:rsidRPr="009B4DAE">
        <w:rPr>
          <w:lang w:val="fr-FR"/>
        </w:rPr>
        <w:t xml:space="preserve"> l</w:t>
      </w:r>
      <w:r w:rsidR="003E6D2D">
        <w:rPr>
          <w:lang w:val="fr-FR"/>
        </w:rPr>
        <w:t>’</w:t>
      </w:r>
      <w:r w:rsidR="00A558EC" w:rsidRPr="009B4DAE">
        <w:rPr>
          <w:lang w:val="fr-FR"/>
        </w:rPr>
        <w:t>application des MPE</w:t>
      </w:r>
      <w:r w:rsidR="00ED5C16">
        <w:rPr>
          <w:lang w:val="fr-FR"/>
        </w:rPr>
        <w:t>S</w:t>
      </w:r>
      <w:r w:rsidR="00A558EC" w:rsidRPr="009B4DAE">
        <w:rPr>
          <w:lang w:val="fr-FR"/>
        </w:rPr>
        <w:t xml:space="preserve"> </w:t>
      </w:r>
      <w:r w:rsidR="00ED5C16">
        <w:rPr>
          <w:lang w:val="fr-FR"/>
        </w:rPr>
        <w:t>en vue du</w:t>
      </w:r>
      <w:r w:rsidR="00A558EC" w:rsidRPr="009B4DAE">
        <w:rPr>
          <w:lang w:val="fr-FR"/>
        </w:rPr>
        <w:t xml:space="preserve"> contrôle des importations d</w:t>
      </w:r>
      <w:r w:rsidR="003E6D2D">
        <w:rPr>
          <w:lang w:val="fr-FR"/>
        </w:rPr>
        <w:t>’</w:t>
      </w:r>
      <w:r w:rsidR="00A558EC" w:rsidRPr="009B4DAE">
        <w:rPr>
          <w:lang w:val="fr-FR"/>
        </w:rPr>
        <w:t>équipements de réfrigération, de climatisation et de pompes à chaleur</w:t>
      </w:r>
      <w:r w:rsidR="003E6D2D">
        <w:rPr>
          <w:lang w:val="fr-FR"/>
        </w:rPr>
        <w:t xml:space="preserve"> </w:t>
      </w:r>
      <w:r w:rsidR="00ED5C16">
        <w:rPr>
          <w:lang w:val="fr-FR"/>
        </w:rPr>
        <w:t xml:space="preserve">« inefficaces » sur le plan énergétique </w:t>
      </w:r>
      <w:r w:rsidR="00A558EC" w:rsidRPr="009B4DAE">
        <w:rPr>
          <w:lang w:val="fr-FR"/>
        </w:rPr>
        <w:t xml:space="preserve">ainsi que </w:t>
      </w:r>
      <w:r w:rsidR="00ED5C16">
        <w:rPr>
          <w:lang w:val="fr-FR"/>
        </w:rPr>
        <w:t>l</w:t>
      </w:r>
      <w:r w:rsidR="00A558EC" w:rsidRPr="009B4DAE">
        <w:rPr>
          <w:lang w:val="fr-FR"/>
        </w:rPr>
        <w:t>es réglementations favorisant l</w:t>
      </w:r>
      <w:r w:rsidR="003E6D2D">
        <w:rPr>
          <w:lang w:val="fr-FR"/>
        </w:rPr>
        <w:t>’</w:t>
      </w:r>
      <w:r w:rsidR="00A558EC" w:rsidRPr="009B4DAE">
        <w:rPr>
          <w:lang w:val="fr-FR"/>
        </w:rPr>
        <w:t xml:space="preserve">introduction de frigorigènes de remplacement à faible PRP ou sans </w:t>
      </w:r>
      <w:r w:rsidR="005E1B53">
        <w:rPr>
          <w:lang w:val="fr-FR"/>
        </w:rPr>
        <w:t>potentiel de réchauffement</w:t>
      </w:r>
      <w:r w:rsidR="00B945F9">
        <w:rPr>
          <w:rStyle w:val="FootnoteReference"/>
        </w:rPr>
        <w:footnoteReference w:id="10"/>
      </w:r>
      <w:r w:rsidR="00B945F9">
        <w:rPr>
          <w:lang w:val="fr-FR"/>
        </w:rPr>
        <w:t>.</w:t>
      </w:r>
    </w:p>
    <w:p w:rsidR="00EB56BA" w:rsidRPr="00C51E0A" w:rsidRDefault="00EB56BA" w:rsidP="00EB56BA">
      <w:pPr>
        <w:rPr>
          <w:lang w:val="fr-FR"/>
        </w:rPr>
      </w:pPr>
    </w:p>
    <w:p w:rsidR="00EB56BA" w:rsidRPr="00C51E0A" w:rsidRDefault="009B4DAE" w:rsidP="00EB56BA">
      <w:pPr>
        <w:ind w:left="720"/>
        <w:rPr>
          <w:rFonts w:eastAsiaTheme="minorHAnsi"/>
          <w:lang w:val="fr-FR"/>
        </w:rPr>
      </w:pPr>
      <w:r w:rsidRPr="009B4DAE">
        <w:rPr>
          <w:rFonts w:eastAsiaTheme="minorHAnsi"/>
          <w:u w:val="single"/>
          <w:lang w:val="fr-FR"/>
        </w:rPr>
        <w:t>Maintien de l</w:t>
      </w:r>
      <w:r w:rsidR="003E6D2D">
        <w:rPr>
          <w:rFonts w:eastAsiaTheme="minorHAnsi"/>
          <w:u w:val="single"/>
          <w:lang w:val="fr-FR"/>
        </w:rPr>
        <w:t>’</w:t>
      </w:r>
      <w:r w:rsidRPr="009B4DAE">
        <w:rPr>
          <w:rFonts w:eastAsiaTheme="minorHAnsi"/>
          <w:u w:val="single"/>
          <w:lang w:val="fr-FR"/>
        </w:rPr>
        <w:t>efficacité énergétique dans le secteur de l</w:t>
      </w:r>
      <w:r w:rsidR="003E6D2D">
        <w:rPr>
          <w:rFonts w:eastAsiaTheme="minorHAnsi"/>
          <w:u w:val="single"/>
          <w:lang w:val="fr-FR"/>
        </w:rPr>
        <w:t>’</w:t>
      </w:r>
      <w:r w:rsidRPr="009B4DAE">
        <w:rPr>
          <w:rFonts w:eastAsiaTheme="minorHAnsi"/>
          <w:u w:val="single"/>
          <w:lang w:val="fr-FR"/>
        </w:rPr>
        <w:t>entretien</w:t>
      </w:r>
      <w:r w:rsidR="00ED5C16" w:rsidRPr="00ED5C16">
        <w:rPr>
          <w:rFonts w:eastAsiaTheme="minorHAnsi"/>
          <w:lang w:val="fr-FR"/>
        </w:rPr>
        <w:t> </w:t>
      </w:r>
      <w:r w:rsidRPr="00ED5C16">
        <w:rPr>
          <w:rFonts w:eastAsiaTheme="minorHAnsi"/>
          <w:lang w:val="fr-FR"/>
        </w:rPr>
        <w:t>:</w:t>
      </w:r>
      <w:r w:rsidR="00EB56BA" w:rsidRPr="00C51E0A">
        <w:rPr>
          <w:rFonts w:eastAsiaTheme="minorHAnsi"/>
          <w:lang w:val="fr-FR"/>
        </w:rPr>
        <w:t xml:space="preserve"> </w:t>
      </w:r>
      <w:r w:rsidR="005C0A7B">
        <w:rPr>
          <w:rFonts w:eastAsiaTheme="minorHAnsi"/>
          <w:lang w:val="fr-FR"/>
        </w:rPr>
        <w:t>c</w:t>
      </w:r>
      <w:r w:rsidRPr="009B4DAE">
        <w:rPr>
          <w:rFonts w:eastAsiaTheme="minorHAnsi"/>
          <w:lang w:val="fr-FR"/>
        </w:rPr>
        <w:t>ette section examine rapidement l</w:t>
      </w:r>
      <w:r w:rsidR="003E6D2D">
        <w:rPr>
          <w:rFonts w:eastAsiaTheme="minorHAnsi"/>
          <w:lang w:val="fr-FR"/>
        </w:rPr>
        <w:t>’</w:t>
      </w:r>
      <w:r w:rsidRPr="009B4DAE">
        <w:rPr>
          <w:rFonts w:eastAsiaTheme="minorHAnsi"/>
          <w:lang w:val="fr-FR"/>
        </w:rPr>
        <w:t>installation, la maintenance et</w:t>
      </w:r>
      <w:r w:rsidR="003E6D2D">
        <w:rPr>
          <w:rFonts w:eastAsiaTheme="minorHAnsi"/>
          <w:lang w:val="fr-FR"/>
        </w:rPr>
        <w:t xml:space="preserve"> </w:t>
      </w:r>
      <w:r w:rsidRPr="009B4DAE">
        <w:rPr>
          <w:rFonts w:eastAsiaTheme="minorHAnsi"/>
          <w:lang w:val="fr-FR"/>
        </w:rPr>
        <w:t>les pratiques d</w:t>
      </w:r>
      <w:r w:rsidR="003E6D2D">
        <w:rPr>
          <w:rFonts w:eastAsiaTheme="minorHAnsi"/>
          <w:lang w:val="fr-FR"/>
        </w:rPr>
        <w:t>’</w:t>
      </w:r>
      <w:r w:rsidRPr="009B4DAE">
        <w:rPr>
          <w:rFonts w:eastAsiaTheme="minorHAnsi"/>
          <w:lang w:val="fr-FR"/>
        </w:rPr>
        <w:t>entretien en vue d</w:t>
      </w:r>
      <w:r w:rsidR="003E6D2D">
        <w:rPr>
          <w:rFonts w:eastAsiaTheme="minorHAnsi"/>
          <w:lang w:val="fr-FR"/>
        </w:rPr>
        <w:t>’</w:t>
      </w:r>
      <w:r w:rsidRPr="009B4DAE">
        <w:rPr>
          <w:rFonts w:eastAsiaTheme="minorHAnsi"/>
          <w:lang w:val="fr-FR"/>
        </w:rPr>
        <w:t xml:space="preserve">assurer le </w:t>
      </w:r>
      <w:r w:rsidRPr="009B4DAE">
        <w:rPr>
          <w:rFonts w:eastAsiaTheme="minorHAnsi"/>
          <w:lang w:val="fr-FR"/>
        </w:rPr>
        <w:lastRenderedPageBreak/>
        <w:t xml:space="preserve">fonctionnement efficace des équipements de réfrigération, de climatisation et de pompes à chaleur ayant le rendement énergétique le plus élevé possible durant </w:t>
      </w:r>
      <w:r w:rsidR="00ED5C16">
        <w:rPr>
          <w:rFonts w:eastAsiaTheme="minorHAnsi"/>
          <w:lang w:val="fr-FR"/>
        </w:rPr>
        <w:t>leur</w:t>
      </w:r>
      <w:r w:rsidRPr="009B4DAE">
        <w:rPr>
          <w:rFonts w:eastAsiaTheme="minorHAnsi"/>
          <w:lang w:val="fr-FR"/>
        </w:rPr>
        <w:t xml:space="preserve"> durée de vie.</w:t>
      </w:r>
    </w:p>
    <w:p w:rsidR="00EB56BA" w:rsidRPr="00C51E0A" w:rsidRDefault="00EB56BA" w:rsidP="00EB56BA">
      <w:pPr>
        <w:ind w:left="720" w:hanging="720"/>
        <w:rPr>
          <w:rFonts w:eastAsiaTheme="minorHAnsi"/>
          <w:lang w:val="fr-FR"/>
        </w:rPr>
      </w:pPr>
    </w:p>
    <w:p w:rsidR="00EB56BA" w:rsidRPr="00C51E0A" w:rsidRDefault="009B4DAE" w:rsidP="00EB56BA">
      <w:pPr>
        <w:ind w:left="720"/>
        <w:rPr>
          <w:rFonts w:eastAsia="Cambria"/>
          <w:lang w:val="fr-FR"/>
        </w:rPr>
      </w:pPr>
      <w:r w:rsidRPr="009B4DAE">
        <w:rPr>
          <w:rFonts w:eastAsia="Cambria"/>
          <w:u w:val="single"/>
          <w:lang w:val="fr-FR"/>
        </w:rPr>
        <w:t xml:space="preserve">Formation ciblée </w:t>
      </w:r>
      <w:r w:rsidR="00B945F9">
        <w:rPr>
          <w:rFonts w:eastAsia="Cambria"/>
          <w:u w:val="single"/>
          <w:lang w:val="fr-FR"/>
        </w:rPr>
        <w:t xml:space="preserve">portant </w:t>
      </w:r>
      <w:r w:rsidRPr="009B4DAE">
        <w:rPr>
          <w:rFonts w:eastAsia="Cambria"/>
          <w:u w:val="single"/>
          <w:lang w:val="fr-FR"/>
        </w:rPr>
        <w:t>sur la certification, la sécurité et les normes, la sensibilisation et le renforcement des capacités</w:t>
      </w:r>
      <w:r w:rsidRPr="00B945F9">
        <w:rPr>
          <w:rFonts w:eastAsia="Cambria"/>
          <w:lang w:val="fr-FR"/>
        </w:rPr>
        <w:t> :</w:t>
      </w:r>
      <w:r w:rsidR="00EB56BA" w:rsidRPr="00C51E0A">
        <w:rPr>
          <w:rFonts w:eastAsia="Cambria"/>
          <w:lang w:val="fr-FR"/>
        </w:rPr>
        <w:t xml:space="preserve"> </w:t>
      </w:r>
      <w:r w:rsidR="005C0A7B">
        <w:rPr>
          <w:rFonts w:eastAsia="Cambria"/>
          <w:lang w:val="fr-FR"/>
        </w:rPr>
        <w:t>c</w:t>
      </w:r>
      <w:r w:rsidRPr="009B4DAE">
        <w:rPr>
          <w:rFonts w:eastAsia="Cambria"/>
          <w:lang w:val="fr-FR"/>
        </w:rPr>
        <w:t>ette section présente une vue d</w:t>
      </w:r>
      <w:r w:rsidR="003E6D2D">
        <w:rPr>
          <w:rFonts w:eastAsia="Cambria"/>
          <w:lang w:val="fr-FR"/>
        </w:rPr>
        <w:t>’</w:t>
      </w:r>
      <w:r w:rsidRPr="009B4DAE">
        <w:rPr>
          <w:rFonts w:eastAsia="Cambria"/>
          <w:lang w:val="fr-FR"/>
        </w:rPr>
        <w:t xml:space="preserve">ensemble de la formation </w:t>
      </w:r>
      <w:r w:rsidR="00B945F9">
        <w:rPr>
          <w:rFonts w:eastAsia="Cambria"/>
          <w:lang w:val="fr-FR"/>
        </w:rPr>
        <w:t>orientée vers</w:t>
      </w:r>
      <w:r w:rsidRPr="009B4DAE">
        <w:rPr>
          <w:rFonts w:eastAsia="Cambria"/>
          <w:lang w:val="fr-FR"/>
        </w:rPr>
        <w:t xml:space="preserve"> la certification, la sécurité et les normes, la sensibilisation et le renforcement des capacités</w:t>
      </w:r>
      <w:r w:rsidR="00E9299F">
        <w:rPr>
          <w:rFonts w:eastAsia="Cambria"/>
          <w:lang w:val="fr-FR"/>
        </w:rPr>
        <w:t xml:space="preserve"> en vue de soutenir</w:t>
      </w:r>
      <w:r w:rsidRPr="009B4DAE">
        <w:rPr>
          <w:rFonts w:eastAsia="Cambria"/>
          <w:lang w:val="fr-FR"/>
        </w:rPr>
        <w:t xml:space="preserve"> l</w:t>
      </w:r>
      <w:r w:rsidR="003E6D2D">
        <w:rPr>
          <w:rFonts w:eastAsia="Cambria"/>
          <w:lang w:val="fr-FR"/>
        </w:rPr>
        <w:t>’</w:t>
      </w:r>
      <w:r w:rsidRPr="009B4DAE">
        <w:rPr>
          <w:rFonts w:eastAsia="Cambria"/>
          <w:lang w:val="fr-FR"/>
        </w:rPr>
        <w:t xml:space="preserve">introduction de technologies de remplacement </w:t>
      </w:r>
      <w:r w:rsidR="00B945F9">
        <w:rPr>
          <w:rFonts w:eastAsia="Cambria"/>
          <w:lang w:val="fr-FR"/>
        </w:rPr>
        <w:t xml:space="preserve">écoénergétiques </w:t>
      </w:r>
      <w:r w:rsidRPr="009B4DAE">
        <w:rPr>
          <w:rFonts w:eastAsia="Cambria"/>
          <w:lang w:val="fr-FR"/>
        </w:rPr>
        <w:t xml:space="preserve">à faible PRP ou sans </w:t>
      </w:r>
      <w:r w:rsidR="00E9299F">
        <w:rPr>
          <w:rFonts w:eastAsia="Cambria"/>
          <w:lang w:val="fr-FR"/>
        </w:rPr>
        <w:t>PRP</w:t>
      </w:r>
      <w:r w:rsidRPr="009B4DAE">
        <w:rPr>
          <w:rFonts w:eastAsia="Cambria"/>
          <w:lang w:val="fr-FR"/>
        </w:rPr>
        <w:t xml:space="preserve"> réalisée actuellement dans le cadre des PGEH</w:t>
      </w:r>
      <w:r w:rsidR="00E9299F">
        <w:rPr>
          <w:rFonts w:eastAsia="Cambria"/>
          <w:lang w:val="fr-FR"/>
        </w:rPr>
        <w:t>,</w:t>
      </w:r>
      <w:r w:rsidR="003E6D2D">
        <w:rPr>
          <w:rFonts w:eastAsia="Cambria"/>
          <w:lang w:val="fr-FR"/>
        </w:rPr>
        <w:t xml:space="preserve"> </w:t>
      </w:r>
      <w:r w:rsidRPr="009B4DAE">
        <w:rPr>
          <w:rFonts w:eastAsia="Cambria"/>
          <w:lang w:val="fr-FR"/>
        </w:rPr>
        <w:t>et les activités supplémentaires pouvant être nécessaires dans ce contexte.</w:t>
      </w:r>
    </w:p>
    <w:p w:rsidR="00EB56BA" w:rsidRPr="00C51E0A" w:rsidRDefault="00EB56BA" w:rsidP="00EB56BA">
      <w:pPr>
        <w:rPr>
          <w:rFonts w:eastAsia="Cambria"/>
          <w:lang w:val="fr-FR"/>
        </w:rPr>
      </w:pPr>
    </w:p>
    <w:p w:rsidR="00EB56BA" w:rsidRPr="00C51E0A" w:rsidRDefault="009B4DAE" w:rsidP="00EB56BA">
      <w:pPr>
        <w:ind w:left="720"/>
        <w:rPr>
          <w:rFonts w:eastAsia="Cambria"/>
          <w:lang w:val="fr-FR"/>
        </w:rPr>
      </w:pPr>
      <w:r w:rsidRPr="009B4DAE">
        <w:rPr>
          <w:u w:val="single"/>
          <w:lang w:val="fr-FR"/>
        </w:rPr>
        <w:t>Normes, indicateurs d</w:t>
      </w:r>
      <w:r w:rsidR="003E6D2D">
        <w:rPr>
          <w:u w:val="single"/>
          <w:lang w:val="fr-FR"/>
        </w:rPr>
        <w:t>’</w:t>
      </w:r>
      <w:r w:rsidRPr="009B4DAE">
        <w:rPr>
          <w:u w:val="single"/>
          <w:lang w:val="fr-FR"/>
        </w:rPr>
        <w:t>efficacité et mécanismes de financement connexes des plans du secteur de l</w:t>
      </w:r>
      <w:r w:rsidR="003E6D2D">
        <w:rPr>
          <w:u w:val="single"/>
          <w:lang w:val="fr-FR"/>
        </w:rPr>
        <w:t>’</w:t>
      </w:r>
      <w:r w:rsidRPr="009B4DAE">
        <w:rPr>
          <w:u w:val="single"/>
          <w:lang w:val="fr-FR"/>
        </w:rPr>
        <w:t>entretien dans les nouveaux PGEH ou ceux existants déjà</w:t>
      </w:r>
      <w:r w:rsidRPr="00B945F9">
        <w:rPr>
          <w:lang w:val="fr-FR"/>
        </w:rPr>
        <w:t> :</w:t>
      </w:r>
      <w:r w:rsidR="00EB56BA" w:rsidRPr="00C51E0A">
        <w:rPr>
          <w:lang w:val="fr-FR"/>
        </w:rPr>
        <w:t xml:space="preserve"> </w:t>
      </w:r>
      <w:r w:rsidR="005C0A7B">
        <w:rPr>
          <w:lang w:val="fr-FR"/>
        </w:rPr>
        <w:t>c</w:t>
      </w:r>
      <w:r w:rsidRPr="003637DA">
        <w:rPr>
          <w:lang w:val="fr-FR"/>
        </w:rPr>
        <w:t xml:space="preserve">ette section identifie les activités supplémentaires pouvant être </w:t>
      </w:r>
      <w:r w:rsidR="00234F10">
        <w:rPr>
          <w:lang w:val="fr-FR"/>
        </w:rPr>
        <w:t>nécessaires</w:t>
      </w:r>
      <w:r w:rsidRPr="003637DA">
        <w:rPr>
          <w:lang w:val="fr-FR"/>
        </w:rPr>
        <w:t xml:space="preserve"> pour l</w:t>
      </w:r>
      <w:r w:rsidR="003E6D2D">
        <w:rPr>
          <w:lang w:val="fr-FR"/>
        </w:rPr>
        <w:t>’</w:t>
      </w:r>
      <w:r w:rsidRPr="003637DA">
        <w:rPr>
          <w:lang w:val="fr-FR"/>
        </w:rPr>
        <w:t>adoption d</w:t>
      </w:r>
      <w:r w:rsidR="003E6D2D">
        <w:rPr>
          <w:lang w:val="fr-FR"/>
        </w:rPr>
        <w:t>’</w:t>
      </w:r>
      <w:r w:rsidRPr="003637DA">
        <w:rPr>
          <w:lang w:val="fr-FR"/>
        </w:rPr>
        <w:t>équipements de réfrigération, de climatisation et de pompes à chaleur écoénergétique</w:t>
      </w:r>
      <w:r w:rsidR="00234F10">
        <w:rPr>
          <w:lang w:val="fr-FR"/>
        </w:rPr>
        <w:t>s,</w:t>
      </w:r>
      <w:r w:rsidRPr="003637DA">
        <w:rPr>
          <w:lang w:val="fr-FR"/>
        </w:rPr>
        <w:t xml:space="preserve"> fonctionnant avec de</w:t>
      </w:r>
      <w:r w:rsidR="003637DA" w:rsidRPr="003637DA">
        <w:rPr>
          <w:lang w:val="fr-FR"/>
        </w:rPr>
        <w:t>s</w:t>
      </w:r>
      <w:r w:rsidRPr="003637DA">
        <w:rPr>
          <w:lang w:val="fr-FR"/>
        </w:rPr>
        <w:t xml:space="preserve"> </w:t>
      </w:r>
      <w:r w:rsidR="003637DA" w:rsidRPr="003637DA">
        <w:rPr>
          <w:lang w:val="fr-FR"/>
        </w:rPr>
        <w:t>frigorigènes</w:t>
      </w:r>
      <w:r w:rsidRPr="003637DA">
        <w:rPr>
          <w:lang w:val="fr-FR"/>
        </w:rPr>
        <w:t xml:space="preserve"> à </w:t>
      </w:r>
      <w:r w:rsidR="003637DA" w:rsidRPr="003637DA">
        <w:rPr>
          <w:rFonts w:eastAsia="Cambria"/>
          <w:lang w:val="fr-FR"/>
        </w:rPr>
        <w:t xml:space="preserve">faible PRP ou sans </w:t>
      </w:r>
      <w:r w:rsidR="00B945F9">
        <w:rPr>
          <w:rFonts w:eastAsia="Cambria"/>
          <w:lang w:val="fr-FR"/>
        </w:rPr>
        <w:t>PRP</w:t>
      </w:r>
      <w:r w:rsidR="003637DA" w:rsidRPr="003637DA">
        <w:rPr>
          <w:rFonts w:eastAsia="Cambria"/>
          <w:lang w:val="fr-FR"/>
        </w:rPr>
        <w:t xml:space="preserve">, </w:t>
      </w:r>
      <w:r w:rsidR="003637DA" w:rsidRPr="003637DA">
        <w:rPr>
          <w:lang w:val="fr-FR"/>
        </w:rPr>
        <w:t>sur la base de</w:t>
      </w:r>
      <w:r w:rsidRPr="003637DA">
        <w:rPr>
          <w:lang w:val="fr-FR"/>
        </w:rPr>
        <w:t xml:space="preserve"> l</w:t>
      </w:r>
      <w:r w:rsidR="003E6D2D">
        <w:rPr>
          <w:lang w:val="fr-FR"/>
        </w:rPr>
        <w:t>’</w:t>
      </w:r>
      <w:r w:rsidRPr="003637DA">
        <w:rPr>
          <w:lang w:val="fr-FR"/>
        </w:rPr>
        <w:t>examen d</w:t>
      </w:r>
      <w:r w:rsidR="00E9299F">
        <w:rPr>
          <w:lang w:val="fr-FR"/>
        </w:rPr>
        <w:t>es</w:t>
      </w:r>
      <w:r w:rsidRPr="003637DA">
        <w:rPr>
          <w:lang w:val="fr-FR"/>
        </w:rPr>
        <w:t xml:space="preserve"> </w:t>
      </w:r>
      <w:r w:rsidR="003637DA" w:rsidRPr="003637DA">
        <w:rPr>
          <w:lang w:val="fr-FR"/>
        </w:rPr>
        <w:t>cadre</w:t>
      </w:r>
      <w:r w:rsidR="00E9299F">
        <w:rPr>
          <w:lang w:val="fr-FR"/>
        </w:rPr>
        <w:t>s</w:t>
      </w:r>
      <w:r w:rsidR="003637DA" w:rsidRPr="003637DA">
        <w:rPr>
          <w:lang w:val="fr-FR"/>
        </w:rPr>
        <w:t xml:space="preserve"> réglementaire</w:t>
      </w:r>
      <w:r w:rsidR="00E9299F">
        <w:rPr>
          <w:lang w:val="fr-FR"/>
        </w:rPr>
        <w:t>s</w:t>
      </w:r>
      <w:r w:rsidR="003637DA" w:rsidRPr="003637DA">
        <w:rPr>
          <w:lang w:val="fr-FR"/>
        </w:rPr>
        <w:t xml:space="preserve"> et des plans d</w:t>
      </w:r>
      <w:r w:rsidR="003E6D2D">
        <w:rPr>
          <w:lang w:val="fr-FR"/>
        </w:rPr>
        <w:t>’</w:t>
      </w:r>
      <w:r w:rsidR="003637DA" w:rsidRPr="003637DA">
        <w:rPr>
          <w:lang w:val="fr-FR"/>
        </w:rPr>
        <w:t>élimination des substances réglementées</w:t>
      </w:r>
      <w:r w:rsidR="00E9299F">
        <w:rPr>
          <w:lang w:val="fr-FR"/>
        </w:rPr>
        <w:t>,</w:t>
      </w:r>
      <w:r w:rsidRPr="003637DA">
        <w:rPr>
          <w:lang w:val="fr-FR"/>
        </w:rPr>
        <w:t xml:space="preserve"> en particulier </w:t>
      </w:r>
      <w:r w:rsidR="00E9299F">
        <w:rPr>
          <w:lang w:val="fr-FR"/>
        </w:rPr>
        <w:t xml:space="preserve">ceux </w:t>
      </w:r>
      <w:r w:rsidR="003637DA" w:rsidRPr="003637DA">
        <w:rPr>
          <w:lang w:val="fr-FR"/>
        </w:rPr>
        <w:t>se rapportant au secteur de l</w:t>
      </w:r>
      <w:r w:rsidR="003E6D2D">
        <w:rPr>
          <w:lang w:val="fr-FR"/>
        </w:rPr>
        <w:t>’</w:t>
      </w:r>
      <w:r w:rsidR="003637DA" w:rsidRPr="003637DA">
        <w:rPr>
          <w:lang w:val="fr-FR"/>
        </w:rPr>
        <w:t>entretien des équipements de réfrigération</w:t>
      </w:r>
      <w:r w:rsidRPr="003637DA">
        <w:rPr>
          <w:lang w:val="fr-FR"/>
        </w:rPr>
        <w:t>.</w:t>
      </w:r>
      <w:r w:rsidR="00EB56BA" w:rsidRPr="00C51E0A">
        <w:rPr>
          <w:lang w:val="fr-FR"/>
        </w:rPr>
        <w:t xml:space="preserve"> </w:t>
      </w:r>
      <w:r w:rsidR="003637DA" w:rsidRPr="003637DA">
        <w:rPr>
          <w:lang w:val="fr-FR"/>
        </w:rPr>
        <w:t>Elle propose un ensemble d</w:t>
      </w:r>
      <w:r w:rsidR="003E6D2D">
        <w:rPr>
          <w:lang w:val="fr-FR"/>
        </w:rPr>
        <w:t>’</w:t>
      </w:r>
      <w:r w:rsidR="003637DA" w:rsidRPr="003637DA">
        <w:rPr>
          <w:lang w:val="fr-FR"/>
        </w:rPr>
        <w:t>indicateurs d</w:t>
      </w:r>
      <w:r w:rsidR="003E6D2D">
        <w:rPr>
          <w:lang w:val="fr-FR"/>
        </w:rPr>
        <w:t>’</w:t>
      </w:r>
      <w:r w:rsidR="003637DA" w:rsidRPr="003637DA">
        <w:rPr>
          <w:lang w:val="fr-FR"/>
        </w:rPr>
        <w:t xml:space="preserve">efficacité et une brève analyse des coûts </w:t>
      </w:r>
      <w:r w:rsidR="00E9299F">
        <w:rPr>
          <w:lang w:val="fr-FR"/>
        </w:rPr>
        <w:t>ainsi que</w:t>
      </w:r>
      <w:r w:rsidR="003637DA" w:rsidRPr="003637DA">
        <w:rPr>
          <w:lang w:val="fr-FR"/>
        </w:rPr>
        <w:t xml:space="preserve"> </w:t>
      </w:r>
      <w:r w:rsidR="00BE4BB1">
        <w:rPr>
          <w:lang w:val="fr-FR"/>
        </w:rPr>
        <w:t>d</w:t>
      </w:r>
      <w:r w:rsidR="003637DA" w:rsidRPr="003637DA">
        <w:rPr>
          <w:lang w:val="fr-FR"/>
        </w:rPr>
        <w:t>es modalités de financement.</w:t>
      </w:r>
    </w:p>
    <w:p w:rsidR="00EB56BA" w:rsidRPr="00C51E0A" w:rsidRDefault="00EB56BA" w:rsidP="00EB56BA">
      <w:pPr>
        <w:rPr>
          <w:u w:val="single"/>
          <w:lang w:val="fr-FR"/>
        </w:rPr>
      </w:pPr>
    </w:p>
    <w:p w:rsidR="00EB56BA" w:rsidRPr="00C51E0A" w:rsidRDefault="00B945F9" w:rsidP="003637DA">
      <w:pPr>
        <w:pStyle w:val="Heading1"/>
        <w:rPr>
          <w:lang w:val="fr-FR"/>
        </w:rPr>
      </w:pPr>
      <w:r>
        <w:rPr>
          <w:lang w:val="fr-FR"/>
        </w:rPr>
        <w:t>Pour préparer</w:t>
      </w:r>
      <w:r w:rsidR="003637DA" w:rsidRPr="003637DA">
        <w:rPr>
          <w:lang w:val="fr-FR"/>
        </w:rPr>
        <w:t xml:space="preserve"> le présent document, le Secrétariat a pris en compte </w:t>
      </w:r>
      <w:r w:rsidR="00E9299F">
        <w:rPr>
          <w:lang w:val="fr-FR"/>
        </w:rPr>
        <w:t xml:space="preserve">les </w:t>
      </w:r>
      <w:r w:rsidR="003637DA" w:rsidRPr="003637DA">
        <w:rPr>
          <w:lang w:val="fr-FR"/>
        </w:rPr>
        <w:t>information</w:t>
      </w:r>
      <w:r w:rsidR="00E9299F">
        <w:rPr>
          <w:lang w:val="fr-FR"/>
        </w:rPr>
        <w:t>s</w:t>
      </w:r>
      <w:r w:rsidR="003637DA" w:rsidRPr="003637DA">
        <w:rPr>
          <w:lang w:val="fr-FR"/>
        </w:rPr>
        <w:t xml:space="preserve"> </w:t>
      </w:r>
      <w:r>
        <w:rPr>
          <w:lang w:val="fr-FR"/>
        </w:rPr>
        <w:t>portant sur</w:t>
      </w:r>
      <w:r w:rsidR="003637DA" w:rsidRPr="003637DA">
        <w:rPr>
          <w:lang w:val="fr-FR"/>
        </w:rPr>
        <w:t xml:space="preserve"> l</w:t>
      </w:r>
      <w:r w:rsidR="003E6D2D">
        <w:rPr>
          <w:lang w:val="fr-FR"/>
        </w:rPr>
        <w:t>’</w:t>
      </w:r>
      <w:r w:rsidR="003637DA" w:rsidRPr="003637DA">
        <w:rPr>
          <w:lang w:val="fr-FR"/>
        </w:rPr>
        <w:t>efficacité énergétique contenue</w:t>
      </w:r>
      <w:r w:rsidR="00E9299F">
        <w:rPr>
          <w:lang w:val="fr-FR"/>
        </w:rPr>
        <w:t>s</w:t>
      </w:r>
      <w:r w:rsidR="003637DA" w:rsidRPr="003637DA">
        <w:rPr>
          <w:lang w:val="fr-FR"/>
        </w:rPr>
        <w:t xml:space="preserve"> dans les documents suivants</w:t>
      </w:r>
      <w:r w:rsidR="00E9299F">
        <w:rPr>
          <w:lang w:val="fr-FR"/>
        </w:rPr>
        <w:t>,</w:t>
      </w:r>
      <w:r w:rsidR="003637DA" w:rsidRPr="003637DA">
        <w:rPr>
          <w:lang w:val="fr-FR"/>
        </w:rPr>
        <w:t xml:space="preserve"> précédemment examinés par le Comité exécutif ou les Parties au Protocole de Montréal</w:t>
      </w:r>
      <w:r w:rsidR="00EB56BA">
        <w:rPr>
          <w:rStyle w:val="FootnoteReference"/>
        </w:rPr>
        <w:footnoteReference w:id="11"/>
      </w:r>
      <w:r w:rsidR="00BE4BB1">
        <w:rPr>
          <w:lang w:val="fr-FR"/>
        </w:rPr>
        <w:t> :</w:t>
      </w:r>
    </w:p>
    <w:p w:rsidR="00EB56BA" w:rsidRPr="00C51E0A" w:rsidRDefault="00E9299F" w:rsidP="003637DA">
      <w:pPr>
        <w:pStyle w:val="Heading2"/>
        <w:rPr>
          <w:lang w:val="fr-FR"/>
        </w:rPr>
      </w:pPr>
      <w:r>
        <w:rPr>
          <w:lang w:val="fr-FR"/>
        </w:rPr>
        <w:t>Les q</w:t>
      </w:r>
      <w:r w:rsidR="003637DA" w:rsidRPr="003637DA">
        <w:rPr>
          <w:lang w:val="fr-FR"/>
        </w:rPr>
        <w:t>uestions concernant le Comité exécutif issues de la vingt-huitième Réunion des Parties au Protocole de Montréal</w:t>
      </w:r>
      <w:r w:rsidR="00EB56BA">
        <w:rPr>
          <w:rStyle w:val="FootnoteReference"/>
        </w:rPr>
        <w:footnoteReference w:id="12"/>
      </w:r>
      <w:r w:rsidR="00BE4BB1">
        <w:rPr>
          <w:lang w:val="fr-FR"/>
        </w:rPr>
        <w:t> ;</w:t>
      </w:r>
    </w:p>
    <w:p w:rsidR="00EB56BA" w:rsidRPr="00C51E0A" w:rsidRDefault="00E9299F" w:rsidP="003637DA">
      <w:pPr>
        <w:pStyle w:val="Heading2"/>
        <w:rPr>
          <w:lang w:val="fr-FR"/>
        </w:rPr>
      </w:pPr>
      <w:r>
        <w:rPr>
          <w:lang w:val="fr-FR"/>
        </w:rPr>
        <w:t>Les i</w:t>
      </w:r>
      <w:r w:rsidR="003637DA" w:rsidRPr="003637DA">
        <w:rPr>
          <w:lang w:val="fr-FR"/>
        </w:rPr>
        <w:t>nformation</w:t>
      </w:r>
      <w:r>
        <w:rPr>
          <w:lang w:val="fr-FR"/>
        </w:rPr>
        <w:t>s</w:t>
      </w:r>
      <w:r w:rsidR="003637DA" w:rsidRPr="003637DA">
        <w:rPr>
          <w:lang w:val="fr-FR"/>
        </w:rPr>
        <w:t xml:space="preserve"> </w:t>
      </w:r>
      <w:r w:rsidR="00BE4BB1">
        <w:rPr>
          <w:lang w:val="fr-FR"/>
        </w:rPr>
        <w:t xml:space="preserve">portant sur l’élaboration </w:t>
      </w:r>
      <w:r w:rsidR="003637DA" w:rsidRPr="003637DA">
        <w:rPr>
          <w:lang w:val="fr-FR"/>
        </w:rPr>
        <w:t>de directives relatives aux coûts pour la réduction progressive des HFC dans les pays visés à l</w:t>
      </w:r>
      <w:r w:rsidR="003E6D2D">
        <w:rPr>
          <w:lang w:val="fr-FR"/>
        </w:rPr>
        <w:t>’</w:t>
      </w:r>
      <w:r w:rsidR="003637DA" w:rsidRPr="003637DA">
        <w:rPr>
          <w:lang w:val="fr-FR"/>
        </w:rPr>
        <w:t>article 5 :</w:t>
      </w:r>
      <w:r w:rsidR="00EB56BA" w:rsidRPr="00C51E0A">
        <w:rPr>
          <w:lang w:val="fr-FR"/>
        </w:rPr>
        <w:t xml:space="preserve"> </w:t>
      </w:r>
      <w:r w:rsidR="003637DA" w:rsidRPr="003637DA">
        <w:rPr>
          <w:lang w:val="fr-FR"/>
        </w:rPr>
        <w:t>avant-projet de normes pour le financement</w:t>
      </w:r>
      <w:r w:rsidR="00EB56BA">
        <w:rPr>
          <w:rStyle w:val="FootnoteReference"/>
        </w:rPr>
        <w:footnoteReference w:id="13"/>
      </w:r>
      <w:r w:rsidR="00BE4BB1">
        <w:rPr>
          <w:lang w:val="fr-FR"/>
        </w:rPr>
        <w:t> ;</w:t>
      </w:r>
    </w:p>
    <w:p w:rsidR="00EB56BA" w:rsidRPr="00C51E0A" w:rsidRDefault="00E9299F" w:rsidP="003637DA">
      <w:pPr>
        <w:pStyle w:val="Heading2"/>
        <w:keepNext/>
        <w:keepLines/>
        <w:rPr>
          <w:lang w:val="fr-FR"/>
        </w:rPr>
      </w:pPr>
      <w:r>
        <w:rPr>
          <w:lang w:val="fr-FR"/>
        </w:rPr>
        <w:t>Le d</w:t>
      </w:r>
      <w:r w:rsidR="003637DA" w:rsidRPr="003637DA">
        <w:rPr>
          <w:lang w:val="fr-FR"/>
        </w:rPr>
        <w:t>ocument préliminaire sur tous les aspects liés au secteur de l</w:t>
      </w:r>
      <w:r w:rsidR="003E6D2D">
        <w:rPr>
          <w:lang w:val="fr-FR"/>
        </w:rPr>
        <w:t>’</w:t>
      </w:r>
      <w:r w:rsidR="003637DA" w:rsidRPr="003637DA">
        <w:rPr>
          <w:lang w:val="fr-FR"/>
        </w:rPr>
        <w:t>entretien des équipements de réfrigération qui soutiennent la réduction progressive des HFC (décision 80/76 (c))</w:t>
      </w:r>
      <w:r w:rsidR="00EB56BA">
        <w:rPr>
          <w:rStyle w:val="FootnoteReference"/>
        </w:rPr>
        <w:footnoteReference w:id="14"/>
      </w:r>
      <w:r w:rsidR="00BE4BB1">
        <w:rPr>
          <w:lang w:val="fr-FR"/>
        </w:rPr>
        <w:t>.</w:t>
      </w:r>
      <w:r w:rsidR="00EB56BA" w:rsidRPr="00C51E0A">
        <w:rPr>
          <w:lang w:val="fr-FR"/>
        </w:rPr>
        <w:t xml:space="preserve"> </w:t>
      </w:r>
      <w:r>
        <w:rPr>
          <w:lang w:val="fr-FR"/>
        </w:rPr>
        <w:t>C</w:t>
      </w:r>
      <w:r w:rsidR="003637DA" w:rsidRPr="003637DA">
        <w:rPr>
          <w:lang w:val="fr-FR"/>
        </w:rPr>
        <w:t>e document présente une vue d</w:t>
      </w:r>
      <w:r w:rsidR="003E6D2D">
        <w:rPr>
          <w:lang w:val="fr-FR"/>
        </w:rPr>
        <w:t>’</w:t>
      </w:r>
      <w:r w:rsidR="003637DA" w:rsidRPr="003637DA">
        <w:rPr>
          <w:lang w:val="fr-FR"/>
        </w:rPr>
        <w:t>ensemble complète du secteur de l</w:t>
      </w:r>
      <w:r w:rsidR="003E6D2D">
        <w:rPr>
          <w:lang w:val="fr-FR"/>
        </w:rPr>
        <w:t>’</w:t>
      </w:r>
      <w:r w:rsidR="003637DA" w:rsidRPr="003637DA">
        <w:rPr>
          <w:lang w:val="fr-FR"/>
        </w:rPr>
        <w:t>entretien des équipements de réfrigération dans tous les pays visés à l</w:t>
      </w:r>
      <w:r w:rsidR="003E6D2D">
        <w:rPr>
          <w:lang w:val="fr-FR"/>
        </w:rPr>
        <w:t>’</w:t>
      </w:r>
      <w:r w:rsidR="003637DA" w:rsidRPr="003637DA">
        <w:rPr>
          <w:lang w:val="fr-FR"/>
        </w:rPr>
        <w:t>article 5 et traite en détail la plupart des éléments de la décision 82/83 (c) ; et</w:t>
      </w:r>
    </w:p>
    <w:p w:rsidR="00EB56BA" w:rsidRPr="00C51E0A" w:rsidRDefault="00E9299F" w:rsidP="00C96091">
      <w:pPr>
        <w:pStyle w:val="Heading2"/>
        <w:rPr>
          <w:lang w:val="fr-FR"/>
        </w:rPr>
      </w:pPr>
      <w:r w:rsidRPr="00C96091">
        <w:rPr>
          <w:lang w:val="fr-FR"/>
        </w:rPr>
        <w:t>Le r</w:t>
      </w:r>
      <w:r w:rsidR="003637DA" w:rsidRPr="00C96091">
        <w:rPr>
          <w:lang w:val="fr-FR"/>
        </w:rPr>
        <w:t xml:space="preserve">apport du groupe de travail </w:t>
      </w:r>
      <w:r w:rsidRPr="00C96091">
        <w:rPr>
          <w:lang w:val="fr-FR"/>
        </w:rPr>
        <w:t>en application de la</w:t>
      </w:r>
      <w:r w:rsidR="003637DA" w:rsidRPr="00C96091">
        <w:rPr>
          <w:lang w:val="fr-FR"/>
        </w:rPr>
        <w:t xml:space="preserve"> décision XXIX/10 sur des questions reliées à l</w:t>
      </w:r>
      <w:r w:rsidR="003E6D2D">
        <w:rPr>
          <w:lang w:val="fr-FR"/>
        </w:rPr>
        <w:t>’</w:t>
      </w:r>
      <w:r w:rsidR="003637DA" w:rsidRPr="00C96091">
        <w:rPr>
          <w:lang w:val="fr-FR"/>
        </w:rPr>
        <w:t xml:space="preserve">efficacité énergétique dans le cadre de </w:t>
      </w:r>
      <w:r w:rsidRPr="00C96091">
        <w:rPr>
          <w:lang w:val="fr-FR"/>
        </w:rPr>
        <w:t xml:space="preserve">la </w:t>
      </w:r>
      <w:r w:rsidR="003637DA" w:rsidRPr="00C96091">
        <w:rPr>
          <w:lang w:val="fr-FR"/>
        </w:rPr>
        <w:t xml:space="preserve">réduction progressive des HFC, </w:t>
      </w:r>
      <w:r w:rsidRPr="00C96091">
        <w:rPr>
          <w:lang w:val="fr-FR"/>
        </w:rPr>
        <w:t>Groupe de l</w:t>
      </w:r>
      <w:r w:rsidR="003E6D2D">
        <w:rPr>
          <w:lang w:val="fr-FR"/>
        </w:rPr>
        <w:t>’</w:t>
      </w:r>
      <w:r w:rsidRPr="00C96091">
        <w:rPr>
          <w:lang w:val="fr-FR"/>
        </w:rPr>
        <w:t>évaluation technique et économique (</w:t>
      </w:r>
      <w:r w:rsidR="003637DA" w:rsidRPr="00C96091">
        <w:rPr>
          <w:lang w:val="fr-FR"/>
        </w:rPr>
        <w:t>TEAP</w:t>
      </w:r>
      <w:r w:rsidRPr="00C96091">
        <w:rPr>
          <w:lang w:val="fr-FR"/>
        </w:rPr>
        <w:t>)</w:t>
      </w:r>
      <w:r w:rsidR="003637DA" w:rsidRPr="00C96091">
        <w:rPr>
          <w:lang w:val="fr-FR"/>
        </w:rPr>
        <w:t xml:space="preserve"> du PNUE, septembre 2018.</w:t>
      </w:r>
    </w:p>
    <w:p w:rsidR="00EB56BA" w:rsidRPr="00C51E0A" w:rsidRDefault="003637DA" w:rsidP="003637DA">
      <w:pPr>
        <w:pStyle w:val="Heading1"/>
        <w:rPr>
          <w:lang w:val="fr-FR"/>
        </w:rPr>
      </w:pPr>
      <w:r w:rsidRPr="003637DA">
        <w:rPr>
          <w:lang w:val="fr-FR"/>
        </w:rPr>
        <w:t>Le Secrétariat a également étudié :</w:t>
      </w:r>
    </w:p>
    <w:p w:rsidR="00EB56BA" w:rsidRPr="00C51E0A" w:rsidRDefault="003637DA" w:rsidP="003637DA">
      <w:pPr>
        <w:pStyle w:val="Heading2"/>
        <w:rPr>
          <w:lang w:val="fr-FR"/>
        </w:rPr>
      </w:pPr>
      <w:r w:rsidRPr="003637DA">
        <w:rPr>
          <w:lang w:val="fr-FR"/>
        </w:rPr>
        <w:t xml:space="preserve">Les politiques et les décisions du Fonds multilatéral et de la Réunion des Parties </w:t>
      </w:r>
      <w:r w:rsidR="00BE4BB1">
        <w:rPr>
          <w:lang w:val="fr-FR"/>
        </w:rPr>
        <w:t xml:space="preserve">concernant </w:t>
      </w:r>
      <w:r w:rsidRPr="003637DA">
        <w:rPr>
          <w:lang w:val="fr-FR"/>
        </w:rPr>
        <w:t>l</w:t>
      </w:r>
      <w:r w:rsidR="003E6D2D">
        <w:rPr>
          <w:lang w:val="fr-FR"/>
        </w:rPr>
        <w:t>’</w:t>
      </w:r>
      <w:r w:rsidRPr="003637DA">
        <w:rPr>
          <w:lang w:val="fr-FR"/>
        </w:rPr>
        <w:t>efficacité énergétique ;</w:t>
      </w:r>
    </w:p>
    <w:p w:rsidR="00EB56BA" w:rsidRPr="00C51E0A" w:rsidRDefault="003637DA" w:rsidP="003637DA">
      <w:pPr>
        <w:pStyle w:val="Heading2"/>
        <w:rPr>
          <w:lang w:val="fr-FR"/>
        </w:rPr>
      </w:pPr>
      <w:r w:rsidRPr="003637DA">
        <w:rPr>
          <w:lang w:val="fr-FR"/>
        </w:rPr>
        <w:t>L</w:t>
      </w:r>
      <w:r w:rsidR="003E6D2D">
        <w:rPr>
          <w:lang w:val="fr-FR"/>
        </w:rPr>
        <w:t>’</w:t>
      </w:r>
      <w:r w:rsidRPr="003637DA">
        <w:rPr>
          <w:lang w:val="fr-FR"/>
        </w:rPr>
        <w:t>expérience du Fonds multilatéral acquise lors de la mise en œuvre de projet</w:t>
      </w:r>
      <w:r w:rsidR="00E9299F">
        <w:rPr>
          <w:lang w:val="fr-FR"/>
        </w:rPr>
        <w:t>s</w:t>
      </w:r>
      <w:r w:rsidRPr="003637DA">
        <w:rPr>
          <w:lang w:val="fr-FR"/>
        </w:rPr>
        <w:t xml:space="preserve"> qui ont inclus des indicateurs de rendement</w:t>
      </w:r>
      <w:r w:rsidR="00E9299F">
        <w:rPr>
          <w:lang w:val="fr-FR"/>
        </w:rPr>
        <w:t xml:space="preserve"> </w:t>
      </w:r>
      <w:r w:rsidRPr="003637DA">
        <w:rPr>
          <w:lang w:val="fr-FR"/>
        </w:rPr>
        <w:t>énergétique et l</w:t>
      </w:r>
      <w:r w:rsidR="003E6D2D">
        <w:rPr>
          <w:lang w:val="fr-FR"/>
        </w:rPr>
        <w:t>’</w:t>
      </w:r>
      <w:r w:rsidRPr="003637DA">
        <w:rPr>
          <w:lang w:val="fr-FR"/>
        </w:rPr>
        <w:t xml:space="preserve">évaluation des projets sur les </w:t>
      </w:r>
      <w:r w:rsidRPr="003637DA">
        <w:rPr>
          <w:lang w:val="fr-FR"/>
        </w:rPr>
        <w:lastRenderedPageBreak/>
        <w:t>refroidisseurs par l</w:t>
      </w:r>
      <w:r w:rsidR="003E6D2D">
        <w:rPr>
          <w:lang w:val="fr-FR"/>
        </w:rPr>
        <w:t>’</w:t>
      </w:r>
      <w:r w:rsidRPr="003637DA">
        <w:rPr>
          <w:lang w:val="fr-FR"/>
        </w:rPr>
        <w:t>Administrateur principal chargé du suivi et évaluation ;</w:t>
      </w:r>
      <w:r w:rsidR="00EB56BA" w:rsidRPr="00C51E0A">
        <w:rPr>
          <w:lang w:val="fr-FR"/>
        </w:rPr>
        <w:t xml:space="preserve"> </w:t>
      </w:r>
    </w:p>
    <w:p w:rsidR="00EB56BA" w:rsidRPr="00C51E0A" w:rsidRDefault="003637DA" w:rsidP="00454FF9">
      <w:pPr>
        <w:pStyle w:val="Heading2"/>
        <w:rPr>
          <w:lang w:val="fr-FR"/>
        </w:rPr>
      </w:pPr>
      <w:r w:rsidRPr="00454FF9">
        <w:rPr>
          <w:lang w:val="fr-FR"/>
        </w:rPr>
        <w:t>Des entretiens avec les parties prenantes du secteur de l</w:t>
      </w:r>
      <w:r w:rsidR="003E6D2D">
        <w:rPr>
          <w:lang w:val="fr-FR"/>
        </w:rPr>
        <w:t>’</w:t>
      </w:r>
      <w:r w:rsidRPr="00454FF9">
        <w:rPr>
          <w:lang w:val="fr-FR"/>
        </w:rPr>
        <w:t>entretien des équipements de réfrigération dans des pays visés à l</w:t>
      </w:r>
      <w:r w:rsidR="003E6D2D">
        <w:rPr>
          <w:lang w:val="fr-FR"/>
        </w:rPr>
        <w:t>’</w:t>
      </w:r>
      <w:r w:rsidRPr="00454FF9">
        <w:rPr>
          <w:lang w:val="fr-FR"/>
        </w:rPr>
        <w:t>article 5, qui ont eu lieu lors de missions et au cours de réunions dans les locaux du Secrétariat entre février et avril 2018 ;</w:t>
      </w:r>
    </w:p>
    <w:p w:rsidR="00EB56BA" w:rsidRPr="00C51E0A" w:rsidRDefault="00454FF9" w:rsidP="00454FF9">
      <w:pPr>
        <w:pStyle w:val="Heading2"/>
        <w:numPr>
          <w:ilvl w:val="1"/>
          <w:numId w:val="1"/>
        </w:numPr>
        <w:rPr>
          <w:lang w:val="fr-FR"/>
        </w:rPr>
      </w:pPr>
      <w:r w:rsidRPr="00454FF9">
        <w:rPr>
          <w:lang w:val="fr-FR"/>
        </w:rPr>
        <w:t>Les informations présentées lors de l</w:t>
      </w:r>
      <w:r w:rsidR="003E6D2D">
        <w:rPr>
          <w:lang w:val="fr-FR"/>
        </w:rPr>
        <w:t>’</w:t>
      </w:r>
      <w:r w:rsidRPr="00454FF9">
        <w:rPr>
          <w:lang w:val="fr-FR"/>
        </w:rPr>
        <w:t>atelier sur des normes de sécurité concernant l</w:t>
      </w:r>
      <w:r w:rsidR="003E6D2D">
        <w:rPr>
          <w:lang w:val="fr-FR"/>
        </w:rPr>
        <w:t>’</w:t>
      </w:r>
      <w:r w:rsidRPr="00454FF9">
        <w:rPr>
          <w:lang w:val="fr-FR"/>
        </w:rPr>
        <w:t>utilisation sûre des produits de remplacement à faible PRP</w:t>
      </w:r>
      <w:r w:rsidRPr="00454FF9">
        <w:rPr>
          <w:rStyle w:val="FootnoteReference"/>
          <w:lang w:val="fr-FR"/>
        </w:rPr>
        <w:footnoteReference w:id="15"/>
      </w:r>
      <w:r w:rsidRPr="00454FF9">
        <w:rPr>
          <w:lang w:val="fr-FR"/>
        </w:rPr>
        <w:t xml:space="preserve"> et lors de l</w:t>
      </w:r>
      <w:r w:rsidR="003E6D2D">
        <w:rPr>
          <w:lang w:val="fr-FR"/>
        </w:rPr>
        <w:t>’</w:t>
      </w:r>
      <w:r w:rsidRPr="00454FF9">
        <w:rPr>
          <w:lang w:val="fr-FR"/>
        </w:rPr>
        <w:t>atelier sur les possibilités</w:t>
      </w:r>
      <w:r w:rsidR="005E1B53">
        <w:rPr>
          <w:lang w:val="fr-FR"/>
        </w:rPr>
        <w:t xml:space="preserve"> offertes en matière</w:t>
      </w:r>
      <w:r w:rsidRPr="00454FF9">
        <w:rPr>
          <w:lang w:val="fr-FR"/>
        </w:rPr>
        <w:t xml:space="preserve"> d</w:t>
      </w:r>
      <w:r w:rsidR="003E6D2D">
        <w:rPr>
          <w:lang w:val="fr-FR"/>
        </w:rPr>
        <w:t>’</w:t>
      </w:r>
      <w:r w:rsidRPr="00454FF9">
        <w:rPr>
          <w:lang w:val="fr-FR"/>
        </w:rPr>
        <w:t xml:space="preserve">efficacité énergétique </w:t>
      </w:r>
      <w:r w:rsidR="005E1B53">
        <w:rPr>
          <w:lang w:val="fr-FR"/>
        </w:rPr>
        <w:t>dans le cadre</w:t>
      </w:r>
      <w:r w:rsidRPr="00454FF9">
        <w:rPr>
          <w:lang w:val="fr-FR"/>
        </w:rPr>
        <w:t xml:space="preserve"> la réduction progressive des HFC</w:t>
      </w:r>
      <w:r w:rsidRPr="00454FF9">
        <w:rPr>
          <w:rStyle w:val="FootnoteReference"/>
          <w:lang w:val="fr-FR"/>
        </w:rPr>
        <w:footnoteReference w:id="16"/>
      </w:r>
      <w:r w:rsidRPr="00454FF9">
        <w:rPr>
          <w:lang w:val="fr-FR"/>
        </w:rPr>
        <w:t>, qui ont eu lieu en marge de respectivement la 39</w:t>
      </w:r>
      <w:r w:rsidRPr="00454FF9">
        <w:rPr>
          <w:vertAlign w:val="superscript"/>
          <w:lang w:val="fr-FR"/>
        </w:rPr>
        <w:t>e</w:t>
      </w:r>
      <w:r w:rsidRPr="00454FF9">
        <w:rPr>
          <w:lang w:val="fr-FR"/>
        </w:rPr>
        <w:t xml:space="preserve"> et la 40</w:t>
      </w:r>
      <w:r w:rsidRPr="00454FF9">
        <w:rPr>
          <w:vertAlign w:val="superscript"/>
          <w:lang w:val="fr-FR"/>
        </w:rPr>
        <w:t>e</w:t>
      </w:r>
      <w:r w:rsidRPr="00454FF9">
        <w:rPr>
          <w:lang w:val="fr-FR"/>
        </w:rPr>
        <w:t xml:space="preserve"> réunion du Groupe de travail à composition </w:t>
      </w:r>
      <w:r w:rsidR="005E1B53">
        <w:rPr>
          <w:lang w:val="fr-FR"/>
        </w:rPr>
        <w:t>non li</w:t>
      </w:r>
      <w:r w:rsidRPr="00454FF9">
        <w:rPr>
          <w:lang w:val="fr-FR"/>
        </w:rPr>
        <w:t>mitée (OEWG) ;</w:t>
      </w:r>
    </w:p>
    <w:p w:rsidR="00EB56BA" w:rsidRPr="00C51E0A" w:rsidRDefault="00454FF9" w:rsidP="00454FF9">
      <w:pPr>
        <w:pStyle w:val="Heading2"/>
        <w:rPr>
          <w:lang w:val="fr-FR"/>
        </w:rPr>
      </w:pPr>
      <w:r w:rsidRPr="00454FF9">
        <w:rPr>
          <w:lang w:val="fr-FR"/>
        </w:rPr>
        <w:t>Des entretiens avec les représentants des agences bilatérales et d</w:t>
      </w:r>
      <w:r w:rsidR="003E6D2D">
        <w:rPr>
          <w:lang w:val="fr-FR"/>
        </w:rPr>
        <w:t>’</w:t>
      </w:r>
      <w:r w:rsidRPr="00454FF9">
        <w:rPr>
          <w:lang w:val="fr-FR"/>
        </w:rPr>
        <w:t>exécution sur tous les aspects du secteur de l</w:t>
      </w:r>
      <w:r w:rsidR="003E6D2D">
        <w:rPr>
          <w:lang w:val="fr-FR"/>
        </w:rPr>
        <w:t>’</w:t>
      </w:r>
      <w:r w:rsidRPr="00454FF9">
        <w:rPr>
          <w:lang w:val="fr-FR"/>
        </w:rPr>
        <w:t xml:space="preserve">entretien des équipements de réfrigération au cours des réunions </w:t>
      </w:r>
      <w:r w:rsidR="00E9299F">
        <w:rPr>
          <w:lang w:val="fr-FR"/>
        </w:rPr>
        <w:t xml:space="preserve">de </w:t>
      </w:r>
      <w:r w:rsidRPr="00454FF9">
        <w:rPr>
          <w:lang w:val="fr-FR"/>
        </w:rPr>
        <w:t>coordination inter-agences (IACM) qui se sont tenues en 2018 et 2019</w:t>
      </w:r>
      <w:r w:rsidRPr="00454FF9">
        <w:rPr>
          <w:vertAlign w:val="superscript"/>
          <w:lang w:val="fr-FR"/>
        </w:rPr>
        <w:footnoteReference w:id="17"/>
      </w:r>
      <w:r w:rsidRPr="00454FF9">
        <w:rPr>
          <w:lang w:val="fr-FR"/>
        </w:rPr>
        <w:t xml:space="preserve"> ; et</w:t>
      </w:r>
    </w:p>
    <w:p w:rsidR="00EB56BA" w:rsidRPr="00C51E0A" w:rsidRDefault="00454FF9" w:rsidP="00454FF9">
      <w:pPr>
        <w:pStyle w:val="Heading2"/>
        <w:rPr>
          <w:lang w:val="fr-FR"/>
        </w:rPr>
      </w:pPr>
      <w:r w:rsidRPr="00454FF9">
        <w:rPr>
          <w:lang w:val="fr-FR"/>
        </w:rPr>
        <w:t>Des documents publiés par différentes</w:t>
      </w:r>
      <w:r w:rsidR="003E6D2D">
        <w:rPr>
          <w:lang w:val="fr-FR"/>
        </w:rPr>
        <w:t xml:space="preserve"> </w:t>
      </w:r>
      <w:r w:rsidRPr="00454FF9">
        <w:rPr>
          <w:lang w:val="fr-FR"/>
        </w:rPr>
        <w:t>organisations, notamment les agences bilatérales et d</w:t>
      </w:r>
      <w:r w:rsidR="003E6D2D">
        <w:rPr>
          <w:lang w:val="fr-FR"/>
        </w:rPr>
        <w:t>’</w:t>
      </w:r>
      <w:r w:rsidRPr="00454FF9">
        <w:rPr>
          <w:lang w:val="fr-FR"/>
        </w:rPr>
        <w:t>exécution.</w:t>
      </w:r>
    </w:p>
    <w:p w:rsidR="00EB56BA" w:rsidRPr="00C51E0A" w:rsidRDefault="00454FF9" w:rsidP="00454FF9">
      <w:pPr>
        <w:pStyle w:val="Heading1"/>
        <w:rPr>
          <w:lang w:val="fr-FR"/>
        </w:rPr>
      </w:pPr>
      <w:r w:rsidRPr="00454FF9">
        <w:rPr>
          <w:lang w:val="fr-FR"/>
        </w:rPr>
        <w:t>Le Secrétariat apprécie les points de vue, les informations et les commentaires fournis par les agences bilatérales et d</w:t>
      </w:r>
      <w:r w:rsidR="003E6D2D">
        <w:rPr>
          <w:lang w:val="fr-FR"/>
        </w:rPr>
        <w:t>’</w:t>
      </w:r>
      <w:r w:rsidRPr="00454FF9">
        <w:rPr>
          <w:lang w:val="fr-FR"/>
        </w:rPr>
        <w:t>exécution au cours des IACM.</w:t>
      </w:r>
      <w:r w:rsidR="00EB56BA" w:rsidRPr="00C51E0A">
        <w:rPr>
          <w:lang w:val="fr-FR"/>
        </w:rPr>
        <w:t xml:space="preserve"> </w:t>
      </w:r>
    </w:p>
    <w:p w:rsidR="00EB56BA" w:rsidRPr="00C51E0A" w:rsidRDefault="00454FF9" w:rsidP="00454FF9">
      <w:pPr>
        <w:pStyle w:val="Heading1"/>
        <w:rPr>
          <w:lang w:val="fr-FR"/>
        </w:rPr>
      </w:pPr>
      <w:r w:rsidRPr="00454FF9">
        <w:rPr>
          <w:lang w:val="fr-FR"/>
        </w:rPr>
        <w:t xml:space="preserve">Le Secrétariat a également sollicité </w:t>
      </w:r>
      <w:r w:rsidR="00E9299F">
        <w:rPr>
          <w:lang w:val="fr-FR"/>
        </w:rPr>
        <w:t>l</w:t>
      </w:r>
      <w:r w:rsidR="003E6D2D">
        <w:rPr>
          <w:lang w:val="fr-FR"/>
        </w:rPr>
        <w:t>’</w:t>
      </w:r>
      <w:r w:rsidRPr="00454FF9">
        <w:rPr>
          <w:lang w:val="fr-FR"/>
        </w:rPr>
        <w:t>avis d</w:t>
      </w:r>
      <w:r w:rsidR="003E6D2D">
        <w:rPr>
          <w:lang w:val="fr-FR"/>
        </w:rPr>
        <w:t>’</w:t>
      </w:r>
      <w:r w:rsidRPr="00454FF9">
        <w:rPr>
          <w:lang w:val="fr-FR"/>
        </w:rPr>
        <w:t>un expert indépendant sur les aspects techniques inclus dans le présent document.</w:t>
      </w:r>
      <w:r w:rsidR="00EB56BA" w:rsidRPr="00C51E0A">
        <w:rPr>
          <w:lang w:val="fr-FR"/>
        </w:rPr>
        <w:t xml:space="preserve"> </w:t>
      </w:r>
      <w:r w:rsidRPr="00454FF9">
        <w:rPr>
          <w:lang w:val="fr-FR"/>
        </w:rPr>
        <w:t>Les commentaires de l</w:t>
      </w:r>
      <w:r w:rsidR="003E6D2D">
        <w:rPr>
          <w:lang w:val="fr-FR"/>
        </w:rPr>
        <w:t>’</w:t>
      </w:r>
      <w:r w:rsidRPr="00454FF9">
        <w:rPr>
          <w:lang w:val="fr-FR"/>
        </w:rPr>
        <w:t xml:space="preserve">expert </w:t>
      </w:r>
      <w:r w:rsidR="00E9299F">
        <w:rPr>
          <w:lang w:val="fr-FR"/>
        </w:rPr>
        <w:t xml:space="preserve">à prendre en considération </w:t>
      </w:r>
      <w:r w:rsidRPr="00454FF9">
        <w:rPr>
          <w:lang w:val="fr-FR"/>
        </w:rPr>
        <w:t>ont été incorporés dans le présent document.</w:t>
      </w:r>
    </w:p>
    <w:p w:rsidR="00EB56BA" w:rsidRPr="00C51E0A" w:rsidRDefault="00454FF9" w:rsidP="00EB56BA">
      <w:pPr>
        <w:pStyle w:val="ListParagraph"/>
        <w:keepNext/>
        <w:ind w:left="0"/>
        <w:jc w:val="left"/>
        <w:rPr>
          <w:rFonts w:eastAsiaTheme="minorHAnsi"/>
          <w:b/>
          <w:lang w:val="fr-FR"/>
        </w:rPr>
      </w:pPr>
      <w:r w:rsidRPr="00454FF9">
        <w:rPr>
          <w:rFonts w:eastAsiaTheme="minorHAnsi"/>
          <w:b/>
          <w:lang w:val="fr-FR"/>
        </w:rPr>
        <w:t xml:space="preserve">Introduction de solutions de remplacement des HCFC ou des HFC à faible potentiel de réchauffement de la planète ou sans </w:t>
      </w:r>
      <w:r w:rsidR="005E1B53">
        <w:rPr>
          <w:rFonts w:eastAsiaTheme="minorHAnsi"/>
          <w:b/>
          <w:lang w:val="fr-FR"/>
        </w:rPr>
        <w:t>potentiel de réchauffement</w:t>
      </w:r>
      <w:r w:rsidR="00EB56BA" w:rsidRPr="00C51E0A">
        <w:rPr>
          <w:rFonts w:eastAsiaTheme="minorHAnsi"/>
          <w:b/>
          <w:lang w:val="fr-FR"/>
        </w:rPr>
        <w:t xml:space="preserve"> </w:t>
      </w:r>
    </w:p>
    <w:p w:rsidR="00EB56BA" w:rsidRPr="00C51E0A" w:rsidRDefault="00EB56BA" w:rsidP="00EB56BA">
      <w:pPr>
        <w:pStyle w:val="ListParagraph"/>
        <w:keepNext/>
        <w:ind w:left="0"/>
        <w:jc w:val="left"/>
        <w:rPr>
          <w:rFonts w:eastAsiaTheme="minorHAnsi"/>
          <w:lang w:val="fr-FR"/>
        </w:rPr>
      </w:pPr>
    </w:p>
    <w:p w:rsidR="00EB56BA" w:rsidRPr="00C51E0A" w:rsidRDefault="00454FF9" w:rsidP="00047BB5">
      <w:pPr>
        <w:pStyle w:val="Heading1"/>
        <w:rPr>
          <w:lang w:val="fr-FR"/>
        </w:rPr>
      </w:pPr>
      <w:r w:rsidRPr="00047BB5">
        <w:rPr>
          <w:lang w:val="fr-FR"/>
        </w:rPr>
        <w:t>Depuis la création du Fonds multilatéral en 1991, le Comité exécutif a considéré que les activités de financement du secteur de l</w:t>
      </w:r>
      <w:r w:rsidR="003E6D2D">
        <w:rPr>
          <w:lang w:val="fr-FR"/>
        </w:rPr>
        <w:t>’</w:t>
      </w:r>
      <w:r w:rsidRPr="00047BB5">
        <w:rPr>
          <w:lang w:val="fr-FR"/>
        </w:rPr>
        <w:t>entretien des équipements de réfrigération</w:t>
      </w:r>
      <w:r w:rsidRPr="00047BB5">
        <w:rPr>
          <w:rStyle w:val="FootnoteReference"/>
          <w:lang w:val="fr-FR"/>
        </w:rPr>
        <w:footnoteReference w:id="18"/>
      </w:r>
      <w:r w:rsidRPr="00047BB5">
        <w:rPr>
          <w:lang w:val="fr-FR"/>
        </w:rPr>
        <w:t xml:space="preserve"> constituaient une priorité, étant donné </w:t>
      </w:r>
      <w:r w:rsidR="00047BB5" w:rsidRPr="00047BB5">
        <w:rPr>
          <w:lang w:val="fr-FR"/>
        </w:rPr>
        <w:t xml:space="preserve">que </w:t>
      </w:r>
      <w:r w:rsidRPr="00047BB5">
        <w:rPr>
          <w:lang w:val="fr-FR"/>
        </w:rPr>
        <w:t xml:space="preserve">toutes les substances </w:t>
      </w:r>
      <w:r w:rsidR="00047BB5" w:rsidRPr="00047BB5">
        <w:rPr>
          <w:lang w:val="fr-FR"/>
        </w:rPr>
        <w:t>réglementées ou une partie de celles-ci</w:t>
      </w:r>
      <w:r w:rsidR="00E9299F">
        <w:rPr>
          <w:lang w:val="fr-FR"/>
        </w:rPr>
        <w:t xml:space="preserve"> sont </w:t>
      </w:r>
      <w:r w:rsidR="00047BB5" w:rsidRPr="00047BB5">
        <w:rPr>
          <w:lang w:val="fr-FR"/>
        </w:rPr>
        <w:t>utilis</w:t>
      </w:r>
      <w:r w:rsidRPr="00047BB5">
        <w:rPr>
          <w:lang w:val="fr-FR"/>
        </w:rPr>
        <w:t>ées dans ce secteur.</w:t>
      </w:r>
      <w:r w:rsidR="00EB56BA" w:rsidRPr="00C51E0A">
        <w:rPr>
          <w:lang w:val="fr-FR"/>
        </w:rPr>
        <w:t xml:space="preserve"> </w:t>
      </w:r>
      <w:r w:rsidR="00047BB5" w:rsidRPr="00047BB5">
        <w:rPr>
          <w:lang w:val="fr-FR"/>
        </w:rPr>
        <w:t xml:space="preserve">Le Secrétariat note que </w:t>
      </w:r>
      <w:r w:rsidR="00E12531">
        <w:rPr>
          <w:lang w:val="fr-FR"/>
        </w:rPr>
        <w:t xml:space="preserve">le soutien </w:t>
      </w:r>
      <w:r w:rsidR="00047BB5" w:rsidRPr="00047BB5">
        <w:rPr>
          <w:lang w:val="fr-FR"/>
        </w:rPr>
        <w:t>fourni au secteur de l</w:t>
      </w:r>
      <w:r w:rsidR="003E6D2D">
        <w:rPr>
          <w:lang w:val="fr-FR"/>
        </w:rPr>
        <w:t>’</w:t>
      </w:r>
      <w:r w:rsidR="00047BB5" w:rsidRPr="00047BB5">
        <w:rPr>
          <w:lang w:val="fr-FR"/>
        </w:rPr>
        <w:t>entretien a facilité l</w:t>
      </w:r>
      <w:r w:rsidR="003E6D2D">
        <w:rPr>
          <w:lang w:val="fr-FR"/>
        </w:rPr>
        <w:t>’</w:t>
      </w:r>
      <w:r w:rsidR="00047BB5" w:rsidRPr="00047BB5">
        <w:rPr>
          <w:lang w:val="fr-FR"/>
        </w:rPr>
        <w:t xml:space="preserve">adoption des technologies de </w:t>
      </w:r>
      <w:r w:rsidR="00047BB5" w:rsidRPr="005C0A7B">
        <w:rPr>
          <w:lang w:val="fr-FR"/>
        </w:rPr>
        <w:t xml:space="preserve">remplacement sans SAO sans </w:t>
      </w:r>
      <w:r w:rsidR="005C0A7B" w:rsidRPr="005C0A7B">
        <w:rPr>
          <w:lang w:val="fr-FR"/>
        </w:rPr>
        <w:t xml:space="preserve">toutefois </w:t>
      </w:r>
      <w:r w:rsidR="00047BB5" w:rsidRPr="005C0A7B">
        <w:rPr>
          <w:lang w:val="fr-FR"/>
        </w:rPr>
        <w:t>aboutir directement à l</w:t>
      </w:r>
      <w:r w:rsidR="003E6D2D" w:rsidRPr="005C0A7B">
        <w:rPr>
          <w:lang w:val="fr-FR"/>
        </w:rPr>
        <w:t>’</w:t>
      </w:r>
      <w:r w:rsidR="00047BB5" w:rsidRPr="005C0A7B">
        <w:rPr>
          <w:lang w:val="fr-FR"/>
        </w:rPr>
        <w:t>adoption de ces</w:t>
      </w:r>
      <w:r w:rsidR="00047BB5" w:rsidRPr="00047BB5">
        <w:rPr>
          <w:lang w:val="fr-FR"/>
        </w:rPr>
        <w:t xml:space="preserve"> </w:t>
      </w:r>
      <w:r w:rsidR="005C0A7B">
        <w:rPr>
          <w:lang w:val="fr-FR"/>
        </w:rPr>
        <w:t>technologies</w:t>
      </w:r>
      <w:r w:rsidR="00047BB5" w:rsidRPr="00047BB5">
        <w:rPr>
          <w:lang w:val="fr-FR"/>
        </w:rPr>
        <w:t>, comme cela a été le cas dans le cadre de la reconversion du secteur de la fabrication.</w:t>
      </w:r>
    </w:p>
    <w:p w:rsidR="00EB56BA" w:rsidRPr="00C51E0A" w:rsidRDefault="00047BB5" w:rsidP="00467BA2">
      <w:pPr>
        <w:pStyle w:val="Heading1"/>
        <w:rPr>
          <w:lang w:val="fr-FR"/>
        </w:rPr>
      </w:pPr>
      <w:r w:rsidRPr="00047BB5">
        <w:rPr>
          <w:lang w:val="fr-FR"/>
        </w:rPr>
        <w:t>Des activités initiales dans le secteur de l</w:t>
      </w:r>
      <w:r w:rsidR="003E6D2D">
        <w:rPr>
          <w:lang w:val="fr-FR"/>
        </w:rPr>
        <w:t>’</w:t>
      </w:r>
      <w:r w:rsidRPr="00047BB5">
        <w:rPr>
          <w:lang w:val="fr-FR"/>
        </w:rPr>
        <w:t>entretien ont été mises en œuvre en tant que projets autonomes, comprenant</w:t>
      </w:r>
      <w:r w:rsidR="003E6D2D">
        <w:rPr>
          <w:lang w:val="fr-FR"/>
        </w:rPr>
        <w:t xml:space="preserve"> </w:t>
      </w:r>
      <w:r w:rsidRPr="00047BB5">
        <w:rPr>
          <w:lang w:val="fr-FR"/>
        </w:rPr>
        <w:t>la formation des techniciens frigoristes aux bonnes pratiques de l</w:t>
      </w:r>
      <w:r w:rsidR="003E6D2D">
        <w:rPr>
          <w:lang w:val="fr-FR"/>
        </w:rPr>
        <w:t>’</w:t>
      </w:r>
      <w:r w:rsidRPr="00047BB5">
        <w:rPr>
          <w:lang w:val="fr-FR"/>
        </w:rPr>
        <w:t>entretien, fournissant les outils et l</w:t>
      </w:r>
      <w:r w:rsidR="003E6D2D">
        <w:rPr>
          <w:lang w:val="fr-FR"/>
        </w:rPr>
        <w:t>’</w:t>
      </w:r>
      <w:r w:rsidRPr="00047BB5">
        <w:rPr>
          <w:lang w:val="fr-FR"/>
        </w:rPr>
        <w:t>équipement de base pour ces techniciens, et mettant en place des programmes de récupération et de recyclage des frigorigènes.</w:t>
      </w:r>
      <w:r w:rsidR="00EB56BA" w:rsidRPr="00C51E0A">
        <w:rPr>
          <w:lang w:val="fr-FR"/>
        </w:rPr>
        <w:t xml:space="preserve"> </w:t>
      </w:r>
      <w:r w:rsidRPr="00467BA2">
        <w:rPr>
          <w:lang w:val="fr-FR"/>
        </w:rPr>
        <w:t>Une aide a également été fournie pour le développement et la mise en œuvre</w:t>
      </w:r>
      <w:r w:rsidR="003E6D2D">
        <w:rPr>
          <w:lang w:val="fr-FR"/>
        </w:rPr>
        <w:t xml:space="preserve"> </w:t>
      </w:r>
      <w:r w:rsidR="006D16A4" w:rsidRPr="00467BA2">
        <w:rPr>
          <w:lang w:val="fr-FR"/>
        </w:rPr>
        <w:t xml:space="preserve">de </w:t>
      </w:r>
      <w:r w:rsidRPr="00467BA2">
        <w:rPr>
          <w:lang w:val="fr-FR"/>
        </w:rPr>
        <w:t>législation</w:t>
      </w:r>
      <w:r w:rsidR="006D16A4" w:rsidRPr="00467BA2">
        <w:rPr>
          <w:lang w:val="fr-FR"/>
        </w:rPr>
        <w:t xml:space="preserve">s, </w:t>
      </w:r>
      <w:r w:rsidRPr="00467BA2">
        <w:rPr>
          <w:lang w:val="fr-FR"/>
        </w:rPr>
        <w:t xml:space="preserve">politiques et </w:t>
      </w:r>
      <w:r w:rsidR="006D16A4" w:rsidRPr="00467BA2">
        <w:rPr>
          <w:lang w:val="fr-FR"/>
        </w:rPr>
        <w:t>réglementations spécifiques</w:t>
      </w:r>
      <w:r w:rsidR="00ED7AC9">
        <w:rPr>
          <w:lang w:val="fr-FR"/>
        </w:rPr>
        <w:t>,</w:t>
      </w:r>
      <w:r w:rsidR="006D16A4" w:rsidRPr="00467BA2">
        <w:rPr>
          <w:lang w:val="fr-FR"/>
        </w:rPr>
        <w:t xml:space="preserve"> et </w:t>
      </w:r>
      <w:r w:rsidR="00467BA2" w:rsidRPr="00467BA2">
        <w:rPr>
          <w:lang w:val="fr-FR"/>
        </w:rPr>
        <w:t>le</w:t>
      </w:r>
      <w:r w:rsidR="006D16A4" w:rsidRPr="00467BA2">
        <w:rPr>
          <w:lang w:val="fr-FR"/>
        </w:rPr>
        <w:t xml:space="preserve"> renforcement des capacités </w:t>
      </w:r>
      <w:r w:rsidR="00ED7AC9">
        <w:rPr>
          <w:lang w:val="fr-FR"/>
        </w:rPr>
        <w:t>concerna</w:t>
      </w:r>
      <w:r w:rsidR="00467BA2" w:rsidRPr="00467BA2">
        <w:rPr>
          <w:lang w:val="fr-FR"/>
        </w:rPr>
        <w:t xml:space="preserve">nt </w:t>
      </w:r>
      <w:r w:rsidR="006D16A4" w:rsidRPr="00467BA2">
        <w:rPr>
          <w:lang w:val="fr-FR"/>
        </w:rPr>
        <w:t>les douanes et</w:t>
      </w:r>
      <w:r w:rsidR="003E6D2D">
        <w:rPr>
          <w:lang w:val="fr-FR"/>
        </w:rPr>
        <w:t xml:space="preserve"> </w:t>
      </w:r>
      <w:r w:rsidR="00467BA2" w:rsidRPr="00467BA2">
        <w:rPr>
          <w:lang w:val="fr-FR"/>
        </w:rPr>
        <w:t>l</w:t>
      </w:r>
      <w:r w:rsidRPr="00467BA2">
        <w:rPr>
          <w:lang w:val="fr-FR"/>
        </w:rPr>
        <w:t xml:space="preserve">es </w:t>
      </w:r>
      <w:r w:rsidR="00E12531">
        <w:rPr>
          <w:lang w:val="fr-FR"/>
        </w:rPr>
        <w:t xml:space="preserve">autorités chargées de l’application des réglementations </w:t>
      </w:r>
      <w:r w:rsidR="00467BA2" w:rsidRPr="00467BA2">
        <w:rPr>
          <w:lang w:val="fr-FR"/>
        </w:rPr>
        <w:t xml:space="preserve">pour la </w:t>
      </w:r>
      <w:r w:rsidRPr="00467BA2">
        <w:rPr>
          <w:lang w:val="fr-FR"/>
        </w:rPr>
        <w:t>surveill</w:t>
      </w:r>
      <w:r w:rsidR="00467BA2" w:rsidRPr="00467BA2">
        <w:rPr>
          <w:lang w:val="fr-FR"/>
        </w:rPr>
        <w:t>ance et le contrôle des substances réglementées en vertu du Protocole de Montréal</w:t>
      </w:r>
      <w:r w:rsidRPr="00467BA2">
        <w:rPr>
          <w:lang w:val="fr-FR"/>
        </w:rPr>
        <w:t>.</w:t>
      </w:r>
      <w:r w:rsidR="00EB56BA" w:rsidRPr="00C51E0A">
        <w:rPr>
          <w:lang w:val="fr-FR"/>
        </w:rPr>
        <w:t xml:space="preserve"> </w:t>
      </w:r>
    </w:p>
    <w:p w:rsidR="00EB56BA" w:rsidRPr="00C51E0A" w:rsidRDefault="00E12531" w:rsidP="00973F7F">
      <w:pPr>
        <w:pStyle w:val="Heading1"/>
        <w:rPr>
          <w:lang w:val="fr-FR"/>
        </w:rPr>
      </w:pPr>
      <w:r>
        <w:rPr>
          <w:lang w:val="fr-FR"/>
        </w:rPr>
        <w:t>À</w:t>
      </w:r>
      <w:r w:rsidR="00467BA2" w:rsidRPr="002C1D80">
        <w:rPr>
          <w:lang w:val="fr-FR"/>
        </w:rPr>
        <w:t xml:space="preserve"> mesure de l</w:t>
      </w:r>
      <w:r w:rsidR="003E6D2D">
        <w:rPr>
          <w:lang w:val="fr-FR"/>
        </w:rPr>
        <w:t>’</w:t>
      </w:r>
      <w:r w:rsidR="00467BA2" w:rsidRPr="002C1D80">
        <w:rPr>
          <w:lang w:val="fr-FR"/>
        </w:rPr>
        <w:t>avancement</w:t>
      </w:r>
      <w:r w:rsidR="003E6D2D">
        <w:rPr>
          <w:lang w:val="fr-FR"/>
        </w:rPr>
        <w:t xml:space="preserve"> </w:t>
      </w:r>
      <w:r w:rsidR="00467BA2" w:rsidRPr="002C1D80">
        <w:rPr>
          <w:lang w:val="fr-FR"/>
        </w:rPr>
        <w:t>du programme d</w:t>
      </w:r>
      <w:r w:rsidR="003E6D2D">
        <w:rPr>
          <w:lang w:val="fr-FR"/>
        </w:rPr>
        <w:t>’</w:t>
      </w:r>
      <w:r w:rsidR="00467BA2" w:rsidRPr="002C1D80">
        <w:rPr>
          <w:lang w:val="fr-FR"/>
        </w:rPr>
        <w:t>élimination</w:t>
      </w:r>
      <w:r w:rsidR="00ED7AC9">
        <w:rPr>
          <w:lang w:val="fr-FR"/>
        </w:rPr>
        <w:t>,</w:t>
      </w:r>
      <w:r w:rsidR="00467BA2" w:rsidRPr="002C1D80">
        <w:rPr>
          <w:lang w:val="fr-FR"/>
        </w:rPr>
        <w:t xml:space="preserve"> les activités autonomes ont été comprises dans un plan </w:t>
      </w:r>
      <w:r w:rsidR="002C1D80" w:rsidRPr="002C1D80">
        <w:rPr>
          <w:lang w:val="fr-FR"/>
        </w:rPr>
        <w:t>sectoriel global destiné à gérer l</w:t>
      </w:r>
      <w:r w:rsidR="003E6D2D">
        <w:rPr>
          <w:lang w:val="fr-FR"/>
        </w:rPr>
        <w:t>’</w:t>
      </w:r>
      <w:r w:rsidR="002C1D80" w:rsidRPr="002C1D80">
        <w:rPr>
          <w:lang w:val="fr-FR"/>
        </w:rPr>
        <w:t xml:space="preserve">élimination des substances réglementées utilisées </w:t>
      </w:r>
      <w:r w:rsidR="002C1D80" w:rsidRPr="002C1D80">
        <w:rPr>
          <w:lang w:val="fr-FR"/>
        </w:rPr>
        <w:lastRenderedPageBreak/>
        <w:t>dans le cadre de l</w:t>
      </w:r>
      <w:r w:rsidR="003E6D2D">
        <w:rPr>
          <w:lang w:val="fr-FR"/>
        </w:rPr>
        <w:t>’</w:t>
      </w:r>
      <w:r w:rsidR="002C1D80" w:rsidRPr="002C1D80">
        <w:rPr>
          <w:lang w:val="fr-FR"/>
        </w:rPr>
        <w:t>entretien</w:t>
      </w:r>
      <w:r w:rsidR="00467BA2" w:rsidRPr="002C1D80">
        <w:rPr>
          <w:lang w:val="fr-FR"/>
        </w:rPr>
        <w:t xml:space="preserve"> </w:t>
      </w:r>
      <w:r w:rsidR="002C1D80" w:rsidRPr="002C1D80">
        <w:rPr>
          <w:lang w:val="fr-FR"/>
        </w:rPr>
        <w:t>des équipements de réfrigération, de climatisation et de pompes à chaleur</w:t>
      </w:r>
      <w:r w:rsidR="00467BA2" w:rsidRPr="002C1D80">
        <w:rPr>
          <w:rStyle w:val="FootnoteReference"/>
          <w:lang w:val="fr-FR"/>
        </w:rPr>
        <w:footnoteReference w:id="19"/>
      </w:r>
      <w:r w:rsidR="00467BA2" w:rsidRPr="002C1D80">
        <w:rPr>
          <w:lang w:val="fr-FR"/>
        </w:rPr>
        <w:t xml:space="preserve"> </w:t>
      </w:r>
      <w:r w:rsidR="002C1D80" w:rsidRPr="002C1D80">
        <w:rPr>
          <w:lang w:val="fr-FR"/>
        </w:rPr>
        <w:t xml:space="preserve">tenant compte des circonstances prévalant dans le pays </w:t>
      </w:r>
      <w:r w:rsidR="00467BA2" w:rsidRPr="002C1D80">
        <w:rPr>
          <w:lang w:val="fr-FR"/>
        </w:rPr>
        <w:t>concern</w:t>
      </w:r>
      <w:r w:rsidR="002C1D80" w:rsidRPr="002C1D80">
        <w:rPr>
          <w:lang w:val="fr-FR"/>
        </w:rPr>
        <w:t>é</w:t>
      </w:r>
      <w:r w:rsidR="00467BA2" w:rsidRPr="002C1D80">
        <w:rPr>
          <w:lang w:val="fr-FR"/>
        </w:rPr>
        <w:t>.</w:t>
      </w:r>
      <w:r w:rsidR="00EB56BA" w:rsidRPr="00C51E0A">
        <w:rPr>
          <w:lang w:val="fr-FR"/>
        </w:rPr>
        <w:t xml:space="preserve"> </w:t>
      </w:r>
      <w:r w:rsidR="00ED7AC9">
        <w:rPr>
          <w:lang w:val="fr-FR"/>
        </w:rPr>
        <w:t>C</w:t>
      </w:r>
      <w:r w:rsidR="002C1D80" w:rsidRPr="00973F7F">
        <w:rPr>
          <w:lang w:val="fr-FR"/>
        </w:rPr>
        <w:t>es activités du secteur de l</w:t>
      </w:r>
      <w:r w:rsidR="003E6D2D">
        <w:rPr>
          <w:lang w:val="fr-FR"/>
        </w:rPr>
        <w:t>’</w:t>
      </w:r>
      <w:r w:rsidR="002C1D80" w:rsidRPr="00973F7F">
        <w:rPr>
          <w:lang w:val="fr-FR"/>
        </w:rPr>
        <w:t xml:space="preserve">entretien ont </w:t>
      </w:r>
      <w:r w:rsidR="00ED7AC9">
        <w:rPr>
          <w:lang w:val="fr-FR"/>
        </w:rPr>
        <w:t>entraîné</w:t>
      </w:r>
      <w:r w:rsidR="002C1D80" w:rsidRPr="00973F7F">
        <w:rPr>
          <w:lang w:val="fr-FR"/>
        </w:rPr>
        <w:t xml:space="preserve"> </w:t>
      </w:r>
      <w:r w:rsidR="00973F7F" w:rsidRPr="00973F7F">
        <w:rPr>
          <w:lang w:val="fr-FR"/>
        </w:rPr>
        <w:t>un meilleur fonctionnement et de meilleur</w:t>
      </w:r>
      <w:r w:rsidR="005C0A7B">
        <w:rPr>
          <w:lang w:val="fr-FR"/>
        </w:rPr>
        <w:t>es</w:t>
      </w:r>
      <w:r w:rsidR="00973F7F" w:rsidRPr="00973F7F">
        <w:rPr>
          <w:lang w:val="fr-FR"/>
        </w:rPr>
        <w:t xml:space="preserve"> pratiques d</w:t>
      </w:r>
      <w:r w:rsidR="003E6D2D">
        <w:rPr>
          <w:lang w:val="fr-FR"/>
        </w:rPr>
        <w:t>’</w:t>
      </w:r>
      <w:r w:rsidR="00973F7F" w:rsidRPr="00973F7F">
        <w:rPr>
          <w:lang w:val="fr-FR"/>
        </w:rPr>
        <w:t>entretien dans le cadre de l</w:t>
      </w:r>
      <w:r w:rsidR="003E6D2D">
        <w:rPr>
          <w:lang w:val="fr-FR"/>
        </w:rPr>
        <w:t>’</w:t>
      </w:r>
      <w:r w:rsidR="00973F7F" w:rsidRPr="00973F7F">
        <w:rPr>
          <w:lang w:val="fr-FR"/>
        </w:rPr>
        <w:t>installation et de l</w:t>
      </w:r>
      <w:r w:rsidR="003E6D2D">
        <w:rPr>
          <w:lang w:val="fr-FR"/>
        </w:rPr>
        <w:t>’</w:t>
      </w:r>
      <w:r w:rsidR="00973F7F" w:rsidRPr="00973F7F">
        <w:rPr>
          <w:lang w:val="fr-FR"/>
        </w:rPr>
        <w:t xml:space="preserve">entretien des équipements, </w:t>
      </w:r>
      <w:r w:rsidR="002C1D80" w:rsidRPr="005C0A7B">
        <w:rPr>
          <w:lang w:val="fr-FR"/>
        </w:rPr>
        <w:t>contribu</w:t>
      </w:r>
      <w:r w:rsidR="00ED7AC9" w:rsidRPr="005C0A7B">
        <w:rPr>
          <w:lang w:val="fr-FR"/>
        </w:rPr>
        <w:t>ant</w:t>
      </w:r>
      <w:r w:rsidR="00973F7F" w:rsidRPr="005C0A7B">
        <w:rPr>
          <w:lang w:val="fr-FR"/>
        </w:rPr>
        <w:t xml:space="preserve"> </w:t>
      </w:r>
      <w:r w:rsidR="00ED7AC9" w:rsidRPr="005C0A7B">
        <w:rPr>
          <w:lang w:val="fr-FR"/>
        </w:rPr>
        <w:t xml:space="preserve">ainsi </w:t>
      </w:r>
      <w:r w:rsidR="00973F7F" w:rsidRPr="005C0A7B">
        <w:rPr>
          <w:lang w:val="fr-FR"/>
        </w:rPr>
        <w:t>indirectement au fonctionnement</w:t>
      </w:r>
      <w:r w:rsidR="00973F7F" w:rsidRPr="00973F7F">
        <w:rPr>
          <w:lang w:val="fr-FR"/>
        </w:rPr>
        <w:t xml:space="preserve"> écoénerg</w:t>
      </w:r>
      <w:r w:rsidR="00ED7AC9">
        <w:rPr>
          <w:lang w:val="fr-FR"/>
        </w:rPr>
        <w:t>ét</w:t>
      </w:r>
      <w:r w:rsidR="00973F7F" w:rsidRPr="00973F7F">
        <w:rPr>
          <w:lang w:val="fr-FR"/>
        </w:rPr>
        <w:t xml:space="preserve">ique des </w:t>
      </w:r>
      <w:r w:rsidR="002C1D80" w:rsidRPr="00973F7F">
        <w:rPr>
          <w:lang w:val="fr-FR"/>
        </w:rPr>
        <w:t>équipement</w:t>
      </w:r>
      <w:r w:rsidR="00973F7F" w:rsidRPr="00973F7F">
        <w:rPr>
          <w:lang w:val="fr-FR"/>
        </w:rPr>
        <w:t>s et souten</w:t>
      </w:r>
      <w:r w:rsidR="00ED7AC9">
        <w:rPr>
          <w:lang w:val="fr-FR"/>
        </w:rPr>
        <w:t xml:space="preserve">ant </w:t>
      </w:r>
      <w:r w:rsidR="00973F7F" w:rsidRPr="00973F7F">
        <w:rPr>
          <w:lang w:val="fr-FR"/>
        </w:rPr>
        <w:t>l</w:t>
      </w:r>
      <w:r w:rsidR="003E6D2D">
        <w:rPr>
          <w:lang w:val="fr-FR"/>
        </w:rPr>
        <w:t>’</w:t>
      </w:r>
      <w:r w:rsidR="00973F7F" w:rsidRPr="00973F7F">
        <w:rPr>
          <w:lang w:val="fr-FR"/>
        </w:rPr>
        <w:t>adoption d</w:t>
      </w:r>
      <w:r w:rsidR="003E6D2D">
        <w:rPr>
          <w:lang w:val="fr-FR"/>
        </w:rPr>
        <w:t>’</w:t>
      </w:r>
      <w:r w:rsidR="002C1D80" w:rsidRPr="00973F7F">
        <w:rPr>
          <w:lang w:val="fr-FR"/>
        </w:rPr>
        <w:t xml:space="preserve">options </w:t>
      </w:r>
      <w:r w:rsidR="00973F7F" w:rsidRPr="00973F7F">
        <w:rPr>
          <w:lang w:val="fr-FR"/>
        </w:rPr>
        <w:t>à faible PRP ou sans PRP</w:t>
      </w:r>
      <w:r w:rsidR="002C1D80" w:rsidRPr="00973F7F">
        <w:rPr>
          <w:lang w:val="fr-FR"/>
        </w:rPr>
        <w:t xml:space="preserve">, principalement </w:t>
      </w:r>
      <w:r w:rsidR="00973F7F" w:rsidRPr="00973F7F">
        <w:rPr>
          <w:lang w:val="fr-FR"/>
        </w:rPr>
        <w:t>au moyen du renforcement des capacités</w:t>
      </w:r>
      <w:r w:rsidR="002C1D80" w:rsidRPr="00973F7F">
        <w:rPr>
          <w:lang w:val="fr-FR"/>
        </w:rPr>
        <w:t xml:space="preserve"> technique</w:t>
      </w:r>
      <w:r w:rsidR="00973F7F" w:rsidRPr="00973F7F">
        <w:rPr>
          <w:lang w:val="fr-FR"/>
        </w:rPr>
        <w:t>s</w:t>
      </w:r>
      <w:r w:rsidR="002C1D80" w:rsidRPr="00973F7F">
        <w:rPr>
          <w:lang w:val="fr-FR"/>
        </w:rPr>
        <w:t xml:space="preserve"> </w:t>
      </w:r>
      <w:r w:rsidR="00973F7F" w:rsidRPr="00973F7F">
        <w:rPr>
          <w:lang w:val="fr-FR"/>
        </w:rPr>
        <w:t>pour l</w:t>
      </w:r>
      <w:r w:rsidR="003E6D2D">
        <w:rPr>
          <w:lang w:val="fr-FR"/>
        </w:rPr>
        <w:t>’</w:t>
      </w:r>
      <w:r w:rsidR="00973F7F" w:rsidRPr="00973F7F">
        <w:rPr>
          <w:lang w:val="fr-FR"/>
        </w:rPr>
        <w:t>adoption des technologies de remplacement</w:t>
      </w:r>
      <w:r w:rsidR="002C1D80" w:rsidRPr="00973F7F">
        <w:rPr>
          <w:lang w:val="fr-FR"/>
        </w:rPr>
        <w:t>.</w:t>
      </w:r>
    </w:p>
    <w:p w:rsidR="00EB56BA" w:rsidRPr="00C51E0A" w:rsidRDefault="00973F7F" w:rsidP="001D4719">
      <w:pPr>
        <w:pStyle w:val="Heading1"/>
        <w:rPr>
          <w:lang w:val="fr-FR"/>
        </w:rPr>
      </w:pPr>
      <w:r w:rsidRPr="00D307EF">
        <w:rPr>
          <w:lang w:val="fr-FR"/>
        </w:rPr>
        <w:t xml:space="preserve">En réponse à la décision XIX/6 sur les </w:t>
      </w:r>
      <w:r w:rsidR="001D4719">
        <w:rPr>
          <w:lang w:val="fr-FR"/>
        </w:rPr>
        <w:t>ajustements apportés au</w:t>
      </w:r>
      <w:r w:rsidRPr="00D307EF">
        <w:rPr>
          <w:lang w:val="fr-FR"/>
        </w:rPr>
        <w:t xml:space="preserve"> Protocole de Montréal </w:t>
      </w:r>
      <w:r w:rsidR="00E12531">
        <w:rPr>
          <w:lang w:val="fr-FR"/>
        </w:rPr>
        <w:t>visant les</w:t>
      </w:r>
      <w:r w:rsidRPr="00D307EF">
        <w:rPr>
          <w:lang w:val="fr-FR"/>
        </w:rPr>
        <w:t xml:space="preserve"> HCFC, le Comité exécutif a proposé une approche par étapes</w:t>
      </w:r>
      <w:r w:rsidR="003E6D2D">
        <w:rPr>
          <w:lang w:val="fr-FR"/>
        </w:rPr>
        <w:t xml:space="preserve"> </w:t>
      </w:r>
      <w:r w:rsidR="00D307EF" w:rsidRPr="00D307EF">
        <w:rPr>
          <w:lang w:val="fr-FR"/>
        </w:rPr>
        <w:t>afin de</w:t>
      </w:r>
      <w:r w:rsidRPr="00D307EF">
        <w:rPr>
          <w:lang w:val="fr-FR"/>
        </w:rPr>
        <w:t xml:space="preserve"> permettre </w:t>
      </w:r>
      <w:r w:rsidR="00D307EF" w:rsidRPr="00D307EF">
        <w:rPr>
          <w:lang w:val="fr-FR"/>
        </w:rPr>
        <w:t>aux pays d</w:t>
      </w:r>
      <w:r w:rsidR="003E6D2D">
        <w:rPr>
          <w:lang w:val="fr-FR"/>
        </w:rPr>
        <w:t>’</w:t>
      </w:r>
      <w:r w:rsidR="00D307EF" w:rsidRPr="00D307EF">
        <w:rPr>
          <w:lang w:val="fr-FR"/>
        </w:rPr>
        <w:t>élaborer un plan d</w:t>
      </w:r>
      <w:r w:rsidR="003E6D2D">
        <w:rPr>
          <w:lang w:val="fr-FR"/>
        </w:rPr>
        <w:t>’</w:t>
      </w:r>
      <w:r w:rsidR="00D307EF" w:rsidRPr="00D307EF">
        <w:rPr>
          <w:lang w:val="fr-FR"/>
        </w:rPr>
        <w:t>ensemble pour parvenir à l</w:t>
      </w:r>
      <w:r w:rsidR="003E6D2D">
        <w:rPr>
          <w:lang w:val="fr-FR"/>
        </w:rPr>
        <w:t>’</w:t>
      </w:r>
      <w:r w:rsidR="00D307EF" w:rsidRPr="00D307EF">
        <w:rPr>
          <w:lang w:val="fr-FR"/>
        </w:rPr>
        <w:t xml:space="preserve">élimination </w:t>
      </w:r>
      <w:r w:rsidRPr="00D307EF">
        <w:rPr>
          <w:lang w:val="fr-FR"/>
        </w:rPr>
        <w:t>total</w:t>
      </w:r>
      <w:r w:rsidR="00D307EF" w:rsidRPr="00D307EF">
        <w:rPr>
          <w:lang w:val="fr-FR"/>
        </w:rPr>
        <w:t xml:space="preserve">e des </w:t>
      </w:r>
      <w:r w:rsidRPr="00D307EF">
        <w:rPr>
          <w:lang w:val="fr-FR"/>
        </w:rPr>
        <w:t xml:space="preserve">HCFC tout </w:t>
      </w:r>
      <w:r w:rsidR="00D307EF" w:rsidRPr="00D307EF">
        <w:rPr>
          <w:lang w:val="fr-FR"/>
        </w:rPr>
        <w:t xml:space="preserve">en </w:t>
      </w:r>
      <w:r w:rsidRPr="00D307EF">
        <w:rPr>
          <w:lang w:val="fr-FR"/>
        </w:rPr>
        <w:t xml:space="preserve">en tenant compte </w:t>
      </w:r>
      <w:r w:rsidR="00ED7AC9">
        <w:rPr>
          <w:lang w:val="fr-FR"/>
        </w:rPr>
        <w:t xml:space="preserve">des propositions pour </w:t>
      </w:r>
      <w:r w:rsidR="00D307EF" w:rsidRPr="00D307EF">
        <w:rPr>
          <w:lang w:val="fr-FR"/>
        </w:rPr>
        <w:t xml:space="preserve">parvenir aux </w:t>
      </w:r>
      <w:r w:rsidRPr="00D307EF">
        <w:rPr>
          <w:lang w:val="fr-FR"/>
        </w:rPr>
        <w:t xml:space="preserve">deux premières mesures de </w:t>
      </w:r>
      <w:r w:rsidR="00D307EF" w:rsidRPr="00D307EF">
        <w:rPr>
          <w:lang w:val="fr-FR"/>
        </w:rPr>
        <w:t>réglementation</w:t>
      </w:r>
      <w:r w:rsidRPr="00D307EF">
        <w:rPr>
          <w:lang w:val="fr-FR"/>
        </w:rPr>
        <w:t xml:space="preserve"> en 2013 et </w:t>
      </w:r>
      <w:r w:rsidR="00D307EF" w:rsidRPr="00D307EF">
        <w:rPr>
          <w:lang w:val="fr-FR"/>
        </w:rPr>
        <w:t xml:space="preserve">en </w:t>
      </w:r>
      <w:r w:rsidRPr="00D307EF">
        <w:rPr>
          <w:lang w:val="fr-FR"/>
        </w:rPr>
        <w:t>2015, et en même temps, permettant des propositions pour</w:t>
      </w:r>
      <w:r w:rsidR="000108DB">
        <w:rPr>
          <w:lang w:val="fr-FR"/>
        </w:rPr>
        <w:t xml:space="preserve"> une </w:t>
      </w:r>
      <w:r w:rsidR="00E12531">
        <w:rPr>
          <w:lang w:val="fr-FR"/>
        </w:rPr>
        <w:t>phase</w:t>
      </w:r>
      <w:r w:rsidRPr="00D307EF">
        <w:rPr>
          <w:lang w:val="fr-FR"/>
        </w:rPr>
        <w:t xml:space="preserve"> suivante ou </w:t>
      </w:r>
      <w:r w:rsidR="00E12531">
        <w:rPr>
          <w:lang w:val="fr-FR"/>
        </w:rPr>
        <w:t>plusieurs phases</w:t>
      </w:r>
      <w:r w:rsidRPr="00D307EF">
        <w:rPr>
          <w:lang w:val="fr-FR"/>
        </w:rPr>
        <w:t xml:space="preserve"> si nécessaire, </w:t>
      </w:r>
      <w:r w:rsidR="00E12531">
        <w:rPr>
          <w:lang w:val="fr-FR"/>
        </w:rPr>
        <w:t>afin de</w:t>
      </w:r>
      <w:r w:rsidRPr="00D307EF">
        <w:rPr>
          <w:lang w:val="fr-FR"/>
        </w:rPr>
        <w:t xml:space="preserve"> </w:t>
      </w:r>
      <w:r w:rsidR="00D307EF" w:rsidRPr="00D307EF">
        <w:rPr>
          <w:lang w:val="fr-FR"/>
        </w:rPr>
        <w:t>parvenir à l</w:t>
      </w:r>
      <w:r w:rsidR="003E6D2D">
        <w:rPr>
          <w:lang w:val="fr-FR"/>
        </w:rPr>
        <w:t>’</w:t>
      </w:r>
      <w:r w:rsidR="00D307EF" w:rsidRPr="00D307EF">
        <w:rPr>
          <w:lang w:val="fr-FR"/>
        </w:rPr>
        <w:t>élimination complète</w:t>
      </w:r>
      <w:r w:rsidRPr="00D307EF">
        <w:rPr>
          <w:lang w:val="fr-FR"/>
        </w:rPr>
        <w:t>.</w:t>
      </w:r>
      <w:r w:rsidR="00EB56BA" w:rsidRPr="00C51E0A">
        <w:rPr>
          <w:lang w:val="fr-FR"/>
        </w:rPr>
        <w:t xml:space="preserve"> </w:t>
      </w:r>
      <w:r w:rsidR="00D307EF" w:rsidRPr="00D307EF">
        <w:rPr>
          <w:lang w:val="fr-FR"/>
        </w:rPr>
        <w:t>Depuis la 60</w:t>
      </w:r>
      <w:r w:rsidR="00D307EF" w:rsidRPr="00D307EF">
        <w:rPr>
          <w:vertAlign w:val="superscript"/>
          <w:lang w:val="fr-FR"/>
        </w:rPr>
        <w:t>e</w:t>
      </w:r>
      <w:r w:rsidR="00D307EF" w:rsidRPr="00D307EF">
        <w:rPr>
          <w:lang w:val="fr-FR"/>
        </w:rPr>
        <w:t xml:space="preserve"> réunion (avril 2010), la phase I et dans de nombreux cas la phase II du PGEH ont été approuvées pour tous les pays visés à l</w:t>
      </w:r>
      <w:r w:rsidR="003E6D2D">
        <w:rPr>
          <w:lang w:val="fr-FR"/>
        </w:rPr>
        <w:t>’</w:t>
      </w:r>
      <w:r w:rsidR="00D307EF" w:rsidRPr="00D307EF">
        <w:rPr>
          <w:lang w:val="fr-FR"/>
        </w:rPr>
        <w:t>article 5, à l</w:t>
      </w:r>
      <w:r w:rsidR="003E6D2D">
        <w:rPr>
          <w:lang w:val="fr-FR"/>
        </w:rPr>
        <w:t>’</w:t>
      </w:r>
      <w:r w:rsidR="00D307EF" w:rsidRPr="00D307EF">
        <w:rPr>
          <w:lang w:val="fr-FR"/>
        </w:rPr>
        <w:t>exception de la République arabe syrienne.</w:t>
      </w:r>
      <w:r w:rsidR="00EB56BA" w:rsidRPr="00C51E0A">
        <w:rPr>
          <w:lang w:val="fr-FR"/>
        </w:rPr>
        <w:t xml:space="preserve"> </w:t>
      </w:r>
      <w:r w:rsidR="00D307EF" w:rsidRPr="001D4719">
        <w:rPr>
          <w:lang w:val="fr-FR"/>
        </w:rPr>
        <w:t xml:space="preserve">La décision XIX/6 a </w:t>
      </w:r>
      <w:r w:rsidR="001D4719" w:rsidRPr="001D4719">
        <w:rPr>
          <w:lang w:val="fr-FR"/>
        </w:rPr>
        <w:t>chargé les P</w:t>
      </w:r>
      <w:r w:rsidR="00D307EF" w:rsidRPr="001D4719">
        <w:rPr>
          <w:lang w:val="fr-FR"/>
        </w:rPr>
        <w:t xml:space="preserve">arties </w:t>
      </w:r>
      <w:r w:rsidR="001D4719" w:rsidRPr="001D4719">
        <w:rPr>
          <w:lang w:val="fr-FR"/>
        </w:rPr>
        <w:t>de promouvoir</w:t>
      </w:r>
      <w:r w:rsidR="00D307EF" w:rsidRPr="001D4719">
        <w:rPr>
          <w:lang w:val="fr-FR"/>
        </w:rPr>
        <w:t xml:space="preserve"> le choix </w:t>
      </w:r>
      <w:r w:rsidR="001D4719" w:rsidRPr="001D4719">
        <w:rPr>
          <w:lang w:val="fr-FR"/>
        </w:rPr>
        <w:t xml:space="preserve">de solutions de remplacement des HCFC qui réduisent au minimum les impacts environnementaux, en particulier </w:t>
      </w:r>
      <w:r w:rsidR="000108DB">
        <w:rPr>
          <w:lang w:val="fr-FR"/>
        </w:rPr>
        <w:t xml:space="preserve">les incidences </w:t>
      </w:r>
      <w:r w:rsidR="001D4719" w:rsidRPr="001D4719">
        <w:rPr>
          <w:lang w:val="fr-FR"/>
        </w:rPr>
        <w:t>sur le climat, et qui tiennent compte d</w:t>
      </w:r>
      <w:r w:rsidR="003E6D2D">
        <w:rPr>
          <w:lang w:val="fr-FR"/>
        </w:rPr>
        <w:t>’</w:t>
      </w:r>
      <w:r w:rsidR="001D4719" w:rsidRPr="001D4719">
        <w:rPr>
          <w:lang w:val="fr-FR"/>
        </w:rPr>
        <w:t>autres considérations d</w:t>
      </w:r>
      <w:r w:rsidR="003E6D2D">
        <w:rPr>
          <w:lang w:val="fr-FR"/>
        </w:rPr>
        <w:t>’</w:t>
      </w:r>
      <w:r w:rsidR="001D4719" w:rsidRPr="001D4719">
        <w:rPr>
          <w:lang w:val="fr-FR"/>
        </w:rPr>
        <w:t>ordre sanitaire, sécuritaire et économique, et a demandé au Comité exécutif d</w:t>
      </w:r>
      <w:r w:rsidR="003E6D2D">
        <w:rPr>
          <w:lang w:val="fr-FR"/>
        </w:rPr>
        <w:t>’</w:t>
      </w:r>
      <w:r w:rsidR="001D4719" w:rsidRPr="001D4719">
        <w:rPr>
          <w:lang w:val="fr-FR"/>
        </w:rPr>
        <w:t xml:space="preserve">accorder la priorité </w:t>
      </w:r>
      <w:r w:rsidR="00D307EF" w:rsidRPr="001D4719">
        <w:rPr>
          <w:lang w:val="fr-FR"/>
        </w:rPr>
        <w:t xml:space="preserve">aux projets et aux programmes </w:t>
      </w:r>
      <w:r w:rsidR="001D4719" w:rsidRPr="001D4719">
        <w:rPr>
          <w:lang w:val="fr-FR"/>
        </w:rPr>
        <w:t xml:space="preserve">axés </w:t>
      </w:r>
      <w:r w:rsidR="000108DB">
        <w:rPr>
          <w:lang w:val="fr-FR"/>
        </w:rPr>
        <w:t xml:space="preserve">entre autres </w:t>
      </w:r>
      <w:r w:rsidR="001D4719" w:rsidRPr="001D4719">
        <w:rPr>
          <w:lang w:val="fr-FR"/>
        </w:rPr>
        <w:t>sur le potentiel de réchauffement de la planète et la consommation d</w:t>
      </w:r>
      <w:r w:rsidR="003E6D2D">
        <w:rPr>
          <w:lang w:val="fr-FR"/>
        </w:rPr>
        <w:t>’</w:t>
      </w:r>
      <w:r w:rsidR="00D307EF" w:rsidRPr="001D4719">
        <w:rPr>
          <w:lang w:val="fr-FR"/>
        </w:rPr>
        <w:t xml:space="preserve">énergie ; </w:t>
      </w:r>
      <w:r w:rsidR="000108DB">
        <w:rPr>
          <w:lang w:val="fr-FR"/>
        </w:rPr>
        <w:t xml:space="preserve">et </w:t>
      </w:r>
      <w:r w:rsidR="001D4719" w:rsidRPr="001D4719">
        <w:rPr>
          <w:lang w:val="fr-FR"/>
        </w:rPr>
        <w:t>prévoyant dans ce contexte la mise en œuvre</w:t>
      </w:r>
      <w:r w:rsidR="003E6D2D">
        <w:rPr>
          <w:lang w:val="fr-FR"/>
        </w:rPr>
        <w:t xml:space="preserve"> </w:t>
      </w:r>
      <w:r w:rsidR="001D4719" w:rsidRPr="001D4719">
        <w:rPr>
          <w:lang w:val="fr-FR"/>
        </w:rPr>
        <w:t>d</w:t>
      </w:r>
      <w:r w:rsidR="003E6D2D">
        <w:rPr>
          <w:lang w:val="fr-FR"/>
        </w:rPr>
        <w:t>’</w:t>
      </w:r>
      <w:r w:rsidR="001D4719" w:rsidRPr="001D4719">
        <w:rPr>
          <w:lang w:val="fr-FR"/>
        </w:rPr>
        <w:t>a</w:t>
      </w:r>
      <w:r w:rsidR="00D307EF" w:rsidRPr="001D4719">
        <w:rPr>
          <w:lang w:val="fr-FR"/>
        </w:rPr>
        <w:t xml:space="preserve">ctivités </w:t>
      </w:r>
      <w:r w:rsidR="001D4719" w:rsidRPr="001D4719">
        <w:rPr>
          <w:lang w:val="fr-FR"/>
        </w:rPr>
        <w:t xml:space="preserve">destinées à </w:t>
      </w:r>
      <w:r w:rsidR="00D307EF" w:rsidRPr="001D4719">
        <w:rPr>
          <w:lang w:val="fr-FR"/>
        </w:rPr>
        <w:t>faciliter l</w:t>
      </w:r>
      <w:r w:rsidR="003E6D2D">
        <w:rPr>
          <w:lang w:val="fr-FR"/>
        </w:rPr>
        <w:t>’</w:t>
      </w:r>
      <w:r w:rsidR="00D307EF" w:rsidRPr="001D4719">
        <w:rPr>
          <w:lang w:val="fr-FR"/>
        </w:rPr>
        <w:t xml:space="preserve">adoption des options </w:t>
      </w:r>
      <w:r w:rsidR="001D4719" w:rsidRPr="001D4719">
        <w:rPr>
          <w:lang w:val="fr-FR"/>
        </w:rPr>
        <w:t xml:space="preserve">à faible PRP ou sans </w:t>
      </w:r>
      <w:r w:rsidR="000108DB">
        <w:rPr>
          <w:lang w:val="fr-FR"/>
        </w:rPr>
        <w:t>PRP</w:t>
      </w:r>
      <w:r w:rsidR="00D307EF" w:rsidRPr="001D4719">
        <w:rPr>
          <w:lang w:val="fr-FR"/>
        </w:rPr>
        <w:t>.</w:t>
      </w:r>
    </w:p>
    <w:p w:rsidR="00EB56BA" w:rsidRPr="00C51E0A" w:rsidRDefault="001D4719" w:rsidP="001E4B74">
      <w:pPr>
        <w:pStyle w:val="Heading1"/>
        <w:rPr>
          <w:lang w:val="fr-FR"/>
        </w:rPr>
      </w:pPr>
      <w:r w:rsidRPr="001E4B74">
        <w:rPr>
          <w:lang w:val="fr-FR"/>
        </w:rPr>
        <w:t>La mise en œuvre des plans du secteur de l</w:t>
      </w:r>
      <w:r w:rsidR="003E6D2D">
        <w:rPr>
          <w:lang w:val="fr-FR"/>
        </w:rPr>
        <w:t>’</w:t>
      </w:r>
      <w:r w:rsidRPr="001E4B74">
        <w:rPr>
          <w:lang w:val="fr-FR"/>
        </w:rPr>
        <w:t>entretien des équipements de réfrigération</w:t>
      </w:r>
      <w:r w:rsidR="003E6D2D">
        <w:rPr>
          <w:lang w:val="fr-FR"/>
        </w:rPr>
        <w:t xml:space="preserve"> </w:t>
      </w:r>
      <w:r w:rsidRPr="001E4B74">
        <w:rPr>
          <w:lang w:val="fr-FR"/>
        </w:rPr>
        <w:t>soutenus par le cadre réglementaire en place a contribué à la conformité continue avec les d</w:t>
      </w:r>
      <w:r w:rsidR="000108DB">
        <w:rPr>
          <w:lang w:val="fr-FR"/>
        </w:rPr>
        <w:t>isp</w:t>
      </w:r>
      <w:r w:rsidRPr="001E4B74">
        <w:rPr>
          <w:lang w:val="fr-FR"/>
        </w:rPr>
        <w:t>ositions du Protocole de Montréal de la part de tous les pays visés à l</w:t>
      </w:r>
      <w:r w:rsidR="003E6D2D">
        <w:rPr>
          <w:lang w:val="fr-FR"/>
        </w:rPr>
        <w:t>’</w:t>
      </w:r>
      <w:r w:rsidRPr="001E4B74">
        <w:rPr>
          <w:lang w:val="fr-FR"/>
        </w:rPr>
        <w:t>article 5</w:t>
      </w:r>
      <w:r w:rsidRPr="001E4B74">
        <w:rPr>
          <w:rStyle w:val="FootnoteReference"/>
          <w:lang w:val="fr-FR"/>
        </w:rPr>
        <w:footnoteReference w:id="20"/>
      </w:r>
      <w:r w:rsidRPr="001E4B74">
        <w:rPr>
          <w:lang w:val="fr-FR"/>
        </w:rPr>
        <w:t xml:space="preserve">, et à la réduction de la consommation des substances réglementées </w:t>
      </w:r>
      <w:r w:rsidR="001E4B74" w:rsidRPr="001E4B74">
        <w:rPr>
          <w:lang w:val="fr-FR"/>
        </w:rPr>
        <w:t>conformément ou même préalablement aux objectifs de réglementation de l</w:t>
      </w:r>
      <w:r w:rsidR="003E6D2D">
        <w:rPr>
          <w:lang w:val="fr-FR"/>
        </w:rPr>
        <w:t>’</w:t>
      </w:r>
      <w:r w:rsidR="001E4B74" w:rsidRPr="001E4B74">
        <w:rPr>
          <w:lang w:val="fr-FR"/>
        </w:rPr>
        <w:t xml:space="preserve">élimination </w:t>
      </w:r>
      <w:r w:rsidRPr="001E4B74">
        <w:rPr>
          <w:lang w:val="fr-FR"/>
        </w:rPr>
        <w:t>établis</w:t>
      </w:r>
      <w:r w:rsidR="001E4B74" w:rsidRPr="001E4B74">
        <w:rPr>
          <w:lang w:val="fr-FR"/>
        </w:rPr>
        <w:t xml:space="preserve"> en vertu du P</w:t>
      </w:r>
      <w:r w:rsidRPr="001E4B74">
        <w:rPr>
          <w:lang w:val="fr-FR"/>
        </w:rPr>
        <w:t>rotocole</w:t>
      </w:r>
      <w:r w:rsidR="00EB56BA">
        <w:rPr>
          <w:rStyle w:val="FootnoteReference"/>
          <w:lang w:val="en-CA"/>
        </w:rPr>
        <w:footnoteReference w:id="21"/>
      </w:r>
      <w:r w:rsidR="000108DB">
        <w:rPr>
          <w:lang w:val="fr-FR"/>
        </w:rPr>
        <w:t>.</w:t>
      </w:r>
      <w:r w:rsidR="00EB56BA" w:rsidRPr="00C51E0A">
        <w:rPr>
          <w:lang w:val="fr-FR"/>
        </w:rPr>
        <w:t xml:space="preserve"> </w:t>
      </w:r>
      <w:r w:rsidR="001E4B74" w:rsidRPr="001E4B74">
        <w:rPr>
          <w:lang w:val="fr-FR"/>
        </w:rPr>
        <w:t>En outre, ceci a permis à plusieurs pays visés à l</w:t>
      </w:r>
      <w:r w:rsidR="003E6D2D">
        <w:rPr>
          <w:lang w:val="fr-FR"/>
        </w:rPr>
        <w:t>’</w:t>
      </w:r>
      <w:r w:rsidR="001E4B74" w:rsidRPr="001E4B74">
        <w:rPr>
          <w:lang w:val="fr-FR"/>
        </w:rPr>
        <w:t>article 5 de mettre en place ou d</w:t>
      </w:r>
      <w:r w:rsidR="003E6D2D">
        <w:rPr>
          <w:lang w:val="fr-FR"/>
        </w:rPr>
        <w:t>’</w:t>
      </w:r>
      <w:r w:rsidR="001E4B74" w:rsidRPr="001E4B74">
        <w:rPr>
          <w:lang w:val="fr-FR"/>
        </w:rPr>
        <w:t>envisager la mise en place de contrôles, notamment l</w:t>
      </w:r>
      <w:r w:rsidR="003E6D2D">
        <w:rPr>
          <w:lang w:val="fr-FR"/>
        </w:rPr>
        <w:t>’</w:t>
      </w:r>
      <w:r w:rsidR="001E4B74" w:rsidRPr="001E4B74">
        <w:rPr>
          <w:lang w:val="fr-FR"/>
        </w:rPr>
        <w:t>interdiction de la fabrication (le cas échéant) et/ou l</w:t>
      </w:r>
      <w:r w:rsidR="003E6D2D">
        <w:rPr>
          <w:lang w:val="fr-FR"/>
        </w:rPr>
        <w:t>’</w:t>
      </w:r>
      <w:r w:rsidR="001E4B74" w:rsidRPr="001E4B74">
        <w:rPr>
          <w:lang w:val="fr-FR"/>
        </w:rPr>
        <w:t>interdiction des importations d</w:t>
      </w:r>
      <w:r w:rsidR="003E6D2D">
        <w:rPr>
          <w:lang w:val="fr-FR"/>
        </w:rPr>
        <w:t>’</w:t>
      </w:r>
      <w:r w:rsidR="001E4B74" w:rsidRPr="001E4B74">
        <w:rPr>
          <w:lang w:val="fr-FR"/>
        </w:rPr>
        <w:t>équipements de réfrigération, de climatisation et de pompes à chaleur contenant des substances réglementées, limitant leur croissance et réduisant la taille de la base installée de ce genre d</w:t>
      </w:r>
      <w:r w:rsidR="003E6D2D">
        <w:rPr>
          <w:lang w:val="fr-FR"/>
        </w:rPr>
        <w:t>’</w:t>
      </w:r>
      <w:r w:rsidR="001E4B74" w:rsidRPr="001E4B74">
        <w:rPr>
          <w:lang w:val="fr-FR"/>
        </w:rPr>
        <w:t>équipements.</w:t>
      </w:r>
    </w:p>
    <w:p w:rsidR="00EB56BA" w:rsidRPr="00C51E0A" w:rsidRDefault="001E4B74" w:rsidP="004C031D">
      <w:pPr>
        <w:pStyle w:val="Heading1"/>
        <w:rPr>
          <w:lang w:val="fr-FR"/>
        </w:rPr>
      </w:pPr>
      <w:r w:rsidRPr="001E4B74">
        <w:rPr>
          <w:lang w:val="fr-FR"/>
        </w:rPr>
        <w:t>En dépit des efforts mentionnés ci-dessus, les rapports périodiques sur la mise en œuvre des plans de gestion de l</w:t>
      </w:r>
      <w:r w:rsidR="003E6D2D">
        <w:rPr>
          <w:lang w:val="fr-FR"/>
        </w:rPr>
        <w:t>’</w:t>
      </w:r>
      <w:r w:rsidRPr="001E4B74">
        <w:rPr>
          <w:lang w:val="fr-FR"/>
        </w:rPr>
        <w:t xml:space="preserve">élimination des HCFC </w:t>
      </w:r>
      <w:r w:rsidR="000108DB">
        <w:rPr>
          <w:lang w:val="fr-FR"/>
        </w:rPr>
        <w:t xml:space="preserve">et d’autres rapports d’évaluation </w:t>
      </w:r>
      <w:r w:rsidRPr="001E4B74">
        <w:rPr>
          <w:lang w:val="fr-FR"/>
        </w:rPr>
        <w:t>indiquent que des équipements contenant des frigorigènes à PRP élevé (principalement le R-410A dans la climatisation) ont été pendant la dernière décennie de plus en plus importés dans des pays visés à l</w:t>
      </w:r>
      <w:r w:rsidR="003E6D2D">
        <w:rPr>
          <w:lang w:val="fr-FR"/>
        </w:rPr>
        <w:t>’</w:t>
      </w:r>
      <w:r w:rsidRPr="001E4B74">
        <w:rPr>
          <w:lang w:val="fr-FR"/>
        </w:rPr>
        <w:t>article 5.</w:t>
      </w:r>
      <w:r w:rsidR="00EB56BA" w:rsidRPr="00C51E0A">
        <w:rPr>
          <w:lang w:val="fr-FR"/>
        </w:rPr>
        <w:t xml:space="preserve"> </w:t>
      </w:r>
      <w:r w:rsidRPr="00120CA0">
        <w:rPr>
          <w:lang w:val="fr-FR"/>
        </w:rPr>
        <w:t>Toutefois, l</w:t>
      </w:r>
      <w:r w:rsidR="003E6D2D">
        <w:rPr>
          <w:lang w:val="fr-FR"/>
        </w:rPr>
        <w:t>’</w:t>
      </w:r>
      <w:r w:rsidRPr="00120CA0">
        <w:rPr>
          <w:lang w:val="fr-FR"/>
        </w:rPr>
        <w:t xml:space="preserve">Amendement de Kigali a donné </w:t>
      </w:r>
      <w:r w:rsidR="000108DB">
        <w:rPr>
          <w:lang w:val="fr-FR"/>
        </w:rPr>
        <w:t>une i</w:t>
      </w:r>
      <w:r w:rsidRPr="00120CA0">
        <w:rPr>
          <w:lang w:val="fr-FR"/>
        </w:rPr>
        <w:t xml:space="preserve">mpulsion </w:t>
      </w:r>
      <w:r w:rsidR="000108DB">
        <w:rPr>
          <w:lang w:val="fr-FR"/>
        </w:rPr>
        <w:t>aux</w:t>
      </w:r>
      <w:r w:rsidR="003E6D2D">
        <w:rPr>
          <w:lang w:val="fr-FR"/>
        </w:rPr>
        <w:t xml:space="preserve"> </w:t>
      </w:r>
      <w:r w:rsidRPr="00120CA0">
        <w:rPr>
          <w:lang w:val="fr-FR"/>
        </w:rPr>
        <w:t>débats sur le contrôle de l</w:t>
      </w:r>
      <w:r w:rsidR="003E6D2D">
        <w:rPr>
          <w:lang w:val="fr-FR"/>
        </w:rPr>
        <w:t>’</w:t>
      </w:r>
      <w:r w:rsidRPr="00120CA0">
        <w:rPr>
          <w:lang w:val="fr-FR"/>
        </w:rPr>
        <w:t xml:space="preserve">utilisation de frigorigènes à PRP élevé </w:t>
      </w:r>
      <w:r w:rsidR="000108DB" w:rsidRPr="00120CA0">
        <w:rPr>
          <w:lang w:val="fr-FR"/>
        </w:rPr>
        <w:t xml:space="preserve">et </w:t>
      </w:r>
      <w:r w:rsidR="000108DB">
        <w:rPr>
          <w:lang w:val="fr-FR"/>
        </w:rPr>
        <w:t xml:space="preserve">à </w:t>
      </w:r>
      <w:r w:rsidR="000108DB" w:rsidRPr="00120CA0">
        <w:rPr>
          <w:lang w:val="fr-FR"/>
        </w:rPr>
        <w:t xml:space="preserve">quelques actions initiales </w:t>
      </w:r>
      <w:r w:rsidRPr="00120CA0">
        <w:rPr>
          <w:lang w:val="fr-FR"/>
        </w:rPr>
        <w:t>dans les pays visés à l</w:t>
      </w:r>
      <w:r w:rsidR="003E6D2D">
        <w:rPr>
          <w:lang w:val="fr-FR"/>
        </w:rPr>
        <w:t>’</w:t>
      </w:r>
      <w:r w:rsidRPr="00120CA0">
        <w:rPr>
          <w:lang w:val="fr-FR"/>
        </w:rPr>
        <w:t>article 5.</w:t>
      </w:r>
      <w:r w:rsidR="00EB56BA" w:rsidRPr="00C51E0A">
        <w:rPr>
          <w:lang w:val="fr-FR"/>
        </w:rPr>
        <w:t xml:space="preserve"> </w:t>
      </w:r>
      <w:r w:rsidR="004C031D" w:rsidRPr="004C031D">
        <w:rPr>
          <w:lang w:val="fr-FR"/>
        </w:rPr>
        <w:t>Étant donné que les équipements à base de frigorigènes à fa</w:t>
      </w:r>
      <w:r w:rsidR="00317855">
        <w:rPr>
          <w:lang w:val="fr-FR"/>
        </w:rPr>
        <w:t>i</w:t>
      </w:r>
      <w:r w:rsidR="004C031D" w:rsidRPr="004C031D">
        <w:rPr>
          <w:lang w:val="fr-FR"/>
        </w:rPr>
        <w:t xml:space="preserve">ble PRP ou sans PRP présentent des </w:t>
      </w:r>
      <w:r w:rsidR="00120CA0" w:rsidRPr="004C031D">
        <w:rPr>
          <w:lang w:val="fr-FR"/>
        </w:rPr>
        <w:t xml:space="preserve">caractéristiques de fonctionnement </w:t>
      </w:r>
      <w:r w:rsidR="00317855">
        <w:rPr>
          <w:lang w:val="fr-FR"/>
        </w:rPr>
        <w:t xml:space="preserve">concernant </w:t>
      </w:r>
      <w:r w:rsidR="004C031D" w:rsidRPr="004C031D">
        <w:rPr>
          <w:lang w:val="fr-FR"/>
        </w:rPr>
        <w:t xml:space="preserve"> </w:t>
      </w:r>
      <w:r w:rsidR="00120CA0" w:rsidRPr="004C031D">
        <w:rPr>
          <w:lang w:val="fr-FR"/>
        </w:rPr>
        <w:t xml:space="preserve">la pression, </w:t>
      </w:r>
      <w:r w:rsidR="004C031D" w:rsidRPr="004C031D">
        <w:rPr>
          <w:lang w:val="fr-FR"/>
        </w:rPr>
        <w:t>l</w:t>
      </w:r>
      <w:r w:rsidR="003E6D2D">
        <w:rPr>
          <w:lang w:val="fr-FR"/>
        </w:rPr>
        <w:t>’</w:t>
      </w:r>
      <w:r w:rsidR="00120CA0" w:rsidRPr="004C031D">
        <w:rPr>
          <w:lang w:val="fr-FR"/>
        </w:rPr>
        <w:t xml:space="preserve">inflammabilité et la toxicité, </w:t>
      </w:r>
      <w:r w:rsidR="004C031D" w:rsidRPr="004C031D">
        <w:rPr>
          <w:lang w:val="fr-FR"/>
        </w:rPr>
        <w:t>il sera nécessaire d</w:t>
      </w:r>
      <w:r w:rsidR="003E6D2D">
        <w:rPr>
          <w:lang w:val="fr-FR"/>
        </w:rPr>
        <w:t>’</w:t>
      </w:r>
      <w:r w:rsidR="004C031D" w:rsidRPr="004C031D">
        <w:rPr>
          <w:lang w:val="fr-FR"/>
        </w:rPr>
        <w:t xml:space="preserve">examiner, actualiser et/ou développer plus </w:t>
      </w:r>
      <w:r w:rsidR="004C031D" w:rsidRPr="004C031D">
        <w:rPr>
          <w:lang w:val="fr-FR"/>
        </w:rPr>
        <w:lastRenderedPageBreak/>
        <w:t xml:space="preserve">avant la </w:t>
      </w:r>
      <w:r w:rsidR="00120CA0" w:rsidRPr="004C031D">
        <w:rPr>
          <w:lang w:val="fr-FR"/>
        </w:rPr>
        <w:t>législation</w:t>
      </w:r>
      <w:r w:rsidR="004C031D" w:rsidRPr="004C031D">
        <w:rPr>
          <w:lang w:val="fr-FR"/>
        </w:rPr>
        <w:t xml:space="preserve">, les réglementations et les codes de pratiques actuels, et </w:t>
      </w:r>
      <w:r w:rsidR="00317855">
        <w:rPr>
          <w:lang w:val="fr-FR"/>
        </w:rPr>
        <w:t>d</w:t>
      </w:r>
      <w:r w:rsidR="004C031D" w:rsidRPr="004C031D">
        <w:rPr>
          <w:lang w:val="fr-FR"/>
        </w:rPr>
        <w:t>es normes</w:t>
      </w:r>
      <w:r w:rsidR="004C031D" w:rsidRPr="004C031D">
        <w:rPr>
          <w:rStyle w:val="FootnoteReference"/>
          <w:lang w:val="fr-FR"/>
        </w:rPr>
        <w:footnoteReference w:id="22"/>
      </w:r>
      <w:r w:rsidR="004C031D" w:rsidRPr="004C031D">
        <w:rPr>
          <w:lang w:val="fr-FR"/>
        </w:rPr>
        <w:t xml:space="preserve"> devront être appliquées afin de garantir un fonctionnement et une manipulation sans danger des </w:t>
      </w:r>
      <w:r w:rsidR="00120CA0" w:rsidRPr="004C031D">
        <w:rPr>
          <w:lang w:val="fr-FR"/>
        </w:rPr>
        <w:t>équipement</w:t>
      </w:r>
      <w:r w:rsidR="004C031D" w:rsidRPr="004C031D">
        <w:rPr>
          <w:lang w:val="fr-FR"/>
        </w:rPr>
        <w:t>s</w:t>
      </w:r>
      <w:r w:rsidR="00120CA0" w:rsidRPr="004C031D">
        <w:rPr>
          <w:lang w:val="fr-FR"/>
        </w:rPr>
        <w:t>.</w:t>
      </w:r>
      <w:r w:rsidR="00EB56BA" w:rsidRPr="00C51E0A">
        <w:rPr>
          <w:lang w:val="fr-FR"/>
        </w:rPr>
        <w:t xml:space="preserve"> </w:t>
      </w:r>
    </w:p>
    <w:p w:rsidR="00EB56BA" w:rsidRPr="00C51E0A" w:rsidRDefault="004C031D" w:rsidP="004C031D">
      <w:pPr>
        <w:pStyle w:val="Heading1"/>
        <w:rPr>
          <w:lang w:val="fr-FR"/>
        </w:rPr>
      </w:pPr>
      <w:r w:rsidRPr="004C031D">
        <w:rPr>
          <w:lang w:val="fr-FR"/>
        </w:rPr>
        <w:t>Le rythme de l</w:t>
      </w:r>
      <w:r w:rsidR="003E6D2D">
        <w:rPr>
          <w:lang w:val="fr-FR"/>
        </w:rPr>
        <w:t>’</w:t>
      </w:r>
      <w:r w:rsidRPr="004C031D">
        <w:rPr>
          <w:lang w:val="fr-FR"/>
        </w:rPr>
        <w:t xml:space="preserve">introduction des technologies de remplacement sans </w:t>
      </w:r>
      <w:r w:rsidR="005E1B53">
        <w:rPr>
          <w:lang w:val="fr-FR"/>
        </w:rPr>
        <w:t>potentiel de réchauffement</w:t>
      </w:r>
      <w:r w:rsidRPr="004C031D">
        <w:rPr>
          <w:lang w:val="fr-FR"/>
        </w:rPr>
        <w:t xml:space="preserve"> ou à faible PRP dans diverses applications de réfrigération, de climatisation et de pompes à chaleur a été plus lent dans les pays visés à l</w:t>
      </w:r>
      <w:r w:rsidR="003E6D2D">
        <w:rPr>
          <w:lang w:val="fr-FR"/>
        </w:rPr>
        <w:t>’</w:t>
      </w:r>
      <w:r w:rsidRPr="004C031D">
        <w:rPr>
          <w:lang w:val="fr-FR"/>
        </w:rPr>
        <w:t xml:space="preserve">article 5 que ce qui avait été initialement </w:t>
      </w:r>
      <w:r w:rsidR="00374AE0">
        <w:rPr>
          <w:lang w:val="fr-FR"/>
        </w:rPr>
        <w:t xml:space="preserve">prévu </w:t>
      </w:r>
      <w:r w:rsidRPr="004C031D">
        <w:rPr>
          <w:lang w:val="fr-FR"/>
        </w:rPr>
        <w:t>pour les raisons suivantes :</w:t>
      </w:r>
      <w:r w:rsidR="00EB56BA" w:rsidRPr="00C51E0A">
        <w:rPr>
          <w:lang w:val="fr-FR"/>
        </w:rPr>
        <w:t xml:space="preserve"> </w:t>
      </w:r>
    </w:p>
    <w:p w:rsidR="00EB56BA" w:rsidRPr="00C51E0A" w:rsidRDefault="004C031D" w:rsidP="004C031D">
      <w:pPr>
        <w:pStyle w:val="Heading2"/>
        <w:rPr>
          <w:lang w:val="fr-FR"/>
        </w:rPr>
      </w:pPr>
      <w:r w:rsidRPr="004C031D">
        <w:rPr>
          <w:lang w:val="fr-FR"/>
        </w:rPr>
        <w:t>La disponibilité d</w:t>
      </w:r>
      <w:r w:rsidR="003E6D2D">
        <w:rPr>
          <w:lang w:val="fr-FR"/>
        </w:rPr>
        <w:t>’</w:t>
      </w:r>
      <w:r w:rsidRPr="004C031D">
        <w:rPr>
          <w:lang w:val="fr-FR"/>
        </w:rPr>
        <w:t>équipement</w:t>
      </w:r>
      <w:r w:rsidR="00374AE0">
        <w:rPr>
          <w:lang w:val="fr-FR"/>
        </w:rPr>
        <w:t>s</w:t>
      </w:r>
      <w:r w:rsidRPr="004C031D">
        <w:rPr>
          <w:lang w:val="fr-FR"/>
        </w:rPr>
        <w:t xml:space="preserve"> rentable</w:t>
      </w:r>
      <w:r w:rsidR="00374AE0">
        <w:rPr>
          <w:lang w:val="fr-FR"/>
        </w:rPr>
        <w:t>s</w:t>
      </w:r>
      <w:r w:rsidRPr="004C031D">
        <w:rPr>
          <w:lang w:val="fr-FR"/>
        </w:rPr>
        <w:t xml:space="preserve"> et écoénergétique</w:t>
      </w:r>
      <w:r w:rsidR="00374AE0">
        <w:rPr>
          <w:lang w:val="fr-FR"/>
        </w:rPr>
        <w:t>s</w:t>
      </w:r>
      <w:r w:rsidRPr="004C031D">
        <w:rPr>
          <w:lang w:val="fr-FR"/>
        </w:rPr>
        <w:t xml:space="preserve"> </w:t>
      </w:r>
      <w:r w:rsidR="00374AE0">
        <w:rPr>
          <w:lang w:val="fr-FR"/>
        </w:rPr>
        <w:t>contenant</w:t>
      </w:r>
      <w:r w:rsidRPr="004C031D">
        <w:rPr>
          <w:lang w:val="fr-FR"/>
        </w:rPr>
        <w:t xml:space="preserve"> des produits de remplacement à PRP élevé ;</w:t>
      </w:r>
    </w:p>
    <w:p w:rsidR="00EB56BA" w:rsidRPr="00C51E0A" w:rsidRDefault="004C031D" w:rsidP="004C031D">
      <w:pPr>
        <w:pStyle w:val="Heading2"/>
        <w:rPr>
          <w:lang w:val="fr-FR"/>
        </w:rPr>
      </w:pPr>
      <w:r w:rsidRPr="004C031D">
        <w:rPr>
          <w:lang w:val="fr-FR"/>
        </w:rPr>
        <w:t>Le nombre limité de normes actuellement disponibles relatives à l</w:t>
      </w:r>
      <w:r w:rsidR="003E6D2D">
        <w:rPr>
          <w:lang w:val="fr-FR"/>
        </w:rPr>
        <w:t>’</w:t>
      </w:r>
      <w:r w:rsidRPr="004C031D">
        <w:rPr>
          <w:lang w:val="fr-FR"/>
        </w:rPr>
        <w:t>introduction, l</w:t>
      </w:r>
      <w:r w:rsidR="003E6D2D">
        <w:rPr>
          <w:lang w:val="fr-FR"/>
        </w:rPr>
        <w:t>’</w:t>
      </w:r>
      <w:r w:rsidRPr="004C031D">
        <w:rPr>
          <w:lang w:val="fr-FR"/>
        </w:rPr>
        <w:t>installation et l</w:t>
      </w:r>
      <w:r w:rsidR="003E6D2D">
        <w:rPr>
          <w:lang w:val="fr-FR"/>
        </w:rPr>
        <w:t>’</w:t>
      </w:r>
      <w:r w:rsidRPr="004C031D">
        <w:rPr>
          <w:lang w:val="fr-FR"/>
        </w:rPr>
        <w:t>entretien et la maintenance des équipements cont</w:t>
      </w:r>
      <w:r w:rsidR="00374AE0">
        <w:rPr>
          <w:lang w:val="fr-FR"/>
        </w:rPr>
        <w:t>en</w:t>
      </w:r>
      <w:r w:rsidRPr="004C031D">
        <w:rPr>
          <w:lang w:val="fr-FR"/>
        </w:rPr>
        <w:t>ant des frigorigènes inflammables ou toxiques ;</w:t>
      </w:r>
    </w:p>
    <w:p w:rsidR="00EB56BA" w:rsidRPr="00C51E0A" w:rsidRDefault="004C031D" w:rsidP="004C031D">
      <w:pPr>
        <w:pStyle w:val="Heading2"/>
        <w:rPr>
          <w:lang w:val="fr-FR"/>
        </w:rPr>
      </w:pPr>
      <w:r w:rsidRPr="004C031D">
        <w:rPr>
          <w:lang w:val="fr-FR"/>
        </w:rPr>
        <w:t>Le manque de normes pour le transport de frigorigènes inflammables ou toxiques ;</w:t>
      </w:r>
    </w:p>
    <w:p w:rsidR="00EB56BA" w:rsidRPr="00C51E0A" w:rsidRDefault="004C031D" w:rsidP="004C031D">
      <w:pPr>
        <w:pStyle w:val="Heading2"/>
        <w:rPr>
          <w:lang w:val="fr-FR"/>
        </w:rPr>
      </w:pPr>
      <w:r w:rsidRPr="004C031D">
        <w:rPr>
          <w:lang w:val="fr-FR"/>
        </w:rPr>
        <w:t xml:space="preserve">Le rythme lent de la commercialisation associé à la disponibilité limitée de certains frigorigènes ou des équipements fonctionnant à base de produits de remplacement à faible PRP ou </w:t>
      </w:r>
      <w:r w:rsidR="005C0A7B">
        <w:rPr>
          <w:lang w:val="fr-FR"/>
        </w:rPr>
        <w:t>sans PRP</w:t>
      </w:r>
      <w:r w:rsidRPr="004C031D">
        <w:rPr>
          <w:lang w:val="fr-FR"/>
        </w:rPr>
        <w:t> ;</w:t>
      </w:r>
      <w:r w:rsidR="00EB56BA" w:rsidRPr="00C51E0A">
        <w:rPr>
          <w:lang w:val="fr-FR"/>
        </w:rPr>
        <w:t xml:space="preserve"> </w:t>
      </w:r>
    </w:p>
    <w:p w:rsidR="00EB56BA" w:rsidRPr="00C51E0A" w:rsidRDefault="004C031D" w:rsidP="004061EC">
      <w:pPr>
        <w:pStyle w:val="Heading2"/>
        <w:rPr>
          <w:lang w:val="fr-FR"/>
        </w:rPr>
      </w:pPr>
      <w:r w:rsidRPr="004061EC">
        <w:rPr>
          <w:lang w:val="fr-FR"/>
        </w:rPr>
        <w:t>Le manque de codes de construction permettant l</w:t>
      </w:r>
      <w:r w:rsidR="003E6D2D">
        <w:rPr>
          <w:lang w:val="fr-FR"/>
        </w:rPr>
        <w:t>’</w:t>
      </w:r>
      <w:r w:rsidRPr="004061EC">
        <w:rPr>
          <w:lang w:val="fr-FR"/>
        </w:rPr>
        <w:t xml:space="preserve">installation des équipements de réfrigération, de climatisation et de pompes à chaleur contenant des frigorigènes inflammables ayant une certaine charge </w:t>
      </w:r>
      <w:r w:rsidR="004061EC" w:rsidRPr="004061EC">
        <w:rPr>
          <w:lang w:val="fr-FR"/>
        </w:rPr>
        <w:t xml:space="preserve">de </w:t>
      </w:r>
      <w:r w:rsidRPr="004061EC">
        <w:rPr>
          <w:lang w:val="fr-FR"/>
        </w:rPr>
        <w:t>r</w:t>
      </w:r>
      <w:r w:rsidR="004061EC" w:rsidRPr="004061EC">
        <w:rPr>
          <w:lang w:val="fr-FR"/>
        </w:rPr>
        <w:t>é</w:t>
      </w:r>
      <w:r w:rsidRPr="004061EC">
        <w:rPr>
          <w:lang w:val="fr-FR"/>
        </w:rPr>
        <w:t>frigérant ; et</w:t>
      </w:r>
    </w:p>
    <w:p w:rsidR="00EB56BA" w:rsidRPr="00C51E0A" w:rsidRDefault="004061EC" w:rsidP="004061EC">
      <w:pPr>
        <w:pStyle w:val="Heading2"/>
        <w:rPr>
          <w:color w:val="000000"/>
          <w:lang w:val="fr-FR" w:eastAsia="en-CA"/>
        </w:rPr>
      </w:pPr>
      <w:r w:rsidRPr="004061EC">
        <w:rPr>
          <w:lang w:val="fr-FR"/>
        </w:rPr>
        <w:t>La disponibilité de techniciens de l</w:t>
      </w:r>
      <w:r w:rsidR="003E6D2D">
        <w:rPr>
          <w:lang w:val="fr-FR"/>
        </w:rPr>
        <w:t>’</w:t>
      </w:r>
      <w:r w:rsidRPr="004061EC">
        <w:rPr>
          <w:lang w:val="fr-FR"/>
        </w:rPr>
        <w:t>entretien des équipements de réfrigération compétents et correctement équipés.</w:t>
      </w:r>
    </w:p>
    <w:p w:rsidR="00EB56BA" w:rsidRPr="00C51E0A" w:rsidRDefault="004061EC" w:rsidP="003F502A">
      <w:pPr>
        <w:pStyle w:val="Heading1"/>
        <w:rPr>
          <w:lang w:val="fr-FR"/>
        </w:rPr>
      </w:pPr>
      <w:r w:rsidRPr="004061EC">
        <w:rPr>
          <w:lang w:val="fr-FR"/>
        </w:rPr>
        <w:t>Les pays visés à l</w:t>
      </w:r>
      <w:r w:rsidR="003E6D2D">
        <w:rPr>
          <w:lang w:val="fr-FR"/>
        </w:rPr>
        <w:t>’</w:t>
      </w:r>
      <w:r w:rsidRPr="004061EC">
        <w:rPr>
          <w:lang w:val="fr-FR"/>
        </w:rPr>
        <w:t>article 5 prennent actuellement en main plusieurs de ces obstacles au moyen d</w:t>
      </w:r>
      <w:r w:rsidR="003E6D2D">
        <w:rPr>
          <w:lang w:val="fr-FR"/>
        </w:rPr>
        <w:t>’</w:t>
      </w:r>
      <w:r w:rsidRPr="004061EC">
        <w:rPr>
          <w:lang w:val="fr-FR"/>
        </w:rPr>
        <w:t>activités qui deviennent de plus en plus des composants standard des PGEH.</w:t>
      </w:r>
      <w:r w:rsidR="00EB56BA" w:rsidRPr="00C51E0A">
        <w:rPr>
          <w:lang w:val="fr-FR"/>
        </w:rPr>
        <w:t xml:space="preserve"> </w:t>
      </w:r>
      <w:r w:rsidRPr="004061EC">
        <w:rPr>
          <w:lang w:val="fr-FR"/>
        </w:rPr>
        <w:t>Les pays visés à l</w:t>
      </w:r>
      <w:r w:rsidR="003E6D2D">
        <w:rPr>
          <w:lang w:val="fr-FR"/>
        </w:rPr>
        <w:t>’</w:t>
      </w:r>
      <w:r w:rsidRPr="004061EC">
        <w:rPr>
          <w:lang w:val="fr-FR"/>
        </w:rPr>
        <w:t>article 5 ont été encouragés à élaborer des réglementations et des codes de pratiques, et à adopter des normes en vue de l</w:t>
      </w:r>
      <w:r w:rsidR="003E6D2D">
        <w:rPr>
          <w:lang w:val="fr-FR"/>
        </w:rPr>
        <w:t>’</w:t>
      </w:r>
      <w:r w:rsidRPr="004061EC">
        <w:rPr>
          <w:lang w:val="fr-FR"/>
        </w:rPr>
        <w:t xml:space="preserve">introduction </w:t>
      </w:r>
      <w:r w:rsidR="00E20944">
        <w:rPr>
          <w:lang w:val="fr-FR"/>
        </w:rPr>
        <w:t xml:space="preserve">sans danger </w:t>
      </w:r>
      <w:r w:rsidRPr="004061EC">
        <w:rPr>
          <w:lang w:val="fr-FR"/>
        </w:rPr>
        <w:t>de frigorigènes inflammables et toxiques.</w:t>
      </w:r>
      <w:r w:rsidR="00EB56BA" w:rsidRPr="00C51E0A">
        <w:rPr>
          <w:lang w:val="fr-FR"/>
        </w:rPr>
        <w:t xml:space="preserve"> </w:t>
      </w:r>
      <w:r w:rsidRPr="003F502A">
        <w:rPr>
          <w:lang w:val="fr-FR"/>
        </w:rPr>
        <w:t>Les pays visés à l</w:t>
      </w:r>
      <w:r w:rsidR="003E6D2D">
        <w:rPr>
          <w:lang w:val="fr-FR"/>
        </w:rPr>
        <w:t>’</w:t>
      </w:r>
      <w:r w:rsidRPr="003F502A">
        <w:rPr>
          <w:lang w:val="fr-FR"/>
        </w:rPr>
        <w:t>article 5 ont été également encouragés à limiter l</w:t>
      </w:r>
      <w:r w:rsidR="003E6D2D">
        <w:rPr>
          <w:lang w:val="fr-FR"/>
        </w:rPr>
        <w:t>’</w:t>
      </w:r>
      <w:r w:rsidRPr="003F502A">
        <w:rPr>
          <w:lang w:val="fr-FR"/>
        </w:rPr>
        <w:t xml:space="preserve">importation des équipements contenant des HCFC par </w:t>
      </w:r>
      <w:r w:rsidR="003F502A" w:rsidRPr="003F502A">
        <w:rPr>
          <w:lang w:val="fr-FR"/>
        </w:rPr>
        <w:t>le biais d</w:t>
      </w:r>
      <w:r w:rsidR="003E6D2D">
        <w:rPr>
          <w:lang w:val="fr-FR"/>
        </w:rPr>
        <w:t>’</w:t>
      </w:r>
      <w:r w:rsidRPr="003F502A">
        <w:rPr>
          <w:lang w:val="fr-FR"/>
        </w:rPr>
        <w:t xml:space="preserve">interventions </w:t>
      </w:r>
      <w:r w:rsidR="003F502A" w:rsidRPr="003F502A">
        <w:rPr>
          <w:lang w:val="fr-FR"/>
        </w:rPr>
        <w:t xml:space="preserve">règlementaires dans le cadre des PGEH et également à </w:t>
      </w:r>
      <w:r w:rsidRPr="003F502A">
        <w:rPr>
          <w:lang w:val="fr-FR"/>
        </w:rPr>
        <w:t>faciliter l</w:t>
      </w:r>
      <w:r w:rsidR="003E6D2D">
        <w:rPr>
          <w:lang w:val="fr-FR"/>
        </w:rPr>
        <w:t>’</w:t>
      </w:r>
      <w:r w:rsidRPr="003F502A">
        <w:rPr>
          <w:lang w:val="fr-FR"/>
        </w:rPr>
        <w:t xml:space="preserve">introduction des solutions de rechange </w:t>
      </w:r>
      <w:r w:rsidR="003F502A" w:rsidRPr="003F502A">
        <w:rPr>
          <w:lang w:val="fr-FR"/>
        </w:rPr>
        <w:t>à haut rendement énergétique</w:t>
      </w:r>
      <w:r w:rsidRPr="003F502A">
        <w:rPr>
          <w:lang w:val="fr-FR"/>
        </w:rPr>
        <w:t xml:space="preserve"> et </w:t>
      </w:r>
      <w:r w:rsidR="003F502A" w:rsidRPr="003F502A">
        <w:rPr>
          <w:lang w:val="fr-FR"/>
        </w:rPr>
        <w:t xml:space="preserve">respectueuses du climat ; et à </w:t>
      </w:r>
      <w:r w:rsidRPr="003F502A">
        <w:rPr>
          <w:lang w:val="fr-FR"/>
        </w:rPr>
        <w:t xml:space="preserve">concentrer </w:t>
      </w:r>
      <w:r w:rsidR="003F502A" w:rsidRPr="003F502A">
        <w:rPr>
          <w:lang w:val="fr-FR"/>
        </w:rPr>
        <w:t>l</w:t>
      </w:r>
      <w:r w:rsidRPr="003F502A">
        <w:rPr>
          <w:lang w:val="fr-FR"/>
        </w:rPr>
        <w:t xml:space="preserve">es activités dans le </w:t>
      </w:r>
      <w:r w:rsidR="003F502A" w:rsidRPr="003F502A">
        <w:rPr>
          <w:lang w:val="fr-FR"/>
        </w:rPr>
        <w:t>secteur de l</w:t>
      </w:r>
      <w:r w:rsidR="003E6D2D">
        <w:rPr>
          <w:lang w:val="fr-FR"/>
        </w:rPr>
        <w:t>’</w:t>
      </w:r>
      <w:r w:rsidR="003F502A" w:rsidRPr="003F502A">
        <w:rPr>
          <w:lang w:val="fr-FR"/>
        </w:rPr>
        <w:t xml:space="preserve">entretien des équipements de réfrigération sur la </w:t>
      </w:r>
      <w:r w:rsidR="00E20944">
        <w:rPr>
          <w:lang w:val="fr-FR"/>
        </w:rPr>
        <w:t>f</w:t>
      </w:r>
      <w:r w:rsidR="003F502A" w:rsidRPr="003F502A">
        <w:rPr>
          <w:lang w:val="fr-FR"/>
        </w:rPr>
        <w:t>ormation des techniciens, les bonnes pratiques et l</w:t>
      </w:r>
      <w:r w:rsidR="00E20944">
        <w:rPr>
          <w:lang w:val="fr-FR"/>
        </w:rPr>
        <w:t>a</w:t>
      </w:r>
      <w:r w:rsidR="003F502A" w:rsidRPr="003F502A">
        <w:rPr>
          <w:lang w:val="fr-FR"/>
        </w:rPr>
        <w:t xml:space="preserve"> manipulation en toute sécurité des frigorigènes, le confinement, la récupération</w:t>
      </w:r>
      <w:r w:rsidR="00E20944">
        <w:rPr>
          <w:lang w:val="fr-FR"/>
        </w:rPr>
        <w:t>,</w:t>
      </w:r>
      <w:r w:rsidR="003F502A" w:rsidRPr="003F502A">
        <w:rPr>
          <w:lang w:val="fr-FR"/>
        </w:rPr>
        <w:t xml:space="preserve"> le recyclage et la </w:t>
      </w:r>
      <w:r w:rsidRPr="003F502A">
        <w:rPr>
          <w:lang w:val="fr-FR"/>
        </w:rPr>
        <w:t xml:space="preserve">réutilisation des </w:t>
      </w:r>
      <w:r w:rsidR="003F502A" w:rsidRPr="003F502A">
        <w:rPr>
          <w:lang w:val="fr-FR"/>
        </w:rPr>
        <w:t>frigorigènes</w:t>
      </w:r>
      <w:r w:rsidRPr="003F502A">
        <w:rPr>
          <w:lang w:val="fr-FR"/>
        </w:rPr>
        <w:t xml:space="preserve"> récupérés plutôt que l</w:t>
      </w:r>
      <w:r w:rsidR="003F502A" w:rsidRPr="003F502A">
        <w:rPr>
          <w:lang w:val="fr-FR"/>
        </w:rPr>
        <w:t xml:space="preserve">a </w:t>
      </w:r>
      <w:r w:rsidR="00E20944">
        <w:rPr>
          <w:lang w:val="fr-FR"/>
        </w:rPr>
        <w:t>reconvers</w:t>
      </w:r>
      <w:r w:rsidR="003F502A" w:rsidRPr="003F502A">
        <w:rPr>
          <w:lang w:val="fr-FR"/>
        </w:rPr>
        <w:t>ion</w:t>
      </w:r>
      <w:r w:rsidR="00EB56BA">
        <w:rPr>
          <w:rStyle w:val="FootnoteReference"/>
        </w:rPr>
        <w:footnoteReference w:id="23"/>
      </w:r>
      <w:r w:rsidR="00E20944">
        <w:rPr>
          <w:lang w:val="fr-FR"/>
        </w:rPr>
        <w:t>.</w:t>
      </w:r>
      <w:r w:rsidR="00EB56BA" w:rsidRPr="00C51E0A">
        <w:rPr>
          <w:lang w:val="fr-FR"/>
        </w:rPr>
        <w:t xml:space="preserve"> </w:t>
      </w:r>
    </w:p>
    <w:p w:rsidR="00EB56BA" w:rsidRPr="00C51E0A" w:rsidRDefault="003F502A" w:rsidP="003F502A">
      <w:pPr>
        <w:pStyle w:val="Heading1"/>
        <w:rPr>
          <w:lang w:val="fr-FR"/>
        </w:rPr>
      </w:pPr>
      <w:r w:rsidRPr="003F502A">
        <w:rPr>
          <w:lang w:val="fr-FR"/>
        </w:rPr>
        <w:t>La formation visant l</w:t>
      </w:r>
      <w:r w:rsidR="003E6D2D">
        <w:rPr>
          <w:lang w:val="fr-FR"/>
        </w:rPr>
        <w:t>’</w:t>
      </w:r>
      <w:r w:rsidRPr="003F502A">
        <w:rPr>
          <w:lang w:val="fr-FR"/>
        </w:rPr>
        <w:t>installation, le fonctionnement, l</w:t>
      </w:r>
      <w:r w:rsidR="003E6D2D">
        <w:rPr>
          <w:lang w:val="fr-FR"/>
        </w:rPr>
        <w:t>’</w:t>
      </w:r>
      <w:r w:rsidRPr="003F502A">
        <w:rPr>
          <w:lang w:val="fr-FR"/>
        </w:rPr>
        <w:t>entretien et l</w:t>
      </w:r>
      <w:r w:rsidR="003E6D2D">
        <w:rPr>
          <w:lang w:val="fr-FR"/>
        </w:rPr>
        <w:t>’</w:t>
      </w:r>
      <w:r w:rsidRPr="003F502A">
        <w:rPr>
          <w:lang w:val="fr-FR"/>
        </w:rPr>
        <w:t>élimination définitive des équipements de réfrigération, de climatisation et de pompes à chaleur utilisant des substances inflammables a été considéré comme étant prioritaire durant la mise en œuvre des phases I et II des PGEH dans les pays où ces frigorigènes étaient déjà sur le marché ou dont l</w:t>
      </w:r>
      <w:r w:rsidR="003E6D2D">
        <w:rPr>
          <w:lang w:val="fr-FR"/>
        </w:rPr>
        <w:t>’</w:t>
      </w:r>
      <w:r w:rsidRPr="003F502A">
        <w:rPr>
          <w:lang w:val="fr-FR"/>
        </w:rPr>
        <w:t>introduction était prévue.</w:t>
      </w:r>
    </w:p>
    <w:p w:rsidR="00EB56BA" w:rsidRPr="00C51E0A" w:rsidRDefault="003F502A" w:rsidP="003F502A">
      <w:pPr>
        <w:pStyle w:val="Heading1"/>
        <w:rPr>
          <w:lang w:val="fr-FR"/>
        </w:rPr>
      </w:pPr>
      <w:r w:rsidRPr="003F502A">
        <w:rPr>
          <w:lang w:val="fr-FR"/>
        </w:rPr>
        <w:t xml:space="preserve">Afin de soutenir le travail des </w:t>
      </w:r>
      <w:r w:rsidR="00E20944">
        <w:rPr>
          <w:lang w:val="fr-FR"/>
        </w:rPr>
        <w:t>U</w:t>
      </w:r>
      <w:r w:rsidRPr="003F502A">
        <w:rPr>
          <w:lang w:val="fr-FR"/>
        </w:rPr>
        <w:t>nités nationales de l</w:t>
      </w:r>
      <w:r w:rsidR="003E6D2D">
        <w:rPr>
          <w:lang w:val="fr-FR"/>
        </w:rPr>
        <w:t>’</w:t>
      </w:r>
      <w:r w:rsidRPr="003F502A">
        <w:rPr>
          <w:lang w:val="fr-FR"/>
        </w:rPr>
        <w:t>ozone (UNO), le programme d</w:t>
      </w:r>
      <w:r w:rsidR="003E6D2D">
        <w:rPr>
          <w:lang w:val="fr-FR"/>
        </w:rPr>
        <w:t>’</w:t>
      </w:r>
      <w:r w:rsidRPr="003F502A">
        <w:rPr>
          <w:lang w:val="fr-FR"/>
        </w:rPr>
        <w:t>aide à la conformité (CAP) du PNUE a élaboré un guide sur les normes internationales dans la réfrigération et la climatisation, fournissant une introduction aux normes et montrant comment elles peuvent servir à soutenir l</w:t>
      </w:r>
      <w:r w:rsidR="003E6D2D">
        <w:rPr>
          <w:lang w:val="fr-FR"/>
        </w:rPr>
        <w:t>’</w:t>
      </w:r>
      <w:r w:rsidRPr="003F502A">
        <w:rPr>
          <w:lang w:val="fr-FR"/>
        </w:rPr>
        <w:t>adoption de solutions de remplacement à faible PR</w:t>
      </w:r>
      <w:r w:rsidR="00E20944">
        <w:rPr>
          <w:lang w:val="fr-FR"/>
        </w:rPr>
        <w:t>P</w:t>
      </w:r>
      <w:r w:rsidRPr="003F502A">
        <w:rPr>
          <w:lang w:val="fr-FR"/>
        </w:rPr>
        <w:t xml:space="preserve"> dans le contexte de l</w:t>
      </w:r>
      <w:r w:rsidR="003E6D2D">
        <w:rPr>
          <w:lang w:val="fr-FR"/>
        </w:rPr>
        <w:t>’</w:t>
      </w:r>
      <w:r w:rsidRPr="003F502A">
        <w:rPr>
          <w:lang w:val="fr-FR"/>
        </w:rPr>
        <w:t>élimination des HCFC.</w:t>
      </w:r>
      <w:r w:rsidR="00EB56BA" w:rsidRPr="00C51E0A">
        <w:rPr>
          <w:lang w:val="fr-FR"/>
        </w:rPr>
        <w:t xml:space="preserve"> </w:t>
      </w:r>
      <w:r w:rsidRPr="003F502A">
        <w:rPr>
          <w:lang w:val="fr-FR"/>
        </w:rPr>
        <w:t>Ce guide fournit également une vue d</w:t>
      </w:r>
      <w:r w:rsidR="003E6D2D">
        <w:rPr>
          <w:lang w:val="fr-FR"/>
        </w:rPr>
        <w:t>’</w:t>
      </w:r>
      <w:r w:rsidRPr="003F502A">
        <w:rPr>
          <w:lang w:val="fr-FR"/>
        </w:rPr>
        <w:t>ensemble des normes existantes relatives aux HCFC</w:t>
      </w:r>
      <w:r w:rsidR="003E6D2D">
        <w:rPr>
          <w:lang w:val="fr-FR"/>
        </w:rPr>
        <w:t xml:space="preserve"> </w:t>
      </w:r>
      <w:r w:rsidRPr="003F502A">
        <w:rPr>
          <w:lang w:val="fr-FR"/>
        </w:rPr>
        <w:t>et à leurs solutions de remplacement</w:t>
      </w:r>
      <w:r w:rsidR="00E20944">
        <w:rPr>
          <w:lang w:val="fr-FR"/>
        </w:rPr>
        <w:t> </w:t>
      </w:r>
      <w:r w:rsidRPr="003F502A">
        <w:rPr>
          <w:lang w:val="fr-FR"/>
        </w:rPr>
        <w:t>; les obstacles aux solutions de rechange ; le processus d</w:t>
      </w:r>
      <w:r w:rsidR="003E6D2D">
        <w:rPr>
          <w:lang w:val="fr-FR"/>
        </w:rPr>
        <w:t>’</w:t>
      </w:r>
      <w:r w:rsidRPr="003F502A">
        <w:rPr>
          <w:lang w:val="fr-FR"/>
        </w:rPr>
        <w:t xml:space="preserve">adoption de </w:t>
      </w:r>
      <w:r w:rsidRPr="003F502A">
        <w:rPr>
          <w:lang w:val="fr-FR"/>
        </w:rPr>
        <w:lastRenderedPageBreak/>
        <w:t>normes internationales et régionales au niveau national ; et les obstacles à l</w:t>
      </w:r>
      <w:r w:rsidR="003E6D2D">
        <w:rPr>
          <w:lang w:val="fr-FR"/>
        </w:rPr>
        <w:t>’</w:t>
      </w:r>
      <w:r w:rsidRPr="003F502A">
        <w:rPr>
          <w:lang w:val="fr-FR"/>
        </w:rPr>
        <w:t>adoption des normes et aux moyens de les surmonter</w:t>
      </w:r>
      <w:r w:rsidR="00EB56BA">
        <w:rPr>
          <w:rStyle w:val="FootnoteReference"/>
        </w:rPr>
        <w:footnoteReference w:id="24"/>
      </w:r>
      <w:r w:rsidR="00E20944">
        <w:rPr>
          <w:lang w:val="fr-FR"/>
        </w:rPr>
        <w:t>.</w:t>
      </w:r>
    </w:p>
    <w:p w:rsidR="00EB56BA" w:rsidRPr="00C51E0A" w:rsidRDefault="003F502A" w:rsidP="003E4114">
      <w:pPr>
        <w:pStyle w:val="Heading1"/>
        <w:rPr>
          <w:lang w:val="fr-FR"/>
        </w:rPr>
      </w:pPr>
      <w:r w:rsidRPr="003E4114">
        <w:rPr>
          <w:lang w:val="fr-FR"/>
        </w:rPr>
        <w:t>Tandis que les mesures décrites ci-dessus avaient un impact sur l</w:t>
      </w:r>
      <w:r w:rsidR="003E6D2D">
        <w:rPr>
          <w:lang w:val="fr-FR"/>
        </w:rPr>
        <w:t>’</w:t>
      </w:r>
      <w:r w:rsidRPr="003E4114">
        <w:rPr>
          <w:lang w:val="fr-FR"/>
        </w:rPr>
        <w:t xml:space="preserve">adoption de </w:t>
      </w:r>
      <w:r w:rsidR="003E4114" w:rsidRPr="003E4114">
        <w:rPr>
          <w:lang w:val="fr-FR"/>
        </w:rPr>
        <w:t xml:space="preserve">solutions de remplacement à </w:t>
      </w:r>
      <w:r w:rsidRPr="003E4114">
        <w:rPr>
          <w:lang w:val="fr-FR"/>
        </w:rPr>
        <w:t xml:space="preserve">faible potentiel de réchauffement de la planète ou sans </w:t>
      </w:r>
      <w:r w:rsidR="005E1B53">
        <w:rPr>
          <w:lang w:val="fr-FR"/>
        </w:rPr>
        <w:t>potentiel de réchauffement</w:t>
      </w:r>
      <w:r w:rsidRPr="003E4114">
        <w:rPr>
          <w:lang w:val="fr-FR"/>
        </w:rPr>
        <w:t xml:space="preserve"> dans les équipements de réfrigération, de climatisation et de pompes à chaleur, les facteurs d</w:t>
      </w:r>
      <w:r w:rsidR="00D8484B" w:rsidRPr="003E4114">
        <w:rPr>
          <w:lang w:val="fr-FR"/>
        </w:rPr>
        <w:t>u</w:t>
      </w:r>
      <w:r w:rsidRPr="003E4114">
        <w:rPr>
          <w:lang w:val="fr-FR"/>
        </w:rPr>
        <w:t xml:space="preserve"> marché semblent avoir joué un rôle en influ</w:t>
      </w:r>
      <w:r w:rsidR="00DE2562">
        <w:rPr>
          <w:lang w:val="fr-FR"/>
        </w:rPr>
        <w:t>ant sur</w:t>
      </w:r>
      <w:r w:rsidRPr="003E4114">
        <w:rPr>
          <w:lang w:val="fr-FR"/>
        </w:rPr>
        <w:t xml:space="preserve"> le rythme de l</w:t>
      </w:r>
      <w:r w:rsidR="003E6D2D">
        <w:rPr>
          <w:lang w:val="fr-FR"/>
        </w:rPr>
        <w:t>’</w:t>
      </w:r>
      <w:r w:rsidRPr="003E4114">
        <w:rPr>
          <w:lang w:val="fr-FR"/>
        </w:rPr>
        <w:t>adoption de ces solutions de remplacement.</w:t>
      </w:r>
      <w:r w:rsidR="00EB56BA" w:rsidRPr="00C51E0A">
        <w:rPr>
          <w:lang w:val="fr-FR"/>
        </w:rPr>
        <w:t xml:space="preserve"> </w:t>
      </w:r>
      <w:r w:rsidR="00D8484B" w:rsidRPr="003E4114">
        <w:rPr>
          <w:lang w:val="fr-FR"/>
        </w:rPr>
        <w:t>Des mesures facilitant l</w:t>
      </w:r>
      <w:r w:rsidR="003E6D2D">
        <w:rPr>
          <w:lang w:val="fr-FR"/>
        </w:rPr>
        <w:t>’</w:t>
      </w:r>
      <w:r w:rsidR="00D8484B" w:rsidRPr="003E4114">
        <w:rPr>
          <w:lang w:val="fr-FR"/>
        </w:rPr>
        <w:t xml:space="preserve">adoption de ces solutions de remplacement ainsi que celles visant à éviter la pénétration des produits de remplacement à PRP élevé </w:t>
      </w:r>
      <w:r w:rsidR="003E4114" w:rsidRPr="003E4114">
        <w:rPr>
          <w:lang w:val="fr-FR"/>
        </w:rPr>
        <w:t>mériteraient d</w:t>
      </w:r>
      <w:r w:rsidR="003E6D2D">
        <w:rPr>
          <w:lang w:val="fr-FR"/>
        </w:rPr>
        <w:t>’</w:t>
      </w:r>
      <w:r w:rsidR="003E4114" w:rsidRPr="003E4114">
        <w:rPr>
          <w:lang w:val="fr-FR"/>
        </w:rPr>
        <w:t>être examinées plus avant</w:t>
      </w:r>
      <w:r w:rsidR="003E6D2D">
        <w:rPr>
          <w:lang w:val="fr-FR"/>
        </w:rPr>
        <w:t xml:space="preserve"> </w:t>
      </w:r>
      <w:r w:rsidR="003E4114" w:rsidRPr="003E4114">
        <w:rPr>
          <w:lang w:val="fr-FR"/>
        </w:rPr>
        <w:t>afin d</w:t>
      </w:r>
      <w:r w:rsidR="003E6D2D">
        <w:rPr>
          <w:lang w:val="fr-FR"/>
        </w:rPr>
        <w:t>’</w:t>
      </w:r>
      <w:r w:rsidR="00D8484B" w:rsidRPr="003E4114">
        <w:rPr>
          <w:lang w:val="fr-FR"/>
        </w:rPr>
        <w:t>améliorer le rythme de l</w:t>
      </w:r>
      <w:r w:rsidR="003E6D2D">
        <w:rPr>
          <w:lang w:val="fr-FR"/>
        </w:rPr>
        <w:t>’</w:t>
      </w:r>
      <w:r w:rsidR="00D8484B" w:rsidRPr="003E4114">
        <w:rPr>
          <w:lang w:val="fr-FR"/>
        </w:rPr>
        <w:t xml:space="preserve">adoption des solutions de remplacement à faible </w:t>
      </w:r>
      <w:r w:rsidR="00DE2562">
        <w:rPr>
          <w:lang w:val="fr-FR"/>
        </w:rPr>
        <w:t>PRP ou sans PRP</w:t>
      </w:r>
      <w:r w:rsidR="00D8484B" w:rsidRPr="003E4114">
        <w:rPr>
          <w:lang w:val="fr-FR"/>
        </w:rPr>
        <w:t>.</w:t>
      </w:r>
    </w:p>
    <w:p w:rsidR="00EB56BA" w:rsidRPr="00C51E0A" w:rsidRDefault="003E4114" w:rsidP="003E4114">
      <w:pPr>
        <w:pStyle w:val="Heading2"/>
        <w:numPr>
          <w:ilvl w:val="0"/>
          <w:numId w:val="0"/>
        </w:numPr>
        <w:rPr>
          <w:b/>
          <w:lang w:val="fr-FR"/>
        </w:rPr>
      </w:pPr>
      <w:r w:rsidRPr="003E4114">
        <w:rPr>
          <w:b/>
          <w:lang w:val="fr-FR"/>
        </w:rPr>
        <w:t xml:space="preserve">Élaboration et application de politiques et de </w:t>
      </w:r>
      <w:r w:rsidRPr="003E4114">
        <w:rPr>
          <w:rFonts w:eastAsia="Cambria"/>
          <w:b/>
          <w:lang w:val="fr-FR"/>
        </w:rPr>
        <w:t>réglementations afin d</w:t>
      </w:r>
      <w:r w:rsidR="003E6D2D">
        <w:rPr>
          <w:rFonts w:eastAsia="Cambria"/>
          <w:b/>
          <w:lang w:val="fr-FR"/>
        </w:rPr>
        <w:t>’</w:t>
      </w:r>
      <w:r w:rsidRPr="003E4114">
        <w:rPr>
          <w:rFonts w:eastAsia="Cambria"/>
          <w:b/>
          <w:lang w:val="fr-FR"/>
        </w:rPr>
        <w:t>éviter l</w:t>
      </w:r>
      <w:r w:rsidR="00DE2562">
        <w:rPr>
          <w:rFonts w:eastAsia="Cambria"/>
          <w:b/>
          <w:lang w:val="fr-FR"/>
        </w:rPr>
        <w:t xml:space="preserve">’entrée sur le marché </w:t>
      </w:r>
      <w:r w:rsidRPr="003E4114">
        <w:rPr>
          <w:rFonts w:eastAsia="Cambria"/>
          <w:b/>
          <w:lang w:val="fr-FR"/>
        </w:rPr>
        <w:t>d</w:t>
      </w:r>
      <w:r w:rsidR="003E6D2D">
        <w:rPr>
          <w:rFonts w:eastAsia="Cambria"/>
          <w:b/>
          <w:lang w:val="fr-FR"/>
        </w:rPr>
        <w:t>’</w:t>
      </w:r>
      <w:r w:rsidRPr="003E4114">
        <w:rPr>
          <w:rFonts w:eastAsia="Cambria"/>
          <w:b/>
          <w:lang w:val="fr-FR"/>
        </w:rPr>
        <w:t xml:space="preserve">équipements de </w:t>
      </w:r>
      <w:r w:rsidRPr="003E4114">
        <w:rPr>
          <w:b/>
          <w:lang w:val="fr-FR"/>
        </w:rPr>
        <w:t xml:space="preserve">réfrigération, de climatisation et de pompes à chaleur </w:t>
      </w:r>
      <w:r w:rsidRPr="003E4114">
        <w:rPr>
          <w:rFonts w:eastAsia="Cambria"/>
          <w:b/>
          <w:lang w:val="fr-FR"/>
        </w:rPr>
        <w:t xml:space="preserve">à </w:t>
      </w:r>
      <w:r w:rsidR="00DE2562">
        <w:rPr>
          <w:rFonts w:eastAsia="Cambria"/>
          <w:b/>
          <w:lang w:val="fr-FR"/>
        </w:rPr>
        <w:t xml:space="preserve">faible </w:t>
      </w:r>
      <w:r w:rsidRPr="003E4114">
        <w:rPr>
          <w:rFonts w:eastAsia="Cambria"/>
          <w:b/>
          <w:lang w:val="fr-FR"/>
        </w:rPr>
        <w:t xml:space="preserve">rendement énergétique, et </w:t>
      </w:r>
      <w:r w:rsidR="00DE2562">
        <w:rPr>
          <w:rFonts w:eastAsia="Cambria"/>
          <w:b/>
          <w:lang w:val="fr-FR"/>
        </w:rPr>
        <w:t xml:space="preserve">de stimuler l’introduction </w:t>
      </w:r>
      <w:r w:rsidRPr="003E4114">
        <w:rPr>
          <w:rFonts w:eastAsia="Cambria"/>
          <w:b/>
          <w:lang w:val="fr-FR"/>
        </w:rPr>
        <w:t>d</w:t>
      </w:r>
      <w:r w:rsidR="003E6D2D">
        <w:rPr>
          <w:rFonts w:eastAsia="Cambria"/>
          <w:b/>
          <w:lang w:val="fr-FR"/>
        </w:rPr>
        <w:t>’</w:t>
      </w:r>
      <w:r w:rsidRPr="003E4114">
        <w:rPr>
          <w:rFonts w:eastAsia="Cambria"/>
          <w:b/>
          <w:lang w:val="fr-FR"/>
        </w:rPr>
        <w:t>équipements à haut rendement énergétique</w:t>
      </w:r>
    </w:p>
    <w:p w:rsidR="00EB56BA" w:rsidRPr="00C51E0A" w:rsidRDefault="003E4114" w:rsidP="003E4114">
      <w:pPr>
        <w:pStyle w:val="Heading1"/>
        <w:rPr>
          <w:rFonts w:eastAsia="DengXian"/>
          <w:lang w:val="fr-FR"/>
        </w:rPr>
      </w:pPr>
      <w:r w:rsidRPr="003E4114">
        <w:rPr>
          <w:rFonts w:eastAsia="DengXian"/>
          <w:lang w:val="fr-FR"/>
        </w:rPr>
        <w:t>L</w:t>
      </w:r>
      <w:r w:rsidR="003E6D2D">
        <w:rPr>
          <w:rFonts w:eastAsia="DengXian"/>
          <w:lang w:val="fr-FR"/>
        </w:rPr>
        <w:t>’</w:t>
      </w:r>
      <w:r w:rsidRPr="003E4114">
        <w:rPr>
          <w:rFonts w:eastAsia="DengXian"/>
          <w:lang w:val="fr-FR"/>
        </w:rPr>
        <w:t>efficacité énergétique de n</w:t>
      </w:r>
      <w:r w:rsidR="003E6D2D">
        <w:rPr>
          <w:rFonts w:eastAsia="DengXian"/>
          <w:lang w:val="fr-FR"/>
        </w:rPr>
        <w:t>’</w:t>
      </w:r>
      <w:r w:rsidRPr="003E4114">
        <w:rPr>
          <w:rFonts w:eastAsia="DengXian"/>
          <w:lang w:val="fr-FR"/>
        </w:rPr>
        <w:t>importe quel</w:t>
      </w:r>
      <w:r w:rsidR="00DE2562">
        <w:rPr>
          <w:rFonts w:eastAsia="DengXian"/>
          <w:lang w:val="fr-FR"/>
        </w:rPr>
        <w:t xml:space="preserve"> type d’</w:t>
      </w:r>
      <w:r w:rsidRPr="003E4114">
        <w:rPr>
          <w:rFonts w:eastAsia="DengXian"/>
          <w:lang w:val="fr-FR"/>
        </w:rPr>
        <w:t>équipements de réfrigération, de climatisation et de pompes à chaleur dépend en grande partie du frigorigène chargé dans les systèmes.</w:t>
      </w:r>
      <w:r w:rsidR="00EB56BA" w:rsidRPr="00C51E0A">
        <w:rPr>
          <w:rFonts w:eastAsia="DengXian"/>
          <w:lang w:val="fr-FR"/>
        </w:rPr>
        <w:t xml:space="preserve"> </w:t>
      </w:r>
      <w:r w:rsidRPr="003E4114">
        <w:rPr>
          <w:rFonts w:eastAsia="DengXian"/>
          <w:lang w:val="fr-FR"/>
        </w:rPr>
        <w:t>La demande mondiale d</w:t>
      </w:r>
      <w:r w:rsidR="003E6D2D">
        <w:rPr>
          <w:rFonts w:eastAsia="DengXian"/>
          <w:lang w:val="fr-FR"/>
        </w:rPr>
        <w:t>’</w:t>
      </w:r>
      <w:r w:rsidRPr="003E4114">
        <w:rPr>
          <w:rFonts w:eastAsia="DengXian"/>
          <w:lang w:val="fr-FR"/>
        </w:rPr>
        <w:t xml:space="preserve">équipements utilisant des substances à PRP élevé, par exemple le R-410A, </w:t>
      </w:r>
      <w:r w:rsidR="00DE2562">
        <w:rPr>
          <w:rFonts w:eastAsia="DengXian"/>
          <w:lang w:val="fr-FR"/>
        </w:rPr>
        <w:t>n’a jamais été aussi</w:t>
      </w:r>
      <w:r w:rsidRPr="003E4114">
        <w:rPr>
          <w:rFonts w:eastAsia="DengXian"/>
          <w:lang w:val="fr-FR"/>
        </w:rPr>
        <w:t xml:space="preserve"> élevée depuis de nombreuses années, conduisant les principaux fabricants d</w:t>
      </w:r>
      <w:r w:rsidR="003E6D2D">
        <w:rPr>
          <w:rFonts w:eastAsia="DengXian"/>
          <w:lang w:val="fr-FR"/>
        </w:rPr>
        <w:t>’</w:t>
      </w:r>
      <w:r w:rsidRPr="003E4114">
        <w:rPr>
          <w:rFonts w:eastAsia="DengXian"/>
          <w:lang w:val="fr-FR"/>
        </w:rPr>
        <w:t>équipements à continuellement améliorer l</w:t>
      </w:r>
      <w:r w:rsidR="003E6D2D">
        <w:rPr>
          <w:rFonts w:eastAsia="DengXian"/>
          <w:lang w:val="fr-FR"/>
        </w:rPr>
        <w:t>’</w:t>
      </w:r>
      <w:r w:rsidRPr="003E4114">
        <w:rPr>
          <w:rFonts w:eastAsia="DengXian"/>
          <w:lang w:val="fr-FR"/>
        </w:rPr>
        <w:t>efficacité énergétique de ce genre d</w:t>
      </w:r>
      <w:r w:rsidR="003E6D2D">
        <w:rPr>
          <w:rFonts w:eastAsia="DengXian"/>
          <w:lang w:val="fr-FR"/>
        </w:rPr>
        <w:t>’</w:t>
      </w:r>
      <w:r w:rsidRPr="003E4114">
        <w:rPr>
          <w:rFonts w:eastAsia="DengXian"/>
          <w:lang w:val="fr-FR"/>
        </w:rPr>
        <w:t>équipements.</w:t>
      </w:r>
      <w:r w:rsidR="00EB56BA" w:rsidRPr="00C51E0A">
        <w:rPr>
          <w:rFonts w:eastAsia="DengXian"/>
          <w:lang w:val="fr-FR"/>
        </w:rPr>
        <w:t xml:space="preserve"> </w:t>
      </w:r>
      <w:r w:rsidRPr="003E4114">
        <w:rPr>
          <w:rFonts w:eastAsia="DengXian"/>
          <w:lang w:val="fr-FR"/>
        </w:rPr>
        <w:t>Avec l</w:t>
      </w:r>
      <w:r w:rsidR="003E6D2D">
        <w:rPr>
          <w:rFonts w:eastAsia="DengXian"/>
          <w:lang w:val="fr-FR"/>
        </w:rPr>
        <w:t>’</w:t>
      </w:r>
      <w:r w:rsidRPr="003E4114">
        <w:rPr>
          <w:rFonts w:eastAsia="DengXian"/>
          <w:lang w:val="fr-FR"/>
        </w:rPr>
        <w:t>adoption de l</w:t>
      </w:r>
      <w:r w:rsidR="003E6D2D">
        <w:rPr>
          <w:rFonts w:eastAsia="DengXian"/>
          <w:lang w:val="fr-FR"/>
        </w:rPr>
        <w:t>’</w:t>
      </w:r>
      <w:r w:rsidRPr="003E4114">
        <w:rPr>
          <w:rFonts w:eastAsia="DengXian"/>
          <w:lang w:val="fr-FR"/>
        </w:rPr>
        <w:t>Amendement de Kigali, on prévoit un renforcement du rythme de l</w:t>
      </w:r>
      <w:r w:rsidR="003E6D2D">
        <w:rPr>
          <w:rFonts w:eastAsia="DengXian"/>
          <w:lang w:val="fr-FR"/>
        </w:rPr>
        <w:t>’</w:t>
      </w:r>
      <w:r w:rsidRPr="003E4114">
        <w:rPr>
          <w:rFonts w:eastAsia="DengXian"/>
          <w:lang w:val="fr-FR"/>
        </w:rPr>
        <w:t xml:space="preserve">introduction des équipements de réfrigération, de climatisation et de pompes à chaleur contenant des frigorigènes à faible </w:t>
      </w:r>
      <w:r w:rsidR="00DE2562">
        <w:rPr>
          <w:rFonts w:eastAsia="DengXian"/>
          <w:lang w:val="fr-FR"/>
        </w:rPr>
        <w:t>PRP ou sans PRP</w:t>
      </w:r>
      <w:r w:rsidRPr="003E4114">
        <w:rPr>
          <w:rFonts w:eastAsia="DengXian"/>
          <w:lang w:val="fr-FR"/>
        </w:rPr>
        <w:t xml:space="preserve"> (par exemple HFC-32 ou R-290).</w:t>
      </w:r>
      <w:r w:rsidR="00EB56BA" w:rsidRPr="00C51E0A">
        <w:rPr>
          <w:rFonts w:eastAsia="DengXian"/>
          <w:lang w:val="fr-FR"/>
        </w:rPr>
        <w:t xml:space="preserve"> </w:t>
      </w:r>
      <w:r w:rsidRPr="003E4114">
        <w:rPr>
          <w:rFonts w:eastAsia="DengXian"/>
          <w:lang w:val="fr-FR"/>
        </w:rPr>
        <w:t>Cependant, l</w:t>
      </w:r>
      <w:r w:rsidR="003E6D2D">
        <w:rPr>
          <w:rFonts w:eastAsia="DengXian"/>
          <w:lang w:val="fr-FR"/>
        </w:rPr>
        <w:t>’</w:t>
      </w:r>
      <w:r w:rsidRPr="003E4114">
        <w:rPr>
          <w:rFonts w:eastAsia="DengXian"/>
          <w:lang w:val="fr-FR"/>
        </w:rPr>
        <w:t>amélioration de l</w:t>
      </w:r>
      <w:r w:rsidR="003E6D2D">
        <w:rPr>
          <w:rFonts w:eastAsia="DengXian"/>
          <w:lang w:val="fr-FR"/>
        </w:rPr>
        <w:t>’</w:t>
      </w:r>
      <w:r w:rsidRPr="003E4114">
        <w:rPr>
          <w:rFonts w:eastAsia="DengXian"/>
          <w:lang w:val="fr-FR"/>
        </w:rPr>
        <w:t>efficacité énergétique exigera des fabricants d</w:t>
      </w:r>
      <w:r w:rsidR="003E6D2D">
        <w:rPr>
          <w:rFonts w:eastAsia="DengXian"/>
          <w:lang w:val="fr-FR"/>
        </w:rPr>
        <w:t>’</w:t>
      </w:r>
      <w:r w:rsidRPr="003E4114">
        <w:rPr>
          <w:rFonts w:eastAsia="DengXian"/>
          <w:lang w:val="fr-FR"/>
        </w:rPr>
        <w:t>équipement</w:t>
      </w:r>
      <w:r w:rsidR="00DE2562">
        <w:rPr>
          <w:rFonts w:eastAsia="DengXian"/>
          <w:lang w:val="fr-FR"/>
        </w:rPr>
        <w:t>s</w:t>
      </w:r>
      <w:r w:rsidRPr="003E4114">
        <w:rPr>
          <w:rFonts w:eastAsia="DengXian"/>
          <w:lang w:val="fr-FR"/>
        </w:rPr>
        <w:t xml:space="preserve"> qu</w:t>
      </w:r>
      <w:r w:rsidR="003E6D2D">
        <w:rPr>
          <w:rFonts w:eastAsia="DengXian"/>
          <w:lang w:val="fr-FR"/>
        </w:rPr>
        <w:t>’</w:t>
      </w:r>
      <w:r w:rsidRPr="003E4114">
        <w:rPr>
          <w:rFonts w:eastAsia="DengXian"/>
          <w:lang w:val="fr-FR"/>
        </w:rPr>
        <w:t>ils introduisent des progrès technologiques dans la conception et les composantes clés de ces équipement</w:t>
      </w:r>
      <w:r w:rsidR="00DE2562">
        <w:rPr>
          <w:rFonts w:eastAsia="DengXian"/>
          <w:lang w:val="fr-FR"/>
        </w:rPr>
        <w:t>s</w:t>
      </w:r>
      <w:r w:rsidRPr="003E4114">
        <w:rPr>
          <w:rFonts w:eastAsia="DengXian"/>
          <w:lang w:val="fr-FR"/>
        </w:rPr>
        <w:t xml:space="preserve"> (par exemple, compresseurs, échangeurs de chaleur et commandes)</w:t>
      </w:r>
      <w:r w:rsidR="00EB56BA" w:rsidRPr="00F66239">
        <w:rPr>
          <w:rFonts w:eastAsia="DengXian"/>
          <w:vertAlign w:val="superscript"/>
        </w:rPr>
        <w:footnoteReference w:id="25"/>
      </w:r>
      <w:r w:rsidR="00DE2562">
        <w:rPr>
          <w:rFonts w:eastAsia="DengXian"/>
          <w:lang w:val="fr-FR"/>
        </w:rPr>
        <w:t>.</w:t>
      </w:r>
    </w:p>
    <w:p w:rsidR="00EB56BA" w:rsidRPr="00C51E0A" w:rsidRDefault="003E4114" w:rsidP="001F4CC0">
      <w:pPr>
        <w:pStyle w:val="Heading1"/>
        <w:rPr>
          <w:rFonts w:eastAsia="DengXian"/>
          <w:kern w:val="2"/>
          <w:lang w:val="fr-FR"/>
        </w:rPr>
      </w:pPr>
      <w:r w:rsidRPr="001F4CC0">
        <w:rPr>
          <w:lang w:val="fr-FR"/>
        </w:rPr>
        <w:t>L</w:t>
      </w:r>
      <w:r w:rsidR="003E6D2D">
        <w:rPr>
          <w:lang w:val="fr-FR"/>
        </w:rPr>
        <w:t>’</w:t>
      </w:r>
      <w:r w:rsidRPr="001F4CC0">
        <w:rPr>
          <w:lang w:val="fr-FR"/>
        </w:rPr>
        <w:t>une des mesures de</w:t>
      </w:r>
      <w:r w:rsidR="008E06A8">
        <w:rPr>
          <w:lang w:val="fr-FR"/>
        </w:rPr>
        <w:t xml:space="preserve">s </w:t>
      </w:r>
      <w:r w:rsidRPr="001F4CC0">
        <w:rPr>
          <w:lang w:val="fr-FR"/>
        </w:rPr>
        <w:t>politique</w:t>
      </w:r>
      <w:r w:rsidR="008E06A8">
        <w:rPr>
          <w:lang w:val="fr-FR"/>
        </w:rPr>
        <w:t>s</w:t>
      </w:r>
      <w:r w:rsidRPr="001F4CC0">
        <w:rPr>
          <w:lang w:val="fr-FR"/>
        </w:rPr>
        <w:t xml:space="preserve"> d</w:t>
      </w:r>
      <w:r w:rsidR="003E6D2D">
        <w:rPr>
          <w:lang w:val="fr-FR"/>
        </w:rPr>
        <w:t>’</w:t>
      </w:r>
      <w:r w:rsidRPr="001F4CC0">
        <w:rPr>
          <w:lang w:val="fr-FR"/>
        </w:rPr>
        <w:t xml:space="preserve">efficacité énergétique utilisée mondialement </w:t>
      </w:r>
      <w:r w:rsidR="001F4CC0" w:rsidRPr="001F4CC0">
        <w:rPr>
          <w:lang w:val="fr-FR"/>
        </w:rPr>
        <w:t xml:space="preserve">sont les performances énergétiques minimales ou MEPS, </w:t>
      </w:r>
      <w:r w:rsidR="005C0A7B">
        <w:rPr>
          <w:lang w:val="fr-FR"/>
        </w:rPr>
        <w:t>une spécification des</w:t>
      </w:r>
      <w:r w:rsidR="001F4CC0" w:rsidRPr="001F4CC0">
        <w:rPr>
          <w:lang w:val="fr-FR"/>
        </w:rPr>
        <w:t xml:space="preserve"> exigences de performances d</w:t>
      </w:r>
      <w:r w:rsidR="003E6D2D">
        <w:rPr>
          <w:lang w:val="fr-FR"/>
        </w:rPr>
        <w:t>’</w:t>
      </w:r>
      <w:r w:rsidR="001F4CC0" w:rsidRPr="001F4CC0">
        <w:rPr>
          <w:lang w:val="fr-FR"/>
        </w:rPr>
        <w:t>un appareil utilisant de l</w:t>
      </w:r>
      <w:r w:rsidR="003E6D2D">
        <w:rPr>
          <w:lang w:val="fr-FR"/>
        </w:rPr>
        <w:t>’</w:t>
      </w:r>
      <w:r w:rsidR="001F4CC0" w:rsidRPr="001F4CC0">
        <w:rPr>
          <w:lang w:val="fr-FR"/>
        </w:rPr>
        <w:t>énergie</w:t>
      </w:r>
      <w:r w:rsidR="003E6D2D">
        <w:rPr>
          <w:lang w:val="fr-FR"/>
        </w:rPr>
        <w:t xml:space="preserve"> </w:t>
      </w:r>
      <w:r w:rsidR="001F4CC0" w:rsidRPr="001F4CC0">
        <w:rPr>
          <w:lang w:val="fr-FR"/>
        </w:rPr>
        <w:t>qui</w:t>
      </w:r>
      <w:r w:rsidRPr="001F4CC0">
        <w:rPr>
          <w:lang w:val="fr-FR"/>
        </w:rPr>
        <w:t xml:space="preserve"> limite efficacement la quantité maximum d</w:t>
      </w:r>
      <w:r w:rsidR="003E6D2D">
        <w:rPr>
          <w:lang w:val="fr-FR"/>
        </w:rPr>
        <w:t>’</w:t>
      </w:r>
      <w:r w:rsidRPr="001F4CC0">
        <w:rPr>
          <w:lang w:val="fr-FR"/>
        </w:rPr>
        <w:t xml:space="preserve">énergie qui peut être consommée par un produit </w:t>
      </w:r>
      <w:r w:rsidR="001F4CC0" w:rsidRPr="001F4CC0">
        <w:rPr>
          <w:lang w:val="fr-FR"/>
        </w:rPr>
        <w:t>lors de l</w:t>
      </w:r>
      <w:r w:rsidR="003E6D2D">
        <w:rPr>
          <w:lang w:val="fr-FR"/>
        </w:rPr>
        <w:t>’</w:t>
      </w:r>
      <w:r w:rsidRPr="001F4CC0">
        <w:rPr>
          <w:lang w:val="fr-FR"/>
        </w:rPr>
        <w:t xml:space="preserve">exécution </w:t>
      </w:r>
      <w:r w:rsidR="001F4CC0" w:rsidRPr="001F4CC0">
        <w:rPr>
          <w:lang w:val="fr-FR"/>
        </w:rPr>
        <w:t>d</w:t>
      </w:r>
      <w:r w:rsidR="003E6D2D">
        <w:rPr>
          <w:lang w:val="fr-FR"/>
        </w:rPr>
        <w:t>’</w:t>
      </w:r>
      <w:r w:rsidR="001F4CC0" w:rsidRPr="001F4CC0">
        <w:rPr>
          <w:lang w:val="fr-FR"/>
        </w:rPr>
        <w:t>une tâche spécifique</w:t>
      </w:r>
      <w:r w:rsidR="00EB56BA" w:rsidRPr="00F66239">
        <w:rPr>
          <w:rStyle w:val="FootnoteReference"/>
        </w:rPr>
        <w:footnoteReference w:id="26"/>
      </w:r>
      <w:r w:rsidR="00DE2562">
        <w:rPr>
          <w:lang w:val="fr-FR"/>
        </w:rPr>
        <w:t>.</w:t>
      </w:r>
      <w:r w:rsidR="00EB56BA" w:rsidRPr="00C51E0A">
        <w:rPr>
          <w:lang w:val="fr-FR"/>
        </w:rPr>
        <w:t xml:space="preserve"> </w:t>
      </w:r>
    </w:p>
    <w:p w:rsidR="00EB56BA" w:rsidRPr="00C51E0A" w:rsidRDefault="001F4CC0" w:rsidP="002E358F">
      <w:pPr>
        <w:pStyle w:val="Heading1"/>
        <w:rPr>
          <w:lang w:val="fr-FR"/>
        </w:rPr>
      </w:pPr>
      <w:r w:rsidRPr="00A9371C">
        <w:rPr>
          <w:lang w:val="fr-FR"/>
        </w:rPr>
        <w:t>Les réglementations concernant le contrôle des importations des équipements de réfrigération, de climatisation et de pompes à chaleur à haut rendement énergétique impliqueront l</w:t>
      </w:r>
      <w:r w:rsidR="003E6D2D">
        <w:rPr>
          <w:lang w:val="fr-FR"/>
        </w:rPr>
        <w:t>’</w:t>
      </w:r>
      <w:r w:rsidRPr="00A9371C">
        <w:rPr>
          <w:lang w:val="fr-FR"/>
        </w:rPr>
        <w:t>application des MEPS</w:t>
      </w:r>
      <w:r w:rsidR="00A9371C" w:rsidRPr="00A9371C">
        <w:rPr>
          <w:lang w:val="fr-FR"/>
        </w:rPr>
        <w:t xml:space="preserve"> pour des </w:t>
      </w:r>
      <w:r w:rsidRPr="00A9371C">
        <w:rPr>
          <w:lang w:val="fr-FR"/>
        </w:rPr>
        <w:t>équipement</w:t>
      </w:r>
      <w:r w:rsidR="00A9371C" w:rsidRPr="00A9371C">
        <w:rPr>
          <w:lang w:val="fr-FR"/>
        </w:rPr>
        <w:t>s</w:t>
      </w:r>
      <w:r w:rsidRPr="00A9371C">
        <w:rPr>
          <w:lang w:val="fr-FR"/>
        </w:rPr>
        <w:t xml:space="preserve"> utilisé</w:t>
      </w:r>
      <w:r w:rsidR="00A9371C" w:rsidRPr="00A9371C">
        <w:rPr>
          <w:lang w:val="fr-FR"/>
        </w:rPr>
        <w:t>s</w:t>
      </w:r>
      <w:r w:rsidRPr="00A9371C">
        <w:rPr>
          <w:lang w:val="fr-FR"/>
        </w:rPr>
        <w:t xml:space="preserve"> dans différentes applications et fonctionn</w:t>
      </w:r>
      <w:r w:rsidR="008E06A8">
        <w:rPr>
          <w:lang w:val="fr-FR"/>
        </w:rPr>
        <w:t>ant</w:t>
      </w:r>
      <w:r w:rsidRPr="00A9371C">
        <w:rPr>
          <w:lang w:val="fr-FR"/>
        </w:rPr>
        <w:t xml:space="preserve"> </w:t>
      </w:r>
      <w:r w:rsidR="00A9371C" w:rsidRPr="00A9371C">
        <w:rPr>
          <w:lang w:val="fr-FR"/>
        </w:rPr>
        <w:t>dans</w:t>
      </w:r>
      <w:r w:rsidRPr="00A9371C">
        <w:rPr>
          <w:lang w:val="fr-FR"/>
        </w:rPr>
        <w:t xml:space="preserve"> différentes </w:t>
      </w:r>
      <w:r w:rsidR="00A9371C" w:rsidRPr="00A9371C">
        <w:rPr>
          <w:lang w:val="fr-FR"/>
        </w:rPr>
        <w:t xml:space="preserve">conditions climatiques, et </w:t>
      </w:r>
      <w:r w:rsidRPr="00A9371C">
        <w:rPr>
          <w:lang w:val="fr-FR"/>
        </w:rPr>
        <w:t>soutenu</w:t>
      </w:r>
      <w:r w:rsidR="005C0A7B">
        <w:rPr>
          <w:lang w:val="fr-FR"/>
        </w:rPr>
        <w:t>e</w:t>
      </w:r>
      <w:r w:rsidR="00A9371C" w:rsidRPr="00A9371C">
        <w:rPr>
          <w:lang w:val="fr-FR"/>
        </w:rPr>
        <w:t xml:space="preserve">s par des programmes de labels écologiques fournissant davantage </w:t>
      </w:r>
      <w:r w:rsidRPr="00A9371C">
        <w:rPr>
          <w:lang w:val="fr-FR"/>
        </w:rPr>
        <w:t>d</w:t>
      </w:r>
      <w:r w:rsidR="003E6D2D">
        <w:rPr>
          <w:lang w:val="fr-FR"/>
        </w:rPr>
        <w:t>’</w:t>
      </w:r>
      <w:r w:rsidRPr="00A9371C">
        <w:rPr>
          <w:lang w:val="fr-FR"/>
        </w:rPr>
        <w:t>informations aux consommateurs.</w:t>
      </w:r>
      <w:r w:rsidR="00EB56BA" w:rsidRPr="00C51E0A">
        <w:rPr>
          <w:lang w:val="fr-FR"/>
        </w:rPr>
        <w:t xml:space="preserve"> </w:t>
      </w:r>
      <w:r w:rsidR="00A9371C" w:rsidRPr="002E358F">
        <w:rPr>
          <w:lang w:val="fr-FR"/>
        </w:rPr>
        <w:t>La définition des niveaux d</w:t>
      </w:r>
      <w:r w:rsidR="003E6D2D">
        <w:rPr>
          <w:lang w:val="fr-FR"/>
        </w:rPr>
        <w:t>’</w:t>
      </w:r>
      <w:r w:rsidR="00A9371C" w:rsidRPr="002E358F">
        <w:rPr>
          <w:lang w:val="fr-FR"/>
        </w:rPr>
        <w:t>efficacité des MEPS en vue d</w:t>
      </w:r>
      <w:r w:rsidR="003E6D2D">
        <w:rPr>
          <w:lang w:val="fr-FR"/>
        </w:rPr>
        <w:t>’</w:t>
      </w:r>
      <w:r w:rsidR="00A9371C" w:rsidRPr="002E358F">
        <w:rPr>
          <w:lang w:val="fr-FR"/>
        </w:rPr>
        <w:t xml:space="preserve">éviter des équipements à </w:t>
      </w:r>
      <w:r w:rsidR="00A9371C" w:rsidRPr="002E358F">
        <w:rPr>
          <w:lang w:val="fr-FR"/>
        </w:rPr>
        <w:lastRenderedPageBreak/>
        <w:t xml:space="preserve">faible rendement énergétique variera en fonction des caractéristiques nationales du marché des produits, </w:t>
      </w:r>
      <w:r w:rsidR="008E06A8" w:rsidRPr="008E06A8">
        <w:rPr>
          <w:lang w:val="fr-FR"/>
        </w:rPr>
        <w:t>de</w:t>
      </w:r>
      <w:r w:rsidR="00A9371C" w:rsidRPr="008E06A8">
        <w:rPr>
          <w:lang w:val="fr-FR"/>
        </w:rPr>
        <w:t xml:space="preserve"> l</w:t>
      </w:r>
      <w:r w:rsidR="003E6D2D" w:rsidRPr="008E06A8">
        <w:rPr>
          <w:lang w:val="fr-FR"/>
        </w:rPr>
        <w:t>’</w:t>
      </w:r>
      <w:r w:rsidR="00A9371C" w:rsidRPr="008E06A8">
        <w:rPr>
          <w:lang w:val="fr-FR"/>
        </w:rPr>
        <w:t>analyse des coûts</w:t>
      </w:r>
      <w:r w:rsidR="00A9371C" w:rsidRPr="002E358F">
        <w:rPr>
          <w:lang w:val="fr-FR"/>
        </w:rPr>
        <w:t xml:space="preserve"> </w:t>
      </w:r>
      <w:r w:rsidR="008E06A8">
        <w:rPr>
          <w:lang w:val="fr-FR"/>
        </w:rPr>
        <w:t>pour le</w:t>
      </w:r>
      <w:r w:rsidR="00A9371C" w:rsidRPr="002E358F">
        <w:rPr>
          <w:lang w:val="fr-FR"/>
        </w:rPr>
        <w:t xml:space="preserve"> consommateur, </w:t>
      </w:r>
      <w:r w:rsidR="008E06A8">
        <w:rPr>
          <w:lang w:val="fr-FR"/>
        </w:rPr>
        <w:t>d</w:t>
      </w:r>
      <w:r w:rsidR="00A9371C" w:rsidRPr="002E358F">
        <w:rPr>
          <w:lang w:val="fr-FR"/>
        </w:rPr>
        <w:t>es préférences de ce dernier pour l</w:t>
      </w:r>
      <w:r w:rsidR="003E6D2D">
        <w:rPr>
          <w:lang w:val="fr-FR"/>
        </w:rPr>
        <w:t>’</w:t>
      </w:r>
      <w:r w:rsidR="00A9371C" w:rsidRPr="002E358F">
        <w:rPr>
          <w:lang w:val="fr-FR"/>
        </w:rPr>
        <w:t>adoption d</w:t>
      </w:r>
      <w:r w:rsidR="003E6D2D">
        <w:rPr>
          <w:lang w:val="fr-FR"/>
        </w:rPr>
        <w:t>’</w:t>
      </w:r>
      <w:r w:rsidR="00A9371C" w:rsidRPr="002E358F">
        <w:rPr>
          <w:lang w:val="fr-FR"/>
        </w:rPr>
        <w:t xml:space="preserve">équipements écoénergétiques, </w:t>
      </w:r>
      <w:r w:rsidR="005C0A7B">
        <w:rPr>
          <w:lang w:val="fr-FR"/>
        </w:rPr>
        <w:t xml:space="preserve">ces </w:t>
      </w:r>
      <w:r w:rsidR="008E06A8">
        <w:rPr>
          <w:lang w:val="fr-FR"/>
        </w:rPr>
        <w:t>élém</w:t>
      </w:r>
      <w:r w:rsidR="005C0A7B">
        <w:rPr>
          <w:lang w:val="fr-FR"/>
        </w:rPr>
        <w:t xml:space="preserve">ents étant </w:t>
      </w:r>
      <w:r w:rsidR="00A9371C" w:rsidRPr="002E358F">
        <w:rPr>
          <w:lang w:val="fr-FR"/>
        </w:rPr>
        <w:t xml:space="preserve">entre autres </w:t>
      </w:r>
      <w:r w:rsidR="005C0A7B" w:rsidRPr="002E358F">
        <w:rPr>
          <w:lang w:val="fr-FR"/>
        </w:rPr>
        <w:t>influencé</w:t>
      </w:r>
      <w:r w:rsidR="005C0A7B">
        <w:rPr>
          <w:lang w:val="fr-FR"/>
        </w:rPr>
        <w:t xml:space="preserve">s </w:t>
      </w:r>
      <w:r w:rsidR="00A9371C" w:rsidRPr="002E358F">
        <w:rPr>
          <w:lang w:val="fr-FR"/>
        </w:rPr>
        <w:t>par les technologies disponibles, la facilité d</w:t>
      </w:r>
      <w:r w:rsidR="003E6D2D">
        <w:rPr>
          <w:lang w:val="fr-FR"/>
        </w:rPr>
        <w:t>’</w:t>
      </w:r>
      <w:r w:rsidR="00A9371C" w:rsidRPr="002E358F">
        <w:rPr>
          <w:lang w:val="fr-FR"/>
        </w:rPr>
        <w:t>adoption, le prix de l</w:t>
      </w:r>
      <w:r w:rsidR="003E6D2D">
        <w:rPr>
          <w:lang w:val="fr-FR"/>
        </w:rPr>
        <w:t>’</w:t>
      </w:r>
      <w:r w:rsidR="00A9371C" w:rsidRPr="002E358F">
        <w:rPr>
          <w:lang w:val="fr-FR"/>
        </w:rPr>
        <w:t>électricité et les schémas d</w:t>
      </w:r>
      <w:r w:rsidR="003E6D2D">
        <w:rPr>
          <w:lang w:val="fr-FR"/>
        </w:rPr>
        <w:t>’</w:t>
      </w:r>
      <w:r w:rsidR="00A9371C" w:rsidRPr="002E358F">
        <w:rPr>
          <w:lang w:val="fr-FR"/>
        </w:rPr>
        <w:t>utilisation.</w:t>
      </w:r>
      <w:r w:rsidR="00EB56BA" w:rsidRPr="00C51E0A">
        <w:rPr>
          <w:lang w:val="fr-FR"/>
        </w:rPr>
        <w:t xml:space="preserve"> </w:t>
      </w:r>
      <w:r w:rsidR="002E358F" w:rsidRPr="002E358F">
        <w:rPr>
          <w:lang w:val="fr-FR"/>
        </w:rPr>
        <w:t xml:space="preserve">De plus, </w:t>
      </w:r>
      <w:r w:rsidR="008E06A8">
        <w:rPr>
          <w:lang w:val="fr-FR"/>
        </w:rPr>
        <w:t>l</w:t>
      </w:r>
      <w:r w:rsidR="002E358F" w:rsidRPr="002E358F">
        <w:rPr>
          <w:lang w:val="fr-FR"/>
        </w:rPr>
        <w:t xml:space="preserve">es niveaux des MEPS doivent être révisés à la hausse </w:t>
      </w:r>
      <w:r w:rsidR="00C96091">
        <w:rPr>
          <w:lang w:val="fr-FR"/>
        </w:rPr>
        <w:t>au bout de</w:t>
      </w:r>
      <w:r w:rsidR="002E358F" w:rsidRPr="002E358F">
        <w:rPr>
          <w:lang w:val="fr-FR"/>
        </w:rPr>
        <w:t xml:space="preserve"> quelques années en tenant compte des développements techniques des équipements de réfrigération, de climatisation et de pompes à chaleur.</w:t>
      </w:r>
      <w:r w:rsidR="00EB56BA" w:rsidRPr="00C51E0A">
        <w:rPr>
          <w:lang w:val="fr-FR"/>
        </w:rPr>
        <w:t xml:space="preserve"> </w:t>
      </w:r>
      <w:r w:rsidR="002E358F" w:rsidRPr="002E358F">
        <w:rPr>
          <w:lang w:val="fr-FR"/>
        </w:rPr>
        <w:t>D</w:t>
      </w:r>
      <w:r w:rsidR="003E6D2D">
        <w:rPr>
          <w:lang w:val="fr-FR"/>
        </w:rPr>
        <w:t>’</w:t>
      </w:r>
      <w:r w:rsidR="002E358F" w:rsidRPr="002E358F">
        <w:rPr>
          <w:lang w:val="fr-FR"/>
        </w:rPr>
        <w:t>ailleurs, les MEPS sont en grande partie indépendants du frigorigène utilisé.</w:t>
      </w:r>
    </w:p>
    <w:p w:rsidR="00EB56BA" w:rsidRPr="00C51E0A" w:rsidRDefault="002E358F" w:rsidP="00CA7703">
      <w:pPr>
        <w:pStyle w:val="Heading1"/>
        <w:rPr>
          <w:lang w:val="fr-FR"/>
        </w:rPr>
      </w:pPr>
      <w:r w:rsidRPr="002E358F">
        <w:rPr>
          <w:lang w:val="fr-FR"/>
        </w:rPr>
        <w:t>En conséquence, alors que l</w:t>
      </w:r>
      <w:r w:rsidR="003E6D2D">
        <w:rPr>
          <w:lang w:val="fr-FR"/>
        </w:rPr>
        <w:t>’</w:t>
      </w:r>
      <w:r w:rsidRPr="002E358F">
        <w:rPr>
          <w:lang w:val="fr-FR"/>
        </w:rPr>
        <w:t>application des MEPS pour la fourniture et la vente d</w:t>
      </w:r>
      <w:r w:rsidR="003E6D2D">
        <w:rPr>
          <w:lang w:val="fr-FR"/>
        </w:rPr>
        <w:t>’</w:t>
      </w:r>
      <w:r w:rsidRPr="002E358F">
        <w:rPr>
          <w:lang w:val="fr-FR"/>
        </w:rPr>
        <w:t>équipements sur les marchés locaux est essentielle pour améliorer l</w:t>
      </w:r>
      <w:r w:rsidR="003E6D2D">
        <w:rPr>
          <w:lang w:val="fr-FR"/>
        </w:rPr>
        <w:t>’</w:t>
      </w:r>
      <w:r w:rsidRPr="002E358F">
        <w:rPr>
          <w:lang w:val="fr-FR"/>
        </w:rPr>
        <w:t>efficacité énergétique, des mesures complémentaires doivent être simultanément mises en œuvre pour éviter une utilisation accrue d</w:t>
      </w:r>
      <w:r w:rsidR="003E6D2D">
        <w:rPr>
          <w:lang w:val="fr-FR"/>
        </w:rPr>
        <w:t>’</w:t>
      </w:r>
      <w:r w:rsidRPr="002E358F">
        <w:rPr>
          <w:lang w:val="fr-FR"/>
        </w:rPr>
        <w:t>équipements de réfrigération, de climatisation et de pompes à chaleur contenant des frigorigènes à PRP élevé.</w:t>
      </w:r>
      <w:r w:rsidR="00EB56BA" w:rsidRPr="00C51E0A">
        <w:rPr>
          <w:lang w:val="fr-FR"/>
        </w:rPr>
        <w:t xml:space="preserve"> </w:t>
      </w:r>
      <w:r w:rsidRPr="00CA7703">
        <w:rPr>
          <w:lang w:val="fr-FR"/>
        </w:rPr>
        <w:t xml:space="preserve">En particulier, des MEPS et des mesures réglementaires </w:t>
      </w:r>
      <w:r w:rsidR="00CA7703" w:rsidRPr="00CA7703">
        <w:rPr>
          <w:lang w:val="fr-FR"/>
        </w:rPr>
        <w:t>prenant</w:t>
      </w:r>
      <w:r w:rsidRPr="00CA7703">
        <w:rPr>
          <w:lang w:val="fr-FR"/>
        </w:rPr>
        <w:t xml:space="preserve"> en </w:t>
      </w:r>
      <w:r w:rsidR="00CA7703" w:rsidRPr="00CA7703">
        <w:rPr>
          <w:lang w:val="fr-FR"/>
        </w:rPr>
        <w:t>main les importations</w:t>
      </w:r>
      <w:r w:rsidRPr="00CA7703">
        <w:rPr>
          <w:lang w:val="fr-FR"/>
        </w:rPr>
        <w:t xml:space="preserve"> et l</w:t>
      </w:r>
      <w:r w:rsidR="003E6D2D">
        <w:rPr>
          <w:lang w:val="fr-FR"/>
        </w:rPr>
        <w:t>’</w:t>
      </w:r>
      <w:r w:rsidRPr="00CA7703">
        <w:rPr>
          <w:lang w:val="fr-FR"/>
        </w:rPr>
        <w:t xml:space="preserve">utilisation </w:t>
      </w:r>
      <w:r w:rsidR="00CA7703" w:rsidRPr="00CA7703">
        <w:rPr>
          <w:lang w:val="fr-FR"/>
        </w:rPr>
        <w:t>d</w:t>
      </w:r>
      <w:r w:rsidR="003E6D2D">
        <w:rPr>
          <w:lang w:val="fr-FR"/>
        </w:rPr>
        <w:t>’</w:t>
      </w:r>
      <w:r w:rsidR="00CA7703" w:rsidRPr="00CA7703">
        <w:rPr>
          <w:lang w:val="fr-FR"/>
        </w:rPr>
        <w:t xml:space="preserve">équipements contenant des frigorigènes à PRP élevé </w:t>
      </w:r>
      <w:r w:rsidRPr="00CA7703">
        <w:rPr>
          <w:lang w:val="fr-FR"/>
        </w:rPr>
        <w:t xml:space="preserve">devraient être mis </w:t>
      </w:r>
      <w:r w:rsidR="00CA7703" w:rsidRPr="00CA7703">
        <w:rPr>
          <w:lang w:val="fr-FR"/>
        </w:rPr>
        <w:t xml:space="preserve">simultanément </w:t>
      </w:r>
      <w:r w:rsidRPr="00CA7703">
        <w:rPr>
          <w:lang w:val="fr-FR"/>
        </w:rPr>
        <w:t xml:space="preserve">en </w:t>
      </w:r>
      <w:r w:rsidR="00CA7703" w:rsidRPr="00CA7703">
        <w:rPr>
          <w:lang w:val="fr-FR"/>
        </w:rPr>
        <w:t>œuvre afin d</w:t>
      </w:r>
      <w:r w:rsidR="003E6D2D">
        <w:rPr>
          <w:lang w:val="fr-FR"/>
        </w:rPr>
        <w:t>’</w:t>
      </w:r>
      <w:r w:rsidRPr="00CA7703">
        <w:rPr>
          <w:lang w:val="fr-FR"/>
        </w:rPr>
        <w:t>éviter l</w:t>
      </w:r>
      <w:r w:rsidR="00CA7703" w:rsidRPr="00CA7703">
        <w:rPr>
          <w:lang w:val="fr-FR"/>
        </w:rPr>
        <w:t xml:space="preserve">es </w:t>
      </w:r>
      <w:r w:rsidRPr="00CA7703">
        <w:rPr>
          <w:lang w:val="fr-FR"/>
        </w:rPr>
        <w:t>importation</w:t>
      </w:r>
      <w:r w:rsidR="00CA7703" w:rsidRPr="00CA7703">
        <w:rPr>
          <w:lang w:val="fr-FR"/>
        </w:rPr>
        <w:t xml:space="preserve">s </w:t>
      </w:r>
      <w:r w:rsidR="005C0A7B">
        <w:rPr>
          <w:lang w:val="fr-FR"/>
        </w:rPr>
        <w:t>d’</w:t>
      </w:r>
      <w:r w:rsidR="00CA7703" w:rsidRPr="00CA7703">
        <w:rPr>
          <w:lang w:val="fr-FR"/>
        </w:rPr>
        <w:t>équipements à haut rendement énergétique utilisant des frigorigène</w:t>
      </w:r>
      <w:r w:rsidR="005C0A7B">
        <w:rPr>
          <w:lang w:val="fr-FR"/>
        </w:rPr>
        <w:t>s</w:t>
      </w:r>
      <w:r w:rsidR="00CA7703" w:rsidRPr="00CA7703">
        <w:rPr>
          <w:lang w:val="fr-FR"/>
        </w:rPr>
        <w:t xml:space="preserve"> à PRP élevé </w:t>
      </w:r>
      <w:r w:rsidRPr="00CA7703">
        <w:rPr>
          <w:lang w:val="fr-FR"/>
        </w:rPr>
        <w:t>(par ex</w:t>
      </w:r>
      <w:r w:rsidR="00CA7703" w:rsidRPr="00CA7703">
        <w:rPr>
          <w:lang w:val="fr-FR"/>
        </w:rPr>
        <w:t xml:space="preserve">. le </w:t>
      </w:r>
      <w:r w:rsidRPr="00CA7703">
        <w:rPr>
          <w:lang w:val="fr-FR"/>
        </w:rPr>
        <w:t>R-410A).</w:t>
      </w:r>
    </w:p>
    <w:p w:rsidR="00EB56BA" w:rsidRPr="00C51E0A" w:rsidRDefault="00CA7703" w:rsidP="009C6BB6">
      <w:pPr>
        <w:pStyle w:val="Heading1"/>
        <w:rPr>
          <w:lang w:val="fr-FR"/>
        </w:rPr>
      </w:pPr>
      <w:r w:rsidRPr="00CA7703">
        <w:rPr>
          <w:lang w:val="fr-FR"/>
        </w:rPr>
        <w:t>D</w:t>
      </w:r>
      <w:r w:rsidR="003E6D2D">
        <w:rPr>
          <w:lang w:val="fr-FR"/>
        </w:rPr>
        <w:t>’</w:t>
      </w:r>
      <w:r w:rsidRPr="00CA7703">
        <w:rPr>
          <w:lang w:val="fr-FR"/>
        </w:rPr>
        <w:t>autres mesures qui pourraient faciliter l</w:t>
      </w:r>
      <w:r w:rsidR="003E6D2D">
        <w:rPr>
          <w:lang w:val="fr-FR"/>
        </w:rPr>
        <w:t>’</w:t>
      </w:r>
      <w:r w:rsidRPr="00CA7703">
        <w:rPr>
          <w:lang w:val="fr-FR"/>
        </w:rPr>
        <w:t>adoption d</w:t>
      </w:r>
      <w:r w:rsidR="003E6D2D">
        <w:rPr>
          <w:lang w:val="fr-FR"/>
        </w:rPr>
        <w:t>’</w:t>
      </w:r>
      <w:r w:rsidRPr="00CA7703">
        <w:rPr>
          <w:lang w:val="fr-FR"/>
        </w:rPr>
        <w:t xml:space="preserve">équipements à haut rendement énergétique incluent les programmes </w:t>
      </w:r>
      <w:r w:rsidR="001D6B91">
        <w:rPr>
          <w:lang w:val="fr-FR"/>
        </w:rPr>
        <w:t xml:space="preserve">de </w:t>
      </w:r>
      <w:r w:rsidRPr="00CA7703">
        <w:rPr>
          <w:lang w:val="fr-FR"/>
        </w:rPr>
        <w:t xml:space="preserve">labels écologiques qui aident </w:t>
      </w:r>
      <w:r w:rsidR="001D6B91">
        <w:rPr>
          <w:lang w:val="fr-FR"/>
        </w:rPr>
        <w:t>l</w:t>
      </w:r>
      <w:r w:rsidRPr="00CA7703">
        <w:rPr>
          <w:lang w:val="fr-FR"/>
        </w:rPr>
        <w:t xml:space="preserve">es consommateurs à choisir des produits spécifiques </w:t>
      </w:r>
      <w:r w:rsidR="001D6B91">
        <w:rPr>
          <w:lang w:val="fr-FR"/>
        </w:rPr>
        <w:t>ayant</w:t>
      </w:r>
      <w:r w:rsidRPr="00CA7703">
        <w:rPr>
          <w:lang w:val="fr-FR"/>
        </w:rPr>
        <w:t xml:space="preserve"> certains niveaux </w:t>
      </w:r>
      <w:r w:rsidR="001D6B91">
        <w:rPr>
          <w:lang w:val="fr-FR"/>
        </w:rPr>
        <w:t>de rendement</w:t>
      </w:r>
      <w:r w:rsidRPr="00CA7703">
        <w:rPr>
          <w:lang w:val="fr-FR"/>
        </w:rPr>
        <w:t xml:space="preserve"> ; les incitatifs financiers sous forme de rabais, de crédits d</w:t>
      </w:r>
      <w:r w:rsidR="003E6D2D">
        <w:rPr>
          <w:lang w:val="fr-FR"/>
        </w:rPr>
        <w:t>’</w:t>
      </w:r>
      <w:r w:rsidRPr="00CA7703">
        <w:rPr>
          <w:lang w:val="fr-FR"/>
        </w:rPr>
        <w:t xml:space="preserve">impôts, </w:t>
      </w:r>
      <w:r w:rsidRPr="005C0A7B">
        <w:rPr>
          <w:lang w:val="fr-FR"/>
        </w:rPr>
        <w:t>de financement de prêt</w:t>
      </w:r>
      <w:r w:rsidR="001D6B91" w:rsidRPr="005C0A7B">
        <w:rPr>
          <w:lang w:val="fr-FR"/>
        </w:rPr>
        <w:t>s</w:t>
      </w:r>
      <w:r w:rsidRPr="005C0A7B">
        <w:rPr>
          <w:lang w:val="fr-FR"/>
        </w:rPr>
        <w:t xml:space="preserve"> ou de leasing d</w:t>
      </w:r>
      <w:r w:rsidR="003E6D2D" w:rsidRPr="005C0A7B">
        <w:rPr>
          <w:lang w:val="fr-FR"/>
        </w:rPr>
        <w:t>’</w:t>
      </w:r>
      <w:r w:rsidRPr="005C0A7B">
        <w:rPr>
          <w:lang w:val="fr-FR"/>
        </w:rPr>
        <w:t>équipements écoénergétiques ; et des programmes d</w:t>
      </w:r>
      <w:r w:rsidR="003E6D2D" w:rsidRPr="005C0A7B">
        <w:rPr>
          <w:lang w:val="fr-FR"/>
        </w:rPr>
        <w:t>’</w:t>
      </w:r>
      <w:r w:rsidRPr="005C0A7B">
        <w:rPr>
          <w:lang w:val="fr-FR"/>
        </w:rPr>
        <w:t>acquisition encourageant l</w:t>
      </w:r>
      <w:r w:rsidR="003E6D2D" w:rsidRPr="005C0A7B">
        <w:rPr>
          <w:lang w:val="fr-FR"/>
        </w:rPr>
        <w:t>’</w:t>
      </w:r>
      <w:r w:rsidRPr="005C0A7B">
        <w:rPr>
          <w:lang w:val="fr-FR"/>
        </w:rPr>
        <w:t xml:space="preserve">achat de produits </w:t>
      </w:r>
      <w:r w:rsidR="001D6B91" w:rsidRPr="005C0A7B">
        <w:rPr>
          <w:lang w:val="fr-FR"/>
        </w:rPr>
        <w:t>à haut rendement é</w:t>
      </w:r>
      <w:r w:rsidRPr="005C0A7B">
        <w:rPr>
          <w:lang w:val="fr-FR"/>
        </w:rPr>
        <w:t>nergétique à des prix intéressants.</w:t>
      </w:r>
      <w:r w:rsidR="00EB56BA" w:rsidRPr="00C51E0A">
        <w:rPr>
          <w:lang w:val="fr-FR"/>
        </w:rPr>
        <w:t xml:space="preserve"> </w:t>
      </w:r>
      <w:r w:rsidRPr="005C0A7B">
        <w:rPr>
          <w:lang w:val="fr-FR"/>
        </w:rPr>
        <w:t xml:space="preserve">En outre, les aspects concernant la conception des bâtiments </w:t>
      </w:r>
      <w:r w:rsidR="001D6B91" w:rsidRPr="005C0A7B">
        <w:rPr>
          <w:lang w:val="fr-FR"/>
        </w:rPr>
        <w:t xml:space="preserve">afin de </w:t>
      </w:r>
      <w:r w:rsidRPr="005C0A7B">
        <w:rPr>
          <w:lang w:val="fr-FR"/>
        </w:rPr>
        <w:t>réduire les charges</w:t>
      </w:r>
      <w:r w:rsidR="009C6BB6" w:rsidRPr="005C0A7B">
        <w:rPr>
          <w:lang w:val="fr-FR"/>
        </w:rPr>
        <w:t xml:space="preserve"> </w:t>
      </w:r>
      <w:r w:rsidR="001D6B91" w:rsidRPr="005C0A7B">
        <w:rPr>
          <w:lang w:val="fr-FR"/>
        </w:rPr>
        <w:t>thermiques</w:t>
      </w:r>
      <w:r w:rsidRPr="005C0A7B">
        <w:rPr>
          <w:lang w:val="fr-FR"/>
        </w:rPr>
        <w:t xml:space="preserve">, </w:t>
      </w:r>
      <w:r w:rsidR="009C6BB6" w:rsidRPr="005C0A7B">
        <w:rPr>
          <w:lang w:val="fr-FR"/>
        </w:rPr>
        <w:t>l</w:t>
      </w:r>
      <w:r w:rsidRPr="005C0A7B">
        <w:rPr>
          <w:lang w:val="fr-FR"/>
        </w:rPr>
        <w:t xml:space="preserve">es contrôles de température dans </w:t>
      </w:r>
      <w:r w:rsidR="009C6BB6" w:rsidRPr="005C0A7B">
        <w:rPr>
          <w:lang w:val="fr-FR"/>
        </w:rPr>
        <w:t xml:space="preserve">les </w:t>
      </w:r>
      <w:r w:rsidRPr="005C0A7B">
        <w:rPr>
          <w:lang w:val="fr-FR"/>
        </w:rPr>
        <w:t>espace</w:t>
      </w:r>
      <w:r w:rsidR="009C6BB6" w:rsidRPr="005C0A7B">
        <w:rPr>
          <w:lang w:val="fr-FR"/>
        </w:rPr>
        <w:t>s</w:t>
      </w:r>
      <w:r w:rsidRPr="005C0A7B">
        <w:rPr>
          <w:lang w:val="fr-FR"/>
        </w:rPr>
        <w:t xml:space="preserve"> de refroidissement, et </w:t>
      </w:r>
      <w:r w:rsidR="009C6BB6" w:rsidRPr="005C0A7B">
        <w:rPr>
          <w:lang w:val="fr-FR"/>
        </w:rPr>
        <w:t>le fonctionnement des équipements de</w:t>
      </w:r>
      <w:r w:rsidRPr="005C0A7B">
        <w:rPr>
          <w:lang w:val="fr-FR"/>
        </w:rPr>
        <w:t xml:space="preserve"> réfrigération pour empêcher </w:t>
      </w:r>
      <w:r w:rsidR="009C6BB6" w:rsidRPr="005C0A7B">
        <w:rPr>
          <w:lang w:val="fr-FR"/>
        </w:rPr>
        <w:t xml:space="preserve">les </w:t>
      </w:r>
      <w:r w:rsidRPr="005C0A7B">
        <w:rPr>
          <w:lang w:val="fr-FR"/>
        </w:rPr>
        <w:t>perte</w:t>
      </w:r>
      <w:r w:rsidR="009C6BB6" w:rsidRPr="005C0A7B">
        <w:rPr>
          <w:lang w:val="fr-FR"/>
        </w:rPr>
        <w:t>s au niveau du</w:t>
      </w:r>
      <w:r w:rsidRPr="005C0A7B">
        <w:rPr>
          <w:lang w:val="fr-FR"/>
        </w:rPr>
        <w:t xml:space="preserve"> refroidissement, ont un impact sur l</w:t>
      </w:r>
      <w:r w:rsidR="003E6D2D" w:rsidRPr="005C0A7B">
        <w:rPr>
          <w:lang w:val="fr-FR"/>
        </w:rPr>
        <w:t>’</w:t>
      </w:r>
      <w:r w:rsidRPr="005C0A7B">
        <w:rPr>
          <w:lang w:val="fr-FR"/>
        </w:rPr>
        <w:t>efficacité</w:t>
      </w:r>
      <w:r w:rsidRPr="009C6BB6">
        <w:rPr>
          <w:lang w:val="fr-FR"/>
        </w:rPr>
        <w:t xml:space="preserve"> énergétique de</w:t>
      </w:r>
      <w:r w:rsidR="00C96091">
        <w:rPr>
          <w:lang w:val="fr-FR"/>
        </w:rPr>
        <w:t xml:space="preserve">s </w:t>
      </w:r>
      <w:r w:rsidRPr="009C6BB6">
        <w:rPr>
          <w:lang w:val="fr-FR"/>
        </w:rPr>
        <w:t>équipement</w:t>
      </w:r>
      <w:r w:rsidR="00C96091">
        <w:rPr>
          <w:lang w:val="fr-FR"/>
        </w:rPr>
        <w:t>s</w:t>
      </w:r>
      <w:r w:rsidRPr="009C6BB6">
        <w:rPr>
          <w:lang w:val="fr-FR"/>
        </w:rPr>
        <w:t xml:space="preserve"> ; </w:t>
      </w:r>
      <w:r w:rsidR="009C6BB6" w:rsidRPr="009C6BB6">
        <w:rPr>
          <w:lang w:val="fr-FR"/>
        </w:rPr>
        <w:t>le renforcement de la sensibilisation des consommateurs et des parties prenantes concernées</w:t>
      </w:r>
      <w:r w:rsidRPr="009C6BB6">
        <w:rPr>
          <w:lang w:val="fr-FR"/>
        </w:rPr>
        <w:t xml:space="preserve"> par </w:t>
      </w:r>
      <w:r w:rsidR="009C6BB6" w:rsidRPr="009C6BB6">
        <w:rPr>
          <w:lang w:val="fr-FR"/>
        </w:rPr>
        <w:t>l</w:t>
      </w:r>
      <w:r w:rsidRPr="009C6BB6">
        <w:rPr>
          <w:lang w:val="fr-FR"/>
        </w:rPr>
        <w:t>es agences d</w:t>
      </w:r>
      <w:r w:rsidR="003E6D2D">
        <w:rPr>
          <w:lang w:val="fr-FR"/>
        </w:rPr>
        <w:t>’</w:t>
      </w:r>
      <w:r w:rsidR="009C6BB6" w:rsidRPr="009C6BB6">
        <w:rPr>
          <w:lang w:val="fr-FR"/>
        </w:rPr>
        <w:t>entretien pourront</w:t>
      </w:r>
      <w:r w:rsidRPr="009C6BB6">
        <w:rPr>
          <w:lang w:val="fr-FR"/>
        </w:rPr>
        <w:t xml:space="preserve"> encourager le fonctionnement </w:t>
      </w:r>
      <w:r w:rsidR="009C6BB6" w:rsidRPr="009C6BB6">
        <w:rPr>
          <w:lang w:val="fr-FR"/>
        </w:rPr>
        <w:t>écoénergétique des</w:t>
      </w:r>
      <w:r w:rsidR="003E6D2D">
        <w:rPr>
          <w:lang w:val="fr-FR"/>
        </w:rPr>
        <w:t xml:space="preserve"> </w:t>
      </w:r>
      <w:r w:rsidR="009C6BB6" w:rsidRPr="009C6BB6">
        <w:rPr>
          <w:lang w:val="fr-FR"/>
        </w:rPr>
        <w:t>é</w:t>
      </w:r>
      <w:r w:rsidRPr="009C6BB6">
        <w:rPr>
          <w:lang w:val="fr-FR"/>
        </w:rPr>
        <w:t>quipement</w:t>
      </w:r>
      <w:r w:rsidR="009C6BB6" w:rsidRPr="009C6BB6">
        <w:rPr>
          <w:lang w:val="fr-FR"/>
        </w:rPr>
        <w:t>s</w:t>
      </w:r>
      <w:r w:rsidRPr="009C6BB6">
        <w:rPr>
          <w:lang w:val="fr-FR"/>
        </w:rPr>
        <w:t>.</w:t>
      </w:r>
      <w:r w:rsidR="00EB56BA" w:rsidRPr="00C51E0A">
        <w:rPr>
          <w:lang w:val="fr-FR"/>
        </w:rPr>
        <w:t xml:space="preserve"> </w:t>
      </w:r>
      <w:r w:rsidR="009C6BB6" w:rsidRPr="009C6BB6">
        <w:rPr>
          <w:lang w:val="fr-FR"/>
        </w:rPr>
        <w:t>Ces mesures, harmonisées avec les MEPS et d</w:t>
      </w:r>
      <w:r w:rsidR="003E6D2D">
        <w:rPr>
          <w:lang w:val="fr-FR"/>
        </w:rPr>
        <w:t>’</w:t>
      </w:r>
      <w:r w:rsidR="009C6BB6" w:rsidRPr="009C6BB6">
        <w:rPr>
          <w:lang w:val="fr-FR"/>
        </w:rPr>
        <w:t>autres mesures réglementaires qui peuvent éviter l</w:t>
      </w:r>
      <w:r w:rsidR="003E6D2D">
        <w:rPr>
          <w:lang w:val="fr-FR"/>
        </w:rPr>
        <w:t>’</w:t>
      </w:r>
      <w:r w:rsidR="009C6BB6" w:rsidRPr="009C6BB6">
        <w:rPr>
          <w:lang w:val="fr-FR"/>
        </w:rPr>
        <w:t>adoption de frigorigènes à PRP élevé, pourraient être mises en œuvre de manière à encourager l</w:t>
      </w:r>
      <w:r w:rsidR="003E6D2D">
        <w:rPr>
          <w:lang w:val="fr-FR"/>
        </w:rPr>
        <w:t>’</w:t>
      </w:r>
      <w:r w:rsidR="009C6BB6" w:rsidRPr="009C6BB6">
        <w:rPr>
          <w:lang w:val="fr-FR"/>
        </w:rPr>
        <w:t>introduction d</w:t>
      </w:r>
      <w:r w:rsidR="003E6D2D">
        <w:rPr>
          <w:lang w:val="fr-FR"/>
        </w:rPr>
        <w:t>’</w:t>
      </w:r>
      <w:r w:rsidR="009C6BB6" w:rsidRPr="009C6BB6">
        <w:rPr>
          <w:lang w:val="fr-FR"/>
        </w:rPr>
        <w:t>équipements à haut rendement énergétique utilisant des produits de remplacement à faible PRP ou sans PRP.</w:t>
      </w:r>
    </w:p>
    <w:p w:rsidR="00EB56BA" w:rsidRPr="00C51E0A" w:rsidRDefault="009C6BB6" w:rsidP="009C6BB6">
      <w:pPr>
        <w:pStyle w:val="Heading1"/>
        <w:rPr>
          <w:lang w:val="fr-FR"/>
        </w:rPr>
      </w:pPr>
      <w:r w:rsidRPr="009C6BB6">
        <w:rPr>
          <w:lang w:val="fr-FR"/>
        </w:rPr>
        <w:t>Bien que des réglementations spécifiques se rapportant au contrôle des importations des équipements de réfrigération, de climatisation et de pompes à chaleur sur la</w:t>
      </w:r>
      <w:r w:rsidR="003E6D2D">
        <w:rPr>
          <w:lang w:val="fr-FR"/>
        </w:rPr>
        <w:t xml:space="preserve"> </w:t>
      </w:r>
      <w:r w:rsidRPr="009C6BB6">
        <w:rPr>
          <w:lang w:val="fr-FR"/>
        </w:rPr>
        <w:t>base de leurs scores d</w:t>
      </w:r>
      <w:r w:rsidR="003E6D2D">
        <w:rPr>
          <w:lang w:val="fr-FR"/>
        </w:rPr>
        <w:t>’</w:t>
      </w:r>
      <w:r w:rsidRPr="009C6BB6">
        <w:rPr>
          <w:lang w:val="fr-FR"/>
        </w:rPr>
        <w:t>efficacité énergétique n</w:t>
      </w:r>
      <w:r w:rsidR="003E6D2D">
        <w:rPr>
          <w:lang w:val="fr-FR"/>
        </w:rPr>
        <w:t>’</w:t>
      </w:r>
      <w:r w:rsidR="0088719A">
        <w:rPr>
          <w:lang w:val="fr-FR"/>
        </w:rPr>
        <w:t>aient pas</w:t>
      </w:r>
      <w:r w:rsidRPr="009C6BB6">
        <w:rPr>
          <w:lang w:val="fr-FR"/>
        </w:rPr>
        <w:t xml:space="preserve"> été inclus</w:t>
      </w:r>
      <w:r w:rsidR="0088719A">
        <w:rPr>
          <w:lang w:val="fr-FR"/>
        </w:rPr>
        <w:t>es</w:t>
      </w:r>
      <w:r w:rsidRPr="009C6BB6">
        <w:rPr>
          <w:lang w:val="fr-FR"/>
        </w:rPr>
        <w:t xml:space="preserve"> dans les PGEH, un grand nombre de pays visés à l</w:t>
      </w:r>
      <w:r w:rsidR="003E6D2D">
        <w:rPr>
          <w:lang w:val="fr-FR"/>
        </w:rPr>
        <w:t>’</w:t>
      </w:r>
      <w:r w:rsidRPr="009C6BB6">
        <w:rPr>
          <w:lang w:val="fr-FR"/>
        </w:rPr>
        <w:t>article 5 disposent de ce genre de réglementations, promulguées</w:t>
      </w:r>
      <w:r w:rsidR="0088719A">
        <w:rPr>
          <w:lang w:val="fr-FR"/>
        </w:rPr>
        <w:t xml:space="preserve"> </w:t>
      </w:r>
      <w:r w:rsidRPr="009C6BB6">
        <w:rPr>
          <w:lang w:val="fr-FR"/>
        </w:rPr>
        <w:t>par les autorités compétentes chargées de</w:t>
      </w:r>
      <w:r w:rsidR="003E6D2D">
        <w:rPr>
          <w:lang w:val="fr-FR"/>
        </w:rPr>
        <w:t xml:space="preserve"> </w:t>
      </w:r>
      <w:r w:rsidRPr="009C6BB6">
        <w:rPr>
          <w:lang w:val="fr-FR"/>
        </w:rPr>
        <w:t>l</w:t>
      </w:r>
      <w:r w:rsidR="003E6D2D">
        <w:rPr>
          <w:lang w:val="fr-FR"/>
        </w:rPr>
        <w:t>’</w:t>
      </w:r>
      <w:r w:rsidRPr="009C6BB6">
        <w:rPr>
          <w:lang w:val="fr-FR"/>
        </w:rPr>
        <w:t>efficacité énergétique, comme l</w:t>
      </w:r>
      <w:r w:rsidR="003E6D2D">
        <w:rPr>
          <w:lang w:val="fr-FR"/>
        </w:rPr>
        <w:t>’</w:t>
      </w:r>
      <w:r w:rsidRPr="009C6BB6">
        <w:rPr>
          <w:lang w:val="fr-FR"/>
        </w:rPr>
        <w:t>indique le tableau 1.</w:t>
      </w:r>
    </w:p>
    <w:p w:rsidR="00C51E0A" w:rsidRDefault="00C51E0A">
      <w:pPr>
        <w:jc w:val="left"/>
        <w:rPr>
          <w:b/>
          <w:spacing w:val="-2"/>
          <w:lang w:val="fr-FR"/>
        </w:rPr>
      </w:pPr>
      <w:r>
        <w:rPr>
          <w:b/>
          <w:spacing w:val="-2"/>
          <w:lang w:val="fr-FR"/>
        </w:rPr>
        <w:br w:type="page"/>
      </w:r>
    </w:p>
    <w:p w:rsidR="00EB56BA" w:rsidRDefault="009C6BB6" w:rsidP="00EB56BA">
      <w:pPr>
        <w:jc w:val="left"/>
        <w:rPr>
          <w:b/>
          <w:spacing w:val="-2"/>
          <w:lang w:val="fr-FR"/>
        </w:rPr>
      </w:pPr>
      <w:r w:rsidRPr="009C6BB6">
        <w:rPr>
          <w:b/>
          <w:spacing w:val="-2"/>
          <w:lang w:val="fr-FR"/>
        </w:rPr>
        <w:lastRenderedPageBreak/>
        <w:t>Tableau 1. Vue d</w:t>
      </w:r>
      <w:r w:rsidR="003E6D2D">
        <w:rPr>
          <w:b/>
          <w:spacing w:val="-2"/>
          <w:lang w:val="fr-FR"/>
        </w:rPr>
        <w:t>’</w:t>
      </w:r>
      <w:r w:rsidRPr="009C6BB6">
        <w:rPr>
          <w:b/>
          <w:spacing w:val="-2"/>
          <w:lang w:val="fr-FR"/>
        </w:rPr>
        <w:t>ensemble de 43 pays visés à l</w:t>
      </w:r>
      <w:r w:rsidR="003E6D2D">
        <w:rPr>
          <w:b/>
          <w:spacing w:val="-2"/>
          <w:lang w:val="fr-FR"/>
        </w:rPr>
        <w:t>’</w:t>
      </w:r>
      <w:r w:rsidRPr="009C6BB6">
        <w:rPr>
          <w:b/>
          <w:spacing w:val="-2"/>
          <w:lang w:val="fr-FR"/>
        </w:rPr>
        <w:t>article 5 ayant des programmes en place pour des MEPS et des labels écologique</w:t>
      </w:r>
      <w:r w:rsidR="0088719A">
        <w:rPr>
          <w:b/>
          <w:spacing w:val="-2"/>
          <w:lang w:val="fr-FR"/>
        </w:rPr>
        <w:t>s</w:t>
      </w:r>
      <w:r w:rsidR="00EB56BA" w:rsidRPr="000E71B1">
        <w:rPr>
          <w:rFonts w:eastAsia="DengXian"/>
          <w:vertAlign w:val="superscript"/>
        </w:rPr>
        <w:footnoteReference w:id="27"/>
      </w:r>
    </w:p>
    <w:p w:rsidR="00777176" w:rsidRPr="00C51E0A" w:rsidRDefault="00777176" w:rsidP="00EB56BA">
      <w:pPr>
        <w:jc w:val="left"/>
        <w:rPr>
          <w:lang w:val="fr-FR"/>
        </w:rPr>
      </w:pPr>
    </w:p>
    <w:tbl>
      <w:tblPr>
        <w:tblStyle w:val="TableGrid"/>
        <w:tblW w:w="9355" w:type="dxa"/>
        <w:tblLayout w:type="fixed"/>
        <w:tblCellMar>
          <w:left w:w="57" w:type="dxa"/>
          <w:right w:w="57" w:type="dxa"/>
        </w:tblCellMar>
        <w:tblLook w:val="04A0" w:firstRow="1" w:lastRow="0" w:firstColumn="1" w:lastColumn="0" w:noHBand="0" w:noVBand="1"/>
      </w:tblPr>
      <w:tblGrid>
        <w:gridCol w:w="2325"/>
        <w:gridCol w:w="1276"/>
        <w:gridCol w:w="1134"/>
        <w:gridCol w:w="1276"/>
        <w:gridCol w:w="992"/>
        <w:gridCol w:w="1266"/>
        <w:gridCol w:w="1086"/>
      </w:tblGrid>
      <w:tr w:rsidR="00EB56BA" w:rsidRPr="00E354EC" w:rsidTr="00777176">
        <w:trPr>
          <w:tblHeader/>
        </w:trPr>
        <w:tc>
          <w:tcPr>
            <w:tcW w:w="2325" w:type="dxa"/>
            <w:vMerge w:val="restart"/>
            <w:noWrap/>
            <w:vAlign w:val="center"/>
            <w:hideMark/>
          </w:tcPr>
          <w:p w:rsidR="00EB56BA" w:rsidRPr="00E354EC" w:rsidRDefault="009C6BB6" w:rsidP="002A237B">
            <w:pPr>
              <w:jc w:val="left"/>
              <w:rPr>
                <w:sz w:val="20"/>
                <w:szCs w:val="20"/>
              </w:rPr>
            </w:pPr>
            <w:r w:rsidRPr="009C6BB6">
              <w:rPr>
                <w:b/>
                <w:bCs/>
                <w:sz w:val="20"/>
                <w:szCs w:val="20"/>
                <w:lang w:val="fr-FR"/>
              </w:rPr>
              <w:t>Pays</w:t>
            </w:r>
          </w:p>
        </w:tc>
        <w:tc>
          <w:tcPr>
            <w:tcW w:w="2410" w:type="dxa"/>
            <w:gridSpan w:val="2"/>
            <w:noWrap/>
            <w:vAlign w:val="center"/>
            <w:hideMark/>
          </w:tcPr>
          <w:p w:rsidR="00EB56BA" w:rsidRPr="00E354EC" w:rsidRDefault="009C6BB6" w:rsidP="0088719A">
            <w:pPr>
              <w:jc w:val="center"/>
              <w:rPr>
                <w:b/>
                <w:bCs/>
                <w:sz w:val="20"/>
                <w:szCs w:val="20"/>
              </w:rPr>
            </w:pPr>
            <w:r w:rsidRPr="009C6BB6">
              <w:rPr>
                <w:b/>
                <w:bCs/>
                <w:sz w:val="20"/>
                <w:szCs w:val="20"/>
                <w:lang w:val="fr-FR"/>
              </w:rPr>
              <w:t>Labels comparatifs</w:t>
            </w:r>
            <w:r w:rsidRPr="009C6BB6">
              <w:rPr>
                <w:rStyle w:val="FootnoteReference"/>
                <w:b/>
                <w:bCs/>
                <w:sz w:val="20"/>
                <w:lang w:val="fr-FR"/>
              </w:rPr>
              <w:footnoteReference w:id="28"/>
            </w:r>
          </w:p>
        </w:tc>
        <w:tc>
          <w:tcPr>
            <w:tcW w:w="2268" w:type="dxa"/>
            <w:gridSpan w:val="2"/>
            <w:noWrap/>
            <w:vAlign w:val="center"/>
            <w:hideMark/>
          </w:tcPr>
          <w:p w:rsidR="00EB56BA" w:rsidRPr="00E354EC" w:rsidRDefault="0088719A" w:rsidP="002A237B">
            <w:pPr>
              <w:jc w:val="center"/>
              <w:rPr>
                <w:b/>
                <w:bCs/>
                <w:sz w:val="20"/>
                <w:szCs w:val="20"/>
              </w:rPr>
            </w:pPr>
            <w:r>
              <w:rPr>
                <w:b/>
                <w:bCs/>
                <w:sz w:val="20"/>
                <w:szCs w:val="20"/>
                <w:lang w:val="fr-FR"/>
              </w:rPr>
              <w:t xml:space="preserve">Labels </w:t>
            </w:r>
            <w:r w:rsidR="009C6BB6" w:rsidRPr="009C6BB6">
              <w:rPr>
                <w:b/>
                <w:bCs/>
                <w:sz w:val="20"/>
                <w:szCs w:val="20"/>
                <w:lang w:val="fr-FR"/>
              </w:rPr>
              <w:t>d</w:t>
            </w:r>
            <w:r w:rsidR="003E6D2D">
              <w:rPr>
                <w:b/>
                <w:bCs/>
                <w:sz w:val="20"/>
                <w:szCs w:val="20"/>
                <w:lang w:val="fr-FR"/>
              </w:rPr>
              <w:t>’</w:t>
            </w:r>
            <w:r w:rsidR="009C6BB6" w:rsidRPr="009C6BB6">
              <w:rPr>
                <w:b/>
                <w:bCs/>
                <w:sz w:val="20"/>
                <w:szCs w:val="20"/>
                <w:lang w:val="fr-FR"/>
              </w:rPr>
              <w:t>homologation</w:t>
            </w:r>
            <w:r w:rsidR="009C6BB6" w:rsidRPr="009C6BB6">
              <w:rPr>
                <w:rStyle w:val="FootnoteReference"/>
                <w:b/>
                <w:bCs/>
                <w:sz w:val="20"/>
                <w:lang w:val="fr-FR"/>
              </w:rPr>
              <w:footnoteReference w:id="29"/>
            </w:r>
          </w:p>
        </w:tc>
        <w:tc>
          <w:tcPr>
            <w:tcW w:w="2352" w:type="dxa"/>
            <w:gridSpan w:val="2"/>
            <w:noWrap/>
            <w:vAlign w:val="center"/>
            <w:hideMark/>
          </w:tcPr>
          <w:p w:rsidR="00EB56BA" w:rsidRPr="00E354EC" w:rsidRDefault="009C6BB6" w:rsidP="002A237B">
            <w:pPr>
              <w:jc w:val="center"/>
              <w:rPr>
                <w:b/>
                <w:bCs/>
                <w:sz w:val="20"/>
                <w:szCs w:val="20"/>
              </w:rPr>
            </w:pPr>
            <w:r w:rsidRPr="009C6BB6">
              <w:rPr>
                <w:b/>
                <w:bCs/>
                <w:sz w:val="20"/>
                <w:szCs w:val="20"/>
                <w:lang w:val="fr-FR"/>
              </w:rPr>
              <w:t>MEPS</w:t>
            </w:r>
          </w:p>
        </w:tc>
      </w:tr>
      <w:tr w:rsidR="00EB56BA" w:rsidRPr="00E354EC" w:rsidTr="00777176">
        <w:trPr>
          <w:tblHeader/>
        </w:trPr>
        <w:tc>
          <w:tcPr>
            <w:tcW w:w="2325" w:type="dxa"/>
            <w:vMerge/>
            <w:noWrap/>
            <w:tcMar>
              <w:left w:w="115" w:type="dxa"/>
            </w:tcMar>
            <w:vAlign w:val="center"/>
            <w:hideMark/>
          </w:tcPr>
          <w:p w:rsidR="00EB56BA" w:rsidRPr="00E354EC" w:rsidRDefault="00EB56BA" w:rsidP="000929FD">
            <w:pPr>
              <w:jc w:val="left"/>
              <w:rPr>
                <w:b/>
                <w:bCs/>
                <w:sz w:val="20"/>
                <w:szCs w:val="20"/>
              </w:rPr>
            </w:pPr>
          </w:p>
        </w:tc>
        <w:tc>
          <w:tcPr>
            <w:tcW w:w="1276" w:type="dxa"/>
            <w:noWrap/>
            <w:tcMar>
              <w:left w:w="0" w:type="dxa"/>
              <w:right w:w="0" w:type="dxa"/>
            </w:tcMar>
            <w:vAlign w:val="center"/>
            <w:hideMark/>
          </w:tcPr>
          <w:p w:rsidR="00EB56BA" w:rsidRPr="00777176" w:rsidRDefault="009C6BB6" w:rsidP="002A237B">
            <w:pPr>
              <w:jc w:val="center"/>
              <w:rPr>
                <w:b/>
                <w:bCs/>
                <w:sz w:val="18"/>
                <w:szCs w:val="18"/>
              </w:rPr>
            </w:pPr>
            <w:r w:rsidRPr="00777176">
              <w:rPr>
                <w:b/>
                <w:bCs/>
                <w:sz w:val="18"/>
                <w:szCs w:val="18"/>
                <w:lang w:val="fr-FR"/>
              </w:rPr>
              <w:t>Réfrigérateur</w:t>
            </w:r>
          </w:p>
        </w:tc>
        <w:tc>
          <w:tcPr>
            <w:tcW w:w="1134" w:type="dxa"/>
            <w:noWrap/>
            <w:tcMar>
              <w:left w:w="0" w:type="dxa"/>
              <w:right w:w="0" w:type="dxa"/>
            </w:tcMar>
            <w:vAlign w:val="center"/>
            <w:hideMark/>
          </w:tcPr>
          <w:p w:rsidR="00777176" w:rsidRPr="00777176" w:rsidRDefault="009C6BB6" w:rsidP="00777176">
            <w:pPr>
              <w:jc w:val="center"/>
              <w:rPr>
                <w:b/>
                <w:bCs/>
                <w:sz w:val="18"/>
                <w:szCs w:val="18"/>
                <w:lang w:val="fr-FR"/>
              </w:rPr>
            </w:pPr>
            <w:r w:rsidRPr="00777176">
              <w:rPr>
                <w:b/>
                <w:bCs/>
                <w:sz w:val="18"/>
                <w:szCs w:val="18"/>
                <w:lang w:val="fr-FR"/>
              </w:rPr>
              <w:t>Climatiseur</w:t>
            </w:r>
          </w:p>
          <w:p w:rsidR="00EB56BA" w:rsidRPr="00777176" w:rsidRDefault="00777176" w:rsidP="00777176">
            <w:pPr>
              <w:jc w:val="center"/>
              <w:rPr>
                <w:b/>
                <w:bCs/>
                <w:sz w:val="18"/>
                <w:szCs w:val="18"/>
              </w:rPr>
            </w:pPr>
            <w:r w:rsidRPr="00777176">
              <w:rPr>
                <w:b/>
                <w:bCs/>
                <w:sz w:val="18"/>
                <w:szCs w:val="18"/>
                <w:lang w:val="fr-FR"/>
              </w:rPr>
              <w:t>individuel</w:t>
            </w:r>
            <w:r w:rsidR="009C6BB6" w:rsidRPr="00777176">
              <w:rPr>
                <w:b/>
                <w:bCs/>
                <w:sz w:val="18"/>
                <w:szCs w:val="18"/>
                <w:lang w:val="fr-FR"/>
              </w:rPr>
              <w:t xml:space="preserve"> </w:t>
            </w:r>
          </w:p>
        </w:tc>
        <w:tc>
          <w:tcPr>
            <w:tcW w:w="1276" w:type="dxa"/>
            <w:noWrap/>
            <w:tcMar>
              <w:left w:w="0" w:type="dxa"/>
              <w:right w:w="0" w:type="dxa"/>
            </w:tcMar>
            <w:vAlign w:val="center"/>
            <w:hideMark/>
          </w:tcPr>
          <w:p w:rsidR="00EB56BA" w:rsidRPr="00777176" w:rsidRDefault="009C6BB6" w:rsidP="002A237B">
            <w:pPr>
              <w:jc w:val="center"/>
              <w:rPr>
                <w:b/>
                <w:bCs/>
                <w:sz w:val="18"/>
                <w:szCs w:val="18"/>
              </w:rPr>
            </w:pPr>
            <w:r w:rsidRPr="00777176">
              <w:rPr>
                <w:b/>
                <w:bCs/>
                <w:sz w:val="18"/>
                <w:szCs w:val="18"/>
                <w:lang w:val="fr-FR"/>
              </w:rPr>
              <w:t>Réfrigérateur</w:t>
            </w:r>
          </w:p>
        </w:tc>
        <w:tc>
          <w:tcPr>
            <w:tcW w:w="992" w:type="dxa"/>
            <w:noWrap/>
            <w:tcMar>
              <w:left w:w="0" w:type="dxa"/>
              <w:right w:w="0" w:type="dxa"/>
            </w:tcMar>
            <w:vAlign w:val="center"/>
            <w:hideMark/>
          </w:tcPr>
          <w:p w:rsidR="00EB56BA" w:rsidRPr="00777176" w:rsidRDefault="009C6BB6" w:rsidP="00777176">
            <w:pPr>
              <w:jc w:val="center"/>
              <w:rPr>
                <w:b/>
                <w:bCs/>
                <w:sz w:val="18"/>
                <w:szCs w:val="18"/>
              </w:rPr>
            </w:pPr>
            <w:r w:rsidRPr="00777176">
              <w:rPr>
                <w:b/>
                <w:bCs/>
                <w:sz w:val="18"/>
                <w:szCs w:val="18"/>
                <w:lang w:val="fr-FR"/>
              </w:rPr>
              <w:t xml:space="preserve">Climatiseur </w:t>
            </w:r>
            <w:r w:rsidR="007743D2" w:rsidRPr="00777176">
              <w:rPr>
                <w:b/>
                <w:bCs/>
                <w:sz w:val="18"/>
                <w:szCs w:val="18"/>
                <w:lang w:val="fr-FR"/>
              </w:rPr>
              <w:t>individuel</w:t>
            </w:r>
          </w:p>
        </w:tc>
        <w:tc>
          <w:tcPr>
            <w:tcW w:w="1266" w:type="dxa"/>
            <w:noWrap/>
            <w:tcMar>
              <w:left w:w="0" w:type="dxa"/>
              <w:right w:w="0" w:type="dxa"/>
            </w:tcMar>
            <w:vAlign w:val="center"/>
            <w:hideMark/>
          </w:tcPr>
          <w:p w:rsidR="00EB56BA" w:rsidRPr="00777176" w:rsidRDefault="009C6BB6" w:rsidP="002A237B">
            <w:pPr>
              <w:jc w:val="center"/>
              <w:rPr>
                <w:b/>
                <w:bCs/>
                <w:sz w:val="18"/>
                <w:szCs w:val="18"/>
              </w:rPr>
            </w:pPr>
            <w:r w:rsidRPr="00777176">
              <w:rPr>
                <w:b/>
                <w:bCs/>
                <w:sz w:val="18"/>
                <w:szCs w:val="18"/>
                <w:lang w:val="fr-FR"/>
              </w:rPr>
              <w:t>Réfrigérateur</w:t>
            </w:r>
          </w:p>
        </w:tc>
        <w:tc>
          <w:tcPr>
            <w:tcW w:w="1086" w:type="dxa"/>
            <w:noWrap/>
            <w:tcMar>
              <w:left w:w="0" w:type="dxa"/>
              <w:right w:w="0" w:type="dxa"/>
            </w:tcMar>
            <w:vAlign w:val="center"/>
            <w:hideMark/>
          </w:tcPr>
          <w:p w:rsidR="00777176" w:rsidRPr="00777176" w:rsidRDefault="007743D2" w:rsidP="00777176">
            <w:pPr>
              <w:jc w:val="center"/>
              <w:rPr>
                <w:b/>
                <w:bCs/>
                <w:sz w:val="18"/>
                <w:szCs w:val="18"/>
                <w:lang w:val="fr-FR"/>
              </w:rPr>
            </w:pPr>
            <w:r w:rsidRPr="00777176">
              <w:rPr>
                <w:b/>
                <w:bCs/>
                <w:sz w:val="18"/>
                <w:szCs w:val="18"/>
                <w:lang w:val="fr-FR"/>
              </w:rPr>
              <w:t>Climatiseur</w:t>
            </w:r>
          </w:p>
          <w:p w:rsidR="00EB56BA" w:rsidRPr="00777176" w:rsidRDefault="00777176" w:rsidP="00777176">
            <w:pPr>
              <w:jc w:val="center"/>
              <w:rPr>
                <w:b/>
                <w:bCs/>
                <w:sz w:val="18"/>
                <w:szCs w:val="18"/>
              </w:rPr>
            </w:pPr>
            <w:r w:rsidRPr="00777176">
              <w:rPr>
                <w:b/>
                <w:bCs/>
                <w:sz w:val="18"/>
                <w:szCs w:val="18"/>
                <w:lang w:val="fr-FR"/>
              </w:rPr>
              <w:t>i</w:t>
            </w:r>
            <w:r w:rsidR="007743D2" w:rsidRPr="00777176">
              <w:rPr>
                <w:b/>
                <w:bCs/>
                <w:sz w:val="18"/>
                <w:szCs w:val="18"/>
                <w:lang w:val="fr-FR"/>
              </w:rPr>
              <w:t>ndividuel</w:t>
            </w:r>
          </w:p>
        </w:tc>
      </w:tr>
      <w:tr w:rsidR="0088719A" w:rsidRPr="00E354EC" w:rsidTr="00777176">
        <w:tc>
          <w:tcPr>
            <w:tcW w:w="2325" w:type="dxa"/>
            <w:noWrap/>
            <w:tcMar>
              <w:left w:w="115" w:type="dxa"/>
              <w:right w:w="0" w:type="dxa"/>
            </w:tcMar>
            <w:hideMark/>
          </w:tcPr>
          <w:p w:rsidR="0088719A" w:rsidRPr="00DB78F1" w:rsidRDefault="0088719A" w:rsidP="00DB78F1">
            <w:pPr>
              <w:jc w:val="left"/>
              <w:rPr>
                <w:sz w:val="20"/>
                <w:szCs w:val="20"/>
                <w:lang w:val="fr-FR"/>
              </w:rPr>
            </w:pPr>
            <w:r w:rsidRPr="00DB78F1">
              <w:rPr>
                <w:sz w:val="20"/>
                <w:szCs w:val="20"/>
                <w:lang w:val="fr-FR"/>
              </w:rPr>
              <w:t>Afri</w:t>
            </w:r>
            <w:r>
              <w:rPr>
                <w:sz w:val="20"/>
                <w:szCs w:val="20"/>
                <w:lang w:val="fr-FR"/>
              </w:rPr>
              <w:t>que du Sud</w:t>
            </w:r>
          </w:p>
        </w:tc>
        <w:tc>
          <w:tcPr>
            <w:tcW w:w="1276" w:type="dxa"/>
            <w:noWrap/>
            <w:vAlign w:val="center"/>
            <w:hideMark/>
          </w:tcPr>
          <w:p w:rsidR="0088719A" w:rsidRPr="00E354EC" w:rsidRDefault="0088719A" w:rsidP="000929FD">
            <w:pPr>
              <w:jc w:val="center"/>
              <w:rPr>
                <w:sz w:val="20"/>
                <w:szCs w:val="20"/>
              </w:rPr>
            </w:pPr>
            <w:r w:rsidRPr="00E354EC">
              <w:rPr>
                <w:sz w:val="20"/>
                <w:szCs w:val="20"/>
              </w:rPr>
              <w:t>X</w:t>
            </w:r>
          </w:p>
        </w:tc>
        <w:tc>
          <w:tcPr>
            <w:tcW w:w="1134" w:type="dxa"/>
            <w:noWrap/>
            <w:vAlign w:val="center"/>
            <w:hideMark/>
          </w:tcPr>
          <w:p w:rsidR="0088719A" w:rsidRPr="00E354EC" w:rsidRDefault="0088719A" w:rsidP="000929FD">
            <w:pPr>
              <w:jc w:val="center"/>
              <w:rPr>
                <w:sz w:val="20"/>
                <w:szCs w:val="20"/>
              </w:rPr>
            </w:pP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0929FD">
            <w:pPr>
              <w:jc w:val="center"/>
              <w:rPr>
                <w:sz w:val="20"/>
                <w:szCs w:val="20"/>
              </w:rPr>
            </w:pPr>
            <w:r w:rsidRPr="00E354EC">
              <w:rPr>
                <w:sz w:val="20"/>
                <w:szCs w:val="20"/>
              </w:rPr>
              <w:t>X</w:t>
            </w:r>
          </w:p>
        </w:tc>
        <w:tc>
          <w:tcPr>
            <w:tcW w:w="1086" w:type="dxa"/>
            <w:noWrap/>
            <w:vAlign w:val="center"/>
            <w:hideMark/>
          </w:tcPr>
          <w:p w:rsidR="0088719A" w:rsidRPr="00E354EC" w:rsidRDefault="0088719A" w:rsidP="000929FD">
            <w:pPr>
              <w:jc w:val="center"/>
              <w:rPr>
                <w:sz w:val="20"/>
                <w:szCs w:val="20"/>
              </w:rPr>
            </w:pPr>
            <w:r w:rsidRPr="00E354EC">
              <w:rPr>
                <w:sz w:val="20"/>
                <w:szCs w:val="20"/>
              </w:rPr>
              <w:t>X</w:t>
            </w:r>
          </w:p>
        </w:tc>
      </w:tr>
      <w:tr w:rsidR="0088719A" w:rsidRPr="00E354EC" w:rsidTr="00777176">
        <w:tc>
          <w:tcPr>
            <w:tcW w:w="2325" w:type="dxa"/>
            <w:noWrap/>
            <w:tcMar>
              <w:left w:w="115" w:type="dxa"/>
              <w:right w:w="0" w:type="dxa"/>
            </w:tcMar>
            <w:hideMark/>
          </w:tcPr>
          <w:p w:rsidR="0088719A" w:rsidRPr="00E354EC" w:rsidRDefault="0088719A" w:rsidP="002A237B">
            <w:pPr>
              <w:jc w:val="left"/>
              <w:rPr>
                <w:sz w:val="20"/>
                <w:szCs w:val="20"/>
              </w:rPr>
            </w:pPr>
            <w:r w:rsidRPr="007743D2">
              <w:rPr>
                <w:sz w:val="20"/>
                <w:szCs w:val="20"/>
                <w:lang w:val="fr-FR"/>
              </w:rPr>
              <w:t>Algérie</w:t>
            </w:r>
          </w:p>
        </w:tc>
        <w:tc>
          <w:tcPr>
            <w:tcW w:w="1276" w:type="dxa"/>
            <w:noWrap/>
            <w:vAlign w:val="center"/>
            <w:hideMark/>
          </w:tcPr>
          <w:p w:rsidR="0088719A" w:rsidRPr="00E354EC" w:rsidRDefault="0088719A" w:rsidP="002A237B">
            <w:pPr>
              <w:jc w:val="center"/>
              <w:rPr>
                <w:sz w:val="20"/>
                <w:szCs w:val="20"/>
              </w:rPr>
            </w:pPr>
            <w:r w:rsidRPr="007743D2">
              <w:rPr>
                <w:sz w:val="20"/>
                <w:szCs w:val="20"/>
                <w:lang w:val="fr-FR"/>
              </w:rPr>
              <w:t>X</w:t>
            </w:r>
          </w:p>
        </w:tc>
        <w:tc>
          <w:tcPr>
            <w:tcW w:w="1134" w:type="dxa"/>
            <w:noWrap/>
            <w:vAlign w:val="center"/>
            <w:hideMark/>
          </w:tcPr>
          <w:p w:rsidR="0088719A" w:rsidRPr="00E354EC" w:rsidRDefault="0088719A" w:rsidP="002A237B">
            <w:pPr>
              <w:jc w:val="center"/>
              <w:rPr>
                <w:sz w:val="20"/>
                <w:szCs w:val="20"/>
              </w:rPr>
            </w:pPr>
            <w:r w:rsidRPr="007743D2">
              <w:rPr>
                <w:sz w:val="20"/>
                <w:szCs w:val="20"/>
                <w:lang w:val="fr-FR"/>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2A237B">
            <w:pPr>
              <w:jc w:val="center"/>
              <w:rPr>
                <w:sz w:val="20"/>
                <w:szCs w:val="20"/>
              </w:rPr>
            </w:pPr>
            <w:r w:rsidRPr="007743D2">
              <w:rPr>
                <w:sz w:val="20"/>
                <w:szCs w:val="20"/>
                <w:lang w:val="fr-FR"/>
              </w:rPr>
              <w:t>X</w:t>
            </w:r>
          </w:p>
        </w:tc>
        <w:tc>
          <w:tcPr>
            <w:tcW w:w="1086" w:type="dxa"/>
            <w:noWrap/>
            <w:vAlign w:val="center"/>
            <w:hideMark/>
          </w:tcPr>
          <w:p w:rsidR="0088719A" w:rsidRPr="00E354EC" w:rsidRDefault="0088719A" w:rsidP="000929FD">
            <w:pPr>
              <w:jc w:val="center"/>
              <w:rPr>
                <w:sz w:val="20"/>
                <w:szCs w:val="20"/>
              </w:rPr>
            </w:pPr>
          </w:p>
        </w:tc>
      </w:tr>
      <w:tr w:rsidR="0088719A" w:rsidRPr="00E354EC" w:rsidTr="00777176">
        <w:tc>
          <w:tcPr>
            <w:tcW w:w="2325" w:type="dxa"/>
            <w:noWrap/>
            <w:tcMar>
              <w:left w:w="115" w:type="dxa"/>
              <w:right w:w="0" w:type="dxa"/>
            </w:tcMar>
          </w:tcPr>
          <w:p w:rsidR="0088719A" w:rsidRPr="00DB78F1" w:rsidRDefault="0088719A" w:rsidP="00DB78F1">
            <w:pPr>
              <w:jc w:val="left"/>
              <w:rPr>
                <w:sz w:val="20"/>
                <w:szCs w:val="20"/>
                <w:lang w:val="fr-FR"/>
              </w:rPr>
            </w:pPr>
            <w:r w:rsidRPr="00DB78F1">
              <w:rPr>
                <w:sz w:val="20"/>
                <w:szCs w:val="20"/>
                <w:lang w:val="fr-FR"/>
              </w:rPr>
              <w:t>Arabi</w:t>
            </w:r>
            <w:r>
              <w:rPr>
                <w:sz w:val="20"/>
                <w:szCs w:val="20"/>
                <w:lang w:val="fr-FR"/>
              </w:rPr>
              <w:t>e saoudite</w:t>
            </w:r>
          </w:p>
        </w:tc>
        <w:tc>
          <w:tcPr>
            <w:tcW w:w="1276" w:type="dxa"/>
            <w:noWrap/>
            <w:vAlign w:val="center"/>
          </w:tcPr>
          <w:p w:rsidR="0088719A" w:rsidRPr="00E354EC" w:rsidRDefault="0088719A" w:rsidP="000929FD">
            <w:pPr>
              <w:jc w:val="center"/>
              <w:rPr>
                <w:sz w:val="20"/>
                <w:szCs w:val="20"/>
              </w:rPr>
            </w:pPr>
            <w:r w:rsidRPr="00E354EC">
              <w:rPr>
                <w:sz w:val="20"/>
                <w:szCs w:val="20"/>
              </w:rPr>
              <w:t>X</w:t>
            </w:r>
          </w:p>
        </w:tc>
        <w:tc>
          <w:tcPr>
            <w:tcW w:w="1134" w:type="dxa"/>
            <w:noWrap/>
            <w:vAlign w:val="center"/>
          </w:tcPr>
          <w:p w:rsidR="0088719A" w:rsidRPr="00E354EC" w:rsidRDefault="0088719A" w:rsidP="000929FD">
            <w:pPr>
              <w:jc w:val="center"/>
              <w:rPr>
                <w:sz w:val="20"/>
                <w:szCs w:val="20"/>
              </w:rPr>
            </w:pPr>
            <w:r w:rsidRPr="00E354EC">
              <w:rPr>
                <w:sz w:val="20"/>
                <w:szCs w:val="20"/>
              </w:rPr>
              <w:t>X</w:t>
            </w:r>
          </w:p>
        </w:tc>
        <w:tc>
          <w:tcPr>
            <w:tcW w:w="1276" w:type="dxa"/>
            <w:noWrap/>
            <w:vAlign w:val="center"/>
          </w:tcPr>
          <w:p w:rsidR="0088719A" w:rsidRPr="00E354EC" w:rsidRDefault="0088719A" w:rsidP="000929FD">
            <w:pPr>
              <w:jc w:val="center"/>
              <w:rPr>
                <w:sz w:val="20"/>
                <w:szCs w:val="20"/>
              </w:rPr>
            </w:pPr>
          </w:p>
        </w:tc>
        <w:tc>
          <w:tcPr>
            <w:tcW w:w="992" w:type="dxa"/>
            <w:noWrap/>
            <w:vAlign w:val="center"/>
          </w:tcPr>
          <w:p w:rsidR="0088719A" w:rsidRPr="00E354EC" w:rsidRDefault="0088719A" w:rsidP="000929FD">
            <w:pPr>
              <w:jc w:val="center"/>
              <w:rPr>
                <w:sz w:val="20"/>
                <w:szCs w:val="20"/>
              </w:rPr>
            </w:pPr>
          </w:p>
        </w:tc>
        <w:tc>
          <w:tcPr>
            <w:tcW w:w="1266" w:type="dxa"/>
            <w:noWrap/>
            <w:vAlign w:val="center"/>
          </w:tcPr>
          <w:p w:rsidR="0088719A" w:rsidRPr="00E354EC" w:rsidRDefault="0088719A" w:rsidP="000929FD">
            <w:pPr>
              <w:jc w:val="center"/>
              <w:rPr>
                <w:sz w:val="20"/>
                <w:szCs w:val="20"/>
              </w:rPr>
            </w:pPr>
          </w:p>
        </w:tc>
        <w:tc>
          <w:tcPr>
            <w:tcW w:w="1086" w:type="dxa"/>
            <w:noWrap/>
            <w:vAlign w:val="center"/>
          </w:tcPr>
          <w:p w:rsidR="0088719A" w:rsidRPr="00E354EC" w:rsidRDefault="0088719A" w:rsidP="000929FD">
            <w:pPr>
              <w:jc w:val="center"/>
              <w:rPr>
                <w:sz w:val="20"/>
                <w:szCs w:val="20"/>
              </w:rPr>
            </w:pPr>
            <w:r w:rsidRPr="00E354EC">
              <w:rPr>
                <w:sz w:val="20"/>
                <w:szCs w:val="20"/>
              </w:rPr>
              <w:t>X</w:t>
            </w:r>
          </w:p>
        </w:tc>
      </w:tr>
      <w:tr w:rsidR="0088719A" w:rsidRPr="00E354EC" w:rsidTr="00777176">
        <w:tc>
          <w:tcPr>
            <w:tcW w:w="2325" w:type="dxa"/>
            <w:noWrap/>
            <w:tcMar>
              <w:left w:w="115" w:type="dxa"/>
              <w:right w:w="0" w:type="dxa"/>
            </w:tcMar>
            <w:hideMark/>
          </w:tcPr>
          <w:p w:rsidR="0088719A" w:rsidRPr="00E354EC" w:rsidRDefault="0088719A" w:rsidP="002A237B">
            <w:pPr>
              <w:jc w:val="left"/>
              <w:rPr>
                <w:sz w:val="20"/>
                <w:szCs w:val="20"/>
              </w:rPr>
            </w:pPr>
            <w:r w:rsidRPr="007743D2">
              <w:rPr>
                <w:sz w:val="20"/>
                <w:szCs w:val="20"/>
                <w:lang w:val="fr-FR"/>
              </w:rPr>
              <w:t>Argentine</w:t>
            </w:r>
          </w:p>
        </w:tc>
        <w:tc>
          <w:tcPr>
            <w:tcW w:w="1276" w:type="dxa"/>
            <w:noWrap/>
            <w:vAlign w:val="center"/>
            <w:hideMark/>
          </w:tcPr>
          <w:p w:rsidR="0088719A" w:rsidRPr="00E354EC" w:rsidRDefault="0088719A" w:rsidP="002A237B">
            <w:pPr>
              <w:jc w:val="center"/>
              <w:rPr>
                <w:sz w:val="20"/>
                <w:szCs w:val="20"/>
              </w:rPr>
            </w:pPr>
            <w:r w:rsidRPr="007743D2">
              <w:rPr>
                <w:sz w:val="20"/>
                <w:szCs w:val="20"/>
                <w:lang w:val="fr-FR"/>
              </w:rPr>
              <w:t>X</w:t>
            </w:r>
          </w:p>
        </w:tc>
        <w:tc>
          <w:tcPr>
            <w:tcW w:w="1134" w:type="dxa"/>
            <w:noWrap/>
            <w:vAlign w:val="center"/>
            <w:hideMark/>
          </w:tcPr>
          <w:p w:rsidR="0088719A" w:rsidRPr="00E354EC" w:rsidRDefault="0088719A" w:rsidP="002A237B">
            <w:pPr>
              <w:jc w:val="center"/>
              <w:rPr>
                <w:sz w:val="20"/>
                <w:szCs w:val="20"/>
              </w:rPr>
            </w:pPr>
            <w:r w:rsidRPr="007743D2">
              <w:rPr>
                <w:sz w:val="20"/>
                <w:szCs w:val="20"/>
                <w:lang w:val="fr-FR"/>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2A237B">
            <w:pPr>
              <w:jc w:val="center"/>
              <w:rPr>
                <w:sz w:val="20"/>
                <w:szCs w:val="20"/>
              </w:rPr>
            </w:pPr>
            <w:r w:rsidRPr="007743D2">
              <w:rPr>
                <w:sz w:val="20"/>
                <w:szCs w:val="20"/>
                <w:lang w:val="fr-FR"/>
              </w:rPr>
              <w:t>X</w:t>
            </w:r>
          </w:p>
        </w:tc>
        <w:tc>
          <w:tcPr>
            <w:tcW w:w="1086" w:type="dxa"/>
            <w:noWrap/>
            <w:vAlign w:val="center"/>
            <w:hideMark/>
          </w:tcPr>
          <w:p w:rsidR="0088719A" w:rsidRPr="00E354EC" w:rsidRDefault="0088719A" w:rsidP="002A237B">
            <w:pPr>
              <w:jc w:val="center"/>
              <w:rPr>
                <w:sz w:val="20"/>
                <w:szCs w:val="20"/>
              </w:rPr>
            </w:pPr>
            <w:r w:rsidRPr="007743D2">
              <w:rPr>
                <w:sz w:val="20"/>
                <w:szCs w:val="20"/>
                <w:lang w:val="fr-FR"/>
              </w:rPr>
              <w:t>X</w:t>
            </w:r>
          </w:p>
        </w:tc>
      </w:tr>
      <w:tr w:rsidR="0088719A" w:rsidRPr="00E354EC" w:rsidTr="00777176">
        <w:tc>
          <w:tcPr>
            <w:tcW w:w="2325" w:type="dxa"/>
            <w:noWrap/>
            <w:tcMar>
              <w:left w:w="115" w:type="dxa"/>
              <w:right w:w="0" w:type="dxa"/>
            </w:tcMar>
            <w:hideMark/>
          </w:tcPr>
          <w:p w:rsidR="0088719A" w:rsidRPr="00E354EC" w:rsidRDefault="0088719A" w:rsidP="002A237B">
            <w:pPr>
              <w:jc w:val="left"/>
              <w:rPr>
                <w:sz w:val="20"/>
                <w:szCs w:val="20"/>
              </w:rPr>
            </w:pPr>
            <w:r w:rsidRPr="007743D2">
              <w:rPr>
                <w:sz w:val="20"/>
                <w:szCs w:val="20"/>
                <w:lang w:val="fr-FR"/>
              </w:rPr>
              <w:t>Bangladesh</w:t>
            </w:r>
          </w:p>
        </w:tc>
        <w:tc>
          <w:tcPr>
            <w:tcW w:w="1276" w:type="dxa"/>
            <w:noWrap/>
            <w:vAlign w:val="center"/>
            <w:hideMark/>
          </w:tcPr>
          <w:p w:rsidR="0088719A" w:rsidRPr="00E354EC" w:rsidRDefault="0088719A" w:rsidP="000929FD">
            <w:pPr>
              <w:jc w:val="center"/>
              <w:rPr>
                <w:sz w:val="20"/>
                <w:szCs w:val="20"/>
              </w:rPr>
            </w:pPr>
          </w:p>
        </w:tc>
        <w:tc>
          <w:tcPr>
            <w:tcW w:w="1134" w:type="dxa"/>
            <w:noWrap/>
            <w:vAlign w:val="center"/>
            <w:hideMark/>
          </w:tcPr>
          <w:p w:rsidR="0088719A" w:rsidRPr="00E354EC" w:rsidRDefault="0088719A" w:rsidP="002A237B">
            <w:pPr>
              <w:jc w:val="center"/>
              <w:rPr>
                <w:sz w:val="20"/>
                <w:szCs w:val="20"/>
              </w:rPr>
            </w:pPr>
            <w:r w:rsidRPr="007743D2">
              <w:rPr>
                <w:sz w:val="20"/>
                <w:szCs w:val="20"/>
                <w:lang w:val="fr-FR"/>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0929FD">
            <w:pPr>
              <w:jc w:val="center"/>
              <w:rPr>
                <w:sz w:val="20"/>
                <w:szCs w:val="20"/>
              </w:rPr>
            </w:pPr>
          </w:p>
        </w:tc>
        <w:tc>
          <w:tcPr>
            <w:tcW w:w="1086" w:type="dxa"/>
            <w:noWrap/>
            <w:vAlign w:val="center"/>
            <w:hideMark/>
          </w:tcPr>
          <w:p w:rsidR="0088719A" w:rsidRPr="00E354EC" w:rsidRDefault="0088719A" w:rsidP="000929FD">
            <w:pPr>
              <w:jc w:val="center"/>
              <w:rPr>
                <w:sz w:val="20"/>
                <w:szCs w:val="20"/>
              </w:rPr>
            </w:pPr>
          </w:p>
        </w:tc>
      </w:tr>
      <w:tr w:rsidR="0088719A" w:rsidRPr="00E354EC" w:rsidTr="00777176">
        <w:tc>
          <w:tcPr>
            <w:tcW w:w="2325" w:type="dxa"/>
            <w:noWrap/>
            <w:tcMar>
              <w:left w:w="115" w:type="dxa"/>
              <w:right w:w="0" w:type="dxa"/>
            </w:tcMar>
            <w:hideMark/>
          </w:tcPr>
          <w:p w:rsidR="0088719A" w:rsidRPr="00E354EC" w:rsidRDefault="0088719A" w:rsidP="002A237B">
            <w:pPr>
              <w:jc w:val="left"/>
              <w:rPr>
                <w:sz w:val="20"/>
                <w:szCs w:val="20"/>
              </w:rPr>
            </w:pPr>
            <w:r w:rsidRPr="00DB78F1">
              <w:rPr>
                <w:sz w:val="20"/>
                <w:szCs w:val="20"/>
                <w:lang w:val="fr-FR"/>
              </w:rPr>
              <w:t>Barbade</w:t>
            </w:r>
          </w:p>
        </w:tc>
        <w:tc>
          <w:tcPr>
            <w:tcW w:w="127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134"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0929FD">
            <w:pPr>
              <w:jc w:val="center"/>
              <w:rPr>
                <w:sz w:val="20"/>
                <w:szCs w:val="20"/>
              </w:rPr>
            </w:pPr>
          </w:p>
        </w:tc>
        <w:tc>
          <w:tcPr>
            <w:tcW w:w="1086" w:type="dxa"/>
            <w:noWrap/>
            <w:vAlign w:val="center"/>
            <w:hideMark/>
          </w:tcPr>
          <w:p w:rsidR="0088719A" w:rsidRPr="00E354EC" w:rsidRDefault="0088719A" w:rsidP="000929FD">
            <w:pPr>
              <w:jc w:val="center"/>
              <w:rPr>
                <w:sz w:val="20"/>
                <w:szCs w:val="20"/>
              </w:rPr>
            </w:pPr>
          </w:p>
        </w:tc>
      </w:tr>
      <w:tr w:rsidR="0088719A" w:rsidRPr="00E354EC" w:rsidTr="00777176">
        <w:tc>
          <w:tcPr>
            <w:tcW w:w="2325" w:type="dxa"/>
            <w:noWrap/>
            <w:tcMar>
              <w:left w:w="115" w:type="dxa"/>
              <w:right w:w="0" w:type="dxa"/>
            </w:tcMar>
            <w:hideMark/>
          </w:tcPr>
          <w:p w:rsidR="0088719A" w:rsidRPr="00E354EC" w:rsidRDefault="0088719A" w:rsidP="002A237B">
            <w:pPr>
              <w:jc w:val="left"/>
              <w:rPr>
                <w:sz w:val="20"/>
                <w:szCs w:val="20"/>
              </w:rPr>
            </w:pPr>
            <w:r w:rsidRPr="00DB78F1">
              <w:rPr>
                <w:sz w:val="20"/>
                <w:szCs w:val="20"/>
                <w:lang w:val="fr-FR"/>
              </w:rPr>
              <w:t>Bolivie (État plurinational de)</w:t>
            </w:r>
          </w:p>
        </w:tc>
        <w:tc>
          <w:tcPr>
            <w:tcW w:w="127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134" w:type="dxa"/>
            <w:noWrap/>
            <w:vAlign w:val="center"/>
            <w:hideMark/>
          </w:tcPr>
          <w:p w:rsidR="0088719A" w:rsidRPr="00E354EC" w:rsidRDefault="0088719A" w:rsidP="000929FD">
            <w:pPr>
              <w:jc w:val="center"/>
              <w:rPr>
                <w:sz w:val="20"/>
                <w:szCs w:val="20"/>
              </w:rPr>
            </w:pP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0929FD">
            <w:pPr>
              <w:jc w:val="center"/>
              <w:rPr>
                <w:sz w:val="20"/>
                <w:szCs w:val="20"/>
              </w:rPr>
            </w:pPr>
          </w:p>
        </w:tc>
        <w:tc>
          <w:tcPr>
            <w:tcW w:w="1086" w:type="dxa"/>
            <w:noWrap/>
            <w:vAlign w:val="center"/>
            <w:hideMark/>
          </w:tcPr>
          <w:p w:rsidR="0088719A" w:rsidRPr="00E354EC" w:rsidRDefault="0088719A" w:rsidP="000929FD">
            <w:pPr>
              <w:jc w:val="center"/>
              <w:rPr>
                <w:sz w:val="20"/>
                <w:szCs w:val="20"/>
              </w:rPr>
            </w:pPr>
          </w:p>
        </w:tc>
      </w:tr>
      <w:tr w:rsidR="0088719A" w:rsidRPr="00E354EC" w:rsidTr="00777176">
        <w:tc>
          <w:tcPr>
            <w:tcW w:w="2325" w:type="dxa"/>
            <w:noWrap/>
            <w:tcMar>
              <w:left w:w="115" w:type="dxa"/>
              <w:right w:w="0" w:type="dxa"/>
            </w:tcMar>
            <w:hideMark/>
          </w:tcPr>
          <w:p w:rsidR="0088719A" w:rsidRPr="00E354EC" w:rsidRDefault="0088719A" w:rsidP="002A237B">
            <w:pPr>
              <w:jc w:val="left"/>
              <w:rPr>
                <w:sz w:val="20"/>
                <w:szCs w:val="20"/>
              </w:rPr>
            </w:pPr>
            <w:r w:rsidRPr="00DB78F1">
              <w:rPr>
                <w:sz w:val="20"/>
                <w:szCs w:val="20"/>
                <w:lang w:val="fr-FR"/>
              </w:rPr>
              <w:t>Brésil</w:t>
            </w:r>
          </w:p>
        </w:tc>
        <w:tc>
          <w:tcPr>
            <w:tcW w:w="127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134"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27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992"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26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086" w:type="dxa"/>
            <w:noWrap/>
            <w:vAlign w:val="center"/>
            <w:hideMark/>
          </w:tcPr>
          <w:p w:rsidR="0088719A" w:rsidRPr="00E354EC" w:rsidRDefault="0088719A" w:rsidP="002A237B">
            <w:pPr>
              <w:jc w:val="center"/>
              <w:rPr>
                <w:sz w:val="20"/>
                <w:szCs w:val="20"/>
              </w:rPr>
            </w:pPr>
            <w:r w:rsidRPr="00DB78F1">
              <w:rPr>
                <w:sz w:val="20"/>
                <w:szCs w:val="20"/>
                <w:lang w:val="fr-FR"/>
              </w:rPr>
              <w:t>X</w:t>
            </w:r>
          </w:p>
        </w:tc>
      </w:tr>
      <w:tr w:rsidR="0088719A" w:rsidRPr="00E354EC" w:rsidTr="00777176">
        <w:tc>
          <w:tcPr>
            <w:tcW w:w="2325" w:type="dxa"/>
            <w:noWrap/>
            <w:tcMar>
              <w:left w:w="115" w:type="dxa"/>
              <w:right w:w="0" w:type="dxa"/>
            </w:tcMar>
            <w:hideMark/>
          </w:tcPr>
          <w:p w:rsidR="0088719A" w:rsidRPr="00E354EC" w:rsidRDefault="0088719A" w:rsidP="002A237B">
            <w:pPr>
              <w:jc w:val="left"/>
              <w:rPr>
                <w:sz w:val="20"/>
                <w:szCs w:val="20"/>
              </w:rPr>
            </w:pPr>
            <w:r w:rsidRPr="00DB78F1">
              <w:rPr>
                <w:sz w:val="20"/>
                <w:szCs w:val="20"/>
                <w:lang w:val="fr-FR"/>
              </w:rPr>
              <w:t>Chili</w:t>
            </w:r>
          </w:p>
        </w:tc>
        <w:tc>
          <w:tcPr>
            <w:tcW w:w="127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134"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0929FD">
            <w:pPr>
              <w:jc w:val="center"/>
              <w:rPr>
                <w:sz w:val="20"/>
                <w:szCs w:val="20"/>
              </w:rPr>
            </w:pPr>
          </w:p>
        </w:tc>
        <w:tc>
          <w:tcPr>
            <w:tcW w:w="1086" w:type="dxa"/>
            <w:noWrap/>
            <w:vAlign w:val="center"/>
            <w:hideMark/>
          </w:tcPr>
          <w:p w:rsidR="0088719A" w:rsidRPr="00E354EC" w:rsidRDefault="0088719A" w:rsidP="000929FD">
            <w:pPr>
              <w:jc w:val="center"/>
              <w:rPr>
                <w:sz w:val="20"/>
                <w:szCs w:val="20"/>
              </w:rPr>
            </w:pPr>
          </w:p>
        </w:tc>
      </w:tr>
      <w:tr w:rsidR="0088719A" w:rsidRPr="00E354EC" w:rsidTr="00777176">
        <w:tc>
          <w:tcPr>
            <w:tcW w:w="2325" w:type="dxa"/>
            <w:noWrap/>
            <w:tcMar>
              <w:left w:w="115" w:type="dxa"/>
              <w:right w:w="0" w:type="dxa"/>
            </w:tcMar>
            <w:hideMark/>
          </w:tcPr>
          <w:p w:rsidR="0088719A" w:rsidRPr="00E354EC" w:rsidRDefault="0088719A" w:rsidP="002A237B">
            <w:pPr>
              <w:jc w:val="left"/>
              <w:rPr>
                <w:sz w:val="20"/>
                <w:szCs w:val="20"/>
              </w:rPr>
            </w:pPr>
            <w:r w:rsidRPr="00DB78F1">
              <w:rPr>
                <w:sz w:val="20"/>
                <w:szCs w:val="20"/>
                <w:lang w:val="fr-FR"/>
              </w:rPr>
              <w:t>Chine</w:t>
            </w:r>
            <w:r w:rsidRPr="00E354EC">
              <w:rPr>
                <w:sz w:val="20"/>
                <w:szCs w:val="20"/>
              </w:rPr>
              <w:t xml:space="preserve"> </w:t>
            </w:r>
          </w:p>
        </w:tc>
        <w:tc>
          <w:tcPr>
            <w:tcW w:w="127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134"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27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992"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26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086" w:type="dxa"/>
            <w:noWrap/>
            <w:vAlign w:val="center"/>
            <w:hideMark/>
          </w:tcPr>
          <w:p w:rsidR="0088719A" w:rsidRPr="00E354EC" w:rsidRDefault="0088719A" w:rsidP="002A237B">
            <w:pPr>
              <w:jc w:val="center"/>
              <w:rPr>
                <w:sz w:val="20"/>
                <w:szCs w:val="20"/>
              </w:rPr>
            </w:pPr>
            <w:r w:rsidRPr="00DB78F1">
              <w:rPr>
                <w:sz w:val="20"/>
                <w:szCs w:val="20"/>
                <w:lang w:val="fr-FR"/>
              </w:rPr>
              <w:t>X</w:t>
            </w:r>
          </w:p>
        </w:tc>
      </w:tr>
      <w:tr w:rsidR="0088719A" w:rsidRPr="00E354EC" w:rsidTr="00777176">
        <w:tc>
          <w:tcPr>
            <w:tcW w:w="2325" w:type="dxa"/>
            <w:noWrap/>
            <w:tcMar>
              <w:left w:w="115" w:type="dxa"/>
              <w:right w:w="0" w:type="dxa"/>
            </w:tcMar>
            <w:hideMark/>
          </w:tcPr>
          <w:p w:rsidR="0088719A" w:rsidRPr="00E354EC" w:rsidRDefault="0088719A" w:rsidP="002A237B">
            <w:pPr>
              <w:jc w:val="left"/>
              <w:rPr>
                <w:sz w:val="20"/>
                <w:szCs w:val="20"/>
              </w:rPr>
            </w:pPr>
            <w:r w:rsidRPr="00DB78F1">
              <w:rPr>
                <w:sz w:val="20"/>
                <w:szCs w:val="20"/>
                <w:lang w:val="fr-FR"/>
              </w:rPr>
              <w:t>Colombie</w:t>
            </w:r>
          </w:p>
        </w:tc>
        <w:tc>
          <w:tcPr>
            <w:tcW w:w="127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134"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086" w:type="dxa"/>
            <w:noWrap/>
            <w:vAlign w:val="center"/>
            <w:hideMark/>
          </w:tcPr>
          <w:p w:rsidR="0088719A" w:rsidRPr="00E354EC" w:rsidRDefault="0088719A" w:rsidP="002A237B">
            <w:pPr>
              <w:jc w:val="center"/>
              <w:rPr>
                <w:sz w:val="20"/>
                <w:szCs w:val="20"/>
              </w:rPr>
            </w:pPr>
            <w:r w:rsidRPr="00DB78F1">
              <w:rPr>
                <w:sz w:val="20"/>
                <w:szCs w:val="20"/>
                <w:lang w:val="fr-FR"/>
              </w:rPr>
              <w:t>X</w:t>
            </w:r>
          </w:p>
        </w:tc>
      </w:tr>
      <w:tr w:rsidR="0088719A" w:rsidRPr="00E354EC" w:rsidTr="00777176">
        <w:tc>
          <w:tcPr>
            <w:tcW w:w="2325" w:type="dxa"/>
            <w:noWrap/>
            <w:tcMar>
              <w:left w:w="115" w:type="dxa"/>
              <w:right w:w="0" w:type="dxa"/>
            </w:tcMar>
            <w:hideMark/>
          </w:tcPr>
          <w:p w:rsidR="0088719A" w:rsidRPr="00E354EC" w:rsidRDefault="0088719A" w:rsidP="002A237B">
            <w:pPr>
              <w:jc w:val="left"/>
              <w:rPr>
                <w:sz w:val="20"/>
                <w:szCs w:val="20"/>
              </w:rPr>
            </w:pPr>
            <w:r w:rsidRPr="00DB78F1">
              <w:rPr>
                <w:sz w:val="20"/>
                <w:szCs w:val="20"/>
                <w:lang w:val="fr-FR"/>
              </w:rPr>
              <w:t>Costa Rica</w:t>
            </w:r>
          </w:p>
        </w:tc>
        <w:tc>
          <w:tcPr>
            <w:tcW w:w="127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134"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086" w:type="dxa"/>
            <w:noWrap/>
            <w:vAlign w:val="center"/>
            <w:hideMark/>
          </w:tcPr>
          <w:p w:rsidR="0088719A" w:rsidRPr="00E354EC" w:rsidRDefault="0088719A" w:rsidP="002A237B">
            <w:pPr>
              <w:jc w:val="center"/>
              <w:rPr>
                <w:sz w:val="20"/>
                <w:szCs w:val="20"/>
              </w:rPr>
            </w:pPr>
            <w:r w:rsidRPr="00DB78F1">
              <w:rPr>
                <w:sz w:val="20"/>
                <w:szCs w:val="20"/>
                <w:lang w:val="fr-FR"/>
              </w:rPr>
              <w:t>X</w:t>
            </w:r>
          </w:p>
        </w:tc>
      </w:tr>
      <w:tr w:rsidR="0088719A" w:rsidRPr="00E354EC" w:rsidTr="00777176">
        <w:tc>
          <w:tcPr>
            <w:tcW w:w="2325" w:type="dxa"/>
            <w:noWrap/>
            <w:tcMar>
              <w:left w:w="115" w:type="dxa"/>
              <w:right w:w="0" w:type="dxa"/>
            </w:tcMar>
            <w:hideMark/>
          </w:tcPr>
          <w:p w:rsidR="0088719A" w:rsidRPr="00E354EC" w:rsidRDefault="0088719A" w:rsidP="002A237B">
            <w:pPr>
              <w:jc w:val="left"/>
              <w:rPr>
                <w:sz w:val="20"/>
                <w:szCs w:val="20"/>
              </w:rPr>
            </w:pPr>
            <w:r w:rsidRPr="00DB78F1">
              <w:rPr>
                <w:sz w:val="20"/>
                <w:szCs w:val="20"/>
                <w:lang w:val="fr-FR"/>
              </w:rPr>
              <w:t>Cuba</w:t>
            </w:r>
          </w:p>
        </w:tc>
        <w:tc>
          <w:tcPr>
            <w:tcW w:w="127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134"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0929FD">
            <w:pPr>
              <w:jc w:val="center"/>
              <w:rPr>
                <w:sz w:val="20"/>
                <w:szCs w:val="20"/>
              </w:rPr>
            </w:pPr>
          </w:p>
        </w:tc>
        <w:tc>
          <w:tcPr>
            <w:tcW w:w="1086" w:type="dxa"/>
            <w:noWrap/>
            <w:vAlign w:val="center"/>
            <w:hideMark/>
          </w:tcPr>
          <w:p w:rsidR="0088719A" w:rsidRPr="00E354EC" w:rsidRDefault="0088719A" w:rsidP="000929FD">
            <w:pPr>
              <w:jc w:val="center"/>
              <w:rPr>
                <w:sz w:val="20"/>
                <w:szCs w:val="20"/>
              </w:rPr>
            </w:pPr>
          </w:p>
        </w:tc>
      </w:tr>
      <w:tr w:rsidR="0088719A" w:rsidRPr="00E354EC" w:rsidTr="00777176">
        <w:tc>
          <w:tcPr>
            <w:tcW w:w="2325" w:type="dxa"/>
            <w:noWrap/>
            <w:tcMar>
              <w:left w:w="115" w:type="dxa"/>
              <w:right w:w="0" w:type="dxa"/>
            </w:tcMar>
            <w:hideMark/>
          </w:tcPr>
          <w:p w:rsidR="0088719A" w:rsidRPr="00E354EC" w:rsidRDefault="0088719A" w:rsidP="002A237B">
            <w:pPr>
              <w:jc w:val="left"/>
              <w:rPr>
                <w:sz w:val="20"/>
                <w:szCs w:val="20"/>
              </w:rPr>
            </w:pPr>
            <w:r w:rsidRPr="00DB78F1">
              <w:rPr>
                <w:sz w:val="20"/>
                <w:szCs w:val="20"/>
                <w:lang w:val="fr-FR"/>
              </w:rPr>
              <w:t>Egypte</w:t>
            </w:r>
          </w:p>
        </w:tc>
        <w:tc>
          <w:tcPr>
            <w:tcW w:w="127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134"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086" w:type="dxa"/>
            <w:noWrap/>
            <w:vAlign w:val="center"/>
            <w:hideMark/>
          </w:tcPr>
          <w:p w:rsidR="0088719A" w:rsidRPr="00E354EC" w:rsidRDefault="0088719A" w:rsidP="002A237B">
            <w:pPr>
              <w:jc w:val="center"/>
              <w:rPr>
                <w:sz w:val="20"/>
                <w:szCs w:val="20"/>
              </w:rPr>
            </w:pPr>
            <w:r w:rsidRPr="00DB78F1">
              <w:rPr>
                <w:sz w:val="20"/>
                <w:szCs w:val="20"/>
                <w:lang w:val="fr-FR"/>
              </w:rPr>
              <w:t>X</w:t>
            </w:r>
          </w:p>
        </w:tc>
      </w:tr>
      <w:tr w:rsidR="0088719A" w:rsidRPr="00E354EC" w:rsidTr="00777176">
        <w:tc>
          <w:tcPr>
            <w:tcW w:w="2325" w:type="dxa"/>
            <w:noWrap/>
            <w:tcMar>
              <w:left w:w="115" w:type="dxa"/>
              <w:right w:w="0" w:type="dxa"/>
            </w:tcMar>
            <w:hideMark/>
          </w:tcPr>
          <w:p w:rsidR="0088719A" w:rsidRPr="00E354EC" w:rsidRDefault="0088719A" w:rsidP="002A237B">
            <w:pPr>
              <w:jc w:val="left"/>
              <w:rPr>
                <w:sz w:val="20"/>
                <w:szCs w:val="20"/>
              </w:rPr>
            </w:pPr>
            <w:r w:rsidRPr="00DB78F1">
              <w:rPr>
                <w:sz w:val="20"/>
                <w:szCs w:val="20"/>
                <w:lang w:val="fr-FR"/>
              </w:rPr>
              <w:t>El Salvador</w:t>
            </w:r>
          </w:p>
        </w:tc>
        <w:tc>
          <w:tcPr>
            <w:tcW w:w="127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134" w:type="dxa"/>
            <w:noWrap/>
            <w:vAlign w:val="center"/>
            <w:hideMark/>
          </w:tcPr>
          <w:p w:rsidR="0088719A" w:rsidRPr="00E354EC" w:rsidRDefault="0088719A" w:rsidP="000929FD">
            <w:pPr>
              <w:jc w:val="center"/>
              <w:rPr>
                <w:sz w:val="20"/>
                <w:szCs w:val="20"/>
              </w:rPr>
            </w:pP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086" w:type="dxa"/>
            <w:noWrap/>
            <w:vAlign w:val="center"/>
            <w:hideMark/>
          </w:tcPr>
          <w:p w:rsidR="0088719A" w:rsidRPr="00E354EC" w:rsidRDefault="0088719A" w:rsidP="000929FD">
            <w:pPr>
              <w:jc w:val="center"/>
              <w:rPr>
                <w:sz w:val="20"/>
                <w:szCs w:val="20"/>
              </w:rPr>
            </w:pPr>
          </w:p>
        </w:tc>
      </w:tr>
      <w:tr w:rsidR="0088719A" w:rsidRPr="00E354EC" w:rsidTr="00777176">
        <w:tc>
          <w:tcPr>
            <w:tcW w:w="2325" w:type="dxa"/>
            <w:noWrap/>
            <w:tcMar>
              <w:left w:w="115" w:type="dxa"/>
              <w:right w:w="0" w:type="dxa"/>
            </w:tcMar>
            <w:hideMark/>
          </w:tcPr>
          <w:p w:rsidR="0088719A" w:rsidRPr="00E354EC" w:rsidRDefault="0088719A" w:rsidP="002A237B">
            <w:pPr>
              <w:jc w:val="left"/>
              <w:rPr>
                <w:sz w:val="20"/>
                <w:szCs w:val="20"/>
              </w:rPr>
            </w:pPr>
            <w:r w:rsidRPr="00DB78F1">
              <w:rPr>
                <w:sz w:val="20"/>
                <w:szCs w:val="20"/>
                <w:lang w:val="fr-FR"/>
              </w:rPr>
              <w:t>Equateur</w:t>
            </w:r>
          </w:p>
        </w:tc>
        <w:tc>
          <w:tcPr>
            <w:tcW w:w="127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134"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086" w:type="dxa"/>
            <w:noWrap/>
            <w:vAlign w:val="center"/>
            <w:hideMark/>
          </w:tcPr>
          <w:p w:rsidR="0088719A" w:rsidRPr="00E354EC" w:rsidRDefault="0088719A" w:rsidP="002A237B">
            <w:pPr>
              <w:jc w:val="center"/>
              <w:rPr>
                <w:sz w:val="20"/>
                <w:szCs w:val="20"/>
              </w:rPr>
            </w:pPr>
            <w:r w:rsidRPr="00DB78F1">
              <w:rPr>
                <w:sz w:val="20"/>
                <w:szCs w:val="20"/>
                <w:lang w:val="fr-FR"/>
              </w:rPr>
              <w:t>X</w:t>
            </w:r>
          </w:p>
        </w:tc>
      </w:tr>
      <w:tr w:rsidR="0088719A" w:rsidRPr="00E354EC" w:rsidTr="00777176">
        <w:tc>
          <w:tcPr>
            <w:tcW w:w="2325" w:type="dxa"/>
            <w:noWrap/>
            <w:tcMar>
              <w:left w:w="115" w:type="dxa"/>
              <w:right w:w="0" w:type="dxa"/>
            </w:tcMar>
            <w:hideMark/>
          </w:tcPr>
          <w:p w:rsidR="0088719A" w:rsidRPr="00E354EC" w:rsidRDefault="0088719A" w:rsidP="002A237B">
            <w:pPr>
              <w:jc w:val="left"/>
              <w:rPr>
                <w:sz w:val="20"/>
                <w:szCs w:val="20"/>
              </w:rPr>
            </w:pPr>
            <w:r w:rsidRPr="00DB78F1">
              <w:rPr>
                <w:sz w:val="20"/>
                <w:szCs w:val="20"/>
                <w:lang w:val="fr-FR"/>
              </w:rPr>
              <w:t>Eswatini</w:t>
            </w:r>
          </w:p>
        </w:tc>
        <w:tc>
          <w:tcPr>
            <w:tcW w:w="1276" w:type="dxa"/>
            <w:noWrap/>
            <w:vAlign w:val="center"/>
            <w:hideMark/>
          </w:tcPr>
          <w:p w:rsidR="0088719A" w:rsidRPr="00E354EC" w:rsidRDefault="0088719A" w:rsidP="000929FD">
            <w:pPr>
              <w:jc w:val="center"/>
              <w:rPr>
                <w:sz w:val="20"/>
                <w:szCs w:val="20"/>
              </w:rPr>
            </w:pPr>
          </w:p>
        </w:tc>
        <w:tc>
          <w:tcPr>
            <w:tcW w:w="1134" w:type="dxa"/>
            <w:noWrap/>
            <w:vAlign w:val="center"/>
            <w:hideMark/>
          </w:tcPr>
          <w:p w:rsidR="0088719A" w:rsidRPr="00E354EC" w:rsidRDefault="0088719A" w:rsidP="000929FD">
            <w:pPr>
              <w:jc w:val="center"/>
              <w:rPr>
                <w:sz w:val="20"/>
                <w:szCs w:val="20"/>
              </w:rPr>
            </w:pP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086" w:type="dxa"/>
            <w:noWrap/>
            <w:vAlign w:val="center"/>
            <w:hideMark/>
          </w:tcPr>
          <w:p w:rsidR="0088719A" w:rsidRPr="00E354EC" w:rsidRDefault="0088719A" w:rsidP="002A237B">
            <w:pPr>
              <w:jc w:val="center"/>
              <w:rPr>
                <w:sz w:val="20"/>
                <w:szCs w:val="20"/>
              </w:rPr>
            </w:pPr>
            <w:r w:rsidRPr="00DB78F1">
              <w:rPr>
                <w:sz w:val="20"/>
                <w:szCs w:val="20"/>
                <w:lang w:val="fr-FR"/>
              </w:rPr>
              <w:t>X</w:t>
            </w:r>
          </w:p>
        </w:tc>
      </w:tr>
      <w:tr w:rsidR="0088719A" w:rsidRPr="00E354EC" w:rsidTr="00777176">
        <w:tc>
          <w:tcPr>
            <w:tcW w:w="2325" w:type="dxa"/>
            <w:noWrap/>
            <w:tcMar>
              <w:left w:w="115" w:type="dxa"/>
              <w:right w:w="0" w:type="dxa"/>
            </w:tcMar>
            <w:hideMark/>
          </w:tcPr>
          <w:p w:rsidR="0088719A" w:rsidRPr="00E354EC" w:rsidRDefault="0088719A" w:rsidP="002A237B">
            <w:pPr>
              <w:jc w:val="left"/>
              <w:rPr>
                <w:sz w:val="20"/>
                <w:szCs w:val="20"/>
              </w:rPr>
            </w:pPr>
            <w:r w:rsidRPr="00DB78F1">
              <w:rPr>
                <w:sz w:val="20"/>
                <w:szCs w:val="20"/>
                <w:lang w:val="fr-FR"/>
              </w:rPr>
              <w:t>Fiji</w:t>
            </w:r>
          </w:p>
        </w:tc>
        <w:tc>
          <w:tcPr>
            <w:tcW w:w="127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134" w:type="dxa"/>
            <w:noWrap/>
            <w:vAlign w:val="center"/>
            <w:hideMark/>
          </w:tcPr>
          <w:p w:rsidR="0088719A" w:rsidRPr="00E354EC" w:rsidRDefault="0088719A" w:rsidP="000929FD">
            <w:pPr>
              <w:jc w:val="center"/>
              <w:rPr>
                <w:sz w:val="20"/>
                <w:szCs w:val="20"/>
              </w:rPr>
            </w:pP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086" w:type="dxa"/>
            <w:noWrap/>
            <w:vAlign w:val="center"/>
            <w:hideMark/>
          </w:tcPr>
          <w:p w:rsidR="0088719A" w:rsidRPr="00E354EC" w:rsidRDefault="0088719A" w:rsidP="000929FD">
            <w:pPr>
              <w:jc w:val="center"/>
              <w:rPr>
                <w:sz w:val="20"/>
                <w:szCs w:val="20"/>
              </w:rPr>
            </w:pPr>
          </w:p>
        </w:tc>
      </w:tr>
      <w:tr w:rsidR="0088719A" w:rsidRPr="00E354EC" w:rsidTr="00777176">
        <w:tc>
          <w:tcPr>
            <w:tcW w:w="2325" w:type="dxa"/>
            <w:noWrap/>
            <w:tcMar>
              <w:left w:w="115" w:type="dxa"/>
              <w:right w:w="0" w:type="dxa"/>
            </w:tcMar>
            <w:hideMark/>
          </w:tcPr>
          <w:p w:rsidR="0088719A" w:rsidRPr="00E354EC" w:rsidRDefault="0088719A" w:rsidP="002A237B">
            <w:pPr>
              <w:jc w:val="left"/>
              <w:rPr>
                <w:sz w:val="20"/>
                <w:szCs w:val="20"/>
              </w:rPr>
            </w:pPr>
            <w:r w:rsidRPr="00DB78F1">
              <w:rPr>
                <w:sz w:val="20"/>
                <w:szCs w:val="20"/>
                <w:lang w:val="fr-FR"/>
              </w:rPr>
              <w:t>Ghana</w:t>
            </w:r>
          </w:p>
        </w:tc>
        <w:tc>
          <w:tcPr>
            <w:tcW w:w="127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134"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086" w:type="dxa"/>
            <w:noWrap/>
            <w:vAlign w:val="center"/>
            <w:hideMark/>
          </w:tcPr>
          <w:p w:rsidR="0088719A" w:rsidRPr="00E354EC" w:rsidRDefault="0088719A" w:rsidP="002A237B">
            <w:pPr>
              <w:jc w:val="center"/>
              <w:rPr>
                <w:sz w:val="20"/>
                <w:szCs w:val="20"/>
              </w:rPr>
            </w:pPr>
            <w:r w:rsidRPr="00DB78F1">
              <w:rPr>
                <w:sz w:val="20"/>
                <w:szCs w:val="20"/>
                <w:lang w:val="fr-FR"/>
              </w:rPr>
              <w:t>X</w:t>
            </w:r>
          </w:p>
        </w:tc>
      </w:tr>
      <w:tr w:rsidR="0088719A" w:rsidRPr="00E354EC" w:rsidTr="00777176">
        <w:tc>
          <w:tcPr>
            <w:tcW w:w="2325" w:type="dxa"/>
            <w:noWrap/>
            <w:tcMar>
              <w:left w:w="115" w:type="dxa"/>
              <w:right w:w="0" w:type="dxa"/>
            </w:tcMar>
            <w:hideMark/>
          </w:tcPr>
          <w:p w:rsidR="0088719A" w:rsidRPr="00E354EC" w:rsidRDefault="0088719A" w:rsidP="002A237B">
            <w:pPr>
              <w:jc w:val="left"/>
              <w:rPr>
                <w:sz w:val="20"/>
                <w:szCs w:val="20"/>
              </w:rPr>
            </w:pPr>
            <w:r>
              <w:rPr>
                <w:sz w:val="20"/>
                <w:szCs w:val="20"/>
                <w:lang w:val="fr-FR"/>
              </w:rPr>
              <w:t>I</w:t>
            </w:r>
            <w:r w:rsidRPr="00DB78F1">
              <w:rPr>
                <w:sz w:val="20"/>
                <w:szCs w:val="20"/>
                <w:lang w:val="fr-FR"/>
              </w:rPr>
              <w:t>les Cook</w:t>
            </w:r>
          </w:p>
        </w:tc>
        <w:tc>
          <w:tcPr>
            <w:tcW w:w="127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134"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086" w:type="dxa"/>
            <w:noWrap/>
            <w:vAlign w:val="center"/>
            <w:hideMark/>
          </w:tcPr>
          <w:p w:rsidR="0088719A" w:rsidRPr="00E354EC" w:rsidRDefault="0088719A" w:rsidP="002A237B">
            <w:pPr>
              <w:jc w:val="center"/>
              <w:rPr>
                <w:sz w:val="20"/>
                <w:szCs w:val="20"/>
              </w:rPr>
            </w:pPr>
            <w:r w:rsidRPr="00DB78F1">
              <w:rPr>
                <w:sz w:val="20"/>
                <w:szCs w:val="20"/>
                <w:lang w:val="fr-FR"/>
              </w:rPr>
              <w:t>X</w:t>
            </w:r>
          </w:p>
        </w:tc>
      </w:tr>
      <w:tr w:rsidR="0088719A" w:rsidRPr="00E354EC" w:rsidTr="00777176">
        <w:tc>
          <w:tcPr>
            <w:tcW w:w="2325" w:type="dxa"/>
            <w:noWrap/>
            <w:tcMar>
              <w:left w:w="115" w:type="dxa"/>
              <w:right w:w="0" w:type="dxa"/>
            </w:tcMar>
            <w:hideMark/>
          </w:tcPr>
          <w:p w:rsidR="0088719A" w:rsidRPr="00DB78F1" w:rsidRDefault="0088719A" w:rsidP="00DB78F1">
            <w:pPr>
              <w:jc w:val="left"/>
              <w:rPr>
                <w:sz w:val="20"/>
                <w:szCs w:val="20"/>
                <w:lang w:val="fr-FR"/>
              </w:rPr>
            </w:pPr>
            <w:r>
              <w:rPr>
                <w:sz w:val="20"/>
                <w:szCs w:val="20"/>
                <w:lang w:val="fr-FR"/>
              </w:rPr>
              <w:t xml:space="preserve">Iles </w:t>
            </w:r>
            <w:r w:rsidRPr="00DB78F1">
              <w:rPr>
                <w:sz w:val="20"/>
                <w:szCs w:val="20"/>
                <w:lang w:val="fr-FR"/>
              </w:rPr>
              <w:t>S</w:t>
            </w:r>
            <w:r>
              <w:rPr>
                <w:sz w:val="20"/>
                <w:szCs w:val="20"/>
                <w:lang w:val="fr-FR"/>
              </w:rPr>
              <w:t>a</w:t>
            </w:r>
            <w:r w:rsidRPr="00DB78F1">
              <w:rPr>
                <w:sz w:val="20"/>
                <w:szCs w:val="20"/>
                <w:lang w:val="fr-FR"/>
              </w:rPr>
              <w:t>lomon</w:t>
            </w:r>
          </w:p>
        </w:tc>
        <w:tc>
          <w:tcPr>
            <w:tcW w:w="1276" w:type="dxa"/>
            <w:noWrap/>
            <w:vAlign w:val="center"/>
            <w:hideMark/>
          </w:tcPr>
          <w:p w:rsidR="0088719A" w:rsidRPr="00E354EC" w:rsidRDefault="0088719A" w:rsidP="000929FD">
            <w:pPr>
              <w:jc w:val="center"/>
              <w:rPr>
                <w:sz w:val="20"/>
                <w:szCs w:val="20"/>
              </w:rPr>
            </w:pPr>
            <w:r w:rsidRPr="00E354EC">
              <w:rPr>
                <w:sz w:val="20"/>
                <w:szCs w:val="20"/>
              </w:rPr>
              <w:t>X</w:t>
            </w:r>
          </w:p>
        </w:tc>
        <w:tc>
          <w:tcPr>
            <w:tcW w:w="1134" w:type="dxa"/>
            <w:noWrap/>
            <w:vAlign w:val="center"/>
            <w:hideMark/>
          </w:tcPr>
          <w:p w:rsidR="0088719A" w:rsidRPr="00E354EC" w:rsidRDefault="0088719A" w:rsidP="000929FD">
            <w:pPr>
              <w:jc w:val="center"/>
              <w:rPr>
                <w:sz w:val="20"/>
                <w:szCs w:val="20"/>
              </w:rPr>
            </w:pPr>
            <w:r w:rsidRPr="00E354EC">
              <w:rPr>
                <w:sz w:val="20"/>
                <w:szCs w:val="20"/>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0929FD">
            <w:pPr>
              <w:jc w:val="center"/>
              <w:rPr>
                <w:sz w:val="20"/>
                <w:szCs w:val="20"/>
              </w:rPr>
            </w:pPr>
            <w:r w:rsidRPr="00E354EC">
              <w:rPr>
                <w:sz w:val="20"/>
                <w:szCs w:val="20"/>
              </w:rPr>
              <w:t>X</w:t>
            </w:r>
          </w:p>
        </w:tc>
        <w:tc>
          <w:tcPr>
            <w:tcW w:w="1086" w:type="dxa"/>
            <w:noWrap/>
            <w:vAlign w:val="center"/>
            <w:hideMark/>
          </w:tcPr>
          <w:p w:rsidR="0088719A" w:rsidRPr="00E354EC" w:rsidRDefault="0088719A" w:rsidP="000929FD">
            <w:pPr>
              <w:jc w:val="center"/>
              <w:rPr>
                <w:sz w:val="20"/>
                <w:szCs w:val="20"/>
              </w:rPr>
            </w:pPr>
            <w:r w:rsidRPr="00E354EC">
              <w:rPr>
                <w:sz w:val="20"/>
                <w:szCs w:val="20"/>
              </w:rPr>
              <w:t>X</w:t>
            </w:r>
          </w:p>
        </w:tc>
      </w:tr>
      <w:tr w:rsidR="0088719A" w:rsidRPr="00E354EC" w:rsidTr="00777176">
        <w:tc>
          <w:tcPr>
            <w:tcW w:w="2325" w:type="dxa"/>
            <w:noWrap/>
            <w:tcMar>
              <w:left w:w="115" w:type="dxa"/>
              <w:right w:w="0" w:type="dxa"/>
            </w:tcMar>
            <w:hideMark/>
          </w:tcPr>
          <w:p w:rsidR="0088719A" w:rsidRPr="00E354EC" w:rsidRDefault="0088719A" w:rsidP="002A237B">
            <w:pPr>
              <w:jc w:val="left"/>
              <w:rPr>
                <w:sz w:val="20"/>
                <w:szCs w:val="20"/>
              </w:rPr>
            </w:pPr>
            <w:r w:rsidRPr="00DB78F1">
              <w:rPr>
                <w:sz w:val="20"/>
                <w:szCs w:val="20"/>
                <w:lang w:val="fr-FR"/>
              </w:rPr>
              <w:t>Inde</w:t>
            </w:r>
          </w:p>
        </w:tc>
        <w:tc>
          <w:tcPr>
            <w:tcW w:w="127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134"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086" w:type="dxa"/>
            <w:noWrap/>
            <w:vAlign w:val="center"/>
            <w:hideMark/>
          </w:tcPr>
          <w:p w:rsidR="0088719A" w:rsidRPr="00E354EC" w:rsidRDefault="0088719A" w:rsidP="002A237B">
            <w:pPr>
              <w:jc w:val="center"/>
              <w:rPr>
                <w:sz w:val="20"/>
                <w:szCs w:val="20"/>
              </w:rPr>
            </w:pPr>
            <w:r w:rsidRPr="00DB78F1">
              <w:rPr>
                <w:sz w:val="20"/>
                <w:szCs w:val="20"/>
                <w:lang w:val="fr-FR"/>
              </w:rPr>
              <w:t>X</w:t>
            </w:r>
          </w:p>
        </w:tc>
      </w:tr>
      <w:tr w:rsidR="0088719A" w:rsidRPr="00E354EC" w:rsidTr="00777176">
        <w:tc>
          <w:tcPr>
            <w:tcW w:w="2325" w:type="dxa"/>
            <w:noWrap/>
            <w:tcMar>
              <w:left w:w="115" w:type="dxa"/>
              <w:right w:w="0" w:type="dxa"/>
            </w:tcMar>
            <w:hideMark/>
          </w:tcPr>
          <w:p w:rsidR="0088719A" w:rsidRPr="00E354EC" w:rsidRDefault="0088719A" w:rsidP="002A237B">
            <w:pPr>
              <w:jc w:val="left"/>
              <w:rPr>
                <w:sz w:val="20"/>
                <w:szCs w:val="20"/>
              </w:rPr>
            </w:pPr>
            <w:r w:rsidRPr="00DB78F1">
              <w:rPr>
                <w:sz w:val="20"/>
                <w:szCs w:val="20"/>
                <w:lang w:val="fr-FR"/>
              </w:rPr>
              <w:t>Indonésie</w:t>
            </w:r>
          </w:p>
        </w:tc>
        <w:tc>
          <w:tcPr>
            <w:tcW w:w="127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134"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086" w:type="dxa"/>
            <w:noWrap/>
            <w:vAlign w:val="center"/>
            <w:hideMark/>
          </w:tcPr>
          <w:p w:rsidR="0088719A" w:rsidRPr="00E354EC" w:rsidRDefault="0088719A" w:rsidP="002A237B">
            <w:pPr>
              <w:jc w:val="center"/>
              <w:rPr>
                <w:sz w:val="20"/>
                <w:szCs w:val="20"/>
              </w:rPr>
            </w:pPr>
            <w:r w:rsidRPr="00DB78F1">
              <w:rPr>
                <w:sz w:val="20"/>
                <w:szCs w:val="20"/>
                <w:lang w:val="fr-FR"/>
              </w:rPr>
              <w:t>X</w:t>
            </w:r>
          </w:p>
        </w:tc>
      </w:tr>
      <w:tr w:rsidR="0088719A" w:rsidRPr="00E354EC" w:rsidTr="00777176">
        <w:tc>
          <w:tcPr>
            <w:tcW w:w="2325" w:type="dxa"/>
            <w:noWrap/>
            <w:tcMar>
              <w:left w:w="115" w:type="dxa"/>
              <w:right w:w="0" w:type="dxa"/>
            </w:tcMar>
            <w:hideMark/>
          </w:tcPr>
          <w:p w:rsidR="0088719A" w:rsidRPr="00E354EC" w:rsidRDefault="0088719A" w:rsidP="002A237B">
            <w:pPr>
              <w:jc w:val="left"/>
              <w:rPr>
                <w:sz w:val="20"/>
                <w:szCs w:val="20"/>
              </w:rPr>
            </w:pPr>
            <w:r w:rsidRPr="00DB78F1">
              <w:rPr>
                <w:sz w:val="20"/>
                <w:szCs w:val="20"/>
                <w:lang w:val="fr-FR"/>
              </w:rPr>
              <w:t>Iran (République islamique de)</w:t>
            </w:r>
          </w:p>
        </w:tc>
        <w:tc>
          <w:tcPr>
            <w:tcW w:w="1276" w:type="dxa"/>
            <w:noWrap/>
            <w:vAlign w:val="center"/>
            <w:hideMark/>
          </w:tcPr>
          <w:p w:rsidR="0088719A" w:rsidRPr="00E354EC" w:rsidRDefault="0088719A" w:rsidP="000929FD">
            <w:pPr>
              <w:jc w:val="center"/>
              <w:rPr>
                <w:sz w:val="20"/>
                <w:szCs w:val="20"/>
              </w:rPr>
            </w:pPr>
            <w:r w:rsidRPr="00E354EC">
              <w:rPr>
                <w:sz w:val="20"/>
                <w:szCs w:val="20"/>
              </w:rPr>
              <w:t>X</w:t>
            </w:r>
          </w:p>
        </w:tc>
        <w:tc>
          <w:tcPr>
            <w:tcW w:w="1134" w:type="dxa"/>
            <w:noWrap/>
            <w:vAlign w:val="center"/>
            <w:hideMark/>
          </w:tcPr>
          <w:p w:rsidR="0088719A" w:rsidRPr="00E354EC" w:rsidRDefault="0088719A" w:rsidP="000929FD">
            <w:pPr>
              <w:jc w:val="center"/>
              <w:rPr>
                <w:sz w:val="20"/>
                <w:szCs w:val="20"/>
              </w:rPr>
            </w:pPr>
            <w:r w:rsidRPr="00E354EC">
              <w:rPr>
                <w:sz w:val="20"/>
                <w:szCs w:val="20"/>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0929FD">
            <w:pPr>
              <w:jc w:val="center"/>
              <w:rPr>
                <w:sz w:val="20"/>
                <w:szCs w:val="20"/>
              </w:rPr>
            </w:pPr>
            <w:r w:rsidRPr="00E354EC">
              <w:rPr>
                <w:sz w:val="20"/>
                <w:szCs w:val="20"/>
              </w:rPr>
              <w:t>X</w:t>
            </w:r>
          </w:p>
        </w:tc>
        <w:tc>
          <w:tcPr>
            <w:tcW w:w="1086" w:type="dxa"/>
            <w:noWrap/>
            <w:vAlign w:val="center"/>
            <w:hideMark/>
          </w:tcPr>
          <w:p w:rsidR="0088719A" w:rsidRPr="00E354EC" w:rsidRDefault="0088719A" w:rsidP="000929FD">
            <w:pPr>
              <w:jc w:val="center"/>
              <w:rPr>
                <w:sz w:val="20"/>
                <w:szCs w:val="20"/>
              </w:rPr>
            </w:pPr>
            <w:r w:rsidRPr="00E354EC">
              <w:rPr>
                <w:sz w:val="20"/>
                <w:szCs w:val="20"/>
              </w:rPr>
              <w:t>X</w:t>
            </w:r>
          </w:p>
        </w:tc>
      </w:tr>
      <w:tr w:rsidR="0088719A" w:rsidRPr="00E354EC" w:rsidTr="00777176">
        <w:tc>
          <w:tcPr>
            <w:tcW w:w="2325" w:type="dxa"/>
            <w:noWrap/>
            <w:tcMar>
              <w:left w:w="115" w:type="dxa"/>
              <w:right w:w="0" w:type="dxa"/>
            </w:tcMar>
            <w:hideMark/>
          </w:tcPr>
          <w:p w:rsidR="0088719A" w:rsidRPr="00DB78F1" w:rsidRDefault="0088719A" w:rsidP="00DB78F1">
            <w:pPr>
              <w:jc w:val="left"/>
              <w:rPr>
                <w:sz w:val="20"/>
                <w:szCs w:val="20"/>
                <w:lang w:val="fr-FR"/>
              </w:rPr>
            </w:pPr>
            <w:r w:rsidRPr="00DB78F1">
              <w:rPr>
                <w:sz w:val="20"/>
                <w:szCs w:val="20"/>
                <w:lang w:val="fr-FR"/>
              </w:rPr>
              <w:t>Jamaïque</w:t>
            </w:r>
          </w:p>
        </w:tc>
        <w:tc>
          <w:tcPr>
            <w:tcW w:w="1276" w:type="dxa"/>
            <w:noWrap/>
            <w:vAlign w:val="center"/>
            <w:hideMark/>
          </w:tcPr>
          <w:p w:rsidR="0088719A" w:rsidRPr="00E354EC" w:rsidRDefault="0088719A" w:rsidP="000929FD">
            <w:pPr>
              <w:jc w:val="center"/>
              <w:rPr>
                <w:sz w:val="20"/>
                <w:szCs w:val="20"/>
              </w:rPr>
            </w:pPr>
            <w:r w:rsidRPr="00E354EC">
              <w:rPr>
                <w:sz w:val="20"/>
                <w:szCs w:val="20"/>
              </w:rPr>
              <w:t>X</w:t>
            </w:r>
          </w:p>
        </w:tc>
        <w:tc>
          <w:tcPr>
            <w:tcW w:w="1134" w:type="dxa"/>
            <w:noWrap/>
            <w:vAlign w:val="center"/>
            <w:hideMark/>
          </w:tcPr>
          <w:p w:rsidR="0088719A" w:rsidRPr="00E354EC" w:rsidRDefault="0088719A" w:rsidP="000929FD">
            <w:pPr>
              <w:jc w:val="center"/>
              <w:rPr>
                <w:sz w:val="20"/>
                <w:szCs w:val="20"/>
              </w:rPr>
            </w:pP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0929FD">
            <w:pPr>
              <w:jc w:val="center"/>
              <w:rPr>
                <w:sz w:val="20"/>
                <w:szCs w:val="20"/>
              </w:rPr>
            </w:pPr>
          </w:p>
        </w:tc>
        <w:tc>
          <w:tcPr>
            <w:tcW w:w="1086" w:type="dxa"/>
            <w:noWrap/>
            <w:vAlign w:val="center"/>
            <w:hideMark/>
          </w:tcPr>
          <w:p w:rsidR="0088719A" w:rsidRPr="00E354EC" w:rsidRDefault="0088719A" w:rsidP="000929FD">
            <w:pPr>
              <w:jc w:val="center"/>
              <w:rPr>
                <w:sz w:val="20"/>
                <w:szCs w:val="20"/>
              </w:rPr>
            </w:pPr>
          </w:p>
        </w:tc>
      </w:tr>
      <w:tr w:rsidR="0088719A" w:rsidRPr="00E354EC" w:rsidTr="00777176">
        <w:tc>
          <w:tcPr>
            <w:tcW w:w="2325" w:type="dxa"/>
            <w:noWrap/>
            <w:tcMar>
              <w:left w:w="115" w:type="dxa"/>
              <w:right w:w="0" w:type="dxa"/>
            </w:tcMar>
            <w:hideMark/>
          </w:tcPr>
          <w:p w:rsidR="0088719A" w:rsidRPr="00DB78F1" w:rsidRDefault="0088719A" w:rsidP="000929FD">
            <w:pPr>
              <w:jc w:val="left"/>
              <w:rPr>
                <w:sz w:val="20"/>
                <w:szCs w:val="20"/>
                <w:lang w:val="fr-FR"/>
              </w:rPr>
            </w:pPr>
            <w:r w:rsidRPr="00DB78F1">
              <w:rPr>
                <w:sz w:val="20"/>
                <w:szCs w:val="20"/>
                <w:lang w:val="fr-FR"/>
              </w:rPr>
              <w:t>Jordan</w:t>
            </w:r>
            <w:r>
              <w:rPr>
                <w:sz w:val="20"/>
                <w:szCs w:val="20"/>
                <w:lang w:val="fr-FR"/>
              </w:rPr>
              <w:t>ie</w:t>
            </w:r>
          </w:p>
        </w:tc>
        <w:tc>
          <w:tcPr>
            <w:tcW w:w="1276" w:type="dxa"/>
            <w:noWrap/>
            <w:vAlign w:val="center"/>
            <w:hideMark/>
          </w:tcPr>
          <w:p w:rsidR="0088719A" w:rsidRPr="00E354EC" w:rsidRDefault="0088719A" w:rsidP="000929FD">
            <w:pPr>
              <w:jc w:val="center"/>
              <w:rPr>
                <w:sz w:val="20"/>
                <w:szCs w:val="20"/>
              </w:rPr>
            </w:pPr>
            <w:r w:rsidRPr="00E354EC">
              <w:rPr>
                <w:sz w:val="20"/>
                <w:szCs w:val="20"/>
              </w:rPr>
              <w:t>X</w:t>
            </w:r>
          </w:p>
        </w:tc>
        <w:tc>
          <w:tcPr>
            <w:tcW w:w="1134" w:type="dxa"/>
            <w:noWrap/>
            <w:vAlign w:val="center"/>
            <w:hideMark/>
          </w:tcPr>
          <w:p w:rsidR="0088719A" w:rsidRPr="00E354EC" w:rsidRDefault="0088719A" w:rsidP="000929FD">
            <w:pPr>
              <w:jc w:val="center"/>
              <w:rPr>
                <w:sz w:val="20"/>
                <w:szCs w:val="20"/>
              </w:rPr>
            </w:pP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0929FD">
            <w:pPr>
              <w:jc w:val="center"/>
              <w:rPr>
                <w:sz w:val="20"/>
                <w:szCs w:val="20"/>
              </w:rPr>
            </w:pPr>
          </w:p>
        </w:tc>
        <w:tc>
          <w:tcPr>
            <w:tcW w:w="1086" w:type="dxa"/>
            <w:noWrap/>
            <w:vAlign w:val="center"/>
            <w:hideMark/>
          </w:tcPr>
          <w:p w:rsidR="0088719A" w:rsidRPr="00E354EC" w:rsidRDefault="0088719A" w:rsidP="000929FD">
            <w:pPr>
              <w:jc w:val="center"/>
              <w:rPr>
                <w:sz w:val="20"/>
                <w:szCs w:val="20"/>
              </w:rPr>
            </w:pPr>
          </w:p>
        </w:tc>
      </w:tr>
      <w:tr w:rsidR="0088719A" w:rsidRPr="00E354EC" w:rsidTr="00777176">
        <w:tc>
          <w:tcPr>
            <w:tcW w:w="2325" w:type="dxa"/>
            <w:noWrap/>
            <w:tcMar>
              <w:left w:w="115" w:type="dxa"/>
              <w:right w:w="0" w:type="dxa"/>
            </w:tcMar>
            <w:hideMark/>
          </w:tcPr>
          <w:p w:rsidR="0088719A" w:rsidRPr="00DB78F1" w:rsidRDefault="0088719A" w:rsidP="000929FD">
            <w:pPr>
              <w:jc w:val="left"/>
              <w:rPr>
                <w:sz w:val="20"/>
                <w:szCs w:val="20"/>
                <w:lang w:val="fr-FR"/>
              </w:rPr>
            </w:pPr>
            <w:r w:rsidRPr="00DB78F1">
              <w:rPr>
                <w:sz w:val="20"/>
                <w:szCs w:val="20"/>
                <w:lang w:val="fr-FR"/>
              </w:rPr>
              <w:t>Kiribati</w:t>
            </w:r>
          </w:p>
        </w:tc>
        <w:tc>
          <w:tcPr>
            <w:tcW w:w="1276" w:type="dxa"/>
            <w:noWrap/>
            <w:vAlign w:val="center"/>
            <w:hideMark/>
          </w:tcPr>
          <w:p w:rsidR="0088719A" w:rsidRPr="00E354EC" w:rsidRDefault="0088719A" w:rsidP="000929FD">
            <w:pPr>
              <w:jc w:val="center"/>
              <w:rPr>
                <w:sz w:val="20"/>
                <w:szCs w:val="20"/>
              </w:rPr>
            </w:pPr>
            <w:r w:rsidRPr="00E354EC">
              <w:rPr>
                <w:sz w:val="20"/>
                <w:szCs w:val="20"/>
              </w:rPr>
              <w:t>X</w:t>
            </w:r>
          </w:p>
        </w:tc>
        <w:tc>
          <w:tcPr>
            <w:tcW w:w="1134" w:type="dxa"/>
            <w:noWrap/>
            <w:vAlign w:val="center"/>
            <w:hideMark/>
          </w:tcPr>
          <w:p w:rsidR="0088719A" w:rsidRPr="00E354EC" w:rsidRDefault="0088719A" w:rsidP="000929FD">
            <w:pPr>
              <w:jc w:val="center"/>
              <w:rPr>
                <w:sz w:val="20"/>
                <w:szCs w:val="20"/>
              </w:rPr>
            </w:pPr>
            <w:r w:rsidRPr="00E354EC">
              <w:rPr>
                <w:sz w:val="20"/>
                <w:szCs w:val="20"/>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0929FD">
            <w:pPr>
              <w:jc w:val="center"/>
              <w:rPr>
                <w:sz w:val="20"/>
                <w:szCs w:val="20"/>
              </w:rPr>
            </w:pPr>
            <w:r w:rsidRPr="00E354EC">
              <w:rPr>
                <w:sz w:val="20"/>
                <w:szCs w:val="20"/>
              </w:rPr>
              <w:t>X</w:t>
            </w:r>
          </w:p>
        </w:tc>
        <w:tc>
          <w:tcPr>
            <w:tcW w:w="1086" w:type="dxa"/>
            <w:noWrap/>
            <w:vAlign w:val="center"/>
            <w:hideMark/>
          </w:tcPr>
          <w:p w:rsidR="0088719A" w:rsidRPr="00E354EC" w:rsidRDefault="0088719A" w:rsidP="000929FD">
            <w:pPr>
              <w:jc w:val="center"/>
              <w:rPr>
                <w:sz w:val="20"/>
                <w:szCs w:val="20"/>
              </w:rPr>
            </w:pPr>
            <w:r w:rsidRPr="00E354EC">
              <w:rPr>
                <w:sz w:val="20"/>
                <w:szCs w:val="20"/>
              </w:rPr>
              <w:t>X</w:t>
            </w:r>
          </w:p>
        </w:tc>
      </w:tr>
      <w:tr w:rsidR="0088719A" w:rsidRPr="00E354EC" w:rsidTr="00777176">
        <w:tc>
          <w:tcPr>
            <w:tcW w:w="2325" w:type="dxa"/>
            <w:noWrap/>
            <w:tcMar>
              <w:left w:w="115" w:type="dxa"/>
              <w:right w:w="0" w:type="dxa"/>
            </w:tcMar>
            <w:hideMark/>
          </w:tcPr>
          <w:p w:rsidR="0088719A" w:rsidRPr="00DB78F1" w:rsidRDefault="0088719A" w:rsidP="00DB78F1">
            <w:pPr>
              <w:jc w:val="left"/>
              <w:rPr>
                <w:sz w:val="20"/>
                <w:szCs w:val="20"/>
                <w:lang w:val="fr-FR"/>
              </w:rPr>
            </w:pPr>
            <w:r w:rsidRPr="00DB78F1">
              <w:rPr>
                <w:sz w:val="20"/>
                <w:szCs w:val="20"/>
                <w:lang w:val="fr-FR"/>
              </w:rPr>
              <w:t>Malaisi</w:t>
            </w:r>
            <w:r>
              <w:rPr>
                <w:sz w:val="20"/>
                <w:szCs w:val="20"/>
                <w:lang w:val="fr-FR"/>
              </w:rPr>
              <w:t>e</w:t>
            </w:r>
          </w:p>
        </w:tc>
        <w:tc>
          <w:tcPr>
            <w:tcW w:w="1276" w:type="dxa"/>
            <w:noWrap/>
            <w:vAlign w:val="center"/>
            <w:hideMark/>
          </w:tcPr>
          <w:p w:rsidR="0088719A" w:rsidRPr="00E354EC" w:rsidRDefault="0088719A" w:rsidP="000929FD">
            <w:pPr>
              <w:jc w:val="center"/>
              <w:rPr>
                <w:sz w:val="20"/>
                <w:szCs w:val="20"/>
              </w:rPr>
            </w:pPr>
            <w:r w:rsidRPr="00E354EC">
              <w:rPr>
                <w:sz w:val="20"/>
                <w:szCs w:val="20"/>
              </w:rPr>
              <w:t>X</w:t>
            </w:r>
          </w:p>
        </w:tc>
        <w:tc>
          <w:tcPr>
            <w:tcW w:w="1134" w:type="dxa"/>
            <w:noWrap/>
            <w:vAlign w:val="center"/>
            <w:hideMark/>
          </w:tcPr>
          <w:p w:rsidR="0088719A" w:rsidRPr="00E354EC" w:rsidRDefault="0088719A" w:rsidP="000929FD">
            <w:pPr>
              <w:jc w:val="center"/>
              <w:rPr>
                <w:sz w:val="20"/>
                <w:szCs w:val="20"/>
              </w:rPr>
            </w:pPr>
            <w:r w:rsidRPr="00E354EC">
              <w:rPr>
                <w:sz w:val="20"/>
                <w:szCs w:val="20"/>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r w:rsidRPr="00E354EC">
              <w:rPr>
                <w:sz w:val="20"/>
                <w:szCs w:val="20"/>
              </w:rPr>
              <w:t>X</w:t>
            </w:r>
          </w:p>
        </w:tc>
        <w:tc>
          <w:tcPr>
            <w:tcW w:w="1266" w:type="dxa"/>
            <w:noWrap/>
            <w:vAlign w:val="center"/>
            <w:hideMark/>
          </w:tcPr>
          <w:p w:rsidR="0088719A" w:rsidRPr="00E354EC" w:rsidRDefault="0088719A" w:rsidP="000929FD">
            <w:pPr>
              <w:jc w:val="center"/>
              <w:rPr>
                <w:sz w:val="20"/>
                <w:szCs w:val="20"/>
              </w:rPr>
            </w:pPr>
            <w:r w:rsidRPr="00E354EC">
              <w:rPr>
                <w:sz w:val="20"/>
                <w:szCs w:val="20"/>
              </w:rPr>
              <w:t>X</w:t>
            </w:r>
          </w:p>
        </w:tc>
        <w:tc>
          <w:tcPr>
            <w:tcW w:w="1086" w:type="dxa"/>
            <w:noWrap/>
            <w:vAlign w:val="center"/>
            <w:hideMark/>
          </w:tcPr>
          <w:p w:rsidR="0088719A" w:rsidRPr="00E354EC" w:rsidRDefault="0088719A" w:rsidP="000929FD">
            <w:pPr>
              <w:jc w:val="center"/>
              <w:rPr>
                <w:sz w:val="20"/>
                <w:szCs w:val="20"/>
              </w:rPr>
            </w:pPr>
            <w:r w:rsidRPr="00E354EC">
              <w:rPr>
                <w:sz w:val="20"/>
                <w:szCs w:val="20"/>
              </w:rPr>
              <w:t>X</w:t>
            </w:r>
          </w:p>
        </w:tc>
      </w:tr>
      <w:tr w:rsidR="0088719A" w:rsidRPr="00E354EC" w:rsidTr="00777176">
        <w:tc>
          <w:tcPr>
            <w:tcW w:w="2325" w:type="dxa"/>
            <w:noWrap/>
            <w:tcMar>
              <w:left w:w="115" w:type="dxa"/>
              <w:right w:w="0" w:type="dxa"/>
            </w:tcMar>
            <w:hideMark/>
          </w:tcPr>
          <w:p w:rsidR="0088719A" w:rsidRPr="00DB78F1" w:rsidRDefault="0088719A" w:rsidP="00DB78F1">
            <w:pPr>
              <w:jc w:val="left"/>
              <w:rPr>
                <w:sz w:val="20"/>
                <w:szCs w:val="20"/>
                <w:lang w:val="fr-FR"/>
              </w:rPr>
            </w:pPr>
            <w:r w:rsidRPr="00DB78F1">
              <w:rPr>
                <w:sz w:val="20"/>
                <w:szCs w:val="20"/>
                <w:lang w:val="fr-FR"/>
              </w:rPr>
              <w:t>Mexi</w:t>
            </w:r>
            <w:r>
              <w:rPr>
                <w:sz w:val="20"/>
                <w:szCs w:val="20"/>
                <w:lang w:val="fr-FR"/>
              </w:rPr>
              <w:t>que</w:t>
            </w:r>
          </w:p>
        </w:tc>
        <w:tc>
          <w:tcPr>
            <w:tcW w:w="1276" w:type="dxa"/>
            <w:noWrap/>
            <w:vAlign w:val="center"/>
            <w:hideMark/>
          </w:tcPr>
          <w:p w:rsidR="0088719A" w:rsidRPr="00E354EC" w:rsidRDefault="0088719A" w:rsidP="000929FD">
            <w:pPr>
              <w:jc w:val="center"/>
              <w:rPr>
                <w:sz w:val="20"/>
                <w:szCs w:val="20"/>
              </w:rPr>
            </w:pPr>
            <w:r w:rsidRPr="00E354EC">
              <w:rPr>
                <w:sz w:val="20"/>
                <w:szCs w:val="20"/>
              </w:rPr>
              <w:t>X</w:t>
            </w:r>
          </w:p>
        </w:tc>
        <w:tc>
          <w:tcPr>
            <w:tcW w:w="1134" w:type="dxa"/>
            <w:noWrap/>
            <w:vAlign w:val="center"/>
            <w:hideMark/>
          </w:tcPr>
          <w:p w:rsidR="0088719A" w:rsidRPr="00E354EC" w:rsidRDefault="0088719A" w:rsidP="000929FD">
            <w:pPr>
              <w:jc w:val="center"/>
              <w:rPr>
                <w:sz w:val="20"/>
                <w:szCs w:val="20"/>
              </w:rPr>
            </w:pPr>
            <w:r w:rsidRPr="00E354EC">
              <w:rPr>
                <w:sz w:val="20"/>
                <w:szCs w:val="20"/>
              </w:rPr>
              <w:t>X</w:t>
            </w:r>
          </w:p>
        </w:tc>
        <w:tc>
          <w:tcPr>
            <w:tcW w:w="1276" w:type="dxa"/>
            <w:noWrap/>
            <w:vAlign w:val="center"/>
            <w:hideMark/>
          </w:tcPr>
          <w:p w:rsidR="0088719A" w:rsidRPr="00E354EC" w:rsidRDefault="0088719A" w:rsidP="000929FD">
            <w:pPr>
              <w:jc w:val="center"/>
              <w:rPr>
                <w:sz w:val="20"/>
                <w:szCs w:val="20"/>
              </w:rPr>
            </w:pPr>
            <w:r w:rsidRPr="00E354EC">
              <w:rPr>
                <w:sz w:val="20"/>
                <w:szCs w:val="20"/>
              </w:rPr>
              <w:t>X</w:t>
            </w:r>
          </w:p>
        </w:tc>
        <w:tc>
          <w:tcPr>
            <w:tcW w:w="992" w:type="dxa"/>
            <w:noWrap/>
            <w:vAlign w:val="center"/>
            <w:hideMark/>
          </w:tcPr>
          <w:p w:rsidR="0088719A" w:rsidRPr="00E354EC" w:rsidRDefault="0088719A" w:rsidP="000929FD">
            <w:pPr>
              <w:jc w:val="center"/>
              <w:rPr>
                <w:sz w:val="20"/>
                <w:szCs w:val="20"/>
              </w:rPr>
            </w:pPr>
            <w:r w:rsidRPr="00E354EC">
              <w:rPr>
                <w:sz w:val="20"/>
                <w:szCs w:val="20"/>
              </w:rPr>
              <w:t>X</w:t>
            </w:r>
          </w:p>
        </w:tc>
        <w:tc>
          <w:tcPr>
            <w:tcW w:w="1266" w:type="dxa"/>
            <w:noWrap/>
            <w:vAlign w:val="center"/>
            <w:hideMark/>
          </w:tcPr>
          <w:p w:rsidR="0088719A" w:rsidRPr="00E354EC" w:rsidRDefault="0088719A" w:rsidP="000929FD">
            <w:pPr>
              <w:jc w:val="center"/>
              <w:rPr>
                <w:sz w:val="20"/>
                <w:szCs w:val="20"/>
              </w:rPr>
            </w:pPr>
            <w:r w:rsidRPr="00E354EC">
              <w:rPr>
                <w:sz w:val="20"/>
                <w:szCs w:val="20"/>
              </w:rPr>
              <w:t>X</w:t>
            </w:r>
          </w:p>
        </w:tc>
        <w:tc>
          <w:tcPr>
            <w:tcW w:w="1086" w:type="dxa"/>
            <w:noWrap/>
            <w:vAlign w:val="center"/>
            <w:hideMark/>
          </w:tcPr>
          <w:p w:rsidR="0088719A" w:rsidRPr="00E354EC" w:rsidRDefault="0088719A" w:rsidP="000929FD">
            <w:pPr>
              <w:jc w:val="center"/>
              <w:rPr>
                <w:sz w:val="20"/>
                <w:szCs w:val="20"/>
              </w:rPr>
            </w:pPr>
            <w:r w:rsidRPr="00E354EC">
              <w:rPr>
                <w:sz w:val="20"/>
                <w:szCs w:val="20"/>
              </w:rPr>
              <w:t>X</w:t>
            </w:r>
          </w:p>
        </w:tc>
      </w:tr>
      <w:tr w:rsidR="0088719A" w:rsidRPr="00E354EC" w:rsidTr="00777176">
        <w:tc>
          <w:tcPr>
            <w:tcW w:w="2325" w:type="dxa"/>
            <w:noWrap/>
            <w:tcMar>
              <w:left w:w="115" w:type="dxa"/>
              <w:right w:w="0" w:type="dxa"/>
            </w:tcMar>
            <w:hideMark/>
          </w:tcPr>
          <w:p w:rsidR="0088719A" w:rsidRPr="00DB78F1" w:rsidRDefault="0088719A" w:rsidP="000929FD">
            <w:pPr>
              <w:jc w:val="left"/>
              <w:rPr>
                <w:sz w:val="20"/>
                <w:szCs w:val="20"/>
                <w:lang w:val="fr-FR"/>
              </w:rPr>
            </w:pPr>
            <w:r w:rsidRPr="00DB78F1">
              <w:rPr>
                <w:sz w:val="20"/>
                <w:szCs w:val="20"/>
                <w:lang w:val="fr-FR"/>
              </w:rPr>
              <w:t>Nicaragua</w:t>
            </w:r>
          </w:p>
        </w:tc>
        <w:tc>
          <w:tcPr>
            <w:tcW w:w="1276" w:type="dxa"/>
            <w:noWrap/>
            <w:vAlign w:val="center"/>
            <w:hideMark/>
          </w:tcPr>
          <w:p w:rsidR="0088719A" w:rsidRPr="00E354EC" w:rsidRDefault="0088719A" w:rsidP="000929FD">
            <w:pPr>
              <w:jc w:val="center"/>
              <w:rPr>
                <w:sz w:val="20"/>
                <w:szCs w:val="20"/>
              </w:rPr>
            </w:pPr>
            <w:r w:rsidRPr="00E354EC">
              <w:rPr>
                <w:sz w:val="20"/>
                <w:szCs w:val="20"/>
              </w:rPr>
              <w:t>X</w:t>
            </w:r>
          </w:p>
        </w:tc>
        <w:tc>
          <w:tcPr>
            <w:tcW w:w="1134" w:type="dxa"/>
            <w:noWrap/>
            <w:vAlign w:val="center"/>
            <w:hideMark/>
          </w:tcPr>
          <w:p w:rsidR="0088719A" w:rsidRPr="00E354EC" w:rsidRDefault="0088719A" w:rsidP="000929FD">
            <w:pPr>
              <w:jc w:val="center"/>
              <w:rPr>
                <w:sz w:val="20"/>
                <w:szCs w:val="20"/>
              </w:rPr>
            </w:pP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0929FD">
            <w:pPr>
              <w:jc w:val="center"/>
              <w:rPr>
                <w:sz w:val="20"/>
                <w:szCs w:val="20"/>
              </w:rPr>
            </w:pPr>
          </w:p>
        </w:tc>
        <w:tc>
          <w:tcPr>
            <w:tcW w:w="1086" w:type="dxa"/>
            <w:noWrap/>
            <w:vAlign w:val="center"/>
            <w:hideMark/>
          </w:tcPr>
          <w:p w:rsidR="0088719A" w:rsidRPr="00E354EC" w:rsidRDefault="0088719A" w:rsidP="000929FD">
            <w:pPr>
              <w:jc w:val="center"/>
              <w:rPr>
                <w:sz w:val="20"/>
                <w:szCs w:val="20"/>
              </w:rPr>
            </w:pPr>
          </w:p>
        </w:tc>
      </w:tr>
      <w:tr w:rsidR="0088719A" w:rsidRPr="00E354EC" w:rsidTr="00777176">
        <w:tc>
          <w:tcPr>
            <w:tcW w:w="2325" w:type="dxa"/>
            <w:noWrap/>
            <w:tcMar>
              <w:left w:w="115" w:type="dxa"/>
              <w:right w:w="0" w:type="dxa"/>
            </w:tcMar>
            <w:hideMark/>
          </w:tcPr>
          <w:p w:rsidR="0088719A" w:rsidRPr="00DB78F1" w:rsidRDefault="0088719A" w:rsidP="000929FD">
            <w:pPr>
              <w:jc w:val="left"/>
              <w:rPr>
                <w:sz w:val="20"/>
                <w:szCs w:val="20"/>
                <w:lang w:val="fr-FR"/>
              </w:rPr>
            </w:pPr>
            <w:r w:rsidRPr="00DB78F1">
              <w:rPr>
                <w:sz w:val="20"/>
                <w:szCs w:val="20"/>
                <w:lang w:val="fr-FR"/>
              </w:rPr>
              <w:t>Pakistan</w:t>
            </w:r>
          </w:p>
        </w:tc>
        <w:tc>
          <w:tcPr>
            <w:tcW w:w="1276" w:type="dxa"/>
            <w:noWrap/>
            <w:vAlign w:val="center"/>
            <w:hideMark/>
          </w:tcPr>
          <w:p w:rsidR="0088719A" w:rsidRPr="00E354EC" w:rsidRDefault="0088719A" w:rsidP="000929FD">
            <w:pPr>
              <w:jc w:val="center"/>
              <w:rPr>
                <w:sz w:val="20"/>
                <w:szCs w:val="20"/>
              </w:rPr>
            </w:pPr>
          </w:p>
        </w:tc>
        <w:tc>
          <w:tcPr>
            <w:tcW w:w="1134" w:type="dxa"/>
            <w:noWrap/>
            <w:vAlign w:val="center"/>
            <w:hideMark/>
          </w:tcPr>
          <w:p w:rsidR="0088719A" w:rsidRPr="00E354EC" w:rsidRDefault="0088719A" w:rsidP="000929FD">
            <w:pPr>
              <w:jc w:val="center"/>
              <w:rPr>
                <w:sz w:val="20"/>
                <w:szCs w:val="20"/>
              </w:rPr>
            </w:pPr>
            <w:r w:rsidRPr="00E354EC">
              <w:rPr>
                <w:sz w:val="20"/>
                <w:szCs w:val="20"/>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0929FD">
            <w:pPr>
              <w:jc w:val="center"/>
              <w:rPr>
                <w:sz w:val="20"/>
                <w:szCs w:val="20"/>
              </w:rPr>
            </w:pPr>
          </w:p>
        </w:tc>
        <w:tc>
          <w:tcPr>
            <w:tcW w:w="1086" w:type="dxa"/>
            <w:noWrap/>
            <w:vAlign w:val="center"/>
            <w:hideMark/>
          </w:tcPr>
          <w:p w:rsidR="0088719A" w:rsidRPr="00E354EC" w:rsidRDefault="0088719A" w:rsidP="000929FD">
            <w:pPr>
              <w:jc w:val="center"/>
              <w:rPr>
                <w:sz w:val="20"/>
                <w:szCs w:val="20"/>
              </w:rPr>
            </w:pPr>
            <w:r w:rsidRPr="00E354EC">
              <w:rPr>
                <w:sz w:val="20"/>
                <w:szCs w:val="20"/>
              </w:rPr>
              <w:t>X</w:t>
            </w:r>
          </w:p>
        </w:tc>
      </w:tr>
      <w:tr w:rsidR="0088719A" w:rsidRPr="00E354EC" w:rsidTr="00777176">
        <w:tc>
          <w:tcPr>
            <w:tcW w:w="2325" w:type="dxa"/>
            <w:noWrap/>
            <w:tcMar>
              <w:left w:w="115" w:type="dxa"/>
              <w:right w:w="0" w:type="dxa"/>
            </w:tcMar>
            <w:hideMark/>
          </w:tcPr>
          <w:p w:rsidR="0088719A" w:rsidRPr="00DB78F1" w:rsidRDefault="0088719A" w:rsidP="00DB78F1">
            <w:pPr>
              <w:jc w:val="left"/>
              <w:rPr>
                <w:sz w:val="20"/>
                <w:szCs w:val="20"/>
                <w:lang w:val="fr-FR"/>
              </w:rPr>
            </w:pPr>
            <w:r w:rsidRPr="00DB78F1">
              <w:rPr>
                <w:sz w:val="20"/>
                <w:szCs w:val="20"/>
                <w:lang w:val="fr-FR"/>
              </w:rPr>
              <w:t>P</w:t>
            </w:r>
            <w:r>
              <w:rPr>
                <w:sz w:val="20"/>
                <w:szCs w:val="20"/>
                <w:lang w:val="fr-FR"/>
              </w:rPr>
              <w:t>érou</w:t>
            </w:r>
          </w:p>
        </w:tc>
        <w:tc>
          <w:tcPr>
            <w:tcW w:w="1276" w:type="dxa"/>
            <w:noWrap/>
            <w:vAlign w:val="center"/>
            <w:hideMark/>
          </w:tcPr>
          <w:p w:rsidR="0088719A" w:rsidRPr="00E354EC" w:rsidRDefault="0088719A" w:rsidP="000929FD">
            <w:pPr>
              <w:jc w:val="center"/>
              <w:rPr>
                <w:sz w:val="20"/>
                <w:szCs w:val="20"/>
              </w:rPr>
            </w:pPr>
            <w:r w:rsidRPr="00E354EC">
              <w:rPr>
                <w:sz w:val="20"/>
                <w:szCs w:val="20"/>
              </w:rPr>
              <w:t>X</w:t>
            </w:r>
          </w:p>
        </w:tc>
        <w:tc>
          <w:tcPr>
            <w:tcW w:w="1134" w:type="dxa"/>
            <w:noWrap/>
            <w:vAlign w:val="center"/>
            <w:hideMark/>
          </w:tcPr>
          <w:p w:rsidR="0088719A" w:rsidRPr="00E354EC" w:rsidRDefault="0088719A" w:rsidP="000929FD">
            <w:pPr>
              <w:jc w:val="center"/>
              <w:rPr>
                <w:sz w:val="20"/>
                <w:szCs w:val="20"/>
              </w:rPr>
            </w:pP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0929FD">
            <w:pPr>
              <w:jc w:val="center"/>
              <w:rPr>
                <w:sz w:val="20"/>
                <w:szCs w:val="20"/>
              </w:rPr>
            </w:pPr>
            <w:r w:rsidRPr="00E354EC">
              <w:rPr>
                <w:sz w:val="20"/>
                <w:szCs w:val="20"/>
              </w:rPr>
              <w:t>X</w:t>
            </w:r>
          </w:p>
        </w:tc>
        <w:tc>
          <w:tcPr>
            <w:tcW w:w="1086" w:type="dxa"/>
            <w:noWrap/>
            <w:vAlign w:val="center"/>
            <w:hideMark/>
          </w:tcPr>
          <w:p w:rsidR="0088719A" w:rsidRPr="00E354EC" w:rsidRDefault="0088719A" w:rsidP="000929FD">
            <w:pPr>
              <w:jc w:val="center"/>
              <w:rPr>
                <w:sz w:val="20"/>
                <w:szCs w:val="20"/>
              </w:rPr>
            </w:pPr>
          </w:p>
        </w:tc>
      </w:tr>
      <w:tr w:rsidR="0088719A" w:rsidRPr="00E354EC" w:rsidTr="00777176">
        <w:tc>
          <w:tcPr>
            <w:tcW w:w="2325" w:type="dxa"/>
            <w:noWrap/>
            <w:tcMar>
              <w:left w:w="115" w:type="dxa"/>
              <w:right w:w="0" w:type="dxa"/>
            </w:tcMar>
            <w:hideMark/>
          </w:tcPr>
          <w:p w:rsidR="0088719A" w:rsidRPr="00DB78F1" w:rsidRDefault="0088719A" w:rsidP="00DB78F1">
            <w:pPr>
              <w:jc w:val="left"/>
              <w:rPr>
                <w:sz w:val="20"/>
                <w:szCs w:val="20"/>
                <w:lang w:val="fr-FR"/>
              </w:rPr>
            </w:pPr>
            <w:r w:rsidRPr="00DB78F1">
              <w:rPr>
                <w:sz w:val="20"/>
                <w:szCs w:val="20"/>
                <w:lang w:val="fr-FR"/>
              </w:rPr>
              <w:t xml:space="preserve">Philippines </w:t>
            </w:r>
          </w:p>
        </w:tc>
        <w:tc>
          <w:tcPr>
            <w:tcW w:w="1276" w:type="dxa"/>
            <w:noWrap/>
            <w:vAlign w:val="center"/>
            <w:hideMark/>
          </w:tcPr>
          <w:p w:rsidR="0088719A" w:rsidRPr="00E354EC" w:rsidRDefault="0088719A" w:rsidP="000929FD">
            <w:pPr>
              <w:jc w:val="center"/>
              <w:rPr>
                <w:sz w:val="20"/>
                <w:szCs w:val="20"/>
              </w:rPr>
            </w:pPr>
            <w:r w:rsidRPr="00E354EC">
              <w:rPr>
                <w:sz w:val="20"/>
                <w:szCs w:val="20"/>
              </w:rPr>
              <w:t>X</w:t>
            </w:r>
          </w:p>
        </w:tc>
        <w:tc>
          <w:tcPr>
            <w:tcW w:w="1134" w:type="dxa"/>
            <w:noWrap/>
            <w:vAlign w:val="center"/>
            <w:hideMark/>
          </w:tcPr>
          <w:p w:rsidR="0088719A" w:rsidRPr="00E354EC" w:rsidRDefault="0088719A" w:rsidP="000929FD">
            <w:pPr>
              <w:jc w:val="center"/>
              <w:rPr>
                <w:sz w:val="20"/>
                <w:szCs w:val="20"/>
              </w:rPr>
            </w:pPr>
            <w:r w:rsidRPr="00E354EC">
              <w:rPr>
                <w:sz w:val="20"/>
                <w:szCs w:val="20"/>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0929FD">
            <w:pPr>
              <w:jc w:val="center"/>
              <w:rPr>
                <w:sz w:val="20"/>
                <w:szCs w:val="20"/>
              </w:rPr>
            </w:pPr>
          </w:p>
        </w:tc>
        <w:tc>
          <w:tcPr>
            <w:tcW w:w="1086" w:type="dxa"/>
            <w:noWrap/>
            <w:vAlign w:val="center"/>
            <w:hideMark/>
          </w:tcPr>
          <w:p w:rsidR="0088719A" w:rsidRPr="00E354EC" w:rsidRDefault="0088719A" w:rsidP="000929FD">
            <w:pPr>
              <w:jc w:val="center"/>
              <w:rPr>
                <w:sz w:val="20"/>
                <w:szCs w:val="20"/>
              </w:rPr>
            </w:pPr>
            <w:r w:rsidRPr="00E354EC">
              <w:rPr>
                <w:sz w:val="20"/>
                <w:szCs w:val="20"/>
              </w:rPr>
              <w:t>X</w:t>
            </w:r>
          </w:p>
        </w:tc>
      </w:tr>
      <w:tr w:rsidR="0088719A" w:rsidRPr="00E354EC" w:rsidTr="00777176">
        <w:tc>
          <w:tcPr>
            <w:tcW w:w="2325" w:type="dxa"/>
            <w:noWrap/>
            <w:tcMar>
              <w:left w:w="115" w:type="dxa"/>
              <w:right w:w="0" w:type="dxa"/>
            </w:tcMar>
            <w:hideMark/>
          </w:tcPr>
          <w:p w:rsidR="0088719A" w:rsidRPr="00E354EC" w:rsidRDefault="0088719A" w:rsidP="002A237B">
            <w:pPr>
              <w:jc w:val="left"/>
              <w:rPr>
                <w:sz w:val="20"/>
                <w:szCs w:val="20"/>
              </w:rPr>
            </w:pPr>
            <w:r w:rsidRPr="00DB78F1">
              <w:rPr>
                <w:sz w:val="20"/>
                <w:szCs w:val="20"/>
                <w:lang w:val="fr-FR"/>
              </w:rPr>
              <w:t>République Dominicaine</w:t>
            </w:r>
          </w:p>
        </w:tc>
        <w:tc>
          <w:tcPr>
            <w:tcW w:w="1276" w:type="dxa"/>
            <w:noWrap/>
            <w:vAlign w:val="center"/>
            <w:hideMark/>
          </w:tcPr>
          <w:p w:rsidR="0088719A" w:rsidRPr="00E354EC" w:rsidRDefault="0088719A" w:rsidP="002A237B">
            <w:pPr>
              <w:jc w:val="center"/>
              <w:rPr>
                <w:sz w:val="20"/>
                <w:szCs w:val="20"/>
              </w:rPr>
            </w:pPr>
            <w:r w:rsidRPr="00DB78F1">
              <w:rPr>
                <w:sz w:val="20"/>
                <w:szCs w:val="20"/>
                <w:lang w:val="fr-FR"/>
              </w:rPr>
              <w:t>X</w:t>
            </w:r>
          </w:p>
        </w:tc>
        <w:tc>
          <w:tcPr>
            <w:tcW w:w="1134" w:type="dxa"/>
            <w:noWrap/>
            <w:vAlign w:val="center"/>
            <w:hideMark/>
          </w:tcPr>
          <w:p w:rsidR="0088719A" w:rsidRPr="00E354EC" w:rsidRDefault="0088719A" w:rsidP="000929FD">
            <w:pPr>
              <w:jc w:val="center"/>
              <w:rPr>
                <w:sz w:val="20"/>
                <w:szCs w:val="20"/>
              </w:rPr>
            </w:pP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0929FD">
            <w:pPr>
              <w:jc w:val="center"/>
              <w:rPr>
                <w:sz w:val="20"/>
                <w:szCs w:val="20"/>
              </w:rPr>
            </w:pPr>
          </w:p>
        </w:tc>
        <w:tc>
          <w:tcPr>
            <w:tcW w:w="1086" w:type="dxa"/>
            <w:noWrap/>
            <w:vAlign w:val="center"/>
            <w:hideMark/>
          </w:tcPr>
          <w:p w:rsidR="0088719A" w:rsidRPr="00E354EC" w:rsidRDefault="0088719A" w:rsidP="000929FD">
            <w:pPr>
              <w:jc w:val="center"/>
              <w:rPr>
                <w:sz w:val="20"/>
                <w:szCs w:val="20"/>
              </w:rPr>
            </w:pPr>
          </w:p>
        </w:tc>
      </w:tr>
      <w:tr w:rsidR="0088719A" w:rsidRPr="00E354EC" w:rsidTr="00777176">
        <w:tc>
          <w:tcPr>
            <w:tcW w:w="2325" w:type="dxa"/>
            <w:noWrap/>
            <w:tcMar>
              <w:left w:w="115" w:type="dxa"/>
              <w:right w:w="0" w:type="dxa"/>
            </w:tcMar>
          </w:tcPr>
          <w:p w:rsidR="0088719A" w:rsidRPr="00C51E0A" w:rsidRDefault="0088719A" w:rsidP="002A237B">
            <w:pPr>
              <w:jc w:val="left"/>
              <w:rPr>
                <w:sz w:val="20"/>
                <w:szCs w:val="20"/>
                <w:lang w:val="fr-FR"/>
              </w:rPr>
            </w:pPr>
            <w:r w:rsidRPr="00DB78F1">
              <w:rPr>
                <w:sz w:val="20"/>
                <w:szCs w:val="20"/>
                <w:lang w:val="fr-FR"/>
              </w:rPr>
              <w:t>République populaire démocratique de Corée</w:t>
            </w:r>
          </w:p>
        </w:tc>
        <w:tc>
          <w:tcPr>
            <w:tcW w:w="1276" w:type="dxa"/>
            <w:noWrap/>
            <w:vAlign w:val="center"/>
          </w:tcPr>
          <w:p w:rsidR="0088719A" w:rsidRPr="00E354EC" w:rsidRDefault="0088719A" w:rsidP="002A237B">
            <w:pPr>
              <w:jc w:val="center"/>
              <w:rPr>
                <w:sz w:val="20"/>
                <w:szCs w:val="20"/>
              </w:rPr>
            </w:pPr>
            <w:r w:rsidRPr="00DB78F1">
              <w:rPr>
                <w:sz w:val="20"/>
                <w:szCs w:val="20"/>
                <w:lang w:val="fr-FR"/>
              </w:rPr>
              <w:t>X</w:t>
            </w:r>
          </w:p>
        </w:tc>
        <w:tc>
          <w:tcPr>
            <w:tcW w:w="1134" w:type="dxa"/>
            <w:noWrap/>
            <w:vAlign w:val="center"/>
          </w:tcPr>
          <w:p w:rsidR="0088719A" w:rsidRPr="00E354EC" w:rsidRDefault="0088719A" w:rsidP="000929FD">
            <w:pPr>
              <w:jc w:val="center"/>
              <w:rPr>
                <w:sz w:val="20"/>
                <w:szCs w:val="20"/>
              </w:rPr>
            </w:pPr>
          </w:p>
        </w:tc>
        <w:tc>
          <w:tcPr>
            <w:tcW w:w="1276" w:type="dxa"/>
            <w:noWrap/>
            <w:vAlign w:val="center"/>
          </w:tcPr>
          <w:p w:rsidR="0088719A" w:rsidRPr="00E354EC" w:rsidRDefault="0088719A" w:rsidP="002A237B">
            <w:pPr>
              <w:jc w:val="center"/>
              <w:rPr>
                <w:sz w:val="20"/>
                <w:szCs w:val="20"/>
              </w:rPr>
            </w:pPr>
            <w:r w:rsidRPr="00DB78F1">
              <w:rPr>
                <w:sz w:val="20"/>
                <w:szCs w:val="20"/>
                <w:lang w:val="fr-FR"/>
              </w:rPr>
              <w:t>X</w:t>
            </w:r>
          </w:p>
        </w:tc>
        <w:tc>
          <w:tcPr>
            <w:tcW w:w="992" w:type="dxa"/>
            <w:noWrap/>
            <w:vAlign w:val="center"/>
          </w:tcPr>
          <w:p w:rsidR="0088719A" w:rsidRPr="00E354EC" w:rsidRDefault="0088719A" w:rsidP="002A237B">
            <w:pPr>
              <w:jc w:val="center"/>
              <w:rPr>
                <w:sz w:val="20"/>
                <w:szCs w:val="20"/>
              </w:rPr>
            </w:pPr>
            <w:r w:rsidRPr="00DB78F1">
              <w:rPr>
                <w:sz w:val="20"/>
                <w:szCs w:val="20"/>
                <w:lang w:val="fr-FR"/>
              </w:rPr>
              <w:t>X</w:t>
            </w:r>
          </w:p>
        </w:tc>
        <w:tc>
          <w:tcPr>
            <w:tcW w:w="1266" w:type="dxa"/>
            <w:noWrap/>
            <w:vAlign w:val="center"/>
          </w:tcPr>
          <w:p w:rsidR="0088719A" w:rsidRPr="00E354EC" w:rsidRDefault="0088719A" w:rsidP="002A237B">
            <w:pPr>
              <w:jc w:val="center"/>
              <w:rPr>
                <w:sz w:val="20"/>
                <w:szCs w:val="20"/>
              </w:rPr>
            </w:pPr>
            <w:r w:rsidRPr="00DB78F1">
              <w:rPr>
                <w:sz w:val="20"/>
                <w:szCs w:val="20"/>
                <w:lang w:val="fr-FR"/>
              </w:rPr>
              <w:t>X</w:t>
            </w:r>
          </w:p>
        </w:tc>
        <w:tc>
          <w:tcPr>
            <w:tcW w:w="1086" w:type="dxa"/>
            <w:noWrap/>
            <w:vAlign w:val="center"/>
          </w:tcPr>
          <w:p w:rsidR="0088719A" w:rsidRPr="00E354EC" w:rsidRDefault="0088719A" w:rsidP="002A237B">
            <w:pPr>
              <w:jc w:val="center"/>
              <w:rPr>
                <w:sz w:val="20"/>
                <w:szCs w:val="20"/>
              </w:rPr>
            </w:pPr>
            <w:r w:rsidRPr="00DB78F1">
              <w:rPr>
                <w:sz w:val="20"/>
                <w:szCs w:val="20"/>
                <w:lang w:val="fr-FR"/>
              </w:rPr>
              <w:t>X</w:t>
            </w:r>
          </w:p>
        </w:tc>
      </w:tr>
      <w:tr w:rsidR="0088719A" w:rsidRPr="00E354EC" w:rsidTr="00777176">
        <w:tc>
          <w:tcPr>
            <w:tcW w:w="2325" w:type="dxa"/>
            <w:noWrap/>
            <w:tcMar>
              <w:left w:w="115" w:type="dxa"/>
              <w:right w:w="0" w:type="dxa"/>
            </w:tcMar>
            <w:hideMark/>
          </w:tcPr>
          <w:p w:rsidR="0088719A" w:rsidRPr="00DB78F1" w:rsidRDefault="0088719A" w:rsidP="00DB78F1">
            <w:pPr>
              <w:jc w:val="left"/>
              <w:rPr>
                <w:sz w:val="20"/>
                <w:szCs w:val="20"/>
                <w:lang w:val="fr-FR"/>
              </w:rPr>
            </w:pPr>
            <w:r w:rsidRPr="00DB78F1">
              <w:rPr>
                <w:sz w:val="20"/>
                <w:szCs w:val="20"/>
                <w:lang w:val="fr-FR"/>
              </w:rPr>
              <w:t>Saint</w:t>
            </w:r>
            <w:r>
              <w:rPr>
                <w:sz w:val="20"/>
                <w:szCs w:val="20"/>
                <w:lang w:val="fr-FR"/>
              </w:rPr>
              <w:t>e</w:t>
            </w:r>
            <w:r w:rsidRPr="00DB78F1">
              <w:rPr>
                <w:sz w:val="20"/>
                <w:szCs w:val="20"/>
                <w:lang w:val="fr-FR"/>
              </w:rPr>
              <w:t xml:space="preserve"> Luci</w:t>
            </w:r>
            <w:r>
              <w:rPr>
                <w:sz w:val="20"/>
                <w:szCs w:val="20"/>
                <w:lang w:val="fr-FR"/>
              </w:rPr>
              <w:t>e</w:t>
            </w:r>
          </w:p>
        </w:tc>
        <w:tc>
          <w:tcPr>
            <w:tcW w:w="1276" w:type="dxa"/>
            <w:noWrap/>
            <w:vAlign w:val="center"/>
            <w:hideMark/>
          </w:tcPr>
          <w:p w:rsidR="0088719A" w:rsidRPr="00E354EC" w:rsidRDefault="0088719A" w:rsidP="000929FD">
            <w:pPr>
              <w:jc w:val="center"/>
              <w:rPr>
                <w:sz w:val="20"/>
                <w:szCs w:val="20"/>
              </w:rPr>
            </w:pPr>
            <w:r w:rsidRPr="00E354EC">
              <w:rPr>
                <w:sz w:val="20"/>
                <w:szCs w:val="20"/>
              </w:rPr>
              <w:t>X</w:t>
            </w:r>
          </w:p>
        </w:tc>
        <w:tc>
          <w:tcPr>
            <w:tcW w:w="1134" w:type="dxa"/>
            <w:noWrap/>
            <w:vAlign w:val="center"/>
            <w:hideMark/>
          </w:tcPr>
          <w:p w:rsidR="0088719A" w:rsidRPr="00E354EC" w:rsidRDefault="0088719A" w:rsidP="000929FD">
            <w:pPr>
              <w:jc w:val="center"/>
              <w:rPr>
                <w:sz w:val="20"/>
                <w:szCs w:val="20"/>
              </w:rPr>
            </w:pPr>
            <w:r w:rsidRPr="00E354EC">
              <w:rPr>
                <w:sz w:val="20"/>
                <w:szCs w:val="20"/>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0929FD">
            <w:pPr>
              <w:jc w:val="center"/>
              <w:rPr>
                <w:sz w:val="20"/>
                <w:szCs w:val="20"/>
              </w:rPr>
            </w:pPr>
          </w:p>
        </w:tc>
        <w:tc>
          <w:tcPr>
            <w:tcW w:w="1086" w:type="dxa"/>
            <w:noWrap/>
            <w:vAlign w:val="center"/>
            <w:hideMark/>
          </w:tcPr>
          <w:p w:rsidR="0088719A" w:rsidRPr="00E354EC" w:rsidRDefault="0088719A" w:rsidP="000929FD">
            <w:pPr>
              <w:jc w:val="center"/>
              <w:rPr>
                <w:sz w:val="20"/>
                <w:szCs w:val="20"/>
              </w:rPr>
            </w:pPr>
          </w:p>
        </w:tc>
      </w:tr>
      <w:tr w:rsidR="0088719A" w:rsidRPr="00E354EC" w:rsidTr="00777176">
        <w:tc>
          <w:tcPr>
            <w:tcW w:w="2325" w:type="dxa"/>
            <w:noWrap/>
            <w:tcMar>
              <w:left w:w="115" w:type="dxa"/>
              <w:right w:w="0" w:type="dxa"/>
            </w:tcMar>
            <w:hideMark/>
          </w:tcPr>
          <w:p w:rsidR="0088719A" w:rsidRPr="00DB78F1" w:rsidRDefault="0088719A" w:rsidP="000929FD">
            <w:pPr>
              <w:jc w:val="left"/>
              <w:rPr>
                <w:sz w:val="20"/>
                <w:szCs w:val="20"/>
                <w:lang w:val="fr-FR"/>
              </w:rPr>
            </w:pPr>
            <w:r w:rsidRPr="00DB78F1">
              <w:rPr>
                <w:sz w:val="20"/>
                <w:szCs w:val="20"/>
                <w:lang w:val="fr-FR"/>
              </w:rPr>
              <w:t>Thaïlande</w:t>
            </w:r>
          </w:p>
        </w:tc>
        <w:tc>
          <w:tcPr>
            <w:tcW w:w="1276" w:type="dxa"/>
            <w:noWrap/>
            <w:vAlign w:val="center"/>
            <w:hideMark/>
          </w:tcPr>
          <w:p w:rsidR="0088719A" w:rsidRPr="00E354EC" w:rsidRDefault="0088719A" w:rsidP="000929FD">
            <w:pPr>
              <w:jc w:val="center"/>
              <w:rPr>
                <w:sz w:val="20"/>
                <w:szCs w:val="20"/>
              </w:rPr>
            </w:pPr>
            <w:r w:rsidRPr="00E354EC">
              <w:rPr>
                <w:sz w:val="20"/>
                <w:szCs w:val="20"/>
              </w:rPr>
              <w:t>X</w:t>
            </w:r>
          </w:p>
        </w:tc>
        <w:tc>
          <w:tcPr>
            <w:tcW w:w="1134" w:type="dxa"/>
            <w:noWrap/>
            <w:vAlign w:val="center"/>
            <w:hideMark/>
          </w:tcPr>
          <w:p w:rsidR="0088719A" w:rsidRPr="00E354EC" w:rsidRDefault="0088719A" w:rsidP="000929FD">
            <w:pPr>
              <w:jc w:val="center"/>
              <w:rPr>
                <w:sz w:val="20"/>
                <w:szCs w:val="20"/>
              </w:rPr>
            </w:pPr>
            <w:r w:rsidRPr="00E354EC">
              <w:rPr>
                <w:sz w:val="20"/>
                <w:szCs w:val="20"/>
              </w:rPr>
              <w:t>X</w:t>
            </w:r>
          </w:p>
        </w:tc>
        <w:tc>
          <w:tcPr>
            <w:tcW w:w="1276" w:type="dxa"/>
            <w:noWrap/>
            <w:vAlign w:val="center"/>
            <w:hideMark/>
          </w:tcPr>
          <w:p w:rsidR="0088719A" w:rsidRPr="00E354EC" w:rsidRDefault="0088719A" w:rsidP="000929FD">
            <w:pPr>
              <w:jc w:val="center"/>
              <w:rPr>
                <w:sz w:val="20"/>
                <w:szCs w:val="20"/>
              </w:rPr>
            </w:pPr>
            <w:r w:rsidRPr="00E354EC">
              <w:rPr>
                <w:sz w:val="20"/>
                <w:szCs w:val="20"/>
              </w:rPr>
              <w:t>X</w:t>
            </w:r>
          </w:p>
        </w:tc>
        <w:tc>
          <w:tcPr>
            <w:tcW w:w="992" w:type="dxa"/>
            <w:noWrap/>
            <w:vAlign w:val="center"/>
            <w:hideMark/>
          </w:tcPr>
          <w:p w:rsidR="0088719A" w:rsidRPr="00E354EC" w:rsidRDefault="0088719A" w:rsidP="000929FD">
            <w:pPr>
              <w:jc w:val="center"/>
              <w:rPr>
                <w:sz w:val="20"/>
                <w:szCs w:val="20"/>
              </w:rPr>
            </w:pPr>
            <w:r w:rsidRPr="00E354EC">
              <w:rPr>
                <w:sz w:val="20"/>
                <w:szCs w:val="20"/>
              </w:rPr>
              <w:t>X</w:t>
            </w:r>
          </w:p>
        </w:tc>
        <w:tc>
          <w:tcPr>
            <w:tcW w:w="1266" w:type="dxa"/>
            <w:noWrap/>
            <w:vAlign w:val="center"/>
            <w:hideMark/>
          </w:tcPr>
          <w:p w:rsidR="0088719A" w:rsidRPr="00E354EC" w:rsidRDefault="0088719A" w:rsidP="000929FD">
            <w:pPr>
              <w:jc w:val="center"/>
              <w:rPr>
                <w:sz w:val="20"/>
                <w:szCs w:val="20"/>
              </w:rPr>
            </w:pPr>
            <w:r w:rsidRPr="00E354EC">
              <w:rPr>
                <w:sz w:val="20"/>
                <w:szCs w:val="20"/>
              </w:rPr>
              <w:t>X</w:t>
            </w:r>
          </w:p>
        </w:tc>
        <w:tc>
          <w:tcPr>
            <w:tcW w:w="1086" w:type="dxa"/>
            <w:noWrap/>
            <w:vAlign w:val="center"/>
            <w:hideMark/>
          </w:tcPr>
          <w:p w:rsidR="0088719A" w:rsidRPr="00E354EC" w:rsidRDefault="0088719A" w:rsidP="000929FD">
            <w:pPr>
              <w:jc w:val="center"/>
              <w:rPr>
                <w:sz w:val="20"/>
                <w:szCs w:val="20"/>
              </w:rPr>
            </w:pPr>
            <w:r w:rsidRPr="00E354EC">
              <w:rPr>
                <w:sz w:val="20"/>
                <w:szCs w:val="20"/>
              </w:rPr>
              <w:t>X</w:t>
            </w:r>
          </w:p>
        </w:tc>
      </w:tr>
      <w:tr w:rsidR="0088719A" w:rsidRPr="00E354EC" w:rsidTr="00777176">
        <w:tc>
          <w:tcPr>
            <w:tcW w:w="2325" w:type="dxa"/>
            <w:noWrap/>
            <w:tcMar>
              <w:left w:w="115" w:type="dxa"/>
              <w:right w:w="0" w:type="dxa"/>
            </w:tcMar>
            <w:hideMark/>
          </w:tcPr>
          <w:p w:rsidR="0088719A" w:rsidRPr="00DB78F1" w:rsidRDefault="0088719A" w:rsidP="0088719A">
            <w:pPr>
              <w:jc w:val="left"/>
              <w:rPr>
                <w:sz w:val="20"/>
                <w:szCs w:val="20"/>
                <w:lang w:val="fr-FR"/>
              </w:rPr>
            </w:pPr>
            <w:r w:rsidRPr="00DB78F1">
              <w:rPr>
                <w:sz w:val="20"/>
                <w:szCs w:val="20"/>
                <w:lang w:val="fr-FR"/>
              </w:rPr>
              <w:t>Tunisie</w:t>
            </w:r>
          </w:p>
        </w:tc>
        <w:tc>
          <w:tcPr>
            <w:tcW w:w="1276" w:type="dxa"/>
            <w:noWrap/>
            <w:vAlign w:val="center"/>
            <w:hideMark/>
          </w:tcPr>
          <w:p w:rsidR="0088719A" w:rsidRPr="00E354EC" w:rsidRDefault="0088719A" w:rsidP="000929FD">
            <w:pPr>
              <w:jc w:val="center"/>
              <w:rPr>
                <w:sz w:val="20"/>
                <w:szCs w:val="20"/>
              </w:rPr>
            </w:pPr>
            <w:r w:rsidRPr="00E354EC">
              <w:rPr>
                <w:sz w:val="20"/>
                <w:szCs w:val="20"/>
              </w:rPr>
              <w:t>X</w:t>
            </w:r>
          </w:p>
        </w:tc>
        <w:tc>
          <w:tcPr>
            <w:tcW w:w="1134" w:type="dxa"/>
            <w:noWrap/>
            <w:vAlign w:val="center"/>
            <w:hideMark/>
          </w:tcPr>
          <w:p w:rsidR="0088719A" w:rsidRPr="00E354EC" w:rsidRDefault="0088719A" w:rsidP="000929FD">
            <w:pPr>
              <w:jc w:val="center"/>
              <w:rPr>
                <w:sz w:val="20"/>
                <w:szCs w:val="20"/>
              </w:rPr>
            </w:pPr>
            <w:r w:rsidRPr="00E354EC">
              <w:rPr>
                <w:sz w:val="20"/>
                <w:szCs w:val="20"/>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0929FD">
            <w:pPr>
              <w:jc w:val="center"/>
              <w:rPr>
                <w:sz w:val="20"/>
                <w:szCs w:val="20"/>
              </w:rPr>
            </w:pPr>
            <w:r w:rsidRPr="00E354EC">
              <w:rPr>
                <w:sz w:val="20"/>
                <w:szCs w:val="20"/>
              </w:rPr>
              <w:t>X</w:t>
            </w:r>
          </w:p>
        </w:tc>
        <w:tc>
          <w:tcPr>
            <w:tcW w:w="1086" w:type="dxa"/>
            <w:noWrap/>
            <w:vAlign w:val="center"/>
            <w:hideMark/>
          </w:tcPr>
          <w:p w:rsidR="0088719A" w:rsidRPr="00E354EC" w:rsidRDefault="0088719A" w:rsidP="000929FD">
            <w:pPr>
              <w:jc w:val="center"/>
              <w:rPr>
                <w:sz w:val="20"/>
                <w:szCs w:val="20"/>
              </w:rPr>
            </w:pPr>
            <w:r w:rsidRPr="00E354EC">
              <w:rPr>
                <w:sz w:val="20"/>
                <w:szCs w:val="20"/>
              </w:rPr>
              <w:t>X</w:t>
            </w:r>
          </w:p>
        </w:tc>
      </w:tr>
      <w:tr w:rsidR="0088719A" w:rsidRPr="00E354EC" w:rsidTr="00777176">
        <w:tc>
          <w:tcPr>
            <w:tcW w:w="2325" w:type="dxa"/>
            <w:noWrap/>
            <w:tcMar>
              <w:left w:w="115" w:type="dxa"/>
              <w:right w:w="0" w:type="dxa"/>
            </w:tcMar>
            <w:hideMark/>
          </w:tcPr>
          <w:p w:rsidR="0088719A" w:rsidRPr="00DB78F1" w:rsidRDefault="0088719A" w:rsidP="00DB78F1">
            <w:pPr>
              <w:jc w:val="left"/>
              <w:rPr>
                <w:sz w:val="20"/>
                <w:szCs w:val="20"/>
                <w:lang w:val="fr-FR"/>
              </w:rPr>
            </w:pPr>
            <w:r w:rsidRPr="00DB78F1">
              <w:rPr>
                <w:sz w:val="20"/>
                <w:szCs w:val="20"/>
                <w:lang w:val="fr-FR"/>
              </w:rPr>
              <w:lastRenderedPageBreak/>
              <w:t>Tur</w:t>
            </w:r>
            <w:r>
              <w:rPr>
                <w:sz w:val="20"/>
                <w:szCs w:val="20"/>
                <w:lang w:val="fr-FR"/>
              </w:rPr>
              <w:t>quie</w:t>
            </w:r>
          </w:p>
        </w:tc>
        <w:tc>
          <w:tcPr>
            <w:tcW w:w="1276" w:type="dxa"/>
            <w:noWrap/>
            <w:vAlign w:val="center"/>
            <w:hideMark/>
          </w:tcPr>
          <w:p w:rsidR="0088719A" w:rsidRPr="00E354EC" w:rsidRDefault="0088719A" w:rsidP="000929FD">
            <w:pPr>
              <w:jc w:val="center"/>
              <w:rPr>
                <w:sz w:val="20"/>
                <w:szCs w:val="20"/>
              </w:rPr>
            </w:pPr>
            <w:r w:rsidRPr="00E354EC">
              <w:rPr>
                <w:sz w:val="20"/>
                <w:szCs w:val="20"/>
              </w:rPr>
              <w:t>X</w:t>
            </w:r>
          </w:p>
        </w:tc>
        <w:tc>
          <w:tcPr>
            <w:tcW w:w="1134" w:type="dxa"/>
            <w:noWrap/>
            <w:vAlign w:val="center"/>
            <w:hideMark/>
          </w:tcPr>
          <w:p w:rsidR="0088719A" w:rsidRPr="00E354EC" w:rsidRDefault="0088719A" w:rsidP="000929FD">
            <w:pPr>
              <w:jc w:val="center"/>
              <w:rPr>
                <w:sz w:val="20"/>
                <w:szCs w:val="20"/>
              </w:rPr>
            </w:pPr>
            <w:r w:rsidRPr="00E354EC">
              <w:rPr>
                <w:sz w:val="20"/>
                <w:szCs w:val="20"/>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0929FD">
            <w:pPr>
              <w:jc w:val="center"/>
              <w:rPr>
                <w:sz w:val="20"/>
                <w:szCs w:val="20"/>
              </w:rPr>
            </w:pPr>
            <w:r w:rsidRPr="00E354EC">
              <w:rPr>
                <w:sz w:val="20"/>
                <w:szCs w:val="20"/>
              </w:rPr>
              <w:t>X</w:t>
            </w:r>
          </w:p>
        </w:tc>
        <w:tc>
          <w:tcPr>
            <w:tcW w:w="1086" w:type="dxa"/>
            <w:noWrap/>
            <w:vAlign w:val="center"/>
            <w:hideMark/>
          </w:tcPr>
          <w:p w:rsidR="0088719A" w:rsidRPr="00E354EC" w:rsidRDefault="0088719A" w:rsidP="000929FD">
            <w:pPr>
              <w:jc w:val="center"/>
              <w:rPr>
                <w:sz w:val="20"/>
                <w:szCs w:val="20"/>
              </w:rPr>
            </w:pPr>
            <w:r w:rsidRPr="00E354EC">
              <w:rPr>
                <w:sz w:val="20"/>
                <w:szCs w:val="20"/>
              </w:rPr>
              <w:t>X</w:t>
            </w:r>
          </w:p>
        </w:tc>
      </w:tr>
      <w:tr w:rsidR="0088719A" w:rsidRPr="00E354EC" w:rsidTr="00777176">
        <w:tc>
          <w:tcPr>
            <w:tcW w:w="2325" w:type="dxa"/>
            <w:noWrap/>
            <w:tcMar>
              <w:left w:w="115" w:type="dxa"/>
              <w:right w:w="0" w:type="dxa"/>
            </w:tcMar>
            <w:hideMark/>
          </w:tcPr>
          <w:p w:rsidR="0088719A" w:rsidRPr="00DB78F1" w:rsidRDefault="0088719A" w:rsidP="000929FD">
            <w:pPr>
              <w:jc w:val="left"/>
              <w:rPr>
                <w:sz w:val="20"/>
                <w:szCs w:val="20"/>
                <w:lang w:val="fr-FR"/>
              </w:rPr>
            </w:pPr>
            <w:r w:rsidRPr="00DB78F1">
              <w:rPr>
                <w:sz w:val="20"/>
                <w:szCs w:val="20"/>
                <w:lang w:val="fr-FR"/>
              </w:rPr>
              <w:t>Tuvalu</w:t>
            </w:r>
          </w:p>
        </w:tc>
        <w:tc>
          <w:tcPr>
            <w:tcW w:w="1276" w:type="dxa"/>
            <w:noWrap/>
            <w:vAlign w:val="center"/>
            <w:hideMark/>
          </w:tcPr>
          <w:p w:rsidR="0088719A" w:rsidRPr="00E354EC" w:rsidRDefault="0088719A" w:rsidP="000929FD">
            <w:pPr>
              <w:jc w:val="center"/>
              <w:rPr>
                <w:sz w:val="20"/>
                <w:szCs w:val="20"/>
              </w:rPr>
            </w:pPr>
            <w:r w:rsidRPr="00E354EC">
              <w:rPr>
                <w:sz w:val="20"/>
                <w:szCs w:val="20"/>
              </w:rPr>
              <w:t>X</w:t>
            </w:r>
          </w:p>
        </w:tc>
        <w:tc>
          <w:tcPr>
            <w:tcW w:w="1134" w:type="dxa"/>
            <w:noWrap/>
            <w:vAlign w:val="center"/>
            <w:hideMark/>
          </w:tcPr>
          <w:p w:rsidR="0088719A" w:rsidRPr="00E354EC" w:rsidRDefault="0088719A" w:rsidP="000929FD">
            <w:pPr>
              <w:jc w:val="center"/>
              <w:rPr>
                <w:sz w:val="20"/>
                <w:szCs w:val="20"/>
              </w:rPr>
            </w:pPr>
            <w:r w:rsidRPr="00E354EC">
              <w:rPr>
                <w:sz w:val="20"/>
                <w:szCs w:val="20"/>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0929FD">
            <w:pPr>
              <w:jc w:val="center"/>
              <w:rPr>
                <w:sz w:val="20"/>
                <w:szCs w:val="20"/>
              </w:rPr>
            </w:pPr>
            <w:r w:rsidRPr="00E354EC">
              <w:rPr>
                <w:sz w:val="20"/>
                <w:szCs w:val="20"/>
              </w:rPr>
              <w:t>X</w:t>
            </w:r>
          </w:p>
        </w:tc>
        <w:tc>
          <w:tcPr>
            <w:tcW w:w="1086" w:type="dxa"/>
            <w:noWrap/>
            <w:vAlign w:val="center"/>
            <w:hideMark/>
          </w:tcPr>
          <w:p w:rsidR="0088719A" w:rsidRPr="00E354EC" w:rsidRDefault="0088719A" w:rsidP="000929FD">
            <w:pPr>
              <w:jc w:val="center"/>
              <w:rPr>
                <w:sz w:val="20"/>
                <w:szCs w:val="20"/>
              </w:rPr>
            </w:pPr>
            <w:r w:rsidRPr="00E354EC">
              <w:rPr>
                <w:sz w:val="20"/>
                <w:szCs w:val="20"/>
              </w:rPr>
              <w:t>X</w:t>
            </w:r>
          </w:p>
        </w:tc>
      </w:tr>
      <w:tr w:rsidR="0088719A" w:rsidRPr="00E354EC" w:rsidTr="00777176">
        <w:tc>
          <w:tcPr>
            <w:tcW w:w="2325" w:type="dxa"/>
            <w:noWrap/>
            <w:tcMar>
              <w:left w:w="115" w:type="dxa"/>
              <w:right w:w="0" w:type="dxa"/>
            </w:tcMar>
            <w:hideMark/>
          </w:tcPr>
          <w:p w:rsidR="0088719A" w:rsidRPr="00DB78F1" w:rsidRDefault="0088719A" w:rsidP="000929FD">
            <w:pPr>
              <w:jc w:val="left"/>
              <w:rPr>
                <w:sz w:val="20"/>
                <w:szCs w:val="20"/>
                <w:lang w:val="fr-FR"/>
              </w:rPr>
            </w:pPr>
            <w:r w:rsidRPr="00DB78F1">
              <w:rPr>
                <w:sz w:val="20"/>
                <w:szCs w:val="20"/>
                <w:lang w:val="fr-FR"/>
              </w:rPr>
              <w:t>Uruguay</w:t>
            </w:r>
          </w:p>
        </w:tc>
        <w:tc>
          <w:tcPr>
            <w:tcW w:w="1276" w:type="dxa"/>
            <w:noWrap/>
            <w:vAlign w:val="center"/>
            <w:hideMark/>
          </w:tcPr>
          <w:p w:rsidR="0088719A" w:rsidRPr="00E354EC" w:rsidRDefault="0088719A" w:rsidP="000929FD">
            <w:pPr>
              <w:jc w:val="center"/>
              <w:rPr>
                <w:sz w:val="20"/>
                <w:szCs w:val="20"/>
              </w:rPr>
            </w:pPr>
            <w:r w:rsidRPr="00E354EC">
              <w:rPr>
                <w:sz w:val="20"/>
                <w:szCs w:val="20"/>
              </w:rPr>
              <w:t>X</w:t>
            </w:r>
          </w:p>
        </w:tc>
        <w:tc>
          <w:tcPr>
            <w:tcW w:w="1134" w:type="dxa"/>
            <w:noWrap/>
            <w:vAlign w:val="center"/>
            <w:hideMark/>
          </w:tcPr>
          <w:p w:rsidR="0088719A" w:rsidRPr="00E354EC" w:rsidRDefault="0088719A" w:rsidP="000929FD">
            <w:pPr>
              <w:jc w:val="center"/>
              <w:rPr>
                <w:sz w:val="20"/>
                <w:szCs w:val="20"/>
              </w:rPr>
            </w:pPr>
            <w:r w:rsidRPr="00E354EC">
              <w:rPr>
                <w:sz w:val="20"/>
                <w:szCs w:val="20"/>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0929FD">
            <w:pPr>
              <w:jc w:val="center"/>
              <w:rPr>
                <w:sz w:val="20"/>
                <w:szCs w:val="20"/>
              </w:rPr>
            </w:pPr>
          </w:p>
        </w:tc>
        <w:tc>
          <w:tcPr>
            <w:tcW w:w="1086" w:type="dxa"/>
            <w:noWrap/>
            <w:vAlign w:val="center"/>
            <w:hideMark/>
          </w:tcPr>
          <w:p w:rsidR="0088719A" w:rsidRPr="00E354EC" w:rsidRDefault="0088719A" w:rsidP="000929FD">
            <w:pPr>
              <w:jc w:val="center"/>
              <w:rPr>
                <w:sz w:val="20"/>
                <w:szCs w:val="20"/>
              </w:rPr>
            </w:pPr>
          </w:p>
        </w:tc>
      </w:tr>
      <w:tr w:rsidR="0088719A" w:rsidRPr="00E354EC" w:rsidTr="00777176">
        <w:tc>
          <w:tcPr>
            <w:tcW w:w="2325" w:type="dxa"/>
            <w:noWrap/>
            <w:tcMar>
              <w:left w:w="115" w:type="dxa"/>
              <w:right w:w="0" w:type="dxa"/>
            </w:tcMar>
            <w:hideMark/>
          </w:tcPr>
          <w:p w:rsidR="0088719A" w:rsidRPr="00DB78F1" w:rsidRDefault="0088719A" w:rsidP="00172846">
            <w:pPr>
              <w:jc w:val="left"/>
              <w:rPr>
                <w:sz w:val="20"/>
                <w:szCs w:val="20"/>
                <w:lang w:val="fr-FR"/>
              </w:rPr>
            </w:pPr>
            <w:r w:rsidRPr="00DB78F1">
              <w:rPr>
                <w:sz w:val="20"/>
                <w:szCs w:val="20"/>
                <w:lang w:val="fr-FR"/>
              </w:rPr>
              <w:t>Venezuela (</w:t>
            </w:r>
            <w:r>
              <w:rPr>
                <w:sz w:val="20"/>
                <w:szCs w:val="20"/>
                <w:lang w:val="fr-FR"/>
              </w:rPr>
              <w:t>Ré</w:t>
            </w:r>
            <w:r w:rsidRPr="00DB78F1">
              <w:rPr>
                <w:sz w:val="20"/>
                <w:szCs w:val="20"/>
                <w:lang w:val="fr-FR"/>
              </w:rPr>
              <w:t>publi</w:t>
            </w:r>
            <w:r>
              <w:rPr>
                <w:sz w:val="20"/>
                <w:szCs w:val="20"/>
                <w:lang w:val="fr-FR"/>
              </w:rPr>
              <w:t>que bolivarienne</w:t>
            </w:r>
            <w:r w:rsidRPr="00DB78F1">
              <w:rPr>
                <w:sz w:val="20"/>
                <w:szCs w:val="20"/>
                <w:lang w:val="fr-FR"/>
              </w:rPr>
              <w:t>)</w:t>
            </w:r>
          </w:p>
        </w:tc>
        <w:tc>
          <w:tcPr>
            <w:tcW w:w="1276" w:type="dxa"/>
            <w:noWrap/>
            <w:vAlign w:val="center"/>
            <w:hideMark/>
          </w:tcPr>
          <w:p w:rsidR="0088719A" w:rsidRPr="00E354EC" w:rsidRDefault="0088719A" w:rsidP="000929FD">
            <w:pPr>
              <w:jc w:val="center"/>
              <w:rPr>
                <w:sz w:val="20"/>
                <w:szCs w:val="20"/>
              </w:rPr>
            </w:pPr>
            <w:r w:rsidRPr="00E354EC">
              <w:rPr>
                <w:sz w:val="20"/>
                <w:szCs w:val="20"/>
              </w:rPr>
              <w:t>X</w:t>
            </w:r>
          </w:p>
        </w:tc>
        <w:tc>
          <w:tcPr>
            <w:tcW w:w="1134" w:type="dxa"/>
            <w:noWrap/>
            <w:vAlign w:val="center"/>
            <w:hideMark/>
          </w:tcPr>
          <w:p w:rsidR="0088719A" w:rsidRPr="00E354EC" w:rsidRDefault="0088719A" w:rsidP="000929FD">
            <w:pPr>
              <w:jc w:val="center"/>
              <w:rPr>
                <w:sz w:val="20"/>
                <w:szCs w:val="20"/>
              </w:rPr>
            </w:pPr>
            <w:r w:rsidRPr="00E354EC">
              <w:rPr>
                <w:sz w:val="20"/>
                <w:szCs w:val="20"/>
              </w:rPr>
              <w:t>X</w:t>
            </w:r>
          </w:p>
        </w:tc>
        <w:tc>
          <w:tcPr>
            <w:tcW w:w="1276" w:type="dxa"/>
            <w:noWrap/>
            <w:vAlign w:val="center"/>
            <w:hideMark/>
          </w:tcPr>
          <w:p w:rsidR="0088719A" w:rsidRPr="00E354EC" w:rsidRDefault="0088719A" w:rsidP="000929FD">
            <w:pPr>
              <w:jc w:val="center"/>
              <w:rPr>
                <w:sz w:val="20"/>
                <w:szCs w:val="20"/>
              </w:rPr>
            </w:pPr>
          </w:p>
        </w:tc>
        <w:tc>
          <w:tcPr>
            <w:tcW w:w="992" w:type="dxa"/>
            <w:noWrap/>
            <w:vAlign w:val="center"/>
            <w:hideMark/>
          </w:tcPr>
          <w:p w:rsidR="0088719A" w:rsidRPr="00E354EC" w:rsidRDefault="0088719A" w:rsidP="000929FD">
            <w:pPr>
              <w:jc w:val="center"/>
              <w:rPr>
                <w:sz w:val="20"/>
                <w:szCs w:val="20"/>
              </w:rPr>
            </w:pPr>
          </w:p>
        </w:tc>
        <w:tc>
          <w:tcPr>
            <w:tcW w:w="1266" w:type="dxa"/>
            <w:noWrap/>
            <w:vAlign w:val="center"/>
            <w:hideMark/>
          </w:tcPr>
          <w:p w:rsidR="0088719A" w:rsidRPr="00E354EC" w:rsidRDefault="0088719A" w:rsidP="000929FD">
            <w:pPr>
              <w:jc w:val="center"/>
              <w:rPr>
                <w:sz w:val="20"/>
                <w:szCs w:val="20"/>
              </w:rPr>
            </w:pPr>
          </w:p>
        </w:tc>
        <w:tc>
          <w:tcPr>
            <w:tcW w:w="1086" w:type="dxa"/>
            <w:noWrap/>
            <w:vAlign w:val="center"/>
            <w:hideMark/>
          </w:tcPr>
          <w:p w:rsidR="0088719A" w:rsidRPr="00E354EC" w:rsidRDefault="0088719A" w:rsidP="000929FD">
            <w:pPr>
              <w:jc w:val="center"/>
              <w:rPr>
                <w:sz w:val="20"/>
                <w:szCs w:val="20"/>
              </w:rPr>
            </w:pPr>
          </w:p>
        </w:tc>
      </w:tr>
      <w:tr w:rsidR="0088719A" w:rsidRPr="00E354EC" w:rsidTr="00777176">
        <w:tc>
          <w:tcPr>
            <w:tcW w:w="2325" w:type="dxa"/>
            <w:noWrap/>
            <w:tcMar>
              <w:left w:w="115" w:type="dxa"/>
              <w:right w:w="0" w:type="dxa"/>
            </w:tcMar>
            <w:hideMark/>
          </w:tcPr>
          <w:p w:rsidR="0088719A" w:rsidRPr="00DB78F1" w:rsidRDefault="0088719A" w:rsidP="000929FD">
            <w:pPr>
              <w:jc w:val="left"/>
              <w:rPr>
                <w:sz w:val="20"/>
                <w:szCs w:val="20"/>
                <w:lang w:val="fr-FR"/>
              </w:rPr>
            </w:pPr>
            <w:r w:rsidRPr="00DB78F1">
              <w:rPr>
                <w:sz w:val="20"/>
                <w:szCs w:val="20"/>
                <w:lang w:val="fr-FR"/>
              </w:rPr>
              <w:t>Viet Nam</w:t>
            </w:r>
          </w:p>
        </w:tc>
        <w:tc>
          <w:tcPr>
            <w:tcW w:w="1276" w:type="dxa"/>
            <w:noWrap/>
            <w:vAlign w:val="center"/>
            <w:hideMark/>
          </w:tcPr>
          <w:p w:rsidR="0088719A" w:rsidRPr="00E354EC" w:rsidRDefault="0088719A" w:rsidP="000929FD">
            <w:pPr>
              <w:jc w:val="center"/>
              <w:rPr>
                <w:sz w:val="20"/>
                <w:szCs w:val="20"/>
              </w:rPr>
            </w:pPr>
            <w:r w:rsidRPr="00E354EC">
              <w:rPr>
                <w:sz w:val="20"/>
                <w:szCs w:val="20"/>
              </w:rPr>
              <w:t>X</w:t>
            </w:r>
          </w:p>
        </w:tc>
        <w:tc>
          <w:tcPr>
            <w:tcW w:w="1134" w:type="dxa"/>
            <w:noWrap/>
            <w:vAlign w:val="center"/>
            <w:hideMark/>
          </w:tcPr>
          <w:p w:rsidR="0088719A" w:rsidRPr="00E354EC" w:rsidRDefault="0088719A" w:rsidP="000929FD">
            <w:pPr>
              <w:jc w:val="center"/>
              <w:rPr>
                <w:sz w:val="20"/>
                <w:szCs w:val="20"/>
              </w:rPr>
            </w:pPr>
            <w:r w:rsidRPr="00E354EC">
              <w:rPr>
                <w:sz w:val="20"/>
                <w:szCs w:val="20"/>
              </w:rPr>
              <w:t>X</w:t>
            </w:r>
          </w:p>
        </w:tc>
        <w:tc>
          <w:tcPr>
            <w:tcW w:w="1276" w:type="dxa"/>
            <w:noWrap/>
            <w:vAlign w:val="center"/>
            <w:hideMark/>
          </w:tcPr>
          <w:p w:rsidR="0088719A" w:rsidRPr="00E354EC" w:rsidRDefault="0088719A" w:rsidP="000929FD">
            <w:pPr>
              <w:jc w:val="center"/>
              <w:rPr>
                <w:sz w:val="20"/>
                <w:szCs w:val="20"/>
              </w:rPr>
            </w:pPr>
            <w:r w:rsidRPr="00E354EC">
              <w:rPr>
                <w:sz w:val="20"/>
                <w:szCs w:val="20"/>
              </w:rPr>
              <w:t>X</w:t>
            </w:r>
          </w:p>
        </w:tc>
        <w:tc>
          <w:tcPr>
            <w:tcW w:w="992" w:type="dxa"/>
            <w:noWrap/>
            <w:vAlign w:val="center"/>
            <w:hideMark/>
          </w:tcPr>
          <w:p w:rsidR="0088719A" w:rsidRPr="00E354EC" w:rsidRDefault="0088719A" w:rsidP="000929FD">
            <w:pPr>
              <w:jc w:val="center"/>
              <w:rPr>
                <w:sz w:val="20"/>
                <w:szCs w:val="20"/>
              </w:rPr>
            </w:pPr>
            <w:r w:rsidRPr="00E354EC">
              <w:rPr>
                <w:sz w:val="20"/>
                <w:szCs w:val="20"/>
              </w:rPr>
              <w:t>X</w:t>
            </w:r>
          </w:p>
        </w:tc>
        <w:tc>
          <w:tcPr>
            <w:tcW w:w="1266" w:type="dxa"/>
            <w:noWrap/>
            <w:vAlign w:val="center"/>
            <w:hideMark/>
          </w:tcPr>
          <w:p w:rsidR="0088719A" w:rsidRPr="00E354EC" w:rsidRDefault="0088719A" w:rsidP="000929FD">
            <w:pPr>
              <w:jc w:val="center"/>
              <w:rPr>
                <w:sz w:val="20"/>
                <w:szCs w:val="20"/>
              </w:rPr>
            </w:pPr>
          </w:p>
        </w:tc>
        <w:tc>
          <w:tcPr>
            <w:tcW w:w="1086" w:type="dxa"/>
            <w:noWrap/>
            <w:vAlign w:val="center"/>
            <w:hideMark/>
          </w:tcPr>
          <w:p w:rsidR="0088719A" w:rsidRPr="00E354EC" w:rsidRDefault="0088719A" w:rsidP="000929FD">
            <w:pPr>
              <w:jc w:val="center"/>
              <w:rPr>
                <w:sz w:val="20"/>
                <w:szCs w:val="20"/>
              </w:rPr>
            </w:pPr>
            <w:r w:rsidRPr="00E354EC">
              <w:rPr>
                <w:sz w:val="20"/>
                <w:szCs w:val="20"/>
              </w:rPr>
              <w:t>X</w:t>
            </w:r>
          </w:p>
        </w:tc>
      </w:tr>
    </w:tbl>
    <w:p w:rsidR="00EB56BA" w:rsidRPr="00621392" w:rsidRDefault="00EB56BA" w:rsidP="00EB56BA">
      <w:pPr>
        <w:pStyle w:val="Heading1"/>
        <w:numPr>
          <w:ilvl w:val="0"/>
          <w:numId w:val="0"/>
        </w:numPr>
        <w:spacing w:after="0"/>
      </w:pPr>
    </w:p>
    <w:p w:rsidR="00EB56BA" w:rsidRPr="00C51E0A" w:rsidRDefault="00F8662D" w:rsidP="00F8662D">
      <w:pPr>
        <w:pStyle w:val="Heading1"/>
        <w:rPr>
          <w:lang w:val="fr-FR"/>
        </w:rPr>
      </w:pPr>
      <w:r w:rsidRPr="00F8662D">
        <w:rPr>
          <w:lang w:val="fr-FR"/>
        </w:rPr>
        <w:t>A</w:t>
      </w:r>
      <w:r w:rsidR="00C96091">
        <w:rPr>
          <w:lang w:val="fr-FR"/>
        </w:rPr>
        <w:t>u</w:t>
      </w:r>
      <w:r w:rsidRPr="00F8662D">
        <w:rPr>
          <w:lang w:val="fr-FR"/>
        </w:rPr>
        <w:t xml:space="preserve"> cours de la mise en œuvre de l</w:t>
      </w:r>
      <w:r w:rsidR="003E6D2D">
        <w:rPr>
          <w:lang w:val="fr-FR"/>
        </w:rPr>
        <w:t>’</w:t>
      </w:r>
      <w:r w:rsidRPr="00F8662D">
        <w:rPr>
          <w:lang w:val="fr-FR"/>
        </w:rPr>
        <w:t xml:space="preserve">élimination des HCFC, le Comité exécutif a recherché des moyens de stimuler </w:t>
      </w:r>
      <w:r w:rsidR="0088719A">
        <w:rPr>
          <w:lang w:val="fr-FR"/>
        </w:rPr>
        <w:t>l’amélioration des</w:t>
      </w:r>
      <w:r w:rsidRPr="00F8662D">
        <w:rPr>
          <w:lang w:val="fr-FR"/>
        </w:rPr>
        <w:t xml:space="preserve"> rendements énergétiques dans le secteur des équipements de réfrigération, de climatisation et de pompes à chaleur.</w:t>
      </w:r>
      <w:r w:rsidR="00EB56BA" w:rsidRPr="00C51E0A">
        <w:rPr>
          <w:lang w:val="fr-FR"/>
        </w:rPr>
        <w:t xml:space="preserve"> </w:t>
      </w:r>
      <w:r w:rsidRPr="00F8662D">
        <w:rPr>
          <w:lang w:val="fr-FR"/>
        </w:rPr>
        <w:t>En particulier, le Comité a approuvé 14 projets de démonstration se rapportant à l</w:t>
      </w:r>
      <w:r w:rsidR="003E6D2D">
        <w:rPr>
          <w:lang w:val="fr-FR"/>
        </w:rPr>
        <w:t>’</w:t>
      </w:r>
      <w:r w:rsidRPr="00F8662D">
        <w:rPr>
          <w:lang w:val="fr-FR"/>
        </w:rPr>
        <w:t>introduction de solutions de remplacement à faible PRP des HCFC dans différents secteurs.</w:t>
      </w:r>
      <w:r w:rsidR="00EB56BA" w:rsidRPr="00C51E0A">
        <w:rPr>
          <w:lang w:val="fr-FR"/>
        </w:rPr>
        <w:t xml:space="preserve"> </w:t>
      </w:r>
      <w:r w:rsidRPr="00F8662D">
        <w:rPr>
          <w:lang w:val="fr-FR"/>
        </w:rPr>
        <w:t>La promotion des améliorations des rendements énergétiques et les rapports</w:t>
      </w:r>
      <w:r w:rsidR="0088719A">
        <w:rPr>
          <w:lang w:val="fr-FR"/>
        </w:rPr>
        <w:t xml:space="preserve"> sur</w:t>
      </w:r>
      <w:r w:rsidRPr="00F8662D">
        <w:rPr>
          <w:lang w:val="fr-FR"/>
        </w:rPr>
        <w:t xml:space="preserve"> les performances d</w:t>
      </w:r>
      <w:r w:rsidR="003E6D2D">
        <w:rPr>
          <w:lang w:val="fr-FR"/>
        </w:rPr>
        <w:t>’</w:t>
      </w:r>
      <w:r w:rsidRPr="00F8662D">
        <w:rPr>
          <w:lang w:val="fr-FR"/>
        </w:rPr>
        <w:t>efficacité énergétique</w:t>
      </w:r>
      <w:r w:rsidR="003E6D2D">
        <w:rPr>
          <w:lang w:val="fr-FR"/>
        </w:rPr>
        <w:t xml:space="preserve"> </w:t>
      </w:r>
      <w:r w:rsidRPr="00F8662D">
        <w:rPr>
          <w:lang w:val="fr-FR"/>
        </w:rPr>
        <w:t>réalisées étaient parmi les critères servant à sélectionner les projets en vue de leur financement.</w:t>
      </w:r>
      <w:r w:rsidR="00EB56BA" w:rsidRPr="00C51E0A">
        <w:rPr>
          <w:lang w:val="fr-FR"/>
        </w:rPr>
        <w:t xml:space="preserve"> </w:t>
      </w:r>
    </w:p>
    <w:p w:rsidR="00EB56BA" w:rsidRPr="00C51E0A" w:rsidRDefault="00F8662D" w:rsidP="005E5E8A">
      <w:pPr>
        <w:pStyle w:val="Heading1"/>
        <w:rPr>
          <w:lang w:val="fr-FR"/>
        </w:rPr>
      </w:pPr>
      <w:r w:rsidRPr="00F8662D">
        <w:rPr>
          <w:lang w:val="fr-FR"/>
        </w:rPr>
        <w:t>Les considérations relatives à l</w:t>
      </w:r>
      <w:r w:rsidR="003E6D2D">
        <w:rPr>
          <w:lang w:val="fr-FR"/>
        </w:rPr>
        <w:t>’</w:t>
      </w:r>
      <w:r w:rsidRPr="00F8662D">
        <w:rPr>
          <w:lang w:val="fr-FR"/>
        </w:rPr>
        <w:t>efficacité énergétique ont influencé l</w:t>
      </w:r>
      <w:r w:rsidR="003E6D2D">
        <w:rPr>
          <w:lang w:val="fr-FR"/>
        </w:rPr>
        <w:t>’</w:t>
      </w:r>
      <w:r w:rsidRPr="00F8662D">
        <w:rPr>
          <w:lang w:val="fr-FR"/>
        </w:rPr>
        <w:t>approbation de la reconversion du secteur de la fabrication des équipements de climatisation dans deux pays.</w:t>
      </w:r>
      <w:r w:rsidR="00EB56BA" w:rsidRPr="00C51E0A">
        <w:rPr>
          <w:lang w:val="fr-FR"/>
        </w:rPr>
        <w:t xml:space="preserve"> </w:t>
      </w:r>
      <w:r w:rsidRPr="0088379C">
        <w:rPr>
          <w:lang w:val="fr-FR"/>
        </w:rPr>
        <w:t>Le PGEH pour la Jordanie a inclus une condition stipulant que le plan du secteur de la climatisation incorporerait des politiques et des approches techniques visant à améliorer l</w:t>
      </w:r>
      <w:r w:rsidR="003E6D2D">
        <w:rPr>
          <w:lang w:val="fr-FR"/>
        </w:rPr>
        <w:t>’</w:t>
      </w:r>
      <w:r w:rsidRPr="0088379C">
        <w:rPr>
          <w:lang w:val="fr-FR"/>
        </w:rPr>
        <w:t>efficacité énergétique des équipements de climatisation résidentielle</w:t>
      </w:r>
      <w:r w:rsidR="003E6D2D">
        <w:rPr>
          <w:lang w:val="fr-FR"/>
        </w:rPr>
        <w:t xml:space="preserve"> </w:t>
      </w:r>
      <w:r w:rsidR="0088379C" w:rsidRPr="0088379C">
        <w:rPr>
          <w:lang w:val="fr-FR"/>
        </w:rPr>
        <w:t>afin de</w:t>
      </w:r>
      <w:r w:rsidR="005F0DA1">
        <w:rPr>
          <w:lang w:val="fr-FR"/>
        </w:rPr>
        <w:t xml:space="preserve"> </w:t>
      </w:r>
      <w:r w:rsidR="0088379C" w:rsidRPr="0088379C">
        <w:rPr>
          <w:lang w:val="fr-FR"/>
        </w:rPr>
        <w:t>compenser les incidences sur le climat</w:t>
      </w:r>
      <w:r w:rsidRPr="0088379C">
        <w:rPr>
          <w:lang w:val="fr-FR"/>
        </w:rPr>
        <w:t xml:space="preserve"> </w:t>
      </w:r>
      <w:r w:rsidR="0088379C" w:rsidRPr="0088379C">
        <w:rPr>
          <w:lang w:val="fr-FR"/>
        </w:rPr>
        <w:t xml:space="preserve">accompagnant </w:t>
      </w:r>
      <w:r w:rsidRPr="0088379C">
        <w:rPr>
          <w:lang w:val="fr-FR"/>
        </w:rPr>
        <w:t>l</w:t>
      </w:r>
      <w:r w:rsidR="003E6D2D">
        <w:rPr>
          <w:lang w:val="fr-FR"/>
        </w:rPr>
        <w:t>’</w:t>
      </w:r>
      <w:r w:rsidRPr="0088379C">
        <w:rPr>
          <w:lang w:val="fr-FR"/>
        </w:rPr>
        <w:t xml:space="preserve">introduction de la technologie </w:t>
      </w:r>
      <w:r w:rsidR="0088379C" w:rsidRPr="0088379C">
        <w:rPr>
          <w:lang w:val="fr-FR"/>
        </w:rPr>
        <w:t xml:space="preserve">à base </w:t>
      </w:r>
      <w:r w:rsidRPr="0088379C">
        <w:rPr>
          <w:lang w:val="fr-FR"/>
        </w:rPr>
        <w:t>de R-410A.</w:t>
      </w:r>
      <w:r w:rsidR="00EB56BA" w:rsidRPr="00C51E0A">
        <w:rPr>
          <w:lang w:val="fr-FR"/>
        </w:rPr>
        <w:t xml:space="preserve"> </w:t>
      </w:r>
      <w:r w:rsidR="0088379C" w:rsidRPr="005E5E8A">
        <w:rPr>
          <w:lang w:val="fr-FR"/>
        </w:rPr>
        <w:t>Le PGEH pour la Thaïlande a inclus une assistance technique destinée à soutenir la promotion de l</w:t>
      </w:r>
      <w:r w:rsidR="003E6D2D">
        <w:rPr>
          <w:lang w:val="fr-FR"/>
        </w:rPr>
        <w:t>’</w:t>
      </w:r>
      <w:r w:rsidR="0088379C" w:rsidRPr="005E5E8A">
        <w:rPr>
          <w:lang w:val="fr-FR"/>
        </w:rPr>
        <w:t>adoption de produits écoénergétiques au-delà de ceux qui faisaient partie de la reconversion</w:t>
      </w:r>
      <w:r w:rsidR="005E5E8A" w:rsidRPr="005E5E8A">
        <w:rPr>
          <w:lang w:val="fr-FR"/>
        </w:rPr>
        <w:t xml:space="preserve"> et à</w:t>
      </w:r>
      <w:r w:rsidR="0088379C" w:rsidRPr="005E5E8A">
        <w:rPr>
          <w:lang w:val="fr-FR"/>
        </w:rPr>
        <w:t xml:space="preserve"> soutenir les initiatives d</w:t>
      </w:r>
      <w:r w:rsidR="003E6D2D">
        <w:rPr>
          <w:lang w:val="fr-FR"/>
        </w:rPr>
        <w:t>’</w:t>
      </w:r>
      <w:r w:rsidR="0088379C" w:rsidRPr="005E5E8A">
        <w:rPr>
          <w:lang w:val="fr-FR"/>
        </w:rPr>
        <w:t>efficacité énergétique dans les bâtiments.</w:t>
      </w:r>
      <w:r w:rsidR="00EB56BA" w:rsidRPr="00C51E0A">
        <w:rPr>
          <w:lang w:val="fr-FR"/>
        </w:rPr>
        <w:t xml:space="preserve"> </w:t>
      </w:r>
    </w:p>
    <w:p w:rsidR="00EB56BA" w:rsidRPr="00C51E0A" w:rsidRDefault="005E5E8A" w:rsidP="005E5E8A">
      <w:pPr>
        <w:pStyle w:val="Heading1"/>
        <w:rPr>
          <w:lang w:val="fr-FR"/>
        </w:rPr>
      </w:pPr>
      <w:r w:rsidRPr="005E5E8A">
        <w:rPr>
          <w:lang w:val="fr-FR"/>
        </w:rPr>
        <w:t>Bien que les politiques d</w:t>
      </w:r>
      <w:r w:rsidR="003E6D2D">
        <w:rPr>
          <w:lang w:val="fr-FR"/>
        </w:rPr>
        <w:t>’</w:t>
      </w:r>
      <w:r w:rsidRPr="005E5E8A">
        <w:rPr>
          <w:lang w:val="fr-FR"/>
        </w:rPr>
        <w:t>efficacité énergétique ne fassent pas partie des responsabilités incombant aux UNO, lors de sa 82</w:t>
      </w:r>
      <w:r w:rsidRPr="005E5E8A">
        <w:rPr>
          <w:vertAlign w:val="superscript"/>
          <w:lang w:val="fr-FR"/>
        </w:rPr>
        <w:t>e</w:t>
      </w:r>
      <w:r w:rsidRPr="005E5E8A">
        <w:rPr>
          <w:lang w:val="fr-FR"/>
        </w:rPr>
        <w:t xml:space="preserve"> réunion (en décembre 2018), le Comité exécutif a offert une marge de manœuvre aux Parties visées à l</w:t>
      </w:r>
      <w:r w:rsidR="003E6D2D">
        <w:rPr>
          <w:lang w:val="fr-FR"/>
        </w:rPr>
        <w:t>’</w:t>
      </w:r>
      <w:r w:rsidRPr="005E5E8A">
        <w:rPr>
          <w:lang w:val="fr-FR"/>
        </w:rPr>
        <w:t xml:space="preserve">article 5 engagées dans </w:t>
      </w:r>
      <w:r w:rsidR="005F0DA1">
        <w:rPr>
          <w:lang w:val="fr-FR"/>
        </w:rPr>
        <w:t xml:space="preserve">des </w:t>
      </w:r>
      <w:r w:rsidRPr="005E5E8A">
        <w:rPr>
          <w:lang w:val="fr-FR"/>
        </w:rPr>
        <w:t>activités de facilitation</w:t>
      </w:r>
      <w:r w:rsidRPr="005E5E8A">
        <w:rPr>
          <w:rStyle w:val="FootnoteReference"/>
          <w:lang w:val="fr-FR"/>
        </w:rPr>
        <w:footnoteReference w:id="30"/>
      </w:r>
      <w:r w:rsidRPr="005E5E8A">
        <w:rPr>
          <w:lang w:val="fr-FR"/>
        </w:rPr>
        <w:t xml:space="preserve"> pour leur permettre d</w:t>
      </w:r>
      <w:r w:rsidR="003E6D2D">
        <w:rPr>
          <w:lang w:val="fr-FR"/>
        </w:rPr>
        <w:t>’</w:t>
      </w:r>
      <w:r w:rsidRPr="005E5E8A">
        <w:rPr>
          <w:lang w:val="fr-FR"/>
        </w:rPr>
        <w:t>entreprendre les activités suivantes en utilisant le financement déjà approuvé</w:t>
      </w:r>
      <w:r w:rsidR="00EB56BA">
        <w:rPr>
          <w:rStyle w:val="FootnoteReference"/>
        </w:rPr>
        <w:footnoteReference w:id="31"/>
      </w:r>
      <w:r w:rsidR="005F0DA1">
        <w:rPr>
          <w:lang w:val="fr-FR"/>
        </w:rPr>
        <w:t> :</w:t>
      </w:r>
      <w:r w:rsidR="00EB56BA" w:rsidRPr="00C51E0A">
        <w:rPr>
          <w:lang w:val="fr-FR"/>
        </w:rPr>
        <w:t xml:space="preserve"> </w:t>
      </w:r>
    </w:p>
    <w:p w:rsidR="00EB56BA" w:rsidRPr="00C51E0A" w:rsidRDefault="005E5E8A" w:rsidP="005E5E8A">
      <w:pPr>
        <w:pStyle w:val="Heading2"/>
        <w:rPr>
          <w:lang w:val="fr-FR"/>
        </w:rPr>
      </w:pPr>
      <w:r w:rsidRPr="005E5E8A">
        <w:rPr>
          <w:lang w:val="fr-FR"/>
        </w:rPr>
        <w:t xml:space="preserve">Élaboration et application des politiques et des réglementations pour éviter </w:t>
      </w:r>
      <w:r w:rsidR="005F0DA1">
        <w:rPr>
          <w:lang w:val="fr-FR"/>
        </w:rPr>
        <w:t xml:space="preserve">l’entrée sur le </w:t>
      </w:r>
      <w:r w:rsidRPr="005E5E8A">
        <w:rPr>
          <w:lang w:val="fr-FR"/>
        </w:rPr>
        <w:t xml:space="preserve">marché </w:t>
      </w:r>
      <w:r w:rsidR="005F0DA1">
        <w:rPr>
          <w:lang w:val="fr-FR"/>
        </w:rPr>
        <w:t>d’</w:t>
      </w:r>
      <w:r w:rsidRPr="005E5E8A">
        <w:rPr>
          <w:lang w:val="fr-FR"/>
        </w:rPr>
        <w:t>équipements de réfrigération, de climatisation et de pompes à chaleur à faible rendement énergétique ;</w:t>
      </w:r>
    </w:p>
    <w:p w:rsidR="00EB56BA" w:rsidRPr="00C51E0A" w:rsidRDefault="005E5E8A" w:rsidP="005E5E8A">
      <w:pPr>
        <w:pStyle w:val="Heading2"/>
        <w:rPr>
          <w:lang w:val="fr-FR"/>
        </w:rPr>
      </w:pPr>
      <w:r w:rsidRPr="005E5E8A">
        <w:rPr>
          <w:lang w:val="fr-FR"/>
        </w:rPr>
        <w:t>Promotion de l</w:t>
      </w:r>
      <w:r w:rsidR="003E6D2D">
        <w:rPr>
          <w:lang w:val="fr-FR"/>
        </w:rPr>
        <w:t>’</w:t>
      </w:r>
      <w:r w:rsidRPr="005E5E8A">
        <w:rPr>
          <w:lang w:val="fr-FR"/>
        </w:rPr>
        <w:t>accès aux technologies écoénergiques dans ces secteurs ; et</w:t>
      </w:r>
    </w:p>
    <w:p w:rsidR="00EB56BA" w:rsidRPr="00C51E0A" w:rsidRDefault="005E5E8A" w:rsidP="005E5E8A">
      <w:pPr>
        <w:pStyle w:val="Heading2"/>
        <w:rPr>
          <w:lang w:val="fr-FR"/>
        </w:rPr>
      </w:pPr>
      <w:r w:rsidRPr="005E5E8A">
        <w:rPr>
          <w:lang w:val="fr-FR"/>
        </w:rPr>
        <w:t>Formation axée sur la certification, la sécurité et les normes, la sensibilisation et le renforcement des capacités visant à maintenir et améliorer l</w:t>
      </w:r>
      <w:r w:rsidR="003E6D2D">
        <w:rPr>
          <w:lang w:val="fr-FR"/>
        </w:rPr>
        <w:t>’</w:t>
      </w:r>
      <w:r w:rsidRPr="005E5E8A">
        <w:rPr>
          <w:lang w:val="fr-FR"/>
        </w:rPr>
        <w:t>efficacité énergétique.</w:t>
      </w:r>
    </w:p>
    <w:p w:rsidR="00EB56BA" w:rsidRPr="00C51E0A" w:rsidRDefault="005E5E8A" w:rsidP="001405C2">
      <w:pPr>
        <w:pStyle w:val="Heading1"/>
        <w:spacing w:after="0"/>
        <w:rPr>
          <w:lang w:val="fr-FR"/>
        </w:rPr>
      </w:pPr>
      <w:r w:rsidRPr="001405C2">
        <w:rPr>
          <w:rFonts w:eastAsia="DengXian"/>
          <w:lang w:val="fr-FR"/>
        </w:rPr>
        <w:t xml:space="preserve">Comme ceci a été mentionné dans le rapport du groupe de travail du TEAP </w:t>
      </w:r>
      <w:r w:rsidR="001405C2" w:rsidRPr="001405C2">
        <w:rPr>
          <w:rFonts w:eastAsia="DengXian"/>
          <w:lang w:val="fr-FR"/>
        </w:rPr>
        <w:t>en application de</w:t>
      </w:r>
      <w:r w:rsidR="003E6D2D">
        <w:rPr>
          <w:rFonts w:eastAsia="DengXian"/>
          <w:lang w:val="fr-FR"/>
        </w:rPr>
        <w:t xml:space="preserve"> </w:t>
      </w:r>
      <w:r w:rsidRPr="001405C2">
        <w:rPr>
          <w:rFonts w:eastAsia="DengXian"/>
          <w:lang w:val="fr-FR"/>
        </w:rPr>
        <w:t xml:space="preserve">la décision XXIX/10, il est important que les </w:t>
      </w:r>
      <w:r w:rsidR="001405C2" w:rsidRPr="001405C2">
        <w:rPr>
          <w:rFonts w:eastAsia="DengXian"/>
          <w:lang w:val="fr-FR"/>
        </w:rPr>
        <w:t xml:space="preserve">administrateurs </w:t>
      </w:r>
      <w:r w:rsidR="00E55350">
        <w:rPr>
          <w:rFonts w:eastAsia="DengXian"/>
          <w:lang w:val="fr-FR"/>
        </w:rPr>
        <w:t xml:space="preserve">nationaux </w:t>
      </w:r>
      <w:r w:rsidR="001405C2" w:rsidRPr="001405C2">
        <w:rPr>
          <w:rFonts w:eastAsia="DengXian"/>
          <w:lang w:val="fr-FR"/>
        </w:rPr>
        <w:t>des bureaux de l</w:t>
      </w:r>
      <w:r w:rsidR="003E6D2D">
        <w:rPr>
          <w:rFonts w:eastAsia="DengXian"/>
          <w:lang w:val="fr-FR"/>
        </w:rPr>
        <w:t>’</w:t>
      </w:r>
      <w:r w:rsidR="001405C2" w:rsidRPr="001405C2">
        <w:rPr>
          <w:rFonts w:eastAsia="DengXian"/>
          <w:lang w:val="fr-FR"/>
        </w:rPr>
        <w:t xml:space="preserve">ozone soient au </w:t>
      </w:r>
      <w:r w:rsidR="001405C2" w:rsidRPr="001405C2">
        <w:rPr>
          <w:rFonts w:eastAsia="DengXian"/>
          <w:lang w:val="fr-FR"/>
        </w:rPr>
        <w:lastRenderedPageBreak/>
        <w:t xml:space="preserve">courant </w:t>
      </w:r>
      <w:r w:rsidRPr="001405C2">
        <w:rPr>
          <w:rFonts w:eastAsia="DengXian"/>
          <w:lang w:val="fr-FR"/>
        </w:rPr>
        <w:t xml:space="preserve">des politiques et des </w:t>
      </w:r>
      <w:r w:rsidR="005F0DA1">
        <w:rPr>
          <w:rFonts w:eastAsia="DengXian"/>
          <w:lang w:val="fr-FR"/>
        </w:rPr>
        <w:t>objectifs</w:t>
      </w:r>
      <w:r w:rsidRPr="001405C2">
        <w:rPr>
          <w:rFonts w:eastAsia="DengXian"/>
          <w:lang w:val="fr-FR"/>
        </w:rPr>
        <w:t xml:space="preserve"> </w:t>
      </w:r>
      <w:r w:rsidR="001405C2" w:rsidRPr="001405C2">
        <w:rPr>
          <w:rFonts w:eastAsia="DengXian"/>
          <w:lang w:val="fr-FR"/>
        </w:rPr>
        <w:t>relati</w:t>
      </w:r>
      <w:r w:rsidR="005F0DA1">
        <w:rPr>
          <w:rFonts w:eastAsia="DengXian"/>
          <w:lang w:val="fr-FR"/>
        </w:rPr>
        <w:t>fs</w:t>
      </w:r>
      <w:r w:rsidR="001405C2" w:rsidRPr="001405C2">
        <w:rPr>
          <w:rFonts w:eastAsia="DengXian"/>
          <w:lang w:val="fr-FR"/>
        </w:rPr>
        <w:t xml:space="preserve"> à l</w:t>
      </w:r>
      <w:r w:rsidR="003E6D2D">
        <w:rPr>
          <w:rFonts w:eastAsia="DengXian"/>
          <w:lang w:val="fr-FR"/>
        </w:rPr>
        <w:t>’</w:t>
      </w:r>
      <w:r w:rsidRPr="001405C2">
        <w:rPr>
          <w:rFonts w:eastAsia="DengXian"/>
          <w:lang w:val="fr-FR"/>
        </w:rPr>
        <w:t xml:space="preserve">efficacité énergétique dans leur pays </w:t>
      </w:r>
      <w:r w:rsidR="005F0DA1">
        <w:rPr>
          <w:rFonts w:eastAsia="DengXian"/>
          <w:lang w:val="fr-FR"/>
        </w:rPr>
        <w:t>pouvant</w:t>
      </w:r>
      <w:r w:rsidRPr="001405C2">
        <w:rPr>
          <w:rFonts w:eastAsia="DengXian"/>
          <w:lang w:val="fr-FR"/>
        </w:rPr>
        <w:t xml:space="preserve"> </w:t>
      </w:r>
      <w:r w:rsidR="005F0DA1">
        <w:rPr>
          <w:rFonts w:eastAsia="DengXian"/>
          <w:lang w:val="fr-FR"/>
        </w:rPr>
        <w:t>influer sur</w:t>
      </w:r>
      <w:r w:rsidRPr="001405C2">
        <w:rPr>
          <w:rFonts w:eastAsia="DengXian"/>
          <w:lang w:val="fr-FR"/>
        </w:rPr>
        <w:t xml:space="preserve"> l</w:t>
      </w:r>
      <w:r w:rsidR="005F0DA1">
        <w:rPr>
          <w:rFonts w:eastAsia="DengXian"/>
          <w:lang w:val="fr-FR"/>
        </w:rPr>
        <w:t xml:space="preserve">es </w:t>
      </w:r>
      <w:r w:rsidR="001405C2" w:rsidRPr="001405C2">
        <w:rPr>
          <w:rFonts w:eastAsia="DengXian"/>
          <w:lang w:val="fr-FR"/>
        </w:rPr>
        <w:t>équipements de réfrigération, de climatisation et de pompes à chaleu</w:t>
      </w:r>
      <w:r w:rsidR="005F0DA1">
        <w:rPr>
          <w:rFonts w:eastAsia="DengXian"/>
          <w:lang w:val="fr-FR"/>
        </w:rPr>
        <w:t>r,</w:t>
      </w:r>
      <w:r w:rsidR="001405C2" w:rsidRPr="001405C2">
        <w:rPr>
          <w:rFonts w:eastAsia="DengXian"/>
          <w:lang w:val="fr-FR"/>
        </w:rPr>
        <w:t xml:space="preserve"> et </w:t>
      </w:r>
      <w:r w:rsidR="00034F40">
        <w:rPr>
          <w:rFonts w:eastAsia="DengXian"/>
          <w:lang w:val="fr-FR"/>
        </w:rPr>
        <w:t xml:space="preserve">qu’ils connaissent les </w:t>
      </w:r>
      <w:r w:rsidR="001405C2" w:rsidRPr="001405C2">
        <w:rPr>
          <w:rFonts w:eastAsia="DengXian"/>
          <w:lang w:val="fr-FR"/>
        </w:rPr>
        <w:t xml:space="preserve"> </w:t>
      </w:r>
      <w:r w:rsidR="00034F40" w:rsidRPr="001405C2">
        <w:rPr>
          <w:rFonts w:eastAsia="DengXian"/>
          <w:lang w:val="fr-FR"/>
        </w:rPr>
        <w:t xml:space="preserve">principaux </w:t>
      </w:r>
      <w:r w:rsidRPr="001405C2">
        <w:rPr>
          <w:rFonts w:eastAsia="DengXian"/>
          <w:lang w:val="fr-FR"/>
        </w:rPr>
        <w:t xml:space="preserve">partenaires commerciaux, particulièrement </w:t>
      </w:r>
      <w:r w:rsidR="001405C2" w:rsidRPr="001405C2">
        <w:rPr>
          <w:rFonts w:eastAsia="DengXian"/>
          <w:lang w:val="fr-FR"/>
        </w:rPr>
        <w:t>dans les</w:t>
      </w:r>
      <w:r w:rsidRPr="001405C2">
        <w:rPr>
          <w:rFonts w:eastAsia="DengXian"/>
          <w:lang w:val="fr-FR"/>
        </w:rPr>
        <w:t xml:space="preserve"> pays qui fabriquent </w:t>
      </w:r>
      <w:r w:rsidR="001405C2" w:rsidRPr="001405C2">
        <w:rPr>
          <w:rFonts w:eastAsia="DengXian"/>
          <w:lang w:val="fr-FR"/>
        </w:rPr>
        <w:t xml:space="preserve">des </w:t>
      </w:r>
      <w:r w:rsidRPr="001405C2">
        <w:rPr>
          <w:rFonts w:eastAsia="DengXian"/>
          <w:lang w:val="fr-FR"/>
        </w:rPr>
        <w:t>équipement</w:t>
      </w:r>
      <w:r w:rsidR="001405C2" w:rsidRPr="001405C2">
        <w:rPr>
          <w:rFonts w:eastAsia="DengXian"/>
          <w:lang w:val="fr-FR"/>
        </w:rPr>
        <w:t>s</w:t>
      </w:r>
      <w:r w:rsidRPr="001405C2">
        <w:rPr>
          <w:rFonts w:eastAsia="DengXian"/>
          <w:lang w:val="fr-FR"/>
        </w:rPr>
        <w:t xml:space="preserve"> ou </w:t>
      </w:r>
      <w:r w:rsidR="001405C2" w:rsidRPr="001405C2">
        <w:rPr>
          <w:rFonts w:eastAsia="DengXian"/>
          <w:lang w:val="fr-FR"/>
        </w:rPr>
        <w:t>d</w:t>
      </w:r>
      <w:r w:rsidRPr="001405C2">
        <w:rPr>
          <w:rFonts w:eastAsia="DengXian"/>
          <w:lang w:val="fr-FR"/>
        </w:rPr>
        <w:t>es composants.</w:t>
      </w:r>
      <w:r w:rsidR="00EB56BA" w:rsidRPr="00C51E0A">
        <w:rPr>
          <w:rFonts w:eastAsia="DengXian"/>
          <w:lang w:val="fr-FR"/>
        </w:rPr>
        <w:t xml:space="preserve"> </w:t>
      </w:r>
      <w:r w:rsidR="001405C2" w:rsidRPr="001405C2">
        <w:rPr>
          <w:rFonts w:eastAsia="DengXian"/>
          <w:lang w:val="fr-FR"/>
        </w:rPr>
        <w:t>La coopération entre les administrateurs nationaux des bureaux de l</w:t>
      </w:r>
      <w:r w:rsidR="003E6D2D">
        <w:rPr>
          <w:rFonts w:eastAsia="DengXian"/>
          <w:lang w:val="fr-FR"/>
        </w:rPr>
        <w:t>’</w:t>
      </w:r>
      <w:r w:rsidR="001405C2" w:rsidRPr="001405C2">
        <w:rPr>
          <w:rFonts w:eastAsia="DengXian"/>
          <w:lang w:val="fr-FR"/>
        </w:rPr>
        <w:t>ozone et les autorités responsables de l</w:t>
      </w:r>
      <w:r w:rsidR="003E6D2D">
        <w:rPr>
          <w:rFonts w:eastAsia="DengXian"/>
          <w:lang w:val="fr-FR"/>
        </w:rPr>
        <w:t>’</w:t>
      </w:r>
      <w:r w:rsidR="001405C2" w:rsidRPr="001405C2">
        <w:rPr>
          <w:rFonts w:eastAsia="DengXian"/>
          <w:lang w:val="fr-FR"/>
        </w:rPr>
        <w:t>efficacité énergétique, qui ont une expérience limitée et un rôle restreint concernant l</w:t>
      </w:r>
      <w:r w:rsidR="003E6D2D">
        <w:rPr>
          <w:rFonts w:eastAsia="DengXian"/>
          <w:lang w:val="fr-FR"/>
        </w:rPr>
        <w:t>’</w:t>
      </w:r>
      <w:r w:rsidR="001405C2" w:rsidRPr="001405C2">
        <w:rPr>
          <w:rFonts w:eastAsia="DengXian"/>
          <w:lang w:val="fr-FR"/>
        </w:rPr>
        <w:t>adoption de technologies à faible PRP ou sans PRP, pourrait avoir comme conséquence des coûts réduits pour les fabricants et permettre une direction coordonnée des politiques visant à atteindre les objectifs nationaux fixés.</w:t>
      </w:r>
      <w:r w:rsidR="00EB56BA" w:rsidRPr="00C51E0A">
        <w:rPr>
          <w:lang w:val="fr-FR"/>
        </w:rPr>
        <w:t xml:space="preserve"> </w:t>
      </w:r>
    </w:p>
    <w:p w:rsidR="00C51E0A" w:rsidRDefault="00C51E0A" w:rsidP="00C51E0A">
      <w:pPr>
        <w:outlineLvl w:val="0"/>
        <w:rPr>
          <w:rFonts w:eastAsiaTheme="minorHAnsi"/>
          <w:b/>
          <w:rtl/>
          <w:lang w:val="fr-FR"/>
        </w:rPr>
      </w:pPr>
    </w:p>
    <w:p w:rsidR="00EB56BA" w:rsidRPr="00C51E0A" w:rsidRDefault="001405C2" w:rsidP="001405C2">
      <w:pPr>
        <w:spacing w:after="240"/>
        <w:outlineLvl w:val="0"/>
        <w:rPr>
          <w:b/>
          <w:u w:val="single"/>
          <w:lang w:val="fr-FR"/>
        </w:rPr>
      </w:pPr>
      <w:r w:rsidRPr="001405C2">
        <w:rPr>
          <w:rFonts w:eastAsiaTheme="minorHAnsi"/>
          <w:b/>
          <w:lang w:val="fr-FR"/>
        </w:rPr>
        <w:t>Maintien de l</w:t>
      </w:r>
      <w:r w:rsidR="003E6D2D">
        <w:rPr>
          <w:rFonts w:eastAsiaTheme="minorHAnsi"/>
          <w:b/>
          <w:lang w:val="fr-FR"/>
        </w:rPr>
        <w:t>’</w:t>
      </w:r>
      <w:r w:rsidRPr="001405C2">
        <w:rPr>
          <w:rFonts w:eastAsiaTheme="minorHAnsi"/>
          <w:b/>
          <w:lang w:val="fr-FR"/>
        </w:rPr>
        <w:t>efficacité énergétique dans le secteur de l</w:t>
      </w:r>
      <w:r w:rsidR="003E6D2D">
        <w:rPr>
          <w:rFonts w:eastAsiaTheme="minorHAnsi"/>
          <w:b/>
          <w:lang w:val="fr-FR"/>
        </w:rPr>
        <w:t>’</w:t>
      </w:r>
      <w:r w:rsidRPr="001405C2">
        <w:rPr>
          <w:rFonts w:eastAsiaTheme="minorHAnsi"/>
          <w:b/>
          <w:lang w:val="fr-FR"/>
        </w:rPr>
        <w:t>entretien</w:t>
      </w:r>
      <w:r w:rsidR="00EB56BA" w:rsidRPr="00C51E0A">
        <w:rPr>
          <w:b/>
          <w:u w:val="single"/>
          <w:lang w:val="fr-FR"/>
        </w:rPr>
        <w:t xml:space="preserve"> </w:t>
      </w:r>
    </w:p>
    <w:p w:rsidR="00EB56BA" w:rsidRPr="00C51E0A" w:rsidRDefault="001405C2" w:rsidP="001405C2">
      <w:pPr>
        <w:pStyle w:val="Heading1"/>
        <w:rPr>
          <w:lang w:val="fr-FR"/>
        </w:rPr>
      </w:pPr>
      <w:r w:rsidRPr="001405C2">
        <w:rPr>
          <w:lang w:val="fr-FR"/>
        </w:rPr>
        <w:t>L</w:t>
      </w:r>
      <w:r w:rsidR="003E6D2D">
        <w:rPr>
          <w:lang w:val="fr-FR"/>
        </w:rPr>
        <w:t>’</w:t>
      </w:r>
      <w:r w:rsidRPr="001405C2">
        <w:rPr>
          <w:lang w:val="fr-FR"/>
        </w:rPr>
        <w:t>usure normale de n</w:t>
      </w:r>
      <w:r w:rsidR="003E6D2D">
        <w:rPr>
          <w:lang w:val="fr-FR"/>
        </w:rPr>
        <w:t>’</w:t>
      </w:r>
      <w:r w:rsidRPr="001405C2">
        <w:rPr>
          <w:lang w:val="fr-FR"/>
        </w:rPr>
        <w:t>importe quel réfrigérateur ou équipement de climatisation pendant sa durée de vie affecte le fonctionnement de l</w:t>
      </w:r>
      <w:r w:rsidR="003E6D2D">
        <w:rPr>
          <w:lang w:val="fr-FR"/>
        </w:rPr>
        <w:t>’</w:t>
      </w:r>
      <w:r w:rsidRPr="001405C2">
        <w:rPr>
          <w:lang w:val="fr-FR"/>
        </w:rPr>
        <w:t>équipement, réduit son efficacité énergétique et augmente la consommation d</w:t>
      </w:r>
      <w:r w:rsidR="003E6D2D">
        <w:rPr>
          <w:lang w:val="fr-FR"/>
        </w:rPr>
        <w:t>’</w:t>
      </w:r>
      <w:r w:rsidRPr="001405C2">
        <w:rPr>
          <w:lang w:val="fr-FR"/>
        </w:rPr>
        <w:t>énergie.</w:t>
      </w:r>
      <w:r w:rsidR="00EB56BA" w:rsidRPr="00C51E0A">
        <w:rPr>
          <w:lang w:val="fr-FR"/>
        </w:rPr>
        <w:t xml:space="preserve"> </w:t>
      </w:r>
      <w:r w:rsidR="00E55350">
        <w:rPr>
          <w:lang w:val="fr-FR"/>
        </w:rPr>
        <w:t>L’i</w:t>
      </w:r>
      <w:r w:rsidRPr="001405C2">
        <w:rPr>
          <w:lang w:val="fr-FR"/>
        </w:rPr>
        <w:t xml:space="preserve">nstallation, </w:t>
      </w:r>
      <w:r w:rsidR="00E55350">
        <w:rPr>
          <w:lang w:val="fr-FR"/>
        </w:rPr>
        <w:t>la</w:t>
      </w:r>
      <w:r w:rsidRPr="001405C2">
        <w:rPr>
          <w:lang w:val="fr-FR"/>
        </w:rPr>
        <w:t xml:space="preserve"> maintenance et </w:t>
      </w:r>
      <w:r w:rsidR="00E55350">
        <w:rPr>
          <w:lang w:val="fr-FR"/>
        </w:rPr>
        <w:t>l</w:t>
      </w:r>
      <w:r w:rsidRPr="001405C2">
        <w:rPr>
          <w:lang w:val="fr-FR"/>
        </w:rPr>
        <w:t>es pratiques d</w:t>
      </w:r>
      <w:r w:rsidR="003E6D2D">
        <w:rPr>
          <w:lang w:val="fr-FR"/>
        </w:rPr>
        <w:t>’</w:t>
      </w:r>
      <w:r w:rsidRPr="001405C2">
        <w:rPr>
          <w:lang w:val="fr-FR"/>
        </w:rPr>
        <w:t xml:space="preserve">entretien appropriées jouent un rôle essentiel dans la réduction </w:t>
      </w:r>
      <w:r w:rsidR="00823A14">
        <w:rPr>
          <w:lang w:val="fr-FR"/>
        </w:rPr>
        <w:t>de la dégradation</w:t>
      </w:r>
      <w:r w:rsidR="00E55350">
        <w:rPr>
          <w:lang w:val="fr-FR"/>
        </w:rPr>
        <w:t>,</w:t>
      </w:r>
      <w:r w:rsidRPr="001405C2">
        <w:rPr>
          <w:lang w:val="fr-FR"/>
        </w:rPr>
        <w:t xml:space="preserve"> et permettent le fonctionnement efficace des équipements </w:t>
      </w:r>
      <w:r w:rsidR="00823A14">
        <w:rPr>
          <w:lang w:val="fr-FR"/>
        </w:rPr>
        <w:t>assorti du</w:t>
      </w:r>
      <w:r w:rsidRPr="001405C2">
        <w:rPr>
          <w:lang w:val="fr-FR"/>
        </w:rPr>
        <w:t xml:space="preserve"> plus haut rendement énergétique possible au cours de la durée de vie des équipements.</w:t>
      </w:r>
      <w:r w:rsidR="00EB56BA" w:rsidRPr="00C51E0A">
        <w:rPr>
          <w:lang w:val="fr-FR"/>
        </w:rPr>
        <w:t xml:space="preserve"> </w:t>
      </w:r>
      <w:r w:rsidRPr="001405C2">
        <w:rPr>
          <w:lang w:val="fr-FR"/>
        </w:rPr>
        <w:t>Les activités de formation dans le secteur de l</w:t>
      </w:r>
      <w:r w:rsidR="003E6D2D">
        <w:rPr>
          <w:lang w:val="fr-FR"/>
        </w:rPr>
        <w:t>’</w:t>
      </w:r>
      <w:r w:rsidRPr="001405C2">
        <w:rPr>
          <w:lang w:val="fr-FR"/>
        </w:rPr>
        <w:t xml:space="preserve">entretien pourraient changer </w:t>
      </w:r>
      <w:r w:rsidR="00E55350">
        <w:rPr>
          <w:lang w:val="fr-FR"/>
        </w:rPr>
        <w:t>l</w:t>
      </w:r>
      <w:r w:rsidRPr="001405C2">
        <w:rPr>
          <w:lang w:val="fr-FR"/>
        </w:rPr>
        <w:t>es pratiques opérationnelles des techniciens, assurant de ce fait un fonctionnement écoénergétique des équipements.</w:t>
      </w:r>
    </w:p>
    <w:p w:rsidR="00EB56BA" w:rsidRPr="00C51E0A" w:rsidRDefault="001405C2" w:rsidP="001C3E37">
      <w:pPr>
        <w:pStyle w:val="Heading1"/>
        <w:rPr>
          <w:lang w:val="fr-FR"/>
        </w:rPr>
      </w:pPr>
      <w:r w:rsidRPr="001C3E37">
        <w:rPr>
          <w:rFonts w:eastAsia="DengXian"/>
          <w:lang w:val="fr-FR"/>
        </w:rPr>
        <w:t xml:space="preserve">Le rapport </w:t>
      </w:r>
      <w:r w:rsidR="00E55350" w:rsidRPr="001405C2">
        <w:rPr>
          <w:rFonts w:eastAsia="DengXian"/>
          <w:lang w:val="fr-FR"/>
        </w:rPr>
        <w:t>du groupe de travail du TEAP en application de</w:t>
      </w:r>
      <w:r w:rsidR="00E55350">
        <w:rPr>
          <w:rFonts w:eastAsia="DengXian"/>
          <w:lang w:val="fr-FR"/>
        </w:rPr>
        <w:t xml:space="preserve"> </w:t>
      </w:r>
      <w:r w:rsidR="00E55350" w:rsidRPr="001405C2">
        <w:rPr>
          <w:rFonts w:eastAsia="DengXian"/>
          <w:lang w:val="fr-FR"/>
        </w:rPr>
        <w:t xml:space="preserve">la </w:t>
      </w:r>
      <w:r w:rsidRPr="001C3E37">
        <w:rPr>
          <w:rFonts w:eastAsia="DengXian"/>
          <w:lang w:val="fr-FR"/>
        </w:rPr>
        <w:t xml:space="preserve">décision XXIX/10 indique que </w:t>
      </w:r>
      <w:r w:rsidR="00E55350">
        <w:rPr>
          <w:rFonts w:eastAsia="DengXian"/>
          <w:lang w:val="fr-FR"/>
        </w:rPr>
        <w:t>d</w:t>
      </w:r>
      <w:r w:rsidRPr="001C3E37">
        <w:rPr>
          <w:rFonts w:eastAsia="DengXian"/>
          <w:lang w:val="fr-FR"/>
        </w:rPr>
        <w:t xml:space="preserve">es performances </w:t>
      </w:r>
      <w:r w:rsidR="00E55350">
        <w:rPr>
          <w:rFonts w:eastAsia="DengXian"/>
          <w:lang w:val="fr-FR"/>
        </w:rPr>
        <w:t xml:space="preserve">à haut rendement énergétique pour les </w:t>
      </w:r>
      <w:r w:rsidRPr="001C3E37">
        <w:rPr>
          <w:lang w:val="fr-FR"/>
        </w:rPr>
        <w:t xml:space="preserve">équipements de réfrigération, de climatisation et de pompes à chaleur </w:t>
      </w:r>
      <w:r w:rsidRPr="001C3E37">
        <w:rPr>
          <w:rFonts w:eastAsia="DengXian"/>
          <w:lang w:val="fr-FR"/>
        </w:rPr>
        <w:t>pourraient être réalisées, à des niveaux de coûts faibles ou moyens,</w:t>
      </w:r>
      <w:r w:rsidR="003E6D2D">
        <w:rPr>
          <w:rFonts w:eastAsia="DengXian"/>
          <w:lang w:val="fr-FR"/>
        </w:rPr>
        <w:t xml:space="preserve"> </w:t>
      </w:r>
      <w:r w:rsidRPr="001C3E37">
        <w:rPr>
          <w:rFonts w:eastAsia="DengXian"/>
          <w:lang w:val="fr-FR"/>
        </w:rPr>
        <w:t xml:space="preserve">par le biais de la </w:t>
      </w:r>
      <w:r w:rsidRPr="001C3E37">
        <w:rPr>
          <w:lang w:val="fr-FR"/>
        </w:rPr>
        <w:t>mise en œuvre de bonnes pratiques de l</w:t>
      </w:r>
      <w:r w:rsidR="003E6D2D">
        <w:rPr>
          <w:lang w:val="fr-FR"/>
        </w:rPr>
        <w:t>’</w:t>
      </w:r>
      <w:r w:rsidRPr="001C3E37">
        <w:rPr>
          <w:lang w:val="fr-FR"/>
        </w:rPr>
        <w:t xml:space="preserve">entretien, telles </w:t>
      </w:r>
      <w:r w:rsidR="005A1BD7" w:rsidRPr="001C3E37">
        <w:rPr>
          <w:lang w:val="fr-FR"/>
        </w:rPr>
        <w:t>que des charges de</w:t>
      </w:r>
      <w:r w:rsidRPr="001C3E37">
        <w:rPr>
          <w:lang w:val="fr-FR"/>
        </w:rPr>
        <w:t xml:space="preserve"> frigorigène</w:t>
      </w:r>
      <w:r w:rsidR="005A1BD7" w:rsidRPr="001C3E37">
        <w:rPr>
          <w:lang w:val="fr-FR"/>
        </w:rPr>
        <w:t xml:space="preserve"> et </w:t>
      </w:r>
      <w:r w:rsidRPr="001C3E37">
        <w:rPr>
          <w:lang w:val="fr-FR"/>
        </w:rPr>
        <w:t>d</w:t>
      </w:r>
      <w:r w:rsidR="003E6D2D">
        <w:rPr>
          <w:lang w:val="fr-FR"/>
        </w:rPr>
        <w:t>’</w:t>
      </w:r>
      <w:r w:rsidRPr="001C3E37">
        <w:rPr>
          <w:lang w:val="fr-FR"/>
        </w:rPr>
        <w:t>huile adéquats</w:t>
      </w:r>
      <w:r w:rsidR="005A1BD7" w:rsidRPr="001C3E37">
        <w:rPr>
          <w:lang w:val="fr-FR"/>
        </w:rPr>
        <w:t>, une</w:t>
      </w:r>
      <w:r w:rsidRPr="001C3E37">
        <w:rPr>
          <w:lang w:val="fr-FR"/>
        </w:rPr>
        <w:t xml:space="preserve"> </w:t>
      </w:r>
      <w:r w:rsidRPr="001C3E37">
        <w:rPr>
          <w:rFonts w:eastAsia="DengXian"/>
          <w:lang w:val="fr-FR"/>
        </w:rPr>
        <w:t xml:space="preserve">bonne circulation </w:t>
      </w:r>
      <w:r w:rsidR="005A1BD7" w:rsidRPr="001C3E37">
        <w:rPr>
          <w:rFonts w:eastAsia="DengXian"/>
          <w:lang w:val="fr-FR"/>
        </w:rPr>
        <w:t>de l</w:t>
      </w:r>
      <w:r w:rsidR="003E6D2D">
        <w:rPr>
          <w:rFonts w:eastAsia="DengXian"/>
          <w:lang w:val="fr-FR"/>
        </w:rPr>
        <w:t>’</w:t>
      </w:r>
      <w:r w:rsidRPr="001C3E37">
        <w:rPr>
          <w:rFonts w:eastAsia="DengXian"/>
          <w:lang w:val="fr-FR"/>
        </w:rPr>
        <w:t xml:space="preserve">air </w:t>
      </w:r>
      <w:r w:rsidR="005A1BD7" w:rsidRPr="001C3E37">
        <w:rPr>
          <w:rFonts w:eastAsia="DengXian"/>
          <w:lang w:val="fr-FR"/>
        </w:rPr>
        <w:t>dans le</w:t>
      </w:r>
      <w:r w:rsidRPr="001C3E37">
        <w:rPr>
          <w:rFonts w:eastAsia="DengXian"/>
          <w:lang w:val="fr-FR"/>
        </w:rPr>
        <w:t xml:space="preserve"> condenseur</w:t>
      </w:r>
      <w:r w:rsidR="005A1BD7" w:rsidRPr="001C3E37">
        <w:rPr>
          <w:rFonts w:eastAsia="DengXian"/>
          <w:lang w:val="fr-FR"/>
        </w:rPr>
        <w:t>, le maintien d</w:t>
      </w:r>
      <w:r w:rsidR="003E6D2D">
        <w:rPr>
          <w:rFonts w:eastAsia="DengXian"/>
          <w:lang w:val="fr-FR"/>
        </w:rPr>
        <w:t>’</w:t>
      </w:r>
      <w:r w:rsidR="005A1BD7" w:rsidRPr="001C3E37">
        <w:rPr>
          <w:rFonts w:eastAsia="DengXian"/>
          <w:lang w:val="fr-FR"/>
        </w:rPr>
        <w:t>un flux d</w:t>
      </w:r>
      <w:r w:rsidR="003E6D2D">
        <w:rPr>
          <w:rFonts w:eastAsia="DengXian"/>
          <w:lang w:val="fr-FR"/>
        </w:rPr>
        <w:t>’</w:t>
      </w:r>
      <w:r w:rsidR="005A1BD7" w:rsidRPr="001C3E37">
        <w:rPr>
          <w:rFonts w:eastAsia="DengXian"/>
          <w:lang w:val="fr-FR"/>
        </w:rPr>
        <w:t>air approprié</w:t>
      </w:r>
      <w:r w:rsidR="003E6D2D">
        <w:rPr>
          <w:rFonts w:eastAsia="DengXian"/>
          <w:lang w:val="fr-FR"/>
        </w:rPr>
        <w:t xml:space="preserve"> </w:t>
      </w:r>
      <w:r w:rsidR="005A1BD7" w:rsidRPr="001C3E37">
        <w:rPr>
          <w:rFonts w:eastAsia="DengXian"/>
          <w:lang w:val="fr-FR"/>
        </w:rPr>
        <w:t>à travers l</w:t>
      </w:r>
      <w:r w:rsidR="003E6D2D">
        <w:rPr>
          <w:rFonts w:eastAsia="DengXian"/>
          <w:lang w:val="fr-FR"/>
        </w:rPr>
        <w:t>’</w:t>
      </w:r>
      <w:r w:rsidR="005A1BD7" w:rsidRPr="001C3E37">
        <w:rPr>
          <w:rFonts w:eastAsia="DengXian"/>
          <w:lang w:val="fr-FR"/>
        </w:rPr>
        <w:t>évaporateur,</w:t>
      </w:r>
      <w:r w:rsidR="003E6D2D">
        <w:rPr>
          <w:rFonts w:eastAsia="DengXian"/>
          <w:lang w:val="fr-FR"/>
        </w:rPr>
        <w:t xml:space="preserve"> </w:t>
      </w:r>
      <w:r w:rsidR="001C3E37" w:rsidRPr="001C3E37">
        <w:rPr>
          <w:rFonts w:eastAsia="DengXian"/>
          <w:lang w:val="fr-FR"/>
        </w:rPr>
        <w:t xml:space="preserve"> un réglage adéquat du capteur</w:t>
      </w:r>
      <w:r w:rsidRPr="001C3E37">
        <w:rPr>
          <w:rFonts w:eastAsia="DengXian"/>
          <w:lang w:val="fr-FR"/>
        </w:rPr>
        <w:t xml:space="preserve"> de température et de la valve d</w:t>
      </w:r>
      <w:r w:rsidR="003E6D2D">
        <w:rPr>
          <w:rFonts w:eastAsia="DengXian"/>
          <w:lang w:val="fr-FR"/>
        </w:rPr>
        <w:t>’</w:t>
      </w:r>
      <w:r w:rsidRPr="001C3E37">
        <w:rPr>
          <w:rFonts w:eastAsia="DengXian"/>
          <w:lang w:val="fr-FR"/>
        </w:rPr>
        <w:t xml:space="preserve">expansion </w:t>
      </w:r>
      <w:r w:rsidR="001C3E37" w:rsidRPr="001C3E37">
        <w:rPr>
          <w:rFonts w:eastAsia="DengXian"/>
          <w:lang w:val="fr-FR"/>
        </w:rPr>
        <w:t>thermostatique ainsi qu</w:t>
      </w:r>
      <w:r w:rsidR="003E6D2D">
        <w:rPr>
          <w:rFonts w:eastAsia="DengXian"/>
          <w:lang w:val="fr-FR"/>
        </w:rPr>
        <w:t>’</w:t>
      </w:r>
      <w:r w:rsidR="001C3E37" w:rsidRPr="001C3E37">
        <w:rPr>
          <w:rFonts w:eastAsia="DengXian"/>
          <w:lang w:val="fr-FR"/>
        </w:rPr>
        <w:t>un réglage correct</w:t>
      </w:r>
      <w:r w:rsidRPr="001C3E37">
        <w:rPr>
          <w:rFonts w:eastAsia="DengXian"/>
          <w:lang w:val="fr-FR"/>
        </w:rPr>
        <w:t xml:space="preserve"> de la commande de pression d</w:t>
      </w:r>
      <w:r w:rsidR="001C3E37" w:rsidRPr="001C3E37">
        <w:rPr>
          <w:rFonts w:eastAsia="DengXian"/>
          <w:lang w:val="fr-FR"/>
        </w:rPr>
        <w:t>u</w:t>
      </w:r>
      <w:r w:rsidRPr="001C3E37">
        <w:rPr>
          <w:rFonts w:eastAsia="DengXian"/>
          <w:lang w:val="fr-FR"/>
        </w:rPr>
        <w:t xml:space="preserve"> condenseur.</w:t>
      </w:r>
    </w:p>
    <w:p w:rsidR="00EB56BA" w:rsidRPr="00C51E0A" w:rsidRDefault="00A577D9" w:rsidP="001F2B40">
      <w:pPr>
        <w:pStyle w:val="Heading1"/>
        <w:rPr>
          <w:lang w:val="fr-FR"/>
        </w:rPr>
      </w:pPr>
      <w:r w:rsidRPr="00A577D9">
        <w:rPr>
          <w:lang w:val="fr-FR"/>
        </w:rPr>
        <w:t xml:space="preserve">Les performances des équipements de réfrigération, de climatisation et de pompes à chaleur </w:t>
      </w:r>
      <w:r>
        <w:rPr>
          <w:lang w:val="fr-FR"/>
        </w:rPr>
        <w:t>en conjugaison avec les</w:t>
      </w:r>
      <w:r w:rsidRPr="00A577D9">
        <w:rPr>
          <w:lang w:val="fr-FR"/>
        </w:rPr>
        <w:t xml:space="preserve"> pratiques d</w:t>
      </w:r>
      <w:r w:rsidR="003E6D2D">
        <w:rPr>
          <w:lang w:val="fr-FR"/>
        </w:rPr>
        <w:t>’</w:t>
      </w:r>
      <w:r w:rsidRPr="00A577D9">
        <w:rPr>
          <w:lang w:val="fr-FR"/>
        </w:rPr>
        <w:t>entretien et de maintenance ont été mesurées et publiées.</w:t>
      </w:r>
      <w:r w:rsidR="00EB56BA" w:rsidRPr="00C51E0A">
        <w:rPr>
          <w:lang w:val="fr-FR"/>
        </w:rPr>
        <w:t xml:space="preserve"> </w:t>
      </w:r>
      <w:r w:rsidR="001F2B40" w:rsidRPr="001F2B40">
        <w:rPr>
          <w:lang w:val="fr-FR"/>
        </w:rPr>
        <w:t>Des ét</w:t>
      </w:r>
      <w:r w:rsidRPr="001F2B40">
        <w:rPr>
          <w:lang w:val="fr-FR"/>
        </w:rPr>
        <w:t xml:space="preserve">udes </w:t>
      </w:r>
      <w:r w:rsidR="001F2B40" w:rsidRPr="001F2B40">
        <w:rPr>
          <w:lang w:val="fr-FR"/>
        </w:rPr>
        <w:t>conduite</w:t>
      </w:r>
      <w:r w:rsidR="00E55350">
        <w:rPr>
          <w:lang w:val="fr-FR"/>
        </w:rPr>
        <w:t>s</w:t>
      </w:r>
      <w:r w:rsidR="001F2B40" w:rsidRPr="001F2B40">
        <w:rPr>
          <w:lang w:val="fr-FR"/>
        </w:rPr>
        <w:t xml:space="preserve"> par </w:t>
      </w:r>
      <w:r w:rsidR="005C0A7B">
        <w:rPr>
          <w:lang w:val="fr-FR"/>
        </w:rPr>
        <w:t xml:space="preserve">le </w:t>
      </w:r>
      <w:r w:rsidR="001F2B40" w:rsidRPr="001F2B40">
        <w:rPr>
          <w:lang w:val="fr-FR"/>
        </w:rPr>
        <w:t>Royaume-Uni de Grande Bretagne et d</w:t>
      </w:r>
      <w:r w:rsidR="003E6D2D">
        <w:rPr>
          <w:lang w:val="fr-FR"/>
        </w:rPr>
        <w:t>’</w:t>
      </w:r>
      <w:r w:rsidR="001F2B40" w:rsidRPr="001F2B40">
        <w:rPr>
          <w:lang w:val="fr-FR"/>
        </w:rPr>
        <w:t>Irlande du Nord, l</w:t>
      </w:r>
      <w:r w:rsidR="003E6D2D">
        <w:rPr>
          <w:lang w:val="fr-FR"/>
        </w:rPr>
        <w:t>’</w:t>
      </w:r>
      <w:r w:rsidRPr="001F2B40">
        <w:rPr>
          <w:lang w:val="fr-FR"/>
        </w:rPr>
        <w:t>Australie et l</w:t>
      </w:r>
      <w:r w:rsidR="001F2B40" w:rsidRPr="001F2B40">
        <w:rPr>
          <w:lang w:val="fr-FR"/>
        </w:rPr>
        <w:t xml:space="preserve">e Partenariat </w:t>
      </w:r>
      <w:r w:rsidRPr="001F2B40">
        <w:rPr>
          <w:lang w:val="fr-FR"/>
        </w:rPr>
        <w:t>européen pour l</w:t>
      </w:r>
      <w:r w:rsidR="003E6D2D">
        <w:rPr>
          <w:lang w:val="fr-FR"/>
        </w:rPr>
        <w:t>’</w:t>
      </w:r>
      <w:r w:rsidRPr="001F2B40">
        <w:rPr>
          <w:lang w:val="fr-FR"/>
        </w:rPr>
        <w:t>énergie et l</w:t>
      </w:r>
      <w:r w:rsidR="003E6D2D">
        <w:rPr>
          <w:lang w:val="fr-FR"/>
        </w:rPr>
        <w:t>’</w:t>
      </w:r>
      <w:r w:rsidRPr="001F2B40">
        <w:rPr>
          <w:lang w:val="fr-FR"/>
        </w:rPr>
        <w:t>environnement rapportent des économies d</w:t>
      </w:r>
      <w:r w:rsidR="003E6D2D">
        <w:rPr>
          <w:lang w:val="fr-FR"/>
        </w:rPr>
        <w:t>’</w:t>
      </w:r>
      <w:r w:rsidRPr="001F2B40">
        <w:rPr>
          <w:lang w:val="fr-FR"/>
        </w:rPr>
        <w:t xml:space="preserve">énergie </w:t>
      </w:r>
      <w:r w:rsidR="001F2B40" w:rsidRPr="001F2B40">
        <w:rPr>
          <w:lang w:val="fr-FR"/>
        </w:rPr>
        <w:t>allant de</w:t>
      </w:r>
      <w:r w:rsidRPr="001F2B40">
        <w:rPr>
          <w:lang w:val="fr-FR"/>
        </w:rPr>
        <w:t xml:space="preserve"> 8 pour cent à 40 pour cent ou plus, selon les améliorations ou </w:t>
      </w:r>
      <w:r w:rsidR="001F2B40" w:rsidRPr="001F2B40">
        <w:rPr>
          <w:lang w:val="fr-FR"/>
        </w:rPr>
        <w:t>les pratiques d</w:t>
      </w:r>
      <w:r w:rsidR="003E6D2D">
        <w:rPr>
          <w:lang w:val="fr-FR"/>
        </w:rPr>
        <w:t>’</w:t>
      </w:r>
      <w:r w:rsidR="001F2B40" w:rsidRPr="001F2B40">
        <w:rPr>
          <w:lang w:val="fr-FR"/>
        </w:rPr>
        <w:t>entretien en jeu,</w:t>
      </w:r>
      <w:r w:rsidR="003E6D2D">
        <w:rPr>
          <w:lang w:val="fr-FR"/>
        </w:rPr>
        <w:t xml:space="preserve"> </w:t>
      </w:r>
      <w:r w:rsidRPr="001F2B40">
        <w:rPr>
          <w:lang w:val="fr-FR"/>
        </w:rPr>
        <w:t xml:space="preserve">comme </w:t>
      </w:r>
      <w:r w:rsidR="001F2B40" w:rsidRPr="001F2B40">
        <w:rPr>
          <w:lang w:val="fr-FR"/>
        </w:rPr>
        <w:t>indiqué</w:t>
      </w:r>
      <w:r w:rsidRPr="001F2B40">
        <w:rPr>
          <w:lang w:val="fr-FR"/>
        </w:rPr>
        <w:t xml:space="preserve"> ci-dessous</w:t>
      </w:r>
      <w:r w:rsidR="00D45F83">
        <w:rPr>
          <w:rStyle w:val="FootnoteReference"/>
        </w:rPr>
        <w:footnoteReference w:id="32"/>
      </w:r>
      <w:r w:rsidR="00E55350">
        <w:rPr>
          <w:lang w:val="fr-FR"/>
        </w:rPr>
        <w:t> :</w:t>
      </w:r>
      <w:r w:rsidR="00EB56BA" w:rsidRPr="00C51E0A">
        <w:rPr>
          <w:lang w:val="fr-FR"/>
        </w:rPr>
        <w:t xml:space="preserve"> </w:t>
      </w:r>
    </w:p>
    <w:p w:rsidR="00EB56BA" w:rsidRPr="00C51E0A" w:rsidRDefault="001F2B40" w:rsidP="005F599F">
      <w:pPr>
        <w:pStyle w:val="Heading2"/>
        <w:rPr>
          <w:lang w:val="fr-FR"/>
        </w:rPr>
      </w:pPr>
      <w:r w:rsidRPr="005F599F">
        <w:rPr>
          <w:lang w:val="fr-FR"/>
        </w:rPr>
        <w:t>Une étude réalisée par le département de l</w:t>
      </w:r>
      <w:r w:rsidR="003E6D2D">
        <w:rPr>
          <w:lang w:val="fr-FR"/>
        </w:rPr>
        <w:t>’</w:t>
      </w:r>
      <w:r w:rsidRPr="005F599F">
        <w:rPr>
          <w:lang w:val="fr-FR"/>
        </w:rPr>
        <w:t>Environnement, de l</w:t>
      </w:r>
      <w:r w:rsidR="003E6D2D">
        <w:rPr>
          <w:lang w:val="fr-FR"/>
        </w:rPr>
        <w:t>’</w:t>
      </w:r>
      <w:r w:rsidRPr="005F599F">
        <w:rPr>
          <w:lang w:val="fr-FR"/>
        </w:rPr>
        <w:t xml:space="preserve">Alimentation et des Affaires rurales du </w:t>
      </w:r>
      <w:r w:rsidR="005F599F" w:rsidRPr="005F599F">
        <w:rPr>
          <w:lang w:val="fr-FR"/>
        </w:rPr>
        <w:t>Royaume-Uni de Grande Bretagne et d</w:t>
      </w:r>
      <w:r w:rsidR="003E6D2D">
        <w:rPr>
          <w:lang w:val="fr-FR"/>
        </w:rPr>
        <w:t>’</w:t>
      </w:r>
      <w:r w:rsidR="005F599F" w:rsidRPr="005F599F">
        <w:rPr>
          <w:lang w:val="fr-FR"/>
        </w:rPr>
        <w:t>Irlande du Nord</w:t>
      </w:r>
      <w:r w:rsidRPr="005F599F">
        <w:rPr>
          <w:lang w:val="fr-FR"/>
        </w:rPr>
        <w:t>, a indiqué que le nettoyage d</w:t>
      </w:r>
      <w:r w:rsidR="003E6D2D">
        <w:rPr>
          <w:lang w:val="fr-FR"/>
        </w:rPr>
        <w:t>’</w:t>
      </w:r>
      <w:r w:rsidRPr="005F599F">
        <w:rPr>
          <w:lang w:val="fr-FR"/>
        </w:rPr>
        <w:t>un condens</w:t>
      </w:r>
      <w:r w:rsidR="005F599F" w:rsidRPr="005F599F">
        <w:rPr>
          <w:lang w:val="fr-FR"/>
        </w:rPr>
        <w:t>e</w:t>
      </w:r>
      <w:r w:rsidRPr="005F599F">
        <w:rPr>
          <w:lang w:val="fr-FR"/>
        </w:rPr>
        <w:t xml:space="preserve">ur sale </w:t>
      </w:r>
      <w:r w:rsidR="005F599F" w:rsidRPr="005F599F">
        <w:rPr>
          <w:lang w:val="fr-FR"/>
        </w:rPr>
        <w:t>entraîne u</w:t>
      </w:r>
      <w:r w:rsidRPr="005F599F">
        <w:rPr>
          <w:lang w:val="fr-FR"/>
        </w:rPr>
        <w:t>ne économie d</w:t>
      </w:r>
      <w:r w:rsidR="003E6D2D">
        <w:rPr>
          <w:lang w:val="fr-FR"/>
        </w:rPr>
        <w:t>’</w:t>
      </w:r>
      <w:r w:rsidRPr="005F599F">
        <w:rPr>
          <w:lang w:val="fr-FR"/>
        </w:rPr>
        <w:t>énergie de 8 pour cent, et l</w:t>
      </w:r>
      <w:r w:rsidR="005F599F" w:rsidRPr="005F599F">
        <w:rPr>
          <w:lang w:val="fr-FR"/>
        </w:rPr>
        <w:t>a</w:t>
      </w:r>
      <w:r w:rsidRPr="005F599F">
        <w:rPr>
          <w:lang w:val="fr-FR"/>
        </w:rPr>
        <w:t xml:space="preserve"> </w:t>
      </w:r>
      <w:r w:rsidR="005F599F" w:rsidRPr="005F599F">
        <w:rPr>
          <w:lang w:val="fr-FR"/>
        </w:rPr>
        <w:t xml:space="preserve">réinitialisation </w:t>
      </w:r>
      <w:r w:rsidRPr="005F599F">
        <w:rPr>
          <w:lang w:val="fr-FR"/>
        </w:rPr>
        <w:t xml:space="preserve">du point de </w:t>
      </w:r>
      <w:r w:rsidR="005F599F" w:rsidRPr="005F599F">
        <w:rPr>
          <w:lang w:val="fr-FR"/>
        </w:rPr>
        <w:t xml:space="preserve">consigne de </w:t>
      </w:r>
      <w:r w:rsidRPr="005F599F">
        <w:rPr>
          <w:lang w:val="fr-FR"/>
        </w:rPr>
        <w:t xml:space="preserve">température à la température de conception </w:t>
      </w:r>
      <w:r w:rsidR="005F599F" w:rsidRPr="005F599F">
        <w:rPr>
          <w:lang w:val="fr-FR"/>
        </w:rPr>
        <w:t xml:space="preserve">aboutit à </w:t>
      </w:r>
      <w:r w:rsidRPr="005F599F">
        <w:rPr>
          <w:lang w:val="fr-FR"/>
        </w:rPr>
        <w:t>une économie d</w:t>
      </w:r>
      <w:r w:rsidR="003E6D2D">
        <w:rPr>
          <w:lang w:val="fr-FR"/>
        </w:rPr>
        <w:t>’</w:t>
      </w:r>
      <w:r w:rsidRPr="005F599F">
        <w:rPr>
          <w:lang w:val="fr-FR"/>
        </w:rPr>
        <w:t xml:space="preserve">énergie </w:t>
      </w:r>
      <w:r w:rsidR="005F599F" w:rsidRPr="005F599F">
        <w:rPr>
          <w:lang w:val="fr-FR"/>
        </w:rPr>
        <w:t>supplémentaire</w:t>
      </w:r>
      <w:r w:rsidRPr="005F599F">
        <w:rPr>
          <w:lang w:val="fr-FR"/>
        </w:rPr>
        <w:t xml:space="preserve"> de 11 pour cent (Swain, 2009) ;</w:t>
      </w:r>
    </w:p>
    <w:p w:rsidR="00EB56BA" w:rsidRPr="00C51E0A" w:rsidRDefault="005F599F" w:rsidP="005F599F">
      <w:pPr>
        <w:pStyle w:val="Heading2"/>
        <w:rPr>
          <w:lang w:val="fr-FR"/>
        </w:rPr>
      </w:pPr>
      <w:r w:rsidRPr="005F599F">
        <w:rPr>
          <w:lang w:val="fr-FR"/>
        </w:rPr>
        <w:t>Une étude effectuée par le gouvernement de Victoria en Australie a constaté que des améliorations apportées aux éléments techniques des systèmes de réfrigération et de climatisation ont le potentiel de réduire la consommation d</w:t>
      </w:r>
      <w:r w:rsidR="003E6D2D">
        <w:rPr>
          <w:lang w:val="fr-FR"/>
        </w:rPr>
        <w:t>’</w:t>
      </w:r>
      <w:r w:rsidRPr="005F599F">
        <w:rPr>
          <w:lang w:val="fr-FR"/>
        </w:rPr>
        <w:t>énergie de 15 à 40 pour cent ; l</w:t>
      </w:r>
      <w:r w:rsidR="003E6D2D">
        <w:rPr>
          <w:lang w:val="fr-FR"/>
        </w:rPr>
        <w:t>’</w:t>
      </w:r>
      <w:r w:rsidRPr="005F599F">
        <w:rPr>
          <w:lang w:val="fr-FR"/>
        </w:rPr>
        <w:t>amélioration des pratiques opérationnelles</w:t>
      </w:r>
      <w:r w:rsidR="005C0A7B">
        <w:rPr>
          <w:lang w:val="fr-FR"/>
        </w:rPr>
        <w:t>,</w:t>
      </w:r>
      <w:r w:rsidRPr="005F599F">
        <w:rPr>
          <w:lang w:val="fr-FR"/>
        </w:rPr>
        <w:t xml:space="preserve"> </w:t>
      </w:r>
      <w:r w:rsidR="00E55350">
        <w:rPr>
          <w:lang w:val="fr-FR"/>
        </w:rPr>
        <w:t>réalis</w:t>
      </w:r>
      <w:r w:rsidR="005C0A7B">
        <w:rPr>
          <w:lang w:val="fr-FR"/>
        </w:rPr>
        <w:t>able</w:t>
      </w:r>
      <w:r w:rsidR="00E55350">
        <w:rPr>
          <w:lang w:val="fr-FR"/>
        </w:rPr>
        <w:t xml:space="preserve"> à peu de frais</w:t>
      </w:r>
      <w:r w:rsidR="005C0A7B">
        <w:rPr>
          <w:lang w:val="fr-FR"/>
        </w:rPr>
        <w:t>,</w:t>
      </w:r>
      <w:r w:rsidR="00E55350">
        <w:rPr>
          <w:lang w:val="fr-FR"/>
        </w:rPr>
        <w:t xml:space="preserve"> </w:t>
      </w:r>
      <w:r w:rsidRPr="005F599F">
        <w:rPr>
          <w:lang w:val="fr-FR"/>
        </w:rPr>
        <w:t>peut souvent réduire les coûts énergétiques de 15 pour cent ou plus (</w:t>
      </w:r>
      <w:r>
        <w:rPr>
          <w:lang w:val="fr-FR"/>
        </w:rPr>
        <w:t>Sustainability</w:t>
      </w:r>
      <w:r w:rsidRPr="005F599F">
        <w:rPr>
          <w:lang w:val="fr-FR"/>
        </w:rPr>
        <w:t xml:space="preserve"> Victoria 2009) ;</w:t>
      </w:r>
    </w:p>
    <w:p w:rsidR="00EB56BA" w:rsidRPr="00C51E0A" w:rsidRDefault="005F599F" w:rsidP="00106281">
      <w:pPr>
        <w:pStyle w:val="Heading2"/>
        <w:rPr>
          <w:lang w:val="fr-FR"/>
        </w:rPr>
      </w:pPr>
      <w:r w:rsidRPr="00106281">
        <w:rPr>
          <w:lang w:val="fr-FR"/>
        </w:rPr>
        <w:t>L</w:t>
      </w:r>
      <w:r w:rsidR="003E6D2D">
        <w:rPr>
          <w:lang w:val="fr-FR"/>
        </w:rPr>
        <w:t>’</w:t>
      </w:r>
      <w:r w:rsidR="00106281" w:rsidRPr="00106281">
        <w:rPr>
          <w:lang w:val="fr-FR"/>
        </w:rPr>
        <w:t>I</w:t>
      </w:r>
      <w:r w:rsidRPr="00106281">
        <w:rPr>
          <w:lang w:val="fr-FR"/>
        </w:rPr>
        <w:t xml:space="preserve">nstitut </w:t>
      </w:r>
      <w:r w:rsidR="00106281" w:rsidRPr="00106281">
        <w:rPr>
          <w:lang w:val="fr-FR"/>
        </w:rPr>
        <w:t>agréé</w:t>
      </w:r>
      <w:r w:rsidRPr="00106281">
        <w:rPr>
          <w:lang w:val="fr-FR"/>
        </w:rPr>
        <w:t xml:space="preserve"> des techniciens de </w:t>
      </w:r>
      <w:r w:rsidR="00106281" w:rsidRPr="00106281">
        <w:rPr>
          <w:lang w:val="fr-FR"/>
        </w:rPr>
        <w:t>l</w:t>
      </w:r>
      <w:r w:rsidR="003E6D2D">
        <w:rPr>
          <w:lang w:val="fr-FR"/>
        </w:rPr>
        <w:t>’</w:t>
      </w:r>
      <w:r w:rsidR="00106281" w:rsidRPr="00106281">
        <w:rPr>
          <w:lang w:val="fr-FR"/>
        </w:rPr>
        <w:t xml:space="preserve">entretien des </w:t>
      </w:r>
      <w:r w:rsidR="00670D62" w:rsidRPr="00106281">
        <w:rPr>
          <w:lang w:val="fr-FR"/>
        </w:rPr>
        <w:t>bâtiments</w:t>
      </w:r>
      <w:r w:rsidRPr="00106281">
        <w:rPr>
          <w:lang w:val="fr-FR"/>
        </w:rPr>
        <w:t xml:space="preserve"> du Royaume-Uni de Grande-Bretagne et d</w:t>
      </w:r>
      <w:r w:rsidR="003E6D2D">
        <w:rPr>
          <w:lang w:val="fr-FR"/>
        </w:rPr>
        <w:t>’</w:t>
      </w:r>
      <w:r w:rsidRPr="00106281">
        <w:rPr>
          <w:lang w:val="fr-FR"/>
        </w:rPr>
        <w:t>Irlande du Nord estime qu</w:t>
      </w:r>
      <w:r w:rsidR="003E6D2D">
        <w:rPr>
          <w:lang w:val="fr-FR"/>
        </w:rPr>
        <w:t>’</w:t>
      </w:r>
      <w:r w:rsidR="00106281" w:rsidRPr="00106281">
        <w:rPr>
          <w:lang w:val="fr-FR"/>
        </w:rPr>
        <w:t xml:space="preserve">une économie </w:t>
      </w:r>
      <w:r w:rsidRPr="00106281">
        <w:rPr>
          <w:lang w:val="fr-FR"/>
        </w:rPr>
        <w:t>d</w:t>
      </w:r>
      <w:r w:rsidR="003E6D2D">
        <w:rPr>
          <w:lang w:val="fr-FR"/>
        </w:rPr>
        <w:t>’</w:t>
      </w:r>
      <w:r w:rsidRPr="00106281">
        <w:rPr>
          <w:lang w:val="fr-FR"/>
        </w:rPr>
        <w:t xml:space="preserve">environ 15 pour cent est réalisable pour les bâtiments résidentiels construits selon </w:t>
      </w:r>
      <w:r w:rsidR="00106281" w:rsidRPr="00106281">
        <w:rPr>
          <w:lang w:val="fr-FR"/>
        </w:rPr>
        <w:t>l</w:t>
      </w:r>
      <w:r w:rsidRPr="00106281">
        <w:rPr>
          <w:lang w:val="fr-FR"/>
        </w:rPr>
        <w:t xml:space="preserve">es normes et le code ; </w:t>
      </w:r>
      <w:r w:rsidR="00106281" w:rsidRPr="00106281">
        <w:rPr>
          <w:lang w:val="fr-FR"/>
        </w:rPr>
        <w:t>en outre</w:t>
      </w:r>
      <w:r w:rsidRPr="00106281">
        <w:rPr>
          <w:lang w:val="fr-FR"/>
        </w:rPr>
        <w:t>, plus de 20 pour cent d</w:t>
      </w:r>
      <w:r w:rsidR="003E6D2D">
        <w:rPr>
          <w:lang w:val="fr-FR"/>
        </w:rPr>
        <w:t>’</w:t>
      </w:r>
      <w:r w:rsidR="00106281" w:rsidRPr="00106281">
        <w:rPr>
          <w:lang w:val="fr-FR"/>
        </w:rPr>
        <w:t>économie peut</w:t>
      </w:r>
      <w:r w:rsidR="009D6C65">
        <w:rPr>
          <w:lang w:val="fr-FR"/>
        </w:rPr>
        <w:t xml:space="preserve"> également </w:t>
      </w:r>
      <w:r w:rsidR="00106281" w:rsidRPr="00106281">
        <w:rPr>
          <w:lang w:val="fr-FR"/>
        </w:rPr>
        <w:t>être réalisé</w:t>
      </w:r>
      <w:r w:rsidRPr="00106281">
        <w:rPr>
          <w:lang w:val="fr-FR"/>
        </w:rPr>
        <w:t xml:space="preserve"> </w:t>
      </w:r>
      <w:r w:rsidR="00106281" w:rsidRPr="00106281">
        <w:rPr>
          <w:lang w:val="fr-FR"/>
        </w:rPr>
        <w:t>en suivant les lignes directrices des bonnes pratiques</w:t>
      </w:r>
      <w:r w:rsidRPr="00106281">
        <w:rPr>
          <w:lang w:val="fr-FR"/>
        </w:rPr>
        <w:t xml:space="preserve"> ; et</w:t>
      </w:r>
    </w:p>
    <w:p w:rsidR="00EB56BA" w:rsidRPr="00C51E0A" w:rsidRDefault="00106281" w:rsidP="00CB445E">
      <w:pPr>
        <w:pStyle w:val="Heading2"/>
        <w:rPr>
          <w:lang w:val="fr-FR"/>
        </w:rPr>
      </w:pPr>
      <w:r w:rsidRPr="00CB445E">
        <w:rPr>
          <w:lang w:val="fr-FR"/>
        </w:rPr>
        <w:lastRenderedPageBreak/>
        <w:t>Des exemples de possibilités offertes en matière d</w:t>
      </w:r>
      <w:r w:rsidR="003E6D2D">
        <w:rPr>
          <w:lang w:val="fr-FR"/>
        </w:rPr>
        <w:t>’</w:t>
      </w:r>
      <w:r w:rsidRPr="00CB445E">
        <w:rPr>
          <w:lang w:val="fr-FR"/>
        </w:rPr>
        <w:t>efficacité pour la réfrigération, la climatisation et les pompes à chaleur sur la base d</w:t>
      </w:r>
      <w:r w:rsidR="003E6D2D">
        <w:rPr>
          <w:lang w:val="fr-FR"/>
        </w:rPr>
        <w:t>’</w:t>
      </w:r>
      <w:r w:rsidRPr="00CB445E">
        <w:rPr>
          <w:lang w:val="fr-FR"/>
        </w:rPr>
        <w:t xml:space="preserve">un meilleur fonctionnement et entretien émanant du </w:t>
      </w:r>
      <w:r w:rsidR="00CB445E" w:rsidRPr="00CB445E">
        <w:rPr>
          <w:lang w:val="fr-FR"/>
        </w:rPr>
        <w:t>Partenariat européen pour l</w:t>
      </w:r>
      <w:r w:rsidR="003E6D2D">
        <w:rPr>
          <w:lang w:val="fr-FR"/>
        </w:rPr>
        <w:t>’</w:t>
      </w:r>
      <w:r w:rsidR="00CB445E" w:rsidRPr="00CB445E">
        <w:rPr>
          <w:lang w:val="fr-FR"/>
        </w:rPr>
        <w:t>énergie et l</w:t>
      </w:r>
      <w:r w:rsidR="003E6D2D">
        <w:rPr>
          <w:lang w:val="fr-FR"/>
        </w:rPr>
        <w:t>’</w:t>
      </w:r>
      <w:r w:rsidR="00CB445E" w:rsidRPr="00CB445E">
        <w:rPr>
          <w:lang w:val="fr-FR"/>
        </w:rPr>
        <w:t>environnement</w:t>
      </w:r>
      <w:r w:rsidRPr="00CB445E">
        <w:rPr>
          <w:lang w:val="fr-FR"/>
        </w:rPr>
        <w:t xml:space="preserve"> sont présentés </w:t>
      </w:r>
      <w:r w:rsidR="00CB445E" w:rsidRPr="00CB445E">
        <w:rPr>
          <w:lang w:val="fr-FR"/>
        </w:rPr>
        <w:t>au</w:t>
      </w:r>
      <w:r w:rsidRPr="00CB445E">
        <w:rPr>
          <w:lang w:val="fr-FR"/>
        </w:rPr>
        <w:t xml:space="preserve"> tableau 2</w:t>
      </w:r>
      <w:r w:rsidR="009D6C65">
        <w:rPr>
          <w:lang w:val="fr-FR"/>
        </w:rPr>
        <w:t> </w:t>
      </w:r>
      <w:r w:rsidRPr="00CB445E">
        <w:rPr>
          <w:lang w:val="fr-FR"/>
        </w:rPr>
        <w:t>:</w:t>
      </w:r>
    </w:p>
    <w:p w:rsidR="00EB56BA" w:rsidRPr="00C51E0A" w:rsidRDefault="00CB445E" w:rsidP="00EB56BA">
      <w:pPr>
        <w:rPr>
          <w:b/>
          <w:lang w:val="fr-FR"/>
        </w:rPr>
      </w:pPr>
      <w:r w:rsidRPr="00385016">
        <w:rPr>
          <w:b/>
          <w:lang w:val="fr-FR"/>
        </w:rPr>
        <w:t>Tableau 2. Exemples</w:t>
      </w:r>
      <w:r w:rsidRPr="00385016">
        <w:rPr>
          <w:lang w:val="fr-FR"/>
        </w:rPr>
        <w:t xml:space="preserve"> </w:t>
      </w:r>
      <w:r w:rsidRPr="00385016">
        <w:rPr>
          <w:b/>
          <w:lang w:val="fr-FR"/>
        </w:rPr>
        <w:t>de possibilités offertes en matière d</w:t>
      </w:r>
      <w:r w:rsidR="003E6D2D" w:rsidRPr="00385016">
        <w:rPr>
          <w:b/>
          <w:lang w:val="fr-FR"/>
        </w:rPr>
        <w:t>’</w:t>
      </w:r>
      <w:r w:rsidRPr="00385016">
        <w:rPr>
          <w:b/>
          <w:lang w:val="fr-FR"/>
        </w:rPr>
        <w:t>efficacité pour la réfrigération, la</w:t>
      </w:r>
      <w:r w:rsidRPr="00CB445E">
        <w:rPr>
          <w:b/>
          <w:lang w:val="fr-FR"/>
        </w:rPr>
        <w:t xml:space="preserve"> climatisation et les pompes à chaleur sur la base d</w:t>
      </w:r>
      <w:r w:rsidR="003E6D2D">
        <w:rPr>
          <w:b/>
          <w:lang w:val="fr-FR"/>
        </w:rPr>
        <w:t>’</w:t>
      </w:r>
      <w:r w:rsidRPr="00CB445E">
        <w:rPr>
          <w:b/>
          <w:lang w:val="fr-FR"/>
        </w:rPr>
        <w:t>un meilleur fonctionnement et entretien</w:t>
      </w:r>
      <w:r w:rsidR="00EB56BA" w:rsidRPr="000E71B1">
        <w:rPr>
          <w:rStyle w:val="FootnoteReference"/>
          <w:b/>
          <w:szCs w:val="22"/>
          <w:lang w:val="en-US"/>
        </w:rPr>
        <w:footnoteReference w:id="33"/>
      </w:r>
    </w:p>
    <w:tbl>
      <w:tblPr>
        <w:tblStyle w:val="TableGrid"/>
        <w:tblW w:w="9445" w:type="dxa"/>
        <w:tblLook w:val="0420" w:firstRow="1" w:lastRow="0" w:firstColumn="0" w:lastColumn="0" w:noHBand="0" w:noVBand="1"/>
      </w:tblPr>
      <w:tblGrid>
        <w:gridCol w:w="2245"/>
        <w:gridCol w:w="5220"/>
        <w:gridCol w:w="1980"/>
      </w:tblGrid>
      <w:tr w:rsidR="00EB56BA" w:rsidRPr="00D27621" w:rsidTr="008D6D2A">
        <w:trPr>
          <w:tblHeader/>
        </w:trPr>
        <w:tc>
          <w:tcPr>
            <w:tcW w:w="2245" w:type="dxa"/>
            <w:hideMark/>
          </w:tcPr>
          <w:p w:rsidR="00EB56BA" w:rsidRPr="00D27621" w:rsidRDefault="00CB445E" w:rsidP="002A237B">
            <w:pPr>
              <w:pStyle w:val="ListParagraph"/>
              <w:ind w:left="0"/>
              <w:jc w:val="left"/>
              <w:rPr>
                <w:b/>
                <w:sz w:val="20"/>
                <w:szCs w:val="20"/>
                <w:lang w:val="en-CA"/>
              </w:rPr>
            </w:pPr>
            <w:r w:rsidRPr="00CB445E">
              <w:rPr>
                <w:b/>
                <w:bCs/>
                <w:sz w:val="20"/>
                <w:szCs w:val="20"/>
                <w:lang w:val="fr-FR"/>
              </w:rPr>
              <w:t>Action</w:t>
            </w:r>
          </w:p>
        </w:tc>
        <w:tc>
          <w:tcPr>
            <w:tcW w:w="5220" w:type="dxa"/>
            <w:hideMark/>
          </w:tcPr>
          <w:p w:rsidR="00EB56BA" w:rsidRPr="00D27621" w:rsidRDefault="00CB445E" w:rsidP="002A237B">
            <w:pPr>
              <w:jc w:val="left"/>
              <w:rPr>
                <w:b/>
                <w:sz w:val="20"/>
                <w:szCs w:val="20"/>
                <w:lang w:val="en-CA"/>
              </w:rPr>
            </w:pPr>
            <w:r w:rsidRPr="00CB445E">
              <w:rPr>
                <w:b/>
                <w:bCs/>
                <w:sz w:val="20"/>
                <w:szCs w:val="20"/>
                <w:lang w:val="fr-FR"/>
              </w:rPr>
              <w:t>Explication</w:t>
            </w:r>
          </w:p>
        </w:tc>
        <w:tc>
          <w:tcPr>
            <w:tcW w:w="1980" w:type="dxa"/>
            <w:hideMark/>
          </w:tcPr>
          <w:p w:rsidR="00EB56BA" w:rsidRPr="00D27621" w:rsidRDefault="00CB445E" w:rsidP="002A237B">
            <w:pPr>
              <w:rPr>
                <w:b/>
                <w:sz w:val="20"/>
                <w:szCs w:val="20"/>
                <w:lang w:val="en-CA"/>
              </w:rPr>
            </w:pPr>
            <w:r w:rsidRPr="00CB445E">
              <w:rPr>
                <w:b/>
                <w:bCs/>
                <w:sz w:val="20"/>
                <w:szCs w:val="20"/>
                <w:lang w:val="fr-FR"/>
              </w:rPr>
              <w:t>Impact</w:t>
            </w:r>
          </w:p>
        </w:tc>
      </w:tr>
      <w:tr w:rsidR="00EB56BA" w:rsidRPr="00C51E0A" w:rsidTr="008D6D2A">
        <w:tc>
          <w:tcPr>
            <w:tcW w:w="2245" w:type="dxa"/>
            <w:hideMark/>
          </w:tcPr>
          <w:p w:rsidR="00EB56BA" w:rsidRPr="00D27621" w:rsidRDefault="00CB445E" w:rsidP="00385016">
            <w:pPr>
              <w:jc w:val="left"/>
              <w:rPr>
                <w:sz w:val="20"/>
                <w:szCs w:val="20"/>
                <w:lang w:val="en-CA"/>
              </w:rPr>
            </w:pPr>
            <w:r w:rsidRPr="00CB445E">
              <w:rPr>
                <w:bCs/>
                <w:sz w:val="20"/>
                <w:szCs w:val="20"/>
                <w:lang w:val="fr-FR"/>
              </w:rPr>
              <w:t>Aucune</w:t>
            </w:r>
            <w:r w:rsidR="00385016">
              <w:rPr>
                <w:bCs/>
                <w:sz w:val="20"/>
                <w:szCs w:val="20"/>
                <w:lang w:val="fr-FR"/>
              </w:rPr>
              <w:t>s</w:t>
            </w:r>
            <w:r w:rsidRPr="00CB445E">
              <w:rPr>
                <w:bCs/>
                <w:sz w:val="20"/>
                <w:szCs w:val="20"/>
                <w:lang w:val="fr-FR"/>
              </w:rPr>
              <w:t xml:space="preserve"> fuites de frigorigènes</w:t>
            </w:r>
          </w:p>
        </w:tc>
        <w:tc>
          <w:tcPr>
            <w:tcW w:w="5220" w:type="dxa"/>
            <w:hideMark/>
          </w:tcPr>
          <w:p w:rsidR="00EB56BA" w:rsidRPr="00C51E0A" w:rsidRDefault="00CB445E" w:rsidP="002A237B">
            <w:pPr>
              <w:jc w:val="left"/>
              <w:rPr>
                <w:sz w:val="20"/>
                <w:szCs w:val="20"/>
                <w:lang w:val="fr-FR"/>
              </w:rPr>
            </w:pPr>
            <w:r w:rsidRPr="00CB445E">
              <w:rPr>
                <w:sz w:val="20"/>
                <w:szCs w:val="20"/>
                <w:lang w:val="fr-FR"/>
              </w:rPr>
              <w:t>Une charge de frigorigène trop faible augmente le temps de fonctionnement du compresseur et finalement une perte de capacité.</w:t>
            </w:r>
            <w:r w:rsidR="00EB56BA" w:rsidRPr="00C51E0A">
              <w:rPr>
                <w:sz w:val="20"/>
                <w:szCs w:val="20"/>
                <w:lang w:val="fr-FR"/>
              </w:rPr>
              <w:t xml:space="preserve"> </w:t>
            </w:r>
            <w:r w:rsidRPr="00CB445E">
              <w:rPr>
                <w:sz w:val="20"/>
                <w:szCs w:val="20"/>
                <w:lang w:val="fr-FR"/>
              </w:rPr>
              <w:t>Le moteur/</w:t>
            </w:r>
            <w:r w:rsidR="00670D62">
              <w:rPr>
                <w:sz w:val="20"/>
                <w:szCs w:val="20"/>
                <w:lang w:val="fr-FR"/>
              </w:rPr>
              <w:t xml:space="preserve">les </w:t>
            </w:r>
            <w:r w:rsidRPr="00CB445E">
              <w:rPr>
                <w:sz w:val="20"/>
                <w:szCs w:val="20"/>
                <w:lang w:val="fr-FR"/>
              </w:rPr>
              <w:t>compresseurs risquent par la suite d</w:t>
            </w:r>
            <w:r w:rsidR="003E6D2D">
              <w:rPr>
                <w:sz w:val="20"/>
                <w:szCs w:val="20"/>
                <w:lang w:val="fr-FR"/>
              </w:rPr>
              <w:t>’</w:t>
            </w:r>
            <w:r w:rsidRPr="00CB445E">
              <w:rPr>
                <w:sz w:val="20"/>
                <w:szCs w:val="20"/>
                <w:lang w:val="fr-FR"/>
              </w:rPr>
              <w:t>être défaillants</w:t>
            </w:r>
          </w:p>
        </w:tc>
        <w:tc>
          <w:tcPr>
            <w:tcW w:w="1980" w:type="dxa"/>
            <w:hideMark/>
          </w:tcPr>
          <w:p w:rsidR="00EB56BA" w:rsidRPr="00C51E0A" w:rsidRDefault="00CB445E" w:rsidP="002A237B">
            <w:pPr>
              <w:jc w:val="left"/>
              <w:rPr>
                <w:sz w:val="20"/>
                <w:szCs w:val="20"/>
                <w:lang w:val="fr-FR"/>
              </w:rPr>
            </w:pPr>
            <w:r w:rsidRPr="00CB445E">
              <w:rPr>
                <w:bCs/>
                <w:sz w:val="20"/>
                <w:szCs w:val="20"/>
                <w:lang w:val="fr-FR"/>
              </w:rPr>
              <w:t>+ 30 pour cent de consommation d</w:t>
            </w:r>
            <w:r w:rsidR="003E6D2D">
              <w:rPr>
                <w:bCs/>
                <w:sz w:val="20"/>
                <w:szCs w:val="20"/>
                <w:lang w:val="fr-FR"/>
              </w:rPr>
              <w:t>’</w:t>
            </w:r>
            <w:r w:rsidRPr="00CB445E">
              <w:rPr>
                <w:bCs/>
                <w:sz w:val="20"/>
                <w:szCs w:val="20"/>
                <w:lang w:val="fr-FR"/>
              </w:rPr>
              <w:t>énergie</w:t>
            </w:r>
          </w:p>
        </w:tc>
      </w:tr>
      <w:tr w:rsidR="00EB56BA" w:rsidRPr="00C51E0A" w:rsidTr="008D6D2A">
        <w:tc>
          <w:tcPr>
            <w:tcW w:w="2245" w:type="dxa"/>
            <w:hideMark/>
          </w:tcPr>
          <w:p w:rsidR="00EB56BA" w:rsidRPr="00C51E0A" w:rsidRDefault="00CB445E" w:rsidP="002A237B">
            <w:pPr>
              <w:jc w:val="left"/>
              <w:rPr>
                <w:sz w:val="20"/>
                <w:szCs w:val="20"/>
                <w:lang w:val="fr-FR"/>
              </w:rPr>
            </w:pPr>
            <w:r w:rsidRPr="00D567F3">
              <w:rPr>
                <w:bCs/>
                <w:sz w:val="20"/>
                <w:szCs w:val="20"/>
                <w:lang w:val="fr-FR"/>
              </w:rPr>
              <w:t>Condenseur et serpentins d</w:t>
            </w:r>
            <w:r w:rsidR="003E6D2D">
              <w:rPr>
                <w:bCs/>
                <w:sz w:val="20"/>
                <w:szCs w:val="20"/>
                <w:lang w:val="fr-FR"/>
              </w:rPr>
              <w:t>’</w:t>
            </w:r>
            <w:r w:rsidRPr="00D567F3">
              <w:rPr>
                <w:bCs/>
                <w:sz w:val="20"/>
                <w:szCs w:val="20"/>
                <w:lang w:val="fr-FR"/>
              </w:rPr>
              <w:t>évaporat</w:t>
            </w:r>
            <w:r w:rsidR="00D567F3">
              <w:rPr>
                <w:bCs/>
                <w:sz w:val="20"/>
                <w:szCs w:val="20"/>
                <w:lang w:val="fr-FR"/>
              </w:rPr>
              <w:t>eur</w:t>
            </w:r>
            <w:r w:rsidRPr="00D567F3">
              <w:rPr>
                <w:bCs/>
                <w:sz w:val="20"/>
                <w:szCs w:val="20"/>
                <w:lang w:val="fr-FR"/>
              </w:rPr>
              <w:t xml:space="preserve"> propres</w:t>
            </w:r>
          </w:p>
        </w:tc>
        <w:tc>
          <w:tcPr>
            <w:tcW w:w="5220" w:type="dxa"/>
            <w:hideMark/>
          </w:tcPr>
          <w:p w:rsidR="00EB56BA" w:rsidRPr="00C51E0A" w:rsidRDefault="00D567F3" w:rsidP="000929FD">
            <w:pPr>
              <w:jc w:val="left"/>
              <w:rPr>
                <w:sz w:val="20"/>
                <w:szCs w:val="20"/>
                <w:lang w:val="fr-FR"/>
              </w:rPr>
            </w:pPr>
            <w:r w:rsidRPr="00D567F3">
              <w:rPr>
                <w:sz w:val="20"/>
                <w:szCs w:val="20"/>
                <w:lang w:val="fr-FR"/>
              </w:rPr>
              <w:t xml:space="preserve">Chaque élévation </w:t>
            </w:r>
            <w:r w:rsidRPr="00385016">
              <w:rPr>
                <w:sz w:val="20"/>
                <w:szCs w:val="20"/>
                <w:lang w:val="fr-FR"/>
              </w:rPr>
              <w:t>de 1K</w:t>
            </w:r>
            <w:r w:rsidRPr="00D567F3">
              <w:rPr>
                <w:rStyle w:val="FootnoteReference"/>
                <w:sz w:val="20"/>
                <w:lang w:val="fr-FR"/>
              </w:rPr>
              <w:footnoteReference w:id="34"/>
            </w:r>
            <w:r w:rsidRPr="00D567F3">
              <w:rPr>
                <w:sz w:val="20"/>
                <w:szCs w:val="20"/>
                <w:lang w:val="fr-FR"/>
              </w:rPr>
              <w:t xml:space="preserve"> de la température de condensation peut réduire la capacité de l</w:t>
            </w:r>
            <w:r w:rsidR="003E6D2D">
              <w:rPr>
                <w:sz w:val="20"/>
                <w:szCs w:val="20"/>
                <w:lang w:val="fr-FR"/>
              </w:rPr>
              <w:t>’</w:t>
            </w:r>
            <w:r w:rsidRPr="00D567F3">
              <w:rPr>
                <w:sz w:val="20"/>
                <w:szCs w:val="20"/>
                <w:lang w:val="fr-FR"/>
              </w:rPr>
              <w:t>évaporateur de 1,35 pour cent et augmenter la consommation d</w:t>
            </w:r>
            <w:r w:rsidR="003E6D2D">
              <w:rPr>
                <w:sz w:val="20"/>
                <w:szCs w:val="20"/>
                <w:lang w:val="fr-FR"/>
              </w:rPr>
              <w:t>’</w:t>
            </w:r>
            <w:r w:rsidRPr="00D567F3">
              <w:rPr>
                <w:sz w:val="20"/>
                <w:szCs w:val="20"/>
                <w:lang w:val="fr-FR"/>
              </w:rPr>
              <w:t>énergie</w:t>
            </w:r>
          </w:p>
          <w:p w:rsidR="00EB56BA" w:rsidRPr="00C51E0A" w:rsidRDefault="00D567F3" w:rsidP="002A237B">
            <w:pPr>
              <w:jc w:val="left"/>
              <w:rPr>
                <w:sz w:val="20"/>
                <w:szCs w:val="20"/>
                <w:lang w:val="fr-FR"/>
              </w:rPr>
            </w:pPr>
            <w:r w:rsidRPr="00D567F3">
              <w:rPr>
                <w:sz w:val="20"/>
                <w:szCs w:val="20"/>
                <w:lang w:val="fr-FR"/>
              </w:rPr>
              <w:t>Un serpentin d</w:t>
            </w:r>
            <w:r w:rsidR="003E6D2D">
              <w:rPr>
                <w:sz w:val="20"/>
                <w:szCs w:val="20"/>
                <w:lang w:val="fr-FR"/>
              </w:rPr>
              <w:t>’</w:t>
            </w:r>
            <w:r w:rsidRPr="00D567F3">
              <w:rPr>
                <w:sz w:val="20"/>
                <w:szCs w:val="20"/>
                <w:lang w:val="fr-FR"/>
              </w:rPr>
              <w:t>évaporateur sale risque d</w:t>
            </w:r>
            <w:r w:rsidR="003E6D2D">
              <w:rPr>
                <w:sz w:val="20"/>
                <w:szCs w:val="20"/>
                <w:lang w:val="fr-FR"/>
              </w:rPr>
              <w:t>’</w:t>
            </w:r>
            <w:r w:rsidRPr="00D567F3">
              <w:rPr>
                <w:sz w:val="20"/>
                <w:szCs w:val="20"/>
                <w:lang w:val="fr-FR"/>
              </w:rPr>
              <w:t>entraîner</w:t>
            </w:r>
            <w:r w:rsidR="003E6D2D">
              <w:rPr>
                <w:sz w:val="20"/>
                <w:szCs w:val="20"/>
                <w:lang w:val="fr-FR"/>
              </w:rPr>
              <w:t xml:space="preserve"> </w:t>
            </w:r>
            <w:r w:rsidRPr="00D567F3">
              <w:rPr>
                <w:sz w:val="20"/>
                <w:szCs w:val="20"/>
                <w:lang w:val="fr-FR"/>
              </w:rPr>
              <w:t>un rendement réduit du système sans réduction du courant de fonctionnement du moteur/compresseur</w:t>
            </w:r>
            <w:r w:rsidR="00EB56BA" w:rsidRPr="00C51E0A">
              <w:rPr>
                <w:sz w:val="20"/>
                <w:szCs w:val="20"/>
                <w:lang w:val="fr-FR"/>
              </w:rPr>
              <w:t xml:space="preserve"> </w:t>
            </w:r>
          </w:p>
        </w:tc>
        <w:tc>
          <w:tcPr>
            <w:tcW w:w="1980" w:type="dxa"/>
            <w:hideMark/>
          </w:tcPr>
          <w:p w:rsidR="00EB56BA" w:rsidRPr="00C51E0A" w:rsidRDefault="00D567F3" w:rsidP="002A237B">
            <w:pPr>
              <w:jc w:val="left"/>
              <w:rPr>
                <w:sz w:val="20"/>
                <w:szCs w:val="20"/>
                <w:lang w:val="fr-FR"/>
              </w:rPr>
            </w:pPr>
            <w:r w:rsidRPr="00D567F3">
              <w:rPr>
                <w:bCs/>
                <w:sz w:val="20"/>
                <w:szCs w:val="20"/>
                <w:lang w:val="fr-FR"/>
              </w:rPr>
              <w:t>+8 pour cent de consommation d</w:t>
            </w:r>
            <w:r w:rsidR="003E6D2D">
              <w:rPr>
                <w:bCs/>
                <w:sz w:val="20"/>
                <w:szCs w:val="20"/>
                <w:lang w:val="fr-FR"/>
              </w:rPr>
              <w:t>’</w:t>
            </w:r>
            <w:r w:rsidRPr="00D567F3">
              <w:rPr>
                <w:bCs/>
                <w:sz w:val="20"/>
                <w:szCs w:val="20"/>
                <w:lang w:val="fr-FR"/>
              </w:rPr>
              <w:t>énergie</w:t>
            </w:r>
          </w:p>
        </w:tc>
      </w:tr>
      <w:tr w:rsidR="00EB56BA" w:rsidRPr="00C51E0A" w:rsidTr="008D6D2A">
        <w:tc>
          <w:tcPr>
            <w:tcW w:w="2245" w:type="dxa"/>
            <w:hideMark/>
          </w:tcPr>
          <w:p w:rsidR="00EB56BA" w:rsidRPr="00C51E0A" w:rsidRDefault="00D567F3" w:rsidP="002A237B">
            <w:pPr>
              <w:jc w:val="left"/>
              <w:rPr>
                <w:sz w:val="20"/>
                <w:szCs w:val="20"/>
                <w:lang w:val="fr-FR"/>
              </w:rPr>
            </w:pPr>
            <w:r w:rsidRPr="00D567F3">
              <w:rPr>
                <w:bCs/>
                <w:sz w:val="20"/>
                <w:szCs w:val="20"/>
                <w:lang w:val="fr-FR"/>
              </w:rPr>
              <w:t>Nettoyage ou remplacement réguliers des filtres</w:t>
            </w:r>
          </w:p>
        </w:tc>
        <w:tc>
          <w:tcPr>
            <w:tcW w:w="5220" w:type="dxa"/>
            <w:hideMark/>
          </w:tcPr>
          <w:p w:rsidR="00EB56BA" w:rsidRPr="00C51E0A" w:rsidRDefault="00D567F3" w:rsidP="000929FD">
            <w:pPr>
              <w:jc w:val="left"/>
              <w:rPr>
                <w:sz w:val="20"/>
                <w:szCs w:val="20"/>
                <w:lang w:val="fr-FR"/>
              </w:rPr>
            </w:pPr>
            <w:r w:rsidRPr="00D567F3">
              <w:rPr>
                <w:sz w:val="20"/>
                <w:szCs w:val="20"/>
                <w:lang w:val="fr-FR"/>
              </w:rPr>
              <w:t>Des filtres sales auront comme conséquence de réduire le rendement du système</w:t>
            </w:r>
            <w:r w:rsidR="003E6D2D">
              <w:rPr>
                <w:sz w:val="20"/>
                <w:szCs w:val="20"/>
                <w:lang w:val="fr-FR"/>
              </w:rPr>
              <w:t xml:space="preserve"> </w:t>
            </w:r>
            <w:r w:rsidRPr="00D567F3">
              <w:rPr>
                <w:sz w:val="20"/>
                <w:szCs w:val="20"/>
                <w:lang w:val="fr-FR"/>
              </w:rPr>
              <w:t>(de 2 à 4 pour cent pour chaque réduction de 1K de la température d</w:t>
            </w:r>
            <w:r w:rsidR="003E6D2D">
              <w:rPr>
                <w:sz w:val="20"/>
                <w:szCs w:val="20"/>
                <w:lang w:val="fr-FR"/>
              </w:rPr>
              <w:t>’</w:t>
            </w:r>
            <w:r w:rsidRPr="00D567F3">
              <w:rPr>
                <w:sz w:val="20"/>
                <w:szCs w:val="20"/>
                <w:lang w:val="fr-FR"/>
              </w:rPr>
              <w:t>évaporation) sans réduction du courant de fonctionnement du moteur/compresseur</w:t>
            </w:r>
            <w:r w:rsidR="00EB56BA" w:rsidRPr="00C51E0A">
              <w:rPr>
                <w:sz w:val="20"/>
                <w:szCs w:val="20"/>
                <w:lang w:val="fr-FR"/>
              </w:rPr>
              <w:t xml:space="preserve"> </w:t>
            </w:r>
          </w:p>
          <w:p w:rsidR="00EB56BA" w:rsidRPr="00C51E0A" w:rsidRDefault="00D567F3" w:rsidP="005C0A7B">
            <w:pPr>
              <w:jc w:val="left"/>
              <w:rPr>
                <w:sz w:val="20"/>
                <w:szCs w:val="20"/>
                <w:lang w:val="fr-FR"/>
              </w:rPr>
            </w:pPr>
            <w:r w:rsidRPr="00D567F3">
              <w:rPr>
                <w:sz w:val="20"/>
                <w:szCs w:val="20"/>
                <w:lang w:val="fr-FR"/>
              </w:rPr>
              <w:t xml:space="preserve">Les filtres ayant un taux de filtrage trop faible </w:t>
            </w:r>
            <w:r w:rsidR="005C0A7B">
              <w:rPr>
                <w:sz w:val="20"/>
                <w:szCs w:val="20"/>
                <w:lang w:val="fr-FR"/>
              </w:rPr>
              <w:t>produis</w:t>
            </w:r>
            <w:r w:rsidR="00385016">
              <w:rPr>
                <w:sz w:val="20"/>
                <w:szCs w:val="20"/>
                <w:lang w:val="fr-FR"/>
              </w:rPr>
              <w:t xml:space="preserve">ent </w:t>
            </w:r>
            <w:r w:rsidRPr="00D567F3">
              <w:rPr>
                <w:sz w:val="20"/>
                <w:szCs w:val="20"/>
                <w:lang w:val="fr-FR"/>
              </w:rPr>
              <w:t>des serpentins et les ventilateurs de refroidissement sales</w:t>
            </w:r>
          </w:p>
        </w:tc>
        <w:tc>
          <w:tcPr>
            <w:tcW w:w="1980" w:type="dxa"/>
            <w:hideMark/>
          </w:tcPr>
          <w:p w:rsidR="00EB56BA" w:rsidRPr="00C51E0A" w:rsidRDefault="00D567F3" w:rsidP="002A237B">
            <w:pPr>
              <w:jc w:val="left"/>
              <w:rPr>
                <w:sz w:val="20"/>
                <w:szCs w:val="20"/>
                <w:lang w:val="fr-FR"/>
              </w:rPr>
            </w:pPr>
            <w:r w:rsidRPr="00D567F3">
              <w:rPr>
                <w:bCs/>
                <w:sz w:val="20"/>
                <w:szCs w:val="20"/>
                <w:lang w:val="fr-FR"/>
              </w:rPr>
              <w:t>Économie moyenne de 25 pour cent</w:t>
            </w:r>
          </w:p>
        </w:tc>
      </w:tr>
      <w:tr w:rsidR="00EB56BA" w:rsidRPr="00C51E0A" w:rsidTr="008D6D2A">
        <w:tc>
          <w:tcPr>
            <w:tcW w:w="2245" w:type="dxa"/>
            <w:hideMark/>
          </w:tcPr>
          <w:p w:rsidR="00EB56BA" w:rsidRPr="00C51E0A" w:rsidRDefault="008E40E6" w:rsidP="002A237B">
            <w:pPr>
              <w:jc w:val="left"/>
              <w:rPr>
                <w:sz w:val="20"/>
                <w:szCs w:val="20"/>
                <w:lang w:val="fr-FR"/>
              </w:rPr>
            </w:pPr>
            <w:r>
              <w:rPr>
                <w:bCs/>
                <w:sz w:val="20"/>
                <w:szCs w:val="20"/>
                <w:lang w:val="fr-FR"/>
              </w:rPr>
              <w:t xml:space="preserve">Vérification </w:t>
            </w:r>
            <w:r w:rsidR="00D567F3" w:rsidRPr="008E40E6">
              <w:rPr>
                <w:bCs/>
                <w:sz w:val="20"/>
                <w:szCs w:val="20"/>
                <w:lang w:val="fr-FR"/>
              </w:rPr>
              <w:t xml:space="preserve">du fonctionnement et des réglages du </w:t>
            </w:r>
            <w:r w:rsidRPr="008E40E6">
              <w:rPr>
                <w:bCs/>
                <w:sz w:val="20"/>
                <w:szCs w:val="20"/>
                <w:lang w:val="fr-FR"/>
              </w:rPr>
              <w:t>dispositif de commande</w:t>
            </w:r>
          </w:p>
        </w:tc>
        <w:tc>
          <w:tcPr>
            <w:tcW w:w="5220" w:type="dxa"/>
            <w:hideMark/>
          </w:tcPr>
          <w:p w:rsidR="00EB56BA" w:rsidRPr="00C51E0A" w:rsidRDefault="008E40E6" w:rsidP="005C0A7B">
            <w:pPr>
              <w:jc w:val="left"/>
              <w:rPr>
                <w:sz w:val="20"/>
                <w:szCs w:val="20"/>
                <w:lang w:val="fr-FR"/>
              </w:rPr>
            </w:pPr>
            <w:r w:rsidRPr="008E40E6">
              <w:rPr>
                <w:sz w:val="20"/>
                <w:szCs w:val="20"/>
                <w:lang w:val="fr-FR"/>
              </w:rPr>
              <w:t>S</w:t>
            </w:r>
            <w:r w:rsidR="003E6D2D">
              <w:rPr>
                <w:sz w:val="20"/>
                <w:szCs w:val="20"/>
                <w:lang w:val="fr-FR"/>
              </w:rPr>
              <w:t>’</w:t>
            </w:r>
            <w:r w:rsidRPr="008E40E6">
              <w:rPr>
                <w:sz w:val="20"/>
                <w:szCs w:val="20"/>
                <w:lang w:val="fr-FR"/>
              </w:rPr>
              <w:t>assurer que le mode utilisé est approprié, que la température est réglée correctement (généralement entre 19 et 23</w:t>
            </w:r>
            <w:r w:rsidRPr="008E40E6">
              <w:rPr>
                <w:sz w:val="20"/>
                <w:szCs w:val="20"/>
                <w:vertAlign w:val="superscript"/>
                <w:lang w:val="fr-FR"/>
              </w:rPr>
              <w:t>o</w:t>
            </w:r>
            <w:r w:rsidRPr="008E40E6">
              <w:rPr>
                <w:sz w:val="20"/>
                <w:szCs w:val="20"/>
                <w:lang w:val="fr-FR"/>
              </w:rPr>
              <w:t xml:space="preserve"> C), que la vitesse sélectionnée pour le ventilateur est adéquate, que les </w:t>
            </w:r>
            <w:r w:rsidR="005C0A7B">
              <w:rPr>
                <w:sz w:val="20"/>
                <w:szCs w:val="20"/>
                <w:lang w:val="fr-FR"/>
              </w:rPr>
              <w:t xml:space="preserve">horaires </w:t>
            </w:r>
            <w:r w:rsidRPr="008E40E6">
              <w:rPr>
                <w:sz w:val="20"/>
                <w:szCs w:val="20"/>
                <w:lang w:val="fr-FR"/>
              </w:rPr>
              <w:t>sont corrects et que chaque fonction fonctionne correctement</w:t>
            </w:r>
          </w:p>
        </w:tc>
        <w:tc>
          <w:tcPr>
            <w:tcW w:w="1980" w:type="dxa"/>
            <w:hideMark/>
          </w:tcPr>
          <w:p w:rsidR="00EB56BA" w:rsidRPr="00C51E0A" w:rsidRDefault="008E40E6" w:rsidP="002A237B">
            <w:pPr>
              <w:jc w:val="left"/>
              <w:rPr>
                <w:sz w:val="20"/>
                <w:szCs w:val="20"/>
                <w:lang w:val="fr-FR"/>
              </w:rPr>
            </w:pPr>
            <w:r w:rsidRPr="008E40E6">
              <w:rPr>
                <w:bCs/>
                <w:sz w:val="20"/>
                <w:szCs w:val="20"/>
                <w:lang w:val="fr-FR"/>
              </w:rPr>
              <w:t>Économie moyenne de 97 pour cent</w:t>
            </w:r>
            <w:r w:rsidRPr="008E40E6">
              <w:rPr>
                <w:rStyle w:val="FootnoteReference"/>
                <w:bCs/>
                <w:sz w:val="20"/>
                <w:lang w:val="fr-FR"/>
              </w:rPr>
              <w:footnoteReference w:id="35"/>
            </w:r>
          </w:p>
        </w:tc>
      </w:tr>
      <w:tr w:rsidR="00EB56BA" w:rsidRPr="00C51E0A" w:rsidTr="008D6D2A">
        <w:tc>
          <w:tcPr>
            <w:tcW w:w="2245" w:type="dxa"/>
            <w:hideMark/>
          </w:tcPr>
          <w:p w:rsidR="00EB56BA" w:rsidRPr="00C51E0A" w:rsidRDefault="008E40E6" w:rsidP="002A237B">
            <w:pPr>
              <w:jc w:val="left"/>
              <w:rPr>
                <w:sz w:val="20"/>
                <w:szCs w:val="20"/>
                <w:lang w:val="fr-FR"/>
              </w:rPr>
            </w:pPr>
            <w:r w:rsidRPr="008E40E6">
              <w:rPr>
                <w:bCs/>
                <w:sz w:val="20"/>
                <w:szCs w:val="20"/>
                <w:lang w:val="fr-FR"/>
              </w:rPr>
              <w:t>Vérification des dispositifs de contrôle de la pression du condenseur</w:t>
            </w:r>
          </w:p>
        </w:tc>
        <w:tc>
          <w:tcPr>
            <w:tcW w:w="5220" w:type="dxa"/>
            <w:hideMark/>
          </w:tcPr>
          <w:p w:rsidR="00EB56BA" w:rsidRPr="00C51E0A" w:rsidRDefault="008E40E6" w:rsidP="000929FD">
            <w:pPr>
              <w:jc w:val="left"/>
              <w:rPr>
                <w:sz w:val="20"/>
                <w:szCs w:val="20"/>
                <w:lang w:val="fr-FR"/>
              </w:rPr>
            </w:pPr>
            <w:r w:rsidRPr="008D6D2A">
              <w:rPr>
                <w:sz w:val="20"/>
                <w:szCs w:val="20"/>
                <w:lang w:val="fr-FR"/>
              </w:rPr>
              <w:t>Les unités de commandes et les amortisseurs</w:t>
            </w:r>
            <w:r w:rsidR="003E6D2D">
              <w:rPr>
                <w:sz w:val="20"/>
                <w:szCs w:val="20"/>
                <w:lang w:val="fr-FR"/>
              </w:rPr>
              <w:t xml:space="preserve"> </w:t>
            </w:r>
            <w:r w:rsidRPr="008D6D2A">
              <w:rPr>
                <w:sz w:val="20"/>
                <w:szCs w:val="20"/>
                <w:lang w:val="fr-FR"/>
              </w:rPr>
              <w:t>d</w:t>
            </w:r>
            <w:r w:rsidR="00530133" w:rsidRPr="008D6D2A">
              <w:rPr>
                <w:sz w:val="20"/>
                <w:szCs w:val="20"/>
                <w:lang w:val="fr-FR"/>
              </w:rPr>
              <w:t xml:space="preserve">u cycle/vitesse du ventilateur </w:t>
            </w:r>
            <w:r w:rsidRPr="008D6D2A">
              <w:rPr>
                <w:sz w:val="20"/>
                <w:szCs w:val="20"/>
                <w:lang w:val="fr-FR"/>
              </w:rPr>
              <w:t xml:space="preserve">non réglés correctement </w:t>
            </w:r>
            <w:r w:rsidR="00530133" w:rsidRPr="008D6D2A">
              <w:rPr>
                <w:sz w:val="20"/>
                <w:szCs w:val="20"/>
                <w:lang w:val="fr-FR"/>
              </w:rPr>
              <w:t xml:space="preserve">peuvent </w:t>
            </w:r>
            <w:r w:rsidR="00385016">
              <w:rPr>
                <w:sz w:val="20"/>
                <w:szCs w:val="20"/>
                <w:lang w:val="fr-FR"/>
              </w:rPr>
              <w:t xml:space="preserve">occasionner </w:t>
            </w:r>
            <w:r w:rsidR="00530133" w:rsidRPr="008D6D2A">
              <w:rPr>
                <w:sz w:val="20"/>
                <w:szCs w:val="20"/>
                <w:lang w:val="fr-FR"/>
              </w:rPr>
              <w:t>une sur-condensation ou une</w:t>
            </w:r>
            <w:r w:rsidRPr="008D6D2A">
              <w:rPr>
                <w:sz w:val="20"/>
                <w:szCs w:val="20"/>
                <w:lang w:val="fr-FR"/>
              </w:rPr>
              <w:t xml:space="preserve"> sous-condensation, ayant pour résultat </w:t>
            </w:r>
            <w:r w:rsidR="00530133" w:rsidRPr="008D6D2A">
              <w:rPr>
                <w:sz w:val="20"/>
                <w:szCs w:val="20"/>
                <w:lang w:val="fr-FR"/>
              </w:rPr>
              <w:t xml:space="preserve">une </w:t>
            </w:r>
            <w:r w:rsidRPr="008D6D2A">
              <w:rPr>
                <w:sz w:val="20"/>
                <w:szCs w:val="20"/>
                <w:lang w:val="fr-FR"/>
              </w:rPr>
              <w:t xml:space="preserve">efficacité </w:t>
            </w:r>
            <w:r w:rsidR="00530133" w:rsidRPr="008D6D2A">
              <w:rPr>
                <w:sz w:val="20"/>
                <w:szCs w:val="20"/>
                <w:lang w:val="fr-FR"/>
              </w:rPr>
              <w:t>limitée et un</w:t>
            </w:r>
            <w:r w:rsidRPr="008D6D2A">
              <w:rPr>
                <w:sz w:val="20"/>
                <w:szCs w:val="20"/>
                <w:lang w:val="fr-FR"/>
              </w:rPr>
              <w:t xml:space="preserve"> plus long temps de fonctionnement d</w:t>
            </w:r>
            <w:r w:rsidR="005C0A7B">
              <w:rPr>
                <w:sz w:val="20"/>
                <w:szCs w:val="20"/>
                <w:lang w:val="fr-FR"/>
              </w:rPr>
              <w:t xml:space="preserve">u </w:t>
            </w:r>
            <w:r w:rsidRPr="008D6D2A">
              <w:rPr>
                <w:sz w:val="20"/>
                <w:szCs w:val="20"/>
                <w:lang w:val="fr-FR"/>
              </w:rPr>
              <w:t>compresseur</w:t>
            </w:r>
          </w:p>
          <w:p w:rsidR="00EB56BA" w:rsidRPr="00C51E0A" w:rsidRDefault="008D6D2A" w:rsidP="002A237B">
            <w:pPr>
              <w:jc w:val="left"/>
              <w:rPr>
                <w:sz w:val="20"/>
                <w:szCs w:val="20"/>
                <w:lang w:val="fr-FR"/>
              </w:rPr>
            </w:pPr>
            <w:r w:rsidRPr="008D6D2A">
              <w:rPr>
                <w:sz w:val="20"/>
                <w:szCs w:val="20"/>
                <w:lang w:val="fr-FR"/>
              </w:rPr>
              <w:t>Une sous-condensation aura des courants de fonctionnement plus élevés</w:t>
            </w:r>
          </w:p>
        </w:tc>
        <w:tc>
          <w:tcPr>
            <w:tcW w:w="1980" w:type="dxa"/>
            <w:hideMark/>
          </w:tcPr>
          <w:p w:rsidR="00EB56BA" w:rsidRPr="00C51E0A" w:rsidRDefault="008D6D2A" w:rsidP="002A237B">
            <w:pPr>
              <w:jc w:val="left"/>
              <w:rPr>
                <w:sz w:val="20"/>
                <w:szCs w:val="20"/>
                <w:lang w:val="fr-FR"/>
              </w:rPr>
            </w:pPr>
            <w:r w:rsidRPr="008D6D2A">
              <w:rPr>
                <w:bCs/>
                <w:sz w:val="20"/>
                <w:szCs w:val="20"/>
                <w:lang w:val="fr-FR"/>
              </w:rPr>
              <w:t>Économie</w:t>
            </w:r>
            <w:r w:rsidR="003E6D2D">
              <w:rPr>
                <w:bCs/>
                <w:sz w:val="20"/>
                <w:szCs w:val="20"/>
                <w:lang w:val="fr-FR"/>
              </w:rPr>
              <w:t xml:space="preserve"> </w:t>
            </w:r>
            <w:r w:rsidRPr="008D6D2A">
              <w:rPr>
                <w:bCs/>
                <w:sz w:val="20"/>
                <w:szCs w:val="20"/>
                <w:lang w:val="fr-FR"/>
              </w:rPr>
              <w:t>moyenne de 4 pour cent</w:t>
            </w:r>
          </w:p>
        </w:tc>
      </w:tr>
    </w:tbl>
    <w:p w:rsidR="00EB56BA" w:rsidRPr="00C51E0A" w:rsidRDefault="00EB56BA" w:rsidP="00EB56BA">
      <w:pPr>
        <w:pStyle w:val="Heading1"/>
        <w:numPr>
          <w:ilvl w:val="0"/>
          <w:numId w:val="0"/>
        </w:numPr>
        <w:spacing w:after="0"/>
        <w:rPr>
          <w:lang w:val="fr-FR"/>
        </w:rPr>
      </w:pPr>
    </w:p>
    <w:p w:rsidR="00EB56BA" w:rsidRPr="00C51E0A" w:rsidRDefault="009E5271" w:rsidP="008D6D2A">
      <w:pPr>
        <w:pStyle w:val="Heading1"/>
        <w:rPr>
          <w:lang w:val="fr-FR"/>
        </w:rPr>
      </w:pPr>
      <w:r w:rsidRPr="008D6D2A">
        <w:rPr>
          <w:lang w:val="fr-FR"/>
        </w:rPr>
        <w:t>Depuis</w:t>
      </w:r>
      <w:r>
        <w:rPr>
          <w:lang w:val="fr-FR"/>
        </w:rPr>
        <w:t xml:space="preserve"> </w:t>
      </w:r>
      <w:r w:rsidRPr="008D6D2A">
        <w:rPr>
          <w:lang w:val="fr-FR"/>
        </w:rPr>
        <w:t>sa</w:t>
      </w:r>
      <w:r w:rsidR="006B6AEA" w:rsidRPr="008D6D2A">
        <w:rPr>
          <w:lang w:val="fr-FR"/>
        </w:rPr>
        <w:t xml:space="preserve"> création</w:t>
      </w:r>
      <w:r w:rsidR="006B6AEA">
        <w:rPr>
          <w:lang w:val="fr-FR"/>
        </w:rPr>
        <w:t>, l</w:t>
      </w:r>
      <w:r w:rsidR="008D6D2A" w:rsidRPr="008D6D2A">
        <w:rPr>
          <w:lang w:val="fr-FR"/>
        </w:rPr>
        <w:t>e Fonds multilatéral a apporté son soutien aux formations aux bonnes pratiques de l</w:t>
      </w:r>
      <w:r w:rsidR="003E6D2D">
        <w:rPr>
          <w:lang w:val="fr-FR"/>
        </w:rPr>
        <w:t>’</w:t>
      </w:r>
      <w:r w:rsidR="008D6D2A" w:rsidRPr="008D6D2A">
        <w:rPr>
          <w:lang w:val="fr-FR"/>
        </w:rPr>
        <w:t xml:space="preserve">entretien </w:t>
      </w:r>
      <w:r w:rsidR="006B6AEA">
        <w:rPr>
          <w:lang w:val="fr-FR"/>
        </w:rPr>
        <w:t xml:space="preserve">destinées aux </w:t>
      </w:r>
      <w:r w:rsidR="008D6D2A" w:rsidRPr="008D6D2A">
        <w:rPr>
          <w:lang w:val="fr-FR"/>
        </w:rPr>
        <w:t>techniciens de l</w:t>
      </w:r>
      <w:r w:rsidR="003E6D2D">
        <w:rPr>
          <w:lang w:val="fr-FR"/>
        </w:rPr>
        <w:t>’</w:t>
      </w:r>
      <w:r w:rsidR="008D6D2A" w:rsidRPr="008D6D2A">
        <w:rPr>
          <w:lang w:val="fr-FR"/>
        </w:rPr>
        <w:t>entretien</w:t>
      </w:r>
      <w:r w:rsidR="006B6AEA">
        <w:rPr>
          <w:lang w:val="fr-FR"/>
        </w:rPr>
        <w:t> </w:t>
      </w:r>
      <w:r w:rsidR="008D6D2A" w:rsidRPr="008D6D2A">
        <w:rPr>
          <w:lang w:val="fr-FR"/>
        </w:rPr>
        <w:t>; l</w:t>
      </w:r>
      <w:r w:rsidR="003E6D2D">
        <w:rPr>
          <w:lang w:val="fr-FR"/>
        </w:rPr>
        <w:t>’</w:t>
      </w:r>
      <w:r w:rsidR="008D6D2A" w:rsidRPr="008D6D2A">
        <w:rPr>
          <w:lang w:val="fr-FR"/>
        </w:rPr>
        <w:t>impact de la mise en œuvre des bonnes pratiques de l</w:t>
      </w:r>
      <w:r w:rsidR="003E6D2D">
        <w:rPr>
          <w:lang w:val="fr-FR"/>
        </w:rPr>
        <w:t>’</w:t>
      </w:r>
      <w:r w:rsidR="008D6D2A" w:rsidRPr="008D6D2A">
        <w:rPr>
          <w:lang w:val="fr-FR"/>
        </w:rPr>
        <w:t>entretien a non seulement réduit la consommation de frigorigène</w:t>
      </w:r>
      <w:r w:rsidR="005C0A7B">
        <w:rPr>
          <w:lang w:val="fr-FR"/>
        </w:rPr>
        <w:t>s</w:t>
      </w:r>
      <w:r w:rsidR="008D6D2A" w:rsidRPr="008D6D2A">
        <w:rPr>
          <w:lang w:val="fr-FR"/>
        </w:rPr>
        <w:t>, mais a également contribué au fonctionnement écoénergétique des équipements</w:t>
      </w:r>
      <w:r w:rsidR="006B6AEA">
        <w:rPr>
          <w:lang w:val="fr-FR"/>
        </w:rPr>
        <w:t xml:space="preserve"> de </w:t>
      </w:r>
      <w:r w:rsidR="006B6AEA" w:rsidRPr="00CB445E">
        <w:rPr>
          <w:lang w:val="fr-FR"/>
        </w:rPr>
        <w:t xml:space="preserve">réfrigération, </w:t>
      </w:r>
      <w:r w:rsidR="006B6AEA">
        <w:rPr>
          <w:lang w:val="fr-FR"/>
        </w:rPr>
        <w:t>de</w:t>
      </w:r>
      <w:r w:rsidR="006B6AEA" w:rsidRPr="00CB445E">
        <w:rPr>
          <w:lang w:val="fr-FR"/>
        </w:rPr>
        <w:t xml:space="preserve"> climatisation et </w:t>
      </w:r>
      <w:r w:rsidR="006B6AEA">
        <w:rPr>
          <w:lang w:val="fr-FR"/>
        </w:rPr>
        <w:t xml:space="preserve">de </w:t>
      </w:r>
      <w:r w:rsidR="006B6AEA" w:rsidRPr="00CB445E">
        <w:rPr>
          <w:lang w:val="fr-FR"/>
        </w:rPr>
        <w:t>pompes à chaleur</w:t>
      </w:r>
      <w:r w:rsidR="006B6AEA">
        <w:rPr>
          <w:lang w:val="fr-FR"/>
        </w:rPr>
        <w:t xml:space="preserve"> et au maintien de leur bon rendement énergétique</w:t>
      </w:r>
      <w:r w:rsidR="008D6D2A" w:rsidRPr="008D6D2A">
        <w:rPr>
          <w:lang w:val="fr-FR"/>
        </w:rPr>
        <w:t>.</w:t>
      </w:r>
      <w:r w:rsidR="00EB56BA" w:rsidRPr="00C51E0A">
        <w:rPr>
          <w:lang w:val="fr-FR"/>
        </w:rPr>
        <w:t xml:space="preserve"> </w:t>
      </w:r>
      <w:r w:rsidR="008D6D2A" w:rsidRPr="008D6D2A">
        <w:rPr>
          <w:lang w:val="fr-FR"/>
        </w:rPr>
        <w:t xml:space="preserve">La formation a été </w:t>
      </w:r>
      <w:r w:rsidR="006B6AEA">
        <w:rPr>
          <w:lang w:val="fr-FR"/>
        </w:rPr>
        <w:t xml:space="preserve">dispensée au début </w:t>
      </w:r>
      <w:r w:rsidR="008D6D2A" w:rsidRPr="008D6D2A">
        <w:rPr>
          <w:lang w:val="fr-FR"/>
        </w:rPr>
        <w:t>en tant que formation autonome et a évolué pour devenir un composant intégral des plans d</w:t>
      </w:r>
      <w:r w:rsidR="003E6D2D">
        <w:rPr>
          <w:lang w:val="fr-FR"/>
        </w:rPr>
        <w:t>’</w:t>
      </w:r>
      <w:r w:rsidR="008D6D2A" w:rsidRPr="008D6D2A">
        <w:rPr>
          <w:lang w:val="fr-FR"/>
        </w:rPr>
        <w:t>élimination sectoriels ou nationaux.</w:t>
      </w:r>
      <w:r w:rsidR="00EB56BA" w:rsidRPr="00C51E0A">
        <w:rPr>
          <w:lang w:val="fr-FR"/>
        </w:rPr>
        <w:t xml:space="preserve"> </w:t>
      </w:r>
      <w:r w:rsidR="008D6D2A" w:rsidRPr="008D6D2A">
        <w:rPr>
          <w:lang w:val="fr-FR"/>
        </w:rPr>
        <w:t xml:space="preserve">Dans </w:t>
      </w:r>
      <w:r w:rsidR="006B6AEA">
        <w:rPr>
          <w:lang w:val="fr-FR"/>
        </w:rPr>
        <w:t>l</w:t>
      </w:r>
      <w:r w:rsidR="008D6D2A" w:rsidRPr="008D6D2A">
        <w:rPr>
          <w:lang w:val="fr-FR"/>
        </w:rPr>
        <w:t xml:space="preserve">e cadre de ce processus, les UNO ont augmenté la participation des instituts professionnels et des centres de formation nationaux à la mise en œuvre de la </w:t>
      </w:r>
      <w:r w:rsidR="008D6D2A" w:rsidRPr="008D6D2A">
        <w:rPr>
          <w:lang w:val="fr-FR"/>
        </w:rPr>
        <w:lastRenderedPageBreak/>
        <w:t>formation, et ont veillé à ce que les sujets appropriés soient inclus dans les programmes d</w:t>
      </w:r>
      <w:r w:rsidR="003E6D2D">
        <w:rPr>
          <w:lang w:val="fr-FR"/>
        </w:rPr>
        <w:t>’</w:t>
      </w:r>
      <w:r w:rsidR="008D6D2A" w:rsidRPr="008D6D2A">
        <w:rPr>
          <w:lang w:val="fr-FR"/>
        </w:rPr>
        <w:t xml:space="preserve">études </w:t>
      </w:r>
      <w:r w:rsidR="006B6AEA">
        <w:rPr>
          <w:lang w:val="fr-FR"/>
        </w:rPr>
        <w:t xml:space="preserve">de ces </w:t>
      </w:r>
      <w:r w:rsidR="008D6D2A" w:rsidRPr="008D6D2A">
        <w:rPr>
          <w:lang w:val="fr-FR"/>
        </w:rPr>
        <w:t>centres.</w:t>
      </w:r>
      <w:r w:rsidR="00EB56BA" w:rsidRPr="00C51E0A">
        <w:rPr>
          <w:lang w:val="fr-FR"/>
        </w:rPr>
        <w:t xml:space="preserve"> </w:t>
      </w:r>
    </w:p>
    <w:p w:rsidR="00EB56BA" w:rsidRPr="00C51E0A" w:rsidRDefault="008D6D2A" w:rsidP="00A80B11">
      <w:pPr>
        <w:pStyle w:val="Heading1"/>
        <w:rPr>
          <w:lang w:val="fr-FR"/>
        </w:rPr>
      </w:pPr>
      <w:r w:rsidRPr="008D6D2A">
        <w:rPr>
          <w:lang w:val="fr-FR"/>
        </w:rPr>
        <w:t>Avec l</w:t>
      </w:r>
      <w:r w:rsidR="003E6D2D">
        <w:rPr>
          <w:lang w:val="fr-FR"/>
        </w:rPr>
        <w:t>’</w:t>
      </w:r>
      <w:r w:rsidRPr="008D6D2A">
        <w:rPr>
          <w:lang w:val="fr-FR"/>
        </w:rPr>
        <w:t>élimination accélérée des HCFC et l</w:t>
      </w:r>
      <w:r w:rsidR="003E6D2D">
        <w:rPr>
          <w:lang w:val="fr-FR"/>
        </w:rPr>
        <w:t>’</w:t>
      </w:r>
      <w:r w:rsidRPr="008D6D2A">
        <w:rPr>
          <w:lang w:val="fr-FR"/>
        </w:rPr>
        <w:t>adoption de l</w:t>
      </w:r>
      <w:r w:rsidR="003E6D2D">
        <w:rPr>
          <w:lang w:val="fr-FR"/>
        </w:rPr>
        <w:t>’</w:t>
      </w:r>
      <w:r w:rsidRPr="008D6D2A">
        <w:rPr>
          <w:lang w:val="fr-FR"/>
        </w:rPr>
        <w:t xml:space="preserve">Amendement de Kigali, </w:t>
      </w:r>
      <w:r w:rsidR="006B6AEA">
        <w:rPr>
          <w:lang w:val="fr-FR"/>
        </w:rPr>
        <w:t>le</w:t>
      </w:r>
      <w:r w:rsidRPr="008D6D2A">
        <w:rPr>
          <w:lang w:val="fr-FR"/>
        </w:rPr>
        <w:t xml:space="preserve"> nombre et la variété des systèmes de réfrigération et de climatisation fonctionnant avec des frigorigènes à faible PRP ou sans </w:t>
      </w:r>
      <w:r w:rsidR="006B6AEA">
        <w:rPr>
          <w:lang w:val="fr-FR"/>
        </w:rPr>
        <w:t>PRP</w:t>
      </w:r>
      <w:r w:rsidRPr="008D6D2A">
        <w:rPr>
          <w:lang w:val="fr-FR"/>
        </w:rPr>
        <w:t xml:space="preserve"> ont lentement augmenté.</w:t>
      </w:r>
      <w:r w:rsidR="00EB56BA" w:rsidRPr="00C51E0A">
        <w:rPr>
          <w:lang w:val="fr-FR"/>
        </w:rPr>
        <w:t xml:space="preserve"> </w:t>
      </w:r>
      <w:r w:rsidRPr="00A80B11">
        <w:rPr>
          <w:lang w:val="fr-FR"/>
        </w:rPr>
        <w:t>Dans ce contexte, pendant la mise en œuvre de leur PGEH, plusieurs pays visés à l</w:t>
      </w:r>
      <w:r w:rsidR="003E6D2D">
        <w:rPr>
          <w:lang w:val="fr-FR"/>
        </w:rPr>
        <w:t>’</w:t>
      </w:r>
      <w:r w:rsidRPr="00A80B11">
        <w:rPr>
          <w:lang w:val="fr-FR"/>
        </w:rPr>
        <w:t>article 5 ont commencé à renforcer les institutions et les organes locaux</w:t>
      </w:r>
      <w:r w:rsidR="003E6D2D">
        <w:rPr>
          <w:lang w:val="fr-FR"/>
        </w:rPr>
        <w:t xml:space="preserve"> </w:t>
      </w:r>
      <w:r w:rsidRPr="00A80B11">
        <w:rPr>
          <w:lang w:val="fr-FR"/>
        </w:rPr>
        <w:t xml:space="preserve">impliqués dans la formation et la certification des techniciens, ont élargi le code de bonnes pratiques et la formation des </w:t>
      </w:r>
      <w:r w:rsidR="00A80B11" w:rsidRPr="00A80B11">
        <w:rPr>
          <w:lang w:val="fr-FR"/>
        </w:rPr>
        <w:t xml:space="preserve">techniciens </w:t>
      </w:r>
      <w:r w:rsidRPr="00A80B11">
        <w:rPr>
          <w:lang w:val="fr-FR"/>
        </w:rPr>
        <w:t>pour y inclure la manipulation et la gestion des frigorigènes inflammables et toxiques</w:t>
      </w:r>
      <w:r w:rsidR="00A80B11" w:rsidRPr="00A80B11">
        <w:rPr>
          <w:lang w:val="fr-FR"/>
        </w:rPr>
        <w:t>,</w:t>
      </w:r>
      <w:r w:rsidRPr="00A80B11">
        <w:rPr>
          <w:lang w:val="fr-FR"/>
        </w:rPr>
        <w:t xml:space="preserve"> et ont facilité l</w:t>
      </w:r>
      <w:r w:rsidR="003E6D2D">
        <w:rPr>
          <w:lang w:val="fr-FR"/>
        </w:rPr>
        <w:t>’</w:t>
      </w:r>
      <w:r w:rsidRPr="00A80B11">
        <w:rPr>
          <w:lang w:val="fr-FR"/>
        </w:rPr>
        <w:t>introduction de technologies à faible PRP ou sans PRP dans le secteur de la réfrigération, de la climatisation et des pompes à chaleur.</w:t>
      </w:r>
      <w:r w:rsidR="00EB56BA" w:rsidRPr="00C51E0A">
        <w:rPr>
          <w:lang w:val="fr-FR"/>
        </w:rPr>
        <w:t xml:space="preserve"> </w:t>
      </w:r>
    </w:p>
    <w:p w:rsidR="00EB56BA" w:rsidRPr="00C51E0A" w:rsidRDefault="00A80B11" w:rsidP="00EB56BA">
      <w:pPr>
        <w:rPr>
          <w:b/>
          <w:lang w:val="fr-FR"/>
        </w:rPr>
      </w:pPr>
      <w:r w:rsidRPr="00A80B11">
        <w:rPr>
          <w:rFonts w:eastAsia="Cambria"/>
          <w:b/>
          <w:lang w:val="fr-FR"/>
        </w:rPr>
        <w:t xml:space="preserve">Formation ciblée </w:t>
      </w:r>
      <w:r w:rsidR="006B6AEA">
        <w:rPr>
          <w:rFonts w:eastAsia="Cambria"/>
          <w:b/>
          <w:lang w:val="fr-FR"/>
        </w:rPr>
        <w:t xml:space="preserve">portant </w:t>
      </w:r>
      <w:r w:rsidRPr="00A80B11">
        <w:rPr>
          <w:rFonts w:eastAsia="Cambria"/>
          <w:b/>
          <w:lang w:val="fr-FR"/>
        </w:rPr>
        <w:t>sur la certification, la sécurité et les normes, la sensibilisation et renforcement des capacités</w:t>
      </w:r>
    </w:p>
    <w:p w:rsidR="00EB56BA" w:rsidRPr="00C51E0A" w:rsidRDefault="00EB56BA" w:rsidP="00EB56BA">
      <w:pPr>
        <w:rPr>
          <w:lang w:val="fr-FR"/>
        </w:rPr>
      </w:pPr>
    </w:p>
    <w:p w:rsidR="00EB56BA" w:rsidRPr="00C51E0A" w:rsidRDefault="00A80B11" w:rsidP="00E929BF">
      <w:pPr>
        <w:pStyle w:val="Heading1"/>
        <w:rPr>
          <w:lang w:val="fr-FR"/>
        </w:rPr>
      </w:pPr>
      <w:r w:rsidRPr="00A80B11">
        <w:rPr>
          <w:lang w:val="fr-FR"/>
        </w:rPr>
        <w:t xml:space="preserve">Le niveau de financement de la mise en œuvre des plans </w:t>
      </w:r>
      <w:r w:rsidR="006B6AEA">
        <w:rPr>
          <w:lang w:val="fr-FR"/>
        </w:rPr>
        <w:t>d’</w:t>
      </w:r>
      <w:r w:rsidRPr="00A80B11">
        <w:rPr>
          <w:lang w:val="fr-FR"/>
        </w:rPr>
        <w:t>élimination des HCFC dans le secteur de l</w:t>
      </w:r>
      <w:r w:rsidR="003E6D2D">
        <w:rPr>
          <w:lang w:val="fr-FR"/>
        </w:rPr>
        <w:t>’</w:t>
      </w:r>
      <w:r w:rsidRPr="00A80B11">
        <w:rPr>
          <w:lang w:val="fr-FR"/>
        </w:rPr>
        <w:t>entretien des équipements de réfrigération pour tous les pays visés à l</w:t>
      </w:r>
      <w:r w:rsidR="003E6D2D">
        <w:rPr>
          <w:lang w:val="fr-FR"/>
        </w:rPr>
        <w:t>’</w:t>
      </w:r>
      <w:r w:rsidRPr="00A80B11">
        <w:rPr>
          <w:lang w:val="fr-FR"/>
        </w:rPr>
        <w:t>article 5 a été défini en vertu de la décision 74/50. Pour des pays à faible volume de consommation de SAO</w:t>
      </w:r>
      <w:r w:rsidR="00784C1E">
        <w:rPr>
          <w:lang w:val="fr-FR"/>
        </w:rPr>
        <w:t xml:space="preserve"> (PVF)</w:t>
      </w:r>
      <w:r w:rsidR="00E929BF">
        <w:rPr>
          <w:lang w:val="fr-FR"/>
        </w:rPr>
        <w:t xml:space="preserve">, </w:t>
      </w:r>
      <w:r w:rsidR="00784C1E" w:rsidRPr="00A80B11">
        <w:rPr>
          <w:lang w:val="fr-FR"/>
        </w:rPr>
        <w:t>dans le secteur de l</w:t>
      </w:r>
      <w:r w:rsidR="00784C1E">
        <w:rPr>
          <w:lang w:val="fr-FR"/>
        </w:rPr>
        <w:t>’</w:t>
      </w:r>
      <w:r w:rsidR="00784C1E" w:rsidRPr="00A80B11">
        <w:rPr>
          <w:lang w:val="fr-FR"/>
        </w:rPr>
        <w:t>entretien des équipements</w:t>
      </w:r>
      <w:r w:rsidR="00784C1E">
        <w:rPr>
          <w:lang w:val="fr-FR"/>
        </w:rPr>
        <w:t xml:space="preserve"> </w:t>
      </w:r>
      <w:r w:rsidR="00784C1E" w:rsidRPr="00A80B11">
        <w:rPr>
          <w:lang w:val="fr-FR"/>
        </w:rPr>
        <w:t>de réfrigération</w:t>
      </w:r>
      <w:r w:rsidR="00784C1E">
        <w:rPr>
          <w:lang w:val="fr-FR"/>
        </w:rPr>
        <w:t>,</w:t>
      </w:r>
      <w:r w:rsidR="00784C1E" w:rsidRPr="00A80B11">
        <w:rPr>
          <w:lang w:val="fr-FR"/>
        </w:rPr>
        <w:t xml:space="preserve"> </w:t>
      </w:r>
      <w:r w:rsidRPr="00A80B11">
        <w:rPr>
          <w:lang w:val="fr-FR"/>
        </w:rPr>
        <w:t>les niveaux de financement maximum dépendaient de la valeur de référence des HCFC en vue de la conformité, et allaient de 587 500 $US pour les pays ayant une</w:t>
      </w:r>
      <w:r w:rsidR="003E6D2D">
        <w:rPr>
          <w:lang w:val="fr-FR"/>
        </w:rPr>
        <w:t xml:space="preserve"> </w:t>
      </w:r>
      <w:r w:rsidRPr="00A80B11">
        <w:rPr>
          <w:lang w:val="fr-FR"/>
        </w:rPr>
        <w:t xml:space="preserve">consommation inférieure à 15 </w:t>
      </w:r>
      <w:r w:rsidR="00E929BF">
        <w:rPr>
          <w:lang w:val="fr-FR"/>
        </w:rPr>
        <w:t>tm</w:t>
      </w:r>
      <w:r w:rsidRPr="00A80B11">
        <w:rPr>
          <w:lang w:val="fr-FR"/>
        </w:rPr>
        <w:t xml:space="preserve"> jusqu</w:t>
      </w:r>
      <w:r w:rsidR="003E6D2D">
        <w:rPr>
          <w:lang w:val="fr-FR"/>
        </w:rPr>
        <w:t>’</w:t>
      </w:r>
      <w:r w:rsidRPr="00A80B11">
        <w:rPr>
          <w:lang w:val="fr-FR"/>
        </w:rPr>
        <w:t xml:space="preserve">à 1 800 000 $US pour des pays dont la consommation </w:t>
      </w:r>
      <w:r w:rsidR="00784C1E">
        <w:rPr>
          <w:lang w:val="fr-FR"/>
        </w:rPr>
        <w:t xml:space="preserve">dépassait </w:t>
      </w:r>
      <w:r w:rsidRPr="00A80B11">
        <w:rPr>
          <w:lang w:val="fr-FR"/>
        </w:rPr>
        <w:t xml:space="preserve">320 </w:t>
      </w:r>
      <w:r w:rsidR="00E929BF">
        <w:rPr>
          <w:lang w:val="fr-FR"/>
        </w:rPr>
        <w:t>tm</w:t>
      </w:r>
      <w:r w:rsidRPr="00A80B11">
        <w:rPr>
          <w:lang w:val="fr-FR"/>
        </w:rPr>
        <w:t>.</w:t>
      </w:r>
      <w:r w:rsidR="00EB56BA" w:rsidRPr="00C51E0A">
        <w:rPr>
          <w:lang w:val="fr-FR"/>
        </w:rPr>
        <w:t xml:space="preserve"> </w:t>
      </w:r>
      <w:r w:rsidRPr="00E929BF">
        <w:rPr>
          <w:lang w:val="fr-FR"/>
        </w:rPr>
        <w:t>Pour les pays ne faisant pas partie des PFV (</w:t>
      </w:r>
      <w:r w:rsidR="00E929BF" w:rsidRPr="00E929BF">
        <w:rPr>
          <w:lang w:val="fr-FR"/>
        </w:rPr>
        <w:t>dont la</w:t>
      </w:r>
      <w:r w:rsidRPr="00E929BF">
        <w:rPr>
          <w:lang w:val="fr-FR"/>
        </w:rPr>
        <w:t xml:space="preserve"> consommation </w:t>
      </w:r>
      <w:r w:rsidR="00E929BF" w:rsidRPr="00E929BF">
        <w:rPr>
          <w:lang w:val="fr-FR"/>
        </w:rPr>
        <w:t xml:space="preserve">est supérieure à </w:t>
      </w:r>
      <w:r w:rsidRPr="00E929BF">
        <w:rPr>
          <w:lang w:val="fr-FR"/>
        </w:rPr>
        <w:t>360</w:t>
      </w:r>
      <w:r w:rsidR="00E929BF" w:rsidRPr="00E929BF">
        <w:rPr>
          <w:lang w:val="fr-FR"/>
        </w:rPr>
        <w:t xml:space="preserve"> tm)</w:t>
      </w:r>
      <w:r w:rsidR="00784C1E">
        <w:rPr>
          <w:lang w:val="fr-FR"/>
        </w:rPr>
        <w:t>,</w:t>
      </w:r>
      <w:r w:rsidRPr="00E929BF">
        <w:rPr>
          <w:lang w:val="fr-FR"/>
        </w:rPr>
        <w:t xml:space="preserve"> le </w:t>
      </w:r>
      <w:r w:rsidR="00E929BF" w:rsidRPr="00E929BF">
        <w:rPr>
          <w:lang w:val="fr-FR"/>
        </w:rPr>
        <w:t>finance</w:t>
      </w:r>
      <w:r w:rsidRPr="00E929BF">
        <w:rPr>
          <w:lang w:val="fr-FR"/>
        </w:rPr>
        <w:t xml:space="preserve">ment </w:t>
      </w:r>
      <w:r w:rsidR="00784C1E">
        <w:rPr>
          <w:lang w:val="fr-FR"/>
        </w:rPr>
        <w:t>a été</w:t>
      </w:r>
      <w:r w:rsidRPr="00E929BF">
        <w:rPr>
          <w:lang w:val="fr-FR"/>
        </w:rPr>
        <w:t xml:space="preserve"> approuvé </w:t>
      </w:r>
      <w:r w:rsidR="00E929BF" w:rsidRPr="00E929BF">
        <w:rPr>
          <w:lang w:val="fr-FR"/>
        </w:rPr>
        <w:t>à hauteur de</w:t>
      </w:r>
      <w:r w:rsidR="003E6D2D">
        <w:rPr>
          <w:lang w:val="fr-FR"/>
        </w:rPr>
        <w:t xml:space="preserve"> </w:t>
      </w:r>
      <w:r w:rsidR="00E929BF" w:rsidRPr="00E929BF">
        <w:rPr>
          <w:lang w:val="fr-FR"/>
        </w:rPr>
        <w:t xml:space="preserve">4,80 $US/kg </w:t>
      </w:r>
      <w:r w:rsidRPr="00E929BF">
        <w:rPr>
          <w:lang w:val="fr-FR"/>
        </w:rPr>
        <w:t xml:space="preserve">de HCFC utilisé dans le secteur </w:t>
      </w:r>
      <w:r w:rsidR="00E929BF" w:rsidRPr="00E929BF">
        <w:rPr>
          <w:lang w:val="fr-FR"/>
        </w:rPr>
        <w:t>de l</w:t>
      </w:r>
      <w:r w:rsidR="003E6D2D">
        <w:rPr>
          <w:lang w:val="fr-FR"/>
        </w:rPr>
        <w:t>’</w:t>
      </w:r>
      <w:r w:rsidRPr="00E929BF">
        <w:rPr>
          <w:lang w:val="fr-FR"/>
        </w:rPr>
        <w:t>entretien.</w:t>
      </w:r>
    </w:p>
    <w:p w:rsidR="00EB56BA" w:rsidRPr="00C51E0A" w:rsidRDefault="00E929BF" w:rsidP="008E2C0F">
      <w:pPr>
        <w:pStyle w:val="Heading1"/>
        <w:rPr>
          <w:lang w:val="fr-FR"/>
        </w:rPr>
      </w:pPr>
      <w:r w:rsidRPr="008E2C0F">
        <w:rPr>
          <w:lang w:val="fr-FR"/>
        </w:rPr>
        <w:t>Sur la base du financement alloué, les activités couvertes dans le cadre des phases I et II du PGEH, incluent, entre autres, le soutien de l</w:t>
      </w:r>
      <w:r w:rsidR="003E6D2D">
        <w:rPr>
          <w:lang w:val="fr-FR"/>
        </w:rPr>
        <w:t>’</w:t>
      </w:r>
      <w:r w:rsidRPr="008E2C0F">
        <w:rPr>
          <w:lang w:val="fr-FR"/>
        </w:rPr>
        <w:t xml:space="preserve">élaboration des politiques et </w:t>
      </w:r>
      <w:r w:rsidR="005C0A7B">
        <w:rPr>
          <w:lang w:val="fr-FR"/>
        </w:rPr>
        <w:t>de</w:t>
      </w:r>
      <w:r w:rsidRPr="008E2C0F">
        <w:rPr>
          <w:lang w:val="fr-FR"/>
        </w:rPr>
        <w:t>s règlement</w:t>
      </w:r>
      <w:r w:rsidR="005C0A7B">
        <w:rPr>
          <w:lang w:val="fr-FR"/>
        </w:rPr>
        <w:t>ation</w:t>
      </w:r>
      <w:r w:rsidRPr="008E2C0F">
        <w:rPr>
          <w:lang w:val="fr-FR"/>
        </w:rPr>
        <w:t>s pour faciliter l</w:t>
      </w:r>
      <w:r w:rsidR="003E6D2D">
        <w:rPr>
          <w:lang w:val="fr-FR"/>
        </w:rPr>
        <w:t>’</w:t>
      </w:r>
      <w:r w:rsidRPr="008E2C0F">
        <w:rPr>
          <w:lang w:val="fr-FR"/>
        </w:rPr>
        <w:t>élimination des substances réglementées ; la formation des agents des douanes et des responsables de l</w:t>
      </w:r>
      <w:r w:rsidR="003E6D2D">
        <w:rPr>
          <w:lang w:val="fr-FR"/>
        </w:rPr>
        <w:t>’</w:t>
      </w:r>
      <w:r w:rsidRPr="008E2C0F">
        <w:rPr>
          <w:lang w:val="fr-FR"/>
        </w:rPr>
        <w:t xml:space="preserve">application des règlements, notamment le renforcement des capacités au sein de ces institutions </w:t>
      </w:r>
      <w:r w:rsidR="005C0A7B">
        <w:rPr>
          <w:lang w:val="fr-FR"/>
        </w:rPr>
        <w:t>en vue de l</w:t>
      </w:r>
      <w:r w:rsidR="003E6D2D">
        <w:rPr>
          <w:lang w:val="fr-FR"/>
        </w:rPr>
        <w:t>’</w:t>
      </w:r>
      <w:r w:rsidRPr="008E2C0F">
        <w:rPr>
          <w:lang w:val="fr-FR"/>
        </w:rPr>
        <w:t>identification des frigorigènes</w:t>
      </w:r>
      <w:r w:rsidR="00784C1E">
        <w:rPr>
          <w:lang w:val="fr-FR"/>
        </w:rPr>
        <w:t> </w:t>
      </w:r>
      <w:r w:rsidRPr="008E2C0F">
        <w:rPr>
          <w:lang w:val="fr-FR"/>
        </w:rPr>
        <w:t xml:space="preserve">; </w:t>
      </w:r>
      <w:r w:rsidR="00784C1E">
        <w:rPr>
          <w:lang w:val="fr-FR"/>
        </w:rPr>
        <w:t xml:space="preserve">la </w:t>
      </w:r>
      <w:r w:rsidRPr="008E2C0F">
        <w:rPr>
          <w:lang w:val="fr-FR"/>
        </w:rPr>
        <w:t>formation des techniciens aux bonnes pratiques en matière d</w:t>
      </w:r>
      <w:r w:rsidR="003E6D2D">
        <w:rPr>
          <w:lang w:val="fr-FR"/>
        </w:rPr>
        <w:t>’</w:t>
      </w:r>
      <w:r w:rsidRPr="008E2C0F">
        <w:rPr>
          <w:lang w:val="fr-FR"/>
        </w:rPr>
        <w:t>entretien qui incluent souvent l</w:t>
      </w:r>
      <w:r w:rsidR="003E6D2D">
        <w:rPr>
          <w:lang w:val="fr-FR"/>
        </w:rPr>
        <w:t>’</w:t>
      </w:r>
      <w:r w:rsidRPr="008E2C0F">
        <w:rPr>
          <w:lang w:val="fr-FR"/>
        </w:rPr>
        <w:t>adoption sans danger de frigorigènes inflammables et toxiques ; des équipements et des outils de base pour aider les techniciens et les établissements techniques à adopter les bonnes pratiques relatives à l</w:t>
      </w:r>
      <w:r w:rsidR="003E6D2D">
        <w:rPr>
          <w:lang w:val="fr-FR"/>
        </w:rPr>
        <w:t>’</w:t>
      </w:r>
      <w:r w:rsidRPr="008E2C0F">
        <w:rPr>
          <w:lang w:val="fr-FR"/>
        </w:rPr>
        <w:t xml:space="preserve">entretien ; des programmes </w:t>
      </w:r>
      <w:r w:rsidR="008E2C0F" w:rsidRPr="008E2C0F">
        <w:rPr>
          <w:lang w:val="fr-FR"/>
        </w:rPr>
        <w:t xml:space="preserve">de récupération et de </w:t>
      </w:r>
      <w:r w:rsidRPr="008E2C0F">
        <w:rPr>
          <w:lang w:val="fr-FR"/>
        </w:rPr>
        <w:t xml:space="preserve">réutilisation des </w:t>
      </w:r>
      <w:r w:rsidR="008E2C0F" w:rsidRPr="008E2C0F">
        <w:rPr>
          <w:lang w:val="fr-FR"/>
        </w:rPr>
        <w:t>frigorigènes</w:t>
      </w:r>
      <w:r w:rsidRPr="008E2C0F">
        <w:rPr>
          <w:lang w:val="fr-FR"/>
        </w:rPr>
        <w:t xml:space="preserve"> ; </w:t>
      </w:r>
      <w:r w:rsidR="008E2C0F" w:rsidRPr="008E2C0F">
        <w:rPr>
          <w:lang w:val="fr-FR"/>
        </w:rPr>
        <w:t xml:space="preserve">des </w:t>
      </w:r>
      <w:r w:rsidRPr="008E2C0F">
        <w:rPr>
          <w:lang w:val="fr-FR"/>
        </w:rPr>
        <w:t>incitati</w:t>
      </w:r>
      <w:r w:rsidR="008E2C0F" w:rsidRPr="008E2C0F">
        <w:rPr>
          <w:lang w:val="fr-FR"/>
        </w:rPr>
        <w:t>fs destinés au remplacement ou aux</w:t>
      </w:r>
      <w:r w:rsidRPr="008E2C0F">
        <w:rPr>
          <w:lang w:val="fr-FR"/>
        </w:rPr>
        <w:t xml:space="preserve"> </w:t>
      </w:r>
      <w:r w:rsidR="008E2C0F" w:rsidRPr="008E2C0F">
        <w:rPr>
          <w:lang w:val="fr-FR"/>
        </w:rPr>
        <w:t>reconversions pour l</w:t>
      </w:r>
      <w:r w:rsidR="003E6D2D">
        <w:rPr>
          <w:lang w:val="fr-FR"/>
        </w:rPr>
        <w:t>’</w:t>
      </w:r>
      <w:r w:rsidR="008E2C0F" w:rsidRPr="008E2C0F">
        <w:rPr>
          <w:lang w:val="fr-FR"/>
        </w:rPr>
        <w:t>utilisation de frigorigènes de remplacement ;</w:t>
      </w:r>
      <w:r w:rsidR="003E6D2D">
        <w:rPr>
          <w:lang w:val="fr-FR"/>
        </w:rPr>
        <w:t xml:space="preserve"> </w:t>
      </w:r>
      <w:r w:rsidR="008E2C0F" w:rsidRPr="008E2C0F">
        <w:rPr>
          <w:lang w:val="fr-FR"/>
        </w:rPr>
        <w:t xml:space="preserve">et </w:t>
      </w:r>
      <w:r w:rsidR="00784C1E">
        <w:rPr>
          <w:lang w:val="fr-FR"/>
        </w:rPr>
        <w:t xml:space="preserve">des </w:t>
      </w:r>
      <w:r w:rsidR="008E2C0F" w:rsidRPr="008E2C0F">
        <w:rPr>
          <w:lang w:val="fr-FR"/>
        </w:rPr>
        <w:t>activités de diffusion des informations et de sensibilisation</w:t>
      </w:r>
      <w:r w:rsidRPr="008E2C0F">
        <w:rPr>
          <w:lang w:val="fr-FR"/>
        </w:rPr>
        <w:t>.</w:t>
      </w:r>
      <w:r w:rsidR="00EB56BA" w:rsidRPr="00C51E0A">
        <w:rPr>
          <w:lang w:val="fr-FR"/>
        </w:rPr>
        <w:t xml:space="preserve"> </w:t>
      </w:r>
    </w:p>
    <w:p w:rsidR="00EB56BA" w:rsidRPr="00C51E0A" w:rsidRDefault="008E2C0F" w:rsidP="00673CFB">
      <w:pPr>
        <w:pStyle w:val="Heading1"/>
        <w:rPr>
          <w:lang w:val="fr-FR"/>
        </w:rPr>
      </w:pPr>
      <w:r w:rsidRPr="008E2C0F">
        <w:rPr>
          <w:lang w:val="fr-FR"/>
        </w:rPr>
        <w:t>Tout au long de la mise en œuvre de leur PGEH, les pays visés à l</w:t>
      </w:r>
      <w:r w:rsidR="003E6D2D">
        <w:rPr>
          <w:lang w:val="fr-FR"/>
        </w:rPr>
        <w:t>’</w:t>
      </w:r>
      <w:r w:rsidRPr="008E2C0F">
        <w:rPr>
          <w:lang w:val="fr-FR"/>
        </w:rPr>
        <w:t>article 5 dispose</w:t>
      </w:r>
      <w:r w:rsidR="00784C1E">
        <w:rPr>
          <w:lang w:val="fr-FR"/>
        </w:rPr>
        <w:t>nt</w:t>
      </w:r>
      <w:r w:rsidRPr="008E2C0F">
        <w:rPr>
          <w:lang w:val="fr-FR"/>
        </w:rPr>
        <w:t xml:space="preserve"> d</w:t>
      </w:r>
      <w:r w:rsidR="003E6D2D">
        <w:rPr>
          <w:lang w:val="fr-FR"/>
        </w:rPr>
        <w:t>’</w:t>
      </w:r>
      <w:r w:rsidRPr="008E2C0F">
        <w:rPr>
          <w:lang w:val="fr-FR"/>
        </w:rPr>
        <w:t xml:space="preserve">une marge de manœuvre leur permettant de sélectionner les activités les plus appropriées aux circonstances prévalant </w:t>
      </w:r>
      <w:r w:rsidR="00CB480D">
        <w:rPr>
          <w:lang w:val="fr-FR"/>
        </w:rPr>
        <w:t xml:space="preserve">sur </w:t>
      </w:r>
      <w:r w:rsidR="00670D62" w:rsidRPr="008E2C0F">
        <w:rPr>
          <w:lang w:val="fr-FR"/>
        </w:rPr>
        <w:t>leurs marchés locaux</w:t>
      </w:r>
      <w:r w:rsidRPr="008E2C0F">
        <w:rPr>
          <w:lang w:val="fr-FR"/>
        </w:rPr>
        <w:t>, les mettant le mieux en mesure de respecter leurs obligations en matière de</w:t>
      </w:r>
      <w:r w:rsidR="003E6D2D">
        <w:rPr>
          <w:lang w:val="fr-FR"/>
        </w:rPr>
        <w:t xml:space="preserve"> </w:t>
      </w:r>
      <w:r w:rsidRPr="008E2C0F">
        <w:rPr>
          <w:lang w:val="fr-FR"/>
        </w:rPr>
        <w:t>conformité.</w:t>
      </w:r>
      <w:r w:rsidR="00EB56BA" w:rsidRPr="00C51E0A">
        <w:rPr>
          <w:lang w:val="fr-FR"/>
        </w:rPr>
        <w:t xml:space="preserve"> </w:t>
      </w:r>
      <w:r w:rsidRPr="008E2C0F">
        <w:rPr>
          <w:lang w:val="fr-FR"/>
        </w:rPr>
        <w:t>Plusieurs pays visés à l</w:t>
      </w:r>
      <w:r w:rsidR="003E6D2D">
        <w:rPr>
          <w:lang w:val="fr-FR"/>
        </w:rPr>
        <w:t>’</w:t>
      </w:r>
      <w:r w:rsidRPr="008E2C0F">
        <w:rPr>
          <w:lang w:val="fr-FR"/>
        </w:rPr>
        <w:t>article 5 ont inclus des programmes pour la certification des techniciens de l</w:t>
      </w:r>
      <w:r w:rsidR="003E6D2D">
        <w:rPr>
          <w:lang w:val="fr-FR"/>
        </w:rPr>
        <w:t>’</w:t>
      </w:r>
      <w:r w:rsidRPr="008E2C0F">
        <w:rPr>
          <w:lang w:val="fr-FR"/>
        </w:rPr>
        <w:t>entretien, dont la plupart renforcent l</w:t>
      </w:r>
      <w:r w:rsidR="003E6D2D">
        <w:rPr>
          <w:lang w:val="fr-FR"/>
        </w:rPr>
        <w:t>’</w:t>
      </w:r>
      <w:r w:rsidRPr="008E2C0F">
        <w:rPr>
          <w:lang w:val="fr-FR"/>
        </w:rPr>
        <w:t>infrastructure de formation pour soutenir l</w:t>
      </w:r>
      <w:r w:rsidR="003E6D2D">
        <w:rPr>
          <w:lang w:val="fr-FR"/>
        </w:rPr>
        <w:t>’</w:t>
      </w:r>
      <w:r w:rsidRPr="008E2C0F">
        <w:rPr>
          <w:lang w:val="fr-FR"/>
        </w:rPr>
        <w:t>introduction de frigorigènes à faible PRP ou sans PRP, accompagnés de leurs caractéristiques intrinsèques d</w:t>
      </w:r>
      <w:r w:rsidR="003E6D2D">
        <w:rPr>
          <w:lang w:val="fr-FR"/>
        </w:rPr>
        <w:t>’</w:t>
      </w:r>
      <w:r w:rsidRPr="008E2C0F">
        <w:rPr>
          <w:lang w:val="fr-FR"/>
        </w:rPr>
        <w:t>inflammabilité et de toxicité.</w:t>
      </w:r>
      <w:r w:rsidR="00EB56BA" w:rsidRPr="00C51E0A">
        <w:rPr>
          <w:lang w:val="fr-FR"/>
        </w:rPr>
        <w:t xml:space="preserve"> </w:t>
      </w:r>
      <w:r w:rsidRPr="00673CFB">
        <w:rPr>
          <w:lang w:val="fr-FR"/>
        </w:rPr>
        <w:t>Quelques pays visés à l</w:t>
      </w:r>
      <w:r w:rsidR="003E6D2D">
        <w:rPr>
          <w:lang w:val="fr-FR"/>
        </w:rPr>
        <w:t>’</w:t>
      </w:r>
      <w:r w:rsidRPr="00673CFB">
        <w:rPr>
          <w:lang w:val="fr-FR"/>
        </w:rPr>
        <w:t xml:space="preserve">article 5 ont également soutenu les utilisateurs finaux, principalement par le biais de programmes de formation </w:t>
      </w:r>
      <w:r w:rsidR="00673CFB" w:rsidRPr="00673CFB">
        <w:rPr>
          <w:lang w:val="fr-FR"/>
        </w:rPr>
        <w:t>personnalisé</w:t>
      </w:r>
      <w:r w:rsidRPr="00673CFB">
        <w:rPr>
          <w:lang w:val="fr-FR"/>
        </w:rPr>
        <w:t xml:space="preserve">s </w:t>
      </w:r>
      <w:r w:rsidR="00673CFB" w:rsidRPr="00673CFB">
        <w:rPr>
          <w:lang w:val="fr-FR"/>
        </w:rPr>
        <w:t>destinés aux</w:t>
      </w:r>
      <w:r w:rsidRPr="00673CFB">
        <w:rPr>
          <w:lang w:val="fr-FR"/>
        </w:rPr>
        <w:t xml:space="preserve"> techniciens </w:t>
      </w:r>
      <w:r w:rsidR="00673CFB" w:rsidRPr="00673CFB">
        <w:rPr>
          <w:lang w:val="fr-FR"/>
        </w:rPr>
        <w:t>tenant compte de</w:t>
      </w:r>
      <w:r w:rsidRPr="00673CFB">
        <w:rPr>
          <w:lang w:val="fr-FR"/>
        </w:rPr>
        <w:t xml:space="preserve"> la structure du marché (par ex</w:t>
      </w:r>
      <w:r w:rsidR="00784C1E">
        <w:rPr>
          <w:lang w:val="fr-FR"/>
        </w:rPr>
        <w:t xml:space="preserve">emple, de </w:t>
      </w:r>
      <w:r w:rsidRPr="00673CFB">
        <w:rPr>
          <w:lang w:val="fr-FR"/>
        </w:rPr>
        <w:t xml:space="preserve">grands supermarchés projetant </w:t>
      </w:r>
      <w:r w:rsidR="00673CFB" w:rsidRPr="00673CFB">
        <w:rPr>
          <w:lang w:val="fr-FR"/>
        </w:rPr>
        <w:t>une reconversion aux</w:t>
      </w:r>
      <w:r w:rsidRPr="00673CFB">
        <w:rPr>
          <w:lang w:val="fr-FR"/>
        </w:rPr>
        <w:t xml:space="preserve"> technologies </w:t>
      </w:r>
      <w:r w:rsidR="00673CFB" w:rsidRPr="00673CFB">
        <w:rPr>
          <w:lang w:val="fr-FR"/>
        </w:rPr>
        <w:t xml:space="preserve">à faible PRP </w:t>
      </w:r>
      <w:r w:rsidRPr="00673CFB">
        <w:rPr>
          <w:lang w:val="fr-FR"/>
        </w:rPr>
        <w:t xml:space="preserve">ont la capacité interne de maintenir et former des techniciens), et </w:t>
      </w:r>
      <w:r w:rsidR="00784C1E">
        <w:rPr>
          <w:lang w:val="fr-FR"/>
        </w:rPr>
        <w:t>au moyen d’</w:t>
      </w:r>
      <w:r w:rsidR="00673CFB" w:rsidRPr="00673CFB">
        <w:rPr>
          <w:lang w:val="fr-FR"/>
        </w:rPr>
        <w:t xml:space="preserve">incitatifs financiers destinés à </w:t>
      </w:r>
      <w:r w:rsidR="00784C1E">
        <w:rPr>
          <w:lang w:val="fr-FR"/>
        </w:rPr>
        <w:t xml:space="preserve">la reconversion </w:t>
      </w:r>
      <w:r w:rsidR="00673CFB" w:rsidRPr="00673CFB">
        <w:rPr>
          <w:lang w:val="fr-FR"/>
        </w:rPr>
        <w:t xml:space="preserve">ou au </w:t>
      </w:r>
      <w:r w:rsidRPr="00673CFB">
        <w:rPr>
          <w:lang w:val="fr-FR"/>
        </w:rPr>
        <w:t>rempla</w:t>
      </w:r>
      <w:r w:rsidR="00673CFB" w:rsidRPr="00673CFB">
        <w:rPr>
          <w:lang w:val="fr-FR"/>
        </w:rPr>
        <w:t>cement des équipements de base pour utiliser des produits de remplacement à faible PRP ou sans PRP</w:t>
      </w:r>
      <w:r w:rsidRPr="00673CFB">
        <w:rPr>
          <w:lang w:val="fr-FR"/>
        </w:rPr>
        <w:t>.</w:t>
      </w:r>
      <w:r w:rsidR="00EB56BA" w:rsidRPr="00C51E0A">
        <w:rPr>
          <w:lang w:val="fr-FR"/>
        </w:rPr>
        <w:t xml:space="preserve"> </w:t>
      </w:r>
    </w:p>
    <w:p w:rsidR="00EB56BA" w:rsidRPr="004B75F6" w:rsidRDefault="00673CFB" w:rsidP="00835C40">
      <w:pPr>
        <w:spacing w:after="240"/>
        <w:outlineLvl w:val="0"/>
        <w:rPr>
          <w:u w:val="single"/>
        </w:rPr>
      </w:pPr>
      <w:r w:rsidRPr="00835C40">
        <w:rPr>
          <w:u w:val="single"/>
          <w:lang w:val="fr-FR"/>
        </w:rPr>
        <w:t>Certification des techniciens</w:t>
      </w:r>
    </w:p>
    <w:p w:rsidR="00EB56BA" w:rsidRPr="00C51E0A" w:rsidRDefault="00835C40" w:rsidP="00835C40">
      <w:pPr>
        <w:pStyle w:val="Heading1"/>
        <w:rPr>
          <w:lang w:val="fr-FR"/>
        </w:rPr>
      </w:pPr>
      <w:r w:rsidRPr="00835C40">
        <w:rPr>
          <w:lang w:val="fr-FR"/>
        </w:rPr>
        <w:t>Au cours de la mise en œuvre des PGEH, plusieurs pays visés à l</w:t>
      </w:r>
      <w:r w:rsidR="003E6D2D">
        <w:rPr>
          <w:lang w:val="fr-FR"/>
        </w:rPr>
        <w:t>’</w:t>
      </w:r>
      <w:r w:rsidRPr="00835C40">
        <w:rPr>
          <w:lang w:val="fr-FR"/>
        </w:rPr>
        <w:t>article 5 ont estimé pertinent de garantir la durabilité à long terme des activités du secteur de l</w:t>
      </w:r>
      <w:r w:rsidR="003E6D2D">
        <w:rPr>
          <w:lang w:val="fr-FR"/>
        </w:rPr>
        <w:t>’</w:t>
      </w:r>
      <w:r w:rsidRPr="00835C40">
        <w:rPr>
          <w:lang w:val="fr-FR"/>
        </w:rPr>
        <w:t xml:space="preserve">entretien en incluant des systèmes de </w:t>
      </w:r>
      <w:r w:rsidRPr="00835C40">
        <w:rPr>
          <w:lang w:val="fr-FR"/>
        </w:rPr>
        <w:lastRenderedPageBreak/>
        <w:t>certification des compétences des techniciens s</w:t>
      </w:r>
      <w:r w:rsidR="003E6D2D">
        <w:rPr>
          <w:lang w:val="fr-FR"/>
        </w:rPr>
        <w:t>’</w:t>
      </w:r>
      <w:r w:rsidRPr="00835C40">
        <w:rPr>
          <w:lang w:val="fr-FR"/>
        </w:rPr>
        <w:t>agissant des pratiques de</w:t>
      </w:r>
      <w:r w:rsidR="003E6D2D">
        <w:rPr>
          <w:lang w:val="fr-FR"/>
        </w:rPr>
        <w:t xml:space="preserve"> </w:t>
      </w:r>
      <w:r w:rsidRPr="00835C40">
        <w:rPr>
          <w:lang w:val="fr-FR"/>
        </w:rPr>
        <w:t>bonne installation et d</w:t>
      </w:r>
      <w:r w:rsidR="003E6D2D">
        <w:rPr>
          <w:lang w:val="fr-FR"/>
        </w:rPr>
        <w:t>’</w:t>
      </w:r>
      <w:r w:rsidRPr="00835C40">
        <w:rPr>
          <w:lang w:val="fr-FR"/>
        </w:rPr>
        <w:t>entretien adaptées aux circonstances spécifiques de chaque pays.</w:t>
      </w:r>
      <w:r w:rsidR="00EB56BA" w:rsidRPr="00C51E0A">
        <w:rPr>
          <w:lang w:val="fr-FR"/>
        </w:rPr>
        <w:t xml:space="preserve"> </w:t>
      </w:r>
      <w:r w:rsidRPr="00835C40">
        <w:rPr>
          <w:lang w:val="fr-FR"/>
        </w:rPr>
        <w:t>De nombreux pays ont opté pour la mise en place de programmes de certification volontaire soutenus par des réglementations.</w:t>
      </w:r>
      <w:r w:rsidR="00EB56BA" w:rsidRPr="00C51E0A">
        <w:rPr>
          <w:lang w:val="fr-FR"/>
        </w:rPr>
        <w:t xml:space="preserve"> </w:t>
      </w:r>
      <w:r w:rsidRPr="00835C40">
        <w:rPr>
          <w:lang w:val="fr-FR"/>
        </w:rPr>
        <w:t>Une approche alternative envisagée dans quelques pays est de délivrer des permis environnementaux, qui seraient du ressort des ministères de l</w:t>
      </w:r>
      <w:r w:rsidR="003E6D2D">
        <w:rPr>
          <w:lang w:val="fr-FR"/>
        </w:rPr>
        <w:t>’</w:t>
      </w:r>
      <w:r w:rsidRPr="00835C40">
        <w:rPr>
          <w:lang w:val="fr-FR"/>
        </w:rPr>
        <w:t>Environnement.</w:t>
      </w:r>
      <w:r w:rsidR="00EB56BA" w:rsidRPr="00C51E0A">
        <w:rPr>
          <w:lang w:val="fr-FR"/>
        </w:rPr>
        <w:t xml:space="preserve"> </w:t>
      </w:r>
      <w:r w:rsidRPr="00835C40">
        <w:rPr>
          <w:lang w:val="fr-FR"/>
        </w:rPr>
        <w:t>Certains pays renforcent les associations de réfrigération et les impliquent plus étroitement dans la mise en œuvre des systèmes de certification des techniciens.</w:t>
      </w:r>
      <w:r w:rsidR="00EB56BA" w:rsidRPr="00C51E0A">
        <w:rPr>
          <w:lang w:val="fr-FR"/>
        </w:rPr>
        <w:t xml:space="preserve"> </w:t>
      </w:r>
      <w:r w:rsidRPr="00835C40">
        <w:rPr>
          <w:lang w:val="fr-FR"/>
        </w:rPr>
        <w:t>Dans quelques régions (par ex</w:t>
      </w:r>
      <w:r w:rsidR="00784C1E">
        <w:rPr>
          <w:lang w:val="fr-FR"/>
        </w:rPr>
        <w:t xml:space="preserve">emple, </w:t>
      </w:r>
      <w:r w:rsidRPr="00835C40">
        <w:rPr>
          <w:lang w:val="fr-FR"/>
        </w:rPr>
        <w:t xml:space="preserve">les pays insulaires du Pacifique), on remarque une préférence </w:t>
      </w:r>
      <w:r w:rsidR="00B74E20">
        <w:rPr>
          <w:lang w:val="fr-FR"/>
        </w:rPr>
        <w:t xml:space="preserve">pour le recours aux </w:t>
      </w:r>
      <w:r w:rsidRPr="00835C40">
        <w:rPr>
          <w:lang w:val="fr-FR"/>
        </w:rPr>
        <w:t xml:space="preserve">organisations régionales </w:t>
      </w:r>
      <w:r w:rsidR="00B74E20">
        <w:rPr>
          <w:lang w:val="fr-FR"/>
        </w:rPr>
        <w:t>dans le cadre de</w:t>
      </w:r>
      <w:r w:rsidRPr="00835C40">
        <w:rPr>
          <w:lang w:val="fr-FR"/>
        </w:rPr>
        <w:t xml:space="preserve"> la certification des techniciens,</w:t>
      </w:r>
      <w:r w:rsidR="003E6D2D">
        <w:rPr>
          <w:lang w:val="fr-FR"/>
        </w:rPr>
        <w:t xml:space="preserve"> </w:t>
      </w:r>
      <w:r w:rsidRPr="00835C40">
        <w:rPr>
          <w:lang w:val="fr-FR"/>
        </w:rPr>
        <w:t>celle</w:t>
      </w:r>
      <w:r w:rsidR="00784C1E">
        <w:rPr>
          <w:lang w:val="fr-FR"/>
        </w:rPr>
        <w:t>s</w:t>
      </w:r>
      <w:r w:rsidRPr="00835C40">
        <w:rPr>
          <w:lang w:val="fr-FR"/>
        </w:rPr>
        <w:t xml:space="preserve">-ci pouvant permettre une mise en œuvre harmonisée et rentable de </w:t>
      </w:r>
      <w:r w:rsidR="00B74E20">
        <w:rPr>
          <w:lang w:val="fr-FR"/>
        </w:rPr>
        <w:t xml:space="preserve">la </w:t>
      </w:r>
      <w:r w:rsidRPr="00835C40">
        <w:rPr>
          <w:lang w:val="fr-FR"/>
        </w:rPr>
        <w:t>certification.</w:t>
      </w:r>
      <w:r w:rsidR="00EB56BA" w:rsidRPr="00C51E0A">
        <w:rPr>
          <w:lang w:val="fr-FR"/>
        </w:rPr>
        <w:t xml:space="preserve"> </w:t>
      </w:r>
    </w:p>
    <w:p w:rsidR="00EB56BA" w:rsidRPr="00C51E0A" w:rsidRDefault="00835C40" w:rsidP="005801E3">
      <w:pPr>
        <w:pStyle w:val="Heading1"/>
        <w:rPr>
          <w:lang w:val="fr-FR"/>
        </w:rPr>
      </w:pPr>
      <w:r w:rsidRPr="00F95F34">
        <w:rPr>
          <w:lang w:val="fr-FR"/>
        </w:rPr>
        <w:t xml:space="preserve">La mise en place de la certification obligatoire des techniciens est plus </w:t>
      </w:r>
      <w:r w:rsidR="00F95F34" w:rsidRPr="00F95F34">
        <w:rPr>
          <w:lang w:val="fr-FR"/>
        </w:rPr>
        <w:t>complexe</w:t>
      </w:r>
      <w:r w:rsidRPr="00F95F34">
        <w:rPr>
          <w:lang w:val="fr-FR"/>
        </w:rPr>
        <w:t xml:space="preserve">, </w:t>
      </w:r>
      <w:r w:rsidR="00F95F34" w:rsidRPr="00F95F34">
        <w:rPr>
          <w:lang w:val="fr-FR"/>
        </w:rPr>
        <w:t>du fait qu</w:t>
      </w:r>
      <w:r w:rsidR="003E6D2D">
        <w:rPr>
          <w:lang w:val="fr-FR"/>
        </w:rPr>
        <w:t>’</w:t>
      </w:r>
      <w:r w:rsidR="00F95F34" w:rsidRPr="00F95F34">
        <w:rPr>
          <w:lang w:val="fr-FR"/>
        </w:rPr>
        <w:t>une</w:t>
      </w:r>
      <w:r w:rsidRPr="00F95F34">
        <w:rPr>
          <w:lang w:val="fr-FR"/>
        </w:rPr>
        <w:t xml:space="preserve"> telle décision </w:t>
      </w:r>
      <w:r w:rsidR="00F95F34" w:rsidRPr="00F95F34">
        <w:rPr>
          <w:lang w:val="fr-FR"/>
        </w:rPr>
        <w:t xml:space="preserve">va au-delà du ressort des UNO </w:t>
      </w:r>
      <w:r w:rsidRPr="00F95F34">
        <w:rPr>
          <w:lang w:val="fr-FR"/>
        </w:rPr>
        <w:t>et exige</w:t>
      </w:r>
      <w:r w:rsidR="00F95F34" w:rsidRPr="00F95F34">
        <w:rPr>
          <w:lang w:val="fr-FR"/>
        </w:rPr>
        <w:t xml:space="preserve"> un</w:t>
      </w:r>
      <w:r w:rsidRPr="00F95F34">
        <w:rPr>
          <w:lang w:val="fr-FR"/>
        </w:rPr>
        <w:t xml:space="preserve"> travail institutionnel </w:t>
      </w:r>
      <w:r w:rsidR="00B74E20">
        <w:rPr>
          <w:lang w:val="fr-FR"/>
        </w:rPr>
        <w:t>supplémentaire.</w:t>
      </w:r>
      <w:r w:rsidR="00EB56BA" w:rsidRPr="00C51E0A">
        <w:rPr>
          <w:lang w:val="fr-FR"/>
        </w:rPr>
        <w:t xml:space="preserve"> </w:t>
      </w:r>
      <w:r w:rsidR="00F95F34" w:rsidRPr="00F95F34">
        <w:rPr>
          <w:lang w:val="fr-FR"/>
        </w:rPr>
        <w:t>La mesure dans laquelle le mécanisme de</w:t>
      </w:r>
      <w:r w:rsidR="003E6D2D">
        <w:rPr>
          <w:lang w:val="fr-FR"/>
        </w:rPr>
        <w:t xml:space="preserve"> </w:t>
      </w:r>
      <w:r w:rsidR="00F95F34" w:rsidRPr="00F95F34">
        <w:rPr>
          <w:lang w:val="fr-FR"/>
        </w:rPr>
        <w:t xml:space="preserve">certification </w:t>
      </w:r>
      <w:r w:rsidR="00CB480D">
        <w:rPr>
          <w:lang w:val="fr-FR"/>
        </w:rPr>
        <w:t xml:space="preserve">constitue une </w:t>
      </w:r>
      <w:r w:rsidR="00B74E20">
        <w:rPr>
          <w:lang w:val="fr-FR"/>
        </w:rPr>
        <w:t>« </w:t>
      </w:r>
      <w:r w:rsidR="00F95F34" w:rsidRPr="00F95F34">
        <w:rPr>
          <w:lang w:val="fr-FR"/>
        </w:rPr>
        <w:t>condition préalable</w:t>
      </w:r>
      <w:r w:rsidR="00B74E20">
        <w:rPr>
          <w:lang w:val="fr-FR"/>
        </w:rPr>
        <w:t> »</w:t>
      </w:r>
      <w:r w:rsidR="00F95F34" w:rsidRPr="00F95F34">
        <w:rPr>
          <w:lang w:val="fr-FR"/>
        </w:rPr>
        <w:t xml:space="preserve"> pour les techniciens varie lorsqu</w:t>
      </w:r>
      <w:r w:rsidR="003E6D2D">
        <w:rPr>
          <w:lang w:val="fr-FR"/>
        </w:rPr>
        <w:t>’</w:t>
      </w:r>
      <w:r w:rsidR="00B74E20">
        <w:rPr>
          <w:lang w:val="fr-FR"/>
        </w:rPr>
        <w:t xml:space="preserve">il s’agit de </w:t>
      </w:r>
      <w:r w:rsidR="00F95F34" w:rsidRPr="00F95F34">
        <w:rPr>
          <w:lang w:val="fr-FR"/>
        </w:rPr>
        <w:t>suivre les procédures de bon entretien pour les équipements de réfrigération, de climatisation et de pompes à chaleur, l</w:t>
      </w:r>
      <w:r w:rsidR="003E6D2D">
        <w:rPr>
          <w:lang w:val="fr-FR"/>
        </w:rPr>
        <w:t>’</w:t>
      </w:r>
      <w:r w:rsidR="00F95F34" w:rsidRPr="00F95F34">
        <w:rPr>
          <w:lang w:val="fr-FR"/>
        </w:rPr>
        <w:t>acquisition et l</w:t>
      </w:r>
      <w:r w:rsidR="003E6D2D">
        <w:rPr>
          <w:lang w:val="fr-FR"/>
        </w:rPr>
        <w:t>’</w:t>
      </w:r>
      <w:r w:rsidR="00F95F34" w:rsidRPr="00F95F34">
        <w:rPr>
          <w:lang w:val="fr-FR"/>
        </w:rPr>
        <w:t xml:space="preserve">utilisation de différents types </w:t>
      </w:r>
      <w:r w:rsidR="00B74E20">
        <w:rPr>
          <w:lang w:val="fr-FR"/>
        </w:rPr>
        <w:t>de</w:t>
      </w:r>
      <w:r w:rsidR="00F95F34" w:rsidRPr="00F95F34">
        <w:rPr>
          <w:lang w:val="fr-FR"/>
        </w:rPr>
        <w:t xml:space="preserve"> frigorigènes, la récupération et réutilisation de frigorigènes</w:t>
      </w:r>
      <w:r w:rsidR="003E6D2D">
        <w:rPr>
          <w:lang w:val="fr-FR"/>
        </w:rPr>
        <w:t xml:space="preserve"> </w:t>
      </w:r>
      <w:r w:rsidR="00F95F34" w:rsidRPr="00F95F34">
        <w:rPr>
          <w:lang w:val="fr-FR"/>
        </w:rPr>
        <w:t>et l</w:t>
      </w:r>
      <w:r w:rsidR="003E6D2D">
        <w:rPr>
          <w:lang w:val="fr-FR"/>
        </w:rPr>
        <w:t>’</w:t>
      </w:r>
      <w:r w:rsidR="00F95F34" w:rsidRPr="00F95F34">
        <w:rPr>
          <w:lang w:val="fr-FR"/>
        </w:rPr>
        <w:t>élimination définitive sûre et efficace des équipements.</w:t>
      </w:r>
      <w:r w:rsidR="00EB56BA" w:rsidRPr="00C51E0A">
        <w:rPr>
          <w:lang w:val="fr-FR"/>
        </w:rPr>
        <w:t xml:space="preserve"> </w:t>
      </w:r>
      <w:r w:rsidR="00F95F34" w:rsidRPr="005801E3">
        <w:rPr>
          <w:lang w:val="fr-FR"/>
        </w:rPr>
        <w:t xml:space="preserve">Dans certains pays, il existe des </w:t>
      </w:r>
      <w:r w:rsidR="00B74E20">
        <w:rPr>
          <w:lang w:val="fr-FR"/>
        </w:rPr>
        <w:t xml:space="preserve">organismes </w:t>
      </w:r>
      <w:r w:rsidR="00F95F34" w:rsidRPr="005801E3">
        <w:rPr>
          <w:lang w:val="fr-FR"/>
        </w:rPr>
        <w:t>spécifiques responsables du développement de normes techniques et de processus de certification ; les techniciens obtiennent une certification sur la base de leurs compétences émise par l</w:t>
      </w:r>
      <w:r w:rsidR="003E6D2D">
        <w:rPr>
          <w:lang w:val="fr-FR"/>
        </w:rPr>
        <w:t>’</w:t>
      </w:r>
      <w:r w:rsidR="005801E3" w:rsidRPr="005801E3">
        <w:rPr>
          <w:lang w:val="fr-FR"/>
        </w:rPr>
        <w:t>établissement d</w:t>
      </w:r>
      <w:r w:rsidR="003E6D2D">
        <w:rPr>
          <w:lang w:val="fr-FR"/>
        </w:rPr>
        <w:t>’</w:t>
      </w:r>
      <w:r w:rsidR="005801E3" w:rsidRPr="005801E3">
        <w:rPr>
          <w:lang w:val="fr-FR"/>
        </w:rPr>
        <w:t xml:space="preserve">enseignement concerné ou tout autre organisme compétent </w:t>
      </w:r>
      <w:r w:rsidR="00F95F34" w:rsidRPr="005801E3">
        <w:rPr>
          <w:lang w:val="fr-FR"/>
        </w:rPr>
        <w:t>(par ex</w:t>
      </w:r>
      <w:r w:rsidR="00B74E20">
        <w:rPr>
          <w:lang w:val="fr-FR"/>
        </w:rPr>
        <w:t>emple,</w:t>
      </w:r>
      <w:r w:rsidR="00F95F34" w:rsidRPr="005801E3">
        <w:rPr>
          <w:lang w:val="fr-FR"/>
        </w:rPr>
        <w:t xml:space="preserve"> ministère d</w:t>
      </w:r>
      <w:r w:rsidR="005801E3" w:rsidRPr="005801E3">
        <w:rPr>
          <w:lang w:val="fr-FR"/>
        </w:rPr>
        <w:t>u T</w:t>
      </w:r>
      <w:r w:rsidR="00F95F34" w:rsidRPr="005801E3">
        <w:rPr>
          <w:lang w:val="fr-FR"/>
        </w:rPr>
        <w:t>ravail, département d</w:t>
      </w:r>
      <w:r w:rsidR="005801E3" w:rsidRPr="005801E3">
        <w:rPr>
          <w:lang w:val="fr-FR"/>
        </w:rPr>
        <w:t>e l</w:t>
      </w:r>
      <w:r w:rsidR="003E6D2D">
        <w:rPr>
          <w:lang w:val="fr-FR"/>
        </w:rPr>
        <w:t>’</w:t>
      </w:r>
      <w:r w:rsidR="005801E3" w:rsidRPr="005801E3">
        <w:rPr>
          <w:lang w:val="fr-FR"/>
        </w:rPr>
        <w:t>enseignement</w:t>
      </w:r>
      <w:r w:rsidR="003E6D2D">
        <w:rPr>
          <w:lang w:val="fr-FR"/>
        </w:rPr>
        <w:t xml:space="preserve"> </w:t>
      </w:r>
      <w:r w:rsidR="00F95F34" w:rsidRPr="005801E3">
        <w:rPr>
          <w:lang w:val="fr-FR"/>
        </w:rPr>
        <w:t xml:space="preserve">technique) </w:t>
      </w:r>
      <w:r w:rsidR="005801E3" w:rsidRPr="005801E3">
        <w:rPr>
          <w:lang w:val="fr-FR"/>
        </w:rPr>
        <w:t>au sein du</w:t>
      </w:r>
      <w:r w:rsidR="00F95F34" w:rsidRPr="005801E3">
        <w:rPr>
          <w:lang w:val="fr-FR"/>
        </w:rPr>
        <w:t xml:space="preserve"> gouvernement.</w:t>
      </w:r>
      <w:r w:rsidR="00EB56BA" w:rsidRPr="00C51E0A">
        <w:rPr>
          <w:lang w:val="fr-FR"/>
        </w:rPr>
        <w:t xml:space="preserve"> </w:t>
      </w:r>
    </w:p>
    <w:p w:rsidR="00D36A81" w:rsidRPr="00C51E0A" w:rsidRDefault="005801E3" w:rsidP="00DB265F">
      <w:pPr>
        <w:pStyle w:val="Heading1"/>
        <w:rPr>
          <w:lang w:val="fr-FR"/>
        </w:rPr>
      </w:pPr>
      <w:r w:rsidRPr="005801E3">
        <w:rPr>
          <w:lang w:val="fr-FR"/>
        </w:rPr>
        <w:t>Pour assurer la durabilité à long terme de la certification des techniciens, les systèmes de certification doivent être développés plus avant ou renforcés à l</w:t>
      </w:r>
      <w:r w:rsidR="003E6D2D">
        <w:rPr>
          <w:lang w:val="fr-FR"/>
        </w:rPr>
        <w:t>’</w:t>
      </w:r>
      <w:r w:rsidRPr="005801E3">
        <w:rPr>
          <w:lang w:val="fr-FR"/>
        </w:rPr>
        <w:t>aide de mesures réglementaires nécessaires au niveau national.</w:t>
      </w:r>
      <w:r w:rsidR="00EB56BA" w:rsidRPr="00C51E0A">
        <w:rPr>
          <w:lang w:val="fr-FR"/>
        </w:rPr>
        <w:t xml:space="preserve"> </w:t>
      </w:r>
      <w:r w:rsidRPr="005801E3">
        <w:rPr>
          <w:lang w:val="fr-FR"/>
        </w:rPr>
        <w:t>Les programmes d</w:t>
      </w:r>
      <w:r w:rsidR="003E6D2D">
        <w:rPr>
          <w:lang w:val="fr-FR"/>
        </w:rPr>
        <w:t>’</w:t>
      </w:r>
      <w:r w:rsidRPr="005801E3">
        <w:rPr>
          <w:lang w:val="fr-FR"/>
        </w:rPr>
        <w:t>études de formation des établissements et des écoles de formation professionnelle devraient être périodiquement mis à jour afin d</w:t>
      </w:r>
      <w:r w:rsidR="003E6D2D">
        <w:rPr>
          <w:lang w:val="fr-FR"/>
        </w:rPr>
        <w:t>’</w:t>
      </w:r>
      <w:r w:rsidRPr="005801E3">
        <w:rPr>
          <w:lang w:val="fr-FR"/>
        </w:rPr>
        <w:t>incorporer les changements, les améliorations technologiques des systèmes de réfrigération, de climatisation et de pompes à chaleur et l</w:t>
      </w:r>
      <w:r w:rsidR="003E6D2D">
        <w:rPr>
          <w:lang w:val="fr-FR"/>
        </w:rPr>
        <w:t>’</w:t>
      </w:r>
      <w:r w:rsidRPr="005801E3">
        <w:rPr>
          <w:lang w:val="fr-FR"/>
        </w:rPr>
        <w:t>introduction de frigorigènes de remplacement.</w:t>
      </w:r>
      <w:r w:rsidR="00EB56BA" w:rsidRPr="00C51E0A">
        <w:rPr>
          <w:lang w:val="fr-FR"/>
        </w:rPr>
        <w:t xml:space="preserve"> </w:t>
      </w:r>
      <w:r w:rsidRPr="005801E3">
        <w:rPr>
          <w:lang w:val="fr-FR"/>
        </w:rPr>
        <w:t>Il conviendrait d</w:t>
      </w:r>
      <w:r w:rsidR="003E6D2D">
        <w:rPr>
          <w:lang w:val="fr-FR"/>
        </w:rPr>
        <w:t>’</w:t>
      </w:r>
      <w:r w:rsidRPr="005801E3">
        <w:rPr>
          <w:lang w:val="fr-FR"/>
        </w:rPr>
        <w:t>examiner :</w:t>
      </w:r>
      <w:r w:rsidR="00EB56BA" w:rsidRPr="00C51E0A">
        <w:rPr>
          <w:lang w:val="fr-FR"/>
        </w:rPr>
        <w:t xml:space="preserve"> </w:t>
      </w:r>
      <w:r w:rsidR="00B74E20">
        <w:rPr>
          <w:lang w:val="fr-FR"/>
        </w:rPr>
        <w:t>l</w:t>
      </w:r>
      <w:r w:rsidR="003E6D2D">
        <w:rPr>
          <w:lang w:val="fr-FR"/>
        </w:rPr>
        <w:t>’</w:t>
      </w:r>
      <w:r w:rsidRPr="005801E3">
        <w:rPr>
          <w:lang w:val="fr-FR"/>
        </w:rPr>
        <w:t>extension de la certification aux entreprises impliquées dans l</w:t>
      </w:r>
      <w:r w:rsidR="003E6D2D">
        <w:rPr>
          <w:lang w:val="fr-FR"/>
        </w:rPr>
        <w:t>’</w:t>
      </w:r>
      <w:r w:rsidRPr="005801E3">
        <w:rPr>
          <w:lang w:val="fr-FR"/>
        </w:rPr>
        <w:t>installation, l</w:t>
      </w:r>
      <w:r w:rsidR="003E6D2D">
        <w:rPr>
          <w:lang w:val="fr-FR"/>
        </w:rPr>
        <w:t>’</w:t>
      </w:r>
      <w:r w:rsidRPr="005801E3">
        <w:rPr>
          <w:lang w:val="fr-FR"/>
        </w:rPr>
        <w:t>entretien, la maintenance et le démantèlement des équipements de réfrigération, de climatisation et de pompes à chaleur ; le fait de relier la certification des techniciens aux critères ou normes règlementaires adoptées par le pays ; la détermination du nombre et des niveaux de certification de technicien selon les besoins spécifiques du pays ; et le renforcement et l</w:t>
      </w:r>
      <w:r w:rsidR="003E6D2D">
        <w:rPr>
          <w:lang w:val="fr-FR"/>
        </w:rPr>
        <w:t>’</w:t>
      </w:r>
      <w:r w:rsidRPr="005801E3">
        <w:rPr>
          <w:lang w:val="fr-FR"/>
        </w:rPr>
        <w:t>engagement des associations de réfrigération dans la promotion ou l</w:t>
      </w:r>
      <w:r w:rsidR="0069371C">
        <w:rPr>
          <w:lang w:val="fr-FR"/>
        </w:rPr>
        <w:t xml:space="preserve">a mise en œuvre </w:t>
      </w:r>
      <w:r w:rsidRPr="005801E3">
        <w:rPr>
          <w:lang w:val="fr-FR"/>
        </w:rPr>
        <w:t>de la certification de technicien.</w:t>
      </w:r>
      <w:r w:rsidR="00EB56BA" w:rsidRPr="00C51E0A">
        <w:rPr>
          <w:lang w:val="fr-FR"/>
        </w:rPr>
        <w:t xml:space="preserve"> </w:t>
      </w:r>
      <w:r w:rsidRPr="00C04673">
        <w:rPr>
          <w:lang w:val="fr-FR"/>
        </w:rPr>
        <w:t xml:space="preserve">Le programme de certification devrait inclure des réglementations destinées à empêcher les techniciens non certifiés de travailler sur </w:t>
      </w:r>
      <w:r w:rsidR="00C04673" w:rsidRPr="00C04673">
        <w:rPr>
          <w:lang w:val="fr-FR"/>
        </w:rPr>
        <w:t xml:space="preserve">des </w:t>
      </w:r>
      <w:r w:rsidRPr="00C04673">
        <w:rPr>
          <w:lang w:val="fr-FR"/>
        </w:rPr>
        <w:t xml:space="preserve">équipements de réfrigération, de climatisation et de pompes à chaleur </w:t>
      </w:r>
      <w:r w:rsidR="00C04673" w:rsidRPr="00C04673">
        <w:rPr>
          <w:lang w:val="fr-FR"/>
        </w:rPr>
        <w:t xml:space="preserve">ou de les entretenir </w:t>
      </w:r>
      <w:r w:rsidRPr="00C04673">
        <w:rPr>
          <w:lang w:val="fr-FR"/>
        </w:rPr>
        <w:t>en s</w:t>
      </w:r>
      <w:r w:rsidR="003E6D2D">
        <w:rPr>
          <w:lang w:val="fr-FR"/>
        </w:rPr>
        <w:t>’</w:t>
      </w:r>
      <w:r w:rsidRPr="00C04673">
        <w:rPr>
          <w:lang w:val="fr-FR"/>
        </w:rPr>
        <w:t>appuyant sur certaines technologies, et d</w:t>
      </w:r>
      <w:r w:rsidR="003E6D2D">
        <w:rPr>
          <w:lang w:val="fr-FR"/>
        </w:rPr>
        <w:t>’</w:t>
      </w:r>
      <w:r w:rsidRPr="00C04673">
        <w:rPr>
          <w:lang w:val="fr-FR"/>
        </w:rPr>
        <w:t>acheter et de manipuler des frigorigènes, et ce programme devrait être soutenu par la diffusion d</w:t>
      </w:r>
      <w:r w:rsidR="003E6D2D">
        <w:rPr>
          <w:lang w:val="fr-FR"/>
        </w:rPr>
        <w:t>’</w:t>
      </w:r>
      <w:r w:rsidRPr="00C04673">
        <w:rPr>
          <w:lang w:val="fr-FR"/>
        </w:rPr>
        <w:t>informations et des activités de sensibilisation pour assurer son adoption durable.</w:t>
      </w:r>
      <w:r w:rsidR="00EB56BA" w:rsidRPr="00C51E0A">
        <w:rPr>
          <w:lang w:val="fr-FR"/>
        </w:rPr>
        <w:t xml:space="preserve"> </w:t>
      </w:r>
    </w:p>
    <w:p w:rsidR="00EB56BA" w:rsidRPr="00157691" w:rsidRDefault="00C04673" w:rsidP="00C04673">
      <w:pPr>
        <w:keepNext/>
        <w:spacing w:after="240"/>
        <w:outlineLvl w:val="0"/>
        <w:rPr>
          <w:u w:val="single"/>
        </w:rPr>
      </w:pPr>
      <w:r w:rsidRPr="002C4DC3">
        <w:rPr>
          <w:u w:val="single"/>
          <w:lang w:val="fr-FR"/>
        </w:rPr>
        <w:t>Sécurité et normes</w:t>
      </w:r>
      <w:r w:rsidR="00EB56BA" w:rsidRPr="00157691">
        <w:rPr>
          <w:u w:val="single"/>
        </w:rPr>
        <w:t xml:space="preserve"> </w:t>
      </w:r>
    </w:p>
    <w:p w:rsidR="00EB56BA" w:rsidRPr="00C51E0A" w:rsidRDefault="00C04673" w:rsidP="00C04673">
      <w:pPr>
        <w:pStyle w:val="Heading1"/>
        <w:rPr>
          <w:lang w:val="fr-FR"/>
        </w:rPr>
      </w:pPr>
      <w:r w:rsidRPr="00C04673">
        <w:rPr>
          <w:lang w:val="fr-FR"/>
        </w:rPr>
        <w:t xml:space="preserve">A mesure </w:t>
      </w:r>
      <w:r w:rsidR="002C4DC3">
        <w:rPr>
          <w:lang w:val="fr-FR"/>
        </w:rPr>
        <w:t>que des</w:t>
      </w:r>
      <w:r w:rsidRPr="00C04673">
        <w:rPr>
          <w:lang w:val="fr-FR"/>
        </w:rPr>
        <w:t xml:space="preserve"> frigorigènes de remplacement à faible PRP ou sans PRP arrivent</w:t>
      </w:r>
      <w:r w:rsidR="002C4DC3">
        <w:rPr>
          <w:lang w:val="fr-FR"/>
        </w:rPr>
        <w:t xml:space="preserve"> en plus grand nombre</w:t>
      </w:r>
      <w:r w:rsidRPr="00C04673">
        <w:rPr>
          <w:lang w:val="fr-FR"/>
        </w:rPr>
        <w:t xml:space="preserve"> sur les marchés des pays visés à l</w:t>
      </w:r>
      <w:r w:rsidR="003E6D2D">
        <w:rPr>
          <w:lang w:val="fr-FR"/>
        </w:rPr>
        <w:t>’</w:t>
      </w:r>
      <w:r w:rsidRPr="00C04673">
        <w:rPr>
          <w:lang w:val="fr-FR"/>
        </w:rPr>
        <w:t>article 5, l</w:t>
      </w:r>
      <w:r w:rsidR="003E6D2D">
        <w:rPr>
          <w:lang w:val="fr-FR"/>
        </w:rPr>
        <w:t>’</w:t>
      </w:r>
      <w:r w:rsidRPr="00C04673">
        <w:rPr>
          <w:lang w:val="fr-FR"/>
        </w:rPr>
        <w:t xml:space="preserve">infrastructure de formation actuellement utilisée pour éliminer les HCFC </w:t>
      </w:r>
      <w:r w:rsidR="006B29F5">
        <w:rPr>
          <w:lang w:val="fr-FR"/>
        </w:rPr>
        <w:t xml:space="preserve">devra </w:t>
      </w:r>
      <w:r w:rsidRPr="00C04673">
        <w:rPr>
          <w:lang w:val="fr-FR"/>
        </w:rPr>
        <w:t xml:space="preserve">être évaluée </w:t>
      </w:r>
      <w:r w:rsidR="006B29F5">
        <w:rPr>
          <w:lang w:val="fr-FR"/>
        </w:rPr>
        <w:t xml:space="preserve">afin de </w:t>
      </w:r>
      <w:r w:rsidRPr="00C04673">
        <w:rPr>
          <w:lang w:val="fr-FR"/>
        </w:rPr>
        <w:t xml:space="preserve">déterminer </w:t>
      </w:r>
      <w:r w:rsidR="006B29F5">
        <w:rPr>
          <w:lang w:val="fr-FR"/>
        </w:rPr>
        <w:t>si elle aurait besoin d’être</w:t>
      </w:r>
      <w:r w:rsidRPr="00C04673">
        <w:rPr>
          <w:lang w:val="fr-FR"/>
        </w:rPr>
        <w:t xml:space="preserve"> renforcée ou actualisée.</w:t>
      </w:r>
      <w:r w:rsidR="00EB56BA" w:rsidRPr="00C51E0A">
        <w:rPr>
          <w:lang w:val="fr-FR"/>
        </w:rPr>
        <w:t xml:space="preserve"> </w:t>
      </w:r>
      <w:r w:rsidRPr="00C04673">
        <w:rPr>
          <w:lang w:val="fr-FR"/>
        </w:rPr>
        <w:t xml:space="preserve">De même, les programmes de formation </w:t>
      </w:r>
      <w:r w:rsidR="006B29F5">
        <w:rPr>
          <w:lang w:val="fr-FR"/>
        </w:rPr>
        <w:t>actuels</w:t>
      </w:r>
      <w:r w:rsidRPr="00C04673">
        <w:rPr>
          <w:lang w:val="fr-FR"/>
        </w:rPr>
        <w:t xml:space="preserve"> devront être examinés </w:t>
      </w:r>
      <w:r w:rsidR="006B29F5">
        <w:rPr>
          <w:lang w:val="fr-FR"/>
        </w:rPr>
        <w:t>en vue</w:t>
      </w:r>
      <w:r w:rsidRPr="00C04673">
        <w:rPr>
          <w:lang w:val="fr-FR"/>
        </w:rPr>
        <w:t xml:space="preserve"> d</w:t>
      </w:r>
      <w:r w:rsidR="003E6D2D">
        <w:rPr>
          <w:lang w:val="fr-FR"/>
        </w:rPr>
        <w:t>’</w:t>
      </w:r>
      <w:r w:rsidRPr="00C04673">
        <w:rPr>
          <w:lang w:val="fr-FR"/>
        </w:rPr>
        <w:t>élargir les bonnes pratiques en matière d</w:t>
      </w:r>
      <w:r w:rsidR="003E6D2D">
        <w:rPr>
          <w:lang w:val="fr-FR"/>
        </w:rPr>
        <w:t>’</w:t>
      </w:r>
      <w:r w:rsidRPr="00C04673">
        <w:rPr>
          <w:lang w:val="fr-FR"/>
        </w:rPr>
        <w:t xml:space="preserve">entretien et de maintenance </w:t>
      </w:r>
      <w:r w:rsidR="006B29F5">
        <w:rPr>
          <w:lang w:val="fr-FR"/>
        </w:rPr>
        <w:t>pour</w:t>
      </w:r>
      <w:r w:rsidRPr="00C04673">
        <w:rPr>
          <w:lang w:val="fr-FR"/>
        </w:rPr>
        <w:t xml:space="preserve"> couvrir les nouvelles technologies introduites.</w:t>
      </w:r>
      <w:r w:rsidR="00EB56BA" w:rsidRPr="00C51E0A">
        <w:rPr>
          <w:lang w:val="fr-FR"/>
        </w:rPr>
        <w:t xml:space="preserve"> </w:t>
      </w:r>
      <w:r w:rsidRPr="00C04673">
        <w:rPr>
          <w:lang w:val="fr-FR"/>
        </w:rPr>
        <w:t>Ils devraient être structurés sur la base des priorités nationales se rapportant à la capacité du secteur de l</w:t>
      </w:r>
      <w:r w:rsidR="003E6D2D">
        <w:rPr>
          <w:lang w:val="fr-FR"/>
        </w:rPr>
        <w:t>’</w:t>
      </w:r>
      <w:r w:rsidRPr="00C04673">
        <w:rPr>
          <w:lang w:val="fr-FR"/>
        </w:rPr>
        <w:t>entretien et les technologies dont on prévoit l</w:t>
      </w:r>
      <w:r w:rsidR="003E6D2D">
        <w:rPr>
          <w:lang w:val="fr-FR"/>
        </w:rPr>
        <w:t>’</w:t>
      </w:r>
      <w:r w:rsidRPr="00C04673">
        <w:rPr>
          <w:lang w:val="fr-FR"/>
        </w:rPr>
        <w:t>introduction lors de l</w:t>
      </w:r>
      <w:r w:rsidR="003E6D2D">
        <w:rPr>
          <w:lang w:val="fr-FR"/>
        </w:rPr>
        <w:t>’</w:t>
      </w:r>
      <w:r w:rsidRPr="00C04673">
        <w:rPr>
          <w:lang w:val="fr-FR"/>
        </w:rPr>
        <w:t>élimination des HCFC.</w:t>
      </w:r>
    </w:p>
    <w:p w:rsidR="00EB56BA" w:rsidRPr="00C51E0A" w:rsidRDefault="00C04673" w:rsidP="00E371F7">
      <w:pPr>
        <w:pStyle w:val="Heading1"/>
        <w:rPr>
          <w:lang w:val="fr-FR"/>
        </w:rPr>
      </w:pPr>
      <w:r w:rsidRPr="00C04673">
        <w:rPr>
          <w:lang w:val="fr-FR"/>
        </w:rPr>
        <w:lastRenderedPageBreak/>
        <w:t>L</w:t>
      </w:r>
      <w:r w:rsidR="003E6D2D">
        <w:rPr>
          <w:lang w:val="fr-FR"/>
        </w:rPr>
        <w:t>’</w:t>
      </w:r>
      <w:r w:rsidRPr="00C04673">
        <w:rPr>
          <w:lang w:val="fr-FR"/>
        </w:rPr>
        <w:t>adaptation des normes</w:t>
      </w:r>
      <w:r w:rsidRPr="00C04673">
        <w:rPr>
          <w:rStyle w:val="FootnoteReference"/>
          <w:lang w:val="fr-FR"/>
        </w:rPr>
        <w:footnoteReference w:id="36"/>
      </w:r>
      <w:r w:rsidRPr="00C04673">
        <w:rPr>
          <w:lang w:val="fr-FR"/>
        </w:rPr>
        <w:t xml:space="preserve"> approuvées internationalement pour correspondre aux exigences nationales peut être une façon rentable d</w:t>
      </w:r>
      <w:r w:rsidR="003E6D2D">
        <w:rPr>
          <w:lang w:val="fr-FR"/>
        </w:rPr>
        <w:t>’</w:t>
      </w:r>
      <w:r w:rsidRPr="00C04673">
        <w:rPr>
          <w:lang w:val="fr-FR"/>
        </w:rPr>
        <w:t>adopter des normes.</w:t>
      </w:r>
      <w:r w:rsidR="003E6D2D">
        <w:rPr>
          <w:lang w:val="fr-FR"/>
        </w:rPr>
        <w:t xml:space="preserve"> </w:t>
      </w:r>
      <w:r w:rsidRPr="00E371F7">
        <w:rPr>
          <w:lang w:val="fr-FR"/>
        </w:rPr>
        <w:t xml:space="preserve">Dans le contexte des pays à faible volume de consommation de SAO, les </w:t>
      </w:r>
      <w:r w:rsidR="00E371F7" w:rsidRPr="00E371F7">
        <w:rPr>
          <w:lang w:val="fr-FR"/>
        </w:rPr>
        <w:t xml:space="preserve">normes des </w:t>
      </w:r>
      <w:r w:rsidRPr="00E371F7">
        <w:rPr>
          <w:lang w:val="fr-FR"/>
        </w:rPr>
        <w:t xml:space="preserve">équipements seront </w:t>
      </w:r>
      <w:r w:rsidR="00E371F7" w:rsidRPr="00E371F7">
        <w:rPr>
          <w:lang w:val="fr-FR"/>
        </w:rPr>
        <w:t xml:space="preserve">généralement </w:t>
      </w:r>
      <w:r w:rsidRPr="00E371F7">
        <w:rPr>
          <w:lang w:val="fr-FR"/>
        </w:rPr>
        <w:t>adoptées</w:t>
      </w:r>
      <w:r w:rsidR="00E371F7" w:rsidRPr="00E371F7">
        <w:rPr>
          <w:lang w:val="fr-FR"/>
        </w:rPr>
        <w:t xml:space="preserve"> sur la base des</w:t>
      </w:r>
      <w:r w:rsidRPr="00E371F7">
        <w:rPr>
          <w:lang w:val="fr-FR"/>
        </w:rPr>
        <w:t xml:space="preserve"> normes internationales </w:t>
      </w:r>
      <w:r w:rsidR="00E371F7" w:rsidRPr="00E371F7">
        <w:rPr>
          <w:lang w:val="fr-FR"/>
        </w:rPr>
        <w:t xml:space="preserve">en vigueur </w:t>
      </w:r>
      <w:r w:rsidRPr="00E371F7">
        <w:rPr>
          <w:lang w:val="fr-FR"/>
        </w:rPr>
        <w:t xml:space="preserve">et adaptées </w:t>
      </w:r>
      <w:r w:rsidR="00E371F7" w:rsidRPr="00E371F7">
        <w:rPr>
          <w:lang w:val="fr-FR"/>
        </w:rPr>
        <w:t xml:space="preserve">dans la mesure nécessaire </w:t>
      </w:r>
      <w:r w:rsidRPr="00E371F7">
        <w:rPr>
          <w:lang w:val="fr-FR"/>
        </w:rPr>
        <w:t xml:space="preserve">pour convenir </w:t>
      </w:r>
      <w:r w:rsidR="00E371F7" w:rsidRPr="00E371F7">
        <w:rPr>
          <w:lang w:val="fr-FR"/>
        </w:rPr>
        <w:t>aux</w:t>
      </w:r>
      <w:r w:rsidRPr="00E371F7">
        <w:rPr>
          <w:lang w:val="fr-FR"/>
        </w:rPr>
        <w:t xml:space="preserve"> conditions locales.</w:t>
      </w:r>
      <w:r w:rsidR="00EB56BA" w:rsidRPr="00C51E0A">
        <w:rPr>
          <w:lang w:val="fr-FR"/>
        </w:rPr>
        <w:t xml:space="preserve"> </w:t>
      </w:r>
      <w:r w:rsidR="00E371F7" w:rsidRPr="00E371F7">
        <w:rPr>
          <w:lang w:val="fr-FR"/>
        </w:rPr>
        <w:t>Les normes relatives à l</w:t>
      </w:r>
      <w:r w:rsidR="003E6D2D">
        <w:rPr>
          <w:lang w:val="fr-FR"/>
        </w:rPr>
        <w:t>’</w:t>
      </w:r>
      <w:r w:rsidR="00E371F7" w:rsidRPr="00E371F7">
        <w:rPr>
          <w:lang w:val="fr-FR"/>
        </w:rPr>
        <w:t>entretien doivent être toutefois développées et intégrées dans le système de certification pour assurer l</w:t>
      </w:r>
      <w:r w:rsidR="003E6D2D">
        <w:rPr>
          <w:lang w:val="fr-FR"/>
        </w:rPr>
        <w:t>’</w:t>
      </w:r>
      <w:r w:rsidR="00E371F7" w:rsidRPr="00E371F7">
        <w:rPr>
          <w:lang w:val="fr-FR"/>
        </w:rPr>
        <w:t>adoption durable des équipements utilisant des solutions de remplacement à faible PRP.</w:t>
      </w:r>
    </w:p>
    <w:p w:rsidR="00EB56BA" w:rsidRPr="009A6004" w:rsidRDefault="00E371F7" w:rsidP="00E371F7">
      <w:pPr>
        <w:spacing w:after="240"/>
        <w:outlineLvl w:val="0"/>
        <w:rPr>
          <w:u w:val="single"/>
        </w:rPr>
      </w:pPr>
      <w:r w:rsidRPr="00E371F7">
        <w:rPr>
          <w:u w:val="single"/>
          <w:lang w:val="fr-FR"/>
        </w:rPr>
        <w:t>Sensibilisation et renforcement des capacités</w:t>
      </w:r>
    </w:p>
    <w:p w:rsidR="00EB56BA" w:rsidRPr="00C51E0A" w:rsidRDefault="00E371F7" w:rsidP="00E371F7">
      <w:pPr>
        <w:pStyle w:val="Heading1"/>
        <w:rPr>
          <w:lang w:val="fr-FR"/>
        </w:rPr>
      </w:pPr>
      <w:r w:rsidRPr="00E371F7">
        <w:rPr>
          <w:lang w:val="fr-FR"/>
        </w:rPr>
        <w:t>Des activités de sensibilisation sont entreprises dans des pays à faible volume de consommation de SAO dans le cadre des PGEH, principalement pour soutenir l</w:t>
      </w:r>
      <w:r w:rsidR="003E6D2D">
        <w:rPr>
          <w:lang w:val="fr-FR"/>
        </w:rPr>
        <w:t>’</w:t>
      </w:r>
      <w:r w:rsidRPr="00E371F7">
        <w:rPr>
          <w:lang w:val="fr-FR"/>
        </w:rPr>
        <w:t>élimination des substances réglementées conformément aux objectifs de conformité du Protocole de Montréal.</w:t>
      </w:r>
      <w:r w:rsidR="00EB56BA" w:rsidRPr="00C51E0A">
        <w:rPr>
          <w:lang w:val="fr-FR"/>
        </w:rPr>
        <w:t xml:space="preserve"> </w:t>
      </w:r>
      <w:r w:rsidRPr="00E371F7">
        <w:rPr>
          <w:lang w:val="fr-FR"/>
        </w:rPr>
        <w:t>Des activités de sensibilisation se rapportant à l</w:t>
      </w:r>
      <w:r w:rsidR="003E6D2D">
        <w:rPr>
          <w:lang w:val="fr-FR"/>
        </w:rPr>
        <w:t>’</w:t>
      </w:r>
      <w:r w:rsidRPr="00E371F7">
        <w:rPr>
          <w:lang w:val="fr-FR"/>
        </w:rPr>
        <w:t>efficacité énergétique ne sont pas séparé</w:t>
      </w:r>
      <w:r w:rsidR="006B29F5">
        <w:rPr>
          <w:lang w:val="fr-FR"/>
        </w:rPr>
        <w:t>ment couvertes</w:t>
      </w:r>
      <w:r w:rsidRPr="00E371F7">
        <w:rPr>
          <w:lang w:val="fr-FR"/>
        </w:rPr>
        <w:t xml:space="preserve"> dans le cadre des PGEH, </w:t>
      </w:r>
      <w:r w:rsidR="006B29F5">
        <w:rPr>
          <w:lang w:val="fr-FR"/>
        </w:rPr>
        <w:t>mais le sont</w:t>
      </w:r>
      <w:r w:rsidRPr="00E371F7">
        <w:rPr>
          <w:lang w:val="fr-FR"/>
        </w:rPr>
        <w:t xml:space="preserve"> parfois dans le cadre d</w:t>
      </w:r>
      <w:r w:rsidR="003E6D2D">
        <w:rPr>
          <w:lang w:val="fr-FR"/>
        </w:rPr>
        <w:t>’</w:t>
      </w:r>
      <w:r w:rsidRPr="00E371F7">
        <w:rPr>
          <w:lang w:val="fr-FR"/>
        </w:rPr>
        <w:t>activités de formation pour le secteur d</w:t>
      </w:r>
      <w:r w:rsidR="003E6D2D">
        <w:rPr>
          <w:lang w:val="fr-FR"/>
        </w:rPr>
        <w:t>’</w:t>
      </w:r>
      <w:r w:rsidRPr="00E371F7">
        <w:rPr>
          <w:lang w:val="fr-FR"/>
        </w:rPr>
        <w:t>entretien.</w:t>
      </w:r>
      <w:r w:rsidR="00EB56BA" w:rsidRPr="00C51E0A">
        <w:rPr>
          <w:lang w:val="fr-FR"/>
        </w:rPr>
        <w:t xml:space="preserve"> </w:t>
      </w:r>
    </w:p>
    <w:p w:rsidR="00EB56BA" w:rsidRPr="00C51E0A" w:rsidRDefault="00061A84" w:rsidP="00BB00BB">
      <w:pPr>
        <w:pStyle w:val="Heading1"/>
        <w:rPr>
          <w:lang w:val="fr-FR"/>
        </w:rPr>
      </w:pPr>
      <w:r w:rsidRPr="00BB00BB">
        <w:rPr>
          <w:lang w:val="fr-FR"/>
        </w:rPr>
        <w:t>Depuis</w:t>
      </w:r>
      <w:r>
        <w:rPr>
          <w:lang w:val="fr-FR"/>
        </w:rPr>
        <w:t xml:space="preserve"> </w:t>
      </w:r>
      <w:r w:rsidRPr="00BB00BB">
        <w:rPr>
          <w:lang w:val="fr-FR"/>
        </w:rPr>
        <w:t>la</w:t>
      </w:r>
      <w:r w:rsidR="001C5C9C" w:rsidRPr="00BB00BB">
        <w:rPr>
          <w:lang w:val="fr-FR"/>
        </w:rPr>
        <w:t xml:space="preserve"> création du Fonds multilatéral</w:t>
      </w:r>
      <w:r w:rsidR="001C5C9C">
        <w:rPr>
          <w:lang w:val="fr-FR"/>
        </w:rPr>
        <w:t>, l</w:t>
      </w:r>
      <w:r w:rsidR="00E371F7" w:rsidRPr="00BB00BB">
        <w:rPr>
          <w:lang w:val="fr-FR"/>
        </w:rPr>
        <w:t xml:space="preserve">e renforcement des capacités </w:t>
      </w:r>
      <w:r w:rsidR="001C5C9C">
        <w:rPr>
          <w:lang w:val="fr-FR"/>
        </w:rPr>
        <w:t>en vue de</w:t>
      </w:r>
      <w:r w:rsidR="00E371F7" w:rsidRPr="00BB00BB">
        <w:rPr>
          <w:lang w:val="fr-FR"/>
        </w:rPr>
        <w:t xml:space="preserve"> la mise en œuvre du protocole de Montréal a été directement financé pour chaque </w:t>
      </w:r>
      <w:r w:rsidR="00CD6145" w:rsidRPr="00BB00BB">
        <w:rPr>
          <w:lang w:val="fr-FR"/>
        </w:rPr>
        <w:t>pays visé</w:t>
      </w:r>
      <w:r w:rsidR="00E371F7" w:rsidRPr="00BB00BB">
        <w:rPr>
          <w:lang w:val="fr-FR"/>
        </w:rPr>
        <w:t xml:space="preserve"> à l</w:t>
      </w:r>
      <w:r w:rsidR="003E6D2D">
        <w:rPr>
          <w:lang w:val="fr-FR"/>
        </w:rPr>
        <w:t>’</w:t>
      </w:r>
      <w:r w:rsidR="00E371F7" w:rsidRPr="00BB00BB">
        <w:rPr>
          <w:lang w:val="fr-FR"/>
        </w:rPr>
        <w:t>article 5</w:t>
      </w:r>
      <w:r w:rsidR="001C5C9C" w:rsidRPr="001C5C9C">
        <w:rPr>
          <w:lang w:val="fr-FR"/>
        </w:rPr>
        <w:t xml:space="preserve">, </w:t>
      </w:r>
      <w:r w:rsidR="00E371F7" w:rsidRPr="001C5C9C">
        <w:rPr>
          <w:lang w:val="fr-FR"/>
        </w:rPr>
        <w:t>pour le</w:t>
      </w:r>
      <w:r w:rsidR="00E371F7" w:rsidRPr="00BB00BB">
        <w:rPr>
          <w:lang w:val="fr-FR"/>
        </w:rPr>
        <w:t xml:space="preserve"> Programme d</w:t>
      </w:r>
      <w:r w:rsidR="003E6D2D">
        <w:rPr>
          <w:lang w:val="fr-FR"/>
        </w:rPr>
        <w:t>’</w:t>
      </w:r>
      <w:r w:rsidR="00E371F7" w:rsidRPr="00BB00BB">
        <w:rPr>
          <w:lang w:val="fr-FR"/>
        </w:rPr>
        <w:t>a</w:t>
      </w:r>
      <w:r w:rsidR="001C5C9C">
        <w:rPr>
          <w:lang w:val="fr-FR"/>
        </w:rPr>
        <w:t>ide à la</w:t>
      </w:r>
      <w:r w:rsidR="00E371F7" w:rsidRPr="00BB00BB">
        <w:rPr>
          <w:lang w:val="fr-FR"/>
        </w:rPr>
        <w:t xml:space="preserve"> conformité du PNUE par le biais de </w:t>
      </w:r>
      <w:r w:rsidR="006E7229">
        <w:rPr>
          <w:lang w:val="fr-FR"/>
        </w:rPr>
        <w:t>son rôle</w:t>
      </w:r>
      <w:r w:rsidR="00E371F7" w:rsidRPr="00BB00BB">
        <w:rPr>
          <w:lang w:val="fr-FR"/>
        </w:rPr>
        <w:t xml:space="preserve"> de </w:t>
      </w:r>
      <w:r w:rsidR="00BB00BB" w:rsidRPr="00BB00BB">
        <w:rPr>
          <w:lang w:val="fr-FR"/>
        </w:rPr>
        <w:t>centre d</w:t>
      </w:r>
      <w:r w:rsidR="003E6D2D">
        <w:rPr>
          <w:lang w:val="fr-FR"/>
        </w:rPr>
        <w:t>’</w:t>
      </w:r>
      <w:r w:rsidR="00BB00BB" w:rsidRPr="00BB00BB">
        <w:rPr>
          <w:lang w:val="fr-FR"/>
        </w:rPr>
        <w:t>information</w:t>
      </w:r>
      <w:r w:rsidR="006E7229">
        <w:rPr>
          <w:lang w:val="fr-FR"/>
        </w:rPr>
        <w:t>s</w:t>
      </w:r>
      <w:r w:rsidR="00BB00BB" w:rsidRPr="00BB00BB">
        <w:rPr>
          <w:lang w:val="fr-FR"/>
        </w:rPr>
        <w:t xml:space="preserve">, et aux </w:t>
      </w:r>
      <w:r w:rsidR="00E371F7" w:rsidRPr="00BB00BB">
        <w:rPr>
          <w:lang w:val="fr-FR"/>
        </w:rPr>
        <w:t xml:space="preserve">niveaux régionaux et </w:t>
      </w:r>
      <w:r w:rsidR="00BB00BB" w:rsidRPr="00BB00BB">
        <w:rPr>
          <w:lang w:val="fr-FR"/>
        </w:rPr>
        <w:t>mondia</w:t>
      </w:r>
      <w:r w:rsidR="00E371F7" w:rsidRPr="00BB00BB">
        <w:rPr>
          <w:lang w:val="fr-FR"/>
        </w:rPr>
        <w:t xml:space="preserve">ux, principalement par </w:t>
      </w:r>
      <w:r w:rsidR="00BB00BB" w:rsidRPr="00BB00BB">
        <w:rPr>
          <w:lang w:val="fr-FR"/>
        </w:rPr>
        <w:t>l</w:t>
      </w:r>
      <w:r w:rsidR="003E6D2D">
        <w:rPr>
          <w:lang w:val="fr-FR"/>
        </w:rPr>
        <w:t>’</w:t>
      </w:r>
      <w:r w:rsidR="00BB00BB" w:rsidRPr="00BB00BB">
        <w:rPr>
          <w:lang w:val="fr-FR"/>
        </w:rPr>
        <w:t>intermédiaire des réunions des réseaux régionaux</w:t>
      </w:r>
      <w:r w:rsidR="00E371F7" w:rsidRPr="00BB00BB">
        <w:rPr>
          <w:lang w:val="fr-FR"/>
        </w:rPr>
        <w:t>.</w:t>
      </w:r>
      <w:r w:rsidR="00EB56BA" w:rsidRPr="00C51E0A">
        <w:rPr>
          <w:lang w:val="fr-FR"/>
        </w:rPr>
        <w:t xml:space="preserve"> </w:t>
      </w:r>
      <w:r w:rsidR="00BB00BB" w:rsidRPr="00BB00BB">
        <w:rPr>
          <w:lang w:val="fr-FR"/>
        </w:rPr>
        <w:t>La liste des outils développé</w:t>
      </w:r>
      <w:r w:rsidR="006E7229">
        <w:rPr>
          <w:lang w:val="fr-FR"/>
        </w:rPr>
        <w:t>s</w:t>
      </w:r>
      <w:r w:rsidR="00BB00BB" w:rsidRPr="00BB00BB">
        <w:rPr>
          <w:lang w:val="fr-FR"/>
        </w:rPr>
        <w:t xml:space="preserve"> par le Programme d</w:t>
      </w:r>
      <w:r w:rsidR="003E6D2D">
        <w:rPr>
          <w:lang w:val="fr-FR"/>
        </w:rPr>
        <w:t>’</w:t>
      </w:r>
      <w:r w:rsidR="00BB00BB" w:rsidRPr="00BB00BB">
        <w:rPr>
          <w:lang w:val="fr-FR"/>
        </w:rPr>
        <w:t>a</w:t>
      </w:r>
      <w:r w:rsidR="001C5C9C">
        <w:rPr>
          <w:lang w:val="fr-FR"/>
        </w:rPr>
        <w:t>ide à la</w:t>
      </w:r>
      <w:r w:rsidR="00BB00BB" w:rsidRPr="00BB00BB">
        <w:rPr>
          <w:lang w:val="fr-FR"/>
        </w:rPr>
        <w:t xml:space="preserve"> conformité du PNUE</w:t>
      </w:r>
      <w:r w:rsidR="00BB00BB" w:rsidRPr="00BB00BB">
        <w:rPr>
          <w:rStyle w:val="FootnoteReference"/>
          <w:lang w:val="fr-FR"/>
        </w:rPr>
        <w:footnoteReference w:id="37"/>
      </w:r>
      <w:r w:rsidR="003E6D2D">
        <w:rPr>
          <w:lang w:val="fr-FR"/>
        </w:rPr>
        <w:t xml:space="preserve"> </w:t>
      </w:r>
      <w:r w:rsidR="00BB00BB" w:rsidRPr="00BB00BB">
        <w:rPr>
          <w:lang w:val="fr-FR"/>
        </w:rPr>
        <w:t>et d</w:t>
      </w:r>
      <w:r w:rsidR="003E6D2D">
        <w:rPr>
          <w:lang w:val="fr-FR"/>
        </w:rPr>
        <w:t>’</w:t>
      </w:r>
      <w:r w:rsidR="00BB00BB" w:rsidRPr="00BB00BB">
        <w:rPr>
          <w:lang w:val="fr-FR"/>
        </w:rPr>
        <w:t>autres outils appropriés développés par différentes agences d</w:t>
      </w:r>
      <w:r w:rsidR="003E6D2D">
        <w:rPr>
          <w:lang w:val="fr-FR"/>
        </w:rPr>
        <w:t>’</w:t>
      </w:r>
      <w:r w:rsidR="00BB00BB" w:rsidRPr="00BB00BB">
        <w:rPr>
          <w:lang w:val="fr-FR"/>
        </w:rPr>
        <w:t xml:space="preserve">exécution peut être utilisée pour </w:t>
      </w:r>
      <w:r w:rsidR="006E7229">
        <w:rPr>
          <w:lang w:val="fr-FR"/>
        </w:rPr>
        <w:t>élaborer</w:t>
      </w:r>
      <w:r w:rsidR="00BB00BB" w:rsidRPr="00BB00BB">
        <w:rPr>
          <w:lang w:val="fr-FR"/>
        </w:rPr>
        <w:t xml:space="preserve"> des programmes de certification de façon rentable, adaptés aux besoins techniques spécifiques à chaque pays.</w:t>
      </w:r>
      <w:r w:rsidR="00EB56BA" w:rsidRPr="00C51E0A">
        <w:rPr>
          <w:lang w:val="fr-FR"/>
        </w:rPr>
        <w:t xml:space="preserve"> </w:t>
      </w:r>
    </w:p>
    <w:p w:rsidR="00EB56BA" w:rsidRPr="00C51E0A" w:rsidRDefault="00BB00BB" w:rsidP="003A576C">
      <w:pPr>
        <w:pStyle w:val="Heading1"/>
        <w:rPr>
          <w:lang w:val="fr-FR"/>
        </w:rPr>
      </w:pPr>
      <w:r w:rsidRPr="00BB00BB">
        <w:rPr>
          <w:lang w:val="fr-FR"/>
        </w:rPr>
        <w:t>Les activités de renforcement des capacités se rapportant aux réglementations, à la formation et la coordination institutionnelle avec les autorités chargées de l</w:t>
      </w:r>
      <w:r w:rsidR="003E6D2D">
        <w:rPr>
          <w:lang w:val="fr-FR"/>
        </w:rPr>
        <w:t>’</w:t>
      </w:r>
      <w:r w:rsidRPr="00BB00BB">
        <w:rPr>
          <w:lang w:val="fr-FR"/>
        </w:rPr>
        <w:t>efficacité énergétique sont essentielles pour faciliter l</w:t>
      </w:r>
      <w:r w:rsidR="003E6D2D">
        <w:rPr>
          <w:lang w:val="fr-FR"/>
        </w:rPr>
        <w:t>’</w:t>
      </w:r>
      <w:r w:rsidRPr="00BB00BB">
        <w:rPr>
          <w:lang w:val="fr-FR"/>
        </w:rPr>
        <w:t>adoption de frigorigènes à faible PRP ou sans PRP.</w:t>
      </w:r>
      <w:r w:rsidR="00EB56BA" w:rsidRPr="00C51E0A">
        <w:rPr>
          <w:lang w:val="fr-FR"/>
        </w:rPr>
        <w:t xml:space="preserve"> </w:t>
      </w:r>
      <w:r w:rsidRPr="00BB00BB">
        <w:rPr>
          <w:lang w:val="fr-FR"/>
        </w:rPr>
        <w:t>Ces activités doivent être adaptées sur la base des priorités et des besoins nationaux.</w:t>
      </w:r>
      <w:r w:rsidR="00EB56BA" w:rsidRPr="00C51E0A">
        <w:rPr>
          <w:lang w:val="fr-FR"/>
        </w:rPr>
        <w:t xml:space="preserve"> </w:t>
      </w:r>
      <w:r w:rsidRPr="003A576C">
        <w:rPr>
          <w:lang w:val="fr-FR"/>
        </w:rPr>
        <w:t>L</w:t>
      </w:r>
      <w:r w:rsidR="003E6D2D">
        <w:rPr>
          <w:lang w:val="fr-FR"/>
        </w:rPr>
        <w:t>’</w:t>
      </w:r>
      <w:r w:rsidRPr="003A576C">
        <w:rPr>
          <w:lang w:val="fr-FR"/>
        </w:rPr>
        <w:t>incorporation</w:t>
      </w:r>
      <w:r w:rsidR="003A576C" w:rsidRPr="003A576C">
        <w:rPr>
          <w:lang w:val="fr-FR"/>
        </w:rPr>
        <w:t xml:space="preserve"> </w:t>
      </w:r>
      <w:r w:rsidRPr="006E7229">
        <w:rPr>
          <w:lang w:val="fr-FR"/>
        </w:rPr>
        <w:t xml:space="preserve">des </w:t>
      </w:r>
      <w:r w:rsidR="006E7229">
        <w:rPr>
          <w:lang w:val="fr-FR"/>
        </w:rPr>
        <w:t>points</w:t>
      </w:r>
      <w:r w:rsidRPr="006E7229">
        <w:rPr>
          <w:lang w:val="fr-FR"/>
        </w:rPr>
        <w:t xml:space="preserve"> </w:t>
      </w:r>
      <w:r w:rsidR="006E7229" w:rsidRPr="006E7229">
        <w:rPr>
          <w:lang w:val="fr-FR"/>
        </w:rPr>
        <w:t>concern</w:t>
      </w:r>
      <w:r w:rsidR="006E7229">
        <w:rPr>
          <w:lang w:val="fr-FR"/>
        </w:rPr>
        <w:t xml:space="preserve">ant </w:t>
      </w:r>
      <w:r w:rsidRPr="003A576C">
        <w:rPr>
          <w:lang w:val="fr-FR"/>
        </w:rPr>
        <w:t>l</w:t>
      </w:r>
      <w:r w:rsidR="003E6D2D">
        <w:rPr>
          <w:lang w:val="fr-FR"/>
        </w:rPr>
        <w:t>’</w:t>
      </w:r>
      <w:r w:rsidRPr="003A576C">
        <w:rPr>
          <w:lang w:val="fr-FR"/>
        </w:rPr>
        <w:t>efficacité énergétique dans des programmes de vulgarisation peut permettre une diffusion efficace des informations sur les questions se rapportant à l</w:t>
      </w:r>
      <w:r w:rsidR="003E6D2D">
        <w:rPr>
          <w:lang w:val="fr-FR"/>
        </w:rPr>
        <w:t>’</w:t>
      </w:r>
      <w:r w:rsidRPr="003A576C">
        <w:rPr>
          <w:lang w:val="fr-FR"/>
        </w:rPr>
        <w:t>énergie auprès de diverses parties prenantes.</w:t>
      </w:r>
    </w:p>
    <w:p w:rsidR="00EB56BA" w:rsidRPr="00C51E0A" w:rsidRDefault="003A576C" w:rsidP="00EB56BA">
      <w:pPr>
        <w:pStyle w:val="ListParagraph"/>
        <w:ind w:left="0"/>
        <w:rPr>
          <w:rFonts w:eastAsia="Cambria"/>
          <w:b/>
          <w:lang w:val="fr-FR"/>
        </w:rPr>
      </w:pPr>
      <w:r w:rsidRPr="003A576C">
        <w:rPr>
          <w:b/>
          <w:lang w:val="fr-FR"/>
        </w:rPr>
        <w:t>Les critères, les indicateurs d</w:t>
      </w:r>
      <w:r w:rsidR="003E6D2D">
        <w:rPr>
          <w:b/>
          <w:lang w:val="fr-FR"/>
        </w:rPr>
        <w:t>’</w:t>
      </w:r>
      <w:r w:rsidRPr="003A576C">
        <w:rPr>
          <w:b/>
          <w:lang w:val="fr-FR"/>
        </w:rPr>
        <w:t>efficacité et les mécanismes de financement connexes des plans du secteur de l</w:t>
      </w:r>
      <w:r w:rsidR="003E6D2D">
        <w:rPr>
          <w:b/>
          <w:lang w:val="fr-FR"/>
        </w:rPr>
        <w:t>’</w:t>
      </w:r>
      <w:r w:rsidRPr="003A576C">
        <w:rPr>
          <w:b/>
          <w:lang w:val="fr-FR"/>
        </w:rPr>
        <w:t>entretien dans les PGEH existants ou nouveaux</w:t>
      </w:r>
    </w:p>
    <w:p w:rsidR="00EB56BA" w:rsidRPr="00C51E0A" w:rsidRDefault="00EB56BA" w:rsidP="00EB56BA">
      <w:pPr>
        <w:outlineLvl w:val="0"/>
        <w:rPr>
          <w:highlight w:val="green"/>
          <w:lang w:val="fr-FR"/>
        </w:rPr>
      </w:pPr>
    </w:p>
    <w:p w:rsidR="00EB56BA" w:rsidRPr="00C51E0A" w:rsidRDefault="003A576C" w:rsidP="00224B6D">
      <w:pPr>
        <w:pStyle w:val="Heading1"/>
        <w:rPr>
          <w:lang w:val="fr-FR"/>
        </w:rPr>
      </w:pPr>
      <w:r w:rsidRPr="00224B6D">
        <w:rPr>
          <w:lang w:val="fr-FR"/>
        </w:rPr>
        <w:t>L</w:t>
      </w:r>
      <w:r w:rsidR="003E6D2D">
        <w:rPr>
          <w:lang w:val="fr-FR"/>
        </w:rPr>
        <w:t>’</w:t>
      </w:r>
      <w:r w:rsidRPr="00224B6D">
        <w:rPr>
          <w:lang w:val="fr-FR"/>
        </w:rPr>
        <w:t>examen effectué par le Secrétariat du cadre réglementaire et des plans d</w:t>
      </w:r>
      <w:r w:rsidR="003E6D2D">
        <w:rPr>
          <w:lang w:val="fr-FR"/>
        </w:rPr>
        <w:t>’</w:t>
      </w:r>
      <w:r w:rsidRPr="00224B6D">
        <w:rPr>
          <w:lang w:val="fr-FR"/>
        </w:rPr>
        <w:t>élimination pour les substances réglementées, en particulier ceux liés au secteur de l</w:t>
      </w:r>
      <w:r w:rsidR="003E6D2D">
        <w:rPr>
          <w:lang w:val="fr-FR"/>
        </w:rPr>
        <w:t>’</w:t>
      </w:r>
      <w:r w:rsidRPr="00224B6D">
        <w:rPr>
          <w:lang w:val="fr-FR"/>
        </w:rPr>
        <w:t xml:space="preserve">entretien des équipements de réfrigération en fonction de la décision 82/83 (c) a </w:t>
      </w:r>
      <w:r w:rsidR="00224B6D" w:rsidRPr="00224B6D">
        <w:rPr>
          <w:lang w:val="fr-FR"/>
        </w:rPr>
        <w:t>permis de comprendre</w:t>
      </w:r>
      <w:r w:rsidRPr="00224B6D">
        <w:rPr>
          <w:lang w:val="fr-FR"/>
        </w:rPr>
        <w:t xml:space="preserve"> que l</w:t>
      </w:r>
      <w:r w:rsidR="003E6D2D">
        <w:rPr>
          <w:lang w:val="fr-FR"/>
        </w:rPr>
        <w:t>’</w:t>
      </w:r>
      <w:r w:rsidR="00224B6D" w:rsidRPr="00224B6D">
        <w:rPr>
          <w:lang w:val="fr-FR"/>
        </w:rPr>
        <w:t>introduction de</w:t>
      </w:r>
      <w:r w:rsidRPr="00224B6D">
        <w:rPr>
          <w:lang w:val="fr-FR"/>
        </w:rPr>
        <w:t xml:space="preserve"> technologies </w:t>
      </w:r>
      <w:r w:rsidR="00224B6D" w:rsidRPr="00224B6D">
        <w:rPr>
          <w:lang w:val="fr-FR"/>
        </w:rPr>
        <w:t xml:space="preserve">à faible PRP ou sans PRP et le </w:t>
      </w:r>
      <w:r w:rsidRPr="00224B6D">
        <w:rPr>
          <w:lang w:val="fr-FR"/>
        </w:rPr>
        <w:t>maintien de l</w:t>
      </w:r>
      <w:r w:rsidR="003E6D2D">
        <w:rPr>
          <w:lang w:val="fr-FR"/>
        </w:rPr>
        <w:t>’</w:t>
      </w:r>
      <w:r w:rsidRPr="00224B6D">
        <w:rPr>
          <w:lang w:val="fr-FR"/>
        </w:rPr>
        <w:t xml:space="preserve">efficacité énergétique </w:t>
      </w:r>
      <w:r w:rsidR="00224B6D" w:rsidRPr="00224B6D">
        <w:rPr>
          <w:lang w:val="fr-FR"/>
        </w:rPr>
        <w:t>des équipements de réfrigération, de climatisation et de pompes à chaleur dans le secteur de l</w:t>
      </w:r>
      <w:r w:rsidR="003E6D2D">
        <w:rPr>
          <w:lang w:val="fr-FR"/>
        </w:rPr>
        <w:t>’</w:t>
      </w:r>
      <w:r w:rsidR="00224B6D" w:rsidRPr="00224B6D">
        <w:rPr>
          <w:lang w:val="fr-FR"/>
        </w:rPr>
        <w:t xml:space="preserve">entretien des équipements de réfrigération </w:t>
      </w:r>
      <w:r w:rsidR="00224B6D">
        <w:rPr>
          <w:lang w:val="fr-FR"/>
        </w:rPr>
        <w:t>nécessite</w:t>
      </w:r>
      <w:r w:rsidR="00224B6D" w:rsidRPr="00224B6D">
        <w:rPr>
          <w:lang w:val="fr-FR"/>
        </w:rPr>
        <w:t>raient ce qui suit</w:t>
      </w:r>
      <w:r w:rsidR="009960C5">
        <w:rPr>
          <w:lang w:val="fr-FR"/>
        </w:rPr>
        <w:t> </w:t>
      </w:r>
      <w:r w:rsidRPr="00224B6D">
        <w:rPr>
          <w:lang w:val="fr-FR"/>
        </w:rPr>
        <w:t>:</w:t>
      </w:r>
    </w:p>
    <w:p w:rsidR="00EB56BA" w:rsidRPr="00C51E0A" w:rsidRDefault="00224B6D" w:rsidP="00224B6D">
      <w:pPr>
        <w:pStyle w:val="Heading2"/>
        <w:rPr>
          <w:lang w:val="fr-FR"/>
        </w:rPr>
      </w:pPr>
      <w:r w:rsidRPr="00224B6D">
        <w:rPr>
          <w:lang w:val="fr-FR"/>
        </w:rPr>
        <w:t>De renforcer les politiques et les réglementations existantes et d</w:t>
      </w:r>
      <w:r w:rsidR="003E6D2D">
        <w:rPr>
          <w:lang w:val="fr-FR"/>
        </w:rPr>
        <w:t>’</w:t>
      </w:r>
      <w:r w:rsidRPr="00224B6D">
        <w:rPr>
          <w:lang w:val="fr-FR"/>
        </w:rPr>
        <w:t xml:space="preserve">en élaborer de nouvelles pour la réduction </w:t>
      </w:r>
      <w:r w:rsidR="009960C5">
        <w:rPr>
          <w:lang w:val="fr-FR"/>
        </w:rPr>
        <w:t>progressive</w:t>
      </w:r>
      <w:r w:rsidRPr="00224B6D">
        <w:rPr>
          <w:lang w:val="fr-FR"/>
        </w:rPr>
        <w:t xml:space="preserve"> des importations d</w:t>
      </w:r>
      <w:r w:rsidR="003E6D2D">
        <w:rPr>
          <w:lang w:val="fr-FR"/>
        </w:rPr>
        <w:t>’</w:t>
      </w:r>
      <w:r w:rsidRPr="00224B6D">
        <w:rPr>
          <w:lang w:val="fr-FR"/>
        </w:rPr>
        <w:t>équipements de réfrigération, de climatisation et de pompes à chaleur contenant des HCHC, et pour l</w:t>
      </w:r>
      <w:r w:rsidR="003E6D2D">
        <w:rPr>
          <w:lang w:val="fr-FR"/>
        </w:rPr>
        <w:t>’</w:t>
      </w:r>
      <w:r w:rsidRPr="00224B6D">
        <w:rPr>
          <w:lang w:val="fr-FR"/>
        </w:rPr>
        <w:t>adoption d</w:t>
      </w:r>
      <w:r w:rsidR="003E6D2D">
        <w:rPr>
          <w:lang w:val="fr-FR"/>
        </w:rPr>
        <w:t>’</w:t>
      </w:r>
      <w:r w:rsidRPr="00224B6D">
        <w:rPr>
          <w:lang w:val="fr-FR"/>
        </w:rPr>
        <w:t xml:space="preserve">équipements à haut rendement énergétique utilisant des frigorigènes à faible PRP ou sans PRP </w:t>
      </w:r>
      <w:r w:rsidR="009960C5">
        <w:rPr>
          <w:lang w:val="fr-FR"/>
        </w:rPr>
        <w:t xml:space="preserve">dans le cadre </w:t>
      </w:r>
      <w:r w:rsidRPr="00224B6D">
        <w:rPr>
          <w:lang w:val="fr-FR"/>
        </w:rPr>
        <w:t>de l</w:t>
      </w:r>
      <w:r w:rsidR="003E6D2D">
        <w:rPr>
          <w:lang w:val="fr-FR"/>
        </w:rPr>
        <w:t>’</w:t>
      </w:r>
      <w:r w:rsidRPr="00224B6D">
        <w:rPr>
          <w:lang w:val="fr-FR"/>
        </w:rPr>
        <w:t>élimination des HCFC ;</w:t>
      </w:r>
    </w:p>
    <w:p w:rsidR="00EB56BA" w:rsidRPr="00C51E0A" w:rsidRDefault="00224B6D" w:rsidP="00F640E5">
      <w:pPr>
        <w:pStyle w:val="Heading2"/>
        <w:rPr>
          <w:lang w:val="fr-FR"/>
        </w:rPr>
      </w:pPr>
      <w:r w:rsidRPr="00F640E5">
        <w:rPr>
          <w:lang w:val="fr-FR"/>
        </w:rPr>
        <w:t>Une bonne coordination avec les responsables de l</w:t>
      </w:r>
      <w:r w:rsidR="003E6D2D">
        <w:rPr>
          <w:lang w:val="fr-FR"/>
        </w:rPr>
        <w:t>’</w:t>
      </w:r>
      <w:r w:rsidRPr="00F640E5">
        <w:rPr>
          <w:lang w:val="fr-FR"/>
        </w:rPr>
        <w:t>élaboration des politiques</w:t>
      </w:r>
      <w:r w:rsidR="00FB39C3" w:rsidRPr="00F640E5">
        <w:rPr>
          <w:lang w:val="fr-FR"/>
        </w:rPr>
        <w:t xml:space="preserve"> d</w:t>
      </w:r>
      <w:r w:rsidR="003E6D2D">
        <w:rPr>
          <w:lang w:val="fr-FR"/>
        </w:rPr>
        <w:t>’</w:t>
      </w:r>
      <w:r w:rsidRPr="00F640E5">
        <w:rPr>
          <w:lang w:val="fr-FR"/>
        </w:rPr>
        <w:t xml:space="preserve">efficacité </w:t>
      </w:r>
      <w:r w:rsidRPr="00F640E5">
        <w:rPr>
          <w:lang w:val="fr-FR"/>
        </w:rPr>
        <w:lastRenderedPageBreak/>
        <w:t>énergétique</w:t>
      </w:r>
      <w:r w:rsidR="00FB39C3" w:rsidRPr="00F640E5">
        <w:rPr>
          <w:lang w:val="fr-FR"/>
        </w:rPr>
        <w:t xml:space="preserve"> pour la mise en place ou le fonctionnement des MEPS, les systèmes de labels écologiques et les autres </w:t>
      </w:r>
      <w:r w:rsidRPr="00F640E5">
        <w:rPr>
          <w:lang w:val="fr-FR"/>
        </w:rPr>
        <w:t xml:space="preserve">mécanismes </w:t>
      </w:r>
      <w:r w:rsidR="007E7DDA" w:rsidRPr="00F640E5">
        <w:rPr>
          <w:lang w:val="fr-FR"/>
        </w:rPr>
        <w:t xml:space="preserve">en vue de </w:t>
      </w:r>
      <w:r w:rsidRPr="00F640E5">
        <w:rPr>
          <w:lang w:val="fr-FR"/>
        </w:rPr>
        <w:t>l</w:t>
      </w:r>
      <w:r w:rsidR="003E6D2D">
        <w:rPr>
          <w:lang w:val="fr-FR"/>
        </w:rPr>
        <w:t>’</w:t>
      </w:r>
      <w:r w:rsidRPr="00F640E5">
        <w:rPr>
          <w:lang w:val="fr-FR"/>
        </w:rPr>
        <w:t xml:space="preserve">introduction </w:t>
      </w:r>
      <w:r w:rsidR="00F640E5" w:rsidRPr="00F640E5">
        <w:rPr>
          <w:lang w:val="fr-FR"/>
        </w:rPr>
        <w:t>d</w:t>
      </w:r>
      <w:r w:rsidR="003E6D2D">
        <w:rPr>
          <w:lang w:val="fr-FR"/>
        </w:rPr>
        <w:t>’</w:t>
      </w:r>
      <w:r w:rsidR="007E7DDA" w:rsidRPr="00F640E5">
        <w:rPr>
          <w:lang w:val="fr-FR"/>
        </w:rPr>
        <w:t xml:space="preserve">équipements de réfrigération, de climatisation et de pompes à chaleur </w:t>
      </w:r>
      <w:r w:rsidR="009960C5">
        <w:rPr>
          <w:lang w:val="fr-FR"/>
        </w:rPr>
        <w:t>à haut rendement é</w:t>
      </w:r>
      <w:r w:rsidR="00F640E5" w:rsidRPr="00F640E5">
        <w:rPr>
          <w:lang w:val="fr-FR"/>
        </w:rPr>
        <w:t>nergétique</w:t>
      </w:r>
      <w:r w:rsidR="007E7DDA" w:rsidRPr="00F640E5">
        <w:rPr>
          <w:lang w:val="fr-FR"/>
        </w:rPr>
        <w:t xml:space="preserve"> </w:t>
      </w:r>
      <w:r w:rsidRPr="00F640E5">
        <w:rPr>
          <w:lang w:val="fr-FR"/>
        </w:rPr>
        <w:t>(empêchant l</w:t>
      </w:r>
      <w:r w:rsidR="003E6D2D">
        <w:rPr>
          <w:lang w:val="fr-FR"/>
        </w:rPr>
        <w:t>’</w:t>
      </w:r>
      <w:r w:rsidRPr="00F640E5">
        <w:rPr>
          <w:lang w:val="fr-FR"/>
        </w:rPr>
        <w:t xml:space="preserve">introduction </w:t>
      </w:r>
      <w:r w:rsidR="00F640E5" w:rsidRPr="00F640E5">
        <w:rPr>
          <w:lang w:val="fr-FR"/>
        </w:rPr>
        <w:t xml:space="preserve">sur les marchés locaux </w:t>
      </w:r>
      <w:r w:rsidR="007E7DDA" w:rsidRPr="00F640E5">
        <w:rPr>
          <w:lang w:val="fr-FR"/>
        </w:rPr>
        <w:t>de ce type d</w:t>
      </w:r>
      <w:r w:rsidR="003E6D2D">
        <w:rPr>
          <w:lang w:val="fr-FR"/>
        </w:rPr>
        <w:t>’</w:t>
      </w:r>
      <w:r w:rsidR="007E7DDA" w:rsidRPr="00F640E5">
        <w:rPr>
          <w:lang w:val="fr-FR"/>
        </w:rPr>
        <w:t xml:space="preserve">équipements </w:t>
      </w:r>
      <w:r w:rsidR="00F640E5" w:rsidRPr="00F640E5">
        <w:rPr>
          <w:lang w:val="fr-FR"/>
        </w:rPr>
        <w:t>contenant des frigorigènes à faible PRP ou sans PRP mais à faible rendement énergétique</w:t>
      </w:r>
      <w:r w:rsidRPr="00F640E5">
        <w:rPr>
          <w:lang w:val="fr-FR"/>
        </w:rPr>
        <w:t>)</w:t>
      </w:r>
      <w:r w:rsidR="00F640E5" w:rsidRPr="00F640E5">
        <w:rPr>
          <w:lang w:val="fr-FR"/>
        </w:rPr>
        <w:t> </w:t>
      </w:r>
      <w:r w:rsidRPr="00F640E5">
        <w:rPr>
          <w:lang w:val="fr-FR"/>
        </w:rPr>
        <w:t>;</w:t>
      </w:r>
    </w:p>
    <w:p w:rsidR="00EB56BA" w:rsidRPr="00C51E0A" w:rsidRDefault="00F640E5" w:rsidP="00F640E5">
      <w:pPr>
        <w:pStyle w:val="Heading2"/>
        <w:rPr>
          <w:lang w:val="fr-FR"/>
        </w:rPr>
      </w:pPr>
      <w:r w:rsidRPr="00F640E5">
        <w:rPr>
          <w:lang w:val="fr-FR"/>
        </w:rPr>
        <w:t>La poursuite de la mise en œuvre</w:t>
      </w:r>
      <w:r w:rsidR="003E6D2D">
        <w:rPr>
          <w:lang w:val="fr-FR"/>
        </w:rPr>
        <w:t xml:space="preserve"> </w:t>
      </w:r>
      <w:r w:rsidRPr="00F640E5">
        <w:rPr>
          <w:lang w:val="fr-FR"/>
        </w:rPr>
        <w:t>de normes en vue d</w:t>
      </w:r>
      <w:r w:rsidR="003E6D2D">
        <w:rPr>
          <w:lang w:val="fr-FR"/>
        </w:rPr>
        <w:t>’</w:t>
      </w:r>
      <w:r w:rsidRPr="00F640E5">
        <w:rPr>
          <w:lang w:val="fr-FR"/>
        </w:rPr>
        <w:t>assurer la sécurité et l</w:t>
      </w:r>
      <w:r w:rsidR="003E6D2D">
        <w:rPr>
          <w:lang w:val="fr-FR"/>
        </w:rPr>
        <w:t>’</w:t>
      </w:r>
      <w:r w:rsidRPr="00F640E5">
        <w:rPr>
          <w:lang w:val="fr-FR"/>
        </w:rPr>
        <w:t>usage efficace de frigorigènes à faible PRP ou sans PRP ainsi que l</w:t>
      </w:r>
      <w:r w:rsidR="003E6D2D">
        <w:rPr>
          <w:lang w:val="fr-FR"/>
        </w:rPr>
        <w:t>’</w:t>
      </w:r>
      <w:r w:rsidRPr="00F640E5">
        <w:rPr>
          <w:lang w:val="fr-FR"/>
        </w:rPr>
        <w:t>élaboration et la mise en œuvre de réglementations pour veiller à ce que seuls des techniciens certifiés se chargent de l</w:t>
      </w:r>
      <w:r w:rsidR="003E6D2D">
        <w:rPr>
          <w:lang w:val="fr-FR"/>
        </w:rPr>
        <w:t>’</w:t>
      </w:r>
      <w:r w:rsidRPr="00F640E5">
        <w:rPr>
          <w:lang w:val="fr-FR"/>
        </w:rPr>
        <w:t xml:space="preserve">entretien et de la maintenance des équipements de réfrigération, de climatisation et de pompes à chaleur et manipulent les frigorigènes </w:t>
      </w:r>
      <w:r w:rsidR="009960C5">
        <w:rPr>
          <w:lang w:val="fr-FR"/>
        </w:rPr>
        <w:t xml:space="preserve">de </w:t>
      </w:r>
      <w:r w:rsidRPr="00F640E5">
        <w:rPr>
          <w:lang w:val="fr-FR"/>
        </w:rPr>
        <w:t>tous types ;</w:t>
      </w:r>
    </w:p>
    <w:p w:rsidR="00EB56BA" w:rsidRPr="00C51E0A" w:rsidRDefault="00F640E5" w:rsidP="00137F9C">
      <w:pPr>
        <w:pStyle w:val="Heading2"/>
        <w:rPr>
          <w:lang w:val="fr-FR"/>
        </w:rPr>
      </w:pPr>
      <w:r w:rsidRPr="00137F9C">
        <w:rPr>
          <w:lang w:val="fr-FR"/>
        </w:rPr>
        <w:t>La poursuite de la formation et de la certification des techniciens en matière d</w:t>
      </w:r>
      <w:r w:rsidR="003E6D2D">
        <w:rPr>
          <w:lang w:val="fr-FR"/>
        </w:rPr>
        <w:t>’</w:t>
      </w:r>
      <w:r w:rsidRPr="00137F9C">
        <w:rPr>
          <w:lang w:val="fr-FR"/>
        </w:rPr>
        <w:t>installation et d</w:t>
      </w:r>
      <w:r w:rsidR="003E6D2D">
        <w:rPr>
          <w:lang w:val="fr-FR"/>
        </w:rPr>
        <w:t>’</w:t>
      </w:r>
      <w:r w:rsidRPr="00137F9C">
        <w:rPr>
          <w:lang w:val="fr-FR"/>
        </w:rPr>
        <w:t>entretien des équipements de réfrigération, de climatisation et de pompes à chaleur afin d</w:t>
      </w:r>
      <w:r w:rsidR="003E6D2D">
        <w:rPr>
          <w:lang w:val="fr-FR"/>
        </w:rPr>
        <w:t>’</w:t>
      </w:r>
      <w:r w:rsidRPr="00137F9C">
        <w:rPr>
          <w:lang w:val="fr-FR"/>
        </w:rPr>
        <w:t xml:space="preserve">assurer un fonctionnement efficace et sans danger </w:t>
      </w:r>
      <w:r w:rsidR="00137F9C" w:rsidRPr="00137F9C">
        <w:rPr>
          <w:lang w:val="fr-FR"/>
        </w:rPr>
        <w:t xml:space="preserve">des </w:t>
      </w:r>
      <w:r w:rsidRPr="00137F9C">
        <w:rPr>
          <w:lang w:val="fr-FR"/>
        </w:rPr>
        <w:t>équipement</w:t>
      </w:r>
      <w:r w:rsidR="00137F9C" w:rsidRPr="00137F9C">
        <w:rPr>
          <w:lang w:val="fr-FR"/>
        </w:rPr>
        <w:t xml:space="preserve">s tout au long de leur durée de vie, et la </w:t>
      </w:r>
      <w:r w:rsidRPr="00137F9C">
        <w:rPr>
          <w:lang w:val="fr-FR"/>
        </w:rPr>
        <w:t xml:space="preserve">démonstration </w:t>
      </w:r>
      <w:r w:rsidR="00137F9C" w:rsidRPr="00137F9C">
        <w:rPr>
          <w:lang w:val="fr-FR"/>
        </w:rPr>
        <w:t xml:space="preserve">de nouvelles technologies à base de frigorigènes à faible PRP ou sans PRP </w:t>
      </w:r>
      <w:r w:rsidRPr="00137F9C">
        <w:rPr>
          <w:lang w:val="fr-FR"/>
        </w:rPr>
        <w:t>; et</w:t>
      </w:r>
    </w:p>
    <w:p w:rsidR="00EB56BA" w:rsidRPr="00C51E0A" w:rsidRDefault="00137F9C" w:rsidP="00137F9C">
      <w:pPr>
        <w:pStyle w:val="Heading2"/>
        <w:rPr>
          <w:lang w:val="fr-FR"/>
        </w:rPr>
      </w:pPr>
      <w:r w:rsidRPr="00137F9C">
        <w:rPr>
          <w:lang w:val="fr-FR"/>
        </w:rPr>
        <w:t>Activités de sensibilisation et diffusion d</w:t>
      </w:r>
      <w:r w:rsidR="003E6D2D">
        <w:rPr>
          <w:lang w:val="fr-FR"/>
        </w:rPr>
        <w:t>’</w:t>
      </w:r>
      <w:r w:rsidRPr="00137F9C">
        <w:rPr>
          <w:lang w:val="fr-FR"/>
        </w:rPr>
        <w:t>informations sur l</w:t>
      </w:r>
      <w:r w:rsidR="003E6D2D">
        <w:rPr>
          <w:lang w:val="fr-FR"/>
        </w:rPr>
        <w:t>’</w:t>
      </w:r>
      <w:r w:rsidRPr="00137F9C">
        <w:rPr>
          <w:lang w:val="fr-FR"/>
        </w:rPr>
        <w:t>adoption de technologies écoénergétiques à faible PRP ou sans PRP, et sur la certification des techniciens.</w:t>
      </w:r>
      <w:r w:rsidR="00EB56BA" w:rsidRPr="00C51E0A">
        <w:rPr>
          <w:lang w:val="fr-FR"/>
        </w:rPr>
        <w:t xml:space="preserve"> </w:t>
      </w:r>
    </w:p>
    <w:p w:rsidR="00EB56BA" w:rsidRPr="00C51E0A" w:rsidRDefault="00137F9C" w:rsidP="004312C3">
      <w:pPr>
        <w:pStyle w:val="Heading1"/>
        <w:rPr>
          <w:lang w:val="fr-FR"/>
        </w:rPr>
      </w:pPr>
      <w:r w:rsidRPr="00137F9C">
        <w:rPr>
          <w:lang w:val="fr-FR"/>
        </w:rPr>
        <w:t>Étant donné que la plupart des activités mentionnées ci-dessus en vue de faciliter l</w:t>
      </w:r>
      <w:r w:rsidR="003E6D2D">
        <w:rPr>
          <w:lang w:val="fr-FR"/>
        </w:rPr>
        <w:t>’</w:t>
      </w:r>
      <w:r w:rsidRPr="00137F9C">
        <w:rPr>
          <w:lang w:val="fr-FR"/>
        </w:rPr>
        <w:t xml:space="preserve">adoption </w:t>
      </w:r>
      <w:r w:rsidR="00B5729F" w:rsidRPr="00137F9C">
        <w:rPr>
          <w:lang w:val="fr-FR"/>
        </w:rPr>
        <w:t>de technologies</w:t>
      </w:r>
      <w:r w:rsidRPr="00137F9C">
        <w:rPr>
          <w:lang w:val="fr-FR"/>
        </w:rPr>
        <w:t xml:space="preserve"> à faible PRP ou sans PRP</w:t>
      </w:r>
      <w:r w:rsidR="003E6D2D">
        <w:rPr>
          <w:lang w:val="fr-FR"/>
        </w:rPr>
        <w:t xml:space="preserve"> </w:t>
      </w:r>
      <w:r w:rsidRPr="00137F9C">
        <w:rPr>
          <w:lang w:val="fr-FR"/>
        </w:rPr>
        <w:t>lors de l</w:t>
      </w:r>
      <w:r w:rsidR="003E6D2D">
        <w:rPr>
          <w:lang w:val="fr-FR"/>
        </w:rPr>
        <w:t>’</w:t>
      </w:r>
      <w:r w:rsidRPr="00137F9C">
        <w:rPr>
          <w:lang w:val="fr-FR"/>
        </w:rPr>
        <w:t>élimination des HCFC sont actuellement mises en œuvre dans le cadre des phases I et II des PGEH, la traduction en mesures concrètes du paragraphe 16 de la décision XXVIII/2 impliquerait d</w:t>
      </w:r>
      <w:r w:rsidR="003E6D2D">
        <w:rPr>
          <w:lang w:val="fr-FR"/>
        </w:rPr>
        <w:t>’</w:t>
      </w:r>
      <w:r w:rsidRPr="00137F9C">
        <w:rPr>
          <w:lang w:val="fr-FR"/>
        </w:rPr>
        <w:t>identifier des activités en plus de celles existantes dans le cadre des PGEH.</w:t>
      </w:r>
      <w:r w:rsidR="00EB56BA" w:rsidRPr="00C51E0A">
        <w:rPr>
          <w:lang w:val="fr-FR"/>
        </w:rPr>
        <w:t xml:space="preserve"> </w:t>
      </w:r>
      <w:r w:rsidRPr="004312C3">
        <w:rPr>
          <w:lang w:val="fr-FR"/>
        </w:rPr>
        <w:t>Des activités concernant l</w:t>
      </w:r>
      <w:r w:rsidR="003E6D2D">
        <w:rPr>
          <w:lang w:val="fr-FR"/>
        </w:rPr>
        <w:t>’</w:t>
      </w:r>
      <w:r w:rsidRPr="004312C3">
        <w:rPr>
          <w:lang w:val="fr-FR"/>
        </w:rPr>
        <w:t>introduction d</w:t>
      </w:r>
      <w:r w:rsidR="003E6D2D">
        <w:rPr>
          <w:lang w:val="fr-FR"/>
        </w:rPr>
        <w:t>’</w:t>
      </w:r>
      <w:r w:rsidRPr="004312C3">
        <w:rPr>
          <w:lang w:val="fr-FR"/>
        </w:rPr>
        <w:t>équipements de réfrigération, de climatisation et de pompes à chaleur écoénergétiques sont en train d</w:t>
      </w:r>
      <w:r w:rsidR="003E6D2D">
        <w:rPr>
          <w:lang w:val="fr-FR"/>
        </w:rPr>
        <w:t>’</w:t>
      </w:r>
      <w:r w:rsidRPr="004312C3">
        <w:rPr>
          <w:lang w:val="fr-FR"/>
        </w:rPr>
        <w:t xml:space="preserve">être mises en œuvre en tant </w:t>
      </w:r>
      <w:r w:rsidR="009960C5">
        <w:rPr>
          <w:lang w:val="fr-FR"/>
        </w:rPr>
        <w:t>que volets</w:t>
      </w:r>
      <w:r w:rsidRPr="004312C3">
        <w:rPr>
          <w:lang w:val="fr-FR"/>
        </w:rPr>
        <w:t xml:space="preserve"> </w:t>
      </w:r>
      <w:r w:rsidR="009960C5">
        <w:rPr>
          <w:lang w:val="fr-FR"/>
        </w:rPr>
        <w:t xml:space="preserve">des </w:t>
      </w:r>
      <w:r w:rsidRPr="004312C3">
        <w:rPr>
          <w:lang w:val="fr-FR"/>
        </w:rPr>
        <w:t xml:space="preserve">activités de facilitation, quoique </w:t>
      </w:r>
      <w:r w:rsidR="004312C3" w:rsidRPr="004312C3">
        <w:rPr>
          <w:lang w:val="fr-FR"/>
        </w:rPr>
        <w:t>dans une faible mesure</w:t>
      </w:r>
      <w:r w:rsidRPr="004312C3">
        <w:rPr>
          <w:lang w:val="fr-FR"/>
        </w:rPr>
        <w:t>.</w:t>
      </w:r>
      <w:r w:rsidR="00EB56BA" w:rsidRPr="00C51E0A">
        <w:rPr>
          <w:lang w:val="fr-FR"/>
        </w:rPr>
        <w:t xml:space="preserve"> </w:t>
      </w:r>
      <w:r w:rsidR="004312C3" w:rsidRPr="004312C3">
        <w:rPr>
          <w:lang w:val="fr-FR"/>
        </w:rPr>
        <w:t>Les résultats de ces activités n</w:t>
      </w:r>
      <w:r w:rsidR="003E6D2D">
        <w:rPr>
          <w:lang w:val="fr-FR"/>
        </w:rPr>
        <w:t>’</w:t>
      </w:r>
      <w:r w:rsidR="004312C3" w:rsidRPr="004312C3">
        <w:rPr>
          <w:lang w:val="fr-FR"/>
        </w:rPr>
        <w:t xml:space="preserve">ont pas encore été </w:t>
      </w:r>
      <w:r w:rsidR="00670D62" w:rsidRPr="004312C3">
        <w:rPr>
          <w:lang w:val="fr-FR"/>
        </w:rPr>
        <w:t>communiqués</w:t>
      </w:r>
      <w:r w:rsidR="004312C3" w:rsidRPr="004312C3">
        <w:rPr>
          <w:lang w:val="fr-FR"/>
        </w:rPr>
        <w:t>.</w:t>
      </w:r>
      <w:r w:rsidR="00EB56BA" w:rsidRPr="00C51E0A">
        <w:rPr>
          <w:lang w:val="fr-FR"/>
        </w:rPr>
        <w:t xml:space="preserve"> </w:t>
      </w:r>
    </w:p>
    <w:p w:rsidR="00EB56BA" w:rsidRPr="00C51E0A" w:rsidRDefault="004312C3" w:rsidP="004312C3">
      <w:pPr>
        <w:pStyle w:val="Heading1"/>
        <w:rPr>
          <w:lang w:val="fr-FR"/>
        </w:rPr>
      </w:pPr>
      <w:r w:rsidRPr="004312C3">
        <w:rPr>
          <w:lang w:val="fr-FR"/>
        </w:rPr>
        <w:t xml:space="preserve">Sur la base des considérations ci-dessus, la mesure dans laquelle des fonds supplémentaires sont </w:t>
      </w:r>
      <w:r w:rsidR="009960C5">
        <w:rPr>
          <w:lang w:val="fr-FR"/>
        </w:rPr>
        <w:t xml:space="preserve">nécessaires </w:t>
      </w:r>
      <w:r w:rsidRPr="004312C3">
        <w:rPr>
          <w:lang w:val="fr-FR"/>
        </w:rPr>
        <w:t>dépendra des niveaux d</w:t>
      </w:r>
      <w:r w:rsidR="003E6D2D">
        <w:rPr>
          <w:lang w:val="fr-FR"/>
        </w:rPr>
        <w:t>’</w:t>
      </w:r>
      <w:r w:rsidRPr="004312C3">
        <w:rPr>
          <w:lang w:val="fr-FR"/>
        </w:rPr>
        <w:t>activités additionnelles à mettre en œuvre dans le cadre des phases actuelles et lors des futures phases des PGEH.</w:t>
      </w:r>
      <w:r w:rsidR="00EB56BA" w:rsidRPr="00C51E0A">
        <w:rPr>
          <w:lang w:val="fr-FR"/>
        </w:rPr>
        <w:t xml:space="preserve"> </w:t>
      </w:r>
      <w:r w:rsidRPr="004312C3">
        <w:rPr>
          <w:lang w:val="fr-FR"/>
        </w:rPr>
        <w:t>Pour des pays n</w:t>
      </w:r>
      <w:r w:rsidR="003E6D2D">
        <w:rPr>
          <w:lang w:val="fr-FR"/>
        </w:rPr>
        <w:t>’</w:t>
      </w:r>
      <w:r w:rsidRPr="004312C3">
        <w:rPr>
          <w:lang w:val="fr-FR"/>
        </w:rPr>
        <w:t xml:space="preserve">ayant pas encore mis en œuvre de telles activités, </w:t>
      </w:r>
      <w:r w:rsidR="00670D62" w:rsidRPr="004312C3">
        <w:rPr>
          <w:lang w:val="fr-FR"/>
        </w:rPr>
        <w:t>il pourrait</w:t>
      </w:r>
      <w:r w:rsidRPr="004312C3">
        <w:rPr>
          <w:lang w:val="fr-FR"/>
        </w:rPr>
        <w:t xml:space="preserve"> s</w:t>
      </w:r>
      <w:r w:rsidR="003E6D2D">
        <w:rPr>
          <w:lang w:val="fr-FR"/>
        </w:rPr>
        <w:t>’</w:t>
      </w:r>
      <w:r w:rsidRPr="004312C3">
        <w:rPr>
          <w:lang w:val="fr-FR"/>
        </w:rPr>
        <w:t>agir des activités suivantes :</w:t>
      </w:r>
      <w:r w:rsidR="00EB56BA" w:rsidRPr="00C51E0A">
        <w:rPr>
          <w:lang w:val="fr-FR"/>
        </w:rPr>
        <w:t xml:space="preserve"> </w:t>
      </w:r>
    </w:p>
    <w:p w:rsidR="00EB56BA" w:rsidRPr="00C51E0A" w:rsidRDefault="004312C3" w:rsidP="00AC4BAB">
      <w:pPr>
        <w:pStyle w:val="Heading2"/>
        <w:rPr>
          <w:lang w:val="fr-FR"/>
        </w:rPr>
      </w:pPr>
      <w:r w:rsidRPr="00AC4BAB">
        <w:rPr>
          <w:lang w:val="fr-FR"/>
        </w:rPr>
        <w:t>Projets-pilotes</w:t>
      </w:r>
      <w:r w:rsidR="009960C5">
        <w:rPr>
          <w:lang w:val="fr-FR"/>
        </w:rPr>
        <w:t xml:space="preserve"> </w:t>
      </w:r>
      <w:r w:rsidRPr="00AC4BAB">
        <w:rPr>
          <w:lang w:val="fr-FR"/>
        </w:rPr>
        <w:t xml:space="preserve">stratégiquement conçus et orientés vers les utilisateurs finaux, essentiellement </w:t>
      </w:r>
      <w:r w:rsidR="00AC4BAB" w:rsidRPr="00AC4BAB">
        <w:rPr>
          <w:lang w:val="fr-FR"/>
        </w:rPr>
        <w:t xml:space="preserve">pour les équipements de réfrigération, de climatisation et de pompes à chaleur de petite capacité, </w:t>
      </w:r>
      <w:r w:rsidRPr="00AC4BAB">
        <w:rPr>
          <w:lang w:val="fr-FR"/>
        </w:rPr>
        <w:t>pour l</w:t>
      </w:r>
      <w:r w:rsidR="003E6D2D">
        <w:rPr>
          <w:lang w:val="fr-FR"/>
        </w:rPr>
        <w:t>’</w:t>
      </w:r>
      <w:r w:rsidRPr="00AC4BAB">
        <w:rPr>
          <w:lang w:val="fr-FR"/>
        </w:rPr>
        <w:t>adoption d</w:t>
      </w:r>
      <w:r w:rsidR="003E6D2D">
        <w:rPr>
          <w:lang w:val="fr-FR"/>
        </w:rPr>
        <w:t>’</w:t>
      </w:r>
      <w:r w:rsidRPr="00AC4BAB">
        <w:rPr>
          <w:lang w:val="fr-FR"/>
        </w:rPr>
        <w:t>équipement</w:t>
      </w:r>
      <w:r w:rsidR="00AC4BAB" w:rsidRPr="00AC4BAB">
        <w:rPr>
          <w:lang w:val="fr-FR"/>
        </w:rPr>
        <w:t>s écoénergétiques fonctionnant à l</w:t>
      </w:r>
      <w:r w:rsidR="003E6D2D">
        <w:rPr>
          <w:lang w:val="fr-FR"/>
        </w:rPr>
        <w:t>’</w:t>
      </w:r>
      <w:r w:rsidR="00AC4BAB" w:rsidRPr="00AC4BAB">
        <w:rPr>
          <w:lang w:val="fr-FR"/>
        </w:rPr>
        <w:t xml:space="preserve">aide de frigorigènes à faible PRP ou sans PRP pour lesquels des projets de reconversion </w:t>
      </w:r>
      <w:r w:rsidRPr="00AC4BAB">
        <w:rPr>
          <w:lang w:val="fr-FR"/>
        </w:rPr>
        <w:t xml:space="preserve">ont été </w:t>
      </w:r>
      <w:r w:rsidR="00AC4BAB" w:rsidRPr="00AC4BAB">
        <w:rPr>
          <w:lang w:val="fr-FR"/>
        </w:rPr>
        <w:t>finan</w:t>
      </w:r>
      <w:r w:rsidRPr="00AC4BAB">
        <w:rPr>
          <w:lang w:val="fr-FR"/>
        </w:rPr>
        <w:t xml:space="preserve">cés </w:t>
      </w:r>
      <w:r w:rsidR="00AC4BAB" w:rsidRPr="00AC4BAB">
        <w:rPr>
          <w:lang w:val="fr-FR"/>
        </w:rPr>
        <w:t xml:space="preserve">dans le cadre du PGEH et rencontrant des problèmes au niveau de </w:t>
      </w:r>
      <w:r w:rsidRPr="00AC4BAB">
        <w:rPr>
          <w:lang w:val="fr-FR"/>
        </w:rPr>
        <w:t>l</w:t>
      </w:r>
      <w:r w:rsidR="003E6D2D">
        <w:rPr>
          <w:lang w:val="fr-FR"/>
        </w:rPr>
        <w:t>’</w:t>
      </w:r>
      <w:r w:rsidRPr="00AC4BAB">
        <w:rPr>
          <w:lang w:val="fr-FR"/>
        </w:rPr>
        <w:t>acceptation sur le marché ;</w:t>
      </w:r>
    </w:p>
    <w:p w:rsidR="00EB56BA" w:rsidRPr="00C51E0A" w:rsidRDefault="00AC4BAB" w:rsidP="00AC4BAB">
      <w:pPr>
        <w:pStyle w:val="Heading2"/>
        <w:rPr>
          <w:lang w:val="fr-FR"/>
        </w:rPr>
      </w:pPr>
      <w:r w:rsidRPr="00AC4BAB">
        <w:rPr>
          <w:lang w:val="fr-FR"/>
        </w:rPr>
        <w:t>Actualisation du matériel de formation pour renforcer les composantes concernant les bonnes pratiques pour l</w:t>
      </w:r>
      <w:r w:rsidR="003E6D2D">
        <w:rPr>
          <w:lang w:val="fr-FR"/>
        </w:rPr>
        <w:t>’</w:t>
      </w:r>
      <w:r w:rsidRPr="00AC4BAB">
        <w:rPr>
          <w:lang w:val="fr-FR"/>
        </w:rPr>
        <w:t>installation, la maintenance et l</w:t>
      </w:r>
      <w:r w:rsidR="003E6D2D">
        <w:rPr>
          <w:lang w:val="fr-FR"/>
        </w:rPr>
        <w:t>’</w:t>
      </w:r>
      <w:r w:rsidRPr="00AC4BAB">
        <w:rPr>
          <w:lang w:val="fr-FR"/>
        </w:rPr>
        <w:t>entretien des équipements de réfrigération, de climatisation et de pompes à chaleur contenant des frigorigènes dotés de différentes caractéristiques de fonctionnement en matière d</w:t>
      </w:r>
      <w:r w:rsidR="003E6D2D">
        <w:rPr>
          <w:lang w:val="fr-FR"/>
        </w:rPr>
        <w:t>’</w:t>
      </w:r>
      <w:r w:rsidRPr="00AC4BAB">
        <w:rPr>
          <w:lang w:val="fr-FR"/>
        </w:rPr>
        <w:t>inflammabilité, de toxicité et de pression ;</w:t>
      </w:r>
    </w:p>
    <w:p w:rsidR="00EB56BA" w:rsidRPr="00C51E0A" w:rsidRDefault="00AC4BAB" w:rsidP="00AC4BAB">
      <w:pPr>
        <w:pStyle w:val="Heading2"/>
        <w:rPr>
          <w:lang w:val="fr-FR"/>
        </w:rPr>
      </w:pPr>
      <w:r w:rsidRPr="00AC4BAB">
        <w:rPr>
          <w:lang w:val="fr-FR"/>
        </w:rPr>
        <w:t>Coordination et collaboration entre l</w:t>
      </w:r>
      <w:r w:rsidR="003E6D2D">
        <w:rPr>
          <w:lang w:val="fr-FR"/>
        </w:rPr>
        <w:t>’</w:t>
      </w:r>
      <w:r w:rsidRPr="00AC4BAB">
        <w:rPr>
          <w:lang w:val="fr-FR"/>
        </w:rPr>
        <w:t>UNO et les responsables chargés de l</w:t>
      </w:r>
      <w:r w:rsidR="003E6D2D">
        <w:rPr>
          <w:lang w:val="fr-FR"/>
        </w:rPr>
        <w:t>’</w:t>
      </w:r>
      <w:r w:rsidRPr="00AC4BAB">
        <w:rPr>
          <w:lang w:val="fr-FR"/>
        </w:rPr>
        <w:t>efficacité énergétique pour soutenir l</w:t>
      </w:r>
      <w:r w:rsidR="003E6D2D">
        <w:rPr>
          <w:lang w:val="fr-FR"/>
        </w:rPr>
        <w:t>’</w:t>
      </w:r>
      <w:r w:rsidRPr="00AC4BAB">
        <w:rPr>
          <w:lang w:val="fr-FR"/>
        </w:rPr>
        <w:t>élaboration et l</w:t>
      </w:r>
      <w:r w:rsidR="003E6D2D">
        <w:rPr>
          <w:lang w:val="fr-FR"/>
        </w:rPr>
        <w:t>’</w:t>
      </w:r>
      <w:r w:rsidRPr="00AC4BAB">
        <w:rPr>
          <w:lang w:val="fr-FR"/>
        </w:rPr>
        <w:t xml:space="preserve">application des MEPS, </w:t>
      </w:r>
      <w:r w:rsidR="00535901" w:rsidRPr="00AC4BAB">
        <w:rPr>
          <w:lang w:val="fr-FR"/>
        </w:rPr>
        <w:t>des programmes</w:t>
      </w:r>
      <w:r w:rsidRPr="00AC4BAB">
        <w:rPr>
          <w:lang w:val="fr-FR"/>
        </w:rPr>
        <w:t xml:space="preserve"> de labels écologiques et des normes pour l</w:t>
      </w:r>
      <w:r w:rsidR="003E6D2D">
        <w:rPr>
          <w:lang w:val="fr-FR"/>
        </w:rPr>
        <w:t>’</w:t>
      </w:r>
      <w:r w:rsidRPr="00AC4BAB">
        <w:rPr>
          <w:lang w:val="fr-FR"/>
        </w:rPr>
        <w:t>introduction d</w:t>
      </w:r>
      <w:r w:rsidR="003E6D2D">
        <w:rPr>
          <w:lang w:val="fr-FR"/>
        </w:rPr>
        <w:t>’</w:t>
      </w:r>
      <w:r w:rsidRPr="00AC4BAB">
        <w:rPr>
          <w:lang w:val="fr-FR"/>
        </w:rPr>
        <w:t>équipements de réfrigération, de climatisation et de pompes à chaleur écoénergétiques s</w:t>
      </w:r>
      <w:r w:rsidR="003E6D2D">
        <w:rPr>
          <w:lang w:val="fr-FR"/>
        </w:rPr>
        <w:t>’</w:t>
      </w:r>
      <w:r w:rsidRPr="00AC4BAB">
        <w:rPr>
          <w:lang w:val="fr-FR"/>
        </w:rPr>
        <w:t>appuyant sur des technologies qui utilisent des frigorigène</w:t>
      </w:r>
      <w:r w:rsidR="00CB480D">
        <w:rPr>
          <w:lang w:val="fr-FR"/>
        </w:rPr>
        <w:t>s</w:t>
      </w:r>
      <w:r w:rsidRPr="00AC4BAB">
        <w:rPr>
          <w:lang w:val="fr-FR"/>
        </w:rPr>
        <w:t xml:space="preserve"> à faible PRP ou sans PRP ;</w:t>
      </w:r>
    </w:p>
    <w:p w:rsidR="00EB56BA" w:rsidRPr="00C51E0A" w:rsidRDefault="00AC4BAB" w:rsidP="00D543D9">
      <w:pPr>
        <w:pStyle w:val="Heading2"/>
        <w:rPr>
          <w:lang w:val="fr-FR"/>
        </w:rPr>
      </w:pPr>
      <w:r w:rsidRPr="00D543D9">
        <w:rPr>
          <w:lang w:val="fr-FR"/>
        </w:rPr>
        <w:lastRenderedPageBreak/>
        <w:t xml:space="preserve">Élaboration et mise en application de programmes de </w:t>
      </w:r>
      <w:r w:rsidRPr="0012740F">
        <w:rPr>
          <w:lang w:val="fr-FR"/>
        </w:rPr>
        <w:t xml:space="preserve">certification </w:t>
      </w:r>
      <w:r w:rsidR="0012740F" w:rsidRPr="0012740F">
        <w:rPr>
          <w:lang w:val="fr-FR"/>
        </w:rPr>
        <w:t>d</w:t>
      </w:r>
      <w:r w:rsidRPr="0012740F">
        <w:rPr>
          <w:lang w:val="fr-FR"/>
        </w:rPr>
        <w:t xml:space="preserve">es techniciens et renforcement des infrastructures des établissements nationaux </w:t>
      </w:r>
      <w:r w:rsidR="00D543D9" w:rsidRPr="0012740F">
        <w:rPr>
          <w:lang w:val="fr-FR"/>
        </w:rPr>
        <w:t xml:space="preserve">pour </w:t>
      </w:r>
      <w:r w:rsidRPr="0012740F">
        <w:rPr>
          <w:lang w:val="fr-FR"/>
        </w:rPr>
        <w:t xml:space="preserve">la mise en œuvre </w:t>
      </w:r>
      <w:r w:rsidR="00D543D9" w:rsidRPr="0012740F">
        <w:rPr>
          <w:lang w:val="fr-FR"/>
        </w:rPr>
        <w:t>des</w:t>
      </w:r>
      <w:r w:rsidRPr="0012740F">
        <w:rPr>
          <w:lang w:val="fr-FR"/>
        </w:rPr>
        <w:t xml:space="preserve"> systèmes </w:t>
      </w:r>
      <w:r w:rsidR="00D543D9" w:rsidRPr="0012740F">
        <w:rPr>
          <w:lang w:val="fr-FR"/>
        </w:rPr>
        <w:t>de certifica</w:t>
      </w:r>
      <w:r w:rsidRPr="0012740F">
        <w:rPr>
          <w:lang w:val="fr-FR"/>
        </w:rPr>
        <w:t>tion.</w:t>
      </w:r>
      <w:r w:rsidR="00EB56BA" w:rsidRPr="00C51E0A">
        <w:rPr>
          <w:lang w:val="fr-FR"/>
        </w:rPr>
        <w:t xml:space="preserve"> </w:t>
      </w:r>
      <w:r w:rsidR="00D543D9" w:rsidRPr="0012740F">
        <w:rPr>
          <w:lang w:val="fr-FR"/>
        </w:rPr>
        <w:t>Ceci est particulièrement nécessaire du</w:t>
      </w:r>
      <w:r w:rsidR="00D543D9" w:rsidRPr="00D543D9">
        <w:rPr>
          <w:lang w:val="fr-FR"/>
        </w:rPr>
        <w:t xml:space="preserve"> fait des caractéristiques inflammables ou toxiques des frigorigènes à faible PRP ou sans PRP ; et</w:t>
      </w:r>
    </w:p>
    <w:p w:rsidR="00EB56BA" w:rsidRPr="00C51E0A" w:rsidRDefault="00D543D9" w:rsidP="00D543D9">
      <w:pPr>
        <w:pStyle w:val="Heading2"/>
        <w:keepNext/>
        <w:keepLines/>
        <w:rPr>
          <w:lang w:val="fr-FR"/>
        </w:rPr>
      </w:pPr>
      <w:r w:rsidRPr="00D543D9">
        <w:rPr>
          <w:lang w:val="fr-FR"/>
        </w:rPr>
        <w:t>Programmes de sensibilisation et d</w:t>
      </w:r>
      <w:r w:rsidR="003E6D2D">
        <w:rPr>
          <w:lang w:val="fr-FR"/>
        </w:rPr>
        <w:t>’</w:t>
      </w:r>
      <w:r w:rsidRPr="00D543D9">
        <w:rPr>
          <w:lang w:val="fr-FR"/>
        </w:rPr>
        <w:t>informations pour favoriser l</w:t>
      </w:r>
      <w:r w:rsidR="003E6D2D">
        <w:rPr>
          <w:lang w:val="fr-FR"/>
        </w:rPr>
        <w:t>’</w:t>
      </w:r>
      <w:r w:rsidRPr="00D543D9">
        <w:rPr>
          <w:lang w:val="fr-FR"/>
        </w:rPr>
        <w:t>introduction des MEPS et des systèmes de labels écologiques ; certification obligatoire des techniciens ; et introduction d</w:t>
      </w:r>
      <w:r w:rsidR="003E6D2D">
        <w:rPr>
          <w:lang w:val="fr-FR"/>
        </w:rPr>
        <w:t>’</w:t>
      </w:r>
      <w:r w:rsidRPr="00D543D9">
        <w:rPr>
          <w:lang w:val="fr-FR"/>
        </w:rPr>
        <w:t>équipements de réfrigération, de climatisation et de pompes à chaleur écoénergétiques utilisant des frigorigènes à faible PRP ou sans PRP.</w:t>
      </w:r>
    </w:p>
    <w:p w:rsidR="00EB56BA" w:rsidRPr="00C51E0A" w:rsidRDefault="00D543D9" w:rsidP="00D543D9">
      <w:pPr>
        <w:pStyle w:val="Heading1"/>
        <w:rPr>
          <w:color w:val="000000"/>
          <w:lang w:val="fr-FR" w:eastAsia="en-CA"/>
        </w:rPr>
      </w:pPr>
      <w:r w:rsidRPr="00D543D9">
        <w:rPr>
          <w:lang w:val="fr-FR"/>
        </w:rPr>
        <w:t xml:space="preserve">Actuellement, des activités de PGEH dans les pays à faible volume de consommation de SAO sont financées conformément à la décision 74/50 (c)(xii), </w:t>
      </w:r>
      <w:r w:rsidRPr="00D543D9">
        <w:rPr>
          <w:color w:val="000000"/>
          <w:lang w:val="fr-FR" w:eastAsia="en-CA"/>
        </w:rPr>
        <w:t>comme l</w:t>
      </w:r>
      <w:r w:rsidR="003E6D2D">
        <w:rPr>
          <w:color w:val="000000"/>
          <w:lang w:val="fr-FR" w:eastAsia="en-CA"/>
        </w:rPr>
        <w:t>’</w:t>
      </w:r>
      <w:r w:rsidRPr="00D543D9">
        <w:rPr>
          <w:color w:val="000000"/>
          <w:lang w:val="fr-FR" w:eastAsia="en-CA"/>
        </w:rPr>
        <w:t xml:space="preserve">indique le tableau </w:t>
      </w:r>
      <w:r w:rsidRPr="00D543D9">
        <w:rPr>
          <w:lang w:val="fr-FR"/>
        </w:rPr>
        <w:t>3.</w:t>
      </w:r>
    </w:p>
    <w:p w:rsidR="00EB56BA" w:rsidRPr="00C51E0A" w:rsidRDefault="00D543D9" w:rsidP="00EB56BA">
      <w:pPr>
        <w:rPr>
          <w:b/>
          <w:lang w:val="fr-FR" w:eastAsia="en-CA"/>
        </w:rPr>
      </w:pPr>
      <w:r w:rsidRPr="00D543D9">
        <w:rPr>
          <w:b/>
          <w:lang w:val="fr-FR" w:eastAsia="en-CA"/>
        </w:rPr>
        <w:t>Tableau 3. Financement total approuvé pour le PGEH et les activités de facilitation dans des pays à faible volume de consommation de SAO ($US)</w:t>
      </w:r>
    </w:p>
    <w:tbl>
      <w:tblPr>
        <w:tblW w:w="5000" w:type="pct"/>
        <w:tblCellMar>
          <w:left w:w="0" w:type="dxa"/>
          <w:right w:w="0" w:type="dxa"/>
        </w:tblCellMar>
        <w:tblLook w:val="04A0" w:firstRow="1" w:lastRow="0" w:firstColumn="1" w:lastColumn="0" w:noHBand="0" w:noVBand="1"/>
      </w:tblPr>
      <w:tblGrid>
        <w:gridCol w:w="3712"/>
        <w:gridCol w:w="1728"/>
        <w:gridCol w:w="1955"/>
        <w:gridCol w:w="2095"/>
      </w:tblGrid>
      <w:tr w:rsidR="00EB56BA" w:rsidRPr="009F577F" w:rsidTr="00593C40">
        <w:tc>
          <w:tcPr>
            <w:tcW w:w="1955" w:type="pct"/>
            <w:tcBorders>
              <w:top w:val="single" w:sz="4" w:space="0" w:color="auto"/>
              <w:left w:val="single" w:sz="4" w:space="0" w:color="auto"/>
              <w:bottom w:val="single" w:sz="4" w:space="0" w:color="auto"/>
              <w:right w:val="single" w:sz="4" w:space="0" w:color="auto"/>
            </w:tcBorders>
            <w:shd w:val="clear" w:color="auto" w:fill="auto"/>
            <w:noWrap/>
            <w:tcMar>
              <w:top w:w="15" w:type="dxa"/>
              <w:left w:w="115" w:type="dxa"/>
              <w:bottom w:w="0" w:type="dxa"/>
              <w:right w:w="15" w:type="dxa"/>
            </w:tcMar>
            <w:vAlign w:val="center"/>
            <w:hideMark/>
          </w:tcPr>
          <w:p w:rsidR="00EB56BA" w:rsidRPr="00E3662F" w:rsidRDefault="00D543D9" w:rsidP="002A237B">
            <w:pPr>
              <w:jc w:val="left"/>
              <w:rPr>
                <w:b/>
                <w:color w:val="000000"/>
                <w:sz w:val="21"/>
                <w:szCs w:val="21"/>
                <w:lang w:val="en-CA"/>
              </w:rPr>
            </w:pPr>
            <w:r w:rsidRPr="00D543D9">
              <w:rPr>
                <w:b/>
                <w:color w:val="000000"/>
                <w:sz w:val="21"/>
                <w:szCs w:val="21"/>
                <w:lang w:val="fr-FR"/>
              </w:rPr>
              <w:t>Consommation (tm)</w:t>
            </w:r>
          </w:p>
        </w:tc>
        <w:tc>
          <w:tcPr>
            <w:tcW w:w="91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B56BA" w:rsidRPr="00E3662F" w:rsidRDefault="00D543D9" w:rsidP="002A237B">
            <w:pPr>
              <w:jc w:val="center"/>
              <w:rPr>
                <w:b/>
                <w:color w:val="000000"/>
                <w:sz w:val="21"/>
                <w:szCs w:val="21"/>
              </w:rPr>
            </w:pPr>
            <w:r w:rsidRPr="00D543D9">
              <w:rPr>
                <w:b/>
                <w:color w:val="000000"/>
                <w:sz w:val="21"/>
                <w:szCs w:val="21"/>
                <w:lang w:val="fr-FR"/>
              </w:rPr>
              <w:t>Jusqu</w:t>
            </w:r>
            <w:r w:rsidR="003E6D2D">
              <w:rPr>
                <w:b/>
                <w:color w:val="000000"/>
                <w:sz w:val="21"/>
                <w:szCs w:val="21"/>
                <w:lang w:val="fr-FR"/>
              </w:rPr>
              <w:t>’</w:t>
            </w:r>
            <w:r>
              <w:rPr>
                <w:b/>
                <w:color w:val="000000"/>
                <w:sz w:val="21"/>
                <w:szCs w:val="21"/>
                <w:lang w:val="fr-FR"/>
              </w:rPr>
              <w:t>en</w:t>
            </w:r>
            <w:r w:rsidRPr="00D543D9">
              <w:rPr>
                <w:b/>
                <w:color w:val="000000"/>
                <w:sz w:val="21"/>
                <w:szCs w:val="21"/>
                <w:lang w:val="fr-FR"/>
              </w:rPr>
              <w:t xml:space="preserve"> 2020</w:t>
            </w:r>
          </w:p>
        </w:tc>
        <w:tc>
          <w:tcPr>
            <w:tcW w:w="103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B56BA" w:rsidRPr="00E3662F" w:rsidRDefault="00D543D9" w:rsidP="002A237B">
            <w:pPr>
              <w:jc w:val="center"/>
              <w:rPr>
                <w:b/>
                <w:color w:val="000000"/>
                <w:sz w:val="21"/>
                <w:szCs w:val="21"/>
              </w:rPr>
            </w:pPr>
            <w:r w:rsidRPr="00D543D9">
              <w:rPr>
                <w:b/>
                <w:color w:val="000000"/>
                <w:sz w:val="21"/>
                <w:szCs w:val="21"/>
                <w:lang w:val="fr-FR"/>
              </w:rPr>
              <w:t>Jusqu</w:t>
            </w:r>
            <w:r w:rsidR="003E6D2D">
              <w:rPr>
                <w:b/>
                <w:color w:val="000000"/>
                <w:sz w:val="21"/>
                <w:szCs w:val="21"/>
                <w:lang w:val="fr-FR"/>
              </w:rPr>
              <w:t>’</w:t>
            </w:r>
            <w:r w:rsidRPr="00D543D9">
              <w:rPr>
                <w:b/>
                <w:color w:val="000000"/>
                <w:sz w:val="21"/>
                <w:szCs w:val="21"/>
                <w:lang w:val="fr-FR"/>
              </w:rPr>
              <w:t>en 2025</w:t>
            </w:r>
          </w:p>
        </w:tc>
        <w:tc>
          <w:tcPr>
            <w:tcW w:w="110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B56BA" w:rsidRPr="00FB7D98" w:rsidRDefault="00D543D9" w:rsidP="002A237B">
            <w:pPr>
              <w:jc w:val="center"/>
              <w:rPr>
                <w:b/>
                <w:color w:val="000000"/>
                <w:sz w:val="21"/>
                <w:szCs w:val="21"/>
              </w:rPr>
            </w:pPr>
            <w:r w:rsidRPr="00D543D9">
              <w:rPr>
                <w:b/>
                <w:color w:val="000000"/>
                <w:sz w:val="21"/>
                <w:szCs w:val="21"/>
                <w:lang w:val="fr-FR"/>
              </w:rPr>
              <w:t>Élimination totale</w:t>
            </w:r>
          </w:p>
        </w:tc>
      </w:tr>
      <w:tr w:rsidR="00EB56BA" w:rsidTr="00593C40">
        <w:tc>
          <w:tcPr>
            <w:tcW w:w="1955" w:type="pct"/>
            <w:tcBorders>
              <w:top w:val="nil"/>
              <w:left w:val="single" w:sz="4" w:space="0" w:color="auto"/>
              <w:bottom w:val="single" w:sz="4" w:space="0" w:color="auto"/>
              <w:right w:val="single" w:sz="4" w:space="0" w:color="auto"/>
            </w:tcBorders>
            <w:shd w:val="clear" w:color="auto" w:fill="auto"/>
            <w:noWrap/>
            <w:tcMar>
              <w:top w:w="15" w:type="dxa"/>
              <w:left w:w="432" w:type="dxa"/>
              <w:bottom w:w="0" w:type="dxa"/>
              <w:right w:w="15" w:type="dxa"/>
            </w:tcMar>
            <w:vAlign w:val="center"/>
            <w:hideMark/>
          </w:tcPr>
          <w:p w:rsidR="00EB56BA" w:rsidRPr="00FB7D98" w:rsidRDefault="00EB56BA" w:rsidP="000929FD">
            <w:pPr>
              <w:jc w:val="left"/>
              <w:rPr>
                <w:color w:val="000000"/>
                <w:sz w:val="21"/>
                <w:szCs w:val="21"/>
              </w:rPr>
            </w:pPr>
            <w:r w:rsidRPr="00FB7D98">
              <w:rPr>
                <w:color w:val="000000"/>
                <w:sz w:val="21"/>
                <w:szCs w:val="21"/>
              </w:rPr>
              <w:t>0-15</w:t>
            </w:r>
          </w:p>
        </w:tc>
        <w:tc>
          <w:tcPr>
            <w:tcW w:w="9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0929FD">
            <w:pPr>
              <w:jc w:val="center"/>
              <w:rPr>
                <w:color w:val="000000"/>
                <w:sz w:val="21"/>
                <w:szCs w:val="21"/>
              </w:rPr>
            </w:pPr>
            <w:r w:rsidRPr="00FB7D98">
              <w:rPr>
                <w:color w:val="000000"/>
                <w:sz w:val="21"/>
                <w:szCs w:val="21"/>
              </w:rPr>
              <w:t>205</w:t>
            </w:r>
            <w:r w:rsidR="00777176">
              <w:rPr>
                <w:color w:val="000000"/>
                <w:sz w:val="21"/>
                <w:szCs w:val="21"/>
              </w:rPr>
              <w:t> </w:t>
            </w:r>
            <w:r w:rsidRPr="00FB7D98">
              <w:rPr>
                <w:color w:val="000000"/>
                <w:sz w:val="21"/>
                <w:szCs w:val="21"/>
              </w:rPr>
              <w:t>625</w:t>
            </w:r>
          </w:p>
        </w:tc>
        <w:tc>
          <w:tcPr>
            <w:tcW w:w="10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0929FD">
            <w:pPr>
              <w:jc w:val="center"/>
              <w:rPr>
                <w:color w:val="000000"/>
                <w:sz w:val="21"/>
                <w:szCs w:val="21"/>
              </w:rPr>
            </w:pPr>
            <w:r w:rsidRPr="00FB7D98">
              <w:rPr>
                <w:color w:val="000000"/>
                <w:sz w:val="21"/>
                <w:szCs w:val="21"/>
              </w:rPr>
              <w:t>396</w:t>
            </w:r>
            <w:r w:rsidR="00777176">
              <w:rPr>
                <w:color w:val="000000"/>
                <w:sz w:val="21"/>
                <w:szCs w:val="21"/>
              </w:rPr>
              <w:t> </w:t>
            </w:r>
            <w:r w:rsidRPr="00FB7D98">
              <w:rPr>
                <w:color w:val="000000"/>
                <w:sz w:val="21"/>
                <w:szCs w:val="21"/>
              </w:rPr>
              <w:t>500</w:t>
            </w:r>
          </w:p>
        </w:tc>
        <w:tc>
          <w:tcPr>
            <w:tcW w:w="11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0929FD">
            <w:pPr>
              <w:jc w:val="center"/>
              <w:rPr>
                <w:color w:val="000000"/>
                <w:sz w:val="21"/>
                <w:szCs w:val="21"/>
              </w:rPr>
            </w:pPr>
            <w:r w:rsidRPr="00FB7D98">
              <w:rPr>
                <w:color w:val="000000"/>
                <w:sz w:val="21"/>
                <w:szCs w:val="21"/>
              </w:rPr>
              <w:t>587</w:t>
            </w:r>
            <w:r w:rsidR="00777176">
              <w:rPr>
                <w:color w:val="000000"/>
                <w:sz w:val="21"/>
                <w:szCs w:val="21"/>
              </w:rPr>
              <w:t> </w:t>
            </w:r>
            <w:r w:rsidRPr="00FB7D98">
              <w:rPr>
                <w:color w:val="000000"/>
                <w:sz w:val="21"/>
                <w:szCs w:val="21"/>
              </w:rPr>
              <w:t>500</w:t>
            </w:r>
          </w:p>
        </w:tc>
      </w:tr>
      <w:tr w:rsidR="00EB56BA" w:rsidTr="00593C40">
        <w:tc>
          <w:tcPr>
            <w:tcW w:w="1955" w:type="pct"/>
            <w:tcBorders>
              <w:top w:val="nil"/>
              <w:left w:val="single" w:sz="4" w:space="0" w:color="auto"/>
              <w:bottom w:val="single" w:sz="4" w:space="0" w:color="auto"/>
              <w:right w:val="single" w:sz="4" w:space="0" w:color="auto"/>
            </w:tcBorders>
            <w:shd w:val="clear" w:color="auto" w:fill="auto"/>
            <w:noWrap/>
            <w:tcMar>
              <w:top w:w="15" w:type="dxa"/>
              <w:left w:w="432" w:type="dxa"/>
              <w:bottom w:w="0" w:type="dxa"/>
              <w:right w:w="15" w:type="dxa"/>
            </w:tcMar>
            <w:vAlign w:val="center"/>
            <w:hideMark/>
          </w:tcPr>
          <w:p w:rsidR="00EB56BA" w:rsidRPr="00FB7D98" w:rsidRDefault="00EB56BA" w:rsidP="000929FD">
            <w:pPr>
              <w:jc w:val="left"/>
              <w:rPr>
                <w:color w:val="000000"/>
                <w:sz w:val="21"/>
                <w:szCs w:val="21"/>
              </w:rPr>
            </w:pPr>
            <w:r w:rsidRPr="00FB7D98">
              <w:rPr>
                <w:color w:val="000000"/>
                <w:sz w:val="21"/>
                <w:szCs w:val="21"/>
              </w:rPr>
              <w:t>15-40</w:t>
            </w:r>
          </w:p>
        </w:tc>
        <w:tc>
          <w:tcPr>
            <w:tcW w:w="9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0929FD">
            <w:pPr>
              <w:jc w:val="center"/>
              <w:rPr>
                <w:color w:val="000000"/>
                <w:sz w:val="21"/>
                <w:szCs w:val="21"/>
              </w:rPr>
            </w:pPr>
            <w:r w:rsidRPr="00FB7D98">
              <w:rPr>
                <w:color w:val="000000"/>
                <w:sz w:val="21"/>
                <w:szCs w:val="21"/>
              </w:rPr>
              <w:t>262</w:t>
            </w:r>
            <w:r w:rsidR="00777176">
              <w:rPr>
                <w:color w:val="000000"/>
                <w:sz w:val="21"/>
                <w:szCs w:val="21"/>
              </w:rPr>
              <w:t> </w:t>
            </w:r>
            <w:r w:rsidRPr="00FB7D98">
              <w:rPr>
                <w:color w:val="000000"/>
                <w:sz w:val="21"/>
                <w:szCs w:val="21"/>
              </w:rPr>
              <w:t>500</w:t>
            </w:r>
          </w:p>
        </w:tc>
        <w:tc>
          <w:tcPr>
            <w:tcW w:w="10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0929FD">
            <w:pPr>
              <w:jc w:val="center"/>
              <w:rPr>
                <w:color w:val="000000"/>
                <w:sz w:val="21"/>
                <w:szCs w:val="21"/>
              </w:rPr>
            </w:pPr>
            <w:r w:rsidRPr="00FB7D98">
              <w:rPr>
                <w:color w:val="000000"/>
                <w:sz w:val="21"/>
                <w:szCs w:val="21"/>
              </w:rPr>
              <w:t>506</w:t>
            </w:r>
            <w:r w:rsidR="00777176">
              <w:rPr>
                <w:color w:val="000000"/>
                <w:sz w:val="21"/>
                <w:szCs w:val="21"/>
              </w:rPr>
              <w:t> </w:t>
            </w:r>
            <w:r w:rsidRPr="00FB7D98">
              <w:rPr>
                <w:color w:val="000000"/>
                <w:sz w:val="21"/>
                <w:szCs w:val="21"/>
              </w:rPr>
              <w:t>250</w:t>
            </w:r>
          </w:p>
        </w:tc>
        <w:tc>
          <w:tcPr>
            <w:tcW w:w="11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0929FD">
            <w:pPr>
              <w:jc w:val="center"/>
              <w:rPr>
                <w:color w:val="000000"/>
                <w:sz w:val="21"/>
                <w:szCs w:val="21"/>
              </w:rPr>
            </w:pPr>
            <w:r w:rsidRPr="00FB7D98">
              <w:rPr>
                <w:color w:val="000000"/>
                <w:sz w:val="21"/>
                <w:szCs w:val="21"/>
              </w:rPr>
              <w:t>750</w:t>
            </w:r>
            <w:r w:rsidR="00777176">
              <w:rPr>
                <w:color w:val="000000"/>
                <w:sz w:val="21"/>
                <w:szCs w:val="21"/>
              </w:rPr>
              <w:t> </w:t>
            </w:r>
            <w:r w:rsidRPr="00FB7D98">
              <w:rPr>
                <w:color w:val="000000"/>
                <w:sz w:val="21"/>
                <w:szCs w:val="21"/>
              </w:rPr>
              <w:t>000</w:t>
            </w:r>
          </w:p>
        </w:tc>
      </w:tr>
      <w:tr w:rsidR="00EB56BA" w:rsidTr="00593C40">
        <w:tc>
          <w:tcPr>
            <w:tcW w:w="1955" w:type="pct"/>
            <w:tcBorders>
              <w:top w:val="nil"/>
              <w:left w:val="single" w:sz="4" w:space="0" w:color="auto"/>
              <w:bottom w:val="single" w:sz="4" w:space="0" w:color="auto"/>
              <w:right w:val="single" w:sz="4" w:space="0" w:color="auto"/>
            </w:tcBorders>
            <w:shd w:val="clear" w:color="auto" w:fill="auto"/>
            <w:noWrap/>
            <w:tcMar>
              <w:top w:w="15" w:type="dxa"/>
              <w:left w:w="432" w:type="dxa"/>
              <w:bottom w:w="0" w:type="dxa"/>
              <w:right w:w="15" w:type="dxa"/>
            </w:tcMar>
            <w:vAlign w:val="center"/>
            <w:hideMark/>
          </w:tcPr>
          <w:p w:rsidR="00EB56BA" w:rsidRPr="00FB7D98" w:rsidRDefault="00EB56BA" w:rsidP="000929FD">
            <w:pPr>
              <w:jc w:val="left"/>
              <w:rPr>
                <w:color w:val="000000"/>
                <w:sz w:val="21"/>
                <w:szCs w:val="21"/>
              </w:rPr>
            </w:pPr>
            <w:r w:rsidRPr="00FB7D98">
              <w:rPr>
                <w:color w:val="000000"/>
                <w:sz w:val="21"/>
                <w:szCs w:val="21"/>
              </w:rPr>
              <w:t>40-80</w:t>
            </w:r>
          </w:p>
        </w:tc>
        <w:tc>
          <w:tcPr>
            <w:tcW w:w="9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0929FD">
            <w:pPr>
              <w:jc w:val="center"/>
              <w:rPr>
                <w:color w:val="000000"/>
                <w:sz w:val="21"/>
                <w:szCs w:val="21"/>
              </w:rPr>
            </w:pPr>
            <w:r w:rsidRPr="00FB7D98">
              <w:rPr>
                <w:color w:val="000000"/>
                <w:sz w:val="21"/>
                <w:szCs w:val="21"/>
              </w:rPr>
              <w:t>280</w:t>
            </w:r>
            <w:r w:rsidR="00777176">
              <w:rPr>
                <w:color w:val="000000"/>
                <w:sz w:val="21"/>
                <w:szCs w:val="21"/>
              </w:rPr>
              <w:t> </w:t>
            </w:r>
            <w:r w:rsidRPr="00FB7D98">
              <w:rPr>
                <w:color w:val="000000"/>
                <w:sz w:val="21"/>
                <w:szCs w:val="21"/>
              </w:rPr>
              <w:t>000</w:t>
            </w:r>
          </w:p>
        </w:tc>
        <w:tc>
          <w:tcPr>
            <w:tcW w:w="10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0929FD">
            <w:pPr>
              <w:jc w:val="center"/>
              <w:rPr>
                <w:color w:val="000000"/>
                <w:sz w:val="21"/>
                <w:szCs w:val="21"/>
              </w:rPr>
            </w:pPr>
            <w:r w:rsidRPr="00FB7D98">
              <w:rPr>
                <w:color w:val="000000"/>
                <w:sz w:val="21"/>
                <w:szCs w:val="21"/>
              </w:rPr>
              <w:t>540</w:t>
            </w:r>
            <w:r w:rsidR="00777176">
              <w:rPr>
                <w:color w:val="000000"/>
                <w:sz w:val="21"/>
                <w:szCs w:val="21"/>
              </w:rPr>
              <w:t> </w:t>
            </w:r>
            <w:r w:rsidRPr="00FB7D98">
              <w:rPr>
                <w:color w:val="000000"/>
                <w:sz w:val="21"/>
                <w:szCs w:val="21"/>
              </w:rPr>
              <w:t>000</w:t>
            </w:r>
          </w:p>
        </w:tc>
        <w:tc>
          <w:tcPr>
            <w:tcW w:w="11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0929FD">
            <w:pPr>
              <w:jc w:val="center"/>
              <w:rPr>
                <w:color w:val="000000"/>
                <w:sz w:val="21"/>
                <w:szCs w:val="21"/>
              </w:rPr>
            </w:pPr>
            <w:r w:rsidRPr="00FB7D98">
              <w:rPr>
                <w:color w:val="000000"/>
                <w:sz w:val="21"/>
                <w:szCs w:val="21"/>
              </w:rPr>
              <w:t>800</w:t>
            </w:r>
            <w:r w:rsidR="00777176">
              <w:rPr>
                <w:color w:val="000000"/>
                <w:sz w:val="21"/>
                <w:szCs w:val="21"/>
              </w:rPr>
              <w:t> </w:t>
            </w:r>
            <w:r w:rsidRPr="00FB7D98">
              <w:rPr>
                <w:color w:val="000000"/>
                <w:sz w:val="21"/>
                <w:szCs w:val="21"/>
              </w:rPr>
              <w:t>000</w:t>
            </w:r>
          </w:p>
        </w:tc>
      </w:tr>
      <w:tr w:rsidR="00EB56BA" w:rsidTr="00593C40">
        <w:tc>
          <w:tcPr>
            <w:tcW w:w="1955" w:type="pct"/>
            <w:tcBorders>
              <w:top w:val="nil"/>
              <w:left w:val="single" w:sz="4" w:space="0" w:color="auto"/>
              <w:bottom w:val="single" w:sz="4" w:space="0" w:color="auto"/>
              <w:right w:val="single" w:sz="4" w:space="0" w:color="auto"/>
            </w:tcBorders>
            <w:shd w:val="clear" w:color="auto" w:fill="auto"/>
            <w:noWrap/>
            <w:tcMar>
              <w:top w:w="15" w:type="dxa"/>
              <w:left w:w="432" w:type="dxa"/>
              <w:bottom w:w="0" w:type="dxa"/>
              <w:right w:w="15" w:type="dxa"/>
            </w:tcMar>
            <w:vAlign w:val="center"/>
            <w:hideMark/>
          </w:tcPr>
          <w:p w:rsidR="00EB56BA" w:rsidRPr="00FB7D98" w:rsidRDefault="00EB56BA" w:rsidP="000929FD">
            <w:pPr>
              <w:jc w:val="left"/>
              <w:rPr>
                <w:color w:val="000000"/>
                <w:sz w:val="21"/>
                <w:szCs w:val="21"/>
              </w:rPr>
            </w:pPr>
            <w:r w:rsidRPr="00FB7D98">
              <w:rPr>
                <w:color w:val="000000"/>
                <w:sz w:val="21"/>
                <w:szCs w:val="21"/>
              </w:rPr>
              <w:t>80-120</w:t>
            </w:r>
          </w:p>
        </w:tc>
        <w:tc>
          <w:tcPr>
            <w:tcW w:w="9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0929FD">
            <w:pPr>
              <w:jc w:val="center"/>
              <w:rPr>
                <w:color w:val="000000"/>
                <w:sz w:val="21"/>
                <w:szCs w:val="21"/>
              </w:rPr>
            </w:pPr>
            <w:r w:rsidRPr="00FB7D98">
              <w:rPr>
                <w:color w:val="000000"/>
                <w:sz w:val="21"/>
                <w:szCs w:val="21"/>
              </w:rPr>
              <w:t>315</w:t>
            </w:r>
            <w:r w:rsidR="00777176">
              <w:rPr>
                <w:color w:val="000000"/>
                <w:sz w:val="21"/>
                <w:szCs w:val="21"/>
              </w:rPr>
              <w:t> </w:t>
            </w:r>
            <w:r w:rsidRPr="00FB7D98">
              <w:rPr>
                <w:color w:val="000000"/>
                <w:sz w:val="21"/>
                <w:szCs w:val="21"/>
              </w:rPr>
              <w:t>000</w:t>
            </w:r>
          </w:p>
        </w:tc>
        <w:tc>
          <w:tcPr>
            <w:tcW w:w="10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0929FD">
            <w:pPr>
              <w:jc w:val="center"/>
              <w:rPr>
                <w:color w:val="000000"/>
                <w:sz w:val="21"/>
                <w:szCs w:val="21"/>
              </w:rPr>
            </w:pPr>
            <w:r w:rsidRPr="00FB7D98">
              <w:rPr>
                <w:color w:val="000000"/>
                <w:sz w:val="21"/>
                <w:szCs w:val="21"/>
              </w:rPr>
              <w:t>607</w:t>
            </w:r>
            <w:r w:rsidR="00777176">
              <w:rPr>
                <w:color w:val="000000"/>
                <w:sz w:val="21"/>
                <w:szCs w:val="21"/>
              </w:rPr>
              <w:t> </w:t>
            </w:r>
            <w:r w:rsidRPr="00FB7D98">
              <w:rPr>
                <w:color w:val="000000"/>
                <w:sz w:val="21"/>
                <w:szCs w:val="21"/>
              </w:rPr>
              <w:t>500</w:t>
            </w:r>
          </w:p>
        </w:tc>
        <w:tc>
          <w:tcPr>
            <w:tcW w:w="11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0929FD">
            <w:pPr>
              <w:jc w:val="center"/>
              <w:rPr>
                <w:color w:val="000000"/>
                <w:sz w:val="21"/>
                <w:szCs w:val="21"/>
              </w:rPr>
            </w:pPr>
            <w:r w:rsidRPr="00FB7D98">
              <w:rPr>
                <w:color w:val="000000"/>
                <w:sz w:val="21"/>
                <w:szCs w:val="21"/>
              </w:rPr>
              <w:t>900</w:t>
            </w:r>
            <w:r w:rsidR="00777176">
              <w:rPr>
                <w:color w:val="000000"/>
                <w:sz w:val="21"/>
                <w:szCs w:val="21"/>
              </w:rPr>
              <w:t> </w:t>
            </w:r>
            <w:r w:rsidRPr="00FB7D98">
              <w:rPr>
                <w:color w:val="000000"/>
                <w:sz w:val="21"/>
                <w:szCs w:val="21"/>
              </w:rPr>
              <w:t>000</w:t>
            </w:r>
          </w:p>
        </w:tc>
      </w:tr>
      <w:tr w:rsidR="00EB56BA" w:rsidTr="00593C40">
        <w:tc>
          <w:tcPr>
            <w:tcW w:w="1955" w:type="pct"/>
            <w:tcBorders>
              <w:top w:val="nil"/>
              <w:left w:val="single" w:sz="4" w:space="0" w:color="auto"/>
              <w:bottom w:val="single" w:sz="4" w:space="0" w:color="auto"/>
              <w:right w:val="single" w:sz="4" w:space="0" w:color="auto"/>
            </w:tcBorders>
            <w:shd w:val="clear" w:color="auto" w:fill="auto"/>
            <w:noWrap/>
            <w:tcMar>
              <w:top w:w="15" w:type="dxa"/>
              <w:left w:w="432" w:type="dxa"/>
              <w:bottom w:w="0" w:type="dxa"/>
              <w:right w:w="15" w:type="dxa"/>
            </w:tcMar>
            <w:vAlign w:val="center"/>
            <w:hideMark/>
          </w:tcPr>
          <w:p w:rsidR="00EB56BA" w:rsidRPr="00FB7D98" w:rsidRDefault="00EB56BA" w:rsidP="000929FD">
            <w:pPr>
              <w:jc w:val="left"/>
              <w:rPr>
                <w:color w:val="000000"/>
                <w:sz w:val="21"/>
                <w:szCs w:val="21"/>
              </w:rPr>
            </w:pPr>
            <w:r w:rsidRPr="00FB7D98">
              <w:rPr>
                <w:color w:val="000000"/>
                <w:sz w:val="21"/>
                <w:szCs w:val="21"/>
              </w:rPr>
              <w:t>120-160</w:t>
            </w:r>
          </w:p>
        </w:tc>
        <w:tc>
          <w:tcPr>
            <w:tcW w:w="9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0929FD">
            <w:pPr>
              <w:jc w:val="center"/>
              <w:rPr>
                <w:color w:val="000000"/>
                <w:sz w:val="21"/>
                <w:szCs w:val="21"/>
              </w:rPr>
            </w:pPr>
            <w:r w:rsidRPr="00FB7D98">
              <w:rPr>
                <w:color w:val="000000"/>
                <w:sz w:val="21"/>
                <w:szCs w:val="21"/>
              </w:rPr>
              <w:t>332</w:t>
            </w:r>
            <w:r w:rsidR="00777176">
              <w:rPr>
                <w:color w:val="000000"/>
                <w:sz w:val="21"/>
                <w:szCs w:val="21"/>
              </w:rPr>
              <w:t> </w:t>
            </w:r>
            <w:r w:rsidRPr="00FB7D98">
              <w:rPr>
                <w:color w:val="000000"/>
                <w:sz w:val="21"/>
                <w:szCs w:val="21"/>
              </w:rPr>
              <w:t>500</w:t>
            </w:r>
          </w:p>
        </w:tc>
        <w:tc>
          <w:tcPr>
            <w:tcW w:w="10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0929FD">
            <w:pPr>
              <w:jc w:val="center"/>
              <w:rPr>
                <w:color w:val="000000"/>
                <w:sz w:val="21"/>
                <w:szCs w:val="21"/>
              </w:rPr>
            </w:pPr>
            <w:r w:rsidRPr="00FB7D98">
              <w:rPr>
                <w:color w:val="000000"/>
                <w:sz w:val="21"/>
                <w:szCs w:val="21"/>
              </w:rPr>
              <w:t>641</w:t>
            </w:r>
            <w:r w:rsidR="00777176">
              <w:rPr>
                <w:color w:val="000000"/>
                <w:sz w:val="21"/>
                <w:szCs w:val="21"/>
              </w:rPr>
              <w:t> </w:t>
            </w:r>
            <w:r w:rsidRPr="00FB7D98">
              <w:rPr>
                <w:color w:val="000000"/>
                <w:sz w:val="21"/>
                <w:szCs w:val="21"/>
              </w:rPr>
              <w:t>250</w:t>
            </w:r>
          </w:p>
        </w:tc>
        <w:tc>
          <w:tcPr>
            <w:tcW w:w="11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0929FD">
            <w:pPr>
              <w:jc w:val="center"/>
              <w:rPr>
                <w:color w:val="000000"/>
                <w:sz w:val="21"/>
                <w:szCs w:val="21"/>
              </w:rPr>
            </w:pPr>
            <w:r w:rsidRPr="00FB7D98">
              <w:rPr>
                <w:color w:val="000000"/>
                <w:sz w:val="21"/>
                <w:szCs w:val="21"/>
              </w:rPr>
              <w:t>950</w:t>
            </w:r>
            <w:r w:rsidR="00777176">
              <w:rPr>
                <w:color w:val="000000"/>
                <w:sz w:val="21"/>
                <w:szCs w:val="21"/>
              </w:rPr>
              <w:t> </w:t>
            </w:r>
            <w:r w:rsidRPr="00FB7D98">
              <w:rPr>
                <w:color w:val="000000"/>
                <w:sz w:val="21"/>
                <w:szCs w:val="21"/>
              </w:rPr>
              <w:t>000</w:t>
            </w:r>
          </w:p>
        </w:tc>
      </w:tr>
      <w:tr w:rsidR="00EB56BA" w:rsidTr="00593C40">
        <w:tc>
          <w:tcPr>
            <w:tcW w:w="1955" w:type="pct"/>
            <w:tcBorders>
              <w:top w:val="nil"/>
              <w:left w:val="single" w:sz="4" w:space="0" w:color="auto"/>
              <w:bottom w:val="single" w:sz="4" w:space="0" w:color="auto"/>
              <w:right w:val="single" w:sz="4" w:space="0" w:color="auto"/>
            </w:tcBorders>
            <w:shd w:val="clear" w:color="auto" w:fill="auto"/>
            <w:noWrap/>
            <w:tcMar>
              <w:top w:w="15" w:type="dxa"/>
              <w:left w:w="432" w:type="dxa"/>
              <w:bottom w:w="0" w:type="dxa"/>
              <w:right w:w="15" w:type="dxa"/>
            </w:tcMar>
            <w:vAlign w:val="center"/>
            <w:hideMark/>
          </w:tcPr>
          <w:p w:rsidR="00EB56BA" w:rsidRPr="00FB7D98" w:rsidRDefault="00EB56BA" w:rsidP="000929FD">
            <w:pPr>
              <w:jc w:val="left"/>
              <w:rPr>
                <w:color w:val="000000"/>
                <w:sz w:val="21"/>
                <w:szCs w:val="21"/>
              </w:rPr>
            </w:pPr>
            <w:r w:rsidRPr="00FB7D98">
              <w:rPr>
                <w:color w:val="000000"/>
                <w:sz w:val="21"/>
                <w:szCs w:val="21"/>
              </w:rPr>
              <w:t>160-200</w:t>
            </w:r>
          </w:p>
        </w:tc>
        <w:tc>
          <w:tcPr>
            <w:tcW w:w="9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0929FD">
            <w:pPr>
              <w:jc w:val="center"/>
              <w:rPr>
                <w:color w:val="000000"/>
                <w:sz w:val="21"/>
                <w:szCs w:val="21"/>
              </w:rPr>
            </w:pPr>
            <w:r w:rsidRPr="00FB7D98">
              <w:rPr>
                <w:color w:val="000000"/>
                <w:sz w:val="21"/>
                <w:szCs w:val="21"/>
              </w:rPr>
              <w:t>350</w:t>
            </w:r>
            <w:r w:rsidR="00777176">
              <w:rPr>
                <w:color w:val="000000"/>
                <w:sz w:val="21"/>
                <w:szCs w:val="21"/>
              </w:rPr>
              <w:t> </w:t>
            </w:r>
            <w:r w:rsidRPr="00FB7D98">
              <w:rPr>
                <w:color w:val="000000"/>
                <w:sz w:val="21"/>
                <w:szCs w:val="21"/>
              </w:rPr>
              <w:t>000</w:t>
            </w:r>
          </w:p>
        </w:tc>
        <w:tc>
          <w:tcPr>
            <w:tcW w:w="10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0929FD">
            <w:pPr>
              <w:jc w:val="center"/>
              <w:rPr>
                <w:color w:val="000000"/>
                <w:sz w:val="21"/>
                <w:szCs w:val="21"/>
              </w:rPr>
            </w:pPr>
            <w:r w:rsidRPr="00FB7D98">
              <w:rPr>
                <w:color w:val="000000"/>
                <w:sz w:val="21"/>
                <w:szCs w:val="21"/>
              </w:rPr>
              <w:t>675</w:t>
            </w:r>
            <w:r w:rsidR="00777176">
              <w:rPr>
                <w:color w:val="000000"/>
                <w:sz w:val="21"/>
                <w:szCs w:val="21"/>
              </w:rPr>
              <w:t> </w:t>
            </w:r>
            <w:r w:rsidRPr="00FB7D98">
              <w:rPr>
                <w:color w:val="000000"/>
                <w:sz w:val="21"/>
                <w:szCs w:val="21"/>
              </w:rPr>
              <w:t>000</w:t>
            </w:r>
          </w:p>
        </w:tc>
        <w:tc>
          <w:tcPr>
            <w:tcW w:w="11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0929FD">
            <w:pPr>
              <w:jc w:val="center"/>
              <w:rPr>
                <w:color w:val="000000"/>
                <w:sz w:val="21"/>
                <w:szCs w:val="21"/>
              </w:rPr>
            </w:pPr>
            <w:r w:rsidRPr="00FB7D98">
              <w:rPr>
                <w:color w:val="000000"/>
                <w:sz w:val="21"/>
                <w:szCs w:val="21"/>
              </w:rPr>
              <w:t>1</w:t>
            </w:r>
            <w:r w:rsidR="00777176">
              <w:rPr>
                <w:color w:val="000000"/>
                <w:sz w:val="21"/>
                <w:szCs w:val="21"/>
              </w:rPr>
              <w:t> </w:t>
            </w:r>
            <w:r w:rsidRPr="00FB7D98">
              <w:rPr>
                <w:color w:val="000000"/>
                <w:sz w:val="21"/>
                <w:szCs w:val="21"/>
              </w:rPr>
              <w:t>000</w:t>
            </w:r>
            <w:r w:rsidR="00777176">
              <w:rPr>
                <w:color w:val="000000"/>
                <w:sz w:val="21"/>
                <w:szCs w:val="21"/>
              </w:rPr>
              <w:t> </w:t>
            </w:r>
            <w:r w:rsidRPr="00FB7D98">
              <w:rPr>
                <w:color w:val="000000"/>
                <w:sz w:val="21"/>
                <w:szCs w:val="21"/>
              </w:rPr>
              <w:t>000</w:t>
            </w:r>
          </w:p>
        </w:tc>
      </w:tr>
      <w:tr w:rsidR="00EB56BA" w:rsidTr="00593C40">
        <w:tc>
          <w:tcPr>
            <w:tcW w:w="1955" w:type="pct"/>
            <w:tcBorders>
              <w:top w:val="nil"/>
              <w:left w:val="single" w:sz="4" w:space="0" w:color="auto"/>
              <w:bottom w:val="single" w:sz="4" w:space="0" w:color="auto"/>
              <w:right w:val="single" w:sz="4" w:space="0" w:color="auto"/>
            </w:tcBorders>
            <w:shd w:val="clear" w:color="auto" w:fill="auto"/>
            <w:noWrap/>
            <w:tcMar>
              <w:top w:w="15" w:type="dxa"/>
              <w:left w:w="432" w:type="dxa"/>
              <w:bottom w:w="0" w:type="dxa"/>
              <w:right w:w="15" w:type="dxa"/>
            </w:tcMar>
            <w:vAlign w:val="center"/>
            <w:hideMark/>
          </w:tcPr>
          <w:p w:rsidR="00EB56BA" w:rsidRPr="00FB7D98" w:rsidRDefault="00EB56BA" w:rsidP="000929FD">
            <w:pPr>
              <w:jc w:val="left"/>
              <w:rPr>
                <w:color w:val="000000"/>
                <w:sz w:val="21"/>
                <w:szCs w:val="21"/>
              </w:rPr>
            </w:pPr>
            <w:r w:rsidRPr="00FB7D98">
              <w:rPr>
                <w:color w:val="000000"/>
                <w:sz w:val="21"/>
                <w:szCs w:val="21"/>
              </w:rPr>
              <w:t>200-320</w:t>
            </w:r>
          </w:p>
        </w:tc>
        <w:tc>
          <w:tcPr>
            <w:tcW w:w="9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0929FD">
            <w:pPr>
              <w:jc w:val="center"/>
              <w:rPr>
                <w:color w:val="000000"/>
                <w:sz w:val="21"/>
                <w:szCs w:val="21"/>
              </w:rPr>
            </w:pPr>
            <w:r w:rsidRPr="00FB7D98">
              <w:rPr>
                <w:color w:val="000000"/>
                <w:sz w:val="21"/>
                <w:szCs w:val="21"/>
              </w:rPr>
              <w:t>560</w:t>
            </w:r>
            <w:r w:rsidR="00777176">
              <w:rPr>
                <w:color w:val="000000"/>
                <w:sz w:val="21"/>
                <w:szCs w:val="21"/>
              </w:rPr>
              <w:t> </w:t>
            </w:r>
            <w:r w:rsidRPr="00FB7D98">
              <w:rPr>
                <w:color w:val="000000"/>
                <w:sz w:val="21"/>
                <w:szCs w:val="21"/>
              </w:rPr>
              <w:t>000</w:t>
            </w:r>
          </w:p>
        </w:tc>
        <w:tc>
          <w:tcPr>
            <w:tcW w:w="10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0929FD">
            <w:pPr>
              <w:jc w:val="center"/>
              <w:rPr>
                <w:color w:val="000000"/>
                <w:sz w:val="21"/>
                <w:szCs w:val="21"/>
              </w:rPr>
            </w:pPr>
            <w:r w:rsidRPr="00FB7D98">
              <w:rPr>
                <w:color w:val="000000"/>
                <w:sz w:val="21"/>
                <w:szCs w:val="21"/>
              </w:rPr>
              <w:t>1</w:t>
            </w:r>
            <w:r w:rsidR="00777176">
              <w:rPr>
                <w:color w:val="000000"/>
                <w:sz w:val="21"/>
                <w:szCs w:val="21"/>
              </w:rPr>
              <w:t> </w:t>
            </w:r>
            <w:r w:rsidRPr="00FB7D98">
              <w:rPr>
                <w:color w:val="000000"/>
                <w:sz w:val="21"/>
                <w:szCs w:val="21"/>
              </w:rPr>
              <w:t>080</w:t>
            </w:r>
            <w:r w:rsidR="00777176">
              <w:rPr>
                <w:color w:val="000000"/>
                <w:sz w:val="21"/>
                <w:szCs w:val="21"/>
              </w:rPr>
              <w:t> </w:t>
            </w:r>
            <w:r w:rsidRPr="00FB7D98">
              <w:rPr>
                <w:color w:val="000000"/>
                <w:sz w:val="21"/>
                <w:szCs w:val="21"/>
              </w:rPr>
              <w:t>000</w:t>
            </w:r>
          </w:p>
        </w:tc>
        <w:tc>
          <w:tcPr>
            <w:tcW w:w="11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0929FD">
            <w:pPr>
              <w:jc w:val="center"/>
              <w:rPr>
                <w:color w:val="000000"/>
                <w:sz w:val="21"/>
                <w:szCs w:val="21"/>
              </w:rPr>
            </w:pPr>
            <w:r w:rsidRPr="00FB7D98">
              <w:rPr>
                <w:color w:val="000000"/>
                <w:sz w:val="21"/>
                <w:szCs w:val="21"/>
              </w:rPr>
              <w:t>1</w:t>
            </w:r>
            <w:r w:rsidR="00777176">
              <w:rPr>
                <w:color w:val="000000"/>
                <w:sz w:val="21"/>
                <w:szCs w:val="21"/>
              </w:rPr>
              <w:t> </w:t>
            </w:r>
            <w:r w:rsidRPr="00FB7D98">
              <w:rPr>
                <w:color w:val="000000"/>
                <w:sz w:val="21"/>
                <w:szCs w:val="21"/>
              </w:rPr>
              <w:t>600</w:t>
            </w:r>
            <w:r w:rsidR="00777176">
              <w:rPr>
                <w:color w:val="000000"/>
                <w:sz w:val="21"/>
                <w:szCs w:val="21"/>
              </w:rPr>
              <w:t> </w:t>
            </w:r>
            <w:r w:rsidRPr="00FB7D98">
              <w:rPr>
                <w:color w:val="000000"/>
                <w:sz w:val="21"/>
                <w:szCs w:val="21"/>
              </w:rPr>
              <w:t>000</w:t>
            </w:r>
          </w:p>
        </w:tc>
      </w:tr>
      <w:tr w:rsidR="00EB56BA" w:rsidTr="00593C40">
        <w:tc>
          <w:tcPr>
            <w:tcW w:w="1955" w:type="pct"/>
            <w:tcBorders>
              <w:top w:val="nil"/>
              <w:left w:val="single" w:sz="4" w:space="0" w:color="auto"/>
              <w:bottom w:val="single" w:sz="4" w:space="0" w:color="auto"/>
              <w:right w:val="single" w:sz="4" w:space="0" w:color="auto"/>
            </w:tcBorders>
            <w:shd w:val="clear" w:color="auto" w:fill="auto"/>
            <w:noWrap/>
            <w:tcMar>
              <w:top w:w="15" w:type="dxa"/>
              <w:left w:w="432" w:type="dxa"/>
              <w:bottom w:w="0" w:type="dxa"/>
              <w:right w:w="15" w:type="dxa"/>
            </w:tcMar>
            <w:vAlign w:val="center"/>
            <w:hideMark/>
          </w:tcPr>
          <w:p w:rsidR="00EB56BA" w:rsidRPr="00FB7D98" w:rsidRDefault="00EB56BA" w:rsidP="000929FD">
            <w:pPr>
              <w:jc w:val="left"/>
              <w:rPr>
                <w:color w:val="000000"/>
                <w:sz w:val="21"/>
                <w:szCs w:val="21"/>
              </w:rPr>
            </w:pPr>
            <w:r w:rsidRPr="00FB7D98">
              <w:rPr>
                <w:color w:val="000000"/>
                <w:sz w:val="21"/>
                <w:szCs w:val="21"/>
              </w:rPr>
              <w:t>320-360</w:t>
            </w:r>
          </w:p>
        </w:tc>
        <w:tc>
          <w:tcPr>
            <w:tcW w:w="9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0929FD">
            <w:pPr>
              <w:jc w:val="center"/>
              <w:rPr>
                <w:color w:val="000000"/>
                <w:sz w:val="21"/>
                <w:szCs w:val="21"/>
              </w:rPr>
            </w:pPr>
            <w:r w:rsidRPr="00FB7D98">
              <w:rPr>
                <w:color w:val="000000"/>
                <w:sz w:val="21"/>
                <w:szCs w:val="21"/>
              </w:rPr>
              <w:t>630</w:t>
            </w:r>
            <w:r w:rsidR="00777176">
              <w:rPr>
                <w:color w:val="000000"/>
                <w:sz w:val="21"/>
                <w:szCs w:val="21"/>
              </w:rPr>
              <w:t> </w:t>
            </w:r>
            <w:r w:rsidRPr="00FB7D98">
              <w:rPr>
                <w:color w:val="000000"/>
                <w:sz w:val="21"/>
                <w:szCs w:val="21"/>
              </w:rPr>
              <w:t>000</w:t>
            </w:r>
          </w:p>
        </w:tc>
        <w:tc>
          <w:tcPr>
            <w:tcW w:w="10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0929FD">
            <w:pPr>
              <w:jc w:val="center"/>
              <w:rPr>
                <w:color w:val="000000"/>
                <w:sz w:val="21"/>
                <w:szCs w:val="21"/>
              </w:rPr>
            </w:pPr>
            <w:r w:rsidRPr="00FB7D98">
              <w:rPr>
                <w:color w:val="000000"/>
                <w:sz w:val="21"/>
                <w:szCs w:val="21"/>
              </w:rPr>
              <w:t>1</w:t>
            </w:r>
            <w:r w:rsidR="00777176">
              <w:rPr>
                <w:color w:val="000000"/>
                <w:sz w:val="21"/>
                <w:szCs w:val="21"/>
              </w:rPr>
              <w:t> </w:t>
            </w:r>
            <w:r w:rsidRPr="00FB7D98">
              <w:rPr>
                <w:color w:val="000000"/>
                <w:sz w:val="21"/>
                <w:szCs w:val="21"/>
              </w:rPr>
              <w:t>215</w:t>
            </w:r>
            <w:r w:rsidR="00777176">
              <w:rPr>
                <w:color w:val="000000"/>
                <w:sz w:val="21"/>
                <w:szCs w:val="21"/>
              </w:rPr>
              <w:t> </w:t>
            </w:r>
            <w:r w:rsidRPr="00FB7D98">
              <w:rPr>
                <w:color w:val="000000"/>
                <w:sz w:val="21"/>
                <w:szCs w:val="21"/>
              </w:rPr>
              <w:t>000</w:t>
            </w:r>
          </w:p>
        </w:tc>
        <w:tc>
          <w:tcPr>
            <w:tcW w:w="11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0929FD">
            <w:pPr>
              <w:jc w:val="center"/>
              <w:rPr>
                <w:color w:val="000000"/>
                <w:sz w:val="21"/>
                <w:szCs w:val="21"/>
              </w:rPr>
            </w:pPr>
            <w:r w:rsidRPr="00FB7D98">
              <w:rPr>
                <w:color w:val="000000"/>
                <w:sz w:val="21"/>
                <w:szCs w:val="21"/>
              </w:rPr>
              <w:t>1</w:t>
            </w:r>
            <w:r w:rsidR="00777176">
              <w:rPr>
                <w:color w:val="000000"/>
                <w:sz w:val="21"/>
                <w:szCs w:val="21"/>
              </w:rPr>
              <w:t> </w:t>
            </w:r>
            <w:r w:rsidRPr="00FB7D98">
              <w:rPr>
                <w:color w:val="000000"/>
                <w:sz w:val="21"/>
                <w:szCs w:val="21"/>
              </w:rPr>
              <w:t>800</w:t>
            </w:r>
            <w:r w:rsidR="00777176">
              <w:rPr>
                <w:color w:val="000000"/>
                <w:sz w:val="21"/>
                <w:szCs w:val="21"/>
              </w:rPr>
              <w:t> </w:t>
            </w:r>
            <w:r w:rsidRPr="00FB7D98">
              <w:rPr>
                <w:color w:val="000000"/>
                <w:sz w:val="21"/>
                <w:szCs w:val="21"/>
              </w:rPr>
              <w:t>000</w:t>
            </w:r>
          </w:p>
        </w:tc>
      </w:tr>
    </w:tbl>
    <w:p w:rsidR="00EB56BA" w:rsidRDefault="00EB56BA" w:rsidP="00EB56BA">
      <w:pPr>
        <w:rPr>
          <w:b/>
          <w:sz w:val="21"/>
          <w:szCs w:val="21"/>
          <w:lang w:val="en-CA" w:eastAsia="en-CA"/>
        </w:rPr>
      </w:pPr>
    </w:p>
    <w:p w:rsidR="00EB56BA" w:rsidRPr="00C51E0A" w:rsidRDefault="00D543D9" w:rsidP="00C1341B">
      <w:pPr>
        <w:pStyle w:val="Heading1"/>
        <w:rPr>
          <w:lang w:val="fr-FR"/>
        </w:rPr>
      </w:pPr>
      <w:r w:rsidRPr="00C1341B">
        <w:rPr>
          <w:lang w:val="fr-FR"/>
        </w:rPr>
        <w:t xml:space="preserve">Le financement supplémentaire </w:t>
      </w:r>
      <w:r w:rsidR="00C1341B" w:rsidRPr="00C1341B">
        <w:rPr>
          <w:lang w:val="fr-FR"/>
        </w:rPr>
        <w:t xml:space="preserve">nécessaire pour </w:t>
      </w:r>
      <w:r w:rsidRPr="00C1341B">
        <w:rPr>
          <w:lang w:val="fr-FR"/>
        </w:rPr>
        <w:t>atteindre les</w:t>
      </w:r>
      <w:r w:rsidR="00B33538">
        <w:rPr>
          <w:lang w:val="fr-FR"/>
        </w:rPr>
        <w:t xml:space="preserve"> objectifs de la décision 82/83</w:t>
      </w:r>
      <w:r w:rsidRPr="00C1341B">
        <w:rPr>
          <w:lang w:val="fr-FR"/>
        </w:rPr>
        <w:t xml:space="preserve">(c) dépendra de la conception de </w:t>
      </w:r>
      <w:r w:rsidR="00C1341B" w:rsidRPr="00C1341B">
        <w:rPr>
          <w:lang w:val="fr-FR"/>
        </w:rPr>
        <w:t xml:space="preserve">la phase </w:t>
      </w:r>
      <w:r w:rsidRPr="00C1341B">
        <w:rPr>
          <w:lang w:val="fr-FR"/>
        </w:rPr>
        <w:t xml:space="preserve">II du </w:t>
      </w:r>
      <w:r w:rsidR="00C1341B" w:rsidRPr="00C1341B">
        <w:rPr>
          <w:lang w:val="fr-FR"/>
        </w:rPr>
        <w:t xml:space="preserve">PGEH </w:t>
      </w:r>
      <w:r w:rsidRPr="00C1341B">
        <w:rPr>
          <w:lang w:val="fr-FR"/>
        </w:rPr>
        <w:t>en termes d</w:t>
      </w:r>
      <w:r w:rsidR="003E6D2D">
        <w:rPr>
          <w:lang w:val="fr-FR"/>
        </w:rPr>
        <w:t>’</w:t>
      </w:r>
      <w:r w:rsidRPr="00C1341B">
        <w:rPr>
          <w:lang w:val="fr-FR"/>
        </w:rPr>
        <w:t xml:space="preserve">activités </w:t>
      </w:r>
      <w:r w:rsidR="00C1341B" w:rsidRPr="00C1341B">
        <w:rPr>
          <w:lang w:val="fr-FR"/>
        </w:rPr>
        <w:t xml:space="preserve">destinées à </w:t>
      </w:r>
      <w:r w:rsidRPr="00C1341B">
        <w:rPr>
          <w:lang w:val="fr-FR"/>
        </w:rPr>
        <w:t>faciliter l</w:t>
      </w:r>
      <w:r w:rsidR="003E6D2D">
        <w:rPr>
          <w:lang w:val="fr-FR"/>
        </w:rPr>
        <w:t>’</w:t>
      </w:r>
      <w:r w:rsidRPr="00C1341B">
        <w:rPr>
          <w:lang w:val="fr-FR"/>
        </w:rPr>
        <w:t xml:space="preserve">adoption </w:t>
      </w:r>
      <w:r w:rsidR="00C1341B" w:rsidRPr="00C1341B">
        <w:rPr>
          <w:lang w:val="fr-FR"/>
        </w:rPr>
        <w:t xml:space="preserve">de produits de remplacement à faible PRP ou sans PRP </w:t>
      </w:r>
      <w:r w:rsidR="00C1341B" w:rsidRPr="0012740F">
        <w:rPr>
          <w:lang w:val="fr-FR"/>
        </w:rPr>
        <w:t>et à maintenir l</w:t>
      </w:r>
      <w:r w:rsidR="003E6D2D" w:rsidRPr="0012740F">
        <w:rPr>
          <w:lang w:val="fr-FR"/>
        </w:rPr>
        <w:t>’</w:t>
      </w:r>
      <w:r w:rsidR="00C1341B" w:rsidRPr="0012740F">
        <w:rPr>
          <w:lang w:val="fr-FR"/>
        </w:rPr>
        <w:t>efficacité énergétique</w:t>
      </w:r>
      <w:r w:rsidRPr="0012740F">
        <w:rPr>
          <w:lang w:val="fr-FR"/>
        </w:rPr>
        <w:t>.</w:t>
      </w:r>
      <w:r w:rsidR="00EB56BA" w:rsidRPr="00C51E0A">
        <w:rPr>
          <w:lang w:val="fr-FR"/>
        </w:rPr>
        <w:t xml:space="preserve"> </w:t>
      </w:r>
      <w:r w:rsidR="00C1341B" w:rsidRPr="00C1341B">
        <w:rPr>
          <w:lang w:val="fr-FR"/>
        </w:rPr>
        <w:t xml:space="preserve">Avec les niveaux existants de financement en vertu de la décision 74/50 et le recentrage </w:t>
      </w:r>
      <w:r w:rsidR="00670D62" w:rsidRPr="00C1341B">
        <w:rPr>
          <w:lang w:val="fr-FR"/>
        </w:rPr>
        <w:t>approprié</w:t>
      </w:r>
      <w:r w:rsidR="00C1341B" w:rsidRPr="00C1341B">
        <w:rPr>
          <w:lang w:val="fr-FR"/>
        </w:rPr>
        <w:t xml:space="preserve"> des activités, la formation des techniciens et les activités de sensibilisation et d</w:t>
      </w:r>
      <w:r w:rsidR="003E6D2D">
        <w:rPr>
          <w:lang w:val="fr-FR"/>
        </w:rPr>
        <w:t>’</w:t>
      </w:r>
      <w:r w:rsidR="00C1341B" w:rsidRPr="00C1341B">
        <w:rPr>
          <w:lang w:val="fr-FR"/>
        </w:rPr>
        <w:t>information peuvent également être réalisées en vue de l</w:t>
      </w:r>
      <w:r w:rsidR="003E6D2D">
        <w:rPr>
          <w:lang w:val="fr-FR"/>
        </w:rPr>
        <w:t>’</w:t>
      </w:r>
      <w:r w:rsidR="00C1341B" w:rsidRPr="00C1341B">
        <w:rPr>
          <w:lang w:val="fr-FR"/>
        </w:rPr>
        <w:t>adoption de produits de remplacement à faible PRP ou sans PRP</w:t>
      </w:r>
      <w:r w:rsidR="00EB56BA" w:rsidRPr="00FB7D98">
        <w:rPr>
          <w:rStyle w:val="FootnoteReference"/>
          <w:sz w:val="20"/>
        </w:rPr>
        <w:footnoteReference w:id="38"/>
      </w:r>
      <w:r w:rsidR="0012740F">
        <w:rPr>
          <w:lang w:val="fr-FR"/>
        </w:rPr>
        <w:t>.</w:t>
      </w:r>
    </w:p>
    <w:p w:rsidR="00EB56BA" w:rsidRPr="009620AB" w:rsidRDefault="003E6D2D" w:rsidP="0012740F">
      <w:pPr>
        <w:pStyle w:val="Heading1"/>
        <w:tabs>
          <w:tab w:val="left" w:pos="709"/>
        </w:tabs>
        <w:rPr>
          <w:lang w:val="fr-FR"/>
        </w:rPr>
      </w:pPr>
      <w:r>
        <w:rPr>
          <w:lang w:val="fr-FR"/>
        </w:rPr>
        <w:t xml:space="preserve">  </w:t>
      </w:r>
      <w:r w:rsidR="00C1341B" w:rsidRPr="00C1341B">
        <w:rPr>
          <w:lang w:val="fr-FR"/>
        </w:rPr>
        <w:t>Le besoin d</w:t>
      </w:r>
      <w:r>
        <w:rPr>
          <w:lang w:val="fr-FR"/>
        </w:rPr>
        <w:t>’</w:t>
      </w:r>
      <w:r w:rsidR="00C1341B" w:rsidRPr="00C1341B">
        <w:rPr>
          <w:lang w:val="fr-FR"/>
        </w:rPr>
        <w:t xml:space="preserve">activités </w:t>
      </w:r>
      <w:r w:rsidR="0012740F">
        <w:rPr>
          <w:lang w:val="fr-FR"/>
        </w:rPr>
        <w:t xml:space="preserve">d’appoint </w:t>
      </w:r>
      <w:r w:rsidR="00C1341B" w:rsidRPr="00C1341B">
        <w:rPr>
          <w:lang w:val="fr-FR"/>
        </w:rPr>
        <w:t xml:space="preserve">se fera </w:t>
      </w:r>
      <w:r w:rsidR="0012740F">
        <w:rPr>
          <w:lang w:val="fr-FR"/>
        </w:rPr>
        <w:t>surtout</w:t>
      </w:r>
      <w:r w:rsidR="00C1341B" w:rsidRPr="00C1341B">
        <w:rPr>
          <w:lang w:val="fr-FR"/>
        </w:rPr>
        <w:t xml:space="preserve"> sentir pour prendre en main la coordination de l</w:t>
      </w:r>
      <w:r>
        <w:rPr>
          <w:lang w:val="fr-FR"/>
        </w:rPr>
        <w:t>’</w:t>
      </w:r>
      <w:r w:rsidR="00C1341B" w:rsidRPr="00C1341B">
        <w:rPr>
          <w:lang w:val="fr-FR"/>
        </w:rPr>
        <w:t xml:space="preserve">UNO avec des institutions/autorités </w:t>
      </w:r>
      <w:r w:rsidR="00A71A4A">
        <w:rPr>
          <w:lang w:val="fr-FR"/>
        </w:rPr>
        <w:t>c</w:t>
      </w:r>
      <w:r w:rsidR="00C1341B" w:rsidRPr="00C1341B">
        <w:rPr>
          <w:lang w:val="fr-FR"/>
        </w:rPr>
        <w:t>harg</w:t>
      </w:r>
      <w:r w:rsidR="00A71A4A">
        <w:rPr>
          <w:lang w:val="fr-FR"/>
        </w:rPr>
        <w:t>ées</w:t>
      </w:r>
      <w:r w:rsidR="00C1341B" w:rsidRPr="00C1341B">
        <w:rPr>
          <w:lang w:val="fr-FR"/>
        </w:rPr>
        <w:t xml:space="preserve"> des questions d</w:t>
      </w:r>
      <w:r>
        <w:rPr>
          <w:lang w:val="fr-FR"/>
        </w:rPr>
        <w:t>’</w:t>
      </w:r>
      <w:r w:rsidR="00C1341B" w:rsidRPr="00C1341B">
        <w:rPr>
          <w:lang w:val="fr-FR"/>
        </w:rPr>
        <w:t xml:space="preserve">efficacité énergétique </w:t>
      </w:r>
      <w:r w:rsidR="00670D62">
        <w:rPr>
          <w:lang w:val="fr-FR"/>
        </w:rPr>
        <w:t>afin de</w:t>
      </w:r>
      <w:r w:rsidR="00C1341B" w:rsidRPr="00C1341B">
        <w:rPr>
          <w:lang w:val="fr-FR"/>
        </w:rPr>
        <w:t xml:space="preserve"> veiller à ce que les réglementations sur ce sujet soient intégrées dans la mise en place de normes nationales pour l</w:t>
      </w:r>
      <w:r>
        <w:rPr>
          <w:lang w:val="fr-FR"/>
        </w:rPr>
        <w:t>’</w:t>
      </w:r>
      <w:r w:rsidR="00C1341B" w:rsidRPr="00C1341B">
        <w:rPr>
          <w:lang w:val="fr-FR"/>
        </w:rPr>
        <w:t>adoption de technologies à faible PRP ou sans PRP</w:t>
      </w:r>
      <w:r w:rsidR="00A71A4A">
        <w:rPr>
          <w:lang w:val="fr-FR"/>
        </w:rPr>
        <w:t> ; et pour renforcer les infrastructures de certification en vue de l’adoption sans danger de ces technologies</w:t>
      </w:r>
      <w:r w:rsidR="00C1341B" w:rsidRPr="00C1341B">
        <w:rPr>
          <w:lang w:val="fr-FR"/>
        </w:rPr>
        <w:t>.</w:t>
      </w:r>
      <w:r w:rsidR="00EB56BA" w:rsidRPr="009620AB">
        <w:rPr>
          <w:lang w:val="fr-FR"/>
        </w:rPr>
        <w:t xml:space="preserve"> </w:t>
      </w:r>
      <w:r w:rsidR="00C1341B" w:rsidRPr="00C1341B">
        <w:rPr>
          <w:lang w:val="fr-FR"/>
        </w:rPr>
        <w:t>Ces activités supplémentaires faciliteront l</w:t>
      </w:r>
      <w:r>
        <w:rPr>
          <w:lang w:val="fr-FR"/>
        </w:rPr>
        <w:t>’</w:t>
      </w:r>
      <w:r w:rsidR="00C1341B" w:rsidRPr="00C1341B">
        <w:rPr>
          <w:lang w:val="fr-FR"/>
        </w:rPr>
        <w:t>accomplissement de l</w:t>
      </w:r>
      <w:r>
        <w:rPr>
          <w:lang w:val="fr-FR"/>
        </w:rPr>
        <w:t>’</w:t>
      </w:r>
      <w:r w:rsidR="00C1341B" w:rsidRPr="00C1341B">
        <w:rPr>
          <w:lang w:val="fr-FR"/>
        </w:rPr>
        <w:t>élimination des HCFC de façon durable et établiront une plateforme pour les activités de la réduction progressive des HFC.</w:t>
      </w:r>
      <w:r w:rsidR="00EB56BA" w:rsidRPr="009620AB">
        <w:rPr>
          <w:lang w:val="fr-FR"/>
        </w:rPr>
        <w:t xml:space="preserve"> </w:t>
      </w:r>
    </w:p>
    <w:p w:rsidR="00EB56BA" w:rsidRPr="00C51E0A" w:rsidRDefault="00C1341B" w:rsidP="00213029">
      <w:pPr>
        <w:pStyle w:val="Heading1"/>
        <w:rPr>
          <w:lang w:val="fr-FR"/>
        </w:rPr>
      </w:pPr>
      <w:r w:rsidRPr="00C1341B">
        <w:rPr>
          <w:lang w:val="fr-FR"/>
        </w:rPr>
        <w:t xml:space="preserve">Pour </w:t>
      </w:r>
      <w:r w:rsidR="00A71A4A">
        <w:rPr>
          <w:lang w:val="fr-FR"/>
        </w:rPr>
        <w:t>l</w:t>
      </w:r>
      <w:r w:rsidRPr="00C1341B">
        <w:rPr>
          <w:lang w:val="fr-FR"/>
        </w:rPr>
        <w:t xml:space="preserve">es nouveaux PGEH ou une nouvelle phase du PGEH, les pays pourraient soumettre des </w:t>
      </w:r>
      <w:r w:rsidRPr="00CB480D">
        <w:rPr>
          <w:lang w:val="fr-FR"/>
        </w:rPr>
        <w:t xml:space="preserve">demandes de financement supplémentaire basées sur </w:t>
      </w:r>
      <w:r w:rsidR="00A71A4A" w:rsidRPr="00CB480D">
        <w:rPr>
          <w:lang w:val="fr-FR"/>
        </w:rPr>
        <w:t>d</w:t>
      </w:r>
      <w:r w:rsidRPr="00CB480D">
        <w:rPr>
          <w:lang w:val="fr-FR"/>
        </w:rPr>
        <w:t>es niveaux de financement d</w:t>
      </w:r>
      <w:r w:rsidR="003E6D2D" w:rsidRPr="00CB480D">
        <w:rPr>
          <w:lang w:val="fr-FR"/>
        </w:rPr>
        <w:t>’</w:t>
      </w:r>
      <w:r w:rsidRPr="00CB480D">
        <w:rPr>
          <w:lang w:val="fr-FR"/>
        </w:rPr>
        <w:t xml:space="preserve">appoint à accepter, </w:t>
      </w:r>
      <w:r w:rsidR="00AB4612" w:rsidRPr="00CB480D">
        <w:rPr>
          <w:lang w:val="fr-FR"/>
        </w:rPr>
        <w:t>ainsi que l</w:t>
      </w:r>
      <w:r w:rsidRPr="00CB480D">
        <w:rPr>
          <w:lang w:val="fr-FR"/>
        </w:rPr>
        <w:t xml:space="preserve">es conditions </w:t>
      </w:r>
      <w:r w:rsidR="00670D62" w:rsidRPr="00CB480D">
        <w:rPr>
          <w:lang w:val="fr-FR"/>
        </w:rPr>
        <w:t>spécifiques</w:t>
      </w:r>
      <w:r w:rsidR="00AB4612" w:rsidRPr="00CB480D">
        <w:rPr>
          <w:lang w:val="fr-FR"/>
        </w:rPr>
        <w:t xml:space="preserve"> </w:t>
      </w:r>
      <w:r w:rsidRPr="00CB480D">
        <w:rPr>
          <w:lang w:val="fr-FR"/>
        </w:rPr>
        <w:t>concernant les activités mentionnées ci-dessus.</w:t>
      </w:r>
      <w:r w:rsidR="00EB56BA" w:rsidRPr="009620AB">
        <w:rPr>
          <w:lang w:val="fr-FR"/>
        </w:rPr>
        <w:t xml:space="preserve"> </w:t>
      </w:r>
      <w:r w:rsidRPr="00213029">
        <w:rPr>
          <w:lang w:val="fr-FR"/>
        </w:rPr>
        <w:t xml:space="preserve">Pour la phase II déjà approuvée des PGEH, le financement supplémentaire et les conditions </w:t>
      </w:r>
      <w:r w:rsidR="00213029" w:rsidRPr="00213029">
        <w:rPr>
          <w:lang w:val="fr-FR"/>
        </w:rPr>
        <w:t>co</w:t>
      </w:r>
      <w:r w:rsidR="00AB4612">
        <w:rPr>
          <w:lang w:val="fr-FR"/>
        </w:rPr>
        <w:t>rrespondantes</w:t>
      </w:r>
      <w:r w:rsidR="00213029" w:rsidRPr="00213029">
        <w:rPr>
          <w:lang w:val="fr-FR"/>
        </w:rPr>
        <w:t xml:space="preserve"> seront </w:t>
      </w:r>
      <w:r w:rsidRPr="00213029">
        <w:rPr>
          <w:lang w:val="fr-FR"/>
        </w:rPr>
        <w:t xml:space="preserve">considérés </w:t>
      </w:r>
      <w:r w:rsidR="00213029" w:rsidRPr="00213029">
        <w:rPr>
          <w:lang w:val="fr-FR"/>
        </w:rPr>
        <w:t>sur la base de</w:t>
      </w:r>
      <w:r w:rsidR="00AB4612">
        <w:rPr>
          <w:lang w:val="fr-FR"/>
        </w:rPr>
        <w:t>s</w:t>
      </w:r>
      <w:r w:rsidR="00213029" w:rsidRPr="00213029">
        <w:rPr>
          <w:lang w:val="fr-FR"/>
        </w:rPr>
        <w:t xml:space="preserve"> </w:t>
      </w:r>
      <w:r w:rsidRPr="00213029">
        <w:rPr>
          <w:lang w:val="fr-FR"/>
        </w:rPr>
        <w:t xml:space="preserve">plans révisés </w:t>
      </w:r>
      <w:r w:rsidR="00AB4612">
        <w:rPr>
          <w:lang w:val="fr-FR"/>
        </w:rPr>
        <w:t xml:space="preserve">dans le cadre </w:t>
      </w:r>
      <w:r w:rsidR="00213029" w:rsidRPr="00213029">
        <w:rPr>
          <w:lang w:val="fr-FR"/>
        </w:rPr>
        <w:t xml:space="preserve">de la soumission de </w:t>
      </w:r>
      <w:r w:rsidRPr="00213029">
        <w:rPr>
          <w:lang w:val="fr-FR"/>
        </w:rPr>
        <w:t xml:space="preserve">la prochaine tranche de </w:t>
      </w:r>
      <w:r w:rsidR="00213029" w:rsidRPr="00213029">
        <w:rPr>
          <w:lang w:val="fr-FR"/>
        </w:rPr>
        <w:t>finan</w:t>
      </w:r>
      <w:r w:rsidRPr="00213029">
        <w:rPr>
          <w:lang w:val="fr-FR"/>
        </w:rPr>
        <w:t>cement.</w:t>
      </w:r>
    </w:p>
    <w:p w:rsidR="00EB56BA" w:rsidRPr="00C51E0A" w:rsidRDefault="00213029" w:rsidP="00213029">
      <w:pPr>
        <w:pStyle w:val="Heading1"/>
        <w:rPr>
          <w:lang w:val="fr-FR"/>
        </w:rPr>
      </w:pPr>
      <w:r w:rsidRPr="00213029">
        <w:rPr>
          <w:lang w:val="fr-FR"/>
        </w:rPr>
        <w:t>Les indicateurs d</w:t>
      </w:r>
      <w:r w:rsidR="003E6D2D">
        <w:rPr>
          <w:lang w:val="fr-FR"/>
        </w:rPr>
        <w:t>’</w:t>
      </w:r>
      <w:r w:rsidRPr="00213029">
        <w:rPr>
          <w:lang w:val="fr-FR"/>
        </w:rPr>
        <w:t>efficacité sont reliés aux actions spécifiques considérées pour la mise en œuvre.</w:t>
      </w:r>
      <w:r w:rsidR="00EB56BA" w:rsidRPr="00C51E0A">
        <w:rPr>
          <w:lang w:val="fr-FR"/>
        </w:rPr>
        <w:t xml:space="preserve"> </w:t>
      </w:r>
      <w:r w:rsidRPr="00213029">
        <w:rPr>
          <w:lang w:val="fr-FR"/>
        </w:rPr>
        <w:t>Les indicateurs d</w:t>
      </w:r>
      <w:r w:rsidR="003E6D2D">
        <w:rPr>
          <w:lang w:val="fr-FR"/>
        </w:rPr>
        <w:t>’</w:t>
      </w:r>
      <w:r w:rsidRPr="00213029">
        <w:rPr>
          <w:lang w:val="fr-FR"/>
        </w:rPr>
        <w:t>efficacité suivants, accompagnés des additions/modifications appropriées, pourront être adoptés pour mesurer la mise en œuvre de</w:t>
      </w:r>
      <w:r w:rsidR="003E6D2D">
        <w:rPr>
          <w:lang w:val="fr-FR"/>
        </w:rPr>
        <w:t xml:space="preserve"> </w:t>
      </w:r>
      <w:r w:rsidRPr="00213029">
        <w:rPr>
          <w:lang w:val="fr-FR"/>
        </w:rPr>
        <w:t>politiques spécifiques :</w:t>
      </w:r>
    </w:p>
    <w:p w:rsidR="00EB56BA" w:rsidRPr="00C51E0A" w:rsidRDefault="00213029" w:rsidP="00213029">
      <w:pPr>
        <w:pStyle w:val="Heading2"/>
        <w:rPr>
          <w:lang w:val="fr-FR"/>
        </w:rPr>
      </w:pPr>
      <w:r w:rsidRPr="00213029">
        <w:rPr>
          <w:lang w:val="fr-FR"/>
        </w:rPr>
        <w:lastRenderedPageBreak/>
        <w:t>Nombre de politiques et de réglementations développées et appliquées pour réduire et interdire les importations d</w:t>
      </w:r>
      <w:r w:rsidR="003E6D2D">
        <w:rPr>
          <w:lang w:val="fr-FR"/>
        </w:rPr>
        <w:t>’</w:t>
      </w:r>
      <w:r w:rsidRPr="00213029">
        <w:rPr>
          <w:lang w:val="fr-FR"/>
        </w:rPr>
        <w:t>équipements de réfrigération, de climatisation et de pompes à chaleur contenant des HCFC, et favorisant l</w:t>
      </w:r>
      <w:r w:rsidR="003E6D2D">
        <w:rPr>
          <w:lang w:val="fr-FR"/>
        </w:rPr>
        <w:t>’</w:t>
      </w:r>
      <w:r w:rsidRPr="00213029">
        <w:rPr>
          <w:lang w:val="fr-FR"/>
        </w:rPr>
        <w:t>introduction d</w:t>
      </w:r>
      <w:r w:rsidR="003E6D2D">
        <w:rPr>
          <w:lang w:val="fr-FR"/>
        </w:rPr>
        <w:t>’</w:t>
      </w:r>
      <w:r w:rsidRPr="00213029">
        <w:rPr>
          <w:lang w:val="fr-FR"/>
        </w:rPr>
        <w:t>équipements utilisant des frigorigènes</w:t>
      </w:r>
      <w:r w:rsidR="003E6D2D">
        <w:rPr>
          <w:lang w:val="fr-FR"/>
        </w:rPr>
        <w:t xml:space="preserve"> </w:t>
      </w:r>
      <w:r w:rsidRPr="00213029">
        <w:rPr>
          <w:lang w:val="fr-FR"/>
        </w:rPr>
        <w:t>à faible PRP ou sans PRP ;</w:t>
      </w:r>
    </w:p>
    <w:p w:rsidR="00EB56BA" w:rsidRPr="00C51E0A" w:rsidRDefault="00B40133" w:rsidP="00B40133">
      <w:pPr>
        <w:pStyle w:val="Heading2"/>
        <w:rPr>
          <w:lang w:val="fr-FR"/>
        </w:rPr>
      </w:pPr>
      <w:r w:rsidRPr="00B40133">
        <w:rPr>
          <w:lang w:val="fr-FR"/>
        </w:rPr>
        <w:t>Nombre de politiques et de réglementations</w:t>
      </w:r>
      <w:r w:rsidR="00213029" w:rsidRPr="00B40133">
        <w:rPr>
          <w:lang w:val="fr-FR"/>
        </w:rPr>
        <w:t xml:space="preserve">, </w:t>
      </w:r>
      <w:r w:rsidRPr="00B40133">
        <w:rPr>
          <w:lang w:val="fr-FR"/>
        </w:rPr>
        <w:t xml:space="preserve">telles que les </w:t>
      </w:r>
      <w:r w:rsidR="00213029" w:rsidRPr="00B40133">
        <w:rPr>
          <w:lang w:val="fr-FR"/>
        </w:rPr>
        <w:t>MEPS</w:t>
      </w:r>
      <w:r w:rsidRPr="00B40133">
        <w:rPr>
          <w:lang w:val="fr-FR"/>
        </w:rPr>
        <w:t xml:space="preserve"> et les systèmes de</w:t>
      </w:r>
      <w:r w:rsidR="003E6D2D">
        <w:rPr>
          <w:lang w:val="fr-FR"/>
        </w:rPr>
        <w:t xml:space="preserve"> </w:t>
      </w:r>
      <w:r w:rsidRPr="00B40133">
        <w:rPr>
          <w:lang w:val="fr-FR"/>
        </w:rPr>
        <w:t>labels écologiques favorisant l</w:t>
      </w:r>
      <w:r w:rsidR="003E6D2D">
        <w:rPr>
          <w:lang w:val="fr-FR"/>
        </w:rPr>
        <w:t>’</w:t>
      </w:r>
      <w:r w:rsidRPr="00B40133">
        <w:rPr>
          <w:lang w:val="fr-FR"/>
        </w:rPr>
        <w:t>introduction d</w:t>
      </w:r>
      <w:r w:rsidR="003E6D2D">
        <w:rPr>
          <w:lang w:val="fr-FR"/>
        </w:rPr>
        <w:t>’</w:t>
      </w:r>
      <w:r w:rsidRPr="00B40133">
        <w:rPr>
          <w:lang w:val="fr-FR"/>
        </w:rPr>
        <w:t>équipements de réfrigération, de climatisation et de pompes à chaleur écoénergétiques </w:t>
      </w:r>
      <w:r w:rsidR="00213029" w:rsidRPr="00B40133">
        <w:rPr>
          <w:lang w:val="fr-FR"/>
        </w:rPr>
        <w:t>;</w:t>
      </w:r>
      <w:r w:rsidR="00EB56BA" w:rsidRPr="00C51E0A">
        <w:rPr>
          <w:lang w:val="fr-FR"/>
        </w:rPr>
        <w:t xml:space="preserve"> </w:t>
      </w:r>
    </w:p>
    <w:p w:rsidR="00EB56BA" w:rsidRPr="00C51E0A" w:rsidRDefault="00B40133" w:rsidP="00B40133">
      <w:pPr>
        <w:pStyle w:val="Heading2"/>
        <w:rPr>
          <w:lang w:val="fr-FR"/>
        </w:rPr>
      </w:pPr>
      <w:r w:rsidRPr="00B40133">
        <w:rPr>
          <w:lang w:val="fr-FR"/>
        </w:rPr>
        <w:t>Statut de la mise en œuvre</w:t>
      </w:r>
      <w:r w:rsidR="003E6D2D">
        <w:rPr>
          <w:lang w:val="fr-FR"/>
        </w:rPr>
        <w:t xml:space="preserve"> </w:t>
      </w:r>
      <w:r w:rsidRPr="00B40133">
        <w:rPr>
          <w:lang w:val="fr-FR"/>
        </w:rPr>
        <w:t>de</w:t>
      </w:r>
      <w:r w:rsidR="00CB480D">
        <w:rPr>
          <w:lang w:val="fr-FR"/>
        </w:rPr>
        <w:t>s</w:t>
      </w:r>
      <w:r w:rsidRPr="00B40133">
        <w:rPr>
          <w:lang w:val="fr-FR"/>
        </w:rPr>
        <w:t xml:space="preserve"> normes et des programmes </w:t>
      </w:r>
      <w:r w:rsidR="00670D62">
        <w:rPr>
          <w:lang w:val="fr-FR"/>
        </w:rPr>
        <w:t xml:space="preserve">de </w:t>
      </w:r>
      <w:r w:rsidRPr="00B40133">
        <w:rPr>
          <w:lang w:val="fr-FR"/>
        </w:rPr>
        <w:t>labels écologiques pour des équipements de réfrigération, de climatisation et de pompes à chaleur basés sur des technologies à faible PRP ou sans PRP ;</w:t>
      </w:r>
    </w:p>
    <w:p w:rsidR="00EB56BA" w:rsidRPr="00C51E0A" w:rsidRDefault="00B40133" w:rsidP="00B40133">
      <w:pPr>
        <w:pStyle w:val="Heading2"/>
        <w:rPr>
          <w:lang w:val="fr-FR"/>
        </w:rPr>
      </w:pPr>
      <w:r w:rsidRPr="00B40133">
        <w:rPr>
          <w:lang w:val="fr-FR"/>
        </w:rPr>
        <w:t>Nombre d</w:t>
      </w:r>
      <w:r w:rsidR="003E6D2D">
        <w:rPr>
          <w:lang w:val="fr-FR"/>
        </w:rPr>
        <w:t>’</w:t>
      </w:r>
      <w:r w:rsidRPr="00B40133">
        <w:rPr>
          <w:lang w:val="fr-FR"/>
        </w:rPr>
        <w:t xml:space="preserve">établissements de formation </w:t>
      </w:r>
      <w:r w:rsidR="00670D62">
        <w:rPr>
          <w:lang w:val="fr-FR"/>
        </w:rPr>
        <w:t>dotés</w:t>
      </w:r>
      <w:r w:rsidRPr="00B40133">
        <w:rPr>
          <w:lang w:val="fr-FR"/>
        </w:rPr>
        <w:t xml:space="preserve"> d</w:t>
      </w:r>
      <w:r w:rsidR="003E6D2D">
        <w:rPr>
          <w:lang w:val="fr-FR"/>
        </w:rPr>
        <w:t>’</w:t>
      </w:r>
      <w:r w:rsidRPr="00B40133">
        <w:rPr>
          <w:lang w:val="fr-FR"/>
        </w:rPr>
        <w:t xml:space="preserve">une infrastructure permettant </w:t>
      </w:r>
      <w:r w:rsidR="00670D62">
        <w:rPr>
          <w:lang w:val="fr-FR"/>
        </w:rPr>
        <w:t>la formation et la c</w:t>
      </w:r>
      <w:r w:rsidRPr="00B40133">
        <w:rPr>
          <w:lang w:val="fr-FR"/>
        </w:rPr>
        <w:t>ertifi</w:t>
      </w:r>
      <w:r w:rsidR="00670D62">
        <w:rPr>
          <w:lang w:val="fr-FR"/>
        </w:rPr>
        <w:t>cation de</w:t>
      </w:r>
      <w:r w:rsidRPr="00B40133">
        <w:rPr>
          <w:lang w:val="fr-FR"/>
        </w:rPr>
        <w:t xml:space="preserve"> techniciens en matière de</w:t>
      </w:r>
      <w:r w:rsidR="003E6D2D">
        <w:rPr>
          <w:lang w:val="fr-FR"/>
        </w:rPr>
        <w:t xml:space="preserve"> </w:t>
      </w:r>
      <w:r w:rsidRPr="00B40133">
        <w:rPr>
          <w:lang w:val="fr-FR"/>
        </w:rPr>
        <w:t>bonnes pratiques pendant l</w:t>
      </w:r>
      <w:r w:rsidR="003E6D2D">
        <w:rPr>
          <w:lang w:val="fr-FR"/>
        </w:rPr>
        <w:t>’</w:t>
      </w:r>
      <w:r w:rsidRPr="00B40133">
        <w:rPr>
          <w:lang w:val="fr-FR"/>
        </w:rPr>
        <w:t>installation, l</w:t>
      </w:r>
      <w:r w:rsidR="003E6D2D">
        <w:rPr>
          <w:lang w:val="fr-FR"/>
        </w:rPr>
        <w:t>’</w:t>
      </w:r>
      <w:r w:rsidRPr="00B40133">
        <w:rPr>
          <w:lang w:val="fr-FR"/>
        </w:rPr>
        <w:t>entretien et la maintenance, couvrant tous les types d</w:t>
      </w:r>
      <w:r w:rsidR="003E6D2D">
        <w:rPr>
          <w:lang w:val="fr-FR"/>
        </w:rPr>
        <w:t>’</w:t>
      </w:r>
      <w:r w:rsidRPr="00B40133">
        <w:rPr>
          <w:lang w:val="fr-FR"/>
        </w:rPr>
        <w:t>équipements de réfrigération, de climatisation et de pompes à chaleur disponibles dans le pays ;</w:t>
      </w:r>
    </w:p>
    <w:p w:rsidR="00EB56BA" w:rsidRPr="00C51E0A" w:rsidRDefault="00B40133" w:rsidP="00B40133">
      <w:pPr>
        <w:pStyle w:val="Heading2"/>
        <w:rPr>
          <w:lang w:val="fr-FR"/>
        </w:rPr>
      </w:pPr>
      <w:r w:rsidRPr="00B40133">
        <w:rPr>
          <w:lang w:val="fr-FR"/>
        </w:rPr>
        <w:t>Nombre de programmes de formation menés à bien comprenant l</w:t>
      </w:r>
      <w:r w:rsidR="003E6D2D">
        <w:rPr>
          <w:lang w:val="fr-FR"/>
        </w:rPr>
        <w:t>’</w:t>
      </w:r>
      <w:r w:rsidRPr="00B40133">
        <w:rPr>
          <w:lang w:val="fr-FR"/>
        </w:rPr>
        <w:t>installation, l</w:t>
      </w:r>
      <w:r w:rsidR="003E6D2D">
        <w:rPr>
          <w:lang w:val="fr-FR"/>
        </w:rPr>
        <w:t>’</w:t>
      </w:r>
      <w:r w:rsidRPr="00B40133">
        <w:rPr>
          <w:lang w:val="fr-FR"/>
        </w:rPr>
        <w:t>entretien et la maintenance de frigorigènes à faible PRP ou sans PRP</w:t>
      </w:r>
      <w:r w:rsidR="00670D62">
        <w:rPr>
          <w:lang w:val="fr-FR"/>
        </w:rPr>
        <w:t>,</w:t>
      </w:r>
      <w:r w:rsidRPr="00B40133">
        <w:rPr>
          <w:lang w:val="fr-FR"/>
        </w:rPr>
        <w:t xml:space="preserve"> et </w:t>
      </w:r>
      <w:r w:rsidR="00670D62">
        <w:rPr>
          <w:lang w:val="fr-FR"/>
        </w:rPr>
        <w:t xml:space="preserve">nombre de </w:t>
      </w:r>
      <w:r w:rsidRPr="00B40133">
        <w:rPr>
          <w:lang w:val="fr-FR"/>
        </w:rPr>
        <w:t>techniciens formés et intégrés dans des programmes de formation dans les établissements de formation ;</w:t>
      </w:r>
    </w:p>
    <w:p w:rsidR="00EB56BA" w:rsidRPr="00C51E0A" w:rsidRDefault="00B40133" w:rsidP="00B40133">
      <w:pPr>
        <w:pStyle w:val="Heading2"/>
        <w:rPr>
          <w:lang w:val="fr-FR"/>
        </w:rPr>
      </w:pPr>
      <w:r w:rsidRPr="00B40133">
        <w:rPr>
          <w:lang w:val="fr-FR"/>
        </w:rPr>
        <w:t>Statut de l</w:t>
      </w:r>
      <w:r w:rsidR="003E6D2D">
        <w:rPr>
          <w:lang w:val="fr-FR"/>
        </w:rPr>
        <w:t>’</w:t>
      </w:r>
      <w:r w:rsidRPr="00B40133">
        <w:rPr>
          <w:lang w:val="fr-FR"/>
        </w:rPr>
        <w:t>application des systèmes de certification pour les techniciens de l</w:t>
      </w:r>
      <w:r w:rsidR="003E6D2D">
        <w:rPr>
          <w:lang w:val="fr-FR"/>
        </w:rPr>
        <w:t>’</w:t>
      </w:r>
      <w:r w:rsidRPr="00B40133">
        <w:rPr>
          <w:lang w:val="fr-FR"/>
        </w:rPr>
        <w:t>entretien</w:t>
      </w:r>
      <w:r w:rsidR="00670D62">
        <w:rPr>
          <w:lang w:val="fr-FR"/>
        </w:rPr>
        <w:t> </w:t>
      </w:r>
      <w:r w:rsidRPr="00B40133">
        <w:rPr>
          <w:lang w:val="fr-FR"/>
        </w:rPr>
        <w:t>;</w:t>
      </w:r>
    </w:p>
    <w:p w:rsidR="00EB56BA" w:rsidRPr="00C51E0A" w:rsidRDefault="00670D62" w:rsidP="00593C40">
      <w:pPr>
        <w:pStyle w:val="Heading2"/>
        <w:rPr>
          <w:lang w:val="fr-FR"/>
        </w:rPr>
      </w:pPr>
      <w:r>
        <w:rPr>
          <w:lang w:val="fr-FR"/>
        </w:rPr>
        <w:t>F</w:t>
      </w:r>
      <w:r w:rsidR="00B40133" w:rsidRPr="00593C40">
        <w:rPr>
          <w:lang w:val="fr-FR"/>
        </w:rPr>
        <w:t>onds approuvés et décaissés pour des</w:t>
      </w:r>
      <w:r w:rsidR="00593C40" w:rsidRPr="00593C40">
        <w:rPr>
          <w:lang w:val="fr-FR"/>
        </w:rPr>
        <w:t xml:space="preserve"> programme</w:t>
      </w:r>
      <w:r w:rsidR="00CB480D">
        <w:rPr>
          <w:lang w:val="fr-FR"/>
        </w:rPr>
        <w:t>s</w:t>
      </w:r>
      <w:r w:rsidR="00593C40" w:rsidRPr="00593C40">
        <w:rPr>
          <w:lang w:val="fr-FR"/>
        </w:rPr>
        <w:t xml:space="preserve"> incitatifs pilotes destinés aux utilisateurs finaux</w:t>
      </w:r>
      <w:r>
        <w:rPr>
          <w:lang w:val="fr-FR"/>
        </w:rPr>
        <w:t>,</w:t>
      </w:r>
      <w:r w:rsidR="00593C40" w:rsidRPr="00593C40">
        <w:rPr>
          <w:lang w:val="fr-FR"/>
        </w:rPr>
        <w:t xml:space="preserve"> et impact de l</w:t>
      </w:r>
      <w:r w:rsidR="003E6D2D">
        <w:rPr>
          <w:lang w:val="fr-FR"/>
        </w:rPr>
        <w:t>’</w:t>
      </w:r>
      <w:r w:rsidR="00593C40" w:rsidRPr="00593C40">
        <w:rPr>
          <w:lang w:val="fr-FR"/>
        </w:rPr>
        <w:t xml:space="preserve">élimination des SAO </w:t>
      </w:r>
      <w:r>
        <w:rPr>
          <w:lang w:val="fr-FR"/>
        </w:rPr>
        <w:t xml:space="preserve">dans le cadre </w:t>
      </w:r>
      <w:r w:rsidR="00593C40" w:rsidRPr="00593C40">
        <w:rPr>
          <w:lang w:val="fr-FR"/>
        </w:rPr>
        <w:t>de l</w:t>
      </w:r>
      <w:r w:rsidR="003E6D2D">
        <w:rPr>
          <w:lang w:val="fr-FR"/>
        </w:rPr>
        <w:t>’</w:t>
      </w:r>
      <w:r w:rsidR="00593C40" w:rsidRPr="00593C40">
        <w:rPr>
          <w:lang w:val="fr-FR"/>
        </w:rPr>
        <w:t>adoption de la</w:t>
      </w:r>
      <w:r w:rsidR="00B40133" w:rsidRPr="00593C40">
        <w:rPr>
          <w:lang w:val="fr-FR"/>
        </w:rPr>
        <w:t xml:space="preserve"> technologie ;</w:t>
      </w:r>
    </w:p>
    <w:p w:rsidR="00EB56BA" w:rsidRPr="00C51E0A" w:rsidRDefault="00670D62" w:rsidP="00593C40">
      <w:pPr>
        <w:pStyle w:val="Heading2"/>
        <w:rPr>
          <w:lang w:val="fr-FR"/>
        </w:rPr>
      </w:pPr>
      <w:r>
        <w:rPr>
          <w:lang w:val="fr-FR"/>
        </w:rPr>
        <w:t>N</w:t>
      </w:r>
      <w:r w:rsidR="00593C40" w:rsidRPr="00593C40">
        <w:rPr>
          <w:lang w:val="fr-FR"/>
        </w:rPr>
        <w:t>ombre de programmes de sensibilisation et d</w:t>
      </w:r>
      <w:r w:rsidR="003E6D2D">
        <w:rPr>
          <w:lang w:val="fr-FR"/>
        </w:rPr>
        <w:t>’</w:t>
      </w:r>
      <w:r w:rsidR="00593C40" w:rsidRPr="00593C40">
        <w:rPr>
          <w:lang w:val="fr-FR"/>
        </w:rPr>
        <w:t>information</w:t>
      </w:r>
      <w:r>
        <w:rPr>
          <w:lang w:val="fr-FR"/>
        </w:rPr>
        <w:t>s</w:t>
      </w:r>
      <w:r w:rsidR="00593C40" w:rsidRPr="00593C40">
        <w:rPr>
          <w:lang w:val="fr-FR"/>
        </w:rPr>
        <w:t xml:space="preserve"> réalisés favorisant l</w:t>
      </w:r>
      <w:r w:rsidR="003E6D2D">
        <w:rPr>
          <w:lang w:val="fr-FR"/>
        </w:rPr>
        <w:t>’</w:t>
      </w:r>
      <w:r w:rsidR="00593C40" w:rsidRPr="00593C40">
        <w:rPr>
          <w:lang w:val="fr-FR"/>
        </w:rPr>
        <w:t>introduction des MEPS et des systèmes de</w:t>
      </w:r>
      <w:r w:rsidR="003E6D2D">
        <w:rPr>
          <w:lang w:val="fr-FR"/>
        </w:rPr>
        <w:t xml:space="preserve"> </w:t>
      </w:r>
      <w:r w:rsidR="00593C40" w:rsidRPr="00593C40">
        <w:rPr>
          <w:lang w:val="fr-FR"/>
        </w:rPr>
        <w:t>labels écologiques ; certification obligatoire des techniciens ; et introduction d</w:t>
      </w:r>
      <w:r w:rsidR="003E6D2D">
        <w:rPr>
          <w:lang w:val="fr-FR"/>
        </w:rPr>
        <w:t>’</w:t>
      </w:r>
      <w:r w:rsidR="00593C40" w:rsidRPr="00593C40">
        <w:rPr>
          <w:lang w:val="fr-FR"/>
        </w:rPr>
        <w:t>équipements de réfrigération, de climatisation et de pompes à chaleur écoénergétiques fonctionnant avec des frigorigènes à faible PRP ou sans PRP ; et</w:t>
      </w:r>
    </w:p>
    <w:p w:rsidR="00EB56BA" w:rsidRPr="00C51E0A" w:rsidRDefault="00593C40" w:rsidP="00593C40">
      <w:pPr>
        <w:pStyle w:val="Heading2"/>
        <w:rPr>
          <w:lang w:val="fr-FR"/>
        </w:rPr>
      </w:pPr>
      <w:r w:rsidRPr="00593C40">
        <w:rPr>
          <w:lang w:val="fr-FR"/>
        </w:rPr>
        <w:t>Résultats des rapports sur le suivi</w:t>
      </w:r>
      <w:r w:rsidR="00670D62">
        <w:rPr>
          <w:lang w:val="fr-FR"/>
        </w:rPr>
        <w:t>,</w:t>
      </w:r>
      <w:r w:rsidRPr="00593C40">
        <w:rPr>
          <w:lang w:val="fr-FR"/>
        </w:rPr>
        <w:t xml:space="preserve"> et communication des activités entreprises et </w:t>
      </w:r>
      <w:r w:rsidR="00670D62">
        <w:rPr>
          <w:lang w:val="fr-FR"/>
        </w:rPr>
        <w:t xml:space="preserve">des </w:t>
      </w:r>
      <w:r w:rsidRPr="00593C40">
        <w:rPr>
          <w:lang w:val="fr-FR"/>
        </w:rPr>
        <w:t>retour</w:t>
      </w:r>
      <w:r w:rsidR="00670D62">
        <w:rPr>
          <w:lang w:val="fr-FR"/>
        </w:rPr>
        <w:t>s</w:t>
      </w:r>
      <w:r w:rsidRPr="00593C40">
        <w:rPr>
          <w:lang w:val="fr-FR"/>
        </w:rPr>
        <w:t xml:space="preserve"> d</w:t>
      </w:r>
      <w:r w:rsidR="003E6D2D">
        <w:rPr>
          <w:lang w:val="fr-FR"/>
        </w:rPr>
        <w:t>’</w:t>
      </w:r>
      <w:r w:rsidRPr="00593C40">
        <w:rPr>
          <w:lang w:val="fr-FR"/>
        </w:rPr>
        <w:t>information reçu</w:t>
      </w:r>
      <w:r w:rsidR="00670D62">
        <w:rPr>
          <w:lang w:val="fr-FR"/>
        </w:rPr>
        <w:t>s</w:t>
      </w:r>
      <w:r w:rsidRPr="00593C40">
        <w:rPr>
          <w:lang w:val="fr-FR"/>
        </w:rPr>
        <w:t xml:space="preserve"> de la part des UNO </w:t>
      </w:r>
      <w:r w:rsidR="00670D62">
        <w:rPr>
          <w:lang w:val="fr-FR"/>
        </w:rPr>
        <w:t xml:space="preserve">et </w:t>
      </w:r>
      <w:r w:rsidRPr="00593C40">
        <w:rPr>
          <w:lang w:val="fr-FR"/>
        </w:rPr>
        <w:t>d</w:t>
      </w:r>
      <w:r w:rsidR="003E6D2D">
        <w:rPr>
          <w:lang w:val="fr-FR"/>
        </w:rPr>
        <w:t>’</w:t>
      </w:r>
      <w:r w:rsidRPr="00593C40">
        <w:rPr>
          <w:lang w:val="fr-FR"/>
        </w:rPr>
        <w:t>autres parties prenantes nationales sur l</w:t>
      </w:r>
      <w:r w:rsidR="003E6D2D">
        <w:rPr>
          <w:lang w:val="fr-FR"/>
        </w:rPr>
        <w:t>’</w:t>
      </w:r>
      <w:r w:rsidRPr="00593C40">
        <w:rPr>
          <w:lang w:val="fr-FR"/>
        </w:rPr>
        <w:t>impact de ces programmes.</w:t>
      </w:r>
    </w:p>
    <w:p w:rsidR="00EB56BA" w:rsidRPr="001170AB" w:rsidRDefault="00593C40" w:rsidP="00EB56BA">
      <w:pPr>
        <w:rPr>
          <w:b/>
        </w:rPr>
      </w:pPr>
      <w:r w:rsidRPr="00593C40">
        <w:rPr>
          <w:b/>
          <w:lang w:val="fr-FR"/>
        </w:rPr>
        <w:t>Recommandation</w:t>
      </w:r>
    </w:p>
    <w:p w:rsidR="00EB56BA" w:rsidRDefault="00EB56BA" w:rsidP="00EB56BA"/>
    <w:p w:rsidR="00CC299E" w:rsidRPr="00C51E0A" w:rsidRDefault="00593C40" w:rsidP="00593C40">
      <w:pPr>
        <w:pStyle w:val="Heading1"/>
        <w:rPr>
          <w:lang w:val="fr-FR"/>
        </w:rPr>
      </w:pPr>
      <w:r w:rsidRPr="00593C40">
        <w:rPr>
          <w:lang w:val="fr-FR"/>
        </w:rPr>
        <w:t>Le Comité exécutif pourrait envisager de prendre note du document sur les moyens d</w:t>
      </w:r>
      <w:r w:rsidR="003E6D2D">
        <w:rPr>
          <w:lang w:val="fr-FR"/>
        </w:rPr>
        <w:t>’</w:t>
      </w:r>
      <w:r w:rsidRPr="00593C40">
        <w:rPr>
          <w:lang w:val="fr-FR"/>
        </w:rPr>
        <w:t xml:space="preserve">opérationnaliser le paragraphe 16 de la décision XXVIII/2 et le paragraphe 2 de la décision XXX/5 des Parties, </w:t>
      </w:r>
      <w:r w:rsidR="00670D62">
        <w:rPr>
          <w:lang w:val="fr-FR"/>
        </w:rPr>
        <w:t xml:space="preserve">en </w:t>
      </w:r>
      <w:r w:rsidRPr="00593C40">
        <w:rPr>
          <w:lang w:val="fr-FR"/>
        </w:rPr>
        <w:t>tenant compte des critères, des indicateurs d</w:t>
      </w:r>
      <w:r w:rsidR="003E6D2D">
        <w:rPr>
          <w:lang w:val="fr-FR"/>
        </w:rPr>
        <w:t>’</w:t>
      </w:r>
      <w:r w:rsidRPr="00593C40">
        <w:rPr>
          <w:lang w:val="fr-FR"/>
        </w:rPr>
        <w:t>efficacité et des mécanismes de financement connexes des plans du secteur de l</w:t>
      </w:r>
      <w:r w:rsidR="003E6D2D">
        <w:rPr>
          <w:lang w:val="fr-FR"/>
        </w:rPr>
        <w:t>’</w:t>
      </w:r>
      <w:r w:rsidRPr="00593C40">
        <w:rPr>
          <w:lang w:val="fr-FR"/>
        </w:rPr>
        <w:t>entretien dans les plans de gestion de l</w:t>
      </w:r>
      <w:r w:rsidR="003E6D2D">
        <w:rPr>
          <w:lang w:val="fr-FR"/>
        </w:rPr>
        <w:t>’</w:t>
      </w:r>
      <w:r w:rsidRPr="00593C40">
        <w:rPr>
          <w:lang w:val="fr-FR"/>
        </w:rPr>
        <w:t>élimination des HCFC nouveaux ou existants pour les pays à faible volume de consommation, contenu dans le document UNEP/OzL.Pro/ExCom/83/40.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52C5C" w:rsidRPr="00C51E0A" w:rsidTr="00632BE6">
        <w:tc>
          <w:tcPr>
            <w:tcW w:w="1871" w:type="dxa"/>
          </w:tcPr>
          <w:p w:rsidR="00052C5C" w:rsidRPr="00C51E0A" w:rsidRDefault="00052C5C" w:rsidP="00052C5C">
            <w:pPr>
              <w:tabs>
                <w:tab w:val="left" w:pos="8280"/>
              </w:tabs>
              <w:rPr>
                <w:lang w:val="fr-FR"/>
              </w:rPr>
            </w:pPr>
          </w:p>
        </w:tc>
        <w:tc>
          <w:tcPr>
            <w:tcW w:w="1872" w:type="dxa"/>
          </w:tcPr>
          <w:p w:rsidR="00052C5C" w:rsidRPr="00C51E0A" w:rsidRDefault="00052C5C" w:rsidP="00052C5C">
            <w:pPr>
              <w:tabs>
                <w:tab w:val="left" w:pos="8280"/>
              </w:tabs>
              <w:rPr>
                <w:lang w:val="fr-FR"/>
              </w:rPr>
            </w:pPr>
          </w:p>
        </w:tc>
        <w:tc>
          <w:tcPr>
            <w:tcW w:w="1872" w:type="dxa"/>
            <w:tcBorders>
              <w:bottom w:val="single" w:sz="4" w:space="0" w:color="auto"/>
            </w:tcBorders>
          </w:tcPr>
          <w:p w:rsidR="00052C5C" w:rsidRPr="00C51E0A" w:rsidRDefault="00052C5C" w:rsidP="00052C5C">
            <w:pPr>
              <w:tabs>
                <w:tab w:val="left" w:pos="8280"/>
              </w:tabs>
              <w:rPr>
                <w:lang w:val="fr-FR"/>
              </w:rPr>
            </w:pPr>
          </w:p>
        </w:tc>
        <w:tc>
          <w:tcPr>
            <w:tcW w:w="1872" w:type="dxa"/>
          </w:tcPr>
          <w:p w:rsidR="00052C5C" w:rsidRPr="00C51E0A" w:rsidRDefault="00052C5C" w:rsidP="00052C5C">
            <w:pPr>
              <w:tabs>
                <w:tab w:val="left" w:pos="8280"/>
              </w:tabs>
              <w:rPr>
                <w:lang w:val="fr-FR"/>
              </w:rPr>
            </w:pPr>
          </w:p>
        </w:tc>
        <w:tc>
          <w:tcPr>
            <w:tcW w:w="1873" w:type="dxa"/>
          </w:tcPr>
          <w:p w:rsidR="00052C5C" w:rsidRPr="00C51E0A" w:rsidRDefault="00052C5C" w:rsidP="00052C5C">
            <w:pPr>
              <w:tabs>
                <w:tab w:val="left" w:pos="8280"/>
              </w:tabs>
              <w:rPr>
                <w:lang w:val="fr-FR"/>
              </w:rPr>
            </w:pPr>
          </w:p>
        </w:tc>
      </w:tr>
    </w:tbl>
    <w:p w:rsidR="00052C5C" w:rsidRPr="00C51E0A" w:rsidRDefault="00052C5C" w:rsidP="00052C5C">
      <w:pPr>
        <w:tabs>
          <w:tab w:val="left" w:pos="8280"/>
        </w:tabs>
        <w:rPr>
          <w:lang w:val="fr-FR"/>
        </w:rPr>
      </w:pPr>
    </w:p>
    <w:p w:rsidR="00052C5C" w:rsidRPr="00C51E0A" w:rsidRDefault="00052C5C" w:rsidP="001C3C80">
      <w:pPr>
        <w:tabs>
          <w:tab w:val="left" w:pos="8280"/>
        </w:tabs>
        <w:rPr>
          <w:lang w:val="fr-FR"/>
        </w:rPr>
      </w:pPr>
    </w:p>
    <w:sectPr w:rsidR="00052C5C" w:rsidRPr="00C51E0A"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016" w:rsidRDefault="00385016" w:rsidP="004A504B">
      <w:r>
        <w:separator/>
      </w:r>
    </w:p>
  </w:endnote>
  <w:endnote w:type="continuationSeparator" w:id="0">
    <w:p w:rsidR="00385016" w:rsidRDefault="00385016"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16" w:rsidRPr="0033525D" w:rsidRDefault="00385016">
    <w:pPr>
      <w:jc w:val="center"/>
    </w:pPr>
    <w:r>
      <w:fldChar w:fldCharType="begin"/>
    </w:r>
    <w:r>
      <w:instrText xml:space="preserve"> PAGE </w:instrText>
    </w:r>
    <w:r>
      <w:fldChar w:fldCharType="separate"/>
    </w:r>
    <w:r w:rsidR="006B5FE3">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16" w:rsidRPr="0033525D" w:rsidRDefault="00385016">
    <w:pPr>
      <w:jc w:val="center"/>
    </w:pPr>
    <w:r>
      <w:fldChar w:fldCharType="begin"/>
    </w:r>
    <w:r>
      <w:instrText xml:space="preserve"> PAGE </w:instrText>
    </w:r>
    <w:r>
      <w:fldChar w:fldCharType="separate"/>
    </w:r>
    <w:r w:rsidR="006B5FE3">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16" w:rsidRPr="00385016" w:rsidRDefault="00385016" w:rsidP="004E7F9C">
    <w:pPr>
      <w:pBdr>
        <w:top w:val="single" w:sz="4" w:space="1" w:color="auto"/>
        <w:left w:val="single" w:sz="4" w:space="4" w:color="auto"/>
        <w:bottom w:val="single" w:sz="4" w:space="1" w:color="auto"/>
        <w:right w:val="single" w:sz="4" w:space="4" w:color="auto"/>
      </w:pBdr>
      <w:jc w:val="center"/>
      <w:rPr>
        <w:sz w:val="18"/>
        <w:szCs w:val="18"/>
        <w:lang w:val="fr-FR"/>
      </w:rPr>
    </w:pPr>
    <w:r w:rsidRPr="00385016">
      <w:rPr>
        <w:sz w:val="18"/>
        <w:szCs w:val="18"/>
        <w:lang w:val="fr-FR"/>
      </w:rPr>
      <w:t>Les documents de présession du Comité exécutif du Fonds multilatéral aux fins d’application du Protocole de Montréal sont présentés sous réserve des décisions pouvant être prises par le Comité exécutif après leur publication.</w:t>
    </w:r>
  </w:p>
  <w:p w:rsidR="00385016" w:rsidRPr="00C51E0A" w:rsidRDefault="00385016" w:rsidP="004E7F9C">
    <w:pPr>
      <w:pBdr>
        <w:top w:val="single" w:sz="4" w:space="1" w:color="auto"/>
        <w:left w:val="single" w:sz="4" w:space="4" w:color="auto"/>
        <w:bottom w:val="single" w:sz="4" w:space="1" w:color="auto"/>
        <w:right w:val="single" w:sz="4" w:space="4" w:color="auto"/>
      </w:pBdr>
      <w:jc w:val="center"/>
      <w:rPr>
        <w:sz w:val="18"/>
        <w:szCs w:val="18"/>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016" w:rsidRDefault="00385016" w:rsidP="004A504B">
      <w:r>
        <w:separator/>
      </w:r>
    </w:p>
  </w:footnote>
  <w:footnote w:type="continuationSeparator" w:id="0">
    <w:p w:rsidR="00385016" w:rsidRDefault="00385016" w:rsidP="004A504B">
      <w:r>
        <w:continuationSeparator/>
      </w:r>
    </w:p>
  </w:footnote>
  <w:footnote w:id="1">
    <w:p w:rsidR="00385016" w:rsidRPr="00C51E0A" w:rsidRDefault="00385016" w:rsidP="00EB56BA">
      <w:pPr>
        <w:pStyle w:val="FootnoteText"/>
        <w:rPr>
          <w:szCs w:val="20"/>
          <w:lang w:val="fr-FR"/>
        </w:rPr>
      </w:pPr>
      <w:r w:rsidRPr="00D57928">
        <w:rPr>
          <w:rStyle w:val="FootnoteReference"/>
          <w:szCs w:val="20"/>
        </w:rPr>
        <w:footnoteRef/>
      </w:r>
      <w:r w:rsidRPr="00C51E0A">
        <w:rPr>
          <w:szCs w:val="20"/>
          <w:lang w:val="fr-FR"/>
        </w:rPr>
        <w:t xml:space="preserve"> </w:t>
      </w:r>
      <w:r w:rsidRPr="00ED7AC9">
        <w:rPr>
          <w:szCs w:val="20"/>
          <w:lang w:val="fr-FR"/>
        </w:rPr>
        <w:t>UNEP/OzL.Pro/ExCom/82/65 et Add.1</w:t>
      </w:r>
    </w:p>
  </w:footnote>
  <w:footnote w:id="2">
    <w:p w:rsidR="00385016" w:rsidRDefault="00385016" w:rsidP="00A50760">
      <w:pPr>
        <w:pStyle w:val="FootnoteText"/>
        <w:rPr>
          <w:szCs w:val="20"/>
          <w:rtl/>
          <w:lang w:val="fr-FR"/>
        </w:rPr>
      </w:pPr>
      <w:r w:rsidRPr="00D57928">
        <w:rPr>
          <w:rStyle w:val="FootnoteReference"/>
          <w:szCs w:val="20"/>
        </w:rPr>
        <w:footnoteRef/>
      </w:r>
      <w:r w:rsidRPr="00C51E0A">
        <w:rPr>
          <w:szCs w:val="20"/>
          <w:lang w:val="fr-FR"/>
        </w:rPr>
        <w:t xml:space="preserve"> </w:t>
      </w:r>
      <w:r w:rsidRPr="00ED7AC9">
        <w:rPr>
          <w:szCs w:val="20"/>
          <w:lang w:val="fr-FR"/>
        </w:rPr>
        <w:t>La Décision XXIX/10 demandait, s</w:t>
      </w:r>
      <w:r>
        <w:rPr>
          <w:szCs w:val="20"/>
          <w:lang w:val="fr-FR"/>
        </w:rPr>
        <w:t>’</w:t>
      </w:r>
      <w:r w:rsidRPr="00ED7AC9">
        <w:rPr>
          <w:szCs w:val="20"/>
          <w:lang w:val="fr-FR"/>
        </w:rPr>
        <w:t>agissant du maintien ou de l</w:t>
      </w:r>
      <w:r>
        <w:rPr>
          <w:szCs w:val="20"/>
          <w:lang w:val="fr-FR"/>
        </w:rPr>
        <w:t>’</w:t>
      </w:r>
      <w:r w:rsidRPr="00ED7AC9">
        <w:rPr>
          <w:szCs w:val="20"/>
          <w:lang w:val="fr-FR"/>
        </w:rPr>
        <w:t>amélioration de l</w:t>
      </w:r>
      <w:r>
        <w:rPr>
          <w:szCs w:val="20"/>
          <w:lang w:val="fr-FR"/>
        </w:rPr>
        <w:t>’</w:t>
      </w:r>
      <w:r w:rsidRPr="00ED7AC9">
        <w:rPr>
          <w:szCs w:val="20"/>
          <w:lang w:val="fr-FR"/>
        </w:rPr>
        <w:t>efficacité énergétique dans les secteurs de la réfrigération, de la climatisation et des pompes à chaleur, une évaluation :</w:t>
      </w:r>
      <w:r w:rsidRPr="00C51E0A">
        <w:rPr>
          <w:szCs w:val="20"/>
          <w:lang w:val="fr-FR"/>
        </w:rPr>
        <w:t xml:space="preserve"> </w:t>
      </w:r>
      <w:r>
        <w:rPr>
          <w:szCs w:val="20"/>
          <w:lang w:val="fr-FR"/>
        </w:rPr>
        <w:t>d</w:t>
      </w:r>
      <w:r w:rsidRPr="009B0811">
        <w:rPr>
          <w:szCs w:val="20"/>
          <w:lang w:val="fr-FR"/>
        </w:rPr>
        <w:t>es options et exigences en matière de technologie, notamment les obstacles à leur adoption, leur performance et leur viabilité à long terme, leurs avantages environnementaux en termes d</w:t>
      </w:r>
      <w:r>
        <w:rPr>
          <w:szCs w:val="20"/>
          <w:lang w:val="fr-FR"/>
        </w:rPr>
        <w:t>’</w:t>
      </w:r>
      <w:r w:rsidRPr="009B0811">
        <w:rPr>
          <w:szCs w:val="20"/>
          <w:lang w:val="fr-FR"/>
        </w:rPr>
        <w:t>équivalent CO</w:t>
      </w:r>
      <w:r w:rsidRPr="009B0811">
        <w:rPr>
          <w:szCs w:val="20"/>
          <w:vertAlign w:val="subscript"/>
          <w:lang w:val="fr-FR"/>
        </w:rPr>
        <w:t>2</w:t>
      </w:r>
      <w:r w:rsidRPr="009B0811">
        <w:rPr>
          <w:szCs w:val="20"/>
          <w:lang w:val="fr-FR"/>
        </w:rPr>
        <w:t xml:space="preserve"> ; </w:t>
      </w:r>
      <w:r>
        <w:rPr>
          <w:szCs w:val="20"/>
          <w:lang w:val="fr-FR"/>
        </w:rPr>
        <w:t>d</w:t>
      </w:r>
      <w:r w:rsidRPr="009B0811">
        <w:rPr>
          <w:szCs w:val="20"/>
          <w:lang w:val="fr-FR"/>
        </w:rPr>
        <w:t>es besoins en matière de renforcement des capacités d</w:t>
      </w:r>
      <w:r>
        <w:rPr>
          <w:szCs w:val="20"/>
          <w:lang w:val="fr-FR"/>
        </w:rPr>
        <w:t>’</w:t>
      </w:r>
      <w:r w:rsidRPr="009B0811">
        <w:rPr>
          <w:szCs w:val="20"/>
          <w:lang w:val="fr-FR"/>
        </w:rPr>
        <w:t xml:space="preserve">entretien dans les secteurs de la réfrigération, de la climatisation et des pompes à chaleur ; </w:t>
      </w:r>
      <w:r>
        <w:rPr>
          <w:szCs w:val="20"/>
          <w:lang w:val="fr-FR"/>
        </w:rPr>
        <w:t>d</w:t>
      </w:r>
      <w:r w:rsidRPr="009B0811">
        <w:rPr>
          <w:szCs w:val="20"/>
          <w:lang w:val="fr-FR"/>
        </w:rPr>
        <w:t>es coûts y afférents, en particulier les dépenses de capital et les coûts opérationnels.</w:t>
      </w:r>
      <w:r w:rsidRPr="00C51E0A">
        <w:rPr>
          <w:szCs w:val="20"/>
          <w:lang w:val="fr-FR"/>
        </w:rPr>
        <w:t xml:space="preserve"> </w:t>
      </w:r>
      <w:r w:rsidRPr="009B0811">
        <w:rPr>
          <w:szCs w:val="20"/>
          <w:lang w:val="fr-FR"/>
        </w:rPr>
        <w:t>La décision a également prié le Groupe de donner un aperçu des activités et du financement fourni par d</w:t>
      </w:r>
      <w:r>
        <w:rPr>
          <w:szCs w:val="20"/>
          <w:lang w:val="fr-FR"/>
        </w:rPr>
        <w:t>’</w:t>
      </w:r>
      <w:r w:rsidRPr="009B0811">
        <w:rPr>
          <w:szCs w:val="20"/>
          <w:lang w:val="fr-FR"/>
        </w:rPr>
        <w:t>autres institutions compétentes s</w:t>
      </w:r>
      <w:r>
        <w:rPr>
          <w:szCs w:val="20"/>
          <w:lang w:val="fr-FR"/>
        </w:rPr>
        <w:t>’</w:t>
      </w:r>
      <w:r w:rsidRPr="009B0811">
        <w:rPr>
          <w:szCs w:val="20"/>
          <w:lang w:val="fr-FR"/>
        </w:rPr>
        <w:t>occupant de l</w:t>
      </w:r>
      <w:r>
        <w:rPr>
          <w:szCs w:val="20"/>
          <w:lang w:val="fr-FR"/>
        </w:rPr>
        <w:t>’</w:t>
      </w:r>
      <w:r w:rsidRPr="009B0811">
        <w:rPr>
          <w:szCs w:val="20"/>
          <w:lang w:val="fr-FR"/>
        </w:rPr>
        <w:t>efficacité énergétique dans les secteurs de la réfrigération, de la climatisation et des pompes à chaleur dans le but de maintenir ou d</w:t>
      </w:r>
      <w:r>
        <w:rPr>
          <w:szCs w:val="20"/>
          <w:lang w:val="fr-FR"/>
        </w:rPr>
        <w:t>’</w:t>
      </w:r>
      <w:r w:rsidRPr="009B0811">
        <w:rPr>
          <w:szCs w:val="20"/>
          <w:lang w:val="fr-FR"/>
        </w:rPr>
        <w:t>améliorer l</w:t>
      </w:r>
      <w:r>
        <w:rPr>
          <w:szCs w:val="20"/>
          <w:lang w:val="fr-FR"/>
        </w:rPr>
        <w:t>’</w:t>
      </w:r>
      <w:r w:rsidRPr="009B0811">
        <w:rPr>
          <w:szCs w:val="20"/>
          <w:lang w:val="fr-FR"/>
        </w:rPr>
        <w:t>efficacité énergétique dans le contexte de la réduction progressive des HFC au titre de l</w:t>
      </w:r>
      <w:r>
        <w:rPr>
          <w:szCs w:val="20"/>
          <w:lang w:val="fr-FR"/>
        </w:rPr>
        <w:t>’</w:t>
      </w:r>
      <w:r w:rsidRPr="009B0811">
        <w:rPr>
          <w:szCs w:val="20"/>
          <w:lang w:val="fr-FR"/>
        </w:rPr>
        <w:t>Amendement de Kigali.</w:t>
      </w:r>
      <w:r w:rsidRPr="00C51E0A">
        <w:rPr>
          <w:szCs w:val="20"/>
          <w:lang w:val="fr-FR"/>
        </w:rPr>
        <w:t xml:space="preserve"> </w:t>
      </w:r>
      <w:r w:rsidRPr="005139D6">
        <w:rPr>
          <w:szCs w:val="20"/>
          <w:lang w:val="fr-FR"/>
        </w:rPr>
        <w:t>De plus, elle a demandé au Secrétariat de l</w:t>
      </w:r>
      <w:r>
        <w:rPr>
          <w:szCs w:val="20"/>
          <w:lang w:val="fr-FR"/>
        </w:rPr>
        <w:t>’</w:t>
      </w:r>
      <w:r w:rsidRPr="005139D6">
        <w:rPr>
          <w:szCs w:val="20"/>
          <w:lang w:val="fr-FR"/>
        </w:rPr>
        <w:t>Ozone d</w:t>
      </w:r>
      <w:r>
        <w:rPr>
          <w:szCs w:val="20"/>
          <w:lang w:val="fr-FR"/>
        </w:rPr>
        <w:t>’</w:t>
      </w:r>
      <w:r w:rsidRPr="005139D6">
        <w:rPr>
          <w:szCs w:val="20"/>
          <w:lang w:val="fr-FR"/>
        </w:rPr>
        <w:t>organiser un atelier sur les possibilités offertes en matière d</w:t>
      </w:r>
      <w:r>
        <w:rPr>
          <w:szCs w:val="20"/>
          <w:lang w:val="fr-FR"/>
        </w:rPr>
        <w:t>’</w:t>
      </w:r>
      <w:r w:rsidRPr="005139D6">
        <w:rPr>
          <w:szCs w:val="20"/>
          <w:lang w:val="fr-FR"/>
        </w:rPr>
        <w:t>efficacité énergétique dans le contexte de la réduction progressive des HFC à la 40</w:t>
      </w:r>
      <w:r w:rsidRPr="005139D6">
        <w:rPr>
          <w:szCs w:val="20"/>
          <w:vertAlign w:val="superscript"/>
          <w:lang w:val="fr-FR"/>
        </w:rPr>
        <w:t>e</w:t>
      </w:r>
      <w:r w:rsidRPr="005139D6">
        <w:rPr>
          <w:szCs w:val="20"/>
          <w:lang w:val="fr-FR"/>
        </w:rPr>
        <w:t xml:space="preserve"> réunion du Groupe de travail à composition non limitée et, par la suite, a prié le Groupe de l</w:t>
      </w:r>
      <w:r>
        <w:rPr>
          <w:szCs w:val="20"/>
          <w:lang w:val="fr-FR"/>
        </w:rPr>
        <w:t>’</w:t>
      </w:r>
      <w:r w:rsidRPr="005139D6">
        <w:rPr>
          <w:szCs w:val="20"/>
          <w:lang w:val="fr-FR"/>
        </w:rPr>
        <w:t>évaluation technique et économique (TEAP) d</w:t>
      </w:r>
      <w:r>
        <w:rPr>
          <w:szCs w:val="20"/>
          <w:lang w:val="fr-FR"/>
        </w:rPr>
        <w:t>’</w:t>
      </w:r>
      <w:r w:rsidRPr="005139D6">
        <w:rPr>
          <w:szCs w:val="20"/>
          <w:lang w:val="fr-FR"/>
        </w:rPr>
        <w:t>établir un rapport final actualisé pour la trentième Réunion des Parties au Protocole de Montréal, en tenant compte des conclusions de l</w:t>
      </w:r>
      <w:r>
        <w:rPr>
          <w:szCs w:val="20"/>
          <w:lang w:val="fr-FR"/>
        </w:rPr>
        <w:t>’</w:t>
      </w:r>
      <w:r w:rsidRPr="005139D6">
        <w:rPr>
          <w:szCs w:val="20"/>
          <w:lang w:val="fr-FR"/>
        </w:rPr>
        <w:t>atelier.</w:t>
      </w:r>
    </w:p>
    <w:p w:rsidR="00C51E0A" w:rsidRPr="00C51E0A" w:rsidRDefault="00C51E0A" w:rsidP="00A50760">
      <w:pPr>
        <w:pStyle w:val="FootnoteText"/>
        <w:rPr>
          <w:szCs w:val="20"/>
          <w:lang w:val="fr-FR"/>
        </w:rPr>
      </w:pPr>
    </w:p>
  </w:footnote>
  <w:footnote w:id="3">
    <w:p w:rsidR="00385016" w:rsidRPr="00C51E0A" w:rsidRDefault="00385016" w:rsidP="000E214E">
      <w:pPr>
        <w:pStyle w:val="FootnoteText"/>
        <w:rPr>
          <w:szCs w:val="20"/>
          <w:lang w:val="fr-FR"/>
        </w:rPr>
      </w:pPr>
      <w:r w:rsidRPr="00D57928">
        <w:rPr>
          <w:rStyle w:val="FootnoteReference"/>
          <w:szCs w:val="20"/>
        </w:rPr>
        <w:footnoteRef/>
      </w:r>
      <w:r w:rsidRPr="00C51E0A">
        <w:rPr>
          <w:szCs w:val="20"/>
          <w:lang w:val="fr-FR"/>
        </w:rPr>
        <w:t xml:space="preserve"> </w:t>
      </w:r>
      <w:r w:rsidRPr="000E214E">
        <w:rPr>
          <w:szCs w:val="20"/>
          <w:lang w:val="fr-FR"/>
        </w:rPr>
        <w:t>Demandant au Comité exécutif d</w:t>
      </w:r>
      <w:r>
        <w:rPr>
          <w:szCs w:val="20"/>
          <w:lang w:val="fr-FR"/>
        </w:rPr>
        <w:t>’</w:t>
      </w:r>
      <w:r w:rsidRPr="000E214E">
        <w:rPr>
          <w:szCs w:val="20"/>
          <w:lang w:val="fr-FR"/>
        </w:rPr>
        <w:t>augmenter le financement disponible pour le secteur de l</w:t>
      </w:r>
      <w:r>
        <w:rPr>
          <w:szCs w:val="20"/>
          <w:lang w:val="fr-FR"/>
        </w:rPr>
        <w:t>’</w:t>
      </w:r>
      <w:r w:rsidRPr="000E214E">
        <w:rPr>
          <w:szCs w:val="20"/>
          <w:lang w:val="fr-FR"/>
        </w:rPr>
        <w:t>entretien au titre de sa décision 74/50, en sus des montants indiqués dans cette décision, en faveur des Parties dont la consommation de référence globale de HCFC peut aller jusqu</w:t>
      </w:r>
      <w:r>
        <w:rPr>
          <w:szCs w:val="20"/>
          <w:lang w:val="fr-FR"/>
        </w:rPr>
        <w:t>’</w:t>
      </w:r>
      <w:r w:rsidRPr="000E214E">
        <w:rPr>
          <w:szCs w:val="20"/>
          <w:lang w:val="fr-FR"/>
        </w:rPr>
        <w:t>à 360 tonnes métriques, si nécessaire pour introduire des produits de remplacement des HCFC à faible PRG et des produits de remplacement des HFC à PRG nul, tout en maintenant l</w:t>
      </w:r>
      <w:r>
        <w:rPr>
          <w:szCs w:val="20"/>
          <w:lang w:val="fr-FR"/>
        </w:rPr>
        <w:t>’</w:t>
      </w:r>
      <w:r w:rsidRPr="000E214E">
        <w:rPr>
          <w:szCs w:val="20"/>
          <w:lang w:val="fr-FR"/>
        </w:rPr>
        <w:t>efficacité énergétique dans le secteur de l</w:t>
      </w:r>
      <w:r>
        <w:rPr>
          <w:szCs w:val="20"/>
          <w:lang w:val="fr-FR"/>
        </w:rPr>
        <w:t>’</w:t>
      </w:r>
      <w:r w:rsidRPr="000E214E">
        <w:rPr>
          <w:szCs w:val="20"/>
          <w:lang w:val="fr-FR"/>
        </w:rPr>
        <w:t>entretien et des services aux utilisateurs.</w:t>
      </w:r>
    </w:p>
  </w:footnote>
  <w:footnote w:id="4">
    <w:p w:rsidR="00385016" w:rsidRPr="00C51E0A" w:rsidRDefault="00385016" w:rsidP="000E214E">
      <w:pPr>
        <w:pStyle w:val="FootnoteText"/>
        <w:rPr>
          <w:szCs w:val="20"/>
          <w:lang w:val="fr-FR"/>
        </w:rPr>
      </w:pPr>
      <w:r w:rsidRPr="00D57928">
        <w:rPr>
          <w:rStyle w:val="FootnoteReference"/>
          <w:szCs w:val="20"/>
        </w:rPr>
        <w:footnoteRef/>
      </w:r>
      <w:r w:rsidRPr="00C51E0A">
        <w:rPr>
          <w:szCs w:val="20"/>
          <w:lang w:val="fr-FR"/>
        </w:rPr>
        <w:t xml:space="preserve"> </w:t>
      </w:r>
      <w:r w:rsidRPr="000E214E">
        <w:rPr>
          <w:szCs w:val="20"/>
          <w:lang w:val="fr-FR"/>
        </w:rPr>
        <w:t>Demandant au Comité exécutif d</w:t>
      </w:r>
      <w:r>
        <w:rPr>
          <w:szCs w:val="20"/>
          <w:lang w:val="fr-FR"/>
        </w:rPr>
        <w:t>’</w:t>
      </w:r>
      <w:r w:rsidRPr="000E214E">
        <w:rPr>
          <w:szCs w:val="20"/>
          <w:lang w:val="fr-FR"/>
        </w:rPr>
        <w:t>envisager, dans le contexte du paragraphe 16 de la décision XXVIII/2, d</w:t>
      </w:r>
      <w:r>
        <w:rPr>
          <w:szCs w:val="20"/>
          <w:lang w:val="fr-FR"/>
        </w:rPr>
        <w:t>’</w:t>
      </w:r>
      <w:r w:rsidRPr="000E214E">
        <w:rPr>
          <w:szCs w:val="20"/>
          <w:lang w:val="fr-FR"/>
        </w:rPr>
        <w:t>augmenter le financement fourni aux pays à faible volume de consommation de SAO afin de les aider à mettre en œuvre les activités visées au paragraphe 1 de cette décision.</w:t>
      </w:r>
    </w:p>
  </w:footnote>
  <w:footnote w:id="5">
    <w:p w:rsidR="00385016" w:rsidRPr="00C51E0A" w:rsidRDefault="00385016" w:rsidP="005964AB">
      <w:pPr>
        <w:pStyle w:val="FootnoteText"/>
        <w:rPr>
          <w:szCs w:val="20"/>
          <w:lang w:val="fr-FR"/>
        </w:rPr>
      </w:pPr>
      <w:r w:rsidRPr="00D57928">
        <w:rPr>
          <w:rStyle w:val="FootnoteReference"/>
          <w:szCs w:val="20"/>
        </w:rPr>
        <w:footnoteRef/>
      </w:r>
      <w:r w:rsidRPr="00C51E0A">
        <w:rPr>
          <w:szCs w:val="20"/>
          <w:lang w:val="fr-FR"/>
        </w:rPr>
        <w:t xml:space="preserve"> </w:t>
      </w:r>
      <w:r w:rsidRPr="000E214E">
        <w:rPr>
          <w:szCs w:val="20"/>
          <w:lang w:val="fr-FR"/>
        </w:rPr>
        <w:t>Priant le Comité exécutif du Fonds multilatéral d</w:t>
      </w:r>
      <w:r>
        <w:rPr>
          <w:szCs w:val="20"/>
          <w:lang w:val="fr-FR"/>
        </w:rPr>
        <w:t>’</w:t>
      </w:r>
      <w:r w:rsidRPr="000E214E">
        <w:rPr>
          <w:szCs w:val="20"/>
          <w:lang w:val="fr-FR"/>
        </w:rPr>
        <w:t>envisager qu</w:t>
      </w:r>
      <w:r>
        <w:rPr>
          <w:szCs w:val="20"/>
          <w:lang w:val="fr-FR"/>
        </w:rPr>
        <w:t>’</w:t>
      </w:r>
      <w:r w:rsidRPr="000E214E">
        <w:rPr>
          <w:szCs w:val="20"/>
          <w:lang w:val="fr-FR"/>
        </w:rPr>
        <w:t>une partie du soutien financier apporté au titre des activités de facilitation concernant les HFC puisse être acheminée par les Parties visées à l</w:t>
      </w:r>
      <w:r>
        <w:rPr>
          <w:szCs w:val="20"/>
          <w:lang w:val="fr-FR"/>
        </w:rPr>
        <w:t>’</w:t>
      </w:r>
      <w:r w:rsidRPr="000E214E">
        <w:rPr>
          <w:szCs w:val="20"/>
          <w:lang w:val="fr-FR"/>
        </w:rPr>
        <w:t>article 5 du Protocole qui le souhaitent vers des activités en matière de politique d</w:t>
      </w:r>
      <w:r>
        <w:rPr>
          <w:szCs w:val="20"/>
          <w:lang w:val="fr-FR"/>
        </w:rPr>
        <w:t>’</w:t>
      </w:r>
      <w:r w:rsidRPr="000E214E">
        <w:rPr>
          <w:szCs w:val="20"/>
          <w:lang w:val="fr-FR"/>
        </w:rPr>
        <w:t>efficacité énergétique et de formation en rapport avec la réduction progressive des substances réglementées, dont les suivantes</w:t>
      </w:r>
      <w:r>
        <w:rPr>
          <w:szCs w:val="20"/>
          <w:lang w:val="fr-FR"/>
        </w:rPr>
        <w:t> </w:t>
      </w:r>
      <w:r w:rsidRPr="000E214E">
        <w:rPr>
          <w:szCs w:val="20"/>
          <w:lang w:val="fr-FR"/>
        </w:rPr>
        <w:t>:</w:t>
      </w:r>
      <w:r w:rsidRPr="00C51E0A">
        <w:rPr>
          <w:szCs w:val="20"/>
          <w:lang w:val="fr-FR"/>
        </w:rPr>
        <w:t xml:space="preserve"> </w:t>
      </w:r>
      <w:r w:rsidRPr="00B62BAF">
        <w:rPr>
          <w:szCs w:val="20"/>
          <w:lang w:val="fr-FR"/>
        </w:rPr>
        <w:t>élaboration et application effective de politiques et réglementations ayant pour but d</w:t>
      </w:r>
      <w:r>
        <w:rPr>
          <w:szCs w:val="20"/>
          <w:lang w:val="fr-FR"/>
        </w:rPr>
        <w:t>’</w:t>
      </w:r>
      <w:r w:rsidRPr="00B62BAF">
        <w:rPr>
          <w:szCs w:val="20"/>
          <w:lang w:val="fr-FR"/>
        </w:rPr>
        <w:t>éviter l</w:t>
      </w:r>
      <w:r>
        <w:rPr>
          <w:szCs w:val="20"/>
          <w:lang w:val="fr-FR"/>
        </w:rPr>
        <w:t>’</w:t>
      </w:r>
      <w:r w:rsidRPr="00B62BAF">
        <w:rPr>
          <w:szCs w:val="20"/>
          <w:lang w:val="fr-FR"/>
        </w:rPr>
        <w:t>entrée sur le marché d</w:t>
      </w:r>
      <w:r>
        <w:rPr>
          <w:szCs w:val="20"/>
          <w:lang w:val="fr-FR"/>
        </w:rPr>
        <w:t>’</w:t>
      </w:r>
      <w:r w:rsidRPr="00B62BAF">
        <w:rPr>
          <w:szCs w:val="20"/>
          <w:lang w:val="fr-FR"/>
        </w:rPr>
        <w:t>équipements de réfrigération, de climatisation et de pompes à chaleur inefficaces sur le plan énergétique ; promotion de l</w:t>
      </w:r>
      <w:r>
        <w:rPr>
          <w:szCs w:val="20"/>
          <w:lang w:val="fr-FR"/>
        </w:rPr>
        <w:t>’</w:t>
      </w:r>
      <w:r w:rsidRPr="00B62BAF">
        <w:rPr>
          <w:szCs w:val="20"/>
          <w:lang w:val="fr-FR"/>
        </w:rPr>
        <w:t>accès à des technologies d</w:t>
      </w:r>
      <w:r>
        <w:rPr>
          <w:szCs w:val="20"/>
          <w:lang w:val="fr-FR"/>
        </w:rPr>
        <w:t>’</w:t>
      </w:r>
      <w:r w:rsidRPr="00B62BAF">
        <w:rPr>
          <w:szCs w:val="20"/>
          <w:lang w:val="fr-FR"/>
        </w:rPr>
        <w:t>un bon rendement énergétique dans ces secteurs ; et formation ciblée portant sur la certification, la sécurité et les normes, sensibilisation et renforcement des capacités axés sur le maintien ou l</w:t>
      </w:r>
      <w:r>
        <w:rPr>
          <w:szCs w:val="20"/>
          <w:lang w:val="fr-FR"/>
        </w:rPr>
        <w:t>’</w:t>
      </w:r>
      <w:r w:rsidRPr="00B62BAF">
        <w:rPr>
          <w:szCs w:val="20"/>
          <w:lang w:val="fr-FR"/>
        </w:rPr>
        <w:t>amélioration de l</w:t>
      </w:r>
      <w:r>
        <w:rPr>
          <w:szCs w:val="20"/>
          <w:lang w:val="fr-FR"/>
        </w:rPr>
        <w:t>’</w:t>
      </w:r>
      <w:r w:rsidRPr="00B62BAF">
        <w:rPr>
          <w:szCs w:val="20"/>
          <w:lang w:val="fr-FR"/>
        </w:rPr>
        <w:t>efficacité énergétique.</w:t>
      </w:r>
    </w:p>
  </w:footnote>
  <w:footnote w:id="6">
    <w:p w:rsidR="00385016" w:rsidRPr="00C51E0A" w:rsidRDefault="00385016" w:rsidP="005964AB">
      <w:pPr>
        <w:pStyle w:val="FootnoteText"/>
        <w:rPr>
          <w:szCs w:val="20"/>
          <w:lang w:val="fr-FR"/>
        </w:rPr>
      </w:pPr>
      <w:r w:rsidRPr="00D57928">
        <w:rPr>
          <w:rStyle w:val="FootnoteReference"/>
          <w:szCs w:val="20"/>
        </w:rPr>
        <w:footnoteRef/>
      </w:r>
      <w:r w:rsidRPr="00C51E0A">
        <w:rPr>
          <w:szCs w:val="20"/>
          <w:lang w:val="fr-FR"/>
        </w:rPr>
        <w:t xml:space="preserve"> </w:t>
      </w:r>
      <w:r w:rsidRPr="00B62BAF">
        <w:rPr>
          <w:szCs w:val="20"/>
          <w:lang w:val="fr-FR"/>
        </w:rPr>
        <w:t>Les pays visés à l</w:t>
      </w:r>
      <w:r>
        <w:rPr>
          <w:szCs w:val="20"/>
          <w:lang w:val="fr-FR"/>
        </w:rPr>
        <w:t>’</w:t>
      </w:r>
      <w:r w:rsidRPr="00B62BAF">
        <w:rPr>
          <w:szCs w:val="20"/>
          <w:lang w:val="fr-FR"/>
        </w:rPr>
        <w:t>article 5 dont la consommation totale de HCFC ne dépasse pas 360 tonnes métriques recevront un financement correspondant au niveau de consommation dans le secteur de l</w:t>
      </w:r>
      <w:r>
        <w:rPr>
          <w:szCs w:val="20"/>
          <w:lang w:val="fr-FR"/>
        </w:rPr>
        <w:t>’</w:t>
      </w:r>
      <w:r w:rsidRPr="00B62BAF">
        <w:rPr>
          <w:szCs w:val="20"/>
          <w:lang w:val="fr-FR"/>
        </w:rPr>
        <w:t>entretien des équipements de réfrigération, étant entendu que les propositions de projets devront toujours prouver que ce niveau de financement était nécessaire pour atteindre les objectifs d</w:t>
      </w:r>
      <w:r>
        <w:rPr>
          <w:szCs w:val="20"/>
          <w:lang w:val="fr-FR"/>
        </w:rPr>
        <w:t>’</w:t>
      </w:r>
      <w:r w:rsidRPr="00B62BAF">
        <w:rPr>
          <w:szCs w:val="20"/>
          <w:lang w:val="fr-FR"/>
        </w:rPr>
        <w:t>élimination de 2020 et 2025 ou, si le pays en décide ainsi, des objectifs de réduction plus tardifs.</w:t>
      </w:r>
    </w:p>
  </w:footnote>
  <w:footnote w:id="7">
    <w:p w:rsidR="00385016" w:rsidRPr="00C51E0A" w:rsidRDefault="00385016" w:rsidP="00467830">
      <w:pPr>
        <w:pStyle w:val="FootnoteText"/>
        <w:rPr>
          <w:szCs w:val="20"/>
          <w:lang w:val="fr-FR"/>
        </w:rPr>
      </w:pPr>
      <w:r w:rsidRPr="00D57928">
        <w:rPr>
          <w:rStyle w:val="FootnoteReference"/>
          <w:szCs w:val="20"/>
        </w:rPr>
        <w:footnoteRef/>
      </w:r>
      <w:r w:rsidRPr="00C51E0A">
        <w:rPr>
          <w:szCs w:val="20"/>
          <w:lang w:val="fr-FR"/>
        </w:rPr>
        <w:t xml:space="preserve"> </w:t>
      </w:r>
      <w:r w:rsidRPr="00B62BAF">
        <w:rPr>
          <w:szCs w:val="20"/>
          <w:lang w:val="fr-FR"/>
        </w:rPr>
        <w:t>Paragraphe 16 de la décision XXVIII/2</w:t>
      </w:r>
    </w:p>
  </w:footnote>
  <w:footnote w:id="8">
    <w:p w:rsidR="00385016" w:rsidRPr="00C51E0A" w:rsidRDefault="00385016" w:rsidP="00711394">
      <w:pPr>
        <w:pStyle w:val="FootnoteText"/>
        <w:rPr>
          <w:szCs w:val="20"/>
          <w:lang w:val="fr-FR"/>
        </w:rPr>
      </w:pPr>
      <w:r w:rsidRPr="00D57928">
        <w:rPr>
          <w:rStyle w:val="FootnoteReference"/>
          <w:szCs w:val="20"/>
        </w:rPr>
        <w:footnoteRef/>
      </w:r>
      <w:r w:rsidRPr="00C51E0A">
        <w:rPr>
          <w:szCs w:val="20"/>
          <w:lang w:val="fr-FR"/>
        </w:rPr>
        <w:t xml:space="preserve"> </w:t>
      </w:r>
      <w:r w:rsidRPr="00B62BAF">
        <w:rPr>
          <w:szCs w:val="20"/>
          <w:lang w:val="fr-FR"/>
        </w:rPr>
        <w:t>Paragraphe 2 de la décision XXX/5</w:t>
      </w:r>
    </w:p>
  </w:footnote>
  <w:footnote w:id="9">
    <w:p w:rsidR="00385016" w:rsidRPr="00C51E0A" w:rsidRDefault="00385016" w:rsidP="00F93FEB">
      <w:pPr>
        <w:pStyle w:val="FootnoteText"/>
        <w:rPr>
          <w:szCs w:val="20"/>
          <w:lang w:val="fr-FR"/>
        </w:rPr>
      </w:pPr>
      <w:r w:rsidRPr="00D57928">
        <w:rPr>
          <w:rStyle w:val="FootnoteReference"/>
          <w:szCs w:val="20"/>
        </w:rPr>
        <w:footnoteRef/>
      </w:r>
      <w:r w:rsidRPr="00C51E0A">
        <w:rPr>
          <w:szCs w:val="20"/>
          <w:lang w:val="fr-FR"/>
        </w:rPr>
        <w:t xml:space="preserve"> </w:t>
      </w:r>
      <w:r w:rsidRPr="00B62BAF">
        <w:rPr>
          <w:szCs w:val="20"/>
          <w:lang w:val="fr-FR"/>
        </w:rPr>
        <w:t>Plusieurs des questions discutées ici s</w:t>
      </w:r>
      <w:r>
        <w:rPr>
          <w:szCs w:val="20"/>
          <w:lang w:val="fr-FR"/>
        </w:rPr>
        <w:t>’</w:t>
      </w:r>
      <w:r w:rsidRPr="00B62BAF">
        <w:rPr>
          <w:szCs w:val="20"/>
          <w:lang w:val="fr-FR"/>
        </w:rPr>
        <w:t>appliquent également au secteur de l</w:t>
      </w:r>
      <w:r>
        <w:rPr>
          <w:szCs w:val="20"/>
          <w:lang w:val="fr-FR"/>
        </w:rPr>
        <w:t>’</w:t>
      </w:r>
      <w:r w:rsidRPr="00B62BAF">
        <w:rPr>
          <w:szCs w:val="20"/>
          <w:lang w:val="fr-FR"/>
        </w:rPr>
        <w:t>entretien des pays ne faisant pas partie des PFV.</w:t>
      </w:r>
    </w:p>
  </w:footnote>
  <w:footnote w:id="10">
    <w:p w:rsidR="00385016" w:rsidRPr="00C51E0A" w:rsidRDefault="00385016" w:rsidP="00B945F9">
      <w:pPr>
        <w:pStyle w:val="FootnoteText"/>
        <w:rPr>
          <w:szCs w:val="20"/>
          <w:lang w:val="fr-FR"/>
        </w:rPr>
      </w:pPr>
      <w:r w:rsidRPr="00D57928">
        <w:rPr>
          <w:rStyle w:val="FootnoteReference"/>
          <w:szCs w:val="20"/>
        </w:rPr>
        <w:footnoteRef/>
      </w:r>
      <w:r w:rsidRPr="00C51E0A">
        <w:rPr>
          <w:szCs w:val="20"/>
          <w:lang w:val="fr-FR"/>
        </w:rPr>
        <w:t xml:space="preserve"> </w:t>
      </w:r>
      <w:r w:rsidRPr="00BE4BB1">
        <w:rPr>
          <w:szCs w:val="20"/>
          <w:lang w:val="fr-FR"/>
        </w:rPr>
        <w:t xml:space="preserve">Des réglementations intégrées portant sur les MEPS et les </w:t>
      </w:r>
      <w:r w:rsidRPr="00BE4BB1">
        <w:rPr>
          <w:lang w:val="fr-FR"/>
        </w:rPr>
        <w:t>labels écologiques ainsi que les frigorigènes à faible PRP/ sans PRP</w:t>
      </w:r>
      <w:r w:rsidRPr="00BE4BB1">
        <w:rPr>
          <w:szCs w:val="20"/>
          <w:lang w:val="fr-FR"/>
        </w:rPr>
        <w:t xml:space="preserve"> dans le secteur des </w:t>
      </w:r>
      <w:r w:rsidRPr="00BE4BB1">
        <w:rPr>
          <w:lang w:val="fr-FR"/>
        </w:rPr>
        <w:t>équipements de réfrigération, de climatisation et de pompes à chaleur sont essentielles pour éviter une croissance indésirable des équipements contenant des frigorigènes à fort PRP</w:t>
      </w:r>
      <w:r w:rsidRPr="00C51E0A">
        <w:rPr>
          <w:szCs w:val="20"/>
          <w:lang w:val="fr-FR"/>
        </w:rPr>
        <w:t>.</w:t>
      </w:r>
    </w:p>
  </w:footnote>
  <w:footnote w:id="11">
    <w:p w:rsidR="00385016" w:rsidRPr="00C51E0A" w:rsidRDefault="00385016" w:rsidP="00EB56BA">
      <w:pPr>
        <w:pStyle w:val="FootnoteText"/>
        <w:rPr>
          <w:szCs w:val="20"/>
          <w:lang w:val="fr-FR"/>
        </w:rPr>
      </w:pPr>
      <w:r w:rsidRPr="00D57928">
        <w:rPr>
          <w:rStyle w:val="FootnoteReference"/>
          <w:szCs w:val="20"/>
        </w:rPr>
        <w:footnoteRef/>
      </w:r>
      <w:r w:rsidRPr="00C51E0A">
        <w:rPr>
          <w:szCs w:val="20"/>
          <w:lang w:val="fr-FR"/>
        </w:rPr>
        <w:t xml:space="preserve"> </w:t>
      </w:r>
      <w:r w:rsidRPr="00E419B4">
        <w:rPr>
          <w:szCs w:val="20"/>
          <w:lang w:val="fr-FR"/>
        </w:rPr>
        <w:t>Pour faciliter l</w:t>
      </w:r>
      <w:r>
        <w:rPr>
          <w:szCs w:val="20"/>
          <w:lang w:val="fr-FR"/>
        </w:rPr>
        <w:t>’examen</w:t>
      </w:r>
      <w:r w:rsidRPr="00E419B4">
        <w:rPr>
          <w:szCs w:val="20"/>
          <w:lang w:val="fr-FR"/>
        </w:rPr>
        <w:t xml:space="preserve"> du Comité exécutif, l</w:t>
      </w:r>
      <w:r>
        <w:rPr>
          <w:szCs w:val="20"/>
          <w:lang w:val="fr-FR"/>
        </w:rPr>
        <w:t>’</w:t>
      </w:r>
      <w:r w:rsidRPr="00E419B4">
        <w:rPr>
          <w:szCs w:val="20"/>
          <w:lang w:val="fr-FR"/>
        </w:rPr>
        <w:t xml:space="preserve">extrait </w:t>
      </w:r>
      <w:r>
        <w:rPr>
          <w:szCs w:val="20"/>
          <w:lang w:val="fr-FR"/>
        </w:rPr>
        <w:t>concerné</w:t>
      </w:r>
      <w:r w:rsidRPr="00E419B4">
        <w:rPr>
          <w:szCs w:val="20"/>
          <w:lang w:val="fr-FR"/>
        </w:rPr>
        <w:t xml:space="preserve"> des documents a été incorporé au présent document.</w:t>
      </w:r>
    </w:p>
  </w:footnote>
  <w:footnote w:id="12">
    <w:p w:rsidR="00385016" w:rsidRPr="00C51E0A" w:rsidRDefault="00385016" w:rsidP="00EB56BA">
      <w:pPr>
        <w:pStyle w:val="FootnoteText"/>
        <w:rPr>
          <w:szCs w:val="20"/>
          <w:lang w:val="fr-FR"/>
        </w:rPr>
      </w:pPr>
      <w:r w:rsidRPr="00D57928">
        <w:rPr>
          <w:rStyle w:val="FootnoteReference"/>
          <w:szCs w:val="20"/>
        </w:rPr>
        <w:footnoteRef/>
      </w:r>
      <w:r w:rsidRPr="00C51E0A">
        <w:rPr>
          <w:szCs w:val="20"/>
          <w:lang w:val="fr-FR"/>
        </w:rPr>
        <w:t xml:space="preserve"> </w:t>
      </w:r>
      <w:r w:rsidRPr="00E419B4">
        <w:rPr>
          <w:szCs w:val="20"/>
          <w:lang w:val="fr-FR"/>
        </w:rPr>
        <w:t>UNEP/OzL.Pro/ExCom/77/70/Rév.1 (paragraphes 50 à 57).</w:t>
      </w:r>
    </w:p>
  </w:footnote>
  <w:footnote w:id="13">
    <w:p w:rsidR="00385016" w:rsidRPr="00C51E0A" w:rsidRDefault="00385016" w:rsidP="00EB56BA">
      <w:pPr>
        <w:pStyle w:val="FootnoteText"/>
        <w:rPr>
          <w:szCs w:val="20"/>
          <w:lang w:val="fr-FR"/>
        </w:rPr>
      </w:pPr>
      <w:r w:rsidRPr="00D57928">
        <w:rPr>
          <w:rStyle w:val="FootnoteReference"/>
          <w:szCs w:val="20"/>
        </w:rPr>
        <w:footnoteRef/>
      </w:r>
      <w:r w:rsidRPr="00C51E0A">
        <w:rPr>
          <w:szCs w:val="20"/>
          <w:lang w:val="fr-FR"/>
        </w:rPr>
        <w:t xml:space="preserve"> </w:t>
      </w:r>
      <w:r w:rsidRPr="00E419B4">
        <w:rPr>
          <w:szCs w:val="20"/>
          <w:lang w:val="fr-FR"/>
        </w:rPr>
        <w:t>UNEP/OzL.Pro/ExCom/78/5 et Corr.1 (paragraphes 107 à 115 et annexe V).</w:t>
      </w:r>
    </w:p>
  </w:footnote>
  <w:footnote w:id="14">
    <w:p w:rsidR="00385016" w:rsidRPr="00C51E0A" w:rsidRDefault="00385016" w:rsidP="00EB56BA">
      <w:pPr>
        <w:pStyle w:val="FootnoteText"/>
        <w:rPr>
          <w:szCs w:val="20"/>
          <w:lang w:val="fr-FR"/>
        </w:rPr>
      </w:pPr>
      <w:r w:rsidRPr="00D57928">
        <w:rPr>
          <w:rStyle w:val="FootnoteReference"/>
          <w:szCs w:val="20"/>
        </w:rPr>
        <w:footnoteRef/>
      </w:r>
      <w:r>
        <w:rPr>
          <w:szCs w:val="20"/>
          <w:lang w:val="fr-FR"/>
        </w:rPr>
        <w:t> </w:t>
      </w:r>
      <w:r w:rsidRPr="00E419B4">
        <w:rPr>
          <w:szCs w:val="20"/>
          <w:lang w:val="fr-FR"/>
        </w:rPr>
        <w:t>UNEP/OzL.Pro/ExCom/82/64 (toutes les informations contenues dans ce document sont à prendre en considération pour le présent document).</w:t>
      </w:r>
      <w:r w:rsidRPr="00C51E0A">
        <w:rPr>
          <w:szCs w:val="20"/>
          <w:lang w:val="fr-FR"/>
        </w:rPr>
        <w:t xml:space="preserve"> </w:t>
      </w:r>
      <w:r w:rsidRPr="00B238E2">
        <w:rPr>
          <w:szCs w:val="20"/>
          <w:lang w:val="fr-FR"/>
        </w:rPr>
        <w:t>Les paragraphes 77 à 83 font spécifiquement référence aux considérations sur l</w:t>
      </w:r>
      <w:r>
        <w:rPr>
          <w:szCs w:val="20"/>
          <w:lang w:val="fr-FR"/>
        </w:rPr>
        <w:t>’</w:t>
      </w:r>
      <w:r w:rsidRPr="00B238E2">
        <w:rPr>
          <w:szCs w:val="20"/>
          <w:lang w:val="fr-FR"/>
        </w:rPr>
        <w:t>efficacité énergétique dans le secteur de l</w:t>
      </w:r>
      <w:r>
        <w:rPr>
          <w:szCs w:val="20"/>
          <w:lang w:val="fr-FR"/>
        </w:rPr>
        <w:t>’</w:t>
      </w:r>
      <w:r w:rsidRPr="00B238E2">
        <w:rPr>
          <w:szCs w:val="20"/>
          <w:lang w:val="fr-FR"/>
        </w:rPr>
        <w:t>entretien.</w:t>
      </w:r>
    </w:p>
  </w:footnote>
  <w:footnote w:id="15">
    <w:p w:rsidR="00385016" w:rsidRPr="00C51E0A" w:rsidRDefault="00385016" w:rsidP="00454FF9">
      <w:pPr>
        <w:pStyle w:val="FootnoteText"/>
        <w:rPr>
          <w:szCs w:val="20"/>
          <w:lang w:val="fr-FR"/>
        </w:rPr>
      </w:pPr>
      <w:r w:rsidRPr="00D57928">
        <w:rPr>
          <w:rStyle w:val="FootnoteReference"/>
          <w:szCs w:val="20"/>
        </w:rPr>
        <w:footnoteRef/>
      </w:r>
      <w:r w:rsidRPr="00C51E0A">
        <w:rPr>
          <w:szCs w:val="20"/>
          <w:lang w:val="fr-FR"/>
        </w:rPr>
        <w:t xml:space="preserve"> </w:t>
      </w:r>
      <w:r w:rsidRPr="00B238E2">
        <w:rPr>
          <w:szCs w:val="20"/>
          <w:lang w:val="fr-FR"/>
        </w:rPr>
        <w:t>Bangkok, 10 juillet 2017.</w:t>
      </w:r>
    </w:p>
  </w:footnote>
  <w:footnote w:id="16">
    <w:p w:rsidR="00385016" w:rsidRPr="00C51E0A" w:rsidRDefault="00385016" w:rsidP="00454FF9">
      <w:pPr>
        <w:pStyle w:val="FootnoteText"/>
        <w:rPr>
          <w:szCs w:val="20"/>
          <w:lang w:val="fr-FR"/>
        </w:rPr>
      </w:pPr>
      <w:r w:rsidRPr="00D57928">
        <w:rPr>
          <w:rStyle w:val="FootnoteReference"/>
          <w:szCs w:val="20"/>
        </w:rPr>
        <w:footnoteRef/>
      </w:r>
      <w:r w:rsidRPr="00C51E0A">
        <w:rPr>
          <w:szCs w:val="20"/>
          <w:lang w:val="fr-FR"/>
        </w:rPr>
        <w:t xml:space="preserve"> </w:t>
      </w:r>
      <w:r w:rsidRPr="00B238E2">
        <w:rPr>
          <w:szCs w:val="20"/>
          <w:lang w:val="fr-FR"/>
        </w:rPr>
        <w:t xml:space="preserve">Vienne, </w:t>
      </w:r>
      <w:r>
        <w:rPr>
          <w:szCs w:val="20"/>
          <w:lang w:val="fr-FR"/>
        </w:rPr>
        <w:t xml:space="preserve">du </w:t>
      </w:r>
      <w:r w:rsidRPr="00B238E2">
        <w:rPr>
          <w:szCs w:val="20"/>
          <w:lang w:val="fr-FR"/>
        </w:rPr>
        <w:t>9 au 10 juillet 2018.</w:t>
      </w:r>
    </w:p>
  </w:footnote>
  <w:footnote w:id="17">
    <w:p w:rsidR="00385016" w:rsidRPr="00C51E0A" w:rsidRDefault="00385016" w:rsidP="00454FF9">
      <w:pPr>
        <w:pStyle w:val="FootnoteText"/>
        <w:rPr>
          <w:szCs w:val="20"/>
          <w:lang w:val="fr-FR"/>
        </w:rPr>
      </w:pPr>
      <w:r w:rsidRPr="00D57928">
        <w:rPr>
          <w:rStyle w:val="FootnoteReference"/>
          <w:szCs w:val="20"/>
        </w:rPr>
        <w:footnoteRef/>
      </w:r>
      <w:r w:rsidRPr="00C51E0A">
        <w:rPr>
          <w:szCs w:val="20"/>
          <w:lang w:val="fr-FR"/>
        </w:rPr>
        <w:t xml:space="preserve"> Du </w:t>
      </w:r>
      <w:r w:rsidR="00AD4625">
        <w:rPr>
          <w:szCs w:val="20"/>
          <w:lang w:val="fr-FR"/>
        </w:rPr>
        <w:t>6 au 8 mars 2018</w:t>
      </w:r>
      <w:r w:rsidRPr="00B238E2">
        <w:rPr>
          <w:szCs w:val="20"/>
          <w:lang w:val="fr-FR"/>
        </w:rPr>
        <w:t xml:space="preserve">; </w:t>
      </w:r>
      <w:r>
        <w:rPr>
          <w:szCs w:val="20"/>
          <w:lang w:val="fr-FR"/>
        </w:rPr>
        <w:t xml:space="preserve">du </w:t>
      </w:r>
      <w:r w:rsidR="00AD4625">
        <w:rPr>
          <w:szCs w:val="20"/>
          <w:lang w:val="fr-FR"/>
        </w:rPr>
        <w:t>4 au 6 septembre 2018</w:t>
      </w:r>
      <w:r w:rsidRPr="00B238E2">
        <w:rPr>
          <w:szCs w:val="20"/>
          <w:lang w:val="fr-FR"/>
        </w:rPr>
        <w:t xml:space="preserve">; et </w:t>
      </w:r>
      <w:r>
        <w:rPr>
          <w:szCs w:val="20"/>
          <w:lang w:val="fr-FR"/>
        </w:rPr>
        <w:t xml:space="preserve">du </w:t>
      </w:r>
      <w:r w:rsidRPr="00B238E2">
        <w:rPr>
          <w:szCs w:val="20"/>
          <w:lang w:val="fr-FR"/>
        </w:rPr>
        <w:t>5 au 7 mars 2019.</w:t>
      </w:r>
    </w:p>
  </w:footnote>
  <w:footnote w:id="18">
    <w:p w:rsidR="00385016" w:rsidRPr="00C51E0A" w:rsidRDefault="00385016" w:rsidP="00454FF9">
      <w:pPr>
        <w:pStyle w:val="FootnoteText"/>
        <w:rPr>
          <w:szCs w:val="20"/>
          <w:lang w:val="fr-FR"/>
        </w:rPr>
      </w:pPr>
      <w:r w:rsidRPr="00D57928">
        <w:rPr>
          <w:rStyle w:val="FootnoteReference"/>
          <w:szCs w:val="20"/>
        </w:rPr>
        <w:footnoteRef/>
      </w:r>
      <w:r w:rsidRPr="00C51E0A">
        <w:rPr>
          <w:szCs w:val="20"/>
          <w:lang w:val="fr-FR"/>
        </w:rPr>
        <w:t xml:space="preserve"> </w:t>
      </w:r>
      <w:r w:rsidRPr="00B238E2">
        <w:rPr>
          <w:szCs w:val="20"/>
          <w:lang w:val="fr-FR"/>
        </w:rPr>
        <w:t>Pour les besoins de ce document, le terme « secteur de l</w:t>
      </w:r>
      <w:r>
        <w:rPr>
          <w:szCs w:val="20"/>
          <w:lang w:val="fr-FR"/>
        </w:rPr>
        <w:t>’</w:t>
      </w:r>
      <w:r w:rsidRPr="00B238E2">
        <w:rPr>
          <w:szCs w:val="20"/>
          <w:lang w:val="fr-FR"/>
        </w:rPr>
        <w:t>entretien des équipements de réfrigération » fait référence à la fois</w:t>
      </w:r>
      <w:r>
        <w:rPr>
          <w:szCs w:val="20"/>
          <w:lang w:val="fr-FR"/>
        </w:rPr>
        <w:t xml:space="preserve"> à</w:t>
      </w:r>
      <w:r w:rsidRPr="00B238E2">
        <w:rPr>
          <w:szCs w:val="20"/>
          <w:lang w:val="fr-FR"/>
        </w:rPr>
        <w:t xml:space="preserve"> la réfrigération et la climatisation.</w:t>
      </w:r>
    </w:p>
  </w:footnote>
  <w:footnote w:id="19">
    <w:p w:rsidR="00385016" w:rsidRPr="00C51E0A" w:rsidRDefault="00385016" w:rsidP="00EB56BA">
      <w:pPr>
        <w:pStyle w:val="FootnoteText"/>
        <w:rPr>
          <w:szCs w:val="20"/>
          <w:lang w:val="fr-FR"/>
        </w:rPr>
      </w:pPr>
      <w:r w:rsidRPr="00D57928">
        <w:rPr>
          <w:rStyle w:val="FootnoteReference"/>
          <w:szCs w:val="20"/>
        </w:rPr>
        <w:footnoteRef/>
      </w:r>
      <w:r w:rsidRPr="00C51E0A">
        <w:rPr>
          <w:szCs w:val="20"/>
          <w:lang w:val="fr-FR"/>
        </w:rPr>
        <w:t xml:space="preserve"> </w:t>
      </w:r>
      <w:r w:rsidRPr="00B238E2">
        <w:rPr>
          <w:szCs w:val="20"/>
          <w:lang w:val="fr-FR"/>
        </w:rPr>
        <w:t xml:space="preserve">La stratégie </w:t>
      </w:r>
      <w:r>
        <w:rPr>
          <w:szCs w:val="20"/>
          <w:lang w:val="fr-FR"/>
        </w:rPr>
        <w:t>pouvait</w:t>
      </w:r>
      <w:r w:rsidRPr="00B238E2">
        <w:rPr>
          <w:szCs w:val="20"/>
          <w:lang w:val="fr-FR"/>
        </w:rPr>
        <w:t xml:space="preserve"> inclure entre autres des incitatifs économiques et des mesures dissuasives visant les fournisseurs, les techniciens de l</w:t>
      </w:r>
      <w:r>
        <w:rPr>
          <w:szCs w:val="20"/>
          <w:lang w:val="fr-FR"/>
        </w:rPr>
        <w:t>’</w:t>
      </w:r>
      <w:r w:rsidRPr="00B238E2">
        <w:rPr>
          <w:szCs w:val="20"/>
          <w:lang w:val="fr-FR"/>
        </w:rPr>
        <w:t>entretien et les propriétaires d</w:t>
      </w:r>
      <w:r>
        <w:rPr>
          <w:szCs w:val="20"/>
          <w:lang w:val="fr-FR"/>
        </w:rPr>
        <w:t>’</w:t>
      </w:r>
      <w:r w:rsidRPr="00B238E2">
        <w:rPr>
          <w:szCs w:val="20"/>
          <w:lang w:val="fr-FR"/>
        </w:rPr>
        <w:t>équipement ; la formation des techniciens ;</w:t>
      </w:r>
      <w:r>
        <w:rPr>
          <w:szCs w:val="20"/>
          <w:lang w:val="fr-FR"/>
        </w:rPr>
        <w:t xml:space="preserve"> </w:t>
      </w:r>
      <w:r w:rsidRPr="00B238E2">
        <w:rPr>
          <w:szCs w:val="20"/>
          <w:lang w:val="fr-FR"/>
        </w:rPr>
        <w:t>des activités de sensibilisation du public ; des contrôles douaniers</w:t>
      </w:r>
      <w:r>
        <w:rPr>
          <w:szCs w:val="20"/>
          <w:lang w:val="fr-FR"/>
        </w:rPr>
        <w:t xml:space="preserve"> </w:t>
      </w:r>
      <w:r w:rsidRPr="00B238E2">
        <w:rPr>
          <w:szCs w:val="20"/>
          <w:lang w:val="fr-FR"/>
        </w:rPr>
        <w:t>des nouveaux</w:t>
      </w:r>
      <w:r>
        <w:rPr>
          <w:szCs w:val="20"/>
          <w:lang w:val="fr-FR"/>
        </w:rPr>
        <w:t xml:space="preserve"> </w:t>
      </w:r>
      <w:r w:rsidRPr="00B238E2">
        <w:rPr>
          <w:szCs w:val="20"/>
          <w:lang w:val="fr-FR"/>
        </w:rPr>
        <w:t>équipements contenant des CFC ; le retrait des</w:t>
      </w:r>
      <w:r>
        <w:rPr>
          <w:szCs w:val="20"/>
          <w:lang w:val="fr-FR"/>
        </w:rPr>
        <w:t xml:space="preserve"> </w:t>
      </w:r>
      <w:r w:rsidRPr="00B238E2">
        <w:rPr>
          <w:szCs w:val="20"/>
          <w:lang w:val="fr-FR"/>
        </w:rPr>
        <w:t>équipements existants contenant des CFC ; et une augmentation de l</w:t>
      </w:r>
      <w:r>
        <w:rPr>
          <w:szCs w:val="20"/>
          <w:lang w:val="fr-FR"/>
        </w:rPr>
        <w:t>’</w:t>
      </w:r>
      <w:r w:rsidRPr="00B238E2">
        <w:rPr>
          <w:szCs w:val="20"/>
          <w:lang w:val="fr-FR"/>
        </w:rPr>
        <w:t>approvisionnement en CFC recyclés.</w:t>
      </w:r>
    </w:p>
  </w:footnote>
  <w:footnote w:id="20">
    <w:p w:rsidR="00385016" w:rsidRPr="00C51E0A" w:rsidRDefault="00385016" w:rsidP="001D4719">
      <w:pPr>
        <w:pStyle w:val="FootnoteText"/>
        <w:rPr>
          <w:szCs w:val="20"/>
          <w:lang w:val="fr-FR"/>
        </w:rPr>
      </w:pPr>
      <w:r w:rsidRPr="00D57928">
        <w:rPr>
          <w:rStyle w:val="FootnoteReference"/>
          <w:szCs w:val="20"/>
        </w:rPr>
        <w:footnoteRef/>
      </w:r>
      <w:r w:rsidRPr="00C51E0A">
        <w:rPr>
          <w:szCs w:val="20"/>
          <w:lang w:val="fr-FR"/>
        </w:rPr>
        <w:t xml:space="preserve"> </w:t>
      </w:r>
      <w:r w:rsidRPr="00B238E2">
        <w:rPr>
          <w:szCs w:val="20"/>
          <w:lang w:val="fr-FR"/>
        </w:rPr>
        <w:t>Depuis la ratification du Protocole de Montréal, on ne compte qu</w:t>
      </w:r>
      <w:r>
        <w:rPr>
          <w:szCs w:val="20"/>
          <w:lang w:val="fr-FR"/>
        </w:rPr>
        <w:t>’</w:t>
      </w:r>
      <w:r w:rsidRPr="00B238E2">
        <w:rPr>
          <w:szCs w:val="20"/>
          <w:lang w:val="fr-FR"/>
        </w:rPr>
        <w:t>un petit nombre de pays qui se sont trouvés en situation de non-conformité avec le Protocole.</w:t>
      </w:r>
      <w:r w:rsidRPr="00C51E0A">
        <w:rPr>
          <w:szCs w:val="20"/>
          <w:lang w:val="fr-FR"/>
        </w:rPr>
        <w:t xml:space="preserve"> </w:t>
      </w:r>
      <w:r w:rsidRPr="00DF360D">
        <w:rPr>
          <w:szCs w:val="20"/>
          <w:lang w:val="fr-FR"/>
        </w:rPr>
        <w:t>Mais avec l</w:t>
      </w:r>
      <w:r>
        <w:rPr>
          <w:szCs w:val="20"/>
          <w:lang w:val="fr-FR"/>
        </w:rPr>
        <w:t>’</w:t>
      </w:r>
      <w:r w:rsidRPr="00DF360D">
        <w:rPr>
          <w:szCs w:val="20"/>
          <w:lang w:val="fr-FR"/>
        </w:rPr>
        <w:t>assistance du Fonds multilatéral, ces Parties se sont retrouvées dans un délai donné</w:t>
      </w:r>
      <w:r>
        <w:rPr>
          <w:szCs w:val="20"/>
          <w:lang w:val="fr-FR"/>
        </w:rPr>
        <w:t xml:space="preserve"> en</w:t>
      </w:r>
      <w:r w:rsidRPr="00DF360D">
        <w:rPr>
          <w:szCs w:val="20"/>
          <w:lang w:val="fr-FR"/>
        </w:rPr>
        <w:t xml:space="preserve"> situation de conformité.</w:t>
      </w:r>
    </w:p>
  </w:footnote>
  <w:footnote w:id="21">
    <w:p w:rsidR="00385016" w:rsidRPr="00C51E0A" w:rsidRDefault="00385016" w:rsidP="00EB56BA">
      <w:pPr>
        <w:pStyle w:val="FootnoteText"/>
        <w:rPr>
          <w:szCs w:val="20"/>
          <w:lang w:val="fr-FR"/>
        </w:rPr>
      </w:pPr>
      <w:r w:rsidRPr="00D57928">
        <w:rPr>
          <w:rStyle w:val="FootnoteReference"/>
          <w:szCs w:val="20"/>
        </w:rPr>
        <w:footnoteRef/>
      </w:r>
      <w:r w:rsidRPr="00C51E0A">
        <w:rPr>
          <w:szCs w:val="20"/>
          <w:lang w:val="fr-FR"/>
        </w:rPr>
        <w:t xml:space="preserve"> </w:t>
      </w:r>
      <w:r w:rsidRPr="00DF360D">
        <w:rPr>
          <w:szCs w:val="20"/>
          <w:lang w:val="fr-FR"/>
        </w:rPr>
        <w:t>Par exemple,</w:t>
      </w:r>
      <w:r>
        <w:rPr>
          <w:szCs w:val="20"/>
          <w:lang w:val="fr-FR"/>
        </w:rPr>
        <w:t xml:space="preserve"> un</w:t>
      </w:r>
      <w:r w:rsidRPr="00DF360D">
        <w:rPr>
          <w:szCs w:val="20"/>
          <w:lang w:val="fr-FR"/>
        </w:rPr>
        <w:t xml:space="preserve"> financement a été approuvé en principe pour éliminer 62 pour cent de la valeur de référence globale des HCFC en vue de la conformité dans les pays visés à l</w:t>
      </w:r>
      <w:r>
        <w:rPr>
          <w:szCs w:val="20"/>
          <w:lang w:val="fr-FR"/>
        </w:rPr>
        <w:t>’</w:t>
      </w:r>
      <w:r w:rsidRPr="00DF360D">
        <w:rPr>
          <w:szCs w:val="20"/>
          <w:lang w:val="fr-FR"/>
        </w:rPr>
        <w:t>article 5, bien avant la mesure de réglementation de 35 pour cent en 2020.</w:t>
      </w:r>
    </w:p>
  </w:footnote>
  <w:footnote w:id="22">
    <w:p w:rsidR="00385016" w:rsidRPr="00C51E0A" w:rsidRDefault="00385016" w:rsidP="004C031D">
      <w:pPr>
        <w:pStyle w:val="FootnoteText"/>
        <w:rPr>
          <w:szCs w:val="20"/>
          <w:lang w:val="fr-FR"/>
        </w:rPr>
      </w:pPr>
      <w:r w:rsidRPr="00D57928">
        <w:rPr>
          <w:rStyle w:val="FootnoteReference"/>
          <w:szCs w:val="20"/>
        </w:rPr>
        <w:footnoteRef/>
      </w:r>
      <w:r w:rsidRPr="00C51E0A">
        <w:rPr>
          <w:szCs w:val="20"/>
          <w:lang w:val="fr-FR"/>
        </w:rPr>
        <w:t xml:space="preserve"> </w:t>
      </w:r>
      <w:r w:rsidRPr="006E526B">
        <w:rPr>
          <w:szCs w:val="20"/>
          <w:lang w:val="fr-FR"/>
        </w:rPr>
        <w:t xml:space="preserve">Entre autres pour </w:t>
      </w:r>
      <w:r w:rsidR="005C0A7B">
        <w:rPr>
          <w:szCs w:val="20"/>
          <w:lang w:val="fr-FR"/>
        </w:rPr>
        <w:t>l</w:t>
      </w:r>
      <w:r w:rsidRPr="006E526B">
        <w:rPr>
          <w:szCs w:val="20"/>
          <w:lang w:val="fr-FR"/>
        </w:rPr>
        <w:t>es substances, pour les équipements, pour les conteneurs de frigorigènes et pour l</w:t>
      </w:r>
      <w:r>
        <w:rPr>
          <w:szCs w:val="20"/>
          <w:lang w:val="fr-FR"/>
        </w:rPr>
        <w:t>’</w:t>
      </w:r>
      <w:r w:rsidRPr="006E526B">
        <w:rPr>
          <w:szCs w:val="20"/>
          <w:lang w:val="fr-FR"/>
        </w:rPr>
        <w:t>entreposage, le transport et la conception des systèmes et des composants, la charge maximum de frigorigène, l</w:t>
      </w:r>
      <w:r>
        <w:rPr>
          <w:szCs w:val="20"/>
          <w:lang w:val="fr-FR"/>
        </w:rPr>
        <w:t>’</w:t>
      </w:r>
      <w:r w:rsidRPr="006E526B">
        <w:rPr>
          <w:szCs w:val="20"/>
          <w:lang w:val="fr-FR"/>
        </w:rPr>
        <w:t>installation,</w:t>
      </w:r>
      <w:r>
        <w:rPr>
          <w:szCs w:val="20"/>
          <w:lang w:val="fr-FR"/>
        </w:rPr>
        <w:t xml:space="preserve"> </w:t>
      </w:r>
      <w:r w:rsidRPr="006E526B">
        <w:rPr>
          <w:szCs w:val="20"/>
          <w:lang w:val="fr-FR"/>
        </w:rPr>
        <w:t>l</w:t>
      </w:r>
      <w:r>
        <w:rPr>
          <w:szCs w:val="20"/>
          <w:lang w:val="fr-FR"/>
        </w:rPr>
        <w:t>’</w:t>
      </w:r>
      <w:r w:rsidRPr="006E526B">
        <w:rPr>
          <w:szCs w:val="20"/>
          <w:lang w:val="fr-FR"/>
        </w:rPr>
        <w:t>entretien et l</w:t>
      </w:r>
      <w:r>
        <w:rPr>
          <w:szCs w:val="20"/>
          <w:lang w:val="fr-FR"/>
        </w:rPr>
        <w:t>’</w:t>
      </w:r>
      <w:r w:rsidRPr="006E526B">
        <w:rPr>
          <w:szCs w:val="20"/>
          <w:lang w:val="fr-FR"/>
        </w:rPr>
        <w:t>élimination définitive des équipements.</w:t>
      </w:r>
    </w:p>
  </w:footnote>
  <w:footnote w:id="23">
    <w:p w:rsidR="00385016" w:rsidRPr="00C51E0A" w:rsidRDefault="00385016" w:rsidP="00EB56BA">
      <w:pPr>
        <w:pStyle w:val="FootnoteText"/>
        <w:rPr>
          <w:szCs w:val="20"/>
          <w:lang w:val="fr-FR"/>
        </w:rPr>
      </w:pPr>
      <w:r w:rsidRPr="00D57928">
        <w:rPr>
          <w:rStyle w:val="FootnoteReference"/>
          <w:szCs w:val="20"/>
        </w:rPr>
        <w:footnoteRef/>
      </w:r>
      <w:r w:rsidRPr="00C51E0A">
        <w:rPr>
          <w:szCs w:val="20"/>
          <w:lang w:val="fr-FR"/>
        </w:rPr>
        <w:t xml:space="preserve"> </w:t>
      </w:r>
      <w:r w:rsidRPr="006E526B">
        <w:rPr>
          <w:szCs w:val="20"/>
          <w:lang w:val="fr-FR"/>
        </w:rPr>
        <w:t>Décision 72/41</w:t>
      </w:r>
    </w:p>
  </w:footnote>
  <w:footnote w:id="24">
    <w:p w:rsidR="00385016" w:rsidRPr="00C51E0A" w:rsidRDefault="00385016" w:rsidP="00EB56BA">
      <w:pPr>
        <w:pStyle w:val="FootnoteText"/>
        <w:rPr>
          <w:szCs w:val="20"/>
          <w:lang w:val="fr-FR"/>
        </w:rPr>
      </w:pPr>
      <w:r w:rsidRPr="00D57928">
        <w:rPr>
          <w:rStyle w:val="FootnoteReference"/>
          <w:szCs w:val="20"/>
        </w:rPr>
        <w:footnoteRef/>
      </w:r>
      <w:r w:rsidRPr="00C51E0A">
        <w:rPr>
          <w:szCs w:val="20"/>
          <w:lang w:val="fr-FR"/>
        </w:rPr>
        <w:t xml:space="preserve"> </w:t>
      </w:r>
      <w:r w:rsidRPr="006E526B">
        <w:rPr>
          <w:szCs w:val="20"/>
          <w:lang w:val="fr-FR"/>
        </w:rPr>
        <w:t>Les normes couvertes par le guide sont regroupées en quatre catégories principales :</w:t>
      </w:r>
      <w:r w:rsidRPr="00C51E0A">
        <w:rPr>
          <w:szCs w:val="20"/>
          <w:lang w:val="fr-FR"/>
        </w:rPr>
        <w:t xml:space="preserve"> </w:t>
      </w:r>
      <w:r w:rsidRPr="00757DCC">
        <w:rPr>
          <w:szCs w:val="20"/>
          <w:lang w:val="fr-FR"/>
        </w:rPr>
        <w:t>(a) Normes de sécurité pour la conception, la construction et l</w:t>
      </w:r>
      <w:r>
        <w:rPr>
          <w:szCs w:val="20"/>
          <w:lang w:val="fr-FR"/>
        </w:rPr>
        <w:t>’</w:t>
      </w:r>
      <w:r w:rsidRPr="00757DCC">
        <w:rPr>
          <w:szCs w:val="20"/>
          <w:lang w:val="fr-FR"/>
        </w:rPr>
        <w:t>installation des produits et des systèmes de réfrigération, de climatisation et de pompes à chaleur ; (b) Normes de rendement pour déterminer l</w:t>
      </w:r>
      <w:r>
        <w:rPr>
          <w:szCs w:val="20"/>
          <w:lang w:val="fr-FR"/>
        </w:rPr>
        <w:t>’</w:t>
      </w:r>
      <w:r w:rsidRPr="00757DCC">
        <w:rPr>
          <w:szCs w:val="20"/>
          <w:lang w:val="fr-FR"/>
        </w:rPr>
        <w:t>efficacité et les performances des systèmes et des équipements de réfrigération, de climatisation et de pompes à chaleur ainsi que celles des frigorigènes ; (c) Normes de pratique pour identifier les connaissances et guider les meilleures pratiques pour les techniciens frigoristes lorsqu</w:t>
      </w:r>
      <w:r>
        <w:rPr>
          <w:szCs w:val="20"/>
          <w:lang w:val="fr-FR"/>
        </w:rPr>
        <w:t>’</w:t>
      </w:r>
      <w:r w:rsidRPr="00757DCC">
        <w:rPr>
          <w:szCs w:val="20"/>
          <w:lang w:val="fr-FR"/>
        </w:rPr>
        <w:t>ils s</w:t>
      </w:r>
      <w:r>
        <w:rPr>
          <w:szCs w:val="20"/>
          <w:lang w:val="fr-FR"/>
        </w:rPr>
        <w:t>’</w:t>
      </w:r>
      <w:r w:rsidRPr="00757DCC">
        <w:rPr>
          <w:szCs w:val="20"/>
          <w:lang w:val="fr-FR"/>
        </w:rPr>
        <w:t>occupent de systèmes de réfrigération, de climatisation et de pompes à chaleur et manipulent des frigorigènes ; et (d) Normes de qualité couvrant tout type d</w:t>
      </w:r>
      <w:r>
        <w:rPr>
          <w:szCs w:val="20"/>
          <w:lang w:val="fr-FR"/>
        </w:rPr>
        <w:t>’</w:t>
      </w:r>
      <w:r w:rsidRPr="00757DCC">
        <w:rPr>
          <w:szCs w:val="20"/>
          <w:lang w:val="fr-FR"/>
        </w:rPr>
        <w:t>industrie, mais applicables aux processus impliquant des frigorigènes tels que la production, la comptabilisation, la certification et la formation.</w:t>
      </w:r>
    </w:p>
  </w:footnote>
  <w:footnote w:id="25">
    <w:p w:rsidR="00385016" w:rsidRPr="00C51E0A" w:rsidRDefault="00385016" w:rsidP="00EB56BA">
      <w:pPr>
        <w:pStyle w:val="FootnoteText"/>
        <w:rPr>
          <w:szCs w:val="20"/>
          <w:lang w:val="fr-FR"/>
        </w:rPr>
      </w:pPr>
      <w:r w:rsidRPr="00D57928">
        <w:rPr>
          <w:rStyle w:val="FootnoteReference"/>
          <w:szCs w:val="20"/>
        </w:rPr>
        <w:footnoteRef/>
      </w:r>
      <w:r w:rsidRPr="00C51E0A">
        <w:rPr>
          <w:szCs w:val="20"/>
          <w:lang w:val="fr-FR"/>
        </w:rPr>
        <w:t xml:space="preserve"> </w:t>
      </w:r>
      <w:r w:rsidRPr="00514A7C">
        <w:rPr>
          <w:szCs w:val="20"/>
          <w:lang w:val="fr-FR"/>
        </w:rPr>
        <w:t>Les labels énergétiques aboutissent à la différentiation des produits, plaçant les</w:t>
      </w:r>
      <w:r>
        <w:rPr>
          <w:szCs w:val="20"/>
          <w:lang w:val="fr-FR"/>
        </w:rPr>
        <w:t xml:space="preserve"> </w:t>
      </w:r>
      <w:r w:rsidRPr="00514A7C">
        <w:rPr>
          <w:szCs w:val="20"/>
          <w:lang w:val="fr-FR"/>
        </w:rPr>
        <w:t xml:space="preserve">produits </w:t>
      </w:r>
      <w:r>
        <w:rPr>
          <w:szCs w:val="20"/>
          <w:lang w:val="fr-FR"/>
        </w:rPr>
        <w:t>ayant un</w:t>
      </w:r>
      <w:r w:rsidRPr="00514A7C">
        <w:rPr>
          <w:szCs w:val="20"/>
          <w:lang w:val="fr-FR"/>
        </w:rPr>
        <w:t xml:space="preserve"> meilleur </w:t>
      </w:r>
      <w:r w:rsidRPr="005C0A7B">
        <w:rPr>
          <w:szCs w:val="20"/>
          <w:lang w:val="fr-FR"/>
        </w:rPr>
        <w:t xml:space="preserve">rendement dans </w:t>
      </w:r>
      <w:r w:rsidR="005C0A7B" w:rsidRPr="005C0A7B">
        <w:rPr>
          <w:szCs w:val="20"/>
          <w:lang w:val="fr-FR"/>
        </w:rPr>
        <w:t>une</w:t>
      </w:r>
      <w:r w:rsidRPr="005C0A7B">
        <w:rPr>
          <w:szCs w:val="20"/>
          <w:lang w:val="fr-FR"/>
        </w:rPr>
        <w:t xml:space="preserve"> catégorie de prix élevés assortis d’autres caractéristiques connexes</w:t>
      </w:r>
      <w:r w:rsidRPr="00514A7C">
        <w:rPr>
          <w:szCs w:val="20"/>
          <w:lang w:val="fr-FR"/>
        </w:rPr>
        <w:t>.</w:t>
      </w:r>
      <w:r w:rsidRPr="00C51E0A">
        <w:rPr>
          <w:szCs w:val="20"/>
          <w:lang w:val="fr-FR"/>
        </w:rPr>
        <w:t xml:space="preserve"> </w:t>
      </w:r>
      <w:r w:rsidRPr="00514A7C">
        <w:rPr>
          <w:szCs w:val="20"/>
          <w:lang w:val="fr-FR"/>
        </w:rPr>
        <w:t>Les MEPS ont pour effet de pousser des fabricants à incorporer plus tôt qu</w:t>
      </w:r>
      <w:r>
        <w:rPr>
          <w:szCs w:val="20"/>
          <w:lang w:val="fr-FR"/>
        </w:rPr>
        <w:t>’</w:t>
      </w:r>
      <w:r w:rsidRPr="00514A7C">
        <w:rPr>
          <w:szCs w:val="20"/>
          <w:lang w:val="fr-FR"/>
        </w:rPr>
        <w:t>ils ne l</w:t>
      </w:r>
      <w:r>
        <w:rPr>
          <w:szCs w:val="20"/>
          <w:lang w:val="fr-FR"/>
        </w:rPr>
        <w:t>’</w:t>
      </w:r>
      <w:r w:rsidRPr="00514A7C">
        <w:rPr>
          <w:szCs w:val="20"/>
          <w:lang w:val="fr-FR"/>
        </w:rPr>
        <w:t>auraient fait autrement des composants et des conceptions à haut rendement énergétique dans des lignes de produits à plus bas prix sur un plus grand marché.</w:t>
      </w:r>
    </w:p>
  </w:footnote>
  <w:footnote w:id="26">
    <w:p w:rsidR="00385016" w:rsidRPr="00C51E0A" w:rsidRDefault="00385016" w:rsidP="00EB56BA">
      <w:pPr>
        <w:pStyle w:val="FootnoteText"/>
        <w:rPr>
          <w:szCs w:val="20"/>
          <w:lang w:val="fr-FR"/>
        </w:rPr>
      </w:pPr>
      <w:r w:rsidRPr="00D57928">
        <w:rPr>
          <w:rStyle w:val="FootnoteReference"/>
          <w:szCs w:val="20"/>
        </w:rPr>
        <w:footnoteRef/>
      </w:r>
      <w:r w:rsidRPr="00C51E0A">
        <w:rPr>
          <w:szCs w:val="20"/>
          <w:lang w:val="fr-FR"/>
        </w:rPr>
        <w:t xml:space="preserve"> </w:t>
      </w:r>
      <w:r w:rsidRPr="00514A7C">
        <w:rPr>
          <w:szCs w:val="20"/>
          <w:lang w:val="fr-FR"/>
        </w:rPr>
        <w:t>Dans des processus d</w:t>
      </w:r>
      <w:r>
        <w:rPr>
          <w:szCs w:val="20"/>
          <w:lang w:val="fr-FR"/>
        </w:rPr>
        <w:t>’</w:t>
      </w:r>
      <w:r w:rsidRPr="00514A7C">
        <w:rPr>
          <w:szCs w:val="20"/>
          <w:lang w:val="fr-FR"/>
        </w:rPr>
        <w:t xml:space="preserve">établissement des normes de performance énergétique minimale (MEPS), les </w:t>
      </w:r>
      <w:r w:rsidRPr="00514A7C">
        <w:rPr>
          <w:lang w:val="fr-FR"/>
        </w:rPr>
        <w:t>responsables de l</w:t>
      </w:r>
      <w:r>
        <w:rPr>
          <w:lang w:val="fr-FR"/>
        </w:rPr>
        <w:t>’</w:t>
      </w:r>
      <w:r w:rsidRPr="00514A7C">
        <w:rPr>
          <w:lang w:val="fr-FR"/>
        </w:rPr>
        <w:t>élaboration des politiques d</w:t>
      </w:r>
      <w:r>
        <w:rPr>
          <w:lang w:val="fr-FR"/>
        </w:rPr>
        <w:t>’</w:t>
      </w:r>
      <w:r w:rsidRPr="00514A7C">
        <w:rPr>
          <w:lang w:val="fr-FR"/>
        </w:rPr>
        <w:t>efficacité énergétique</w:t>
      </w:r>
      <w:r>
        <w:rPr>
          <w:lang w:val="fr-FR"/>
        </w:rPr>
        <w:t xml:space="preserve"> </w:t>
      </w:r>
      <w:r w:rsidRPr="00514A7C">
        <w:rPr>
          <w:szCs w:val="20"/>
          <w:lang w:val="fr-FR"/>
        </w:rPr>
        <w:t>comparent l</w:t>
      </w:r>
      <w:r>
        <w:rPr>
          <w:szCs w:val="20"/>
          <w:lang w:val="fr-FR"/>
        </w:rPr>
        <w:t>’</w:t>
      </w:r>
      <w:r w:rsidRPr="00514A7C">
        <w:rPr>
          <w:szCs w:val="20"/>
          <w:lang w:val="fr-FR"/>
        </w:rPr>
        <w:t>augmentation du prix d</w:t>
      </w:r>
      <w:r>
        <w:rPr>
          <w:szCs w:val="20"/>
          <w:lang w:val="fr-FR"/>
        </w:rPr>
        <w:t>’</w:t>
      </w:r>
      <w:r w:rsidRPr="00514A7C">
        <w:rPr>
          <w:szCs w:val="20"/>
          <w:lang w:val="fr-FR"/>
        </w:rPr>
        <w:t>achat pour des équipements à</w:t>
      </w:r>
      <w:r>
        <w:rPr>
          <w:szCs w:val="20"/>
          <w:lang w:val="fr-FR"/>
        </w:rPr>
        <w:t xml:space="preserve"> </w:t>
      </w:r>
      <w:r w:rsidRPr="00514A7C">
        <w:rPr>
          <w:szCs w:val="20"/>
          <w:lang w:val="fr-FR"/>
        </w:rPr>
        <w:t>rendement énergétique plus élevé par rapport aux économies d</w:t>
      </w:r>
      <w:r>
        <w:rPr>
          <w:szCs w:val="20"/>
          <w:lang w:val="fr-FR"/>
        </w:rPr>
        <w:t>’</w:t>
      </w:r>
      <w:r w:rsidRPr="00514A7C">
        <w:rPr>
          <w:szCs w:val="20"/>
          <w:lang w:val="fr-FR"/>
        </w:rPr>
        <w:t xml:space="preserve">énergie pour le consommateur, et </w:t>
      </w:r>
      <w:r>
        <w:rPr>
          <w:szCs w:val="20"/>
          <w:lang w:val="fr-FR"/>
        </w:rPr>
        <w:t>définiss</w:t>
      </w:r>
      <w:r w:rsidRPr="00514A7C">
        <w:rPr>
          <w:szCs w:val="20"/>
          <w:lang w:val="fr-FR"/>
        </w:rPr>
        <w:t xml:space="preserve">ent le niveau des MEPS de façon à ce que le consommateur </w:t>
      </w:r>
      <w:r w:rsidRPr="008E06A8">
        <w:rPr>
          <w:szCs w:val="20"/>
          <w:lang w:val="fr-FR"/>
        </w:rPr>
        <w:t>moyen soit « remboursé » au bout</w:t>
      </w:r>
      <w:r w:rsidRPr="00514A7C">
        <w:rPr>
          <w:szCs w:val="20"/>
          <w:lang w:val="fr-FR"/>
        </w:rPr>
        <w:t xml:space="preserve"> d</w:t>
      </w:r>
      <w:r>
        <w:rPr>
          <w:szCs w:val="20"/>
          <w:lang w:val="fr-FR"/>
        </w:rPr>
        <w:t>’</w:t>
      </w:r>
      <w:r w:rsidRPr="00514A7C">
        <w:rPr>
          <w:szCs w:val="20"/>
          <w:lang w:val="fr-FR"/>
        </w:rPr>
        <w:t>un délai spécifié.</w:t>
      </w:r>
    </w:p>
  </w:footnote>
  <w:footnote w:id="27">
    <w:p w:rsidR="00385016" w:rsidRPr="00C51E0A" w:rsidRDefault="00385016" w:rsidP="00AC340C">
      <w:pPr>
        <w:rPr>
          <w:sz w:val="20"/>
          <w:szCs w:val="20"/>
          <w:lang w:val="fr-FR"/>
        </w:rPr>
      </w:pPr>
      <w:r w:rsidRPr="00D57928">
        <w:rPr>
          <w:rStyle w:val="FootnoteReference"/>
          <w:sz w:val="20"/>
          <w:szCs w:val="20"/>
        </w:rPr>
        <w:footnoteRef/>
      </w:r>
      <w:r w:rsidRPr="00C51E0A">
        <w:rPr>
          <w:sz w:val="20"/>
          <w:szCs w:val="20"/>
          <w:lang w:val="fr-FR"/>
        </w:rPr>
        <w:t xml:space="preserve"> </w:t>
      </w:r>
      <w:r w:rsidRPr="00AC340C">
        <w:rPr>
          <w:color w:val="000000" w:themeColor="text1"/>
          <w:sz w:val="20"/>
          <w:szCs w:val="20"/>
          <w:lang w:val="fr-FR"/>
        </w:rPr>
        <w:t xml:space="preserve">Extrait </w:t>
      </w:r>
      <w:r>
        <w:rPr>
          <w:color w:val="000000" w:themeColor="text1"/>
          <w:sz w:val="20"/>
          <w:szCs w:val="20"/>
          <w:lang w:val="fr-FR"/>
        </w:rPr>
        <w:t xml:space="preserve">du </w:t>
      </w:r>
      <w:r w:rsidRPr="00AC340C">
        <w:rPr>
          <w:color w:val="000000" w:themeColor="text1"/>
          <w:sz w:val="20"/>
          <w:szCs w:val="20"/>
          <w:lang w:val="fr-FR"/>
        </w:rPr>
        <w:t>rapport de groupe de travail du TEAP en application de la décision XXIX/10.</w:t>
      </w:r>
      <w:r w:rsidRPr="00C51E0A">
        <w:rPr>
          <w:color w:val="000000" w:themeColor="text1"/>
          <w:sz w:val="20"/>
          <w:szCs w:val="20"/>
          <w:lang w:val="fr-FR"/>
        </w:rPr>
        <w:t xml:space="preserve"> </w:t>
      </w:r>
      <w:r w:rsidRPr="00AC340C">
        <w:rPr>
          <w:color w:val="000000" w:themeColor="text1"/>
          <w:sz w:val="20"/>
          <w:szCs w:val="20"/>
          <w:lang w:val="fr-FR"/>
        </w:rPr>
        <w:t>Les sources d</w:t>
      </w:r>
      <w:r>
        <w:rPr>
          <w:color w:val="000000" w:themeColor="text1"/>
          <w:sz w:val="20"/>
          <w:szCs w:val="20"/>
          <w:lang w:val="fr-FR"/>
        </w:rPr>
        <w:t>’</w:t>
      </w:r>
      <w:r w:rsidRPr="00AC340C">
        <w:rPr>
          <w:color w:val="000000" w:themeColor="text1"/>
          <w:sz w:val="20"/>
          <w:szCs w:val="20"/>
          <w:lang w:val="fr-FR"/>
        </w:rPr>
        <w:t>information incluaient :</w:t>
      </w:r>
      <w:r w:rsidRPr="00C51E0A">
        <w:rPr>
          <w:color w:val="000000" w:themeColor="text1"/>
          <w:sz w:val="20"/>
          <w:szCs w:val="20"/>
          <w:lang w:val="fr-FR"/>
        </w:rPr>
        <w:t xml:space="preserve"> </w:t>
      </w:r>
      <w:r w:rsidRPr="00AC340C">
        <w:rPr>
          <w:color w:val="000000" w:themeColor="text1"/>
          <w:sz w:val="20"/>
          <w:szCs w:val="20"/>
          <w:lang w:val="fr-FR"/>
        </w:rPr>
        <w:t xml:space="preserve">CLASP Policy Database (2018), </w:t>
      </w:r>
      <w:hyperlink r:id="rId1" w:history="1">
        <w:r w:rsidRPr="00AC340C">
          <w:rPr>
            <w:rStyle w:val="Hyperlink"/>
            <w:color w:val="000000" w:themeColor="text1"/>
            <w:sz w:val="20"/>
            <w:szCs w:val="20"/>
            <w:lang w:val="fr-FR"/>
          </w:rPr>
          <w:t>https://clasp.ngo/policies</w:t>
        </w:r>
      </w:hyperlink>
      <w:r w:rsidRPr="00AC340C">
        <w:rPr>
          <w:rStyle w:val="Hyperlink"/>
          <w:color w:val="000000" w:themeColor="text1"/>
          <w:sz w:val="20"/>
          <w:szCs w:val="20"/>
          <w:lang w:val="fr-FR"/>
        </w:rPr>
        <w:t xml:space="preserve"> </w:t>
      </w:r>
      <w:r w:rsidRPr="00AC340C">
        <w:rPr>
          <w:color w:val="000000" w:themeColor="text1"/>
          <w:sz w:val="20"/>
          <w:szCs w:val="20"/>
          <w:lang w:val="fr-FR"/>
        </w:rPr>
        <w:t>(consulté</w:t>
      </w:r>
      <w:r>
        <w:rPr>
          <w:color w:val="000000" w:themeColor="text1"/>
          <w:sz w:val="20"/>
          <w:szCs w:val="20"/>
          <w:lang w:val="fr-FR"/>
        </w:rPr>
        <w:t xml:space="preserve"> </w:t>
      </w:r>
      <w:r w:rsidRPr="00AC340C">
        <w:rPr>
          <w:color w:val="000000" w:themeColor="text1"/>
          <w:sz w:val="20"/>
          <w:szCs w:val="20"/>
          <w:lang w:val="fr-FR"/>
        </w:rPr>
        <w:t xml:space="preserve">le 15 août 2018) ; Kigali Cooling Efficiency Program, Africa Cooling Map, </w:t>
      </w:r>
      <w:hyperlink r:id="rId2" w:history="1">
        <w:r w:rsidRPr="00AC340C">
          <w:rPr>
            <w:rStyle w:val="Hyperlink"/>
            <w:color w:val="000000" w:themeColor="text1"/>
            <w:sz w:val="20"/>
            <w:szCs w:val="20"/>
            <w:lang w:val="fr-FR"/>
          </w:rPr>
          <w:t>https://www.k-cep.org/wp-content/uploads/2018/05/Africa-Cooling-map.pdf</w:t>
        </w:r>
      </w:hyperlink>
      <w:r w:rsidRPr="00AC340C">
        <w:rPr>
          <w:color w:val="000000" w:themeColor="text1"/>
          <w:sz w:val="20"/>
          <w:szCs w:val="20"/>
          <w:lang w:val="fr-FR"/>
        </w:rPr>
        <w:t xml:space="preserve">; Braungardt S </w:t>
      </w:r>
      <w:r>
        <w:rPr>
          <w:color w:val="000000" w:themeColor="text1"/>
          <w:sz w:val="20"/>
          <w:szCs w:val="20"/>
          <w:lang w:val="fr-FR"/>
        </w:rPr>
        <w:t xml:space="preserve">et </w:t>
      </w:r>
      <w:r w:rsidRPr="00AC340C">
        <w:rPr>
          <w:color w:val="000000" w:themeColor="text1"/>
          <w:sz w:val="20"/>
          <w:szCs w:val="20"/>
          <w:lang w:val="fr-FR"/>
        </w:rPr>
        <w:t xml:space="preserve">Göthner KC, 2017. Harmonisation </w:t>
      </w:r>
      <w:r>
        <w:rPr>
          <w:color w:val="000000" w:themeColor="text1"/>
          <w:sz w:val="20"/>
          <w:szCs w:val="20"/>
          <w:lang w:val="fr-FR"/>
        </w:rPr>
        <w:t>des</w:t>
      </w:r>
      <w:r w:rsidRPr="00AC340C">
        <w:rPr>
          <w:color w:val="000000" w:themeColor="text1"/>
          <w:sz w:val="20"/>
          <w:szCs w:val="20"/>
          <w:lang w:val="fr-FR"/>
        </w:rPr>
        <w:t xml:space="preserve"> MEPS </w:t>
      </w:r>
      <w:r>
        <w:rPr>
          <w:color w:val="000000" w:themeColor="text1"/>
          <w:sz w:val="20"/>
          <w:szCs w:val="20"/>
          <w:lang w:val="fr-FR"/>
        </w:rPr>
        <w:t>et labels énergétiques en Amérique latine et dans les Caraïbes – possibilités offertes et défis</w:t>
      </w:r>
      <w:r w:rsidRPr="00AC340C">
        <w:rPr>
          <w:color w:val="000000" w:themeColor="text1"/>
          <w:sz w:val="20"/>
          <w:szCs w:val="20"/>
          <w:lang w:val="fr-FR"/>
        </w:rPr>
        <w:t>.</w:t>
      </w:r>
      <w:r w:rsidRPr="00C51E0A">
        <w:rPr>
          <w:color w:val="000000" w:themeColor="text1"/>
          <w:sz w:val="20"/>
          <w:szCs w:val="20"/>
          <w:lang w:val="fr-FR"/>
        </w:rPr>
        <w:t xml:space="preserve"> </w:t>
      </w:r>
    </w:p>
  </w:footnote>
  <w:footnote w:id="28">
    <w:p w:rsidR="00385016" w:rsidRPr="00C51E0A" w:rsidRDefault="00385016" w:rsidP="009C6BB6">
      <w:pPr>
        <w:pStyle w:val="FootnoteText"/>
        <w:rPr>
          <w:szCs w:val="20"/>
          <w:lang w:val="fr-FR"/>
        </w:rPr>
      </w:pPr>
      <w:r w:rsidRPr="00D57928">
        <w:rPr>
          <w:rStyle w:val="FootnoteReference"/>
          <w:szCs w:val="20"/>
        </w:rPr>
        <w:footnoteRef/>
      </w:r>
      <w:r w:rsidRPr="00C51E0A">
        <w:rPr>
          <w:szCs w:val="20"/>
          <w:lang w:val="fr-FR"/>
        </w:rPr>
        <w:t xml:space="preserve"> </w:t>
      </w:r>
      <w:r w:rsidRPr="00AC340C">
        <w:rPr>
          <w:szCs w:val="20"/>
          <w:lang w:val="fr-FR"/>
        </w:rPr>
        <w:t xml:space="preserve">Les </w:t>
      </w:r>
      <w:r>
        <w:rPr>
          <w:szCs w:val="20"/>
          <w:lang w:val="fr-FR"/>
        </w:rPr>
        <w:t xml:space="preserve">labels </w:t>
      </w:r>
      <w:r w:rsidRPr="00AC340C">
        <w:rPr>
          <w:szCs w:val="20"/>
          <w:lang w:val="fr-FR"/>
        </w:rPr>
        <w:t>comparati</w:t>
      </w:r>
      <w:r>
        <w:rPr>
          <w:szCs w:val="20"/>
          <w:lang w:val="fr-FR"/>
        </w:rPr>
        <w:t>fs</w:t>
      </w:r>
      <w:r w:rsidRPr="00AC340C">
        <w:rPr>
          <w:szCs w:val="20"/>
          <w:lang w:val="fr-FR"/>
        </w:rPr>
        <w:t xml:space="preserve"> permettent </w:t>
      </w:r>
      <w:r>
        <w:rPr>
          <w:szCs w:val="20"/>
          <w:lang w:val="fr-FR"/>
        </w:rPr>
        <w:t>aux</w:t>
      </w:r>
      <w:r w:rsidRPr="00AC340C">
        <w:rPr>
          <w:szCs w:val="20"/>
          <w:lang w:val="fr-FR"/>
        </w:rPr>
        <w:t xml:space="preserve"> consommateurs de comparer des produits semblables en utilisant les scores d</w:t>
      </w:r>
      <w:r>
        <w:rPr>
          <w:szCs w:val="20"/>
          <w:lang w:val="fr-FR"/>
        </w:rPr>
        <w:t>’</w:t>
      </w:r>
      <w:r w:rsidRPr="00AC340C">
        <w:rPr>
          <w:szCs w:val="20"/>
          <w:lang w:val="fr-FR"/>
        </w:rPr>
        <w:t>efficacité énergétique indiqués sur l</w:t>
      </w:r>
      <w:r>
        <w:rPr>
          <w:szCs w:val="20"/>
          <w:lang w:val="fr-FR"/>
        </w:rPr>
        <w:t>’</w:t>
      </w:r>
      <w:r w:rsidRPr="00AC340C">
        <w:rPr>
          <w:szCs w:val="20"/>
          <w:lang w:val="fr-FR"/>
        </w:rPr>
        <w:t>étiquette.</w:t>
      </w:r>
    </w:p>
  </w:footnote>
  <w:footnote w:id="29">
    <w:p w:rsidR="00385016" w:rsidRPr="00C51E0A" w:rsidRDefault="00385016" w:rsidP="009C6BB6">
      <w:pPr>
        <w:pStyle w:val="FootnoteText"/>
        <w:rPr>
          <w:szCs w:val="20"/>
          <w:lang w:val="fr-FR"/>
        </w:rPr>
      </w:pPr>
      <w:r w:rsidRPr="00D57928">
        <w:rPr>
          <w:rStyle w:val="FootnoteReference"/>
          <w:szCs w:val="20"/>
        </w:rPr>
        <w:footnoteRef/>
      </w:r>
      <w:r w:rsidRPr="00C51E0A">
        <w:rPr>
          <w:szCs w:val="20"/>
          <w:lang w:val="fr-FR"/>
        </w:rPr>
        <w:t xml:space="preserve"> </w:t>
      </w:r>
      <w:r w:rsidRPr="00C96091">
        <w:rPr>
          <w:szCs w:val="20"/>
          <w:lang w:val="fr-FR"/>
        </w:rPr>
        <w:t>Les</w:t>
      </w:r>
      <w:r>
        <w:rPr>
          <w:szCs w:val="20"/>
          <w:lang w:val="fr-FR"/>
        </w:rPr>
        <w:t xml:space="preserve"> labels</w:t>
      </w:r>
      <w:r w:rsidRPr="00C96091">
        <w:rPr>
          <w:szCs w:val="20"/>
          <w:lang w:val="fr-FR"/>
        </w:rPr>
        <w:t xml:space="preserve"> d</w:t>
      </w:r>
      <w:r>
        <w:rPr>
          <w:szCs w:val="20"/>
          <w:lang w:val="fr-FR"/>
        </w:rPr>
        <w:t>’</w:t>
      </w:r>
      <w:r w:rsidRPr="00C96091">
        <w:rPr>
          <w:szCs w:val="20"/>
          <w:lang w:val="fr-FR"/>
        </w:rPr>
        <w:t xml:space="preserve">homologation sont </w:t>
      </w:r>
      <w:r w:rsidR="00670D62" w:rsidRPr="00C96091">
        <w:rPr>
          <w:szCs w:val="20"/>
          <w:lang w:val="fr-FR"/>
        </w:rPr>
        <w:t>accordés</w:t>
      </w:r>
      <w:r w:rsidRPr="00C96091">
        <w:rPr>
          <w:szCs w:val="20"/>
          <w:lang w:val="fr-FR"/>
        </w:rPr>
        <w:t xml:space="preserve"> lorsque le produit répond à un ensemble de critères prescrits par l</w:t>
      </w:r>
      <w:r>
        <w:rPr>
          <w:szCs w:val="20"/>
          <w:lang w:val="fr-FR"/>
        </w:rPr>
        <w:t>e label</w:t>
      </w:r>
      <w:r w:rsidRPr="00C96091">
        <w:rPr>
          <w:szCs w:val="20"/>
          <w:lang w:val="fr-FR"/>
        </w:rPr>
        <w:t>.</w:t>
      </w:r>
    </w:p>
  </w:footnote>
  <w:footnote w:id="30">
    <w:p w:rsidR="00385016" w:rsidRPr="00C51E0A" w:rsidRDefault="00385016" w:rsidP="005E5E8A">
      <w:pPr>
        <w:pStyle w:val="FootnoteText"/>
        <w:rPr>
          <w:szCs w:val="20"/>
          <w:lang w:val="fr-FR"/>
        </w:rPr>
      </w:pPr>
      <w:r w:rsidRPr="00D57928">
        <w:rPr>
          <w:rStyle w:val="FootnoteReference"/>
          <w:szCs w:val="20"/>
        </w:rPr>
        <w:footnoteRef/>
      </w:r>
      <w:r w:rsidRPr="00C51E0A">
        <w:rPr>
          <w:szCs w:val="20"/>
          <w:lang w:val="fr-FR"/>
        </w:rPr>
        <w:t xml:space="preserve"> </w:t>
      </w:r>
      <w:r w:rsidRPr="00C96091">
        <w:rPr>
          <w:szCs w:val="20"/>
          <w:lang w:val="fr-FR"/>
        </w:rPr>
        <w:t>Lors de sa 79</w:t>
      </w:r>
      <w:r w:rsidRPr="00C96091">
        <w:rPr>
          <w:szCs w:val="20"/>
          <w:vertAlign w:val="superscript"/>
          <w:lang w:val="fr-FR"/>
        </w:rPr>
        <w:t>e</w:t>
      </w:r>
      <w:r w:rsidRPr="00C96091">
        <w:rPr>
          <w:szCs w:val="20"/>
          <w:lang w:val="fr-FR"/>
        </w:rPr>
        <w:t xml:space="preserve"> réunion (juillet 2017), le Comité a accepté de financer des activités de facilitation pour soutenir entre autres :</w:t>
      </w:r>
      <w:r w:rsidRPr="00C51E0A">
        <w:rPr>
          <w:szCs w:val="20"/>
          <w:lang w:val="fr-FR"/>
        </w:rPr>
        <w:t xml:space="preserve"> </w:t>
      </w:r>
      <w:r w:rsidRPr="007A2552">
        <w:rPr>
          <w:szCs w:val="20"/>
          <w:lang w:val="fr-FR"/>
        </w:rPr>
        <w:t>la réduction progressive des HFC ; la ratification à bref délai de l</w:t>
      </w:r>
      <w:r>
        <w:rPr>
          <w:szCs w:val="20"/>
          <w:lang w:val="fr-FR"/>
        </w:rPr>
        <w:t>’</w:t>
      </w:r>
      <w:r w:rsidRPr="007A2552">
        <w:rPr>
          <w:szCs w:val="20"/>
          <w:lang w:val="fr-FR"/>
        </w:rPr>
        <w:t>amendement de Kigali visant à mettre en place des dispositions institutionnelles de soutien ; l</w:t>
      </w:r>
      <w:r>
        <w:rPr>
          <w:szCs w:val="20"/>
          <w:lang w:val="fr-FR"/>
        </w:rPr>
        <w:t>’</w:t>
      </w:r>
      <w:r w:rsidRPr="007A2552">
        <w:rPr>
          <w:szCs w:val="20"/>
          <w:lang w:val="fr-FR"/>
        </w:rPr>
        <w:t>examen des systèmes d</w:t>
      </w:r>
      <w:r>
        <w:rPr>
          <w:szCs w:val="20"/>
          <w:lang w:val="fr-FR"/>
        </w:rPr>
        <w:t>’</w:t>
      </w:r>
      <w:r w:rsidRPr="007A2552">
        <w:rPr>
          <w:szCs w:val="20"/>
          <w:lang w:val="fr-FR"/>
        </w:rPr>
        <w:t xml:space="preserve">autorisation ; la communication des données sur les HFC ; la démonstration </w:t>
      </w:r>
      <w:r>
        <w:rPr>
          <w:szCs w:val="20"/>
          <w:lang w:val="fr-FR"/>
        </w:rPr>
        <w:t>d’</w:t>
      </w:r>
      <w:r w:rsidRPr="007A2552">
        <w:rPr>
          <w:szCs w:val="20"/>
          <w:lang w:val="fr-FR"/>
        </w:rPr>
        <w:t>activités ne portant pas sur des investissements ; et les stratégies nationales (décision 79/46). En date de la 82</w:t>
      </w:r>
      <w:r w:rsidRPr="007A2552">
        <w:rPr>
          <w:szCs w:val="20"/>
          <w:vertAlign w:val="superscript"/>
          <w:lang w:val="fr-FR"/>
        </w:rPr>
        <w:t>e</w:t>
      </w:r>
      <w:r w:rsidRPr="007A2552">
        <w:rPr>
          <w:szCs w:val="20"/>
          <w:lang w:val="fr-FR"/>
        </w:rPr>
        <w:t xml:space="preserve"> réunion, 130 pays visés à l</w:t>
      </w:r>
      <w:r>
        <w:rPr>
          <w:szCs w:val="20"/>
          <w:lang w:val="fr-FR"/>
        </w:rPr>
        <w:t>’</w:t>
      </w:r>
      <w:r w:rsidRPr="007A2552">
        <w:rPr>
          <w:szCs w:val="20"/>
          <w:lang w:val="fr-FR"/>
        </w:rPr>
        <w:t>article 5 avaient bénéficié d</w:t>
      </w:r>
      <w:r>
        <w:rPr>
          <w:szCs w:val="20"/>
          <w:lang w:val="fr-FR"/>
        </w:rPr>
        <w:t>’</w:t>
      </w:r>
      <w:r w:rsidRPr="007A2552">
        <w:rPr>
          <w:szCs w:val="20"/>
          <w:lang w:val="fr-FR"/>
        </w:rPr>
        <w:t>un financement pour la mise en œuvre d</w:t>
      </w:r>
      <w:r>
        <w:rPr>
          <w:szCs w:val="20"/>
          <w:lang w:val="fr-FR"/>
        </w:rPr>
        <w:t>’</w:t>
      </w:r>
      <w:r w:rsidRPr="007A2552">
        <w:rPr>
          <w:szCs w:val="20"/>
          <w:lang w:val="fr-FR"/>
        </w:rPr>
        <w:t>activités de facilitation.</w:t>
      </w:r>
      <w:r w:rsidRPr="00C51E0A">
        <w:rPr>
          <w:szCs w:val="20"/>
          <w:lang w:val="fr-FR"/>
        </w:rPr>
        <w:t xml:space="preserve"> </w:t>
      </w:r>
      <w:r w:rsidRPr="00395D0F">
        <w:rPr>
          <w:szCs w:val="20"/>
          <w:lang w:val="fr-FR"/>
        </w:rPr>
        <w:t xml:space="preserve">Le financement approuvé au titre des activités de facilitation allait de 50 000 $US pour des pays ayant une consommation de référence des HCFC </w:t>
      </w:r>
      <w:r>
        <w:rPr>
          <w:szCs w:val="20"/>
          <w:lang w:val="fr-FR"/>
        </w:rPr>
        <w:t xml:space="preserve">ne dépassant </w:t>
      </w:r>
      <w:r w:rsidR="005A1FEB">
        <w:rPr>
          <w:szCs w:val="20"/>
          <w:lang w:val="fr-FR"/>
        </w:rPr>
        <w:t>pas 0</w:t>
      </w:r>
      <w:r w:rsidRPr="00395D0F">
        <w:rPr>
          <w:szCs w:val="20"/>
          <w:lang w:val="fr-FR"/>
        </w:rPr>
        <w:t>,8 tonne PAO</w:t>
      </w:r>
      <w:r>
        <w:rPr>
          <w:szCs w:val="20"/>
          <w:lang w:val="fr-FR"/>
        </w:rPr>
        <w:t xml:space="preserve"> jusqu’à</w:t>
      </w:r>
      <w:r w:rsidRPr="00395D0F">
        <w:rPr>
          <w:szCs w:val="20"/>
          <w:lang w:val="fr-FR"/>
        </w:rPr>
        <w:t xml:space="preserve"> 150 000 $US pour des pays dont</w:t>
      </w:r>
      <w:r>
        <w:rPr>
          <w:szCs w:val="20"/>
          <w:lang w:val="fr-FR"/>
        </w:rPr>
        <w:t xml:space="preserve"> </w:t>
      </w:r>
      <w:r w:rsidRPr="00395D0F">
        <w:rPr>
          <w:szCs w:val="20"/>
          <w:lang w:val="fr-FR"/>
        </w:rPr>
        <w:t xml:space="preserve">la consommation de référence </w:t>
      </w:r>
      <w:r>
        <w:rPr>
          <w:szCs w:val="20"/>
          <w:lang w:val="fr-FR"/>
        </w:rPr>
        <w:t>pouvait aller de</w:t>
      </w:r>
      <w:r w:rsidRPr="00395D0F">
        <w:rPr>
          <w:szCs w:val="20"/>
          <w:lang w:val="fr-FR"/>
        </w:rPr>
        <w:t xml:space="preserve"> 17,6 à 19,8 tonnes PAO.</w:t>
      </w:r>
    </w:p>
  </w:footnote>
  <w:footnote w:id="31">
    <w:p w:rsidR="00385016" w:rsidRPr="00C51E0A" w:rsidRDefault="00385016" w:rsidP="00EB56BA">
      <w:pPr>
        <w:pStyle w:val="FootnoteText"/>
        <w:rPr>
          <w:szCs w:val="20"/>
          <w:lang w:val="fr-FR"/>
        </w:rPr>
      </w:pPr>
      <w:r w:rsidRPr="00D57928">
        <w:rPr>
          <w:rStyle w:val="FootnoteReference"/>
          <w:szCs w:val="20"/>
        </w:rPr>
        <w:footnoteRef/>
      </w:r>
      <w:r w:rsidRPr="00C51E0A">
        <w:rPr>
          <w:szCs w:val="20"/>
          <w:lang w:val="fr-FR"/>
        </w:rPr>
        <w:t xml:space="preserve"> </w:t>
      </w:r>
      <w:r w:rsidRPr="00395D0F">
        <w:rPr>
          <w:szCs w:val="20"/>
          <w:lang w:val="fr-FR"/>
        </w:rPr>
        <w:t>On ne connaît pas l</w:t>
      </w:r>
      <w:r>
        <w:rPr>
          <w:szCs w:val="20"/>
          <w:lang w:val="fr-FR"/>
        </w:rPr>
        <w:t>’</w:t>
      </w:r>
      <w:r w:rsidRPr="00395D0F">
        <w:rPr>
          <w:szCs w:val="20"/>
          <w:lang w:val="fr-FR"/>
        </w:rPr>
        <w:t>impact des initiatives d</w:t>
      </w:r>
      <w:r>
        <w:rPr>
          <w:szCs w:val="20"/>
          <w:lang w:val="fr-FR"/>
        </w:rPr>
        <w:t>’</w:t>
      </w:r>
      <w:r w:rsidRPr="00395D0F">
        <w:rPr>
          <w:szCs w:val="20"/>
          <w:lang w:val="fr-FR"/>
        </w:rPr>
        <w:t>efficacité énergétique dans le cadre des activités de facilitation</w:t>
      </w:r>
      <w:r>
        <w:rPr>
          <w:szCs w:val="20"/>
          <w:lang w:val="fr-FR"/>
        </w:rPr>
        <w:t>,</w:t>
      </w:r>
      <w:r w:rsidRPr="00395D0F">
        <w:rPr>
          <w:szCs w:val="20"/>
          <w:lang w:val="fr-FR"/>
        </w:rPr>
        <w:t xml:space="preserve"> mais on pense qu</w:t>
      </w:r>
      <w:r>
        <w:rPr>
          <w:szCs w:val="20"/>
          <w:lang w:val="fr-FR"/>
        </w:rPr>
        <w:t>’</w:t>
      </w:r>
      <w:r w:rsidRPr="00395D0F">
        <w:rPr>
          <w:szCs w:val="20"/>
          <w:lang w:val="fr-FR"/>
        </w:rPr>
        <w:t>il sera limité.</w:t>
      </w:r>
    </w:p>
  </w:footnote>
  <w:footnote w:id="32">
    <w:p w:rsidR="00385016" w:rsidRPr="00C51E0A" w:rsidRDefault="00385016" w:rsidP="00D45F83">
      <w:pPr>
        <w:pStyle w:val="FootnoteText"/>
        <w:rPr>
          <w:lang w:val="fr-FR"/>
        </w:rPr>
      </w:pPr>
      <w:r>
        <w:rPr>
          <w:rStyle w:val="FootnoteReference"/>
        </w:rPr>
        <w:footnoteRef/>
      </w:r>
      <w:r w:rsidRPr="00C51E0A">
        <w:rPr>
          <w:lang w:val="fr-FR"/>
        </w:rPr>
        <w:t xml:space="preserve"> </w:t>
      </w:r>
      <w:r w:rsidRPr="00395D0F">
        <w:rPr>
          <w:rFonts w:eastAsia="DengXian"/>
          <w:lang w:val="fr-FR"/>
        </w:rPr>
        <w:t>Rapport du groupe de travail du TEAP en application de la décision XXIX/10</w:t>
      </w:r>
    </w:p>
  </w:footnote>
  <w:footnote w:id="33">
    <w:p w:rsidR="00385016" w:rsidRPr="00C51E0A" w:rsidRDefault="00385016" w:rsidP="00EB56BA">
      <w:pPr>
        <w:pStyle w:val="FootnoteText"/>
        <w:rPr>
          <w:szCs w:val="20"/>
          <w:lang w:val="fr-FR"/>
        </w:rPr>
      </w:pPr>
      <w:r w:rsidRPr="00D57928">
        <w:rPr>
          <w:rStyle w:val="FootnoteReference"/>
          <w:szCs w:val="20"/>
        </w:rPr>
        <w:footnoteRef/>
      </w:r>
      <w:r w:rsidRPr="00C51E0A">
        <w:rPr>
          <w:szCs w:val="20"/>
          <w:lang w:val="fr-FR"/>
        </w:rPr>
        <w:t xml:space="preserve"> </w:t>
      </w:r>
      <w:r w:rsidRPr="00395D0F">
        <w:rPr>
          <w:szCs w:val="20"/>
          <w:lang w:val="fr-FR"/>
        </w:rPr>
        <w:t xml:space="preserve">Présentation par Stefan Thie, expert technique </w:t>
      </w:r>
      <w:r w:rsidR="00F36345">
        <w:rPr>
          <w:szCs w:val="20"/>
          <w:lang w:val="fr-FR"/>
        </w:rPr>
        <w:t>à</w:t>
      </w:r>
      <w:r w:rsidRPr="00395D0F">
        <w:rPr>
          <w:szCs w:val="20"/>
          <w:lang w:val="fr-FR"/>
        </w:rPr>
        <w:t xml:space="preserve"> l</w:t>
      </w:r>
      <w:r>
        <w:rPr>
          <w:szCs w:val="20"/>
          <w:lang w:val="fr-FR"/>
        </w:rPr>
        <w:t>’</w:t>
      </w:r>
      <w:r w:rsidRPr="00395D0F">
        <w:rPr>
          <w:szCs w:val="20"/>
          <w:lang w:val="fr-FR"/>
        </w:rPr>
        <w:t>EPEE, lors de l</w:t>
      </w:r>
      <w:r>
        <w:rPr>
          <w:szCs w:val="20"/>
          <w:lang w:val="fr-FR"/>
        </w:rPr>
        <w:t>’</w:t>
      </w:r>
      <w:r w:rsidRPr="00395D0F">
        <w:rPr>
          <w:szCs w:val="20"/>
          <w:lang w:val="fr-FR"/>
        </w:rPr>
        <w:t>atelier sur les possibilités offertes en matière d</w:t>
      </w:r>
      <w:r>
        <w:rPr>
          <w:szCs w:val="20"/>
          <w:lang w:val="fr-FR"/>
        </w:rPr>
        <w:t>’</w:t>
      </w:r>
      <w:r w:rsidRPr="00395D0F">
        <w:rPr>
          <w:szCs w:val="20"/>
          <w:lang w:val="fr-FR"/>
        </w:rPr>
        <w:t>efficacité énergétique lors de la réduction progressive des HFC.</w:t>
      </w:r>
    </w:p>
  </w:footnote>
  <w:footnote w:id="34">
    <w:p w:rsidR="00385016" w:rsidRPr="00C51E0A" w:rsidRDefault="00385016" w:rsidP="00D567F3">
      <w:pPr>
        <w:pStyle w:val="FootnoteText"/>
        <w:rPr>
          <w:szCs w:val="20"/>
          <w:lang w:val="fr-FR"/>
        </w:rPr>
      </w:pPr>
      <w:r w:rsidRPr="00D57928">
        <w:rPr>
          <w:rStyle w:val="FootnoteReference"/>
          <w:szCs w:val="20"/>
        </w:rPr>
        <w:footnoteRef/>
      </w:r>
      <w:r w:rsidRPr="00C51E0A">
        <w:rPr>
          <w:szCs w:val="20"/>
          <w:lang w:val="fr-FR"/>
        </w:rPr>
        <w:t xml:space="preserve"> </w:t>
      </w:r>
      <w:r w:rsidRPr="00395D0F">
        <w:rPr>
          <w:szCs w:val="20"/>
          <w:lang w:val="fr-FR"/>
        </w:rPr>
        <w:t>Sur l</w:t>
      </w:r>
      <w:r>
        <w:rPr>
          <w:szCs w:val="20"/>
          <w:lang w:val="fr-FR"/>
        </w:rPr>
        <w:t>’</w:t>
      </w:r>
      <w:r w:rsidRPr="00395D0F">
        <w:rPr>
          <w:szCs w:val="20"/>
          <w:lang w:val="fr-FR"/>
        </w:rPr>
        <w:t>échelle Celsius (0°C), zéro est l</w:t>
      </w:r>
      <w:r>
        <w:rPr>
          <w:szCs w:val="20"/>
          <w:lang w:val="fr-FR"/>
        </w:rPr>
        <w:t>’</w:t>
      </w:r>
      <w:r w:rsidRPr="00395D0F">
        <w:rPr>
          <w:szCs w:val="20"/>
          <w:lang w:val="fr-FR"/>
        </w:rPr>
        <w:t>équivalent de 273,15K (°Kelvin), avec une différence de température de 1°C équivalent à une différence de 1K, ce</w:t>
      </w:r>
      <w:r>
        <w:rPr>
          <w:szCs w:val="20"/>
          <w:lang w:val="fr-FR"/>
        </w:rPr>
        <w:t xml:space="preserve"> </w:t>
      </w:r>
      <w:r w:rsidRPr="00395D0F">
        <w:rPr>
          <w:szCs w:val="20"/>
          <w:lang w:val="fr-FR"/>
        </w:rPr>
        <w:t>qui signifie que</w:t>
      </w:r>
      <w:r>
        <w:rPr>
          <w:szCs w:val="20"/>
          <w:lang w:val="fr-FR"/>
        </w:rPr>
        <w:t xml:space="preserve"> </w:t>
      </w:r>
      <w:r w:rsidRPr="00395D0F">
        <w:rPr>
          <w:szCs w:val="20"/>
          <w:lang w:val="fr-FR"/>
        </w:rPr>
        <w:t>100°C</w:t>
      </w:r>
      <w:r>
        <w:rPr>
          <w:szCs w:val="20"/>
          <w:lang w:val="fr-FR"/>
        </w:rPr>
        <w:t xml:space="preserve"> </w:t>
      </w:r>
      <w:r w:rsidRPr="00395D0F">
        <w:rPr>
          <w:szCs w:val="20"/>
          <w:lang w:val="fr-FR"/>
        </w:rPr>
        <w:t>défini comme étant le point d</w:t>
      </w:r>
      <w:r>
        <w:rPr>
          <w:szCs w:val="20"/>
          <w:lang w:val="fr-FR"/>
        </w:rPr>
        <w:t>’</w:t>
      </w:r>
      <w:r w:rsidRPr="00395D0F">
        <w:rPr>
          <w:szCs w:val="20"/>
          <w:lang w:val="fr-FR"/>
        </w:rPr>
        <w:t>ébullition de l</w:t>
      </w:r>
      <w:r>
        <w:rPr>
          <w:szCs w:val="20"/>
          <w:lang w:val="fr-FR"/>
        </w:rPr>
        <w:t>’</w:t>
      </w:r>
      <w:r w:rsidRPr="00395D0F">
        <w:rPr>
          <w:szCs w:val="20"/>
          <w:lang w:val="fr-FR"/>
        </w:rPr>
        <w:t>eau est l</w:t>
      </w:r>
      <w:r>
        <w:rPr>
          <w:szCs w:val="20"/>
          <w:lang w:val="fr-FR"/>
        </w:rPr>
        <w:t>’</w:t>
      </w:r>
      <w:r w:rsidRPr="00395D0F">
        <w:rPr>
          <w:szCs w:val="20"/>
          <w:lang w:val="fr-FR"/>
        </w:rPr>
        <w:t>équivalent de 373,15K.</w:t>
      </w:r>
      <w:r w:rsidRPr="00C51E0A">
        <w:rPr>
          <w:szCs w:val="20"/>
          <w:lang w:val="fr-FR"/>
        </w:rPr>
        <w:t xml:space="preserve"> </w:t>
      </w:r>
      <w:r w:rsidRPr="00395D0F">
        <w:rPr>
          <w:szCs w:val="20"/>
          <w:lang w:val="fr-FR"/>
        </w:rPr>
        <w:t xml:space="preserve">Chaque différence </w:t>
      </w:r>
      <w:r w:rsidRPr="005C0A7B">
        <w:rPr>
          <w:szCs w:val="20"/>
          <w:lang w:val="fr-FR"/>
        </w:rPr>
        <w:t>de température de 1K p</w:t>
      </w:r>
      <w:r w:rsidR="005C0A7B" w:rsidRPr="005C0A7B">
        <w:rPr>
          <w:szCs w:val="20"/>
          <w:lang w:val="fr-FR"/>
        </w:rPr>
        <w:t>eut avoir pour effet une plus forte</w:t>
      </w:r>
      <w:r w:rsidRPr="005C0A7B">
        <w:rPr>
          <w:szCs w:val="20"/>
          <w:lang w:val="fr-FR"/>
        </w:rPr>
        <w:t xml:space="preserve"> consommation d’énergie durant les opérations d’équipement.</w:t>
      </w:r>
    </w:p>
  </w:footnote>
  <w:footnote w:id="35">
    <w:p w:rsidR="00385016" w:rsidRPr="00C51E0A" w:rsidRDefault="00385016" w:rsidP="008E40E6">
      <w:pPr>
        <w:pStyle w:val="FootnoteText"/>
        <w:rPr>
          <w:szCs w:val="20"/>
          <w:lang w:val="fr-FR"/>
        </w:rPr>
      </w:pPr>
      <w:r w:rsidRPr="00D57928">
        <w:rPr>
          <w:rStyle w:val="FootnoteReference"/>
          <w:szCs w:val="20"/>
        </w:rPr>
        <w:footnoteRef/>
      </w:r>
      <w:r w:rsidRPr="00C51E0A">
        <w:rPr>
          <w:szCs w:val="20"/>
          <w:lang w:val="fr-FR"/>
        </w:rPr>
        <w:t xml:space="preserve"> </w:t>
      </w:r>
      <w:r w:rsidRPr="00395D0F">
        <w:rPr>
          <w:szCs w:val="20"/>
          <w:lang w:val="fr-FR"/>
        </w:rPr>
        <w:t>Cette valeur semble être élevée.</w:t>
      </w:r>
      <w:r w:rsidRPr="00C51E0A">
        <w:rPr>
          <w:szCs w:val="20"/>
          <w:lang w:val="fr-FR"/>
        </w:rPr>
        <w:t xml:space="preserve"> </w:t>
      </w:r>
      <w:r w:rsidRPr="00395D0F">
        <w:rPr>
          <w:szCs w:val="20"/>
          <w:lang w:val="fr-FR"/>
        </w:rPr>
        <w:t>Le rapport du TEAP indique que les réglages du dispositif de commande pourrai</w:t>
      </w:r>
      <w:r w:rsidR="006B6AEA">
        <w:rPr>
          <w:szCs w:val="20"/>
          <w:lang w:val="fr-FR"/>
        </w:rPr>
        <w:t>en</w:t>
      </w:r>
      <w:r w:rsidRPr="00395D0F">
        <w:rPr>
          <w:szCs w:val="20"/>
          <w:lang w:val="fr-FR"/>
        </w:rPr>
        <w:t>t aboutir à des économies d</w:t>
      </w:r>
      <w:r>
        <w:rPr>
          <w:szCs w:val="20"/>
          <w:lang w:val="fr-FR"/>
        </w:rPr>
        <w:t>’</w:t>
      </w:r>
      <w:r w:rsidRPr="00395D0F">
        <w:rPr>
          <w:szCs w:val="20"/>
          <w:lang w:val="fr-FR"/>
        </w:rPr>
        <w:t>environ 10 pour cent.</w:t>
      </w:r>
    </w:p>
  </w:footnote>
  <w:footnote w:id="36">
    <w:p w:rsidR="00385016" w:rsidRPr="00C51E0A" w:rsidRDefault="00385016" w:rsidP="00C04673">
      <w:pPr>
        <w:pStyle w:val="FootnoteText"/>
        <w:rPr>
          <w:szCs w:val="20"/>
          <w:lang w:val="fr-FR"/>
        </w:rPr>
      </w:pPr>
      <w:r w:rsidRPr="00D57928">
        <w:rPr>
          <w:rStyle w:val="FootnoteReference"/>
          <w:szCs w:val="20"/>
        </w:rPr>
        <w:footnoteRef/>
      </w:r>
      <w:r w:rsidRPr="00C51E0A">
        <w:rPr>
          <w:szCs w:val="20"/>
          <w:lang w:val="fr-FR"/>
        </w:rPr>
        <w:t xml:space="preserve"> </w:t>
      </w:r>
      <w:r w:rsidRPr="00DE0B2F">
        <w:rPr>
          <w:szCs w:val="20"/>
          <w:lang w:val="fr-FR"/>
        </w:rPr>
        <w:t>Les organismes internationaux responsables des normes pour la réfrigération, la climatisation et les</w:t>
      </w:r>
      <w:r>
        <w:rPr>
          <w:szCs w:val="20"/>
          <w:lang w:val="fr-FR"/>
        </w:rPr>
        <w:t xml:space="preserve"> </w:t>
      </w:r>
      <w:r w:rsidRPr="00DE0B2F">
        <w:rPr>
          <w:szCs w:val="20"/>
          <w:lang w:val="fr-FR"/>
        </w:rPr>
        <w:t xml:space="preserve">pompes à chaleur </w:t>
      </w:r>
      <w:r w:rsidR="00CB480D">
        <w:rPr>
          <w:szCs w:val="20"/>
          <w:lang w:val="fr-FR"/>
        </w:rPr>
        <w:t xml:space="preserve">sont </w:t>
      </w:r>
      <w:r w:rsidRPr="00DE0B2F">
        <w:rPr>
          <w:szCs w:val="20"/>
          <w:lang w:val="fr-FR"/>
        </w:rPr>
        <w:t>l</w:t>
      </w:r>
      <w:r>
        <w:rPr>
          <w:szCs w:val="20"/>
          <w:lang w:val="fr-FR"/>
        </w:rPr>
        <w:t>’</w:t>
      </w:r>
      <w:r w:rsidRPr="00DE0B2F">
        <w:rPr>
          <w:szCs w:val="20"/>
          <w:lang w:val="fr-FR"/>
        </w:rPr>
        <w:t>Organisation internationale de normalisation (ISO) et la Commission électrotechnique internationale (IEC).</w:t>
      </w:r>
      <w:r w:rsidRPr="00C51E0A">
        <w:rPr>
          <w:szCs w:val="20"/>
          <w:lang w:val="fr-FR"/>
        </w:rPr>
        <w:t xml:space="preserve"> </w:t>
      </w:r>
      <w:r w:rsidRPr="00DE0B2F">
        <w:rPr>
          <w:szCs w:val="20"/>
          <w:lang w:val="fr-FR"/>
        </w:rPr>
        <w:t xml:space="preserve">Il existe </w:t>
      </w:r>
      <w:r w:rsidR="006B29F5">
        <w:rPr>
          <w:szCs w:val="20"/>
          <w:lang w:val="fr-FR"/>
        </w:rPr>
        <w:t>en outre</w:t>
      </w:r>
      <w:r w:rsidRPr="00DE0B2F">
        <w:rPr>
          <w:szCs w:val="20"/>
          <w:lang w:val="fr-FR"/>
        </w:rPr>
        <w:t xml:space="preserve"> des organismes de normalisation au niveau national et régional.</w:t>
      </w:r>
    </w:p>
  </w:footnote>
  <w:footnote w:id="37">
    <w:p w:rsidR="00385016" w:rsidRPr="00C51E0A" w:rsidRDefault="00385016" w:rsidP="00BB00BB">
      <w:pPr>
        <w:pStyle w:val="FootnoteText"/>
        <w:rPr>
          <w:szCs w:val="20"/>
          <w:lang w:val="fr-FR"/>
        </w:rPr>
      </w:pPr>
      <w:r w:rsidRPr="00D57928">
        <w:rPr>
          <w:rStyle w:val="FootnoteReference"/>
          <w:szCs w:val="20"/>
        </w:rPr>
        <w:footnoteRef/>
      </w:r>
      <w:r w:rsidRPr="00C51E0A">
        <w:rPr>
          <w:szCs w:val="20"/>
          <w:lang w:val="fr-FR"/>
        </w:rPr>
        <w:t xml:space="preserve"> </w:t>
      </w:r>
      <w:r w:rsidRPr="00DE0B2F">
        <w:rPr>
          <w:szCs w:val="20"/>
          <w:lang w:val="fr-FR"/>
        </w:rPr>
        <w:t>Les outils, les produits et les services fournis par le CAP du PNUE sont décrits à l</w:t>
      </w:r>
      <w:r>
        <w:rPr>
          <w:szCs w:val="20"/>
          <w:lang w:val="fr-FR"/>
        </w:rPr>
        <w:t>’</w:t>
      </w:r>
      <w:r w:rsidRPr="00DE0B2F">
        <w:rPr>
          <w:szCs w:val="20"/>
          <w:lang w:val="fr-FR"/>
        </w:rPr>
        <w:t>annexe III du document UNEP/OzL.Pro/ExCom/82/64.</w:t>
      </w:r>
    </w:p>
  </w:footnote>
  <w:footnote w:id="38">
    <w:p w:rsidR="00385016" w:rsidRPr="00C51E0A" w:rsidRDefault="00385016" w:rsidP="00EB56BA">
      <w:pPr>
        <w:pStyle w:val="FootnoteText"/>
        <w:rPr>
          <w:szCs w:val="20"/>
          <w:lang w:val="fr-FR"/>
        </w:rPr>
      </w:pPr>
      <w:r w:rsidRPr="00D57928">
        <w:rPr>
          <w:rStyle w:val="FootnoteReference"/>
          <w:szCs w:val="20"/>
        </w:rPr>
        <w:footnoteRef/>
      </w:r>
      <w:r w:rsidRPr="00C51E0A">
        <w:rPr>
          <w:szCs w:val="20"/>
          <w:lang w:val="fr-FR"/>
        </w:rPr>
        <w:t xml:space="preserve"> </w:t>
      </w:r>
      <w:r w:rsidRPr="00DE0B2F">
        <w:rPr>
          <w:szCs w:val="20"/>
          <w:lang w:val="fr-FR"/>
        </w:rPr>
        <w:t>Les programmes incitatifs pilotes visant les utilisateurs finaux et leur impact seront analysés et présentés dans un document séparé à la 84</w:t>
      </w:r>
      <w:r w:rsidRPr="00DE0B2F">
        <w:rPr>
          <w:szCs w:val="20"/>
          <w:vertAlign w:val="superscript"/>
          <w:lang w:val="fr-FR"/>
        </w:rPr>
        <w:t>e</w:t>
      </w:r>
      <w:r w:rsidRPr="00DE0B2F">
        <w:rPr>
          <w:szCs w:val="20"/>
          <w:lang w:val="fr-FR"/>
        </w:rPr>
        <w:t xml:space="preserve"> réunion.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16" w:rsidRPr="0033525D" w:rsidRDefault="00B33538">
    <w:fldSimple w:instr=" DOCPROPERTY &quot;Document number&quot;  \* MERGEFORMAT ">
      <w:r w:rsidR="00F36345">
        <w:t>UNEP/OzL.Pro/ExCom/83/40</w:t>
      </w:r>
    </w:fldSimple>
  </w:p>
  <w:p w:rsidR="00385016" w:rsidRPr="0033525D" w:rsidRDefault="00385016"/>
  <w:p w:rsidR="00385016" w:rsidRPr="0033525D" w:rsidRDefault="0038501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16" w:rsidRPr="0033525D" w:rsidRDefault="00B33538">
    <w:pPr>
      <w:jc w:val="right"/>
    </w:pPr>
    <w:fldSimple w:instr=" DOCPROPERTY &quot;Document number&quot;  \* MERGEFORMAT ">
      <w:r w:rsidR="00F36345">
        <w:t>UNEP/OzL.Pro/ExCom/83/40</w:t>
      </w:r>
    </w:fldSimple>
  </w:p>
  <w:p w:rsidR="00385016" w:rsidRPr="0033525D" w:rsidRDefault="00385016"/>
  <w:p w:rsidR="00385016" w:rsidRPr="0033525D" w:rsidRDefault="003850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4DC0BD3"/>
    <w:multiLevelType w:val="hybridMultilevel"/>
    <w:tmpl w:val="9B266F7E"/>
    <w:lvl w:ilvl="0" w:tplc="FE0244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83A4F78"/>
    <w:multiLevelType w:val="hybridMultilevel"/>
    <w:tmpl w:val="4D90E2D0"/>
    <w:lvl w:ilvl="0" w:tplc="04A0A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3B3960"/>
    <w:multiLevelType w:val="hybridMultilevel"/>
    <w:tmpl w:val="A9083B76"/>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4" w15:restartNumberingAfterBreak="0">
    <w:nsid w:val="0BEC0961"/>
    <w:multiLevelType w:val="hybridMultilevel"/>
    <w:tmpl w:val="0D4092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0CB47D7B"/>
    <w:multiLevelType w:val="multilevel"/>
    <w:tmpl w:val="65B06B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DBF7851"/>
    <w:multiLevelType w:val="hybridMultilevel"/>
    <w:tmpl w:val="0D200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2614DE1"/>
    <w:multiLevelType w:val="hybridMultilevel"/>
    <w:tmpl w:val="FF224A60"/>
    <w:lvl w:ilvl="0" w:tplc="FE0244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4D96F3C"/>
    <w:multiLevelType w:val="multilevel"/>
    <w:tmpl w:val="46024FC6"/>
    <w:lvl w:ilvl="0">
      <w:start w:val="7"/>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9" w15:restartNumberingAfterBreak="0">
    <w:nsid w:val="1B0F3EE2"/>
    <w:multiLevelType w:val="hybridMultilevel"/>
    <w:tmpl w:val="386C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F40339"/>
    <w:multiLevelType w:val="hybridMultilevel"/>
    <w:tmpl w:val="6ACEFECC"/>
    <w:lvl w:ilvl="0" w:tplc="ED36B258">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1D1C03A2"/>
    <w:multiLevelType w:val="hybridMultilevel"/>
    <w:tmpl w:val="D646C9A2"/>
    <w:lvl w:ilvl="0" w:tplc="FE024456">
      <w:start w:val="1"/>
      <w:numFmt w:val="lowerLetter"/>
      <w:lvlText w:val="(%1)"/>
      <w:lvlJc w:val="left"/>
      <w:pPr>
        <w:ind w:left="1440" w:hanging="360"/>
      </w:pPr>
      <w:rPr>
        <w:rFonts w:hint="default"/>
      </w:rPr>
    </w:lvl>
    <w:lvl w:ilvl="1" w:tplc="E3049D46">
      <w:numFmt w:val="bullet"/>
      <w:lvlText w:val="•"/>
      <w:lvlJc w:val="left"/>
      <w:pPr>
        <w:ind w:left="2520" w:hanging="720"/>
      </w:pPr>
      <w:rPr>
        <w:rFonts w:ascii="Times New Roman" w:eastAsia="Times New Roman" w:hAnsi="Times New Roman" w:cs="Times New Roman"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1D7A15C6"/>
    <w:multiLevelType w:val="hybridMultilevel"/>
    <w:tmpl w:val="1B1C6EBC"/>
    <w:lvl w:ilvl="0" w:tplc="FE024456">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20EB1B8C"/>
    <w:multiLevelType w:val="hybridMultilevel"/>
    <w:tmpl w:val="20E200F8"/>
    <w:lvl w:ilvl="0" w:tplc="FE024456">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E9D7411"/>
    <w:multiLevelType w:val="hybridMultilevel"/>
    <w:tmpl w:val="04464174"/>
    <w:lvl w:ilvl="0" w:tplc="FE0244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0375EB5"/>
    <w:multiLevelType w:val="hybridMultilevel"/>
    <w:tmpl w:val="3A4C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8" w15:restartNumberingAfterBreak="0">
    <w:nsid w:val="3A417EC1"/>
    <w:multiLevelType w:val="hybridMultilevel"/>
    <w:tmpl w:val="1D187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E4B00FC"/>
    <w:multiLevelType w:val="hybridMultilevel"/>
    <w:tmpl w:val="E978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E60990"/>
    <w:multiLevelType w:val="hybridMultilevel"/>
    <w:tmpl w:val="C5AE3CB0"/>
    <w:lvl w:ilvl="0" w:tplc="8288034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46463B19"/>
    <w:multiLevelType w:val="hybridMultilevel"/>
    <w:tmpl w:val="F56CEAB0"/>
    <w:lvl w:ilvl="0" w:tplc="FE02445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267772B"/>
    <w:multiLevelType w:val="hybridMultilevel"/>
    <w:tmpl w:val="7A707782"/>
    <w:lvl w:ilvl="0" w:tplc="300473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F039C"/>
    <w:multiLevelType w:val="hybridMultilevel"/>
    <w:tmpl w:val="37DA12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5F36238"/>
    <w:multiLevelType w:val="hybridMultilevel"/>
    <w:tmpl w:val="5C52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7203C7"/>
    <w:multiLevelType w:val="multilevel"/>
    <w:tmpl w:val="23840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7D5BDD"/>
    <w:multiLevelType w:val="hybridMultilevel"/>
    <w:tmpl w:val="05A4B640"/>
    <w:lvl w:ilvl="0" w:tplc="63D4526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0" w15:restartNumberingAfterBreak="0">
    <w:nsid w:val="7FDA355D"/>
    <w:multiLevelType w:val="hybridMultilevel"/>
    <w:tmpl w:val="71229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32"/>
  </w:num>
  <w:num w:numId="18">
    <w:abstractNumId w:val="33"/>
  </w:num>
  <w:num w:numId="19">
    <w:abstractNumId w:val="39"/>
  </w:num>
  <w:num w:numId="20">
    <w:abstractNumId w:val="2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8"/>
  </w:num>
  <w:num w:numId="24">
    <w:abstractNumId w:val="17"/>
  </w:num>
  <w:num w:numId="25">
    <w:abstractNumId w:val="31"/>
  </w:num>
  <w:num w:numId="26">
    <w:abstractNumId w:val="22"/>
  </w:num>
  <w:num w:numId="27">
    <w:abstractNumId w:val="25"/>
  </w:num>
  <w:num w:numId="28">
    <w:abstractNumId w:val="23"/>
  </w:num>
  <w:num w:numId="29">
    <w:abstractNumId w:val="11"/>
  </w:num>
  <w:num w:numId="30">
    <w:abstractNumId w:val="21"/>
  </w:num>
  <w:num w:numId="31">
    <w:abstractNumId w:val="28"/>
  </w:num>
  <w:num w:numId="32">
    <w:abstractNumId w:val="13"/>
  </w:num>
  <w:num w:numId="33">
    <w:abstractNumId w:val="16"/>
  </w:num>
  <w:num w:numId="34">
    <w:abstractNumId w:val="40"/>
  </w:num>
  <w:num w:numId="35">
    <w:abstractNumId w:val="12"/>
  </w:num>
  <w:num w:numId="36">
    <w:abstractNumId w:val="35"/>
  </w:num>
  <w:num w:numId="37">
    <w:abstractNumId w:val="26"/>
  </w:num>
  <w:num w:numId="38">
    <w:abstractNumId w:val="14"/>
  </w:num>
  <w:num w:numId="39">
    <w:abstractNumId w:val="15"/>
  </w:num>
  <w:num w:numId="40">
    <w:abstractNumId w:val="34"/>
  </w:num>
  <w:num w:numId="41">
    <w:abstractNumId w:val="20"/>
  </w:num>
  <w:num w:numId="42">
    <w:abstractNumId w:val="19"/>
  </w:num>
  <w:num w:numId="43">
    <w:abstractNumId w:val="29"/>
  </w:num>
  <w:num w:numId="44">
    <w:abstractNumId w:val="30"/>
  </w:num>
  <w:num w:numId="45">
    <w:abstractNumId w:val="37"/>
  </w:num>
  <w:num w:numId="46">
    <w:abstractNumId w:val="36"/>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EB56BA"/>
    <w:rsid w:val="00000FED"/>
    <w:rsid w:val="0000434E"/>
    <w:rsid w:val="000108DB"/>
    <w:rsid w:val="000211A9"/>
    <w:rsid w:val="00031260"/>
    <w:rsid w:val="00034406"/>
    <w:rsid w:val="00034F40"/>
    <w:rsid w:val="0003681A"/>
    <w:rsid w:val="00047BB5"/>
    <w:rsid w:val="00052C5C"/>
    <w:rsid w:val="00061A84"/>
    <w:rsid w:val="00061EC2"/>
    <w:rsid w:val="00080ED0"/>
    <w:rsid w:val="00085B8F"/>
    <w:rsid w:val="00090481"/>
    <w:rsid w:val="000929FD"/>
    <w:rsid w:val="000A6C26"/>
    <w:rsid w:val="000D52A4"/>
    <w:rsid w:val="000D7363"/>
    <w:rsid w:val="000E07BC"/>
    <w:rsid w:val="000E214E"/>
    <w:rsid w:val="000E71B1"/>
    <w:rsid w:val="000F1745"/>
    <w:rsid w:val="000F1CD4"/>
    <w:rsid w:val="000F4103"/>
    <w:rsid w:val="000F70A7"/>
    <w:rsid w:val="00106281"/>
    <w:rsid w:val="0011346E"/>
    <w:rsid w:val="00113CCA"/>
    <w:rsid w:val="00120CA0"/>
    <w:rsid w:val="00122F25"/>
    <w:rsid w:val="0012740F"/>
    <w:rsid w:val="00135980"/>
    <w:rsid w:val="00137F9C"/>
    <w:rsid w:val="001405C2"/>
    <w:rsid w:val="00164719"/>
    <w:rsid w:val="00166FC4"/>
    <w:rsid w:val="001677AC"/>
    <w:rsid w:val="00172846"/>
    <w:rsid w:val="001804EA"/>
    <w:rsid w:val="00190A61"/>
    <w:rsid w:val="00196A2D"/>
    <w:rsid w:val="001A210F"/>
    <w:rsid w:val="001A3342"/>
    <w:rsid w:val="001A3E3D"/>
    <w:rsid w:val="001A7049"/>
    <w:rsid w:val="001B1D88"/>
    <w:rsid w:val="001B1E40"/>
    <w:rsid w:val="001B6487"/>
    <w:rsid w:val="001C3C80"/>
    <w:rsid w:val="001C3E37"/>
    <w:rsid w:val="001C5C9C"/>
    <w:rsid w:val="001C764E"/>
    <w:rsid w:val="001D4719"/>
    <w:rsid w:val="001D6B91"/>
    <w:rsid w:val="001E1052"/>
    <w:rsid w:val="001E21B1"/>
    <w:rsid w:val="001E2F93"/>
    <w:rsid w:val="001E4B74"/>
    <w:rsid w:val="001E61E5"/>
    <w:rsid w:val="001F2159"/>
    <w:rsid w:val="001F2B40"/>
    <w:rsid w:val="001F4CC0"/>
    <w:rsid w:val="00213029"/>
    <w:rsid w:val="00214863"/>
    <w:rsid w:val="002156B4"/>
    <w:rsid w:val="00224B6D"/>
    <w:rsid w:val="00234F10"/>
    <w:rsid w:val="00253222"/>
    <w:rsid w:val="00262847"/>
    <w:rsid w:val="00281BB2"/>
    <w:rsid w:val="002A237B"/>
    <w:rsid w:val="002A34C9"/>
    <w:rsid w:val="002B08D9"/>
    <w:rsid w:val="002B72E9"/>
    <w:rsid w:val="002C1D80"/>
    <w:rsid w:val="002C4DC3"/>
    <w:rsid w:val="002C62A3"/>
    <w:rsid w:val="002C7998"/>
    <w:rsid w:val="002E358F"/>
    <w:rsid w:val="002F0BCE"/>
    <w:rsid w:val="002F1E53"/>
    <w:rsid w:val="002F263D"/>
    <w:rsid w:val="002F2940"/>
    <w:rsid w:val="002F2CAA"/>
    <w:rsid w:val="0030052C"/>
    <w:rsid w:val="00317855"/>
    <w:rsid w:val="003306E1"/>
    <w:rsid w:val="003320E4"/>
    <w:rsid w:val="0033525D"/>
    <w:rsid w:val="00340877"/>
    <w:rsid w:val="003414F3"/>
    <w:rsid w:val="00354AF1"/>
    <w:rsid w:val="00355E82"/>
    <w:rsid w:val="0035613E"/>
    <w:rsid w:val="003637DA"/>
    <w:rsid w:val="00363EE9"/>
    <w:rsid w:val="00374AE0"/>
    <w:rsid w:val="00376128"/>
    <w:rsid w:val="0037742E"/>
    <w:rsid w:val="00377D56"/>
    <w:rsid w:val="0038245A"/>
    <w:rsid w:val="003840E6"/>
    <w:rsid w:val="00385016"/>
    <w:rsid w:val="00385CFC"/>
    <w:rsid w:val="003919B9"/>
    <w:rsid w:val="0039337A"/>
    <w:rsid w:val="00395D0F"/>
    <w:rsid w:val="003A3189"/>
    <w:rsid w:val="003A3CA7"/>
    <w:rsid w:val="003A576C"/>
    <w:rsid w:val="003B33BD"/>
    <w:rsid w:val="003B569D"/>
    <w:rsid w:val="003C0C29"/>
    <w:rsid w:val="003C3C0E"/>
    <w:rsid w:val="003D4FAC"/>
    <w:rsid w:val="003E4114"/>
    <w:rsid w:val="003E6D2D"/>
    <w:rsid w:val="003E7906"/>
    <w:rsid w:val="003F3C50"/>
    <w:rsid w:val="003F502A"/>
    <w:rsid w:val="003F5FBE"/>
    <w:rsid w:val="004061EC"/>
    <w:rsid w:val="00406A6A"/>
    <w:rsid w:val="00406B22"/>
    <w:rsid w:val="004174B4"/>
    <w:rsid w:val="004208A2"/>
    <w:rsid w:val="004312C3"/>
    <w:rsid w:val="004328A7"/>
    <w:rsid w:val="00434C74"/>
    <w:rsid w:val="0044685D"/>
    <w:rsid w:val="00454FF9"/>
    <w:rsid w:val="004553C5"/>
    <w:rsid w:val="00456EB4"/>
    <w:rsid w:val="00467830"/>
    <w:rsid w:val="00467BA2"/>
    <w:rsid w:val="004718F3"/>
    <w:rsid w:val="00475040"/>
    <w:rsid w:val="00492C59"/>
    <w:rsid w:val="00493D40"/>
    <w:rsid w:val="004967B6"/>
    <w:rsid w:val="004A3AC6"/>
    <w:rsid w:val="004A504B"/>
    <w:rsid w:val="004A6911"/>
    <w:rsid w:val="004B54E0"/>
    <w:rsid w:val="004B7384"/>
    <w:rsid w:val="004C031D"/>
    <w:rsid w:val="004C4269"/>
    <w:rsid w:val="004D6236"/>
    <w:rsid w:val="004D7F90"/>
    <w:rsid w:val="004E4DBB"/>
    <w:rsid w:val="004E4E41"/>
    <w:rsid w:val="004E7F9C"/>
    <w:rsid w:val="004F3493"/>
    <w:rsid w:val="004F5143"/>
    <w:rsid w:val="00512B09"/>
    <w:rsid w:val="005132ED"/>
    <w:rsid w:val="005139D6"/>
    <w:rsid w:val="00514A7C"/>
    <w:rsid w:val="00515B2F"/>
    <w:rsid w:val="00530133"/>
    <w:rsid w:val="00533796"/>
    <w:rsid w:val="00535901"/>
    <w:rsid w:val="00555D75"/>
    <w:rsid w:val="00560DF0"/>
    <w:rsid w:val="005639C6"/>
    <w:rsid w:val="0056759C"/>
    <w:rsid w:val="005801E3"/>
    <w:rsid w:val="00593C40"/>
    <w:rsid w:val="0059513E"/>
    <w:rsid w:val="005964AB"/>
    <w:rsid w:val="005A1BD7"/>
    <w:rsid w:val="005A1FEB"/>
    <w:rsid w:val="005B48FF"/>
    <w:rsid w:val="005C0A7B"/>
    <w:rsid w:val="005E1B53"/>
    <w:rsid w:val="005E5E8A"/>
    <w:rsid w:val="005F0DA1"/>
    <w:rsid w:val="005F599F"/>
    <w:rsid w:val="00604C15"/>
    <w:rsid w:val="00614BE0"/>
    <w:rsid w:val="006158D5"/>
    <w:rsid w:val="00625D83"/>
    <w:rsid w:val="00632BE6"/>
    <w:rsid w:val="006623E7"/>
    <w:rsid w:val="00662B80"/>
    <w:rsid w:val="00670D62"/>
    <w:rsid w:val="00670F6C"/>
    <w:rsid w:val="00673CFB"/>
    <w:rsid w:val="006852C7"/>
    <w:rsid w:val="006852CE"/>
    <w:rsid w:val="0069371C"/>
    <w:rsid w:val="006B29F5"/>
    <w:rsid w:val="006B5FE3"/>
    <w:rsid w:val="006B6AEA"/>
    <w:rsid w:val="006C1727"/>
    <w:rsid w:val="006C32FD"/>
    <w:rsid w:val="006C39CE"/>
    <w:rsid w:val="006D0FCC"/>
    <w:rsid w:val="006D16A4"/>
    <w:rsid w:val="006D1D2D"/>
    <w:rsid w:val="006E1FC3"/>
    <w:rsid w:val="006E526B"/>
    <w:rsid w:val="006E7229"/>
    <w:rsid w:val="0070616B"/>
    <w:rsid w:val="00706FDA"/>
    <w:rsid w:val="00711394"/>
    <w:rsid w:val="00711F9A"/>
    <w:rsid w:val="00711FBB"/>
    <w:rsid w:val="00713810"/>
    <w:rsid w:val="007303A5"/>
    <w:rsid w:val="00730B3E"/>
    <w:rsid w:val="0073420B"/>
    <w:rsid w:val="0074760E"/>
    <w:rsid w:val="00754ABA"/>
    <w:rsid w:val="00757DCC"/>
    <w:rsid w:val="007743D2"/>
    <w:rsid w:val="00777176"/>
    <w:rsid w:val="00784C1E"/>
    <w:rsid w:val="007A1546"/>
    <w:rsid w:val="007A228C"/>
    <w:rsid w:val="007A2552"/>
    <w:rsid w:val="007A368E"/>
    <w:rsid w:val="007A5868"/>
    <w:rsid w:val="007B04CE"/>
    <w:rsid w:val="007B6871"/>
    <w:rsid w:val="007B7A2F"/>
    <w:rsid w:val="007C227C"/>
    <w:rsid w:val="007C3D33"/>
    <w:rsid w:val="007D294A"/>
    <w:rsid w:val="007D47D2"/>
    <w:rsid w:val="007D6EC0"/>
    <w:rsid w:val="007D7E1D"/>
    <w:rsid w:val="007E5FBB"/>
    <w:rsid w:val="007E7DDA"/>
    <w:rsid w:val="008152EC"/>
    <w:rsid w:val="00823A14"/>
    <w:rsid w:val="00831979"/>
    <w:rsid w:val="00835C40"/>
    <w:rsid w:val="00851352"/>
    <w:rsid w:val="00863230"/>
    <w:rsid w:val="008717D8"/>
    <w:rsid w:val="0087215C"/>
    <w:rsid w:val="00880E35"/>
    <w:rsid w:val="0088379C"/>
    <w:rsid w:val="0088551C"/>
    <w:rsid w:val="0088719A"/>
    <w:rsid w:val="008875FE"/>
    <w:rsid w:val="00887F8E"/>
    <w:rsid w:val="00895597"/>
    <w:rsid w:val="00896234"/>
    <w:rsid w:val="00897E43"/>
    <w:rsid w:val="008C5738"/>
    <w:rsid w:val="008C7EAD"/>
    <w:rsid w:val="008D0CFE"/>
    <w:rsid w:val="008D3375"/>
    <w:rsid w:val="008D6152"/>
    <w:rsid w:val="008D6D2A"/>
    <w:rsid w:val="008E06A8"/>
    <w:rsid w:val="008E2C0F"/>
    <w:rsid w:val="008E40E6"/>
    <w:rsid w:val="008F0F81"/>
    <w:rsid w:val="008F27BF"/>
    <w:rsid w:val="009142EC"/>
    <w:rsid w:val="009154C3"/>
    <w:rsid w:val="00923540"/>
    <w:rsid w:val="009239B6"/>
    <w:rsid w:val="00926767"/>
    <w:rsid w:val="009361D5"/>
    <w:rsid w:val="009428A4"/>
    <w:rsid w:val="009620AB"/>
    <w:rsid w:val="009659F4"/>
    <w:rsid w:val="00970D60"/>
    <w:rsid w:val="00973F7F"/>
    <w:rsid w:val="009802BD"/>
    <w:rsid w:val="009960C5"/>
    <w:rsid w:val="009960E5"/>
    <w:rsid w:val="009A7ADC"/>
    <w:rsid w:val="009B0811"/>
    <w:rsid w:val="009B4DAE"/>
    <w:rsid w:val="009C19B7"/>
    <w:rsid w:val="009C1AD4"/>
    <w:rsid w:val="009C6BB6"/>
    <w:rsid w:val="009D19DA"/>
    <w:rsid w:val="009D6C65"/>
    <w:rsid w:val="009D7C51"/>
    <w:rsid w:val="009E196C"/>
    <w:rsid w:val="009E5271"/>
    <w:rsid w:val="009F36BF"/>
    <w:rsid w:val="00A111B6"/>
    <w:rsid w:val="00A2547B"/>
    <w:rsid w:val="00A26D27"/>
    <w:rsid w:val="00A304F4"/>
    <w:rsid w:val="00A376EE"/>
    <w:rsid w:val="00A42A99"/>
    <w:rsid w:val="00A50760"/>
    <w:rsid w:val="00A5151A"/>
    <w:rsid w:val="00A52983"/>
    <w:rsid w:val="00A558EC"/>
    <w:rsid w:val="00A56465"/>
    <w:rsid w:val="00A577D9"/>
    <w:rsid w:val="00A57E0A"/>
    <w:rsid w:val="00A70212"/>
    <w:rsid w:val="00A71A4A"/>
    <w:rsid w:val="00A80B11"/>
    <w:rsid w:val="00A823F6"/>
    <w:rsid w:val="00A9371C"/>
    <w:rsid w:val="00A93BBA"/>
    <w:rsid w:val="00A97372"/>
    <w:rsid w:val="00AA0A89"/>
    <w:rsid w:val="00AA6429"/>
    <w:rsid w:val="00AB2ED3"/>
    <w:rsid w:val="00AB4612"/>
    <w:rsid w:val="00AC01AA"/>
    <w:rsid w:val="00AC340C"/>
    <w:rsid w:val="00AC4BAB"/>
    <w:rsid w:val="00AC4F72"/>
    <w:rsid w:val="00AD4625"/>
    <w:rsid w:val="00AE77AA"/>
    <w:rsid w:val="00AF6E3A"/>
    <w:rsid w:val="00AF741A"/>
    <w:rsid w:val="00B01ADB"/>
    <w:rsid w:val="00B04161"/>
    <w:rsid w:val="00B056F9"/>
    <w:rsid w:val="00B11E3D"/>
    <w:rsid w:val="00B17E82"/>
    <w:rsid w:val="00B238E2"/>
    <w:rsid w:val="00B33538"/>
    <w:rsid w:val="00B40133"/>
    <w:rsid w:val="00B44244"/>
    <w:rsid w:val="00B4575A"/>
    <w:rsid w:val="00B5729F"/>
    <w:rsid w:val="00B575BA"/>
    <w:rsid w:val="00B62BAF"/>
    <w:rsid w:val="00B74E20"/>
    <w:rsid w:val="00B76429"/>
    <w:rsid w:val="00B945F9"/>
    <w:rsid w:val="00B956D4"/>
    <w:rsid w:val="00B97446"/>
    <w:rsid w:val="00BA7432"/>
    <w:rsid w:val="00BB00BB"/>
    <w:rsid w:val="00BC1AA0"/>
    <w:rsid w:val="00BC2495"/>
    <w:rsid w:val="00BC7EB9"/>
    <w:rsid w:val="00BD2643"/>
    <w:rsid w:val="00BD56B1"/>
    <w:rsid w:val="00BD6558"/>
    <w:rsid w:val="00BE4BB1"/>
    <w:rsid w:val="00BF3022"/>
    <w:rsid w:val="00BF3214"/>
    <w:rsid w:val="00BF4191"/>
    <w:rsid w:val="00BF5573"/>
    <w:rsid w:val="00C04673"/>
    <w:rsid w:val="00C1341B"/>
    <w:rsid w:val="00C15867"/>
    <w:rsid w:val="00C2296D"/>
    <w:rsid w:val="00C23155"/>
    <w:rsid w:val="00C36598"/>
    <w:rsid w:val="00C40C41"/>
    <w:rsid w:val="00C45885"/>
    <w:rsid w:val="00C50F22"/>
    <w:rsid w:val="00C51E0A"/>
    <w:rsid w:val="00C54059"/>
    <w:rsid w:val="00C57971"/>
    <w:rsid w:val="00C65BD7"/>
    <w:rsid w:val="00C76BA4"/>
    <w:rsid w:val="00C83A48"/>
    <w:rsid w:val="00C85865"/>
    <w:rsid w:val="00C85E85"/>
    <w:rsid w:val="00C96091"/>
    <w:rsid w:val="00CA2EAE"/>
    <w:rsid w:val="00CA4AC1"/>
    <w:rsid w:val="00CA7703"/>
    <w:rsid w:val="00CB0316"/>
    <w:rsid w:val="00CB0B11"/>
    <w:rsid w:val="00CB445E"/>
    <w:rsid w:val="00CB480D"/>
    <w:rsid w:val="00CB5354"/>
    <w:rsid w:val="00CC299E"/>
    <w:rsid w:val="00CC6A14"/>
    <w:rsid w:val="00CC70A3"/>
    <w:rsid w:val="00CD4442"/>
    <w:rsid w:val="00CD53C3"/>
    <w:rsid w:val="00CD574E"/>
    <w:rsid w:val="00CD6145"/>
    <w:rsid w:val="00CE4C22"/>
    <w:rsid w:val="00CF41EC"/>
    <w:rsid w:val="00CF5D04"/>
    <w:rsid w:val="00D04DE4"/>
    <w:rsid w:val="00D063F1"/>
    <w:rsid w:val="00D13CD0"/>
    <w:rsid w:val="00D14F22"/>
    <w:rsid w:val="00D307EF"/>
    <w:rsid w:val="00D36A81"/>
    <w:rsid w:val="00D45F83"/>
    <w:rsid w:val="00D4741C"/>
    <w:rsid w:val="00D543D9"/>
    <w:rsid w:val="00D567F3"/>
    <w:rsid w:val="00D57918"/>
    <w:rsid w:val="00D57928"/>
    <w:rsid w:val="00D73DC6"/>
    <w:rsid w:val="00D74C1A"/>
    <w:rsid w:val="00D754C1"/>
    <w:rsid w:val="00D77393"/>
    <w:rsid w:val="00D77A35"/>
    <w:rsid w:val="00D81B3E"/>
    <w:rsid w:val="00D8484B"/>
    <w:rsid w:val="00D90C70"/>
    <w:rsid w:val="00D90E49"/>
    <w:rsid w:val="00D96ADE"/>
    <w:rsid w:val="00DA0CE2"/>
    <w:rsid w:val="00DB265F"/>
    <w:rsid w:val="00DB748F"/>
    <w:rsid w:val="00DB78F1"/>
    <w:rsid w:val="00DC6A10"/>
    <w:rsid w:val="00DE0B2F"/>
    <w:rsid w:val="00DE2562"/>
    <w:rsid w:val="00DE657E"/>
    <w:rsid w:val="00DF360D"/>
    <w:rsid w:val="00DF4704"/>
    <w:rsid w:val="00E024AA"/>
    <w:rsid w:val="00E12531"/>
    <w:rsid w:val="00E20944"/>
    <w:rsid w:val="00E250F1"/>
    <w:rsid w:val="00E3550D"/>
    <w:rsid w:val="00E371F7"/>
    <w:rsid w:val="00E41335"/>
    <w:rsid w:val="00E419B4"/>
    <w:rsid w:val="00E53B89"/>
    <w:rsid w:val="00E55350"/>
    <w:rsid w:val="00E614E0"/>
    <w:rsid w:val="00E65259"/>
    <w:rsid w:val="00E656FC"/>
    <w:rsid w:val="00E73F7F"/>
    <w:rsid w:val="00E85409"/>
    <w:rsid w:val="00E9299F"/>
    <w:rsid w:val="00E929BF"/>
    <w:rsid w:val="00EA429F"/>
    <w:rsid w:val="00EA4F9E"/>
    <w:rsid w:val="00EA63CA"/>
    <w:rsid w:val="00EA6D3B"/>
    <w:rsid w:val="00EB00AD"/>
    <w:rsid w:val="00EB136C"/>
    <w:rsid w:val="00EB480E"/>
    <w:rsid w:val="00EB56BA"/>
    <w:rsid w:val="00EB5EC6"/>
    <w:rsid w:val="00EB7FC9"/>
    <w:rsid w:val="00ED27E8"/>
    <w:rsid w:val="00ED5C16"/>
    <w:rsid w:val="00ED7137"/>
    <w:rsid w:val="00ED7AC9"/>
    <w:rsid w:val="00EE66BA"/>
    <w:rsid w:val="00F21088"/>
    <w:rsid w:val="00F268BE"/>
    <w:rsid w:val="00F26E2B"/>
    <w:rsid w:val="00F31108"/>
    <w:rsid w:val="00F327E7"/>
    <w:rsid w:val="00F35746"/>
    <w:rsid w:val="00F36345"/>
    <w:rsid w:val="00F447C7"/>
    <w:rsid w:val="00F47183"/>
    <w:rsid w:val="00F5211B"/>
    <w:rsid w:val="00F554A9"/>
    <w:rsid w:val="00F640E5"/>
    <w:rsid w:val="00F716FD"/>
    <w:rsid w:val="00F80355"/>
    <w:rsid w:val="00F8662D"/>
    <w:rsid w:val="00F87C43"/>
    <w:rsid w:val="00F93FEB"/>
    <w:rsid w:val="00F95F34"/>
    <w:rsid w:val="00FB0C81"/>
    <w:rsid w:val="00FB39C3"/>
    <w:rsid w:val="00FC2200"/>
    <w:rsid w:val="00FC2540"/>
    <w:rsid w:val="00FF0204"/>
    <w:rsid w:val="00FF3AED"/>
    <w:rsid w:val="00FF47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8ACACD"/>
  <w15:docId w15:val="{85EF4FD2-4BEB-4B7B-9148-9226B980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学术论文的三线表"/>
    <w:basedOn w:val="TableNormal"/>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
    <w:link w:val="CharCharCharCharCarChar"/>
    <w:uiPriority w:val="99"/>
    <w:qFormat/>
    <w:rsid w:val="00EB56BA"/>
    <w:rPr>
      <w:szCs w:val="18"/>
      <w:vertAlign w:val="superscript"/>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Char1 Char Char, Char1"/>
    <w:basedOn w:val="Normal"/>
    <w:link w:val="FootnoteTextChar"/>
    <w:uiPriority w:val="99"/>
    <w:qFormat/>
    <w:rsid w:val="00EB56BA"/>
    <w:pPr>
      <w:tabs>
        <w:tab w:val="left" w:pos="1247"/>
        <w:tab w:val="left" w:pos="1814"/>
        <w:tab w:val="left" w:pos="2381"/>
        <w:tab w:val="left" w:pos="2948"/>
        <w:tab w:val="left" w:pos="3515"/>
      </w:tabs>
    </w:pPr>
    <w:rPr>
      <w:sz w:val="20"/>
      <w:szCs w:val="24"/>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EB56BA"/>
    <w:rPr>
      <w:szCs w:val="24"/>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EB56BA"/>
    <w:pPr>
      <w:spacing w:after="160" w:line="240" w:lineRule="exact"/>
    </w:pPr>
    <w:rPr>
      <w:sz w:val="20"/>
      <w:szCs w:val="18"/>
      <w:vertAlign w:val="superscript"/>
      <w:lang w:val="en-U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EB56BA"/>
    <w:rPr>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EB56BA"/>
    <w:rPr>
      <w:sz w:val="22"/>
      <w:szCs w:val="22"/>
      <w:lang w:val="en-GB"/>
    </w:rPr>
  </w:style>
  <w:style w:type="paragraph" w:styleId="ListParagraph">
    <w:name w:val="List Paragraph"/>
    <w:basedOn w:val="Normal"/>
    <w:uiPriority w:val="34"/>
    <w:qFormat/>
    <w:rsid w:val="00EB56BA"/>
    <w:pPr>
      <w:ind w:left="720"/>
      <w:contextualSpacing/>
    </w:pPr>
  </w:style>
  <w:style w:type="paragraph" w:customStyle="1" w:styleId="CH1">
    <w:name w:val="CH1"/>
    <w:basedOn w:val="Normal"/>
    <w:next w:val="Normal"/>
    <w:link w:val="CH1Char"/>
    <w:rsid w:val="00EB56BA"/>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8"/>
      <w:szCs w:val="28"/>
    </w:rPr>
  </w:style>
  <w:style w:type="character" w:customStyle="1" w:styleId="CH1Char">
    <w:name w:val="CH1 Char"/>
    <w:link w:val="CH1"/>
    <w:locked/>
    <w:rsid w:val="00EB56BA"/>
    <w:rPr>
      <w:b/>
      <w:sz w:val="28"/>
      <w:szCs w:val="28"/>
      <w:lang w:val="en-GB"/>
    </w:rPr>
  </w:style>
  <w:style w:type="paragraph" w:customStyle="1" w:styleId="CH2">
    <w:name w:val="CH2"/>
    <w:basedOn w:val="Normal"/>
    <w:next w:val="Normal"/>
    <w:link w:val="CH2Char"/>
    <w:rsid w:val="00EB56BA"/>
    <w:pPr>
      <w:keepNext/>
      <w:keepLines/>
      <w:tabs>
        <w:tab w:val="right" w:pos="851"/>
        <w:tab w:val="left" w:pos="1247"/>
        <w:tab w:val="left" w:pos="1814"/>
        <w:tab w:val="left" w:pos="2381"/>
        <w:tab w:val="left" w:pos="2948"/>
        <w:tab w:val="left" w:pos="3515"/>
      </w:tabs>
      <w:suppressAutoHyphens/>
      <w:spacing w:before="80" w:after="120"/>
      <w:ind w:left="1247" w:right="284" w:hanging="1247"/>
      <w:jc w:val="left"/>
    </w:pPr>
    <w:rPr>
      <w:b/>
      <w:sz w:val="24"/>
      <w:szCs w:val="24"/>
    </w:rPr>
  </w:style>
  <w:style w:type="paragraph" w:customStyle="1" w:styleId="Normalpool">
    <w:name w:val="Normal_pool"/>
    <w:link w:val="NormalpoolChar"/>
    <w:rsid w:val="00EB56BA"/>
    <w:pPr>
      <w:tabs>
        <w:tab w:val="left" w:pos="1253"/>
        <w:tab w:val="left" w:pos="1814"/>
        <w:tab w:val="left" w:pos="2376"/>
        <w:tab w:val="left" w:pos="2952"/>
        <w:tab w:val="left" w:pos="3514"/>
      </w:tabs>
    </w:pPr>
    <w:rPr>
      <w:lang w:val="en-GB"/>
    </w:rPr>
  </w:style>
  <w:style w:type="character" w:customStyle="1" w:styleId="NormalpoolChar">
    <w:name w:val="Normal_pool Char"/>
    <w:link w:val="Normalpool"/>
    <w:locked/>
    <w:rsid w:val="00EB56BA"/>
    <w:rPr>
      <w:lang w:val="en-GB"/>
    </w:rPr>
  </w:style>
  <w:style w:type="character" w:customStyle="1" w:styleId="CH2Char">
    <w:name w:val="CH2 Char"/>
    <w:link w:val="CH2"/>
    <w:locked/>
    <w:rsid w:val="00EB56BA"/>
    <w:rPr>
      <w:b/>
      <w:sz w:val="24"/>
      <w:szCs w:val="24"/>
      <w:lang w:val="en-GB"/>
    </w:rPr>
  </w:style>
  <w:style w:type="character" w:styleId="Hyperlink">
    <w:name w:val="Hyperlink"/>
    <w:basedOn w:val="DefaultParagraphFont"/>
    <w:uiPriority w:val="99"/>
    <w:unhideWhenUsed/>
    <w:rsid w:val="00EB56BA"/>
    <w:rPr>
      <w:color w:val="0000FF" w:themeColor="hyperlink"/>
      <w:u w:val="single"/>
    </w:rPr>
  </w:style>
  <w:style w:type="character" w:customStyle="1" w:styleId="FooterChar">
    <w:name w:val="Footer Char"/>
    <w:basedOn w:val="DefaultParagraphFont"/>
    <w:link w:val="Footer"/>
    <w:uiPriority w:val="99"/>
    <w:rsid w:val="00EB56BA"/>
    <w:rPr>
      <w:sz w:val="22"/>
      <w:szCs w:val="22"/>
      <w:lang w:val="en-GB"/>
    </w:rPr>
  </w:style>
  <w:style w:type="paragraph" w:styleId="Revision">
    <w:name w:val="Revision"/>
    <w:hidden/>
    <w:uiPriority w:val="99"/>
    <w:semiHidden/>
    <w:rsid w:val="00EB56BA"/>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k-cep.org/wp-content/uploads/2018/05/Africa-Cooling-map.pdf" TargetMode="External"/><Relationship Id="rId1" Type="http://schemas.openxmlformats.org/officeDocument/2006/relationships/hyperlink" Target="https://clasp.ngo/polic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83rd\Templates\Eec83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683CADC4F284EA5F0B82357B5BF3A" ma:contentTypeVersion="2" ma:contentTypeDescription="Create a new document." ma:contentTypeScope="" ma:versionID="068ecf6b82cce04dbb15b641d5edd95a">
  <xsd:schema xmlns:xsd="http://www.w3.org/2001/XMLSchema" xmlns:p="http://schemas.microsoft.com/office/2006/metadata/properties" xmlns:ns2="8662b4aa-cf42-4f00-a3f0-9d3b4acad230" xmlns:ns3="310e179b-1379-4e79-9b74-d5a32b1812d3" targetNamespace="http://schemas.microsoft.com/office/2006/metadata/properties" ma:root="true" ma:fieldsID="ec3297cc96d292a79aedb3c4ee5cf4fc"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UNEP/OzL.Pro/ExCom/84/67</Document_x0020_Number>
  </documentManagement>
</p:properties>
</file>

<file path=customXml/itemProps1.xml><?xml version="1.0" encoding="utf-8"?>
<ds:datastoreItem xmlns:ds="http://schemas.openxmlformats.org/officeDocument/2006/customXml" ds:itemID="{59559137-3A27-431D-A5AC-74BF6CF4E7B7}"/>
</file>

<file path=customXml/itemProps2.xml><?xml version="1.0" encoding="utf-8"?>
<ds:datastoreItem xmlns:ds="http://schemas.openxmlformats.org/officeDocument/2006/customXml" ds:itemID="{06D99C70-A3CC-4E85-B937-9369931B9174}"/>
</file>

<file path=customXml/itemProps3.xml><?xml version="1.0" encoding="utf-8"?>
<ds:datastoreItem xmlns:ds="http://schemas.openxmlformats.org/officeDocument/2006/customXml" ds:itemID="{DE46A8C8-A41C-435F-BC79-0785A7CE0B1A}"/>
</file>

<file path=customXml/itemProps4.xml><?xml version="1.0" encoding="utf-8"?>
<ds:datastoreItem xmlns:ds="http://schemas.openxmlformats.org/officeDocument/2006/customXml" ds:itemID="{603EE692-7D44-4882-8313-7A5E2CA3053D}"/>
</file>

<file path=docProps/app.xml><?xml version="1.0" encoding="utf-8"?>
<Properties xmlns="http://schemas.openxmlformats.org/officeDocument/2006/extended-properties" xmlns:vt="http://schemas.openxmlformats.org/officeDocument/2006/docPropsVTypes">
  <Template>Eec83G</Template>
  <TotalTime>529</TotalTime>
  <Pages>19</Pages>
  <Words>8803</Words>
  <Characters>50179</Characters>
  <Application>Microsoft Office Word</Application>
  <DocSecurity>0</DocSecurity>
  <Lines>418</Lines>
  <Paragraphs>117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 décrivant les moyens d'opérationnaliser le paragraphe 16 de la décision XXVIII/2 et le paragraphe 2 de la décision XXX/5 des Parties</vt:lpstr>
      <vt:lpstr>Paper on Ways to Operationalize Paragraph 16 of Decision XXVIII/2 and Paragraph 2 of XXX/5 of the Parties (Decision 82/83(c))</vt:lpstr>
    </vt:vector>
  </TitlesOfParts>
  <Company/>
  <LinksUpToDate>false</LinksUpToDate>
  <CharactersWithSpaces>58865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sur les moyens d’opérationnaliser le paragraphe 16 de ;a décision XXVIII/2 el le paragraphe 2 de la décision XXX/5 des parties</dc:title>
  <dc:creator>Catherine</dc:creator>
  <cp:lastModifiedBy>HBE</cp:lastModifiedBy>
  <cp:revision>21</cp:revision>
  <cp:lastPrinted>2019-05-04T13:52:00Z</cp:lastPrinted>
  <dcterms:created xsi:type="dcterms:W3CDTF">2019-05-03T16:26:00Z</dcterms:created>
  <dcterms:modified xsi:type="dcterms:W3CDTF">2019-05-14T15:31:00Z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UNEP/OzL.Pro/ExCom/83/40</vt:lpwstr>
  </property>
  <property fmtid="{D5CDD505-2E9C-101B-9397-08002B2CF9AE}" pid="3" name="Revision date">
    <vt:lpwstr>04/29/2019</vt:lpwstr>
  </property>
  <property fmtid="{D5CDD505-2E9C-101B-9397-08002B2CF9AE}" pid="4" name="ContentTypeId">
    <vt:lpwstr>0x010100109683CADC4F284EA5F0B82357B5BF3A</vt:lpwstr>
  </property>
</Properties>
</file>