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Override PartName="/word/footer6.xml" ContentType="application/vnd.openxmlformats-officedocument.wordprocessingml.footer+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05" w:type="dxa"/>
        <w:tblInd w:w="-432" w:type="dxa"/>
        <w:tblLayout w:type="fixed"/>
        <w:tblLook w:val="0000" w:firstRow="0" w:lastRow="0" w:firstColumn="0" w:lastColumn="0" w:noHBand="0" w:noVBand="0"/>
      </w:tblPr>
      <w:tblGrid>
        <w:gridCol w:w="2070"/>
        <w:gridCol w:w="4991"/>
        <w:gridCol w:w="3544"/>
      </w:tblGrid>
      <w:tr w:rsidR="00441083">
        <w:trPr>
          <w:trHeight w:val="720"/>
        </w:trPr>
        <w:tc>
          <w:tcPr>
            <w:tcW w:w="7061" w:type="dxa"/>
            <w:gridSpan w:val="2"/>
            <w:tcBorders>
              <w:bottom w:val="single" w:sz="18" w:space="0" w:color="auto"/>
            </w:tcBorders>
          </w:tcPr>
          <w:p w:rsidR="00441083" w:rsidRDefault="00E60D9C">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w:hAnsi="Univers"/>
                <w:b/>
                <w:sz w:val="28"/>
                <w:szCs w:val="28"/>
              </w:rPr>
            </w:pPr>
            <w:r>
              <w:rPr>
                <w:rFonts w:ascii="Univers" w:hAnsi="Univers"/>
                <w:b/>
                <w:sz w:val="28"/>
                <w:szCs w:val="28"/>
              </w:rPr>
              <w:t>NATIONS</w:t>
            </w:r>
          </w:p>
          <w:p w:rsidR="00441083" w:rsidRDefault="00E60D9C">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sz w:val="28"/>
                <w:szCs w:val="28"/>
              </w:rPr>
            </w:pPr>
            <w:r>
              <w:rPr>
                <w:rFonts w:ascii="Univers" w:hAnsi="Univers"/>
                <w:b/>
                <w:sz w:val="28"/>
                <w:szCs w:val="28"/>
              </w:rPr>
              <w:t xml:space="preserve">UNIES </w:t>
            </w:r>
          </w:p>
        </w:tc>
        <w:tc>
          <w:tcPr>
            <w:tcW w:w="3544" w:type="dxa"/>
            <w:tcBorders>
              <w:bottom w:val="single" w:sz="18" w:space="0" w:color="auto"/>
            </w:tcBorders>
          </w:tcPr>
          <w:p w:rsidR="00441083" w:rsidRDefault="00E60D9C">
            <w:pPr>
              <w:tabs>
                <w:tab w:val="left" w:pos="3010"/>
              </w:tabs>
              <w:jc w:val="center"/>
              <w:rPr>
                <w:sz w:val="52"/>
                <w:szCs w:val="52"/>
              </w:rPr>
            </w:pPr>
            <w:r>
              <w:rPr>
                <w:rFonts w:ascii="Univers Bold" w:hAnsi="Univers Bold"/>
                <w:b/>
                <w:sz w:val="72"/>
                <w:lang w:val="fr-CA"/>
              </w:rPr>
              <w:t xml:space="preserve">          EP</w:t>
            </w:r>
          </w:p>
        </w:tc>
      </w:tr>
      <w:tr w:rsidR="00441083" w:rsidRPr="00BB77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18"/>
        </w:trPr>
        <w:tc>
          <w:tcPr>
            <w:tcW w:w="2070" w:type="dxa"/>
            <w:tcBorders>
              <w:top w:val="nil"/>
              <w:left w:val="nil"/>
              <w:bottom w:val="single" w:sz="36" w:space="0" w:color="auto"/>
              <w:right w:val="nil"/>
            </w:tcBorders>
          </w:tcPr>
          <w:p w:rsidR="00441083" w:rsidRDefault="00C6443E">
            <w:pPr>
              <w:spacing w:before="120"/>
            </w:pPr>
            <w:r>
              <w:rPr>
                <w:noProof/>
                <w:lang w:val="en-CA" w:eastAsia="en-CA"/>
              </w:rPr>
              <w:drawing>
                <wp:anchor distT="0" distB="0" distL="114300" distR="114300" simplePos="0" relativeHeight="251660288" behindDoc="0" locked="0" layoutInCell="1" allowOverlap="1" wp14:anchorId="75D1E401" wp14:editId="1024F88C">
                  <wp:simplePos x="0" y="0"/>
                  <wp:positionH relativeFrom="column">
                    <wp:posOffset>57785</wp:posOffset>
                  </wp:positionH>
                  <wp:positionV relativeFrom="paragraph">
                    <wp:posOffset>920115</wp:posOffset>
                  </wp:positionV>
                  <wp:extent cx="800100" cy="705485"/>
                  <wp:effectExtent l="0" t="0" r="0" b="0"/>
                  <wp:wrapNone/>
                  <wp:docPr id="2" name="Picture 2" descr="UN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EP"/>
                          <pic:cNvPicPr>
                            <a:picLocks noChangeAspect="1" noChangeArrowheads="1"/>
                          </pic:cNvPicPr>
                        </pic:nvPicPr>
                        <pic:blipFill>
                          <a:blip r:embed="rId8" cstate="print"/>
                          <a:srcRect/>
                          <a:stretch>
                            <a:fillRect/>
                          </a:stretch>
                        </pic:blipFill>
                        <pic:spPr bwMode="auto">
                          <a:xfrm>
                            <a:off x="0" y="0"/>
                            <a:ext cx="800100" cy="705485"/>
                          </a:xfrm>
                          <a:prstGeom prst="rect">
                            <a:avLst/>
                          </a:prstGeom>
                          <a:noFill/>
                        </pic:spPr>
                      </pic:pic>
                    </a:graphicData>
                  </a:graphic>
                </wp:anchor>
              </w:drawing>
            </w:r>
            <w:r w:rsidR="001C3D0C">
              <w:rPr>
                <w:noProof/>
                <w:lang w:val="en-CA" w:eastAsia="en-CA"/>
              </w:rPr>
              <w:drawing>
                <wp:anchor distT="0" distB="0" distL="114300" distR="114300" simplePos="0" relativeHeight="251661312" behindDoc="1" locked="0" layoutInCell="0" allowOverlap="1" wp14:anchorId="244C4231" wp14:editId="1C9406B4">
                  <wp:simplePos x="0" y="0"/>
                  <wp:positionH relativeFrom="column">
                    <wp:posOffset>72390</wp:posOffset>
                  </wp:positionH>
                  <wp:positionV relativeFrom="paragraph">
                    <wp:posOffset>112395</wp:posOffset>
                  </wp:positionV>
                  <wp:extent cx="760809" cy="676275"/>
                  <wp:effectExtent l="0" t="0" r="127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760809" cy="676275"/>
                          </a:xfrm>
                          <a:prstGeom prst="rect">
                            <a:avLst/>
                          </a:prstGeom>
                          <a:noFill/>
                        </pic:spPr>
                      </pic:pic>
                    </a:graphicData>
                  </a:graphic>
                  <wp14:sizeRelH relativeFrom="margin">
                    <wp14:pctWidth>0</wp14:pctWidth>
                  </wp14:sizeRelH>
                  <wp14:sizeRelV relativeFrom="margin">
                    <wp14:pctHeight>0</wp14:pctHeight>
                  </wp14:sizeRelV>
                </wp:anchor>
              </w:drawing>
            </w:r>
          </w:p>
        </w:tc>
        <w:tc>
          <w:tcPr>
            <w:tcW w:w="4991" w:type="dxa"/>
            <w:tcBorders>
              <w:top w:val="nil"/>
              <w:left w:val="nil"/>
              <w:bottom w:val="single" w:sz="36" w:space="0" w:color="auto"/>
              <w:right w:val="nil"/>
            </w:tcBorders>
          </w:tcPr>
          <w:p w:rsidR="00441083" w:rsidRDefault="00441083">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jc w:val="left"/>
              <w:rPr>
                <w:rFonts w:ascii="Univers" w:hAnsi="Univers"/>
                <w:b/>
                <w:sz w:val="32"/>
                <w:lang w:val="fr-CA"/>
              </w:rPr>
            </w:pPr>
          </w:p>
          <w:p w:rsidR="00441083" w:rsidRDefault="00E60D9C">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jc w:val="left"/>
              <w:rPr>
                <w:rFonts w:ascii="Univers" w:hAnsi="Univers"/>
                <w:b/>
                <w:sz w:val="32"/>
                <w:lang w:val="fr-CA"/>
              </w:rPr>
            </w:pPr>
            <w:r>
              <w:rPr>
                <w:rFonts w:ascii="Univers" w:hAnsi="Univers"/>
                <w:b/>
                <w:sz w:val="32"/>
                <w:lang w:val="fr-CA"/>
              </w:rPr>
              <w:t>Programme des</w:t>
            </w:r>
          </w:p>
          <w:p w:rsidR="00441083" w:rsidRDefault="00E60D9C">
            <w:pPr>
              <w:rPr>
                <w:rFonts w:ascii="Univers" w:hAnsi="Univers"/>
                <w:b/>
                <w:sz w:val="32"/>
                <w:lang w:val="fr-CA"/>
              </w:rPr>
            </w:pPr>
            <w:r>
              <w:rPr>
                <w:rFonts w:ascii="Univers" w:hAnsi="Univers"/>
                <w:b/>
                <w:sz w:val="32"/>
                <w:lang w:val="fr-CA"/>
              </w:rPr>
              <w:t>Nations Unies pour</w:t>
            </w:r>
          </w:p>
          <w:p w:rsidR="00441083" w:rsidRDefault="00E60D9C">
            <w:pPr>
              <w:rPr>
                <w:rFonts w:ascii="Univers" w:hAnsi="Univers"/>
                <w:b/>
                <w:sz w:val="32"/>
                <w:lang w:val="fr-CA"/>
              </w:rPr>
            </w:pPr>
            <w:proofErr w:type="gramStart"/>
            <w:r>
              <w:rPr>
                <w:rFonts w:ascii="Univers" w:hAnsi="Univers"/>
                <w:b/>
                <w:sz w:val="32"/>
                <w:lang w:val="fr-CA"/>
              </w:rPr>
              <w:t>l’environnement</w:t>
            </w:r>
            <w:proofErr w:type="gramEnd"/>
          </w:p>
          <w:p w:rsidR="00441083" w:rsidRDefault="00E60D9C">
            <w:pPr>
              <w:spacing w:before="720"/>
              <w:ind w:left="158"/>
              <w:rPr>
                <w:lang w:val="fr-FR"/>
              </w:rPr>
            </w:pPr>
            <w:r>
              <w:rPr>
                <w:lang w:val="fr-FR"/>
              </w:rPr>
              <w:t xml:space="preserve"> </w:t>
            </w:r>
          </w:p>
        </w:tc>
        <w:tc>
          <w:tcPr>
            <w:tcW w:w="3544" w:type="dxa"/>
            <w:tcBorders>
              <w:top w:val="nil"/>
              <w:left w:val="nil"/>
              <w:bottom w:val="single" w:sz="36" w:space="0" w:color="auto"/>
              <w:right w:val="nil"/>
            </w:tcBorders>
          </w:tcPr>
          <w:p w:rsidR="00441083" w:rsidRDefault="00441083">
            <w:pPr>
              <w:rPr>
                <w:lang w:val="fr-FR"/>
              </w:rPr>
            </w:pPr>
          </w:p>
          <w:p w:rsidR="00441083" w:rsidRPr="00DD3433" w:rsidRDefault="00E60D9C">
            <w:pPr>
              <w:rPr>
                <w:lang w:val="fr-FR"/>
              </w:rPr>
            </w:pPr>
            <w:proofErr w:type="spellStart"/>
            <w:r w:rsidRPr="00DD3433">
              <w:rPr>
                <w:lang w:val="fr-FR"/>
              </w:rPr>
              <w:t>Distr</w:t>
            </w:r>
            <w:proofErr w:type="spellEnd"/>
            <w:r w:rsidRPr="00DD3433">
              <w:rPr>
                <w:lang w:val="fr-FR"/>
              </w:rPr>
              <w:t>.</w:t>
            </w:r>
          </w:p>
          <w:p w:rsidR="00441083" w:rsidRPr="00DD3433" w:rsidRDefault="00E60D9C" w:rsidP="00DD3433">
            <w:pPr>
              <w:rPr>
                <w:lang w:val="fr-FR"/>
              </w:rPr>
            </w:pPr>
            <w:r w:rsidRPr="00DD3433">
              <w:rPr>
                <w:lang w:val="fr-FR"/>
              </w:rPr>
              <w:t>G</w:t>
            </w:r>
            <w:r w:rsidR="00DD3433" w:rsidRPr="00DD3433">
              <w:rPr>
                <w:lang w:val="fr-FR"/>
              </w:rPr>
              <w:t>É</w:t>
            </w:r>
            <w:r w:rsidRPr="00DD3433">
              <w:rPr>
                <w:lang w:val="fr-FR"/>
              </w:rPr>
              <w:t>N</w:t>
            </w:r>
            <w:r w:rsidR="00DD3433" w:rsidRPr="00DD3433">
              <w:rPr>
                <w:lang w:val="fr-FR"/>
              </w:rPr>
              <w:t>É</w:t>
            </w:r>
            <w:r w:rsidRPr="00DD3433">
              <w:rPr>
                <w:lang w:val="fr-FR"/>
              </w:rPr>
              <w:t>RAL</w:t>
            </w:r>
            <w:r w:rsidR="00FF3CF1" w:rsidRPr="00DD3433">
              <w:rPr>
                <w:lang w:val="fr-FR"/>
              </w:rPr>
              <w:t>E</w:t>
            </w:r>
          </w:p>
          <w:p w:rsidR="00441083" w:rsidRPr="00DD3433" w:rsidRDefault="00441083">
            <w:pPr>
              <w:rPr>
                <w:lang w:val="fr-FR"/>
              </w:rPr>
            </w:pPr>
          </w:p>
          <w:p w:rsidR="00441083" w:rsidRPr="008D74CA" w:rsidRDefault="00E60D9C" w:rsidP="00E75B70">
            <w:pPr>
              <w:rPr>
                <w:lang w:val="fr-FR"/>
              </w:rPr>
            </w:pPr>
            <w:r>
              <w:fldChar w:fldCharType="begin"/>
            </w:r>
            <w:r w:rsidRPr="00DD3433">
              <w:rPr>
                <w:lang w:val="fr-FR"/>
              </w:rPr>
              <w:instrText xml:space="preserve"> DOCPROPERTY "Document number"  \* MERGEFORMAT </w:instrText>
            </w:r>
            <w:r>
              <w:fldChar w:fldCharType="separate"/>
            </w:r>
            <w:r w:rsidR="00E26188">
              <w:rPr>
                <w:lang w:val="fr-FR"/>
              </w:rPr>
              <w:t>UNEP/</w:t>
            </w:r>
            <w:proofErr w:type="spellStart"/>
            <w:r w:rsidR="00E26188">
              <w:rPr>
                <w:lang w:val="fr-FR"/>
              </w:rPr>
              <w:t>OzL.Pro</w:t>
            </w:r>
            <w:proofErr w:type="spellEnd"/>
            <w:r w:rsidR="00E26188">
              <w:rPr>
                <w:lang w:val="fr-FR"/>
              </w:rPr>
              <w:t>/</w:t>
            </w:r>
            <w:proofErr w:type="spellStart"/>
            <w:r w:rsidR="00E26188">
              <w:rPr>
                <w:lang w:val="fr-FR"/>
              </w:rPr>
              <w:t>ExCom</w:t>
            </w:r>
            <w:proofErr w:type="spellEnd"/>
            <w:r w:rsidR="00E26188">
              <w:rPr>
                <w:lang w:val="fr-FR"/>
              </w:rPr>
              <w:t>/84/60</w:t>
            </w:r>
            <w:r>
              <w:fldChar w:fldCharType="end"/>
            </w:r>
          </w:p>
          <w:p w:rsidR="002F0B57" w:rsidRPr="00FF3CF1" w:rsidRDefault="00CB3F61" w:rsidP="00515935">
            <w:pPr>
              <w:tabs>
                <w:tab w:val="left" w:pos="2605"/>
              </w:tabs>
              <w:rPr>
                <w:lang w:val="fr-FR"/>
              </w:rPr>
            </w:pPr>
            <w:r>
              <w:rPr>
                <w:lang w:val="fr-CA"/>
              </w:rPr>
              <w:t>2</w:t>
            </w:r>
            <w:r w:rsidR="00E26188">
              <w:rPr>
                <w:lang w:val="fr-CA"/>
              </w:rPr>
              <w:t>1</w:t>
            </w:r>
            <w:r w:rsidR="00466402" w:rsidRPr="002223E0">
              <w:rPr>
                <w:lang w:val="fr-CA"/>
              </w:rPr>
              <w:t xml:space="preserve"> novembre 2019</w:t>
            </w:r>
            <w:r w:rsidR="00515935">
              <w:rPr>
                <w:lang w:val="fr-CA"/>
              </w:rPr>
              <w:tab/>
            </w:r>
          </w:p>
          <w:p w:rsidR="00441083" w:rsidRDefault="00FC5578">
            <w:pPr>
              <w:rPr>
                <w:caps/>
                <w:lang w:val="fr-FR"/>
              </w:rPr>
            </w:pPr>
            <w:r w:rsidRPr="00FF3CF1">
              <w:rPr>
                <w:caps/>
                <w:lang w:val="fr-FR"/>
              </w:rPr>
              <w:br/>
            </w:r>
            <w:r w:rsidR="00E60D9C">
              <w:rPr>
                <w:caps/>
                <w:lang w:val="fr-FR"/>
              </w:rPr>
              <w:t>FRANÇAIS</w:t>
            </w:r>
          </w:p>
          <w:p w:rsidR="00441083" w:rsidRPr="002223E0" w:rsidRDefault="00E60D9C">
            <w:pPr>
              <w:rPr>
                <w:lang w:val="fr-CA"/>
              </w:rPr>
            </w:pPr>
            <w:r w:rsidRPr="002223E0">
              <w:rPr>
                <w:lang w:val="fr-CA"/>
              </w:rPr>
              <w:t>ORIGINAL</w:t>
            </w:r>
            <w:r w:rsidR="00466402" w:rsidRPr="002223E0">
              <w:rPr>
                <w:lang w:val="fr-CA"/>
              </w:rPr>
              <w:t xml:space="preserve"> </w:t>
            </w:r>
            <w:r w:rsidRPr="002223E0">
              <w:rPr>
                <w:lang w:val="fr-CA"/>
              </w:rPr>
              <w:t xml:space="preserve">: </w:t>
            </w:r>
            <w:r w:rsidR="0091161A" w:rsidRPr="002223E0">
              <w:rPr>
                <w:lang w:val="fr-CA"/>
              </w:rPr>
              <w:t>ANGLAIS</w:t>
            </w:r>
          </w:p>
        </w:tc>
      </w:tr>
    </w:tbl>
    <w:p w:rsidR="00441083" w:rsidRDefault="00E60D9C" w:rsidP="00DD3433">
      <w:pPr>
        <w:jc w:val="left"/>
        <w:rPr>
          <w:lang w:val="fr-CA"/>
        </w:rPr>
      </w:pPr>
      <w:r>
        <w:rPr>
          <w:lang w:val="fr-CA"/>
        </w:rPr>
        <w:t>COMIT</w:t>
      </w:r>
      <w:r w:rsidR="00DD3433">
        <w:rPr>
          <w:lang w:val="fr-CA"/>
        </w:rPr>
        <w:t>É</w:t>
      </w:r>
      <w:r>
        <w:rPr>
          <w:lang w:val="fr-CA"/>
        </w:rPr>
        <w:t xml:space="preserve"> EX</w:t>
      </w:r>
      <w:r w:rsidR="00DD3433">
        <w:rPr>
          <w:lang w:val="fr-CA"/>
        </w:rPr>
        <w:t xml:space="preserve">ÉCUTIF </w:t>
      </w:r>
      <w:r w:rsidR="00DD3433">
        <w:rPr>
          <w:lang w:val="fr-CA"/>
        </w:rPr>
        <w:br/>
        <w:t xml:space="preserve">  DU FONDS MULTILATÉ</w:t>
      </w:r>
      <w:r>
        <w:rPr>
          <w:lang w:val="fr-CA"/>
        </w:rPr>
        <w:t xml:space="preserve">RAL AUX FINS </w:t>
      </w:r>
      <w:r>
        <w:rPr>
          <w:lang w:val="fr-CA"/>
        </w:rPr>
        <w:br/>
        <w:t xml:space="preserve">  D’APPLICATION DU PROTOCOLE DE MONTR</w:t>
      </w:r>
      <w:r w:rsidR="00DD3433">
        <w:rPr>
          <w:lang w:val="fr-CA"/>
        </w:rPr>
        <w:t>É</w:t>
      </w:r>
      <w:r>
        <w:rPr>
          <w:lang w:val="fr-CA"/>
        </w:rPr>
        <w:t>AL</w:t>
      </w:r>
      <w:r>
        <w:rPr>
          <w:lang w:val="fr-CA"/>
        </w:rPr>
        <w:br/>
      </w:r>
      <w:r w:rsidR="00E54871">
        <w:rPr>
          <w:lang w:val="fr-CA"/>
        </w:rPr>
        <w:t>Quatre</w:t>
      </w:r>
      <w:r>
        <w:rPr>
          <w:lang w:val="fr-CA"/>
        </w:rPr>
        <w:t>-</w:t>
      </w:r>
      <w:r w:rsidR="00E54871">
        <w:rPr>
          <w:lang w:val="fr-CA"/>
        </w:rPr>
        <w:t>vingt</w:t>
      </w:r>
      <w:r w:rsidR="00AE63D8">
        <w:rPr>
          <w:lang w:val="fr-CA"/>
        </w:rPr>
        <w:t>-</w:t>
      </w:r>
      <w:r w:rsidR="00AC013C">
        <w:rPr>
          <w:lang w:val="fr-CA"/>
        </w:rPr>
        <w:t>quat</w:t>
      </w:r>
      <w:r w:rsidR="004C2C87">
        <w:rPr>
          <w:lang w:val="fr-CA"/>
        </w:rPr>
        <w:t>ri</w:t>
      </w:r>
      <w:r w:rsidR="00E54871">
        <w:rPr>
          <w:lang w:val="fr-CA"/>
        </w:rPr>
        <w:t>ème</w:t>
      </w:r>
      <w:r w:rsidR="00FC5578" w:rsidRPr="00FC5578">
        <w:rPr>
          <w:lang w:val="fr-CA"/>
        </w:rPr>
        <w:t xml:space="preserve"> </w:t>
      </w:r>
      <w:r>
        <w:rPr>
          <w:lang w:val="fr-CA"/>
        </w:rPr>
        <w:t>réunion</w:t>
      </w:r>
    </w:p>
    <w:p w:rsidR="00441083" w:rsidRDefault="00E54871" w:rsidP="00AC013C">
      <w:pPr>
        <w:jc w:val="left"/>
        <w:rPr>
          <w:lang w:val="fr-CA"/>
        </w:rPr>
      </w:pPr>
      <w:r>
        <w:rPr>
          <w:lang w:val="fr-CA"/>
        </w:rPr>
        <w:t>Montr</w:t>
      </w:r>
      <w:r w:rsidRPr="00466402">
        <w:rPr>
          <w:lang w:val="fr-CA"/>
        </w:rPr>
        <w:t>é</w:t>
      </w:r>
      <w:r>
        <w:rPr>
          <w:lang w:val="fr-CA"/>
        </w:rPr>
        <w:t>al,</w:t>
      </w:r>
      <w:r w:rsidR="00FC5578">
        <w:rPr>
          <w:lang w:val="fr-CA"/>
        </w:rPr>
        <w:t xml:space="preserve"> </w:t>
      </w:r>
      <w:r w:rsidR="00AC013C">
        <w:rPr>
          <w:lang w:val="fr-CA"/>
        </w:rPr>
        <w:t xml:space="preserve">16 </w:t>
      </w:r>
      <w:r w:rsidR="00E60D9C">
        <w:rPr>
          <w:lang w:val="fr-CA"/>
        </w:rPr>
        <w:t xml:space="preserve">– </w:t>
      </w:r>
      <w:r w:rsidR="00AC013C">
        <w:rPr>
          <w:lang w:val="fr-CA"/>
        </w:rPr>
        <w:t>20 décembre</w:t>
      </w:r>
      <w:r w:rsidR="004C2C87">
        <w:rPr>
          <w:lang w:val="fr-CA"/>
        </w:rPr>
        <w:t xml:space="preserve"> 2019</w:t>
      </w:r>
    </w:p>
    <w:p w:rsidR="00441083" w:rsidRDefault="00441083">
      <w:pPr>
        <w:jc w:val="left"/>
        <w:rPr>
          <w:lang w:val="fr-CA"/>
        </w:rPr>
      </w:pPr>
    </w:p>
    <w:p w:rsidR="00EC53CE" w:rsidRPr="00A13740" w:rsidRDefault="00EC53CE" w:rsidP="00EC53CE">
      <w:pPr>
        <w:tabs>
          <w:tab w:val="left" w:pos="8280"/>
        </w:tabs>
        <w:rPr>
          <w:lang w:val="fr-FR"/>
        </w:rPr>
      </w:pPr>
    </w:p>
    <w:p w:rsidR="00EC53CE" w:rsidRPr="00A13740" w:rsidRDefault="00EC53CE" w:rsidP="00EC53CE">
      <w:pPr>
        <w:tabs>
          <w:tab w:val="left" w:pos="8280"/>
        </w:tabs>
        <w:rPr>
          <w:lang w:val="fr-FR"/>
        </w:rPr>
      </w:pPr>
    </w:p>
    <w:p w:rsidR="00EC53CE" w:rsidRPr="00A13740" w:rsidRDefault="00EC53CE" w:rsidP="00EC53CE">
      <w:pPr>
        <w:jc w:val="center"/>
        <w:rPr>
          <w:b/>
          <w:lang w:val="fr-FR"/>
        </w:rPr>
      </w:pPr>
      <w:r w:rsidRPr="00A13740">
        <w:rPr>
          <w:b/>
          <w:lang w:val="fr-FR"/>
        </w:rPr>
        <w:t>PROPOSITIONS DE PROJET : TUNISIE</w:t>
      </w:r>
    </w:p>
    <w:p w:rsidR="00EC53CE" w:rsidRPr="00A13740" w:rsidRDefault="00EC53CE" w:rsidP="00EC53CE">
      <w:pPr>
        <w:rPr>
          <w:lang w:val="fr-FR"/>
        </w:rPr>
      </w:pPr>
    </w:p>
    <w:p w:rsidR="00EC53CE" w:rsidRPr="00A13740" w:rsidRDefault="00EC53CE" w:rsidP="00EC53CE">
      <w:pPr>
        <w:rPr>
          <w:lang w:val="fr-FR"/>
        </w:rPr>
      </w:pPr>
    </w:p>
    <w:p w:rsidR="00EC53CE" w:rsidRPr="00A13740" w:rsidRDefault="00EC53CE" w:rsidP="00EC53CE">
      <w:pPr>
        <w:ind w:firstLine="720"/>
        <w:rPr>
          <w:lang w:val="fr-FR"/>
        </w:rPr>
      </w:pPr>
      <w:r w:rsidRPr="00A13740">
        <w:rPr>
          <w:lang w:val="fr-FR"/>
        </w:rPr>
        <w:t xml:space="preserve">Le présent document comprend les observations et la recommandation du Secrétariat sur les propositions de projet suivantes : </w:t>
      </w:r>
    </w:p>
    <w:p w:rsidR="00EC53CE" w:rsidRPr="00A13740" w:rsidRDefault="00EC53CE" w:rsidP="00EC53CE">
      <w:pPr>
        <w:rPr>
          <w:lang w:val="fr-FR"/>
        </w:rPr>
      </w:pPr>
    </w:p>
    <w:p w:rsidR="00EC53CE" w:rsidRPr="00A13740" w:rsidRDefault="00EC53CE" w:rsidP="00EC53CE">
      <w:pPr>
        <w:rPr>
          <w:u w:val="single"/>
          <w:lang w:val="fr-FR"/>
        </w:rPr>
      </w:pPr>
      <w:r w:rsidRPr="00A13740">
        <w:rPr>
          <w:u w:val="single"/>
          <w:lang w:val="fr-FR"/>
        </w:rPr>
        <w:t>Élimination</w:t>
      </w:r>
    </w:p>
    <w:p w:rsidR="00EC53CE" w:rsidRPr="00A13740" w:rsidRDefault="00EC53CE" w:rsidP="00EC53CE">
      <w:pPr>
        <w:rPr>
          <w:lang w:val="fr-FR"/>
        </w:rPr>
      </w:pPr>
    </w:p>
    <w:tbl>
      <w:tblPr>
        <w:tblW w:w="9450" w:type="dxa"/>
        <w:tblLook w:val="0000" w:firstRow="0" w:lastRow="0" w:firstColumn="0" w:lastColumn="0" w:noHBand="0" w:noVBand="0"/>
      </w:tblPr>
      <w:tblGrid>
        <w:gridCol w:w="468"/>
        <w:gridCol w:w="6282"/>
        <w:gridCol w:w="2700"/>
      </w:tblGrid>
      <w:tr w:rsidR="00EC53CE" w:rsidRPr="00A13740" w:rsidTr="00BB7784">
        <w:trPr>
          <w:cantSplit/>
        </w:trPr>
        <w:tc>
          <w:tcPr>
            <w:tcW w:w="468" w:type="dxa"/>
          </w:tcPr>
          <w:p w:rsidR="00EC53CE" w:rsidRPr="00A13740" w:rsidRDefault="00EC53CE" w:rsidP="00EC53CE">
            <w:pPr>
              <w:numPr>
                <w:ilvl w:val="0"/>
                <w:numId w:val="25"/>
              </w:numPr>
              <w:jc w:val="left"/>
              <w:rPr>
                <w:lang w:val="fr-FR"/>
              </w:rPr>
            </w:pPr>
          </w:p>
        </w:tc>
        <w:tc>
          <w:tcPr>
            <w:tcW w:w="6282" w:type="dxa"/>
          </w:tcPr>
          <w:p w:rsidR="00EC53CE" w:rsidRPr="00A13740" w:rsidRDefault="00EC53CE" w:rsidP="00BB7784">
            <w:pPr>
              <w:ind w:right="-18"/>
              <w:rPr>
                <w:szCs w:val="24"/>
                <w:lang w:val="fr-FR"/>
              </w:rPr>
            </w:pPr>
            <w:r w:rsidRPr="00A13740">
              <w:rPr>
                <w:szCs w:val="24"/>
                <w:lang w:val="fr-FR"/>
              </w:rPr>
              <w:t>Plan de gestion de l’élimination des HCFC (phase I, troisième et dernière tranche)</w:t>
            </w:r>
          </w:p>
        </w:tc>
        <w:tc>
          <w:tcPr>
            <w:tcW w:w="2700" w:type="dxa"/>
          </w:tcPr>
          <w:p w:rsidR="00EC53CE" w:rsidRPr="00A13740" w:rsidRDefault="00EC53CE" w:rsidP="00BB7784">
            <w:pPr>
              <w:ind w:left="-558"/>
              <w:jc w:val="right"/>
              <w:rPr>
                <w:snapToGrid w:val="0"/>
                <w:lang w:val="fr-FR"/>
              </w:rPr>
            </w:pPr>
            <w:r w:rsidRPr="00A13740">
              <w:rPr>
                <w:snapToGrid w:val="0"/>
                <w:lang w:val="fr-FR"/>
              </w:rPr>
              <w:t>France, PNUE et ONUDI</w:t>
            </w:r>
          </w:p>
        </w:tc>
      </w:tr>
    </w:tbl>
    <w:p w:rsidR="00EC53CE" w:rsidRPr="00A13740" w:rsidRDefault="00EC53CE" w:rsidP="00EC53CE">
      <w:pPr>
        <w:rPr>
          <w:lang w:val="fr-FR"/>
        </w:rPr>
      </w:pPr>
    </w:p>
    <w:tbl>
      <w:tblPr>
        <w:tblW w:w="9468" w:type="dxa"/>
        <w:tblLook w:val="0000" w:firstRow="0" w:lastRow="0" w:firstColumn="0" w:lastColumn="0" w:noHBand="0" w:noVBand="0"/>
      </w:tblPr>
      <w:tblGrid>
        <w:gridCol w:w="468"/>
        <w:gridCol w:w="7020"/>
        <w:gridCol w:w="1980"/>
      </w:tblGrid>
      <w:tr w:rsidR="00EC53CE" w:rsidRPr="00A13740" w:rsidTr="00BB7784">
        <w:trPr>
          <w:cantSplit/>
        </w:trPr>
        <w:tc>
          <w:tcPr>
            <w:tcW w:w="468" w:type="dxa"/>
          </w:tcPr>
          <w:p w:rsidR="00EC53CE" w:rsidRPr="00A13740" w:rsidRDefault="00EC53CE" w:rsidP="00EC53CE">
            <w:pPr>
              <w:numPr>
                <w:ilvl w:val="0"/>
                <w:numId w:val="25"/>
              </w:numPr>
              <w:jc w:val="left"/>
              <w:rPr>
                <w:lang w:val="fr-FR"/>
              </w:rPr>
            </w:pPr>
          </w:p>
        </w:tc>
        <w:tc>
          <w:tcPr>
            <w:tcW w:w="7020" w:type="dxa"/>
            <w:vAlign w:val="bottom"/>
          </w:tcPr>
          <w:p w:rsidR="00EC53CE" w:rsidRPr="00A13740" w:rsidRDefault="00EC53CE" w:rsidP="00BB7784">
            <w:pPr>
              <w:ind w:right="-18"/>
              <w:rPr>
                <w:szCs w:val="24"/>
                <w:lang w:val="fr-FR"/>
              </w:rPr>
            </w:pPr>
            <w:r w:rsidRPr="00A13740">
              <w:rPr>
                <w:szCs w:val="24"/>
                <w:lang w:val="fr-FR"/>
              </w:rPr>
              <w:t>Plan de gestion de l’élimination des HCFC (phase II, première tranche)</w:t>
            </w:r>
          </w:p>
        </w:tc>
        <w:tc>
          <w:tcPr>
            <w:tcW w:w="1980" w:type="dxa"/>
          </w:tcPr>
          <w:p w:rsidR="00EC53CE" w:rsidRPr="00A13740" w:rsidRDefault="00EC53CE" w:rsidP="00BB7784">
            <w:pPr>
              <w:ind w:left="-558"/>
              <w:jc w:val="right"/>
              <w:rPr>
                <w:snapToGrid w:val="0"/>
                <w:lang w:val="fr-FR"/>
              </w:rPr>
            </w:pPr>
            <w:r w:rsidRPr="00A13740">
              <w:rPr>
                <w:snapToGrid w:val="0"/>
                <w:lang w:val="fr-FR"/>
              </w:rPr>
              <w:t>PNUE et ONUDI</w:t>
            </w:r>
          </w:p>
        </w:tc>
      </w:tr>
    </w:tbl>
    <w:p w:rsidR="00EC53CE" w:rsidRPr="00A13740" w:rsidRDefault="00EC53CE" w:rsidP="00EC53CE">
      <w:pPr>
        <w:rPr>
          <w:lang w:val="fr-FR"/>
        </w:rPr>
      </w:pPr>
    </w:p>
    <w:p w:rsidR="00EC53CE" w:rsidRPr="00A13740" w:rsidRDefault="00EC53CE" w:rsidP="00EC53CE">
      <w:pPr>
        <w:rPr>
          <w:lang w:val="fr-FR"/>
        </w:rPr>
      </w:pPr>
    </w:p>
    <w:p w:rsidR="00EC53CE" w:rsidRPr="00A13740" w:rsidRDefault="00EC53CE" w:rsidP="00EC53CE">
      <w:pPr>
        <w:rPr>
          <w:lang w:val="fr-FR"/>
        </w:rPr>
      </w:pPr>
    </w:p>
    <w:p w:rsidR="00EC53CE" w:rsidRPr="00A13740" w:rsidRDefault="00EC53CE" w:rsidP="00EC53CE">
      <w:pPr>
        <w:spacing w:after="80"/>
        <w:jc w:val="center"/>
        <w:rPr>
          <w:b/>
          <w:sz w:val="24"/>
          <w:lang w:val="fr-FR"/>
        </w:rPr>
      </w:pPr>
    </w:p>
    <w:p w:rsidR="00EC53CE" w:rsidRPr="00A13740" w:rsidRDefault="00EC53CE" w:rsidP="00EC53CE">
      <w:pPr>
        <w:spacing w:after="80"/>
        <w:jc w:val="center"/>
        <w:rPr>
          <w:b/>
          <w:sz w:val="24"/>
          <w:lang w:val="fr-FR"/>
        </w:rPr>
      </w:pPr>
    </w:p>
    <w:p w:rsidR="00EC53CE" w:rsidRPr="00A13740" w:rsidRDefault="00EC53CE" w:rsidP="00EC53CE">
      <w:pPr>
        <w:spacing w:after="80"/>
        <w:jc w:val="center"/>
        <w:rPr>
          <w:b/>
          <w:sz w:val="24"/>
          <w:lang w:val="fr-FR"/>
        </w:rPr>
      </w:pPr>
    </w:p>
    <w:p w:rsidR="00EC53CE" w:rsidRPr="00A13740" w:rsidRDefault="00EC53CE" w:rsidP="00EC53CE">
      <w:pPr>
        <w:spacing w:after="80"/>
        <w:jc w:val="center"/>
        <w:rPr>
          <w:b/>
          <w:sz w:val="24"/>
          <w:lang w:val="fr-FR"/>
        </w:rPr>
      </w:pPr>
    </w:p>
    <w:p w:rsidR="0012077D" w:rsidRDefault="0012077D" w:rsidP="0012077D">
      <w:pPr>
        <w:spacing w:after="80"/>
        <w:jc w:val="left"/>
        <w:rPr>
          <w:b/>
          <w:sz w:val="24"/>
          <w:lang w:val="fr-FR"/>
        </w:rPr>
      </w:pPr>
    </w:p>
    <w:p w:rsidR="0012077D" w:rsidRDefault="0012077D" w:rsidP="0012077D">
      <w:pPr>
        <w:spacing w:after="80"/>
        <w:jc w:val="left"/>
        <w:rPr>
          <w:sz w:val="20"/>
          <w:szCs w:val="20"/>
          <w:lang w:val="fr-FR"/>
        </w:rPr>
      </w:pPr>
    </w:p>
    <w:p w:rsidR="0012077D" w:rsidRDefault="0012077D" w:rsidP="0012077D">
      <w:pPr>
        <w:spacing w:after="80"/>
        <w:jc w:val="left"/>
        <w:rPr>
          <w:sz w:val="20"/>
          <w:szCs w:val="20"/>
          <w:lang w:val="fr-FR"/>
        </w:rPr>
      </w:pPr>
    </w:p>
    <w:p w:rsidR="008D74CA" w:rsidRDefault="008D74CA" w:rsidP="008D74CA">
      <w:pPr>
        <w:spacing w:after="80"/>
        <w:jc w:val="left"/>
        <w:rPr>
          <w:sz w:val="20"/>
          <w:szCs w:val="20"/>
          <w:lang w:val="fr-FR"/>
        </w:rPr>
      </w:pPr>
    </w:p>
    <w:p w:rsidR="008D74CA" w:rsidRDefault="008D74CA" w:rsidP="008D74CA">
      <w:pPr>
        <w:spacing w:after="80"/>
        <w:jc w:val="left"/>
        <w:rPr>
          <w:sz w:val="20"/>
          <w:szCs w:val="20"/>
          <w:lang w:val="fr-FR"/>
        </w:rPr>
      </w:pPr>
    </w:p>
    <w:p w:rsidR="0012077D" w:rsidRDefault="0012077D" w:rsidP="0012077D">
      <w:pPr>
        <w:spacing w:after="80"/>
        <w:jc w:val="left"/>
        <w:rPr>
          <w:sz w:val="20"/>
          <w:szCs w:val="20"/>
          <w:lang w:val="fr-FR"/>
        </w:rPr>
      </w:pPr>
    </w:p>
    <w:p w:rsidR="0012077D" w:rsidRDefault="0012077D" w:rsidP="00EC53CE">
      <w:pPr>
        <w:spacing w:after="80"/>
        <w:jc w:val="center"/>
        <w:rPr>
          <w:b/>
          <w:sz w:val="24"/>
          <w:lang w:val="fr-FR"/>
        </w:rPr>
      </w:pPr>
    </w:p>
    <w:p w:rsidR="008D74CA" w:rsidRDefault="008D74CA" w:rsidP="00EC53CE">
      <w:pPr>
        <w:spacing w:after="80"/>
        <w:jc w:val="center"/>
        <w:rPr>
          <w:b/>
          <w:szCs w:val="20"/>
          <w:lang w:val="fr-FR"/>
        </w:rPr>
      </w:pPr>
    </w:p>
    <w:p w:rsidR="00EC53CE" w:rsidRPr="00E34727" w:rsidRDefault="00EC53CE" w:rsidP="00EC53CE">
      <w:pPr>
        <w:spacing w:after="80"/>
        <w:jc w:val="center"/>
        <w:rPr>
          <w:b/>
          <w:szCs w:val="20"/>
          <w:lang w:val="fr-FR"/>
        </w:rPr>
      </w:pPr>
      <w:r w:rsidRPr="00E34727">
        <w:rPr>
          <w:b/>
          <w:szCs w:val="20"/>
          <w:lang w:val="fr-FR"/>
        </w:rPr>
        <w:lastRenderedPageBreak/>
        <w:t>FICHE D’ÉVALUATION DU PROJET – PROJETS PLURIANNUELS</w:t>
      </w:r>
    </w:p>
    <w:p w:rsidR="00EC53CE" w:rsidRPr="00E34727" w:rsidRDefault="00EC53CE" w:rsidP="00EC53CE">
      <w:pPr>
        <w:spacing w:after="80"/>
        <w:jc w:val="center"/>
        <w:rPr>
          <w:sz w:val="20"/>
          <w:szCs w:val="20"/>
          <w:lang w:val="fr-FR"/>
        </w:rPr>
      </w:pPr>
      <w:r w:rsidRPr="00E34727">
        <w:rPr>
          <w:b/>
          <w:szCs w:val="20"/>
          <w:lang w:val="fr-FR"/>
        </w:rPr>
        <w:t>Tunisie</w:t>
      </w:r>
    </w:p>
    <w:tbl>
      <w:tblPr>
        <w:tblStyle w:val="TableGrid"/>
        <w:tblW w:w="10000" w:type="dxa"/>
        <w:tblLook w:val="04A0" w:firstRow="1" w:lastRow="0" w:firstColumn="1" w:lastColumn="0" w:noHBand="0" w:noVBand="1"/>
      </w:tblPr>
      <w:tblGrid>
        <w:gridCol w:w="2499"/>
        <w:gridCol w:w="2499"/>
        <w:gridCol w:w="2501"/>
        <w:gridCol w:w="2501"/>
      </w:tblGrid>
      <w:tr w:rsidR="00EC53CE" w:rsidRPr="00E34727" w:rsidTr="00BB7784">
        <w:trPr>
          <w:trHeight w:val="240"/>
        </w:trPr>
        <w:tc>
          <w:tcPr>
            <w:tcW w:w="2337" w:type="dxa"/>
            <w:shd w:val="clear" w:color="auto" w:fill="auto"/>
          </w:tcPr>
          <w:p w:rsidR="00EC53CE" w:rsidRPr="00E34727" w:rsidRDefault="00EC53CE" w:rsidP="00BB7784">
            <w:pPr>
              <w:spacing w:after="80"/>
              <w:jc w:val="left"/>
              <w:rPr>
                <w:b/>
                <w:sz w:val="16"/>
                <w:szCs w:val="20"/>
                <w:lang w:val="fr-FR"/>
              </w:rPr>
            </w:pPr>
            <w:r w:rsidRPr="00E34727">
              <w:rPr>
                <w:b/>
                <w:sz w:val="16"/>
                <w:szCs w:val="20"/>
                <w:lang w:val="fr-FR"/>
              </w:rPr>
              <w:t>(I) TITRE DU PROJET</w:t>
            </w:r>
          </w:p>
        </w:tc>
        <w:tc>
          <w:tcPr>
            <w:tcW w:w="2337" w:type="dxa"/>
            <w:shd w:val="clear" w:color="auto" w:fill="auto"/>
          </w:tcPr>
          <w:p w:rsidR="00EC53CE" w:rsidRPr="00E34727" w:rsidRDefault="00EC53CE" w:rsidP="00BB7784">
            <w:pPr>
              <w:spacing w:after="80"/>
              <w:jc w:val="center"/>
              <w:rPr>
                <w:b/>
                <w:sz w:val="16"/>
                <w:szCs w:val="20"/>
                <w:lang w:val="fr-FR"/>
              </w:rPr>
            </w:pPr>
            <w:r w:rsidRPr="00E34727">
              <w:rPr>
                <w:b/>
                <w:sz w:val="16"/>
                <w:szCs w:val="20"/>
                <w:lang w:val="fr-FR"/>
              </w:rPr>
              <w:t>AGENCE</w:t>
            </w:r>
          </w:p>
        </w:tc>
        <w:tc>
          <w:tcPr>
            <w:tcW w:w="2338" w:type="dxa"/>
            <w:shd w:val="clear" w:color="auto" w:fill="auto"/>
          </w:tcPr>
          <w:p w:rsidR="00EC53CE" w:rsidRPr="00E34727" w:rsidRDefault="00EC53CE" w:rsidP="00BB7784">
            <w:pPr>
              <w:spacing w:after="80"/>
              <w:jc w:val="center"/>
              <w:rPr>
                <w:b/>
                <w:sz w:val="16"/>
                <w:szCs w:val="20"/>
                <w:lang w:val="fr-FR"/>
              </w:rPr>
            </w:pPr>
            <w:r w:rsidRPr="00E34727">
              <w:rPr>
                <w:b/>
                <w:sz w:val="16"/>
                <w:szCs w:val="20"/>
                <w:lang w:val="fr-FR"/>
              </w:rPr>
              <w:t>RÉUNION D’APPROBATION</w:t>
            </w:r>
          </w:p>
        </w:tc>
        <w:tc>
          <w:tcPr>
            <w:tcW w:w="2338" w:type="dxa"/>
            <w:shd w:val="clear" w:color="auto" w:fill="auto"/>
          </w:tcPr>
          <w:p w:rsidR="00EC53CE" w:rsidRPr="00E34727" w:rsidRDefault="00EC53CE" w:rsidP="00BB7784">
            <w:pPr>
              <w:spacing w:after="80"/>
              <w:jc w:val="center"/>
              <w:rPr>
                <w:b/>
                <w:sz w:val="16"/>
                <w:szCs w:val="20"/>
                <w:lang w:val="fr-FR"/>
              </w:rPr>
            </w:pPr>
            <w:r w:rsidRPr="00E34727">
              <w:rPr>
                <w:b/>
                <w:sz w:val="16"/>
                <w:szCs w:val="20"/>
                <w:lang w:val="fr-FR"/>
              </w:rPr>
              <w:t>MESURES DE CONTRÔLE</w:t>
            </w:r>
          </w:p>
        </w:tc>
      </w:tr>
      <w:tr w:rsidR="00EC53CE" w:rsidRPr="00E34727" w:rsidTr="00BB7784">
        <w:trPr>
          <w:trHeight w:val="240"/>
        </w:trPr>
        <w:tc>
          <w:tcPr>
            <w:tcW w:w="2337" w:type="dxa"/>
            <w:shd w:val="clear" w:color="auto" w:fill="auto"/>
          </w:tcPr>
          <w:p w:rsidR="00EC53CE" w:rsidRPr="00E34727" w:rsidRDefault="00EC53CE" w:rsidP="00BB7784">
            <w:pPr>
              <w:spacing w:after="80"/>
              <w:jc w:val="center"/>
              <w:rPr>
                <w:sz w:val="16"/>
                <w:szCs w:val="20"/>
                <w:lang w:val="fr-FR"/>
              </w:rPr>
            </w:pPr>
            <w:r w:rsidRPr="00E34727">
              <w:rPr>
                <w:sz w:val="16"/>
                <w:szCs w:val="20"/>
                <w:lang w:val="fr-FR"/>
              </w:rPr>
              <w:t>Plan de gestion de l’élimination des HCFC (Phase I)</w:t>
            </w:r>
          </w:p>
        </w:tc>
        <w:tc>
          <w:tcPr>
            <w:tcW w:w="2337" w:type="dxa"/>
            <w:shd w:val="clear" w:color="auto" w:fill="auto"/>
          </w:tcPr>
          <w:p w:rsidR="00EC53CE" w:rsidRPr="00E34727" w:rsidRDefault="00EC53CE" w:rsidP="00BB7784">
            <w:pPr>
              <w:spacing w:after="80"/>
              <w:jc w:val="center"/>
              <w:rPr>
                <w:sz w:val="16"/>
                <w:szCs w:val="20"/>
                <w:lang w:val="fr-FR"/>
              </w:rPr>
            </w:pPr>
            <w:r w:rsidRPr="00E34727">
              <w:rPr>
                <w:sz w:val="16"/>
                <w:szCs w:val="20"/>
                <w:lang w:val="fr-FR"/>
              </w:rPr>
              <w:t>France, PNUE, ONUDI (principale)</w:t>
            </w:r>
          </w:p>
        </w:tc>
        <w:tc>
          <w:tcPr>
            <w:tcW w:w="2338" w:type="dxa"/>
            <w:shd w:val="clear" w:color="auto" w:fill="auto"/>
          </w:tcPr>
          <w:p w:rsidR="00EC53CE" w:rsidRPr="00E34727" w:rsidRDefault="00EC53CE" w:rsidP="00BB7784">
            <w:pPr>
              <w:spacing w:after="80"/>
              <w:jc w:val="center"/>
              <w:rPr>
                <w:sz w:val="16"/>
                <w:szCs w:val="20"/>
                <w:lang w:val="fr-FR"/>
              </w:rPr>
            </w:pPr>
            <w:r w:rsidRPr="00E34727">
              <w:rPr>
                <w:sz w:val="16"/>
                <w:szCs w:val="20"/>
                <w:lang w:val="fr-FR"/>
              </w:rPr>
              <w:t>72</w:t>
            </w:r>
            <w:r w:rsidRPr="00E34727">
              <w:rPr>
                <w:sz w:val="16"/>
                <w:szCs w:val="20"/>
                <w:vertAlign w:val="superscript"/>
                <w:lang w:val="fr-FR"/>
              </w:rPr>
              <w:t>e</w:t>
            </w:r>
          </w:p>
        </w:tc>
        <w:tc>
          <w:tcPr>
            <w:tcW w:w="2338" w:type="dxa"/>
            <w:shd w:val="clear" w:color="auto" w:fill="auto"/>
          </w:tcPr>
          <w:p w:rsidR="00EC53CE" w:rsidRPr="00E34727" w:rsidRDefault="00EC53CE" w:rsidP="00BB7784">
            <w:pPr>
              <w:spacing w:after="80"/>
              <w:jc w:val="center"/>
              <w:rPr>
                <w:sz w:val="16"/>
                <w:szCs w:val="20"/>
                <w:lang w:val="fr-FR"/>
              </w:rPr>
            </w:pPr>
            <w:r w:rsidRPr="00E34727">
              <w:rPr>
                <w:sz w:val="16"/>
                <w:szCs w:val="20"/>
                <w:lang w:val="fr-FR"/>
              </w:rPr>
              <w:t>15% jusqu'en 2018</w:t>
            </w:r>
          </w:p>
        </w:tc>
      </w:tr>
    </w:tbl>
    <w:p w:rsidR="00EC53CE" w:rsidRPr="00E34727" w:rsidRDefault="00EC53CE" w:rsidP="00EC53CE">
      <w:pPr>
        <w:spacing w:after="60"/>
        <w:jc w:val="center"/>
        <w:rPr>
          <w:sz w:val="14"/>
          <w:szCs w:val="14"/>
          <w:lang w:val="fr-FR"/>
        </w:rPr>
      </w:pPr>
    </w:p>
    <w:tbl>
      <w:tblPr>
        <w:tblStyle w:val="TableGrid"/>
        <w:tblW w:w="10000" w:type="dxa"/>
        <w:tblLook w:val="04A0" w:firstRow="1" w:lastRow="0" w:firstColumn="1" w:lastColumn="0" w:noHBand="0" w:noVBand="1"/>
      </w:tblPr>
      <w:tblGrid>
        <w:gridCol w:w="5200"/>
        <w:gridCol w:w="2400"/>
        <w:gridCol w:w="2400"/>
      </w:tblGrid>
      <w:tr w:rsidR="00EC53CE" w:rsidRPr="00E34727" w:rsidTr="00BB7784">
        <w:trPr>
          <w:trHeight w:val="240"/>
        </w:trPr>
        <w:tc>
          <w:tcPr>
            <w:tcW w:w="5200" w:type="dxa"/>
            <w:shd w:val="clear" w:color="auto" w:fill="auto"/>
          </w:tcPr>
          <w:p w:rsidR="00EC53CE" w:rsidRPr="00E34727" w:rsidRDefault="00EC53CE" w:rsidP="00BB7784">
            <w:pPr>
              <w:spacing w:after="60"/>
              <w:jc w:val="left"/>
              <w:rPr>
                <w:b/>
                <w:sz w:val="16"/>
                <w:szCs w:val="20"/>
                <w:lang w:val="fr-FR"/>
              </w:rPr>
            </w:pPr>
            <w:r w:rsidRPr="00E34727">
              <w:rPr>
                <w:b/>
                <w:sz w:val="16"/>
                <w:szCs w:val="20"/>
                <w:lang w:val="fr-FR"/>
              </w:rPr>
              <w:t>(II) DERNIÈRES DONNÉES COMMUNIQUÉES EN VERTU DE L’ARTICLE 7 (Annexe C Groupe l)</w:t>
            </w:r>
          </w:p>
        </w:tc>
        <w:tc>
          <w:tcPr>
            <w:tcW w:w="2400" w:type="dxa"/>
            <w:shd w:val="clear" w:color="auto" w:fill="auto"/>
          </w:tcPr>
          <w:p w:rsidR="00EC53CE" w:rsidRPr="00E34727" w:rsidRDefault="00EC53CE" w:rsidP="00BB7784">
            <w:pPr>
              <w:spacing w:after="60"/>
              <w:jc w:val="center"/>
              <w:rPr>
                <w:sz w:val="16"/>
                <w:szCs w:val="20"/>
                <w:lang w:val="fr-FR"/>
              </w:rPr>
            </w:pPr>
            <w:r w:rsidRPr="00E34727">
              <w:rPr>
                <w:sz w:val="16"/>
                <w:szCs w:val="20"/>
                <w:lang w:val="fr-FR"/>
              </w:rPr>
              <w:t>Année : 2018</w:t>
            </w:r>
          </w:p>
        </w:tc>
        <w:tc>
          <w:tcPr>
            <w:tcW w:w="2400" w:type="dxa"/>
            <w:shd w:val="clear" w:color="auto" w:fill="auto"/>
          </w:tcPr>
          <w:p w:rsidR="00EC53CE" w:rsidRPr="00E34727" w:rsidRDefault="00EC53CE" w:rsidP="00BB7784">
            <w:pPr>
              <w:spacing w:after="60"/>
              <w:jc w:val="right"/>
              <w:rPr>
                <w:sz w:val="16"/>
                <w:szCs w:val="20"/>
                <w:lang w:val="fr-FR"/>
              </w:rPr>
            </w:pPr>
            <w:r w:rsidRPr="00E34727">
              <w:rPr>
                <w:sz w:val="16"/>
                <w:szCs w:val="20"/>
                <w:lang w:val="fr-FR"/>
              </w:rPr>
              <w:t>25,91 (tonnes PAO)</w:t>
            </w:r>
          </w:p>
        </w:tc>
      </w:tr>
    </w:tbl>
    <w:p w:rsidR="00EC53CE" w:rsidRPr="00E34727" w:rsidRDefault="00EC53CE" w:rsidP="00EC53CE">
      <w:pPr>
        <w:spacing w:after="60"/>
        <w:jc w:val="center"/>
        <w:rPr>
          <w:sz w:val="14"/>
          <w:szCs w:val="14"/>
          <w:lang w:val="fr-FR"/>
        </w:rPr>
      </w:pPr>
    </w:p>
    <w:tbl>
      <w:tblPr>
        <w:tblStyle w:val="TableGrid"/>
        <w:tblW w:w="10000" w:type="dxa"/>
        <w:tblLook w:val="04A0" w:firstRow="1" w:lastRow="0" w:firstColumn="1" w:lastColumn="0" w:noHBand="0" w:noVBand="1"/>
      </w:tblPr>
      <w:tblGrid>
        <w:gridCol w:w="1668"/>
        <w:gridCol w:w="922"/>
        <w:gridCol w:w="777"/>
        <w:gridCol w:w="856"/>
        <w:gridCol w:w="945"/>
        <w:gridCol w:w="803"/>
        <w:gridCol w:w="768"/>
        <w:gridCol w:w="1158"/>
        <w:gridCol w:w="909"/>
        <w:gridCol w:w="1194"/>
      </w:tblGrid>
      <w:tr w:rsidR="00EC53CE" w:rsidRPr="00E34727" w:rsidTr="00BB7784">
        <w:trPr>
          <w:trHeight w:val="240"/>
        </w:trPr>
        <w:tc>
          <w:tcPr>
            <w:tcW w:w="0" w:type="auto"/>
            <w:gridSpan w:val="8"/>
            <w:shd w:val="clear" w:color="auto" w:fill="auto"/>
          </w:tcPr>
          <w:p w:rsidR="00EC53CE" w:rsidRPr="00E34727" w:rsidRDefault="00EC53CE" w:rsidP="00BB7784">
            <w:pPr>
              <w:spacing w:after="60"/>
              <w:jc w:val="left"/>
              <w:rPr>
                <w:b/>
                <w:sz w:val="16"/>
                <w:szCs w:val="20"/>
                <w:lang w:val="fr-FR"/>
              </w:rPr>
            </w:pPr>
            <w:r w:rsidRPr="00E34727">
              <w:rPr>
                <w:b/>
                <w:sz w:val="16"/>
                <w:szCs w:val="20"/>
                <w:lang w:val="fr-FR"/>
              </w:rPr>
              <w:t>(III) DERNIÈRES DONNÉES SECTORIELLES DU PROGRAMME DE PAYS (tonnes PAO)</w:t>
            </w:r>
          </w:p>
        </w:tc>
        <w:tc>
          <w:tcPr>
            <w:tcW w:w="0" w:type="auto"/>
            <w:gridSpan w:val="2"/>
            <w:shd w:val="clear" w:color="auto" w:fill="auto"/>
          </w:tcPr>
          <w:p w:rsidR="00EC53CE" w:rsidRPr="00E34727" w:rsidRDefault="00EC53CE" w:rsidP="00BB7784">
            <w:pPr>
              <w:spacing w:after="60"/>
              <w:jc w:val="right"/>
              <w:rPr>
                <w:b/>
                <w:sz w:val="16"/>
                <w:szCs w:val="20"/>
                <w:lang w:val="fr-FR"/>
              </w:rPr>
            </w:pPr>
            <w:r w:rsidRPr="00E34727">
              <w:rPr>
                <w:b/>
                <w:sz w:val="16"/>
                <w:szCs w:val="20"/>
                <w:lang w:val="fr-FR"/>
              </w:rPr>
              <w:t>Année : 2018</w:t>
            </w:r>
          </w:p>
        </w:tc>
      </w:tr>
      <w:tr w:rsidR="00EC53CE" w:rsidRPr="00E34727" w:rsidTr="00BB7784">
        <w:trPr>
          <w:trHeight w:val="240"/>
        </w:trPr>
        <w:tc>
          <w:tcPr>
            <w:tcW w:w="1696" w:type="dxa"/>
            <w:shd w:val="clear" w:color="auto" w:fill="auto"/>
          </w:tcPr>
          <w:p w:rsidR="00EC53CE" w:rsidRPr="00E34727" w:rsidRDefault="00EC53CE" w:rsidP="00BB7784">
            <w:pPr>
              <w:spacing w:after="60"/>
              <w:jc w:val="center"/>
              <w:rPr>
                <w:sz w:val="16"/>
                <w:szCs w:val="20"/>
                <w:lang w:val="fr-FR"/>
              </w:rPr>
            </w:pPr>
            <w:r w:rsidRPr="00E34727">
              <w:rPr>
                <w:sz w:val="16"/>
                <w:szCs w:val="20"/>
                <w:lang w:val="fr-FR"/>
              </w:rPr>
              <w:t>Produits chimiques</w:t>
            </w:r>
          </w:p>
        </w:tc>
        <w:tc>
          <w:tcPr>
            <w:tcW w:w="928" w:type="dxa"/>
            <w:shd w:val="clear" w:color="auto" w:fill="auto"/>
          </w:tcPr>
          <w:p w:rsidR="00EC53CE" w:rsidRPr="00E34727" w:rsidRDefault="00EC53CE" w:rsidP="00BB7784">
            <w:pPr>
              <w:spacing w:after="60"/>
              <w:jc w:val="center"/>
              <w:rPr>
                <w:sz w:val="16"/>
                <w:szCs w:val="20"/>
                <w:lang w:val="fr-FR"/>
              </w:rPr>
            </w:pPr>
            <w:r w:rsidRPr="00E34727">
              <w:rPr>
                <w:sz w:val="16"/>
                <w:szCs w:val="20"/>
                <w:lang w:val="fr-FR"/>
              </w:rPr>
              <w:t>Aérosols</w:t>
            </w:r>
          </w:p>
        </w:tc>
        <w:tc>
          <w:tcPr>
            <w:tcW w:w="627" w:type="dxa"/>
            <w:shd w:val="clear" w:color="auto" w:fill="auto"/>
          </w:tcPr>
          <w:p w:rsidR="00EC53CE" w:rsidRPr="00E34727" w:rsidRDefault="00EC53CE" w:rsidP="00BB7784">
            <w:pPr>
              <w:spacing w:after="60"/>
              <w:jc w:val="center"/>
              <w:rPr>
                <w:sz w:val="16"/>
                <w:szCs w:val="20"/>
                <w:lang w:val="fr-FR"/>
              </w:rPr>
            </w:pPr>
            <w:r w:rsidRPr="00E34727">
              <w:rPr>
                <w:sz w:val="16"/>
                <w:szCs w:val="20"/>
                <w:lang w:val="fr-FR"/>
              </w:rPr>
              <w:t>Mousses</w:t>
            </w:r>
          </w:p>
        </w:tc>
        <w:tc>
          <w:tcPr>
            <w:tcW w:w="815" w:type="dxa"/>
            <w:shd w:val="clear" w:color="auto" w:fill="auto"/>
          </w:tcPr>
          <w:p w:rsidR="00EC53CE" w:rsidRPr="00E34727" w:rsidRDefault="00EC53CE" w:rsidP="00BB7784">
            <w:pPr>
              <w:spacing w:after="60"/>
              <w:jc w:val="center"/>
              <w:rPr>
                <w:sz w:val="16"/>
                <w:szCs w:val="20"/>
                <w:lang w:val="fr-FR"/>
              </w:rPr>
            </w:pPr>
            <w:r w:rsidRPr="00E34727">
              <w:rPr>
                <w:sz w:val="16"/>
                <w:szCs w:val="20"/>
                <w:lang w:val="fr-FR"/>
              </w:rPr>
              <w:t>Lutte contre l’incendie</w:t>
            </w:r>
          </w:p>
        </w:tc>
        <w:tc>
          <w:tcPr>
            <w:tcW w:w="0" w:type="auto"/>
            <w:gridSpan w:val="2"/>
            <w:shd w:val="clear" w:color="auto" w:fill="auto"/>
          </w:tcPr>
          <w:p w:rsidR="00EC53CE" w:rsidRPr="00E34727" w:rsidRDefault="00EC53CE" w:rsidP="00BB7784">
            <w:pPr>
              <w:spacing w:after="60"/>
              <w:jc w:val="center"/>
              <w:rPr>
                <w:sz w:val="16"/>
                <w:szCs w:val="20"/>
                <w:lang w:val="fr-FR"/>
              </w:rPr>
            </w:pPr>
            <w:r w:rsidRPr="00E34727">
              <w:rPr>
                <w:sz w:val="16"/>
                <w:szCs w:val="20"/>
                <w:lang w:val="fr-FR"/>
              </w:rPr>
              <w:t>Réfrigération</w:t>
            </w:r>
          </w:p>
        </w:tc>
        <w:tc>
          <w:tcPr>
            <w:tcW w:w="0" w:type="auto"/>
            <w:shd w:val="clear" w:color="auto" w:fill="auto"/>
          </w:tcPr>
          <w:p w:rsidR="00EC53CE" w:rsidRPr="00E34727" w:rsidRDefault="00EC53CE" w:rsidP="00BB7784">
            <w:pPr>
              <w:spacing w:after="60"/>
              <w:jc w:val="center"/>
              <w:rPr>
                <w:sz w:val="16"/>
                <w:szCs w:val="20"/>
                <w:lang w:val="fr-FR"/>
              </w:rPr>
            </w:pPr>
            <w:r w:rsidRPr="00E34727">
              <w:rPr>
                <w:sz w:val="16"/>
                <w:szCs w:val="20"/>
                <w:lang w:val="fr-FR"/>
              </w:rPr>
              <w:t>Solvants</w:t>
            </w:r>
          </w:p>
        </w:tc>
        <w:tc>
          <w:tcPr>
            <w:tcW w:w="0" w:type="auto"/>
            <w:shd w:val="clear" w:color="auto" w:fill="auto"/>
          </w:tcPr>
          <w:p w:rsidR="00EC53CE" w:rsidRPr="00E34727" w:rsidRDefault="00EC53CE" w:rsidP="00BB7784">
            <w:pPr>
              <w:spacing w:after="60"/>
              <w:jc w:val="center"/>
              <w:rPr>
                <w:sz w:val="16"/>
                <w:szCs w:val="20"/>
                <w:lang w:val="fr-FR"/>
              </w:rPr>
            </w:pPr>
            <w:r w:rsidRPr="00E34727">
              <w:rPr>
                <w:sz w:val="16"/>
                <w:szCs w:val="20"/>
                <w:lang w:val="fr-FR"/>
              </w:rPr>
              <w:t>Agents de transformation</w:t>
            </w:r>
          </w:p>
        </w:tc>
        <w:tc>
          <w:tcPr>
            <w:tcW w:w="0" w:type="auto"/>
            <w:shd w:val="clear" w:color="auto" w:fill="auto"/>
          </w:tcPr>
          <w:p w:rsidR="00EC53CE" w:rsidRPr="00E34727" w:rsidRDefault="00EC53CE" w:rsidP="00BB7784">
            <w:pPr>
              <w:spacing w:after="60"/>
              <w:jc w:val="center"/>
              <w:rPr>
                <w:sz w:val="16"/>
                <w:szCs w:val="20"/>
                <w:lang w:val="fr-FR"/>
              </w:rPr>
            </w:pPr>
            <w:r w:rsidRPr="00E34727">
              <w:rPr>
                <w:sz w:val="16"/>
                <w:szCs w:val="20"/>
                <w:lang w:val="fr-FR"/>
              </w:rPr>
              <w:t>Utilisation en laboratoire</w:t>
            </w:r>
          </w:p>
        </w:tc>
        <w:tc>
          <w:tcPr>
            <w:tcW w:w="0" w:type="auto"/>
            <w:shd w:val="clear" w:color="auto" w:fill="auto"/>
          </w:tcPr>
          <w:p w:rsidR="00EC53CE" w:rsidRPr="00E34727" w:rsidRDefault="00EC53CE" w:rsidP="00BB7784">
            <w:pPr>
              <w:spacing w:after="60"/>
              <w:jc w:val="center"/>
              <w:rPr>
                <w:sz w:val="16"/>
                <w:szCs w:val="20"/>
                <w:lang w:val="fr-FR"/>
              </w:rPr>
            </w:pPr>
            <w:r w:rsidRPr="00E34727">
              <w:rPr>
                <w:sz w:val="16"/>
                <w:szCs w:val="20"/>
                <w:lang w:val="fr-FR"/>
              </w:rPr>
              <w:t>Consommation totale par secteur</w:t>
            </w:r>
          </w:p>
        </w:tc>
      </w:tr>
      <w:tr w:rsidR="00EC53CE" w:rsidRPr="00E34727" w:rsidTr="00BB7784">
        <w:trPr>
          <w:trHeight w:val="240"/>
        </w:trPr>
        <w:tc>
          <w:tcPr>
            <w:tcW w:w="0" w:type="auto"/>
            <w:gridSpan w:val="4"/>
            <w:shd w:val="clear" w:color="auto" w:fill="auto"/>
          </w:tcPr>
          <w:p w:rsidR="00EC53CE" w:rsidRPr="00E34727" w:rsidRDefault="00EC53CE" w:rsidP="00BB7784">
            <w:pPr>
              <w:spacing w:after="60"/>
              <w:jc w:val="center"/>
              <w:rPr>
                <w:sz w:val="16"/>
                <w:szCs w:val="20"/>
                <w:lang w:val="fr-FR"/>
              </w:rPr>
            </w:pPr>
            <w:r w:rsidRPr="00E34727">
              <w:rPr>
                <w:sz w:val="16"/>
                <w:szCs w:val="20"/>
                <w:lang w:val="fr-FR"/>
              </w:rPr>
              <w:t xml:space="preserve"> </w:t>
            </w:r>
          </w:p>
        </w:tc>
        <w:tc>
          <w:tcPr>
            <w:tcW w:w="0" w:type="auto"/>
            <w:shd w:val="clear" w:color="auto" w:fill="auto"/>
          </w:tcPr>
          <w:p w:rsidR="00EC53CE" w:rsidRPr="00E34727" w:rsidRDefault="00EC53CE" w:rsidP="00BB7784">
            <w:pPr>
              <w:spacing w:after="60"/>
              <w:jc w:val="center"/>
              <w:rPr>
                <w:sz w:val="16"/>
                <w:szCs w:val="20"/>
                <w:lang w:val="fr-FR"/>
              </w:rPr>
            </w:pPr>
            <w:r w:rsidRPr="00E34727">
              <w:rPr>
                <w:sz w:val="16"/>
                <w:szCs w:val="20"/>
                <w:lang w:val="fr-FR"/>
              </w:rPr>
              <w:t>Fabrication</w:t>
            </w:r>
          </w:p>
        </w:tc>
        <w:tc>
          <w:tcPr>
            <w:tcW w:w="0" w:type="auto"/>
            <w:shd w:val="clear" w:color="auto" w:fill="auto"/>
          </w:tcPr>
          <w:p w:rsidR="00EC53CE" w:rsidRPr="00E34727" w:rsidRDefault="00EC53CE" w:rsidP="00BB7784">
            <w:pPr>
              <w:spacing w:after="60"/>
              <w:jc w:val="center"/>
              <w:rPr>
                <w:sz w:val="16"/>
                <w:szCs w:val="20"/>
                <w:lang w:val="fr-FR"/>
              </w:rPr>
            </w:pPr>
            <w:r w:rsidRPr="00E34727">
              <w:rPr>
                <w:sz w:val="16"/>
                <w:szCs w:val="20"/>
                <w:lang w:val="fr-FR"/>
              </w:rPr>
              <w:t>Entretien</w:t>
            </w:r>
          </w:p>
        </w:tc>
        <w:tc>
          <w:tcPr>
            <w:tcW w:w="0" w:type="auto"/>
            <w:gridSpan w:val="4"/>
            <w:shd w:val="clear" w:color="auto" w:fill="auto"/>
          </w:tcPr>
          <w:p w:rsidR="00EC53CE" w:rsidRPr="00E34727" w:rsidRDefault="00EC53CE" w:rsidP="00BB7784">
            <w:pPr>
              <w:spacing w:after="60"/>
              <w:jc w:val="center"/>
              <w:rPr>
                <w:sz w:val="16"/>
                <w:szCs w:val="20"/>
                <w:lang w:val="fr-FR"/>
              </w:rPr>
            </w:pPr>
          </w:p>
        </w:tc>
      </w:tr>
      <w:tr w:rsidR="00EC53CE" w:rsidRPr="00E34727" w:rsidTr="00BB7784">
        <w:trPr>
          <w:trHeight w:val="240"/>
        </w:trPr>
        <w:tc>
          <w:tcPr>
            <w:tcW w:w="1696" w:type="dxa"/>
            <w:shd w:val="clear" w:color="auto" w:fill="auto"/>
          </w:tcPr>
          <w:p w:rsidR="00EC53CE" w:rsidRPr="00E34727" w:rsidRDefault="00EC53CE" w:rsidP="00BB7784">
            <w:pPr>
              <w:spacing w:after="60"/>
              <w:jc w:val="left"/>
              <w:rPr>
                <w:sz w:val="16"/>
                <w:szCs w:val="20"/>
                <w:lang w:val="fr-FR"/>
              </w:rPr>
            </w:pPr>
            <w:r w:rsidRPr="00E34727">
              <w:rPr>
                <w:sz w:val="16"/>
                <w:szCs w:val="20"/>
                <w:lang w:val="fr-FR"/>
              </w:rPr>
              <w:t>HCFC-123</w:t>
            </w:r>
          </w:p>
        </w:tc>
        <w:tc>
          <w:tcPr>
            <w:tcW w:w="928" w:type="dxa"/>
            <w:shd w:val="clear" w:color="auto" w:fill="auto"/>
          </w:tcPr>
          <w:p w:rsidR="00EC53CE" w:rsidRPr="00E34727" w:rsidRDefault="00EC53CE" w:rsidP="00BB7784">
            <w:pPr>
              <w:spacing w:after="60"/>
              <w:jc w:val="right"/>
              <w:rPr>
                <w:sz w:val="16"/>
                <w:szCs w:val="20"/>
                <w:lang w:val="fr-FR"/>
              </w:rPr>
            </w:pPr>
          </w:p>
        </w:tc>
        <w:tc>
          <w:tcPr>
            <w:tcW w:w="627" w:type="dxa"/>
            <w:shd w:val="clear" w:color="auto" w:fill="auto"/>
          </w:tcPr>
          <w:p w:rsidR="00EC53CE" w:rsidRPr="00E34727" w:rsidRDefault="00EC53CE" w:rsidP="00BB7784">
            <w:pPr>
              <w:spacing w:after="60"/>
              <w:jc w:val="right"/>
              <w:rPr>
                <w:sz w:val="16"/>
                <w:szCs w:val="20"/>
                <w:lang w:val="fr-FR"/>
              </w:rPr>
            </w:pPr>
          </w:p>
        </w:tc>
        <w:tc>
          <w:tcPr>
            <w:tcW w:w="815" w:type="dxa"/>
            <w:shd w:val="clear" w:color="auto" w:fill="auto"/>
          </w:tcPr>
          <w:p w:rsidR="00EC53CE" w:rsidRPr="00E34727" w:rsidRDefault="00EC53CE" w:rsidP="00BB7784">
            <w:pPr>
              <w:spacing w:after="60"/>
              <w:jc w:val="right"/>
              <w:rPr>
                <w:sz w:val="16"/>
                <w:szCs w:val="20"/>
                <w:lang w:val="fr-FR"/>
              </w:rPr>
            </w:pPr>
          </w:p>
        </w:tc>
        <w:tc>
          <w:tcPr>
            <w:tcW w:w="0" w:type="auto"/>
            <w:shd w:val="clear" w:color="auto" w:fill="auto"/>
          </w:tcPr>
          <w:p w:rsidR="00EC53CE" w:rsidRPr="00E34727" w:rsidRDefault="00EC53CE" w:rsidP="00BB7784">
            <w:pPr>
              <w:spacing w:after="60"/>
              <w:jc w:val="right"/>
              <w:rPr>
                <w:sz w:val="16"/>
                <w:szCs w:val="20"/>
                <w:lang w:val="fr-FR"/>
              </w:rPr>
            </w:pPr>
          </w:p>
        </w:tc>
        <w:tc>
          <w:tcPr>
            <w:tcW w:w="0" w:type="auto"/>
            <w:shd w:val="clear" w:color="auto" w:fill="auto"/>
          </w:tcPr>
          <w:p w:rsidR="00EC53CE" w:rsidRPr="00E34727" w:rsidRDefault="00EC53CE" w:rsidP="00BB7784">
            <w:pPr>
              <w:spacing w:after="60"/>
              <w:jc w:val="right"/>
              <w:rPr>
                <w:sz w:val="16"/>
                <w:szCs w:val="20"/>
                <w:lang w:val="fr-FR"/>
              </w:rPr>
            </w:pPr>
            <w:r w:rsidRPr="00E34727">
              <w:rPr>
                <w:sz w:val="16"/>
                <w:szCs w:val="20"/>
                <w:lang w:val="fr-FR"/>
              </w:rPr>
              <w:t>0,01</w:t>
            </w:r>
          </w:p>
        </w:tc>
        <w:tc>
          <w:tcPr>
            <w:tcW w:w="0" w:type="auto"/>
            <w:shd w:val="clear" w:color="auto" w:fill="auto"/>
          </w:tcPr>
          <w:p w:rsidR="00EC53CE" w:rsidRPr="00E34727" w:rsidRDefault="00EC53CE" w:rsidP="00BB7784">
            <w:pPr>
              <w:spacing w:after="60"/>
              <w:jc w:val="right"/>
              <w:rPr>
                <w:sz w:val="16"/>
                <w:szCs w:val="20"/>
                <w:lang w:val="fr-FR"/>
              </w:rPr>
            </w:pPr>
          </w:p>
        </w:tc>
        <w:tc>
          <w:tcPr>
            <w:tcW w:w="0" w:type="auto"/>
            <w:shd w:val="clear" w:color="auto" w:fill="auto"/>
          </w:tcPr>
          <w:p w:rsidR="00EC53CE" w:rsidRPr="00E34727" w:rsidRDefault="00EC53CE" w:rsidP="00BB7784">
            <w:pPr>
              <w:spacing w:after="60"/>
              <w:jc w:val="right"/>
              <w:rPr>
                <w:sz w:val="16"/>
                <w:szCs w:val="20"/>
                <w:lang w:val="fr-FR"/>
              </w:rPr>
            </w:pPr>
          </w:p>
        </w:tc>
        <w:tc>
          <w:tcPr>
            <w:tcW w:w="0" w:type="auto"/>
            <w:shd w:val="clear" w:color="auto" w:fill="auto"/>
          </w:tcPr>
          <w:p w:rsidR="00EC53CE" w:rsidRPr="00E34727" w:rsidRDefault="00EC53CE" w:rsidP="00BB7784">
            <w:pPr>
              <w:spacing w:after="60"/>
              <w:jc w:val="right"/>
              <w:rPr>
                <w:sz w:val="16"/>
                <w:szCs w:val="20"/>
                <w:lang w:val="fr-FR"/>
              </w:rPr>
            </w:pPr>
          </w:p>
        </w:tc>
        <w:tc>
          <w:tcPr>
            <w:tcW w:w="0" w:type="auto"/>
            <w:shd w:val="clear" w:color="auto" w:fill="auto"/>
          </w:tcPr>
          <w:p w:rsidR="00EC53CE" w:rsidRPr="00E34727" w:rsidRDefault="00EC53CE" w:rsidP="00BB7784">
            <w:pPr>
              <w:spacing w:after="60"/>
              <w:jc w:val="right"/>
              <w:rPr>
                <w:sz w:val="16"/>
                <w:szCs w:val="20"/>
                <w:lang w:val="fr-FR"/>
              </w:rPr>
            </w:pPr>
            <w:r w:rsidRPr="00E34727">
              <w:rPr>
                <w:sz w:val="16"/>
                <w:szCs w:val="20"/>
                <w:lang w:val="fr-FR"/>
              </w:rPr>
              <w:t>0,01</w:t>
            </w:r>
          </w:p>
        </w:tc>
      </w:tr>
      <w:tr w:rsidR="00EC53CE" w:rsidRPr="00E34727" w:rsidTr="00BB7784">
        <w:trPr>
          <w:trHeight w:val="240"/>
        </w:trPr>
        <w:tc>
          <w:tcPr>
            <w:tcW w:w="1696" w:type="dxa"/>
            <w:shd w:val="clear" w:color="auto" w:fill="auto"/>
          </w:tcPr>
          <w:p w:rsidR="00EC53CE" w:rsidRPr="00E34727" w:rsidRDefault="00EC53CE" w:rsidP="00BB7784">
            <w:pPr>
              <w:spacing w:after="60"/>
              <w:jc w:val="left"/>
              <w:rPr>
                <w:sz w:val="16"/>
                <w:szCs w:val="20"/>
                <w:lang w:val="fr-FR"/>
              </w:rPr>
            </w:pPr>
            <w:r w:rsidRPr="00E34727">
              <w:rPr>
                <w:sz w:val="16"/>
                <w:szCs w:val="20"/>
                <w:lang w:val="fr-FR"/>
              </w:rPr>
              <w:t>HCFC-22</w:t>
            </w:r>
          </w:p>
        </w:tc>
        <w:tc>
          <w:tcPr>
            <w:tcW w:w="928" w:type="dxa"/>
            <w:shd w:val="clear" w:color="auto" w:fill="auto"/>
          </w:tcPr>
          <w:p w:rsidR="00EC53CE" w:rsidRPr="00E34727" w:rsidRDefault="00EC53CE" w:rsidP="00BB7784">
            <w:pPr>
              <w:spacing w:after="60"/>
              <w:jc w:val="right"/>
              <w:rPr>
                <w:sz w:val="16"/>
                <w:szCs w:val="20"/>
                <w:lang w:val="fr-FR"/>
              </w:rPr>
            </w:pPr>
          </w:p>
        </w:tc>
        <w:tc>
          <w:tcPr>
            <w:tcW w:w="627" w:type="dxa"/>
            <w:shd w:val="clear" w:color="auto" w:fill="auto"/>
          </w:tcPr>
          <w:p w:rsidR="00EC53CE" w:rsidRPr="00E34727" w:rsidRDefault="00EC53CE" w:rsidP="00BB7784">
            <w:pPr>
              <w:spacing w:after="60"/>
              <w:jc w:val="right"/>
              <w:rPr>
                <w:sz w:val="16"/>
                <w:szCs w:val="20"/>
                <w:lang w:val="fr-FR"/>
              </w:rPr>
            </w:pPr>
          </w:p>
        </w:tc>
        <w:tc>
          <w:tcPr>
            <w:tcW w:w="815" w:type="dxa"/>
            <w:shd w:val="clear" w:color="auto" w:fill="auto"/>
          </w:tcPr>
          <w:p w:rsidR="00EC53CE" w:rsidRPr="00E34727" w:rsidRDefault="00EC53CE" w:rsidP="00BB7784">
            <w:pPr>
              <w:spacing w:after="60"/>
              <w:jc w:val="right"/>
              <w:rPr>
                <w:sz w:val="16"/>
                <w:szCs w:val="20"/>
                <w:lang w:val="fr-FR"/>
              </w:rPr>
            </w:pPr>
          </w:p>
        </w:tc>
        <w:tc>
          <w:tcPr>
            <w:tcW w:w="0" w:type="auto"/>
            <w:shd w:val="clear" w:color="auto" w:fill="auto"/>
          </w:tcPr>
          <w:p w:rsidR="00EC53CE" w:rsidRPr="00E34727" w:rsidRDefault="00EC53CE" w:rsidP="00BB7784">
            <w:pPr>
              <w:spacing w:after="60"/>
              <w:jc w:val="right"/>
              <w:rPr>
                <w:sz w:val="16"/>
                <w:szCs w:val="20"/>
                <w:lang w:val="fr-FR"/>
              </w:rPr>
            </w:pPr>
          </w:p>
        </w:tc>
        <w:tc>
          <w:tcPr>
            <w:tcW w:w="0" w:type="auto"/>
            <w:shd w:val="clear" w:color="auto" w:fill="auto"/>
          </w:tcPr>
          <w:p w:rsidR="00EC53CE" w:rsidRPr="00E34727" w:rsidRDefault="00EC53CE" w:rsidP="00BB7784">
            <w:pPr>
              <w:spacing w:after="60"/>
              <w:jc w:val="right"/>
              <w:rPr>
                <w:sz w:val="16"/>
                <w:szCs w:val="20"/>
                <w:lang w:val="fr-FR"/>
              </w:rPr>
            </w:pPr>
            <w:r w:rsidRPr="00E34727">
              <w:rPr>
                <w:sz w:val="16"/>
                <w:szCs w:val="20"/>
                <w:lang w:val="fr-FR"/>
              </w:rPr>
              <w:t>25,91</w:t>
            </w:r>
          </w:p>
        </w:tc>
        <w:tc>
          <w:tcPr>
            <w:tcW w:w="0" w:type="auto"/>
            <w:shd w:val="clear" w:color="auto" w:fill="auto"/>
          </w:tcPr>
          <w:p w:rsidR="00EC53CE" w:rsidRPr="00E34727" w:rsidRDefault="00EC53CE" w:rsidP="00BB7784">
            <w:pPr>
              <w:spacing w:after="60"/>
              <w:jc w:val="right"/>
              <w:rPr>
                <w:sz w:val="16"/>
                <w:szCs w:val="20"/>
                <w:lang w:val="fr-FR"/>
              </w:rPr>
            </w:pPr>
          </w:p>
        </w:tc>
        <w:tc>
          <w:tcPr>
            <w:tcW w:w="0" w:type="auto"/>
            <w:shd w:val="clear" w:color="auto" w:fill="auto"/>
          </w:tcPr>
          <w:p w:rsidR="00EC53CE" w:rsidRPr="00E34727" w:rsidRDefault="00EC53CE" w:rsidP="00BB7784">
            <w:pPr>
              <w:spacing w:after="60"/>
              <w:jc w:val="right"/>
              <w:rPr>
                <w:sz w:val="16"/>
                <w:szCs w:val="20"/>
                <w:lang w:val="fr-FR"/>
              </w:rPr>
            </w:pPr>
          </w:p>
        </w:tc>
        <w:tc>
          <w:tcPr>
            <w:tcW w:w="0" w:type="auto"/>
            <w:shd w:val="clear" w:color="auto" w:fill="auto"/>
          </w:tcPr>
          <w:p w:rsidR="00EC53CE" w:rsidRPr="00E34727" w:rsidRDefault="00EC53CE" w:rsidP="00BB7784">
            <w:pPr>
              <w:spacing w:after="60"/>
              <w:jc w:val="right"/>
              <w:rPr>
                <w:sz w:val="16"/>
                <w:szCs w:val="20"/>
                <w:lang w:val="fr-FR"/>
              </w:rPr>
            </w:pPr>
          </w:p>
        </w:tc>
        <w:tc>
          <w:tcPr>
            <w:tcW w:w="0" w:type="auto"/>
            <w:shd w:val="clear" w:color="auto" w:fill="auto"/>
          </w:tcPr>
          <w:p w:rsidR="00EC53CE" w:rsidRPr="00E34727" w:rsidRDefault="00EC53CE" w:rsidP="00BB7784">
            <w:pPr>
              <w:spacing w:after="60"/>
              <w:jc w:val="right"/>
              <w:rPr>
                <w:sz w:val="16"/>
                <w:szCs w:val="20"/>
                <w:lang w:val="fr-FR"/>
              </w:rPr>
            </w:pPr>
            <w:r w:rsidRPr="00E34727">
              <w:rPr>
                <w:sz w:val="16"/>
                <w:szCs w:val="20"/>
                <w:lang w:val="fr-FR"/>
              </w:rPr>
              <w:t>25,91</w:t>
            </w:r>
          </w:p>
        </w:tc>
      </w:tr>
      <w:tr w:rsidR="00EC53CE" w:rsidRPr="00E34727" w:rsidTr="00BB7784">
        <w:trPr>
          <w:trHeight w:val="240"/>
        </w:trPr>
        <w:tc>
          <w:tcPr>
            <w:tcW w:w="1696" w:type="dxa"/>
            <w:shd w:val="clear" w:color="auto" w:fill="auto"/>
          </w:tcPr>
          <w:p w:rsidR="00EC53CE" w:rsidRPr="00E34727" w:rsidRDefault="00EC53CE" w:rsidP="00BB7784">
            <w:pPr>
              <w:spacing w:after="60"/>
              <w:jc w:val="left"/>
              <w:rPr>
                <w:sz w:val="16"/>
                <w:szCs w:val="20"/>
                <w:lang w:val="fr-FR"/>
              </w:rPr>
            </w:pPr>
            <w:r w:rsidRPr="00E34727">
              <w:rPr>
                <w:sz w:val="16"/>
                <w:szCs w:val="20"/>
                <w:lang w:val="fr-FR"/>
              </w:rPr>
              <w:t xml:space="preserve">HCFC-141b dans des polyols </w:t>
            </w:r>
            <w:proofErr w:type="spellStart"/>
            <w:r w:rsidRPr="00E34727">
              <w:rPr>
                <w:sz w:val="16"/>
                <w:szCs w:val="20"/>
                <w:lang w:val="fr-FR"/>
              </w:rPr>
              <w:t>prémélangés</w:t>
            </w:r>
            <w:proofErr w:type="spellEnd"/>
            <w:r w:rsidRPr="00E34727">
              <w:rPr>
                <w:sz w:val="16"/>
                <w:szCs w:val="20"/>
                <w:lang w:val="fr-FR"/>
              </w:rPr>
              <w:t xml:space="preserve"> importés</w:t>
            </w:r>
          </w:p>
        </w:tc>
        <w:tc>
          <w:tcPr>
            <w:tcW w:w="928" w:type="dxa"/>
            <w:shd w:val="clear" w:color="auto" w:fill="auto"/>
          </w:tcPr>
          <w:p w:rsidR="00EC53CE" w:rsidRPr="00E34727" w:rsidRDefault="00EC53CE" w:rsidP="00BB7784">
            <w:pPr>
              <w:spacing w:after="60"/>
              <w:jc w:val="right"/>
              <w:rPr>
                <w:sz w:val="16"/>
                <w:szCs w:val="20"/>
                <w:lang w:val="fr-FR"/>
              </w:rPr>
            </w:pPr>
          </w:p>
        </w:tc>
        <w:tc>
          <w:tcPr>
            <w:tcW w:w="627" w:type="dxa"/>
            <w:shd w:val="clear" w:color="auto" w:fill="auto"/>
          </w:tcPr>
          <w:p w:rsidR="00EC53CE" w:rsidRPr="00E34727" w:rsidRDefault="00EC53CE" w:rsidP="00BB7784">
            <w:pPr>
              <w:spacing w:after="60"/>
              <w:jc w:val="right"/>
              <w:rPr>
                <w:sz w:val="16"/>
                <w:szCs w:val="20"/>
                <w:lang w:val="fr-FR"/>
              </w:rPr>
            </w:pPr>
            <w:r w:rsidRPr="00E34727">
              <w:rPr>
                <w:sz w:val="16"/>
                <w:szCs w:val="20"/>
                <w:lang w:val="fr-FR"/>
              </w:rPr>
              <w:t>7,15</w:t>
            </w:r>
          </w:p>
        </w:tc>
        <w:tc>
          <w:tcPr>
            <w:tcW w:w="815" w:type="dxa"/>
            <w:shd w:val="clear" w:color="auto" w:fill="auto"/>
          </w:tcPr>
          <w:p w:rsidR="00EC53CE" w:rsidRPr="00E34727" w:rsidRDefault="00EC53CE" w:rsidP="00BB7784">
            <w:pPr>
              <w:spacing w:after="60"/>
              <w:jc w:val="right"/>
              <w:rPr>
                <w:sz w:val="16"/>
                <w:szCs w:val="20"/>
                <w:lang w:val="fr-FR"/>
              </w:rPr>
            </w:pPr>
          </w:p>
        </w:tc>
        <w:tc>
          <w:tcPr>
            <w:tcW w:w="0" w:type="auto"/>
            <w:shd w:val="clear" w:color="auto" w:fill="auto"/>
          </w:tcPr>
          <w:p w:rsidR="00EC53CE" w:rsidRPr="00E34727" w:rsidRDefault="00EC53CE" w:rsidP="00BB7784">
            <w:pPr>
              <w:spacing w:after="60"/>
              <w:jc w:val="right"/>
              <w:rPr>
                <w:sz w:val="16"/>
                <w:szCs w:val="20"/>
                <w:lang w:val="fr-FR"/>
              </w:rPr>
            </w:pPr>
          </w:p>
        </w:tc>
        <w:tc>
          <w:tcPr>
            <w:tcW w:w="0" w:type="auto"/>
            <w:shd w:val="clear" w:color="auto" w:fill="auto"/>
          </w:tcPr>
          <w:p w:rsidR="00EC53CE" w:rsidRPr="00E34727" w:rsidRDefault="00EC53CE" w:rsidP="00BB7784">
            <w:pPr>
              <w:spacing w:after="60"/>
              <w:jc w:val="right"/>
              <w:rPr>
                <w:sz w:val="16"/>
                <w:szCs w:val="20"/>
                <w:lang w:val="fr-FR"/>
              </w:rPr>
            </w:pPr>
          </w:p>
        </w:tc>
        <w:tc>
          <w:tcPr>
            <w:tcW w:w="0" w:type="auto"/>
            <w:shd w:val="clear" w:color="auto" w:fill="auto"/>
          </w:tcPr>
          <w:p w:rsidR="00EC53CE" w:rsidRPr="00E34727" w:rsidRDefault="00EC53CE" w:rsidP="00BB7784">
            <w:pPr>
              <w:spacing w:after="60"/>
              <w:jc w:val="right"/>
              <w:rPr>
                <w:sz w:val="16"/>
                <w:szCs w:val="20"/>
                <w:lang w:val="fr-FR"/>
              </w:rPr>
            </w:pPr>
          </w:p>
        </w:tc>
        <w:tc>
          <w:tcPr>
            <w:tcW w:w="0" w:type="auto"/>
            <w:shd w:val="clear" w:color="auto" w:fill="auto"/>
          </w:tcPr>
          <w:p w:rsidR="00EC53CE" w:rsidRPr="00E34727" w:rsidRDefault="00EC53CE" w:rsidP="00BB7784">
            <w:pPr>
              <w:spacing w:after="60"/>
              <w:jc w:val="right"/>
              <w:rPr>
                <w:sz w:val="16"/>
                <w:szCs w:val="20"/>
                <w:lang w:val="fr-FR"/>
              </w:rPr>
            </w:pPr>
          </w:p>
        </w:tc>
        <w:tc>
          <w:tcPr>
            <w:tcW w:w="0" w:type="auto"/>
            <w:shd w:val="clear" w:color="auto" w:fill="auto"/>
          </w:tcPr>
          <w:p w:rsidR="00EC53CE" w:rsidRPr="00E34727" w:rsidRDefault="00EC53CE" w:rsidP="00BB7784">
            <w:pPr>
              <w:spacing w:after="60"/>
              <w:jc w:val="right"/>
              <w:rPr>
                <w:sz w:val="16"/>
                <w:szCs w:val="20"/>
                <w:lang w:val="fr-FR"/>
              </w:rPr>
            </w:pPr>
          </w:p>
        </w:tc>
        <w:tc>
          <w:tcPr>
            <w:tcW w:w="0" w:type="auto"/>
            <w:shd w:val="clear" w:color="auto" w:fill="auto"/>
          </w:tcPr>
          <w:p w:rsidR="00EC53CE" w:rsidRPr="00E34727" w:rsidRDefault="00EC53CE" w:rsidP="00BB7784">
            <w:pPr>
              <w:spacing w:after="60"/>
              <w:jc w:val="right"/>
              <w:rPr>
                <w:sz w:val="16"/>
                <w:szCs w:val="20"/>
                <w:lang w:val="fr-FR"/>
              </w:rPr>
            </w:pPr>
            <w:r w:rsidRPr="00E34727">
              <w:rPr>
                <w:sz w:val="16"/>
                <w:szCs w:val="20"/>
                <w:lang w:val="fr-FR"/>
              </w:rPr>
              <w:t>7,15</w:t>
            </w:r>
          </w:p>
        </w:tc>
      </w:tr>
    </w:tbl>
    <w:p w:rsidR="00EC53CE" w:rsidRPr="00E34727" w:rsidRDefault="00EC53CE" w:rsidP="00EC53CE">
      <w:pPr>
        <w:spacing w:after="60"/>
        <w:jc w:val="center"/>
        <w:rPr>
          <w:sz w:val="14"/>
          <w:szCs w:val="14"/>
          <w:lang w:val="fr-FR"/>
        </w:rPr>
      </w:pPr>
    </w:p>
    <w:tbl>
      <w:tblPr>
        <w:tblStyle w:val="TableGrid"/>
        <w:tblW w:w="10000" w:type="dxa"/>
        <w:tblLook w:val="04A0" w:firstRow="1" w:lastRow="0" w:firstColumn="1" w:lastColumn="0" w:noHBand="0" w:noVBand="1"/>
      </w:tblPr>
      <w:tblGrid>
        <w:gridCol w:w="3397"/>
        <w:gridCol w:w="748"/>
        <w:gridCol w:w="5107"/>
        <w:gridCol w:w="748"/>
      </w:tblGrid>
      <w:tr w:rsidR="00EC53CE" w:rsidRPr="00F36C81" w:rsidTr="00BB7784">
        <w:trPr>
          <w:trHeight w:val="240"/>
        </w:trPr>
        <w:tc>
          <w:tcPr>
            <w:tcW w:w="0" w:type="auto"/>
            <w:gridSpan w:val="4"/>
            <w:shd w:val="clear" w:color="auto" w:fill="auto"/>
          </w:tcPr>
          <w:p w:rsidR="00EC53CE" w:rsidRPr="00E34727" w:rsidRDefault="00EC53CE" w:rsidP="00BB7784">
            <w:pPr>
              <w:spacing w:after="60"/>
              <w:jc w:val="left"/>
              <w:rPr>
                <w:b/>
                <w:sz w:val="16"/>
                <w:szCs w:val="20"/>
                <w:lang w:val="fr-FR"/>
              </w:rPr>
            </w:pPr>
            <w:r w:rsidRPr="00E34727">
              <w:rPr>
                <w:b/>
                <w:sz w:val="16"/>
                <w:szCs w:val="20"/>
                <w:lang w:val="fr-FR"/>
              </w:rPr>
              <w:t>(IV) DONNÉES DE CONSOMMATION (tonnes PAO)</w:t>
            </w:r>
          </w:p>
        </w:tc>
      </w:tr>
      <w:tr w:rsidR="00EC53CE" w:rsidRPr="00E34727" w:rsidTr="00BB7784">
        <w:trPr>
          <w:trHeight w:val="240"/>
        </w:trPr>
        <w:tc>
          <w:tcPr>
            <w:tcW w:w="0" w:type="auto"/>
            <w:shd w:val="clear" w:color="auto" w:fill="auto"/>
          </w:tcPr>
          <w:p w:rsidR="00EC53CE" w:rsidRPr="00E34727" w:rsidRDefault="00EC53CE" w:rsidP="00BB7784">
            <w:pPr>
              <w:spacing w:after="60"/>
              <w:jc w:val="center"/>
              <w:rPr>
                <w:sz w:val="16"/>
                <w:szCs w:val="20"/>
                <w:lang w:val="fr-FR"/>
              </w:rPr>
            </w:pPr>
            <w:r w:rsidRPr="00E34727">
              <w:rPr>
                <w:sz w:val="16"/>
                <w:szCs w:val="20"/>
                <w:lang w:val="fr-FR"/>
              </w:rPr>
              <w:t>Base de référence 2009 - 2010 :</w:t>
            </w:r>
          </w:p>
        </w:tc>
        <w:tc>
          <w:tcPr>
            <w:tcW w:w="0" w:type="auto"/>
            <w:shd w:val="clear" w:color="auto" w:fill="auto"/>
          </w:tcPr>
          <w:p w:rsidR="00EC53CE" w:rsidRPr="00E34727" w:rsidRDefault="00EC53CE" w:rsidP="00BB7784">
            <w:pPr>
              <w:spacing w:after="60"/>
              <w:jc w:val="right"/>
              <w:rPr>
                <w:sz w:val="16"/>
                <w:szCs w:val="20"/>
                <w:lang w:val="fr-FR"/>
              </w:rPr>
            </w:pPr>
            <w:r w:rsidRPr="00E34727">
              <w:rPr>
                <w:sz w:val="16"/>
                <w:szCs w:val="20"/>
                <w:lang w:val="fr-FR"/>
              </w:rPr>
              <w:t>40,7</w:t>
            </w:r>
          </w:p>
        </w:tc>
        <w:tc>
          <w:tcPr>
            <w:tcW w:w="0" w:type="auto"/>
            <w:shd w:val="clear" w:color="auto" w:fill="auto"/>
          </w:tcPr>
          <w:p w:rsidR="00EC53CE" w:rsidRPr="00E34727" w:rsidRDefault="00EC53CE" w:rsidP="00BB7784">
            <w:pPr>
              <w:spacing w:after="60"/>
              <w:jc w:val="center"/>
              <w:rPr>
                <w:sz w:val="16"/>
                <w:szCs w:val="20"/>
                <w:lang w:val="fr-FR"/>
              </w:rPr>
            </w:pPr>
            <w:r w:rsidRPr="00E34727">
              <w:rPr>
                <w:sz w:val="16"/>
                <w:szCs w:val="20"/>
                <w:lang w:val="fr-FR"/>
              </w:rPr>
              <w:t>Point de départ des réductions globales durables :</w:t>
            </w:r>
          </w:p>
        </w:tc>
        <w:tc>
          <w:tcPr>
            <w:tcW w:w="0" w:type="auto"/>
            <w:shd w:val="clear" w:color="auto" w:fill="auto"/>
          </w:tcPr>
          <w:p w:rsidR="00EC53CE" w:rsidRPr="00E34727" w:rsidRDefault="00EC53CE" w:rsidP="00BB7784">
            <w:pPr>
              <w:spacing w:after="60"/>
              <w:jc w:val="right"/>
              <w:rPr>
                <w:sz w:val="16"/>
                <w:szCs w:val="20"/>
                <w:lang w:val="fr-FR"/>
              </w:rPr>
            </w:pPr>
            <w:r w:rsidRPr="00E34727">
              <w:rPr>
                <w:sz w:val="16"/>
                <w:szCs w:val="20"/>
                <w:lang w:val="fr-FR"/>
              </w:rPr>
              <w:t>45,7</w:t>
            </w:r>
          </w:p>
        </w:tc>
      </w:tr>
      <w:tr w:rsidR="00EC53CE" w:rsidRPr="00F36C81" w:rsidTr="00BB7784">
        <w:trPr>
          <w:trHeight w:val="240"/>
        </w:trPr>
        <w:tc>
          <w:tcPr>
            <w:tcW w:w="0" w:type="auto"/>
            <w:gridSpan w:val="4"/>
            <w:shd w:val="clear" w:color="auto" w:fill="auto"/>
          </w:tcPr>
          <w:p w:rsidR="00EC53CE" w:rsidRPr="00E34727" w:rsidRDefault="00EC53CE" w:rsidP="00BB7784">
            <w:pPr>
              <w:spacing w:after="60"/>
              <w:jc w:val="center"/>
              <w:rPr>
                <w:b/>
                <w:sz w:val="16"/>
                <w:szCs w:val="20"/>
                <w:lang w:val="fr-FR"/>
              </w:rPr>
            </w:pPr>
            <w:r w:rsidRPr="00E34727">
              <w:rPr>
                <w:b/>
                <w:sz w:val="16"/>
                <w:szCs w:val="20"/>
                <w:lang w:val="fr-FR"/>
              </w:rPr>
              <w:t>CONSOMMATION ADMISSIBLE AU FINANCEMENT (tonnes PAO)</w:t>
            </w:r>
          </w:p>
        </w:tc>
      </w:tr>
      <w:tr w:rsidR="00EC53CE" w:rsidRPr="00E34727" w:rsidTr="00BB7784">
        <w:trPr>
          <w:trHeight w:val="240"/>
        </w:trPr>
        <w:tc>
          <w:tcPr>
            <w:tcW w:w="0" w:type="auto"/>
            <w:shd w:val="clear" w:color="auto" w:fill="auto"/>
          </w:tcPr>
          <w:p w:rsidR="00EC53CE" w:rsidRPr="00E34727" w:rsidRDefault="00EC53CE" w:rsidP="00BB7784">
            <w:pPr>
              <w:spacing w:after="60"/>
              <w:jc w:val="center"/>
              <w:rPr>
                <w:sz w:val="16"/>
                <w:szCs w:val="20"/>
                <w:lang w:val="fr-FR"/>
              </w:rPr>
            </w:pPr>
            <w:r w:rsidRPr="00E34727">
              <w:rPr>
                <w:sz w:val="16"/>
                <w:szCs w:val="20"/>
                <w:lang w:val="fr-FR"/>
              </w:rPr>
              <w:t>Déjà approuvée :</w:t>
            </w:r>
          </w:p>
        </w:tc>
        <w:tc>
          <w:tcPr>
            <w:tcW w:w="0" w:type="auto"/>
            <w:shd w:val="clear" w:color="auto" w:fill="auto"/>
          </w:tcPr>
          <w:p w:rsidR="00EC53CE" w:rsidRPr="00E34727" w:rsidRDefault="00EC53CE" w:rsidP="00BB7784">
            <w:pPr>
              <w:spacing w:after="60"/>
              <w:jc w:val="right"/>
              <w:rPr>
                <w:sz w:val="16"/>
                <w:szCs w:val="20"/>
                <w:lang w:val="fr-FR"/>
              </w:rPr>
            </w:pPr>
            <w:r w:rsidRPr="00E34727">
              <w:rPr>
                <w:sz w:val="16"/>
                <w:szCs w:val="20"/>
                <w:lang w:val="fr-FR"/>
              </w:rPr>
              <w:t>10,6</w:t>
            </w:r>
          </w:p>
        </w:tc>
        <w:tc>
          <w:tcPr>
            <w:tcW w:w="0" w:type="auto"/>
            <w:shd w:val="clear" w:color="auto" w:fill="auto"/>
          </w:tcPr>
          <w:p w:rsidR="00EC53CE" w:rsidRPr="00E34727" w:rsidRDefault="00EC53CE" w:rsidP="00BB7784">
            <w:pPr>
              <w:spacing w:after="60"/>
              <w:jc w:val="center"/>
              <w:rPr>
                <w:sz w:val="16"/>
                <w:szCs w:val="20"/>
                <w:lang w:val="fr-FR"/>
              </w:rPr>
            </w:pPr>
            <w:r w:rsidRPr="00E34727">
              <w:rPr>
                <w:sz w:val="16"/>
                <w:szCs w:val="20"/>
                <w:lang w:val="fr-FR"/>
              </w:rPr>
              <w:t>Restante :</w:t>
            </w:r>
          </w:p>
        </w:tc>
        <w:tc>
          <w:tcPr>
            <w:tcW w:w="0" w:type="auto"/>
            <w:shd w:val="clear" w:color="auto" w:fill="auto"/>
          </w:tcPr>
          <w:p w:rsidR="00EC53CE" w:rsidRPr="00E34727" w:rsidRDefault="00EC53CE" w:rsidP="00BB7784">
            <w:pPr>
              <w:spacing w:after="60"/>
              <w:jc w:val="right"/>
              <w:rPr>
                <w:sz w:val="16"/>
                <w:szCs w:val="20"/>
                <w:lang w:val="fr-FR"/>
              </w:rPr>
            </w:pPr>
            <w:r w:rsidRPr="00E34727">
              <w:rPr>
                <w:sz w:val="16"/>
                <w:szCs w:val="20"/>
                <w:lang w:val="fr-FR"/>
              </w:rPr>
              <w:t>35,1</w:t>
            </w:r>
          </w:p>
        </w:tc>
      </w:tr>
    </w:tbl>
    <w:p w:rsidR="00EC53CE" w:rsidRPr="00E34727" w:rsidRDefault="00EC53CE" w:rsidP="00EC53CE">
      <w:pPr>
        <w:spacing w:after="60"/>
        <w:jc w:val="center"/>
        <w:rPr>
          <w:sz w:val="14"/>
          <w:szCs w:val="14"/>
          <w:lang w:val="fr-FR"/>
        </w:rPr>
      </w:pPr>
    </w:p>
    <w:tbl>
      <w:tblPr>
        <w:tblStyle w:val="TableGrid"/>
        <w:tblW w:w="10007" w:type="dxa"/>
        <w:tblLook w:val="04A0" w:firstRow="1" w:lastRow="0" w:firstColumn="1" w:lastColumn="0" w:noHBand="0" w:noVBand="1"/>
      </w:tblPr>
      <w:tblGrid>
        <w:gridCol w:w="1499"/>
        <w:gridCol w:w="5140"/>
        <w:gridCol w:w="1684"/>
        <w:gridCol w:w="1684"/>
      </w:tblGrid>
      <w:tr w:rsidR="00EC53CE" w:rsidRPr="00E34727" w:rsidTr="00BB7784">
        <w:trPr>
          <w:trHeight w:val="232"/>
        </w:trPr>
        <w:tc>
          <w:tcPr>
            <w:tcW w:w="0" w:type="auto"/>
            <w:gridSpan w:val="2"/>
            <w:shd w:val="clear" w:color="auto" w:fill="auto"/>
          </w:tcPr>
          <w:p w:rsidR="00EC53CE" w:rsidRPr="00E34727" w:rsidRDefault="00EC53CE" w:rsidP="00BB7784">
            <w:pPr>
              <w:spacing w:after="60"/>
              <w:jc w:val="left"/>
              <w:rPr>
                <w:b/>
                <w:sz w:val="16"/>
                <w:szCs w:val="20"/>
                <w:lang w:val="fr-FR"/>
              </w:rPr>
            </w:pPr>
            <w:r w:rsidRPr="00E34727">
              <w:rPr>
                <w:b/>
                <w:sz w:val="16"/>
                <w:szCs w:val="20"/>
                <w:lang w:val="fr-FR"/>
              </w:rPr>
              <w:t>(V) PLAN D’ACTIVITÉS</w:t>
            </w:r>
          </w:p>
        </w:tc>
        <w:tc>
          <w:tcPr>
            <w:tcW w:w="1684" w:type="dxa"/>
            <w:shd w:val="clear" w:color="auto" w:fill="auto"/>
          </w:tcPr>
          <w:p w:rsidR="00EC53CE" w:rsidRPr="00E34727" w:rsidRDefault="00EC53CE" w:rsidP="00BB7784">
            <w:pPr>
              <w:spacing w:after="60"/>
              <w:jc w:val="center"/>
              <w:rPr>
                <w:b/>
                <w:sz w:val="16"/>
                <w:szCs w:val="20"/>
                <w:lang w:val="fr-FR"/>
              </w:rPr>
            </w:pPr>
            <w:r w:rsidRPr="00E34727">
              <w:rPr>
                <w:b/>
                <w:sz w:val="16"/>
                <w:szCs w:val="20"/>
                <w:lang w:val="fr-FR"/>
              </w:rPr>
              <w:t>2019</w:t>
            </w:r>
          </w:p>
        </w:tc>
        <w:tc>
          <w:tcPr>
            <w:tcW w:w="1684" w:type="dxa"/>
            <w:shd w:val="clear" w:color="auto" w:fill="auto"/>
          </w:tcPr>
          <w:p w:rsidR="00EC53CE" w:rsidRPr="00E34727" w:rsidRDefault="00EC53CE" w:rsidP="00BB7784">
            <w:pPr>
              <w:spacing w:after="60"/>
              <w:jc w:val="center"/>
              <w:rPr>
                <w:b/>
                <w:sz w:val="16"/>
                <w:szCs w:val="20"/>
                <w:lang w:val="fr-FR"/>
              </w:rPr>
            </w:pPr>
            <w:r w:rsidRPr="00E34727">
              <w:rPr>
                <w:b/>
                <w:sz w:val="16"/>
                <w:szCs w:val="20"/>
                <w:lang w:val="fr-FR"/>
              </w:rPr>
              <w:t>Total</w:t>
            </w:r>
          </w:p>
        </w:tc>
      </w:tr>
      <w:tr w:rsidR="00EC53CE" w:rsidRPr="00E34727" w:rsidTr="00BB7784">
        <w:trPr>
          <w:trHeight w:val="232"/>
        </w:trPr>
        <w:tc>
          <w:tcPr>
            <w:tcW w:w="0" w:type="auto"/>
            <w:vMerge w:val="restart"/>
            <w:shd w:val="clear" w:color="auto" w:fill="auto"/>
          </w:tcPr>
          <w:p w:rsidR="00EC53CE" w:rsidRPr="00E34727" w:rsidRDefault="00EC53CE" w:rsidP="00BB7784">
            <w:pPr>
              <w:spacing w:after="60"/>
              <w:jc w:val="center"/>
              <w:rPr>
                <w:sz w:val="16"/>
                <w:szCs w:val="20"/>
                <w:lang w:val="fr-FR"/>
              </w:rPr>
            </w:pPr>
            <w:r w:rsidRPr="00E34727">
              <w:rPr>
                <w:sz w:val="16"/>
                <w:szCs w:val="20"/>
                <w:lang w:val="fr-FR"/>
              </w:rPr>
              <w:t>France</w:t>
            </w:r>
          </w:p>
        </w:tc>
        <w:tc>
          <w:tcPr>
            <w:tcW w:w="0" w:type="auto"/>
            <w:shd w:val="clear" w:color="auto" w:fill="auto"/>
          </w:tcPr>
          <w:p w:rsidR="00EC53CE" w:rsidRPr="00E34727" w:rsidRDefault="00EC53CE" w:rsidP="00BB7784">
            <w:pPr>
              <w:spacing w:after="60"/>
              <w:jc w:val="left"/>
              <w:rPr>
                <w:sz w:val="16"/>
                <w:szCs w:val="20"/>
                <w:lang w:val="fr-FR"/>
              </w:rPr>
            </w:pPr>
            <w:r w:rsidRPr="00E34727">
              <w:rPr>
                <w:sz w:val="16"/>
                <w:szCs w:val="20"/>
                <w:lang w:val="fr-FR"/>
              </w:rPr>
              <w:t>Élimination des SAO (tonnes PAO)</w:t>
            </w:r>
          </w:p>
        </w:tc>
        <w:tc>
          <w:tcPr>
            <w:tcW w:w="1684" w:type="dxa"/>
            <w:shd w:val="clear" w:color="auto" w:fill="auto"/>
          </w:tcPr>
          <w:p w:rsidR="00EC53CE" w:rsidRPr="00E34727" w:rsidRDefault="00EC53CE" w:rsidP="00BB7784">
            <w:pPr>
              <w:spacing w:after="60"/>
              <w:jc w:val="right"/>
              <w:rPr>
                <w:sz w:val="16"/>
                <w:szCs w:val="20"/>
                <w:lang w:val="fr-FR"/>
              </w:rPr>
            </w:pPr>
            <w:r w:rsidRPr="00E34727">
              <w:rPr>
                <w:sz w:val="16"/>
                <w:szCs w:val="20"/>
                <w:lang w:val="fr-FR"/>
              </w:rPr>
              <w:t>0,41</w:t>
            </w:r>
          </w:p>
        </w:tc>
        <w:tc>
          <w:tcPr>
            <w:tcW w:w="1684" w:type="dxa"/>
            <w:shd w:val="clear" w:color="auto" w:fill="auto"/>
          </w:tcPr>
          <w:p w:rsidR="00EC53CE" w:rsidRPr="00E34727" w:rsidRDefault="00EC53CE" w:rsidP="00BB7784">
            <w:pPr>
              <w:spacing w:after="60"/>
              <w:jc w:val="right"/>
              <w:rPr>
                <w:sz w:val="16"/>
                <w:szCs w:val="20"/>
                <w:lang w:val="fr-FR"/>
              </w:rPr>
            </w:pPr>
            <w:r w:rsidRPr="00E34727">
              <w:rPr>
                <w:sz w:val="16"/>
                <w:szCs w:val="20"/>
                <w:lang w:val="fr-FR"/>
              </w:rPr>
              <w:t>0,41</w:t>
            </w:r>
          </w:p>
        </w:tc>
      </w:tr>
      <w:tr w:rsidR="00EC53CE" w:rsidRPr="00E34727" w:rsidTr="00BB7784">
        <w:trPr>
          <w:trHeight w:val="232"/>
        </w:trPr>
        <w:tc>
          <w:tcPr>
            <w:tcW w:w="0" w:type="auto"/>
            <w:vMerge/>
            <w:shd w:val="clear" w:color="auto" w:fill="auto"/>
          </w:tcPr>
          <w:p w:rsidR="00EC53CE" w:rsidRPr="00E34727" w:rsidRDefault="00EC53CE" w:rsidP="00BB7784">
            <w:pPr>
              <w:spacing w:after="60"/>
              <w:jc w:val="center"/>
              <w:rPr>
                <w:sz w:val="16"/>
                <w:szCs w:val="20"/>
                <w:lang w:val="fr-FR"/>
              </w:rPr>
            </w:pPr>
          </w:p>
        </w:tc>
        <w:tc>
          <w:tcPr>
            <w:tcW w:w="0" w:type="auto"/>
            <w:shd w:val="clear" w:color="auto" w:fill="auto"/>
          </w:tcPr>
          <w:p w:rsidR="00EC53CE" w:rsidRPr="00E34727" w:rsidRDefault="00EC53CE" w:rsidP="00BB7784">
            <w:pPr>
              <w:spacing w:after="60"/>
              <w:jc w:val="left"/>
              <w:rPr>
                <w:sz w:val="16"/>
                <w:szCs w:val="20"/>
                <w:lang w:val="fr-FR"/>
              </w:rPr>
            </w:pPr>
            <w:r w:rsidRPr="00E34727">
              <w:rPr>
                <w:sz w:val="16"/>
                <w:szCs w:val="20"/>
                <w:lang w:val="fr-FR"/>
              </w:rPr>
              <w:t>Financement ($ US)</w:t>
            </w:r>
          </w:p>
        </w:tc>
        <w:tc>
          <w:tcPr>
            <w:tcW w:w="1684" w:type="dxa"/>
            <w:shd w:val="clear" w:color="auto" w:fill="auto"/>
          </w:tcPr>
          <w:p w:rsidR="00EC53CE" w:rsidRPr="00E34727" w:rsidRDefault="00EC53CE" w:rsidP="00BB7784">
            <w:pPr>
              <w:spacing w:after="60"/>
              <w:jc w:val="right"/>
              <w:rPr>
                <w:sz w:val="16"/>
                <w:szCs w:val="20"/>
                <w:lang w:val="fr-FR"/>
              </w:rPr>
            </w:pPr>
            <w:r w:rsidRPr="00E34727">
              <w:rPr>
                <w:sz w:val="16"/>
                <w:szCs w:val="20"/>
                <w:lang w:val="fr-FR"/>
              </w:rPr>
              <w:t>78 769</w:t>
            </w:r>
          </w:p>
        </w:tc>
        <w:tc>
          <w:tcPr>
            <w:tcW w:w="1684" w:type="dxa"/>
            <w:shd w:val="clear" w:color="auto" w:fill="auto"/>
          </w:tcPr>
          <w:p w:rsidR="00EC53CE" w:rsidRPr="00E34727" w:rsidRDefault="00EC53CE" w:rsidP="00BB7784">
            <w:pPr>
              <w:spacing w:after="60"/>
              <w:jc w:val="right"/>
              <w:rPr>
                <w:sz w:val="16"/>
                <w:szCs w:val="20"/>
                <w:lang w:val="fr-FR"/>
              </w:rPr>
            </w:pPr>
            <w:r w:rsidRPr="00E34727">
              <w:rPr>
                <w:sz w:val="16"/>
                <w:szCs w:val="20"/>
                <w:lang w:val="fr-FR"/>
              </w:rPr>
              <w:t>78 769</w:t>
            </w:r>
          </w:p>
        </w:tc>
      </w:tr>
      <w:tr w:rsidR="00EC53CE" w:rsidRPr="00E34727" w:rsidTr="00BB7784">
        <w:trPr>
          <w:trHeight w:val="232"/>
        </w:trPr>
        <w:tc>
          <w:tcPr>
            <w:tcW w:w="0" w:type="auto"/>
            <w:vMerge w:val="restart"/>
            <w:shd w:val="clear" w:color="auto" w:fill="auto"/>
          </w:tcPr>
          <w:p w:rsidR="00EC53CE" w:rsidRPr="00E34727" w:rsidRDefault="00EC53CE" w:rsidP="00BB7784">
            <w:pPr>
              <w:spacing w:after="60"/>
              <w:jc w:val="center"/>
              <w:rPr>
                <w:sz w:val="16"/>
                <w:szCs w:val="20"/>
                <w:lang w:val="fr-FR"/>
              </w:rPr>
            </w:pPr>
            <w:r w:rsidRPr="00E34727">
              <w:rPr>
                <w:sz w:val="16"/>
                <w:szCs w:val="20"/>
                <w:lang w:val="fr-FR"/>
              </w:rPr>
              <w:t>PNUE</w:t>
            </w:r>
          </w:p>
        </w:tc>
        <w:tc>
          <w:tcPr>
            <w:tcW w:w="0" w:type="auto"/>
            <w:shd w:val="clear" w:color="auto" w:fill="auto"/>
          </w:tcPr>
          <w:p w:rsidR="00EC53CE" w:rsidRPr="00E34727" w:rsidRDefault="00EC53CE" w:rsidP="00BB7784">
            <w:pPr>
              <w:spacing w:after="60"/>
              <w:jc w:val="left"/>
              <w:rPr>
                <w:sz w:val="16"/>
                <w:szCs w:val="20"/>
                <w:lang w:val="fr-FR"/>
              </w:rPr>
            </w:pPr>
            <w:r w:rsidRPr="00E34727">
              <w:rPr>
                <w:sz w:val="16"/>
                <w:szCs w:val="20"/>
                <w:lang w:val="fr-FR"/>
              </w:rPr>
              <w:t>Élimination des SAO (tonnes PAO)</w:t>
            </w:r>
          </w:p>
        </w:tc>
        <w:tc>
          <w:tcPr>
            <w:tcW w:w="1684" w:type="dxa"/>
            <w:shd w:val="clear" w:color="auto" w:fill="auto"/>
          </w:tcPr>
          <w:p w:rsidR="00EC53CE" w:rsidRPr="00E34727" w:rsidRDefault="00EC53CE" w:rsidP="00BB7784">
            <w:pPr>
              <w:spacing w:after="60"/>
              <w:jc w:val="right"/>
              <w:rPr>
                <w:sz w:val="16"/>
                <w:szCs w:val="20"/>
                <w:lang w:val="fr-FR"/>
              </w:rPr>
            </w:pPr>
            <w:r w:rsidRPr="00E34727">
              <w:rPr>
                <w:sz w:val="16"/>
                <w:szCs w:val="20"/>
                <w:lang w:val="fr-FR"/>
              </w:rPr>
              <w:t>0,09</w:t>
            </w:r>
          </w:p>
        </w:tc>
        <w:tc>
          <w:tcPr>
            <w:tcW w:w="1684" w:type="dxa"/>
            <w:shd w:val="clear" w:color="auto" w:fill="auto"/>
          </w:tcPr>
          <w:p w:rsidR="00EC53CE" w:rsidRPr="00E34727" w:rsidRDefault="00EC53CE" w:rsidP="00BB7784">
            <w:pPr>
              <w:spacing w:after="60"/>
              <w:jc w:val="right"/>
              <w:rPr>
                <w:sz w:val="16"/>
                <w:szCs w:val="20"/>
                <w:lang w:val="fr-FR"/>
              </w:rPr>
            </w:pPr>
            <w:r w:rsidRPr="00E34727">
              <w:rPr>
                <w:sz w:val="16"/>
                <w:szCs w:val="20"/>
                <w:lang w:val="fr-FR"/>
              </w:rPr>
              <w:t>0,09</w:t>
            </w:r>
          </w:p>
        </w:tc>
      </w:tr>
      <w:tr w:rsidR="00EC53CE" w:rsidRPr="00E34727" w:rsidTr="00BB7784">
        <w:trPr>
          <w:trHeight w:val="232"/>
        </w:trPr>
        <w:tc>
          <w:tcPr>
            <w:tcW w:w="0" w:type="auto"/>
            <w:vMerge/>
            <w:shd w:val="clear" w:color="auto" w:fill="auto"/>
          </w:tcPr>
          <w:p w:rsidR="00EC53CE" w:rsidRPr="00E34727" w:rsidRDefault="00EC53CE" w:rsidP="00BB7784">
            <w:pPr>
              <w:spacing w:after="60"/>
              <w:jc w:val="center"/>
              <w:rPr>
                <w:sz w:val="16"/>
                <w:szCs w:val="20"/>
                <w:lang w:val="fr-FR"/>
              </w:rPr>
            </w:pPr>
          </w:p>
        </w:tc>
        <w:tc>
          <w:tcPr>
            <w:tcW w:w="0" w:type="auto"/>
            <w:shd w:val="clear" w:color="auto" w:fill="auto"/>
          </w:tcPr>
          <w:p w:rsidR="00EC53CE" w:rsidRPr="00E34727" w:rsidRDefault="00EC53CE" w:rsidP="00BB7784">
            <w:pPr>
              <w:spacing w:after="60"/>
              <w:jc w:val="left"/>
              <w:rPr>
                <w:sz w:val="16"/>
                <w:szCs w:val="20"/>
                <w:lang w:val="fr-FR"/>
              </w:rPr>
            </w:pPr>
            <w:r w:rsidRPr="00E34727">
              <w:rPr>
                <w:sz w:val="16"/>
                <w:szCs w:val="20"/>
                <w:lang w:val="fr-FR"/>
              </w:rPr>
              <w:t>Financement ($ US)</w:t>
            </w:r>
          </w:p>
        </w:tc>
        <w:tc>
          <w:tcPr>
            <w:tcW w:w="1684" w:type="dxa"/>
            <w:shd w:val="clear" w:color="auto" w:fill="auto"/>
          </w:tcPr>
          <w:p w:rsidR="00EC53CE" w:rsidRPr="00E34727" w:rsidRDefault="00EC53CE" w:rsidP="00BB7784">
            <w:pPr>
              <w:spacing w:after="60"/>
              <w:jc w:val="right"/>
              <w:rPr>
                <w:sz w:val="16"/>
                <w:szCs w:val="20"/>
                <w:lang w:val="fr-FR"/>
              </w:rPr>
            </w:pPr>
            <w:r w:rsidRPr="00E34727">
              <w:rPr>
                <w:sz w:val="16"/>
                <w:szCs w:val="20"/>
                <w:lang w:val="fr-FR"/>
              </w:rPr>
              <w:t>16 950</w:t>
            </w:r>
          </w:p>
        </w:tc>
        <w:tc>
          <w:tcPr>
            <w:tcW w:w="1684" w:type="dxa"/>
            <w:shd w:val="clear" w:color="auto" w:fill="auto"/>
          </w:tcPr>
          <w:p w:rsidR="00EC53CE" w:rsidRPr="00E34727" w:rsidRDefault="00EC53CE" w:rsidP="00BB7784">
            <w:pPr>
              <w:spacing w:after="60"/>
              <w:jc w:val="right"/>
              <w:rPr>
                <w:sz w:val="16"/>
                <w:szCs w:val="20"/>
                <w:lang w:val="fr-FR"/>
              </w:rPr>
            </w:pPr>
            <w:r w:rsidRPr="00E34727">
              <w:rPr>
                <w:sz w:val="16"/>
                <w:szCs w:val="20"/>
                <w:lang w:val="fr-FR"/>
              </w:rPr>
              <w:t>16 950</w:t>
            </w:r>
          </w:p>
        </w:tc>
      </w:tr>
      <w:tr w:rsidR="00EC53CE" w:rsidRPr="00E34727" w:rsidTr="00BB7784">
        <w:trPr>
          <w:trHeight w:val="232"/>
        </w:trPr>
        <w:tc>
          <w:tcPr>
            <w:tcW w:w="0" w:type="auto"/>
            <w:vMerge w:val="restart"/>
            <w:shd w:val="clear" w:color="auto" w:fill="auto"/>
          </w:tcPr>
          <w:p w:rsidR="00EC53CE" w:rsidRPr="00E34727" w:rsidRDefault="00EC53CE" w:rsidP="00BB7784">
            <w:pPr>
              <w:spacing w:after="60"/>
              <w:jc w:val="center"/>
              <w:rPr>
                <w:sz w:val="16"/>
                <w:szCs w:val="20"/>
                <w:lang w:val="fr-FR"/>
              </w:rPr>
            </w:pPr>
            <w:r w:rsidRPr="00E34727">
              <w:rPr>
                <w:sz w:val="16"/>
                <w:szCs w:val="20"/>
                <w:lang w:val="fr-FR"/>
              </w:rPr>
              <w:t>ONUDI</w:t>
            </w:r>
          </w:p>
        </w:tc>
        <w:tc>
          <w:tcPr>
            <w:tcW w:w="0" w:type="auto"/>
            <w:shd w:val="clear" w:color="auto" w:fill="auto"/>
          </w:tcPr>
          <w:p w:rsidR="00EC53CE" w:rsidRPr="00E34727" w:rsidRDefault="00EC53CE" w:rsidP="00BB7784">
            <w:pPr>
              <w:spacing w:after="60"/>
              <w:jc w:val="left"/>
              <w:rPr>
                <w:sz w:val="16"/>
                <w:szCs w:val="20"/>
                <w:lang w:val="fr-FR"/>
              </w:rPr>
            </w:pPr>
            <w:r w:rsidRPr="00E34727">
              <w:rPr>
                <w:sz w:val="16"/>
                <w:szCs w:val="20"/>
                <w:lang w:val="fr-FR"/>
              </w:rPr>
              <w:t>Élimination des SAO (tonnes PAO)</w:t>
            </w:r>
          </w:p>
        </w:tc>
        <w:tc>
          <w:tcPr>
            <w:tcW w:w="1684" w:type="dxa"/>
            <w:shd w:val="clear" w:color="auto" w:fill="auto"/>
          </w:tcPr>
          <w:p w:rsidR="00EC53CE" w:rsidRPr="00E34727" w:rsidRDefault="00EC53CE" w:rsidP="00BB7784">
            <w:pPr>
              <w:spacing w:after="60"/>
              <w:jc w:val="right"/>
              <w:rPr>
                <w:sz w:val="16"/>
                <w:szCs w:val="20"/>
                <w:lang w:val="fr-FR"/>
              </w:rPr>
            </w:pPr>
            <w:r w:rsidRPr="00E34727">
              <w:rPr>
                <w:sz w:val="16"/>
                <w:szCs w:val="20"/>
                <w:lang w:val="fr-FR"/>
              </w:rPr>
              <w:t>0,64</w:t>
            </w:r>
          </w:p>
        </w:tc>
        <w:tc>
          <w:tcPr>
            <w:tcW w:w="1684" w:type="dxa"/>
            <w:shd w:val="clear" w:color="auto" w:fill="auto"/>
          </w:tcPr>
          <w:p w:rsidR="00EC53CE" w:rsidRPr="00E34727" w:rsidRDefault="00EC53CE" w:rsidP="00BB7784">
            <w:pPr>
              <w:spacing w:after="60"/>
              <w:jc w:val="right"/>
              <w:rPr>
                <w:sz w:val="16"/>
                <w:szCs w:val="20"/>
                <w:lang w:val="fr-FR"/>
              </w:rPr>
            </w:pPr>
            <w:r w:rsidRPr="00E34727">
              <w:rPr>
                <w:sz w:val="16"/>
                <w:szCs w:val="20"/>
                <w:lang w:val="fr-FR"/>
              </w:rPr>
              <w:t>0,64</w:t>
            </w:r>
          </w:p>
        </w:tc>
      </w:tr>
      <w:tr w:rsidR="00EC53CE" w:rsidRPr="00E34727" w:rsidTr="00BB7784">
        <w:trPr>
          <w:trHeight w:val="232"/>
        </w:trPr>
        <w:tc>
          <w:tcPr>
            <w:tcW w:w="0" w:type="auto"/>
            <w:vMerge/>
            <w:shd w:val="clear" w:color="auto" w:fill="auto"/>
          </w:tcPr>
          <w:p w:rsidR="00EC53CE" w:rsidRPr="00E34727" w:rsidRDefault="00EC53CE" w:rsidP="00BB7784">
            <w:pPr>
              <w:spacing w:after="60"/>
              <w:jc w:val="center"/>
              <w:rPr>
                <w:sz w:val="16"/>
                <w:szCs w:val="20"/>
                <w:lang w:val="fr-FR"/>
              </w:rPr>
            </w:pPr>
          </w:p>
        </w:tc>
        <w:tc>
          <w:tcPr>
            <w:tcW w:w="0" w:type="auto"/>
            <w:shd w:val="clear" w:color="auto" w:fill="auto"/>
          </w:tcPr>
          <w:p w:rsidR="00EC53CE" w:rsidRPr="00E34727" w:rsidRDefault="00EC53CE" w:rsidP="00BB7784">
            <w:pPr>
              <w:spacing w:after="60"/>
              <w:jc w:val="left"/>
              <w:rPr>
                <w:sz w:val="16"/>
                <w:szCs w:val="20"/>
                <w:lang w:val="fr-FR"/>
              </w:rPr>
            </w:pPr>
            <w:r w:rsidRPr="00E34727">
              <w:rPr>
                <w:sz w:val="16"/>
                <w:szCs w:val="20"/>
                <w:lang w:val="fr-FR"/>
              </w:rPr>
              <w:t>Financement ($ US)</w:t>
            </w:r>
          </w:p>
        </w:tc>
        <w:tc>
          <w:tcPr>
            <w:tcW w:w="1684" w:type="dxa"/>
            <w:shd w:val="clear" w:color="auto" w:fill="auto"/>
          </w:tcPr>
          <w:p w:rsidR="00EC53CE" w:rsidRPr="00E34727" w:rsidRDefault="00EC53CE" w:rsidP="00BB7784">
            <w:pPr>
              <w:spacing w:after="60"/>
              <w:jc w:val="right"/>
              <w:rPr>
                <w:sz w:val="16"/>
                <w:szCs w:val="20"/>
                <w:lang w:val="fr-FR"/>
              </w:rPr>
            </w:pPr>
            <w:r w:rsidRPr="00E34727">
              <w:rPr>
                <w:sz w:val="16"/>
                <w:szCs w:val="20"/>
                <w:lang w:val="fr-FR"/>
              </w:rPr>
              <w:t>116 003</w:t>
            </w:r>
          </w:p>
        </w:tc>
        <w:tc>
          <w:tcPr>
            <w:tcW w:w="1684" w:type="dxa"/>
            <w:shd w:val="clear" w:color="auto" w:fill="auto"/>
          </w:tcPr>
          <w:p w:rsidR="00EC53CE" w:rsidRPr="00E34727" w:rsidRDefault="00EC53CE" w:rsidP="00BB7784">
            <w:pPr>
              <w:spacing w:after="60"/>
              <w:jc w:val="right"/>
              <w:rPr>
                <w:sz w:val="16"/>
                <w:szCs w:val="20"/>
                <w:lang w:val="fr-FR"/>
              </w:rPr>
            </w:pPr>
            <w:r w:rsidRPr="00E34727">
              <w:rPr>
                <w:sz w:val="16"/>
                <w:szCs w:val="20"/>
                <w:lang w:val="fr-FR"/>
              </w:rPr>
              <w:t>116 003</w:t>
            </w:r>
          </w:p>
        </w:tc>
      </w:tr>
    </w:tbl>
    <w:p w:rsidR="00EC53CE" w:rsidRPr="00E34727" w:rsidRDefault="00EC53CE" w:rsidP="00EC53CE">
      <w:pPr>
        <w:spacing w:after="60"/>
        <w:jc w:val="center"/>
        <w:rPr>
          <w:sz w:val="14"/>
          <w:szCs w:val="14"/>
          <w:lang w:val="fr-FR"/>
        </w:rPr>
      </w:pPr>
    </w:p>
    <w:tbl>
      <w:tblPr>
        <w:tblStyle w:val="TableGrid"/>
        <w:tblW w:w="9988" w:type="dxa"/>
        <w:tblLook w:val="04A0" w:firstRow="1" w:lastRow="0" w:firstColumn="1" w:lastColumn="0" w:noHBand="0" w:noVBand="1"/>
      </w:tblPr>
      <w:tblGrid>
        <w:gridCol w:w="1044"/>
        <w:gridCol w:w="1043"/>
        <w:gridCol w:w="1374"/>
        <w:gridCol w:w="792"/>
        <w:gridCol w:w="769"/>
        <w:gridCol w:w="792"/>
        <w:gridCol w:w="806"/>
        <w:gridCol w:w="681"/>
        <w:gridCol w:w="797"/>
        <w:gridCol w:w="786"/>
        <w:gridCol w:w="1104"/>
      </w:tblGrid>
      <w:tr w:rsidR="00EC53CE" w:rsidRPr="00E34727" w:rsidTr="00BB7784">
        <w:trPr>
          <w:trHeight w:val="345"/>
          <w:tblHeader/>
        </w:trPr>
        <w:tc>
          <w:tcPr>
            <w:tcW w:w="3382" w:type="dxa"/>
            <w:gridSpan w:val="3"/>
            <w:shd w:val="clear" w:color="auto" w:fill="auto"/>
          </w:tcPr>
          <w:p w:rsidR="00EC53CE" w:rsidRPr="00E34727" w:rsidRDefault="00EC53CE" w:rsidP="00BB7784">
            <w:pPr>
              <w:spacing w:after="60"/>
              <w:jc w:val="left"/>
              <w:rPr>
                <w:b/>
                <w:sz w:val="16"/>
                <w:szCs w:val="20"/>
                <w:lang w:val="fr-FR"/>
              </w:rPr>
            </w:pPr>
            <w:r w:rsidRPr="00E34727">
              <w:rPr>
                <w:b/>
                <w:sz w:val="16"/>
                <w:szCs w:val="20"/>
                <w:lang w:val="fr-FR"/>
              </w:rPr>
              <w:t>(VI) DONNÉES DU PROJET</w:t>
            </w:r>
          </w:p>
        </w:tc>
        <w:tc>
          <w:tcPr>
            <w:tcW w:w="801" w:type="dxa"/>
            <w:shd w:val="clear" w:color="auto" w:fill="auto"/>
          </w:tcPr>
          <w:p w:rsidR="00EC53CE" w:rsidRPr="00E34727" w:rsidRDefault="00EC53CE" w:rsidP="00BB7784">
            <w:pPr>
              <w:spacing w:after="60"/>
              <w:jc w:val="center"/>
              <w:rPr>
                <w:b/>
                <w:sz w:val="16"/>
                <w:szCs w:val="20"/>
                <w:lang w:val="fr-FR"/>
              </w:rPr>
            </w:pPr>
            <w:r w:rsidRPr="00E34727">
              <w:rPr>
                <w:b/>
                <w:sz w:val="16"/>
                <w:szCs w:val="20"/>
                <w:lang w:val="fr-FR"/>
              </w:rPr>
              <w:t>2014</w:t>
            </w:r>
          </w:p>
        </w:tc>
        <w:tc>
          <w:tcPr>
            <w:tcW w:w="777" w:type="dxa"/>
            <w:shd w:val="clear" w:color="auto" w:fill="auto"/>
          </w:tcPr>
          <w:p w:rsidR="00EC53CE" w:rsidRPr="00E34727" w:rsidRDefault="00EC53CE" w:rsidP="00BB7784">
            <w:pPr>
              <w:spacing w:after="60"/>
              <w:jc w:val="center"/>
              <w:rPr>
                <w:b/>
                <w:sz w:val="16"/>
                <w:szCs w:val="20"/>
                <w:lang w:val="fr-FR"/>
              </w:rPr>
            </w:pPr>
            <w:r w:rsidRPr="00E34727">
              <w:rPr>
                <w:b/>
                <w:sz w:val="16"/>
                <w:szCs w:val="20"/>
                <w:lang w:val="fr-FR"/>
              </w:rPr>
              <w:t>2015</w:t>
            </w:r>
          </w:p>
        </w:tc>
        <w:tc>
          <w:tcPr>
            <w:tcW w:w="801" w:type="dxa"/>
            <w:shd w:val="clear" w:color="auto" w:fill="auto"/>
          </w:tcPr>
          <w:p w:rsidR="00EC53CE" w:rsidRPr="00E34727" w:rsidRDefault="00EC53CE" w:rsidP="00BB7784">
            <w:pPr>
              <w:spacing w:after="60"/>
              <w:jc w:val="center"/>
              <w:rPr>
                <w:b/>
                <w:sz w:val="16"/>
                <w:szCs w:val="20"/>
                <w:lang w:val="fr-FR"/>
              </w:rPr>
            </w:pPr>
            <w:r w:rsidRPr="00E34727">
              <w:rPr>
                <w:b/>
                <w:sz w:val="16"/>
                <w:szCs w:val="20"/>
                <w:lang w:val="fr-FR"/>
              </w:rPr>
              <w:t>2016</w:t>
            </w:r>
          </w:p>
        </w:tc>
        <w:tc>
          <w:tcPr>
            <w:tcW w:w="815" w:type="dxa"/>
            <w:shd w:val="clear" w:color="auto" w:fill="auto"/>
          </w:tcPr>
          <w:p w:rsidR="00EC53CE" w:rsidRPr="00E34727" w:rsidRDefault="00EC53CE" w:rsidP="00BB7784">
            <w:pPr>
              <w:spacing w:after="60"/>
              <w:jc w:val="center"/>
              <w:rPr>
                <w:b/>
                <w:sz w:val="16"/>
                <w:szCs w:val="20"/>
                <w:lang w:val="fr-FR"/>
              </w:rPr>
            </w:pPr>
            <w:r w:rsidRPr="00E34727">
              <w:rPr>
                <w:b/>
                <w:sz w:val="16"/>
                <w:szCs w:val="20"/>
                <w:lang w:val="fr-FR"/>
              </w:rPr>
              <w:t>2017</w:t>
            </w:r>
          </w:p>
        </w:tc>
        <w:tc>
          <w:tcPr>
            <w:tcW w:w="685" w:type="dxa"/>
            <w:shd w:val="clear" w:color="auto" w:fill="auto"/>
          </w:tcPr>
          <w:p w:rsidR="00EC53CE" w:rsidRPr="00E34727" w:rsidRDefault="00EC53CE" w:rsidP="00BB7784">
            <w:pPr>
              <w:spacing w:after="60"/>
              <w:jc w:val="center"/>
              <w:rPr>
                <w:b/>
                <w:sz w:val="16"/>
                <w:szCs w:val="20"/>
                <w:lang w:val="fr-FR"/>
              </w:rPr>
            </w:pPr>
            <w:r w:rsidRPr="00E34727">
              <w:rPr>
                <w:b/>
                <w:sz w:val="16"/>
                <w:szCs w:val="20"/>
                <w:lang w:val="fr-FR"/>
              </w:rPr>
              <w:t>2018</w:t>
            </w:r>
          </w:p>
        </w:tc>
        <w:tc>
          <w:tcPr>
            <w:tcW w:w="806" w:type="dxa"/>
          </w:tcPr>
          <w:p w:rsidR="00EC53CE" w:rsidRPr="00E34727" w:rsidRDefault="00EC53CE" w:rsidP="00BB7784">
            <w:pPr>
              <w:spacing w:after="60"/>
              <w:jc w:val="center"/>
              <w:rPr>
                <w:b/>
                <w:sz w:val="16"/>
                <w:szCs w:val="20"/>
                <w:lang w:val="fr-FR"/>
              </w:rPr>
            </w:pPr>
            <w:r w:rsidRPr="00E34727">
              <w:rPr>
                <w:b/>
                <w:sz w:val="16"/>
                <w:szCs w:val="20"/>
                <w:lang w:val="fr-FR"/>
              </w:rPr>
              <w:t>2019</w:t>
            </w:r>
          </w:p>
        </w:tc>
        <w:tc>
          <w:tcPr>
            <w:tcW w:w="795" w:type="dxa"/>
          </w:tcPr>
          <w:p w:rsidR="00EC53CE" w:rsidRPr="00E34727" w:rsidRDefault="00EC53CE" w:rsidP="00BB7784">
            <w:pPr>
              <w:spacing w:after="60"/>
              <w:jc w:val="center"/>
              <w:rPr>
                <w:b/>
                <w:sz w:val="16"/>
                <w:szCs w:val="20"/>
                <w:lang w:val="fr-FR"/>
              </w:rPr>
            </w:pPr>
            <w:r w:rsidRPr="00E34727">
              <w:rPr>
                <w:b/>
                <w:sz w:val="16"/>
                <w:szCs w:val="20"/>
                <w:lang w:val="fr-FR"/>
              </w:rPr>
              <w:t>2020</w:t>
            </w:r>
          </w:p>
        </w:tc>
        <w:tc>
          <w:tcPr>
            <w:tcW w:w="1126" w:type="dxa"/>
            <w:shd w:val="clear" w:color="auto" w:fill="auto"/>
          </w:tcPr>
          <w:p w:rsidR="00EC53CE" w:rsidRPr="00E34727" w:rsidRDefault="00EC53CE" w:rsidP="00BB7784">
            <w:pPr>
              <w:spacing w:after="60"/>
              <w:jc w:val="center"/>
              <w:rPr>
                <w:b/>
                <w:sz w:val="16"/>
                <w:szCs w:val="20"/>
                <w:lang w:val="fr-FR"/>
              </w:rPr>
            </w:pPr>
            <w:r w:rsidRPr="00E34727">
              <w:rPr>
                <w:b/>
                <w:sz w:val="16"/>
                <w:szCs w:val="20"/>
                <w:lang w:val="fr-FR"/>
              </w:rPr>
              <w:t>Total</w:t>
            </w:r>
          </w:p>
        </w:tc>
      </w:tr>
      <w:tr w:rsidR="00EC53CE" w:rsidRPr="00E34727" w:rsidTr="00BB7784">
        <w:trPr>
          <w:trHeight w:val="345"/>
        </w:trPr>
        <w:tc>
          <w:tcPr>
            <w:tcW w:w="3382" w:type="dxa"/>
            <w:gridSpan w:val="3"/>
            <w:shd w:val="clear" w:color="auto" w:fill="auto"/>
          </w:tcPr>
          <w:p w:rsidR="00EC53CE" w:rsidRPr="00E34727" w:rsidRDefault="00EC53CE" w:rsidP="00BB7784">
            <w:pPr>
              <w:spacing w:after="60"/>
              <w:jc w:val="left"/>
              <w:rPr>
                <w:sz w:val="16"/>
                <w:szCs w:val="20"/>
                <w:lang w:val="fr-FR"/>
              </w:rPr>
            </w:pPr>
            <w:r w:rsidRPr="00E34727">
              <w:rPr>
                <w:sz w:val="16"/>
                <w:szCs w:val="20"/>
                <w:lang w:val="fr-FR"/>
              </w:rPr>
              <w:t>Limites de consommation du Protocole de Montréal</w:t>
            </w:r>
          </w:p>
        </w:tc>
        <w:tc>
          <w:tcPr>
            <w:tcW w:w="801" w:type="dxa"/>
            <w:shd w:val="clear" w:color="auto" w:fill="auto"/>
          </w:tcPr>
          <w:p w:rsidR="00EC53CE" w:rsidRPr="00E34727" w:rsidRDefault="00EC53CE" w:rsidP="00BB7784">
            <w:pPr>
              <w:spacing w:after="60"/>
              <w:jc w:val="right"/>
              <w:rPr>
                <w:sz w:val="16"/>
                <w:szCs w:val="20"/>
                <w:lang w:val="fr-FR"/>
              </w:rPr>
            </w:pPr>
            <w:r w:rsidRPr="00E34727">
              <w:rPr>
                <w:sz w:val="16"/>
                <w:szCs w:val="20"/>
                <w:lang w:val="fr-FR"/>
              </w:rPr>
              <w:t>40,70</w:t>
            </w:r>
          </w:p>
        </w:tc>
        <w:tc>
          <w:tcPr>
            <w:tcW w:w="777" w:type="dxa"/>
            <w:shd w:val="clear" w:color="auto" w:fill="auto"/>
          </w:tcPr>
          <w:p w:rsidR="00EC53CE" w:rsidRPr="00E34727" w:rsidRDefault="00EC53CE" w:rsidP="00BB7784">
            <w:pPr>
              <w:spacing w:after="60"/>
              <w:jc w:val="right"/>
              <w:rPr>
                <w:sz w:val="16"/>
                <w:szCs w:val="20"/>
                <w:lang w:val="fr-FR"/>
              </w:rPr>
            </w:pPr>
            <w:r w:rsidRPr="00E34727">
              <w:rPr>
                <w:sz w:val="16"/>
                <w:szCs w:val="20"/>
                <w:lang w:val="fr-FR"/>
              </w:rPr>
              <w:t>36,63</w:t>
            </w:r>
          </w:p>
        </w:tc>
        <w:tc>
          <w:tcPr>
            <w:tcW w:w="801" w:type="dxa"/>
            <w:shd w:val="clear" w:color="auto" w:fill="auto"/>
          </w:tcPr>
          <w:p w:rsidR="00EC53CE" w:rsidRPr="00E34727" w:rsidRDefault="00EC53CE" w:rsidP="00BB7784">
            <w:pPr>
              <w:spacing w:after="60"/>
              <w:jc w:val="right"/>
              <w:rPr>
                <w:sz w:val="16"/>
                <w:szCs w:val="20"/>
                <w:lang w:val="fr-FR"/>
              </w:rPr>
            </w:pPr>
            <w:r w:rsidRPr="00E34727">
              <w:rPr>
                <w:sz w:val="16"/>
                <w:szCs w:val="20"/>
                <w:lang w:val="fr-FR"/>
              </w:rPr>
              <w:t>36,63</w:t>
            </w:r>
          </w:p>
        </w:tc>
        <w:tc>
          <w:tcPr>
            <w:tcW w:w="815" w:type="dxa"/>
            <w:shd w:val="clear" w:color="auto" w:fill="auto"/>
          </w:tcPr>
          <w:p w:rsidR="00EC53CE" w:rsidRPr="00E34727" w:rsidRDefault="00EC53CE" w:rsidP="00BB7784">
            <w:pPr>
              <w:spacing w:after="60"/>
              <w:jc w:val="right"/>
              <w:rPr>
                <w:sz w:val="16"/>
                <w:szCs w:val="20"/>
                <w:lang w:val="fr-FR"/>
              </w:rPr>
            </w:pPr>
            <w:r w:rsidRPr="00E34727">
              <w:rPr>
                <w:sz w:val="16"/>
                <w:szCs w:val="20"/>
                <w:lang w:val="fr-FR"/>
              </w:rPr>
              <w:t>36,63</w:t>
            </w:r>
          </w:p>
        </w:tc>
        <w:tc>
          <w:tcPr>
            <w:tcW w:w="685" w:type="dxa"/>
            <w:shd w:val="clear" w:color="auto" w:fill="auto"/>
          </w:tcPr>
          <w:p w:rsidR="00EC53CE" w:rsidRPr="00E34727" w:rsidRDefault="00EC53CE" w:rsidP="00BB7784">
            <w:pPr>
              <w:spacing w:after="60"/>
              <w:jc w:val="right"/>
              <w:rPr>
                <w:sz w:val="16"/>
                <w:szCs w:val="20"/>
                <w:lang w:val="fr-FR"/>
              </w:rPr>
            </w:pPr>
            <w:r w:rsidRPr="00E34727">
              <w:rPr>
                <w:sz w:val="16"/>
                <w:szCs w:val="20"/>
                <w:lang w:val="fr-FR"/>
              </w:rPr>
              <w:t>36,63</w:t>
            </w:r>
          </w:p>
        </w:tc>
        <w:tc>
          <w:tcPr>
            <w:tcW w:w="806" w:type="dxa"/>
          </w:tcPr>
          <w:p w:rsidR="00EC53CE" w:rsidRPr="00E34727" w:rsidRDefault="00EC53CE" w:rsidP="00BB7784">
            <w:pPr>
              <w:spacing w:after="60"/>
              <w:jc w:val="center"/>
              <w:rPr>
                <w:sz w:val="16"/>
                <w:szCs w:val="20"/>
                <w:lang w:val="fr-FR"/>
              </w:rPr>
            </w:pPr>
            <w:r w:rsidRPr="00E34727">
              <w:rPr>
                <w:sz w:val="16"/>
                <w:szCs w:val="20"/>
                <w:lang w:val="fr-FR"/>
              </w:rPr>
              <w:t>36,63</w:t>
            </w:r>
          </w:p>
        </w:tc>
        <w:tc>
          <w:tcPr>
            <w:tcW w:w="795" w:type="dxa"/>
          </w:tcPr>
          <w:p w:rsidR="00EC53CE" w:rsidRPr="00E34727" w:rsidRDefault="00EC53CE" w:rsidP="00BB7784">
            <w:pPr>
              <w:spacing w:after="60"/>
              <w:jc w:val="center"/>
              <w:rPr>
                <w:sz w:val="16"/>
                <w:szCs w:val="20"/>
                <w:lang w:val="fr-FR"/>
              </w:rPr>
            </w:pPr>
            <w:r w:rsidRPr="00E34727">
              <w:rPr>
                <w:sz w:val="16"/>
                <w:szCs w:val="20"/>
                <w:lang w:val="fr-FR"/>
              </w:rPr>
              <w:t>26,46</w:t>
            </w:r>
          </w:p>
        </w:tc>
        <w:tc>
          <w:tcPr>
            <w:tcW w:w="1126" w:type="dxa"/>
            <w:shd w:val="clear" w:color="auto" w:fill="auto"/>
          </w:tcPr>
          <w:p w:rsidR="00EC53CE" w:rsidRPr="00E34727" w:rsidRDefault="00EC53CE" w:rsidP="00BB7784">
            <w:pPr>
              <w:spacing w:after="60"/>
              <w:jc w:val="right"/>
              <w:rPr>
                <w:sz w:val="16"/>
                <w:szCs w:val="20"/>
                <w:lang w:val="fr-FR"/>
              </w:rPr>
            </w:pPr>
            <w:proofErr w:type="spellStart"/>
            <w:r w:rsidRPr="00E34727">
              <w:rPr>
                <w:sz w:val="16"/>
                <w:szCs w:val="20"/>
                <w:lang w:val="fr-FR"/>
              </w:rPr>
              <w:t>s.o</w:t>
            </w:r>
            <w:proofErr w:type="spellEnd"/>
            <w:r w:rsidRPr="00E34727">
              <w:rPr>
                <w:sz w:val="16"/>
                <w:szCs w:val="20"/>
                <w:lang w:val="fr-FR"/>
              </w:rPr>
              <w:t>.</w:t>
            </w:r>
          </w:p>
        </w:tc>
      </w:tr>
      <w:tr w:rsidR="00EC53CE" w:rsidRPr="00E34727" w:rsidTr="00BB7784">
        <w:trPr>
          <w:trHeight w:val="345"/>
        </w:trPr>
        <w:tc>
          <w:tcPr>
            <w:tcW w:w="3382" w:type="dxa"/>
            <w:gridSpan w:val="3"/>
            <w:shd w:val="clear" w:color="auto" w:fill="auto"/>
          </w:tcPr>
          <w:p w:rsidR="00EC53CE" w:rsidRPr="00E34727" w:rsidRDefault="00EC53CE" w:rsidP="00BB7784">
            <w:pPr>
              <w:spacing w:after="60"/>
              <w:jc w:val="left"/>
              <w:rPr>
                <w:sz w:val="16"/>
                <w:szCs w:val="20"/>
                <w:lang w:val="fr-FR"/>
              </w:rPr>
            </w:pPr>
            <w:r w:rsidRPr="00E34727">
              <w:rPr>
                <w:sz w:val="16"/>
                <w:szCs w:val="20"/>
                <w:lang w:val="fr-FR"/>
              </w:rPr>
              <w:t>Consommation maximale admissible (tonnes PAO)</w:t>
            </w:r>
          </w:p>
        </w:tc>
        <w:tc>
          <w:tcPr>
            <w:tcW w:w="801" w:type="dxa"/>
            <w:shd w:val="clear" w:color="auto" w:fill="auto"/>
          </w:tcPr>
          <w:p w:rsidR="00EC53CE" w:rsidRPr="00E34727" w:rsidRDefault="00EC53CE" w:rsidP="00BB7784">
            <w:pPr>
              <w:spacing w:after="60"/>
              <w:jc w:val="right"/>
              <w:rPr>
                <w:sz w:val="16"/>
                <w:szCs w:val="20"/>
                <w:lang w:val="fr-FR"/>
              </w:rPr>
            </w:pPr>
            <w:r w:rsidRPr="00E34727">
              <w:rPr>
                <w:sz w:val="16"/>
                <w:szCs w:val="20"/>
                <w:lang w:val="fr-FR"/>
              </w:rPr>
              <w:t>40,70</w:t>
            </w:r>
          </w:p>
        </w:tc>
        <w:tc>
          <w:tcPr>
            <w:tcW w:w="777" w:type="dxa"/>
            <w:shd w:val="clear" w:color="auto" w:fill="auto"/>
          </w:tcPr>
          <w:p w:rsidR="00EC53CE" w:rsidRPr="00E34727" w:rsidRDefault="00EC53CE" w:rsidP="00BB7784">
            <w:pPr>
              <w:spacing w:after="60"/>
              <w:jc w:val="right"/>
              <w:rPr>
                <w:sz w:val="16"/>
                <w:szCs w:val="20"/>
                <w:lang w:val="fr-FR"/>
              </w:rPr>
            </w:pPr>
            <w:r w:rsidRPr="00E34727">
              <w:rPr>
                <w:sz w:val="16"/>
                <w:szCs w:val="20"/>
                <w:lang w:val="fr-FR"/>
              </w:rPr>
              <w:t>36,63</w:t>
            </w:r>
          </w:p>
        </w:tc>
        <w:tc>
          <w:tcPr>
            <w:tcW w:w="801" w:type="dxa"/>
            <w:shd w:val="clear" w:color="auto" w:fill="auto"/>
          </w:tcPr>
          <w:p w:rsidR="00EC53CE" w:rsidRPr="00E34727" w:rsidRDefault="00EC53CE" w:rsidP="00BB7784">
            <w:pPr>
              <w:spacing w:after="60"/>
              <w:jc w:val="right"/>
              <w:rPr>
                <w:sz w:val="16"/>
                <w:szCs w:val="20"/>
                <w:lang w:val="fr-FR"/>
              </w:rPr>
            </w:pPr>
            <w:r w:rsidRPr="00E34727">
              <w:rPr>
                <w:sz w:val="16"/>
                <w:szCs w:val="20"/>
                <w:lang w:val="fr-FR"/>
              </w:rPr>
              <w:t>36,63</w:t>
            </w:r>
          </w:p>
        </w:tc>
        <w:tc>
          <w:tcPr>
            <w:tcW w:w="815" w:type="dxa"/>
            <w:shd w:val="clear" w:color="auto" w:fill="auto"/>
          </w:tcPr>
          <w:p w:rsidR="00EC53CE" w:rsidRPr="00E34727" w:rsidRDefault="00EC53CE" w:rsidP="00BB7784">
            <w:pPr>
              <w:spacing w:after="60"/>
              <w:jc w:val="right"/>
              <w:rPr>
                <w:sz w:val="16"/>
                <w:szCs w:val="20"/>
                <w:lang w:val="fr-FR"/>
              </w:rPr>
            </w:pPr>
            <w:r w:rsidRPr="00E34727">
              <w:rPr>
                <w:sz w:val="16"/>
                <w:szCs w:val="20"/>
                <w:lang w:val="fr-FR"/>
              </w:rPr>
              <w:t>36,63</w:t>
            </w:r>
          </w:p>
        </w:tc>
        <w:tc>
          <w:tcPr>
            <w:tcW w:w="685" w:type="dxa"/>
            <w:shd w:val="clear" w:color="auto" w:fill="auto"/>
          </w:tcPr>
          <w:p w:rsidR="00EC53CE" w:rsidRPr="00E34727" w:rsidRDefault="00EC53CE" w:rsidP="00BB7784">
            <w:pPr>
              <w:spacing w:after="60"/>
              <w:jc w:val="right"/>
              <w:rPr>
                <w:sz w:val="16"/>
                <w:szCs w:val="20"/>
                <w:lang w:val="fr-FR"/>
              </w:rPr>
            </w:pPr>
            <w:r w:rsidRPr="00E34727">
              <w:rPr>
                <w:sz w:val="16"/>
                <w:szCs w:val="20"/>
                <w:lang w:val="fr-FR"/>
              </w:rPr>
              <w:t>34,60</w:t>
            </w:r>
          </w:p>
        </w:tc>
        <w:tc>
          <w:tcPr>
            <w:tcW w:w="806" w:type="dxa"/>
          </w:tcPr>
          <w:p w:rsidR="00EC53CE" w:rsidRPr="00E34727" w:rsidRDefault="00EC53CE" w:rsidP="00BB7784">
            <w:pPr>
              <w:spacing w:after="60"/>
              <w:jc w:val="center"/>
              <w:rPr>
                <w:sz w:val="16"/>
                <w:szCs w:val="20"/>
                <w:lang w:val="fr-FR"/>
              </w:rPr>
            </w:pPr>
            <w:r w:rsidRPr="00E34727">
              <w:rPr>
                <w:sz w:val="16"/>
                <w:szCs w:val="20"/>
                <w:lang w:val="fr-FR"/>
              </w:rPr>
              <w:t>34,60</w:t>
            </w:r>
          </w:p>
        </w:tc>
        <w:tc>
          <w:tcPr>
            <w:tcW w:w="795" w:type="dxa"/>
          </w:tcPr>
          <w:p w:rsidR="00EC53CE" w:rsidRPr="00E34727" w:rsidRDefault="00EC53CE" w:rsidP="00BB7784">
            <w:pPr>
              <w:spacing w:after="60"/>
              <w:jc w:val="center"/>
              <w:rPr>
                <w:sz w:val="16"/>
                <w:szCs w:val="20"/>
                <w:lang w:val="fr-FR"/>
              </w:rPr>
            </w:pPr>
            <w:r w:rsidRPr="00E34727">
              <w:rPr>
                <w:sz w:val="16"/>
                <w:szCs w:val="20"/>
                <w:lang w:val="fr-FR"/>
              </w:rPr>
              <w:t>25,91</w:t>
            </w:r>
          </w:p>
        </w:tc>
        <w:tc>
          <w:tcPr>
            <w:tcW w:w="1126" w:type="dxa"/>
            <w:shd w:val="clear" w:color="auto" w:fill="auto"/>
          </w:tcPr>
          <w:p w:rsidR="00EC53CE" w:rsidRPr="00E34727" w:rsidRDefault="00EC53CE" w:rsidP="00BB7784">
            <w:pPr>
              <w:spacing w:after="60"/>
              <w:jc w:val="right"/>
              <w:rPr>
                <w:sz w:val="16"/>
                <w:szCs w:val="20"/>
                <w:lang w:val="fr-FR"/>
              </w:rPr>
            </w:pPr>
            <w:proofErr w:type="spellStart"/>
            <w:r w:rsidRPr="00E34727">
              <w:rPr>
                <w:sz w:val="16"/>
                <w:szCs w:val="20"/>
                <w:lang w:val="fr-FR"/>
              </w:rPr>
              <w:t>s.o</w:t>
            </w:r>
            <w:proofErr w:type="spellEnd"/>
            <w:r w:rsidRPr="00E34727">
              <w:rPr>
                <w:sz w:val="16"/>
                <w:szCs w:val="20"/>
                <w:lang w:val="fr-FR"/>
              </w:rPr>
              <w:t>.</w:t>
            </w:r>
          </w:p>
        </w:tc>
      </w:tr>
      <w:tr w:rsidR="00EC53CE" w:rsidRPr="00E34727" w:rsidTr="00BB7784">
        <w:trPr>
          <w:trHeight w:val="345"/>
        </w:trPr>
        <w:tc>
          <w:tcPr>
            <w:tcW w:w="924" w:type="dxa"/>
            <w:vMerge w:val="restart"/>
            <w:shd w:val="clear" w:color="auto" w:fill="auto"/>
          </w:tcPr>
          <w:p w:rsidR="00EC53CE" w:rsidRPr="00E34727" w:rsidRDefault="00EC53CE" w:rsidP="00BB7784">
            <w:pPr>
              <w:spacing w:after="60"/>
              <w:jc w:val="left"/>
              <w:rPr>
                <w:sz w:val="16"/>
                <w:szCs w:val="20"/>
                <w:lang w:val="fr-FR"/>
              </w:rPr>
            </w:pPr>
            <w:r w:rsidRPr="00E34727">
              <w:rPr>
                <w:sz w:val="16"/>
                <w:szCs w:val="20"/>
                <w:lang w:val="fr-FR"/>
              </w:rPr>
              <w:t>Financement convenu ($ US)</w:t>
            </w:r>
          </w:p>
        </w:tc>
        <w:tc>
          <w:tcPr>
            <w:tcW w:w="1056" w:type="dxa"/>
            <w:vMerge w:val="restart"/>
            <w:shd w:val="clear" w:color="auto" w:fill="auto"/>
          </w:tcPr>
          <w:p w:rsidR="00EC53CE" w:rsidRPr="00E34727" w:rsidRDefault="00EC53CE" w:rsidP="00BB7784">
            <w:pPr>
              <w:spacing w:after="60"/>
              <w:jc w:val="center"/>
              <w:rPr>
                <w:sz w:val="16"/>
                <w:szCs w:val="20"/>
                <w:lang w:val="fr-FR"/>
              </w:rPr>
            </w:pPr>
            <w:r w:rsidRPr="00E34727">
              <w:rPr>
                <w:sz w:val="16"/>
                <w:szCs w:val="20"/>
                <w:lang w:val="fr-FR"/>
              </w:rPr>
              <w:t>ONUDI</w:t>
            </w:r>
          </w:p>
        </w:tc>
        <w:tc>
          <w:tcPr>
            <w:tcW w:w="1402" w:type="dxa"/>
            <w:shd w:val="clear" w:color="auto" w:fill="auto"/>
          </w:tcPr>
          <w:p w:rsidR="00EC53CE" w:rsidRPr="00E34727" w:rsidRDefault="00EC53CE" w:rsidP="00BB7784">
            <w:pPr>
              <w:spacing w:after="60"/>
              <w:jc w:val="left"/>
              <w:rPr>
                <w:sz w:val="16"/>
                <w:szCs w:val="20"/>
                <w:lang w:val="fr-FR"/>
              </w:rPr>
            </w:pPr>
            <w:r w:rsidRPr="00E34727">
              <w:rPr>
                <w:sz w:val="16"/>
                <w:szCs w:val="20"/>
                <w:lang w:val="fr-FR"/>
              </w:rPr>
              <w:t>Coûts du projet</w:t>
            </w:r>
          </w:p>
        </w:tc>
        <w:tc>
          <w:tcPr>
            <w:tcW w:w="801" w:type="dxa"/>
            <w:shd w:val="clear" w:color="auto" w:fill="auto"/>
          </w:tcPr>
          <w:p w:rsidR="00EC53CE" w:rsidRPr="00E34727" w:rsidRDefault="00EC53CE" w:rsidP="00BB7784">
            <w:pPr>
              <w:spacing w:after="60"/>
              <w:jc w:val="right"/>
              <w:rPr>
                <w:sz w:val="16"/>
                <w:szCs w:val="20"/>
                <w:lang w:val="fr-FR"/>
              </w:rPr>
            </w:pPr>
            <w:r w:rsidRPr="00E34727">
              <w:rPr>
                <w:sz w:val="16"/>
                <w:szCs w:val="20"/>
                <w:lang w:val="fr-FR"/>
              </w:rPr>
              <w:t>376 920</w:t>
            </w:r>
          </w:p>
        </w:tc>
        <w:tc>
          <w:tcPr>
            <w:tcW w:w="777" w:type="dxa"/>
            <w:shd w:val="clear" w:color="auto" w:fill="auto"/>
          </w:tcPr>
          <w:p w:rsidR="00EC53CE" w:rsidRPr="00E34727" w:rsidRDefault="00EC53CE" w:rsidP="00BB7784">
            <w:pPr>
              <w:spacing w:after="60"/>
              <w:jc w:val="right"/>
              <w:rPr>
                <w:sz w:val="16"/>
                <w:szCs w:val="20"/>
                <w:lang w:val="fr-FR"/>
              </w:rPr>
            </w:pPr>
            <w:r w:rsidRPr="00E34727">
              <w:rPr>
                <w:sz w:val="16"/>
                <w:szCs w:val="20"/>
                <w:lang w:val="fr-FR"/>
              </w:rPr>
              <w:t>0</w:t>
            </w:r>
          </w:p>
        </w:tc>
        <w:tc>
          <w:tcPr>
            <w:tcW w:w="801" w:type="dxa"/>
            <w:shd w:val="clear" w:color="auto" w:fill="auto"/>
          </w:tcPr>
          <w:p w:rsidR="00EC53CE" w:rsidRPr="00E34727" w:rsidRDefault="00EC53CE" w:rsidP="00BB7784">
            <w:pPr>
              <w:spacing w:after="60"/>
              <w:jc w:val="right"/>
              <w:rPr>
                <w:sz w:val="16"/>
                <w:szCs w:val="20"/>
                <w:lang w:val="fr-FR"/>
              </w:rPr>
            </w:pPr>
            <w:r w:rsidRPr="00E34727">
              <w:rPr>
                <w:sz w:val="16"/>
                <w:szCs w:val="20"/>
                <w:lang w:val="fr-FR"/>
              </w:rPr>
              <w:t>71 038</w:t>
            </w:r>
          </w:p>
        </w:tc>
        <w:tc>
          <w:tcPr>
            <w:tcW w:w="815" w:type="dxa"/>
            <w:shd w:val="clear" w:color="auto" w:fill="auto"/>
          </w:tcPr>
          <w:p w:rsidR="00EC53CE" w:rsidRPr="00E34727" w:rsidRDefault="00EC53CE" w:rsidP="00BB7784">
            <w:pPr>
              <w:spacing w:after="60"/>
              <w:jc w:val="right"/>
              <w:rPr>
                <w:sz w:val="16"/>
                <w:szCs w:val="20"/>
                <w:lang w:val="fr-FR"/>
              </w:rPr>
            </w:pPr>
            <w:r w:rsidRPr="00E34727">
              <w:rPr>
                <w:sz w:val="16"/>
                <w:szCs w:val="20"/>
                <w:lang w:val="fr-FR"/>
              </w:rPr>
              <w:t>0</w:t>
            </w:r>
          </w:p>
        </w:tc>
        <w:tc>
          <w:tcPr>
            <w:tcW w:w="685" w:type="dxa"/>
            <w:shd w:val="clear" w:color="auto" w:fill="auto"/>
          </w:tcPr>
          <w:p w:rsidR="00EC53CE" w:rsidRPr="00E34727" w:rsidRDefault="00EC53CE" w:rsidP="00BB7784">
            <w:pPr>
              <w:spacing w:after="60"/>
              <w:jc w:val="right"/>
              <w:rPr>
                <w:sz w:val="16"/>
                <w:szCs w:val="20"/>
                <w:lang w:val="fr-FR"/>
              </w:rPr>
            </w:pPr>
            <w:r w:rsidRPr="00E34727">
              <w:rPr>
                <w:sz w:val="16"/>
                <w:szCs w:val="20"/>
                <w:lang w:val="fr-FR"/>
              </w:rPr>
              <w:t>0</w:t>
            </w:r>
          </w:p>
        </w:tc>
        <w:tc>
          <w:tcPr>
            <w:tcW w:w="806" w:type="dxa"/>
          </w:tcPr>
          <w:p w:rsidR="00EC53CE" w:rsidRPr="00E34727" w:rsidRDefault="00EC53CE" w:rsidP="00BB7784">
            <w:pPr>
              <w:spacing w:after="60"/>
              <w:jc w:val="right"/>
              <w:rPr>
                <w:sz w:val="16"/>
                <w:szCs w:val="20"/>
                <w:lang w:val="fr-FR"/>
              </w:rPr>
            </w:pPr>
            <w:r w:rsidRPr="00E34727">
              <w:rPr>
                <w:sz w:val="16"/>
                <w:szCs w:val="20"/>
                <w:lang w:val="fr-FR"/>
              </w:rPr>
              <w:t>57 500</w:t>
            </w:r>
          </w:p>
        </w:tc>
        <w:tc>
          <w:tcPr>
            <w:tcW w:w="795" w:type="dxa"/>
          </w:tcPr>
          <w:p w:rsidR="00EC53CE" w:rsidRPr="00E34727" w:rsidRDefault="00EC53CE" w:rsidP="00BB7784">
            <w:pPr>
              <w:spacing w:after="60"/>
              <w:jc w:val="right"/>
              <w:rPr>
                <w:sz w:val="16"/>
                <w:szCs w:val="20"/>
                <w:lang w:val="fr-FR"/>
              </w:rPr>
            </w:pPr>
            <w:r w:rsidRPr="00E34727">
              <w:rPr>
                <w:sz w:val="16"/>
                <w:szCs w:val="20"/>
                <w:lang w:val="fr-FR"/>
              </w:rPr>
              <w:t>0</w:t>
            </w:r>
          </w:p>
        </w:tc>
        <w:tc>
          <w:tcPr>
            <w:tcW w:w="1126" w:type="dxa"/>
            <w:shd w:val="clear" w:color="auto" w:fill="auto"/>
          </w:tcPr>
          <w:p w:rsidR="00EC53CE" w:rsidRPr="00E34727" w:rsidRDefault="00EC53CE" w:rsidP="00BB7784">
            <w:pPr>
              <w:spacing w:after="60"/>
              <w:jc w:val="right"/>
              <w:rPr>
                <w:sz w:val="16"/>
                <w:szCs w:val="20"/>
                <w:lang w:val="fr-FR"/>
              </w:rPr>
            </w:pPr>
            <w:r w:rsidRPr="00E34727">
              <w:rPr>
                <w:sz w:val="16"/>
                <w:szCs w:val="20"/>
                <w:lang w:val="fr-FR"/>
              </w:rPr>
              <w:t>505 458</w:t>
            </w:r>
          </w:p>
        </w:tc>
      </w:tr>
      <w:tr w:rsidR="00EC53CE" w:rsidRPr="00E34727" w:rsidTr="00BB7784">
        <w:trPr>
          <w:trHeight w:val="377"/>
        </w:trPr>
        <w:tc>
          <w:tcPr>
            <w:tcW w:w="924" w:type="dxa"/>
            <w:vMerge/>
            <w:shd w:val="clear" w:color="auto" w:fill="auto"/>
          </w:tcPr>
          <w:p w:rsidR="00EC53CE" w:rsidRPr="00E34727" w:rsidRDefault="00EC53CE" w:rsidP="00BB7784">
            <w:pPr>
              <w:spacing w:after="60"/>
              <w:jc w:val="center"/>
              <w:rPr>
                <w:sz w:val="16"/>
                <w:szCs w:val="20"/>
                <w:lang w:val="fr-FR"/>
              </w:rPr>
            </w:pPr>
          </w:p>
        </w:tc>
        <w:tc>
          <w:tcPr>
            <w:tcW w:w="1056" w:type="dxa"/>
            <w:vMerge/>
            <w:shd w:val="clear" w:color="auto" w:fill="auto"/>
          </w:tcPr>
          <w:p w:rsidR="00EC53CE" w:rsidRPr="00E34727" w:rsidRDefault="00EC53CE" w:rsidP="00BB7784">
            <w:pPr>
              <w:spacing w:after="60"/>
              <w:jc w:val="center"/>
              <w:rPr>
                <w:sz w:val="16"/>
                <w:szCs w:val="20"/>
                <w:lang w:val="fr-FR"/>
              </w:rPr>
            </w:pPr>
          </w:p>
        </w:tc>
        <w:tc>
          <w:tcPr>
            <w:tcW w:w="1402" w:type="dxa"/>
            <w:shd w:val="clear" w:color="auto" w:fill="auto"/>
          </w:tcPr>
          <w:p w:rsidR="00EC53CE" w:rsidRPr="00E34727" w:rsidRDefault="00EC53CE" w:rsidP="00BB7784">
            <w:pPr>
              <w:spacing w:after="60"/>
              <w:jc w:val="left"/>
              <w:rPr>
                <w:sz w:val="16"/>
                <w:szCs w:val="20"/>
                <w:lang w:val="fr-FR"/>
              </w:rPr>
            </w:pPr>
            <w:r w:rsidRPr="00E34727">
              <w:rPr>
                <w:sz w:val="16"/>
                <w:szCs w:val="20"/>
                <w:lang w:val="fr-FR"/>
              </w:rPr>
              <w:t>Coûts d’appui</w:t>
            </w:r>
          </w:p>
        </w:tc>
        <w:tc>
          <w:tcPr>
            <w:tcW w:w="801" w:type="dxa"/>
            <w:shd w:val="clear" w:color="auto" w:fill="auto"/>
          </w:tcPr>
          <w:p w:rsidR="00EC53CE" w:rsidRPr="00E34727" w:rsidRDefault="00EC53CE" w:rsidP="00BB7784">
            <w:pPr>
              <w:spacing w:after="60"/>
              <w:jc w:val="right"/>
              <w:rPr>
                <w:sz w:val="16"/>
                <w:szCs w:val="20"/>
                <w:lang w:val="fr-FR"/>
              </w:rPr>
            </w:pPr>
            <w:r w:rsidRPr="00E34727">
              <w:rPr>
                <w:sz w:val="16"/>
                <w:szCs w:val="20"/>
                <w:lang w:val="fr-FR"/>
              </w:rPr>
              <w:t>26 384</w:t>
            </w:r>
          </w:p>
        </w:tc>
        <w:tc>
          <w:tcPr>
            <w:tcW w:w="777" w:type="dxa"/>
            <w:shd w:val="clear" w:color="auto" w:fill="auto"/>
          </w:tcPr>
          <w:p w:rsidR="00EC53CE" w:rsidRPr="00E34727" w:rsidRDefault="00EC53CE" w:rsidP="00BB7784">
            <w:pPr>
              <w:spacing w:after="60"/>
              <w:jc w:val="right"/>
              <w:rPr>
                <w:sz w:val="16"/>
                <w:szCs w:val="20"/>
                <w:lang w:val="fr-FR"/>
              </w:rPr>
            </w:pPr>
            <w:r w:rsidRPr="00E34727">
              <w:rPr>
                <w:sz w:val="16"/>
                <w:szCs w:val="20"/>
                <w:lang w:val="fr-FR"/>
              </w:rPr>
              <w:t>0</w:t>
            </w:r>
          </w:p>
        </w:tc>
        <w:tc>
          <w:tcPr>
            <w:tcW w:w="801" w:type="dxa"/>
            <w:shd w:val="clear" w:color="auto" w:fill="auto"/>
          </w:tcPr>
          <w:p w:rsidR="00EC53CE" w:rsidRPr="00E34727" w:rsidRDefault="00EC53CE" w:rsidP="00BB7784">
            <w:pPr>
              <w:spacing w:after="60"/>
              <w:jc w:val="right"/>
              <w:rPr>
                <w:sz w:val="16"/>
                <w:szCs w:val="20"/>
                <w:lang w:val="fr-FR"/>
              </w:rPr>
            </w:pPr>
            <w:r w:rsidRPr="00E34727">
              <w:rPr>
                <w:sz w:val="16"/>
                <w:szCs w:val="20"/>
                <w:lang w:val="fr-FR"/>
              </w:rPr>
              <w:t>4 973</w:t>
            </w:r>
          </w:p>
        </w:tc>
        <w:tc>
          <w:tcPr>
            <w:tcW w:w="815" w:type="dxa"/>
            <w:shd w:val="clear" w:color="auto" w:fill="auto"/>
          </w:tcPr>
          <w:p w:rsidR="00EC53CE" w:rsidRPr="00E34727" w:rsidRDefault="00EC53CE" w:rsidP="00BB7784">
            <w:pPr>
              <w:spacing w:after="60"/>
              <w:jc w:val="right"/>
              <w:rPr>
                <w:sz w:val="16"/>
                <w:szCs w:val="20"/>
                <w:lang w:val="fr-FR"/>
              </w:rPr>
            </w:pPr>
            <w:r w:rsidRPr="00E34727">
              <w:rPr>
                <w:sz w:val="16"/>
                <w:szCs w:val="20"/>
                <w:lang w:val="fr-FR"/>
              </w:rPr>
              <w:t>0</w:t>
            </w:r>
          </w:p>
        </w:tc>
        <w:tc>
          <w:tcPr>
            <w:tcW w:w="685" w:type="dxa"/>
            <w:shd w:val="clear" w:color="auto" w:fill="auto"/>
          </w:tcPr>
          <w:p w:rsidR="00EC53CE" w:rsidRPr="00E34727" w:rsidRDefault="00EC53CE" w:rsidP="00BB7784">
            <w:pPr>
              <w:spacing w:after="60"/>
              <w:jc w:val="right"/>
              <w:rPr>
                <w:sz w:val="16"/>
                <w:szCs w:val="20"/>
                <w:lang w:val="fr-FR"/>
              </w:rPr>
            </w:pPr>
            <w:r w:rsidRPr="00E34727">
              <w:rPr>
                <w:sz w:val="16"/>
                <w:szCs w:val="20"/>
                <w:lang w:val="fr-FR"/>
              </w:rPr>
              <w:t>0</w:t>
            </w:r>
          </w:p>
        </w:tc>
        <w:tc>
          <w:tcPr>
            <w:tcW w:w="806" w:type="dxa"/>
          </w:tcPr>
          <w:p w:rsidR="00EC53CE" w:rsidRPr="00E34727" w:rsidRDefault="00EC53CE" w:rsidP="00BB7784">
            <w:pPr>
              <w:spacing w:after="60"/>
              <w:jc w:val="right"/>
              <w:rPr>
                <w:sz w:val="16"/>
                <w:szCs w:val="20"/>
                <w:lang w:val="fr-FR"/>
              </w:rPr>
            </w:pPr>
            <w:r w:rsidRPr="00E34727">
              <w:rPr>
                <w:sz w:val="16"/>
                <w:szCs w:val="20"/>
                <w:lang w:val="fr-FR"/>
              </w:rPr>
              <w:t>4 025</w:t>
            </w:r>
          </w:p>
        </w:tc>
        <w:tc>
          <w:tcPr>
            <w:tcW w:w="795" w:type="dxa"/>
          </w:tcPr>
          <w:p w:rsidR="00EC53CE" w:rsidRPr="00E34727" w:rsidRDefault="00EC53CE" w:rsidP="00BB7784">
            <w:pPr>
              <w:spacing w:after="60"/>
              <w:jc w:val="right"/>
              <w:rPr>
                <w:sz w:val="16"/>
                <w:szCs w:val="20"/>
                <w:lang w:val="fr-FR"/>
              </w:rPr>
            </w:pPr>
            <w:r w:rsidRPr="00E34727">
              <w:rPr>
                <w:sz w:val="16"/>
                <w:szCs w:val="20"/>
                <w:lang w:val="fr-FR"/>
              </w:rPr>
              <w:t>0</w:t>
            </w:r>
          </w:p>
        </w:tc>
        <w:tc>
          <w:tcPr>
            <w:tcW w:w="1126" w:type="dxa"/>
            <w:shd w:val="clear" w:color="auto" w:fill="auto"/>
          </w:tcPr>
          <w:p w:rsidR="00EC53CE" w:rsidRPr="00E34727" w:rsidRDefault="00EC53CE" w:rsidP="00BB7784">
            <w:pPr>
              <w:spacing w:after="60"/>
              <w:jc w:val="right"/>
              <w:rPr>
                <w:sz w:val="16"/>
                <w:szCs w:val="20"/>
                <w:lang w:val="fr-FR"/>
              </w:rPr>
            </w:pPr>
            <w:r w:rsidRPr="00E34727">
              <w:rPr>
                <w:sz w:val="16"/>
                <w:szCs w:val="20"/>
                <w:lang w:val="fr-FR"/>
              </w:rPr>
              <w:t>35 382</w:t>
            </w:r>
          </w:p>
        </w:tc>
      </w:tr>
      <w:tr w:rsidR="00EC53CE" w:rsidRPr="00E34727" w:rsidTr="00BB7784">
        <w:trPr>
          <w:trHeight w:val="359"/>
        </w:trPr>
        <w:tc>
          <w:tcPr>
            <w:tcW w:w="924" w:type="dxa"/>
            <w:vMerge/>
            <w:shd w:val="clear" w:color="auto" w:fill="auto"/>
          </w:tcPr>
          <w:p w:rsidR="00EC53CE" w:rsidRPr="00E34727" w:rsidRDefault="00EC53CE" w:rsidP="00BB7784">
            <w:pPr>
              <w:spacing w:after="60"/>
              <w:jc w:val="center"/>
              <w:rPr>
                <w:sz w:val="16"/>
                <w:szCs w:val="20"/>
                <w:lang w:val="fr-FR"/>
              </w:rPr>
            </w:pPr>
          </w:p>
        </w:tc>
        <w:tc>
          <w:tcPr>
            <w:tcW w:w="1056" w:type="dxa"/>
            <w:vMerge w:val="restart"/>
            <w:shd w:val="clear" w:color="auto" w:fill="auto"/>
          </w:tcPr>
          <w:p w:rsidR="00EC53CE" w:rsidRPr="00E34727" w:rsidRDefault="00EC53CE" w:rsidP="00BB7784">
            <w:pPr>
              <w:spacing w:after="60"/>
              <w:jc w:val="center"/>
              <w:rPr>
                <w:sz w:val="16"/>
                <w:szCs w:val="20"/>
                <w:lang w:val="fr-FR"/>
              </w:rPr>
            </w:pPr>
            <w:r w:rsidRPr="00E34727">
              <w:rPr>
                <w:sz w:val="16"/>
                <w:szCs w:val="20"/>
                <w:lang w:val="fr-FR"/>
              </w:rPr>
              <w:t>PNUE</w:t>
            </w:r>
          </w:p>
        </w:tc>
        <w:tc>
          <w:tcPr>
            <w:tcW w:w="1402" w:type="dxa"/>
            <w:shd w:val="clear" w:color="auto" w:fill="auto"/>
          </w:tcPr>
          <w:p w:rsidR="00EC53CE" w:rsidRPr="00E34727" w:rsidRDefault="00EC53CE" w:rsidP="00BB7784">
            <w:pPr>
              <w:spacing w:after="60"/>
              <w:jc w:val="left"/>
              <w:rPr>
                <w:sz w:val="16"/>
                <w:szCs w:val="20"/>
                <w:lang w:val="fr-FR"/>
              </w:rPr>
            </w:pPr>
            <w:r w:rsidRPr="00E34727">
              <w:rPr>
                <w:sz w:val="16"/>
                <w:szCs w:val="20"/>
                <w:lang w:val="fr-FR"/>
              </w:rPr>
              <w:t>Coûts du projet</w:t>
            </w:r>
          </w:p>
        </w:tc>
        <w:tc>
          <w:tcPr>
            <w:tcW w:w="801" w:type="dxa"/>
            <w:shd w:val="clear" w:color="auto" w:fill="auto"/>
          </w:tcPr>
          <w:p w:rsidR="00EC53CE" w:rsidRPr="00E34727" w:rsidRDefault="00EC53CE" w:rsidP="00BB7784">
            <w:pPr>
              <w:spacing w:after="60"/>
              <w:jc w:val="right"/>
              <w:rPr>
                <w:sz w:val="16"/>
                <w:szCs w:val="20"/>
                <w:lang w:val="fr-FR"/>
              </w:rPr>
            </w:pPr>
            <w:r w:rsidRPr="00E34727">
              <w:rPr>
                <w:sz w:val="16"/>
                <w:szCs w:val="20"/>
                <w:lang w:val="fr-FR"/>
              </w:rPr>
              <w:t>30 000</w:t>
            </w:r>
          </w:p>
        </w:tc>
        <w:tc>
          <w:tcPr>
            <w:tcW w:w="777" w:type="dxa"/>
            <w:shd w:val="clear" w:color="auto" w:fill="auto"/>
          </w:tcPr>
          <w:p w:rsidR="00EC53CE" w:rsidRPr="00E34727" w:rsidRDefault="00EC53CE" w:rsidP="00BB7784">
            <w:pPr>
              <w:spacing w:after="60"/>
              <w:jc w:val="right"/>
              <w:rPr>
                <w:sz w:val="16"/>
                <w:szCs w:val="20"/>
                <w:lang w:val="fr-FR"/>
              </w:rPr>
            </w:pPr>
            <w:r w:rsidRPr="00E34727">
              <w:rPr>
                <w:sz w:val="16"/>
                <w:szCs w:val="20"/>
                <w:lang w:val="fr-FR"/>
              </w:rPr>
              <w:t>0</w:t>
            </w:r>
          </w:p>
        </w:tc>
        <w:tc>
          <w:tcPr>
            <w:tcW w:w="801" w:type="dxa"/>
            <w:shd w:val="clear" w:color="auto" w:fill="auto"/>
          </w:tcPr>
          <w:p w:rsidR="00EC53CE" w:rsidRPr="00E34727" w:rsidRDefault="00EC53CE" w:rsidP="00BB7784">
            <w:pPr>
              <w:spacing w:after="60"/>
              <w:jc w:val="right"/>
              <w:rPr>
                <w:sz w:val="16"/>
                <w:szCs w:val="20"/>
                <w:lang w:val="fr-FR"/>
              </w:rPr>
            </w:pPr>
            <w:r w:rsidRPr="00E34727">
              <w:rPr>
                <w:sz w:val="16"/>
                <w:szCs w:val="20"/>
                <w:lang w:val="fr-FR"/>
              </w:rPr>
              <w:t>55 000</w:t>
            </w:r>
          </w:p>
        </w:tc>
        <w:tc>
          <w:tcPr>
            <w:tcW w:w="815" w:type="dxa"/>
            <w:shd w:val="clear" w:color="auto" w:fill="auto"/>
          </w:tcPr>
          <w:p w:rsidR="00EC53CE" w:rsidRPr="00E34727" w:rsidRDefault="00EC53CE" w:rsidP="00BB7784">
            <w:pPr>
              <w:spacing w:after="60"/>
              <w:jc w:val="right"/>
              <w:rPr>
                <w:sz w:val="16"/>
                <w:szCs w:val="20"/>
                <w:lang w:val="fr-FR"/>
              </w:rPr>
            </w:pPr>
            <w:r w:rsidRPr="00E34727">
              <w:rPr>
                <w:sz w:val="16"/>
                <w:szCs w:val="20"/>
                <w:lang w:val="fr-FR"/>
              </w:rPr>
              <w:t>0</w:t>
            </w:r>
          </w:p>
        </w:tc>
        <w:tc>
          <w:tcPr>
            <w:tcW w:w="685" w:type="dxa"/>
            <w:shd w:val="clear" w:color="auto" w:fill="auto"/>
          </w:tcPr>
          <w:p w:rsidR="00EC53CE" w:rsidRPr="00E34727" w:rsidRDefault="00EC53CE" w:rsidP="00BB7784">
            <w:pPr>
              <w:spacing w:after="60"/>
              <w:jc w:val="right"/>
              <w:rPr>
                <w:sz w:val="16"/>
                <w:szCs w:val="20"/>
                <w:lang w:val="fr-FR"/>
              </w:rPr>
            </w:pPr>
            <w:r w:rsidRPr="00E34727">
              <w:rPr>
                <w:sz w:val="16"/>
                <w:szCs w:val="20"/>
                <w:lang w:val="fr-FR"/>
              </w:rPr>
              <w:t>0</w:t>
            </w:r>
          </w:p>
        </w:tc>
        <w:tc>
          <w:tcPr>
            <w:tcW w:w="806" w:type="dxa"/>
          </w:tcPr>
          <w:p w:rsidR="00EC53CE" w:rsidRPr="00E34727" w:rsidRDefault="00EC53CE" w:rsidP="00BB7784">
            <w:pPr>
              <w:spacing w:after="60"/>
              <w:jc w:val="right"/>
              <w:rPr>
                <w:sz w:val="16"/>
                <w:szCs w:val="20"/>
                <w:lang w:val="fr-FR"/>
              </w:rPr>
            </w:pPr>
            <w:r w:rsidRPr="00E34727">
              <w:rPr>
                <w:sz w:val="16"/>
                <w:szCs w:val="20"/>
                <w:lang w:val="fr-FR"/>
              </w:rPr>
              <w:t>15 000</w:t>
            </w:r>
          </w:p>
        </w:tc>
        <w:tc>
          <w:tcPr>
            <w:tcW w:w="795" w:type="dxa"/>
          </w:tcPr>
          <w:p w:rsidR="00EC53CE" w:rsidRPr="00E34727" w:rsidRDefault="00EC53CE" w:rsidP="00BB7784">
            <w:pPr>
              <w:spacing w:after="60"/>
              <w:jc w:val="right"/>
              <w:rPr>
                <w:sz w:val="16"/>
                <w:szCs w:val="20"/>
                <w:lang w:val="fr-FR"/>
              </w:rPr>
            </w:pPr>
            <w:r w:rsidRPr="00E34727">
              <w:rPr>
                <w:sz w:val="16"/>
                <w:szCs w:val="20"/>
                <w:lang w:val="fr-FR"/>
              </w:rPr>
              <w:t>0</w:t>
            </w:r>
          </w:p>
        </w:tc>
        <w:tc>
          <w:tcPr>
            <w:tcW w:w="1126" w:type="dxa"/>
            <w:shd w:val="clear" w:color="auto" w:fill="auto"/>
          </w:tcPr>
          <w:p w:rsidR="00EC53CE" w:rsidRPr="00E34727" w:rsidRDefault="00EC53CE" w:rsidP="00BB7784">
            <w:pPr>
              <w:spacing w:after="60"/>
              <w:jc w:val="right"/>
              <w:rPr>
                <w:sz w:val="16"/>
                <w:szCs w:val="20"/>
                <w:lang w:val="fr-FR"/>
              </w:rPr>
            </w:pPr>
            <w:r w:rsidRPr="00E34727">
              <w:rPr>
                <w:sz w:val="16"/>
                <w:szCs w:val="20"/>
                <w:lang w:val="fr-FR"/>
              </w:rPr>
              <w:t>100 000</w:t>
            </w:r>
          </w:p>
        </w:tc>
      </w:tr>
      <w:tr w:rsidR="00EC53CE" w:rsidRPr="00E34727" w:rsidTr="00BB7784">
        <w:trPr>
          <w:trHeight w:val="359"/>
        </w:trPr>
        <w:tc>
          <w:tcPr>
            <w:tcW w:w="924" w:type="dxa"/>
            <w:vMerge/>
            <w:shd w:val="clear" w:color="auto" w:fill="auto"/>
          </w:tcPr>
          <w:p w:rsidR="00EC53CE" w:rsidRPr="00E34727" w:rsidRDefault="00EC53CE" w:rsidP="00BB7784">
            <w:pPr>
              <w:spacing w:after="60"/>
              <w:jc w:val="center"/>
              <w:rPr>
                <w:sz w:val="16"/>
                <w:szCs w:val="20"/>
                <w:lang w:val="fr-FR"/>
              </w:rPr>
            </w:pPr>
          </w:p>
        </w:tc>
        <w:tc>
          <w:tcPr>
            <w:tcW w:w="1056" w:type="dxa"/>
            <w:vMerge/>
            <w:shd w:val="clear" w:color="auto" w:fill="auto"/>
          </w:tcPr>
          <w:p w:rsidR="00EC53CE" w:rsidRPr="00E34727" w:rsidRDefault="00EC53CE" w:rsidP="00BB7784">
            <w:pPr>
              <w:spacing w:after="60"/>
              <w:jc w:val="center"/>
              <w:rPr>
                <w:sz w:val="16"/>
                <w:szCs w:val="20"/>
                <w:lang w:val="fr-FR"/>
              </w:rPr>
            </w:pPr>
          </w:p>
        </w:tc>
        <w:tc>
          <w:tcPr>
            <w:tcW w:w="1402" w:type="dxa"/>
            <w:shd w:val="clear" w:color="auto" w:fill="auto"/>
          </w:tcPr>
          <w:p w:rsidR="00EC53CE" w:rsidRPr="00E34727" w:rsidRDefault="00EC53CE" w:rsidP="00BB7784">
            <w:pPr>
              <w:spacing w:after="60"/>
              <w:jc w:val="left"/>
              <w:rPr>
                <w:sz w:val="16"/>
                <w:szCs w:val="20"/>
                <w:lang w:val="fr-FR"/>
              </w:rPr>
            </w:pPr>
            <w:r w:rsidRPr="00E34727">
              <w:rPr>
                <w:sz w:val="16"/>
                <w:szCs w:val="20"/>
                <w:lang w:val="fr-FR"/>
              </w:rPr>
              <w:t>Coûts d’appui</w:t>
            </w:r>
          </w:p>
        </w:tc>
        <w:tc>
          <w:tcPr>
            <w:tcW w:w="801" w:type="dxa"/>
            <w:shd w:val="clear" w:color="auto" w:fill="auto"/>
          </w:tcPr>
          <w:p w:rsidR="00EC53CE" w:rsidRPr="00E34727" w:rsidRDefault="00EC53CE" w:rsidP="00BB7784">
            <w:pPr>
              <w:spacing w:after="60"/>
              <w:jc w:val="right"/>
              <w:rPr>
                <w:sz w:val="16"/>
                <w:szCs w:val="20"/>
                <w:lang w:val="fr-FR"/>
              </w:rPr>
            </w:pPr>
            <w:r w:rsidRPr="00E34727">
              <w:rPr>
                <w:sz w:val="16"/>
                <w:szCs w:val="20"/>
                <w:lang w:val="fr-FR"/>
              </w:rPr>
              <w:t>3 900</w:t>
            </w:r>
          </w:p>
        </w:tc>
        <w:tc>
          <w:tcPr>
            <w:tcW w:w="777" w:type="dxa"/>
            <w:shd w:val="clear" w:color="auto" w:fill="auto"/>
          </w:tcPr>
          <w:p w:rsidR="00EC53CE" w:rsidRPr="00E34727" w:rsidRDefault="00EC53CE" w:rsidP="00BB7784">
            <w:pPr>
              <w:spacing w:after="60"/>
              <w:jc w:val="right"/>
              <w:rPr>
                <w:sz w:val="16"/>
                <w:szCs w:val="20"/>
                <w:lang w:val="fr-FR"/>
              </w:rPr>
            </w:pPr>
            <w:r w:rsidRPr="00E34727">
              <w:rPr>
                <w:sz w:val="16"/>
                <w:szCs w:val="20"/>
                <w:lang w:val="fr-FR"/>
              </w:rPr>
              <w:t>0</w:t>
            </w:r>
          </w:p>
        </w:tc>
        <w:tc>
          <w:tcPr>
            <w:tcW w:w="801" w:type="dxa"/>
            <w:shd w:val="clear" w:color="auto" w:fill="auto"/>
          </w:tcPr>
          <w:p w:rsidR="00EC53CE" w:rsidRPr="00E34727" w:rsidRDefault="00EC53CE" w:rsidP="00BB7784">
            <w:pPr>
              <w:spacing w:after="60"/>
              <w:jc w:val="right"/>
              <w:rPr>
                <w:sz w:val="16"/>
                <w:szCs w:val="20"/>
                <w:lang w:val="fr-FR"/>
              </w:rPr>
            </w:pPr>
            <w:r w:rsidRPr="00E34727">
              <w:rPr>
                <w:sz w:val="16"/>
                <w:szCs w:val="20"/>
                <w:lang w:val="fr-FR"/>
              </w:rPr>
              <w:t>7 150</w:t>
            </w:r>
          </w:p>
        </w:tc>
        <w:tc>
          <w:tcPr>
            <w:tcW w:w="815" w:type="dxa"/>
            <w:shd w:val="clear" w:color="auto" w:fill="auto"/>
          </w:tcPr>
          <w:p w:rsidR="00EC53CE" w:rsidRPr="00E34727" w:rsidRDefault="00EC53CE" w:rsidP="00BB7784">
            <w:pPr>
              <w:spacing w:after="60"/>
              <w:jc w:val="right"/>
              <w:rPr>
                <w:sz w:val="16"/>
                <w:szCs w:val="20"/>
                <w:lang w:val="fr-FR"/>
              </w:rPr>
            </w:pPr>
            <w:r w:rsidRPr="00E34727">
              <w:rPr>
                <w:sz w:val="16"/>
                <w:szCs w:val="20"/>
                <w:lang w:val="fr-FR"/>
              </w:rPr>
              <w:t>0</w:t>
            </w:r>
          </w:p>
        </w:tc>
        <w:tc>
          <w:tcPr>
            <w:tcW w:w="685" w:type="dxa"/>
            <w:shd w:val="clear" w:color="auto" w:fill="auto"/>
          </w:tcPr>
          <w:p w:rsidR="00EC53CE" w:rsidRPr="00E34727" w:rsidRDefault="00EC53CE" w:rsidP="00BB7784">
            <w:pPr>
              <w:spacing w:after="60"/>
              <w:jc w:val="right"/>
              <w:rPr>
                <w:sz w:val="16"/>
                <w:szCs w:val="20"/>
                <w:lang w:val="fr-FR"/>
              </w:rPr>
            </w:pPr>
            <w:r w:rsidRPr="00E34727">
              <w:rPr>
                <w:sz w:val="16"/>
                <w:szCs w:val="20"/>
                <w:lang w:val="fr-FR"/>
              </w:rPr>
              <w:t>0</w:t>
            </w:r>
          </w:p>
        </w:tc>
        <w:tc>
          <w:tcPr>
            <w:tcW w:w="806" w:type="dxa"/>
          </w:tcPr>
          <w:p w:rsidR="00EC53CE" w:rsidRPr="00E34727" w:rsidRDefault="00EC53CE" w:rsidP="00BB7784">
            <w:pPr>
              <w:spacing w:after="60"/>
              <w:jc w:val="right"/>
              <w:rPr>
                <w:sz w:val="16"/>
                <w:szCs w:val="20"/>
                <w:lang w:val="fr-FR"/>
              </w:rPr>
            </w:pPr>
            <w:r w:rsidRPr="00E34727">
              <w:rPr>
                <w:sz w:val="16"/>
                <w:szCs w:val="20"/>
                <w:lang w:val="fr-FR"/>
              </w:rPr>
              <w:t>1 950</w:t>
            </w:r>
          </w:p>
        </w:tc>
        <w:tc>
          <w:tcPr>
            <w:tcW w:w="795" w:type="dxa"/>
          </w:tcPr>
          <w:p w:rsidR="00EC53CE" w:rsidRPr="00E34727" w:rsidRDefault="00EC53CE" w:rsidP="00BB7784">
            <w:pPr>
              <w:spacing w:after="60"/>
              <w:jc w:val="right"/>
              <w:rPr>
                <w:sz w:val="16"/>
                <w:szCs w:val="20"/>
                <w:lang w:val="fr-FR"/>
              </w:rPr>
            </w:pPr>
            <w:r w:rsidRPr="00E34727">
              <w:rPr>
                <w:sz w:val="16"/>
                <w:szCs w:val="20"/>
                <w:lang w:val="fr-FR"/>
              </w:rPr>
              <w:t>0</w:t>
            </w:r>
          </w:p>
        </w:tc>
        <w:tc>
          <w:tcPr>
            <w:tcW w:w="1126" w:type="dxa"/>
            <w:shd w:val="clear" w:color="auto" w:fill="auto"/>
          </w:tcPr>
          <w:p w:rsidR="00EC53CE" w:rsidRPr="00E34727" w:rsidRDefault="00EC53CE" w:rsidP="00BB7784">
            <w:pPr>
              <w:spacing w:after="60"/>
              <w:jc w:val="right"/>
              <w:rPr>
                <w:sz w:val="16"/>
                <w:szCs w:val="20"/>
                <w:lang w:val="fr-FR"/>
              </w:rPr>
            </w:pPr>
            <w:r w:rsidRPr="00E34727">
              <w:rPr>
                <w:sz w:val="16"/>
                <w:szCs w:val="20"/>
                <w:lang w:val="fr-FR"/>
              </w:rPr>
              <w:t>13 000</w:t>
            </w:r>
          </w:p>
        </w:tc>
      </w:tr>
      <w:tr w:rsidR="00EC53CE" w:rsidRPr="00E34727" w:rsidTr="00BB7784">
        <w:trPr>
          <w:trHeight w:val="359"/>
        </w:trPr>
        <w:tc>
          <w:tcPr>
            <w:tcW w:w="924" w:type="dxa"/>
            <w:vMerge/>
            <w:shd w:val="clear" w:color="auto" w:fill="auto"/>
          </w:tcPr>
          <w:p w:rsidR="00EC53CE" w:rsidRPr="00E34727" w:rsidRDefault="00EC53CE" w:rsidP="00BB7784">
            <w:pPr>
              <w:spacing w:after="60"/>
              <w:jc w:val="center"/>
              <w:rPr>
                <w:sz w:val="16"/>
                <w:szCs w:val="20"/>
                <w:lang w:val="fr-FR"/>
              </w:rPr>
            </w:pPr>
          </w:p>
        </w:tc>
        <w:tc>
          <w:tcPr>
            <w:tcW w:w="1056" w:type="dxa"/>
            <w:vMerge w:val="restart"/>
            <w:shd w:val="clear" w:color="auto" w:fill="auto"/>
          </w:tcPr>
          <w:p w:rsidR="00EC53CE" w:rsidRPr="00E34727" w:rsidRDefault="00EC53CE" w:rsidP="00BB7784">
            <w:pPr>
              <w:spacing w:after="60"/>
              <w:jc w:val="center"/>
              <w:rPr>
                <w:sz w:val="16"/>
                <w:szCs w:val="20"/>
                <w:lang w:val="fr-FR"/>
              </w:rPr>
            </w:pPr>
            <w:r w:rsidRPr="00E34727">
              <w:rPr>
                <w:sz w:val="16"/>
                <w:szCs w:val="20"/>
                <w:lang w:val="fr-FR"/>
              </w:rPr>
              <w:t>France</w:t>
            </w:r>
          </w:p>
        </w:tc>
        <w:tc>
          <w:tcPr>
            <w:tcW w:w="1402" w:type="dxa"/>
            <w:shd w:val="clear" w:color="auto" w:fill="auto"/>
          </w:tcPr>
          <w:p w:rsidR="00EC53CE" w:rsidRPr="00E34727" w:rsidRDefault="00EC53CE" w:rsidP="00BB7784">
            <w:pPr>
              <w:spacing w:after="60"/>
              <w:jc w:val="left"/>
              <w:rPr>
                <w:sz w:val="16"/>
                <w:szCs w:val="20"/>
                <w:lang w:val="fr-FR"/>
              </w:rPr>
            </w:pPr>
            <w:r w:rsidRPr="00E34727">
              <w:rPr>
                <w:sz w:val="16"/>
                <w:szCs w:val="20"/>
                <w:lang w:val="fr-FR"/>
              </w:rPr>
              <w:t>Coûts du projet</w:t>
            </w:r>
          </w:p>
        </w:tc>
        <w:tc>
          <w:tcPr>
            <w:tcW w:w="801" w:type="dxa"/>
            <w:shd w:val="clear" w:color="auto" w:fill="auto"/>
          </w:tcPr>
          <w:p w:rsidR="00EC53CE" w:rsidRPr="00E34727" w:rsidRDefault="00EC53CE" w:rsidP="00BB7784">
            <w:pPr>
              <w:spacing w:after="60"/>
              <w:jc w:val="right"/>
              <w:rPr>
                <w:sz w:val="16"/>
                <w:szCs w:val="20"/>
                <w:lang w:val="fr-FR"/>
              </w:rPr>
            </w:pPr>
            <w:r w:rsidRPr="00E34727">
              <w:rPr>
                <w:sz w:val="16"/>
                <w:szCs w:val="20"/>
                <w:lang w:val="fr-FR"/>
              </w:rPr>
              <w:t>38 000</w:t>
            </w:r>
          </w:p>
        </w:tc>
        <w:tc>
          <w:tcPr>
            <w:tcW w:w="777" w:type="dxa"/>
            <w:shd w:val="clear" w:color="auto" w:fill="auto"/>
          </w:tcPr>
          <w:p w:rsidR="00EC53CE" w:rsidRPr="00E34727" w:rsidRDefault="00EC53CE" w:rsidP="00BB7784">
            <w:pPr>
              <w:spacing w:after="60"/>
              <w:jc w:val="right"/>
              <w:rPr>
                <w:sz w:val="16"/>
                <w:szCs w:val="20"/>
                <w:lang w:val="fr-FR"/>
              </w:rPr>
            </w:pPr>
            <w:r w:rsidRPr="00E34727">
              <w:rPr>
                <w:sz w:val="16"/>
                <w:szCs w:val="20"/>
                <w:lang w:val="fr-FR"/>
              </w:rPr>
              <w:t>0</w:t>
            </w:r>
          </w:p>
        </w:tc>
        <w:tc>
          <w:tcPr>
            <w:tcW w:w="801" w:type="dxa"/>
            <w:shd w:val="clear" w:color="auto" w:fill="auto"/>
          </w:tcPr>
          <w:p w:rsidR="00EC53CE" w:rsidRPr="00E34727" w:rsidRDefault="00EC53CE" w:rsidP="00BB7784">
            <w:pPr>
              <w:spacing w:after="60"/>
              <w:jc w:val="right"/>
              <w:rPr>
                <w:sz w:val="16"/>
                <w:szCs w:val="20"/>
                <w:lang w:val="fr-FR"/>
              </w:rPr>
            </w:pPr>
            <w:r w:rsidRPr="00E34727">
              <w:rPr>
                <w:sz w:val="16"/>
                <w:szCs w:val="20"/>
                <w:lang w:val="fr-FR"/>
              </w:rPr>
              <w:t>38 000</w:t>
            </w:r>
          </w:p>
        </w:tc>
        <w:tc>
          <w:tcPr>
            <w:tcW w:w="815" w:type="dxa"/>
            <w:shd w:val="clear" w:color="auto" w:fill="auto"/>
          </w:tcPr>
          <w:p w:rsidR="00EC53CE" w:rsidRPr="00E34727" w:rsidRDefault="00EC53CE" w:rsidP="00BB7784">
            <w:pPr>
              <w:spacing w:after="60"/>
              <w:jc w:val="right"/>
              <w:rPr>
                <w:sz w:val="16"/>
                <w:szCs w:val="20"/>
                <w:lang w:val="fr-FR"/>
              </w:rPr>
            </w:pPr>
            <w:r w:rsidRPr="00E34727">
              <w:rPr>
                <w:sz w:val="16"/>
                <w:szCs w:val="20"/>
                <w:lang w:val="fr-FR"/>
              </w:rPr>
              <w:t>0</w:t>
            </w:r>
          </w:p>
        </w:tc>
        <w:tc>
          <w:tcPr>
            <w:tcW w:w="685" w:type="dxa"/>
            <w:shd w:val="clear" w:color="auto" w:fill="auto"/>
          </w:tcPr>
          <w:p w:rsidR="00EC53CE" w:rsidRPr="00E34727" w:rsidRDefault="00EC53CE" w:rsidP="00BB7784">
            <w:pPr>
              <w:spacing w:after="60"/>
              <w:jc w:val="right"/>
              <w:rPr>
                <w:sz w:val="16"/>
                <w:szCs w:val="20"/>
                <w:lang w:val="fr-FR"/>
              </w:rPr>
            </w:pPr>
            <w:r w:rsidRPr="00E34727">
              <w:rPr>
                <w:sz w:val="16"/>
                <w:szCs w:val="20"/>
                <w:lang w:val="fr-FR"/>
              </w:rPr>
              <w:t>0</w:t>
            </w:r>
          </w:p>
        </w:tc>
        <w:tc>
          <w:tcPr>
            <w:tcW w:w="806" w:type="dxa"/>
          </w:tcPr>
          <w:p w:rsidR="00EC53CE" w:rsidRPr="00E34727" w:rsidRDefault="00EC53CE" w:rsidP="00BB7784">
            <w:pPr>
              <w:spacing w:after="60"/>
              <w:jc w:val="right"/>
              <w:rPr>
                <w:sz w:val="16"/>
                <w:szCs w:val="20"/>
                <w:lang w:val="fr-FR"/>
              </w:rPr>
            </w:pPr>
            <w:r w:rsidRPr="00E34727">
              <w:rPr>
                <w:sz w:val="16"/>
                <w:szCs w:val="20"/>
                <w:lang w:val="fr-FR"/>
              </w:rPr>
              <w:t>19 000</w:t>
            </w:r>
          </w:p>
        </w:tc>
        <w:tc>
          <w:tcPr>
            <w:tcW w:w="795" w:type="dxa"/>
          </w:tcPr>
          <w:p w:rsidR="00EC53CE" w:rsidRPr="00E34727" w:rsidRDefault="00EC53CE" w:rsidP="00BB7784">
            <w:pPr>
              <w:spacing w:after="60"/>
              <w:jc w:val="right"/>
              <w:rPr>
                <w:sz w:val="16"/>
                <w:szCs w:val="20"/>
                <w:lang w:val="fr-FR"/>
              </w:rPr>
            </w:pPr>
            <w:r w:rsidRPr="00E34727">
              <w:rPr>
                <w:sz w:val="16"/>
                <w:szCs w:val="20"/>
                <w:lang w:val="fr-FR"/>
              </w:rPr>
              <w:t>0</w:t>
            </w:r>
          </w:p>
        </w:tc>
        <w:tc>
          <w:tcPr>
            <w:tcW w:w="1126" w:type="dxa"/>
            <w:shd w:val="clear" w:color="auto" w:fill="auto"/>
          </w:tcPr>
          <w:p w:rsidR="00EC53CE" w:rsidRPr="00E34727" w:rsidRDefault="00EC53CE" w:rsidP="00BB7784">
            <w:pPr>
              <w:spacing w:after="60"/>
              <w:jc w:val="right"/>
              <w:rPr>
                <w:sz w:val="16"/>
                <w:szCs w:val="20"/>
                <w:lang w:val="fr-FR"/>
              </w:rPr>
            </w:pPr>
            <w:r w:rsidRPr="00E34727">
              <w:rPr>
                <w:sz w:val="16"/>
                <w:szCs w:val="20"/>
                <w:lang w:val="fr-FR"/>
              </w:rPr>
              <w:t>95 000</w:t>
            </w:r>
          </w:p>
        </w:tc>
      </w:tr>
      <w:tr w:rsidR="00EC53CE" w:rsidRPr="00E34727" w:rsidTr="00BB7784">
        <w:trPr>
          <w:trHeight w:val="359"/>
        </w:trPr>
        <w:tc>
          <w:tcPr>
            <w:tcW w:w="924" w:type="dxa"/>
            <w:vMerge/>
            <w:shd w:val="clear" w:color="auto" w:fill="auto"/>
          </w:tcPr>
          <w:p w:rsidR="00EC53CE" w:rsidRPr="00E34727" w:rsidRDefault="00EC53CE" w:rsidP="00BB7784">
            <w:pPr>
              <w:spacing w:after="60"/>
              <w:jc w:val="center"/>
              <w:rPr>
                <w:sz w:val="16"/>
                <w:szCs w:val="20"/>
                <w:lang w:val="fr-FR"/>
              </w:rPr>
            </w:pPr>
          </w:p>
        </w:tc>
        <w:tc>
          <w:tcPr>
            <w:tcW w:w="1056" w:type="dxa"/>
            <w:vMerge/>
            <w:shd w:val="clear" w:color="auto" w:fill="auto"/>
          </w:tcPr>
          <w:p w:rsidR="00EC53CE" w:rsidRPr="00E34727" w:rsidRDefault="00EC53CE" w:rsidP="00BB7784">
            <w:pPr>
              <w:spacing w:after="60"/>
              <w:jc w:val="center"/>
              <w:rPr>
                <w:sz w:val="16"/>
                <w:szCs w:val="20"/>
                <w:lang w:val="fr-FR"/>
              </w:rPr>
            </w:pPr>
          </w:p>
        </w:tc>
        <w:tc>
          <w:tcPr>
            <w:tcW w:w="1402" w:type="dxa"/>
            <w:shd w:val="clear" w:color="auto" w:fill="auto"/>
          </w:tcPr>
          <w:p w:rsidR="00EC53CE" w:rsidRPr="00E34727" w:rsidRDefault="00EC53CE" w:rsidP="00BB7784">
            <w:pPr>
              <w:spacing w:after="60"/>
              <w:jc w:val="left"/>
              <w:rPr>
                <w:sz w:val="16"/>
                <w:szCs w:val="20"/>
                <w:lang w:val="fr-FR"/>
              </w:rPr>
            </w:pPr>
            <w:r w:rsidRPr="00E34727">
              <w:rPr>
                <w:sz w:val="16"/>
                <w:szCs w:val="20"/>
                <w:lang w:val="fr-FR"/>
              </w:rPr>
              <w:t>Coûts d’appui</w:t>
            </w:r>
          </w:p>
        </w:tc>
        <w:tc>
          <w:tcPr>
            <w:tcW w:w="801" w:type="dxa"/>
            <w:shd w:val="clear" w:color="auto" w:fill="auto"/>
          </w:tcPr>
          <w:p w:rsidR="00EC53CE" w:rsidRPr="00E34727" w:rsidRDefault="00EC53CE" w:rsidP="00BB7784">
            <w:pPr>
              <w:spacing w:after="60"/>
              <w:jc w:val="right"/>
              <w:rPr>
                <w:sz w:val="16"/>
                <w:szCs w:val="20"/>
                <w:lang w:val="fr-FR"/>
              </w:rPr>
            </w:pPr>
            <w:r w:rsidRPr="00E34727">
              <w:rPr>
                <w:sz w:val="16"/>
                <w:szCs w:val="20"/>
                <w:lang w:val="fr-FR"/>
              </w:rPr>
              <w:t>4 940</w:t>
            </w:r>
          </w:p>
        </w:tc>
        <w:tc>
          <w:tcPr>
            <w:tcW w:w="777" w:type="dxa"/>
            <w:shd w:val="clear" w:color="auto" w:fill="auto"/>
          </w:tcPr>
          <w:p w:rsidR="00EC53CE" w:rsidRPr="00E34727" w:rsidRDefault="00EC53CE" w:rsidP="00BB7784">
            <w:pPr>
              <w:spacing w:after="60"/>
              <w:jc w:val="right"/>
              <w:rPr>
                <w:sz w:val="16"/>
                <w:szCs w:val="20"/>
                <w:lang w:val="fr-FR"/>
              </w:rPr>
            </w:pPr>
            <w:r w:rsidRPr="00E34727">
              <w:rPr>
                <w:sz w:val="16"/>
                <w:szCs w:val="20"/>
                <w:lang w:val="fr-FR"/>
              </w:rPr>
              <w:t>0</w:t>
            </w:r>
          </w:p>
        </w:tc>
        <w:tc>
          <w:tcPr>
            <w:tcW w:w="801" w:type="dxa"/>
            <w:shd w:val="clear" w:color="auto" w:fill="auto"/>
          </w:tcPr>
          <w:p w:rsidR="00EC53CE" w:rsidRPr="00E34727" w:rsidRDefault="00EC53CE" w:rsidP="00BB7784">
            <w:pPr>
              <w:spacing w:after="60"/>
              <w:jc w:val="right"/>
              <w:rPr>
                <w:sz w:val="16"/>
                <w:szCs w:val="20"/>
                <w:lang w:val="fr-FR"/>
              </w:rPr>
            </w:pPr>
            <w:r w:rsidRPr="00E34727">
              <w:rPr>
                <w:sz w:val="16"/>
                <w:szCs w:val="20"/>
                <w:lang w:val="fr-FR"/>
              </w:rPr>
              <w:t>4 940</w:t>
            </w:r>
          </w:p>
        </w:tc>
        <w:tc>
          <w:tcPr>
            <w:tcW w:w="815" w:type="dxa"/>
            <w:shd w:val="clear" w:color="auto" w:fill="auto"/>
          </w:tcPr>
          <w:p w:rsidR="00EC53CE" w:rsidRPr="00E34727" w:rsidRDefault="00EC53CE" w:rsidP="00BB7784">
            <w:pPr>
              <w:spacing w:after="60"/>
              <w:jc w:val="right"/>
              <w:rPr>
                <w:sz w:val="16"/>
                <w:szCs w:val="20"/>
                <w:lang w:val="fr-FR"/>
              </w:rPr>
            </w:pPr>
            <w:r w:rsidRPr="00E34727">
              <w:rPr>
                <w:sz w:val="16"/>
                <w:szCs w:val="20"/>
                <w:lang w:val="fr-FR"/>
              </w:rPr>
              <w:t>0</w:t>
            </w:r>
          </w:p>
        </w:tc>
        <w:tc>
          <w:tcPr>
            <w:tcW w:w="685" w:type="dxa"/>
            <w:shd w:val="clear" w:color="auto" w:fill="auto"/>
          </w:tcPr>
          <w:p w:rsidR="00EC53CE" w:rsidRPr="00E34727" w:rsidRDefault="00EC53CE" w:rsidP="00BB7784">
            <w:pPr>
              <w:spacing w:after="60"/>
              <w:jc w:val="right"/>
              <w:rPr>
                <w:sz w:val="16"/>
                <w:szCs w:val="20"/>
                <w:lang w:val="fr-FR"/>
              </w:rPr>
            </w:pPr>
            <w:r w:rsidRPr="00E34727">
              <w:rPr>
                <w:sz w:val="16"/>
                <w:szCs w:val="20"/>
                <w:lang w:val="fr-FR"/>
              </w:rPr>
              <w:t>0</w:t>
            </w:r>
          </w:p>
        </w:tc>
        <w:tc>
          <w:tcPr>
            <w:tcW w:w="806" w:type="dxa"/>
          </w:tcPr>
          <w:p w:rsidR="00EC53CE" w:rsidRPr="00E34727" w:rsidRDefault="00EC53CE" w:rsidP="00BB7784">
            <w:pPr>
              <w:spacing w:after="60"/>
              <w:jc w:val="right"/>
              <w:rPr>
                <w:sz w:val="16"/>
                <w:szCs w:val="20"/>
                <w:lang w:val="fr-FR"/>
              </w:rPr>
            </w:pPr>
            <w:r w:rsidRPr="00E34727">
              <w:rPr>
                <w:sz w:val="16"/>
                <w:szCs w:val="20"/>
                <w:lang w:val="fr-FR"/>
              </w:rPr>
              <w:t>2 470</w:t>
            </w:r>
          </w:p>
        </w:tc>
        <w:tc>
          <w:tcPr>
            <w:tcW w:w="795" w:type="dxa"/>
          </w:tcPr>
          <w:p w:rsidR="00EC53CE" w:rsidRPr="00E34727" w:rsidRDefault="00EC53CE" w:rsidP="00BB7784">
            <w:pPr>
              <w:spacing w:after="60"/>
              <w:jc w:val="right"/>
              <w:rPr>
                <w:sz w:val="16"/>
                <w:szCs w:val="20"/>
                <w:lang w:val="fr-FR"/>
              </w:rPr>
            </w:pPr>
            <w:r w:rsidRPr="00E34727">
              <w:rPr>
                <w:sz w:val="16"/>
                <w:szCs w:val="20"/>
                <w:lang w:val="fr-FR"/>
              </w:rPr>
              <w:t>0</w:t>
            </w:r>
          </w:p>
        </w:tc>
        <w:tc>
          <w:tcPr>
            <w:tcW w:w="1126" w:type="dxa"/>
            <w:shd w:val="clear" w:color="auto" w:fill="auto"/>
          </w:tcPr>
          <w:p w:rsidR="00EC53CE" w:rsidRPr="00E34727" w:rsidRDefault="00EC53CE" w:rsidP="00BB7784">
            <w:pPr>
              <w:spacing w:after="60"/>
              <w:jc w:val="right"/>
              <w:rPr>
                <w:sz w:val="16"/>
                <w:szCs w:val="20"/>
                <w:lang w:val="fr-FR"/>
              </w:rPr>
            </w:pPr>
            <w:r w:rsidRPr="00E34727">
              <w:rPr>
                <w:sz w:val="16"/>
                <w:szCs w:val="20"/>
                <w:lang w:val="fr-FR"/>
              </w:rPr>
              <w:t>12 350</w:t>
            </w:r>
          </w:p>
        </w:tc>
      </w:tr>
      <w:tr w:rsidR="00EC53CE" w:rsidRPr="00E34727" w:rsidTr="00BB7784">
        <w:trPr>
          <w:trHeight w:val="345"/>
        </w:trPr>
        <w:tc>
          <w:tcPr>
            <w:tcW w:w="1980" w:type="dxa"/>
            <w:gridSpan w:val="2"/>
            <w:vMerge w:val="restart"/>
            <w:shd w:val="clear" w:color="auto" w:fill="auto"/>
          </w:tcPr>
          <w:p w:rsidR="00EC53CE" w:rsidRPr="00E34727" w:rsidRDefault="00EC53CE" w:rsidP="00BB7784">
            <w:pPr>
              <w:spacing w:after="60"/>
              <w:jc w:val="left"/>
              <w:rPr>
                <w:sz w:val="16"/>
                <w:szCs w:val="20"/>
                <w:lang w:val="fr-FR"/>
              </w:rPr>
            </w:pPr>
            <w:r w:rsidRPr="00E34727">
              <w:rPr>
                <w:sz w:val="16"/>
                <w:szCs w:val="20"/>
                <w:lang w:val="fr-FR"/>
              </w:rPr>
              <w:t>Fonds approuvés par le Comité exécutif ($ US)</w:t>
            </w:r>
          </w:p>
        </w:tc>
        <w:tc>
          <w:tcPr>
            <w:tcW w:w="1402" w:type="dxa"/>
            <w:shd w:val="clear" w:color="auto" w:fill="auto"/>
          </w:tcPr>
          <w:p w:rsidR="00EC53CE" w:rsidRPr="00E34727" w:rsidRDefault="00EC53CE" w:rsidP="00BB7784">
            <w:pPr>
              <w:spacing w:after="60"/>
              <w:jc w:val="left"/>
              <w:rPr>
                <w:sz w:val="16"/>
                <w:szCs w:val="20"/>
                <w:lang w:val="fr-FR"/>
              </w:rPr>
            </w:pPr>
            <w:r w:rsidRPr="00E34727">
              <w:rPr>
                <w:sz w:val="16"/>
                <w:szCs w:val="20"/>
                <w:lang w:val="fr-FR"/>
              </w:rPr>
              <w:t>Coûts du projet</w:t>
            </w:r>
          </w:p>
        </w:tc>
        <w:tc>
          <w:tcPr>
            <w:tcW w:w="801" w:type="dxa"/>
            <w:shd w:val="clear" w:color="auto" w:fill="auto"/>
          </w:tcPr>
          <w:p w:rsidR="00EC53CE" w:rsidRPr="00E34727" w:rsidRDefault="00EC53CE" w:rsidP="00BB7784">
            <w:pPr>
              <w:spacing w:after="60"/>
              <w:jc w:val="right"/>
              <w:rPr>
                <w:sz w:val="16"/>
                <w:szCs w:val="20"/>
                <w:lang w:val="fr-FR"/>
              </w:rPr>
            </w:pPr>
            <w:r w:rsidRPr="00E34727">
              <w:rPr>
                <w:sz w:val="16"/>
                <w:szCs w:val="20"/>
                <w:lang w:val="fr-FR"/>
              </w:rPr>
              <w:t>444 920</w:t>
            </w:r>
          </w:p>
        </w:tc>
        <w:tc>
          <w:tcPr>
            <w:tcW w:w="777" w:type="dxa"/>
            <w:shd w:val="clear" w:color="auto" w:fill="auto"/>
          </w:tcPr>
          <w:p w:rsidR="00EC53CE" w:rsidRPr="00E34727" w:rsidRDefault="00EC53CE" w:rsidP="00BB7784">
            <w:pPr>
              <w:spacing w:after="60"/>
              <w:jc w:val="right"/>
              <w:rPr>
                <w:sz w:val="16"/>
                <w:szCs w:val="20"/>
                <w:lang w:val="fr-FR"/>
              </w:rPr>
            </w:pPr>
            <w:r w:rsidRPr="00E34727">
              <w:rPr>
                <w:sz w:val="16"/>
                <w:szCs w:val="20"/>
                <w:lang w:val="fr-FR"/>
              </w:rPr>
              <w:t>0</w:t>
            </w:r>
          </w:p>
        </w:tc>
        <w:tc>
          <w:tcPr>
            <w:tcW w:w="801" w:type="dxa"/>
            <w:shd w:val="clear" w:color="auto" w:fill="auto"/>
          </w:tcPr>
          <w:p w:rsidR="00EC53CE" w:rsidRPr="00E34727" w:rsidRDefault="00EC53CE" w:rsidP="00BB7784">
            <w:pPr>
              <w:spacing w:after="60"/>
              <w:jc w:val="right"/>
              <w:rPr>
                <w:sz w:val="16"/>
                <w:szCs w:val="20"/>
                <w:lang w:val="fr-FR"/>
              </w:rPr>
            </w:pPr>
            <w:r w:rsidRPr="00E34727">
              <w:rPr>
                <w:sz w:val="16"/>
                <w:szCs w:val="20"/>
                <w:lang w:val="fr-FR"/>
              </w:rPr>
              <w:t>164 038</w:t>
            </w:r>
          </w:p>
        </w:tc>
        <w:tc>
          <w:tcPr>
            <w:tcW w:w="815" w:type="dxa"/>
            <w:shd w:val="clear" w:color="auto" w:fill="auto"/>
          </w:tcPr>
          <w:p w:rsidR="00EC53CE" w:rsidRPr="00E34727" w:rsidRDefault="00EC53CE" w:rsidP="00BB7784">
            <w:pPr>
              <w:spacing w:after="60"/>
              <w:jc w:val="right"/>
              <w:rPr>
                <w:sz w:val="16"/>
                <w:szCs w:val="20"/>
                <w:lang w:val="fr-FR"/>
              </w:rPr>
            </w:pPr>
            <w:r w:rsidRPr="00E34727">
              <w:rPr>
                <w:sz w:val="16"/>
                <w:szCs w:val="20"/>
                <w:lang w:val="fr-FR"/>
              </w:rPr>
              <w:t>0</w:t>
            </w:r>
          </w:p>
        </w:tc>
        <w:tc>
          <w:tcPr>
            <w:tcW w:w="685" w:type="dxa"/>
            <w:shd w:val="clear" w:color="auto" w:fill="auto"/>
          </w:tcPr>
          <w:p w:rsidR="00EC53CE" w:rsidRPr="00E34727" w:rsidRDefault="00EC53CE" w:rsidP="00BB7784">
            <w:pPr>
              <w:spacing w:after="60"/>
              <w:jc w:val="right"/>
              <w:rPr>
                <w:sz w:val="16"/>
                <w:szCs w:val="20"/>
                <w:lang w:val="fr-FR"/>
              </w:rPr>
            </w:pPr>
            <w:r w:rsidRPr="00E34727">
              <w:rPr>
                <w:sz w:val="16"/>
                <w:szCs w:val="20"/>
                <w:lang w:val="fr-FR"/>
              </w:rPr>
              <w:t>0</w:t>
            </w:r>
          </w:p>
        </w:tc>
        <w:tc>
          <w:tcPr>
            <w:tcW w:w="806" w:type="dxa"/>
          </w:tcPr>
          <w:p w:rsidR="00EC53CE" w:rsidRPr="00E34727" w:rsidRDefault="00EC53CE" w:rsidP="00BB7784">
            <w:pPr>
              <w:spacing w:after="60"/>
              <w:jc w:val="right"/>
              <w:rPr>
                <w:sz w:val="16"/>
                <w:szCs w:val="20"/>
                <w:lang w:val="fr-FR"/>
              </w:rPr>
            </w:pPr>
          </w:p>
        </w:tc>
        <w:tc>
          <w:tcPr>
            <w:tcW w:w="795" w:type="dxa"/>
          </w:tcPr>
          <w:p w:rsidR="00EC53CE" w:rsidRPr="00E34727" w:rsidRDefault="00EC53CE" w:rsidP="00BB7784">
            <w:pPr>
              <w:spacing w:after="60"/>
              <w:jc w:val="right"/>
              <w:rPr>
                <w:sz w:val="16"/>
                <w:szCs w:val="20"/>
                <w:lang w:val="fr-FR"/>
              </w:rPr>
            </w:pPr>
            <w:r w:rsidRPr="00E34727">
              <w:rPr>
                <w:sz w:val="16"/>
                <w:szCs w:val="20"/>
                <w:lang w:val="fr-FR"/>
              </w:rPr>
              <w:t>0</w:t>
            </w:r>
          </w:p>
        </w:tc>
        <w:tc>
          <w:tcPr>
            <w:tcW w:w="1126" w:type="dxa"/>
            <w:shd w:val="clear" w:color="auto" w:fill="auto"/>
          </w:tcPr>
          <w:p w:rsidR="00EC53CE" w:rsidRPr="00E34727" w:rsidRDefault="00EC53CE" w:rsidP="00BB7784">
            <w:pPr>
              <w:spacing w:after="60"/>
              <w:jc w:val="right"/>
              <w:rPr>
                <w:sz w:val="16"/>
                <w:szCs w:val="20"/>
                <w:lang w:val="fr-FR"/>
              </w:rPr>
            </w:pPr>
            <w:r w:rsidRPr="00E34727">
              <w:rPr>
                <w:sz w:val="16"/>
                <w:szCs w:val="20"/>
                <w:lang w:val="fr-FR"/>
              </w:rPr>
              <w:t>608 958</w:t>
            </w:r>
          </w:p>
        </w:tc>
      </w:tr>
      <w:tr w:rsidR="00EC53CE" w:rsidRPr="00E34727" w:rsidTr="00BB7784">
        <w:trPr>
          <w:trHeight w:val="359"/>
        </w:trPr>
        <w:tc>
          <w:tcPr>
            <w:tcW w:w="1980" w:type="dxa"/>
            <w:gridSpan w:val="2"/>
            <w:vMerge/>
            <w:shd w:val="clear" w:color="auto" w:fill="auto"/>
          </w:tcPr>
          <w:p w:rsidR="00EC53CE" w:rsidRPr="00E34727" w:rsidRDefault="00EC53CE" w:rsidP="00BB7784">
            <w:pPr>
              <w:spacing w:after="60"/>
              <w:jc w:val="center"/>
              <w:rPr>
                <w:sz w:val="16"/>
                <w:szCs w:val="20"/>
                <w:lang w:val="fr-FR"/>
              </w:rPr>
            </w:pPr>
          </w:p>
        </w:tc>
        <w:tc>
          <w:tcPr>
            <w:tcW w:w="1402" w:type="dxa"/>
            <w:shd w:val="clear" w:color="auto" w:fill="auto"/>
          </w:tcPr>
          <w:p w:rsidR="00EC53CE" w:rsidRPr="00E34727" w:rsidRDefault="00EC53CE" w:rsidP="00BB7784">
            <w:pPr>
              <w:spacing w:after="60"/>
              <w:jc w:val="left"/>
              <w:rPr>
                <w:sz w:val="16"/>
                <w:szCs w:val="20"/>
                <w:lang w:val="fr-FR"/>
              </w:rPr>
            </w:pPr>
            <w:r w:rsidRPr="00E34727">
              <w:rPr>
                <w:sz w:val="16"/>
                <w:szCs w:val="20"/>
                <w:lang w:val="fr-FR"/>
              </w:rPr>
              <w:t>Coûts d’appui</w:t>
            </w:r>
          </w:p>
        </w:tc>
        <w:tc>
          <w:tcPr>
            <w:tcW w:w="801" w:type="dxa"/>
            <w:shd w:val="clear" w:color="auto" w:fill="auto"/>
          </w:tcPr>
          <w:p w:rsidR="00EC53CE" w:rsidRPr="00E34727" w:rsidRDefault="00EC53CE" w:rsidP="00BB7784">
            <w:pPr>
              <w:spacing w:after="60"/>
              <w:jc w:val="right"/>
              <w:rPr>
                <w:sz w:val="16"/>
                <w:szCs w:val="20"/>
                <w:lang w:val="fr-FR"/>
              </w:rPr>
            </w:pPr>
            <w:r w:rsidRPr="00E34727">
              <w:rPr>
                <w:sz w:val="16"/>
                <w:szCs w:val="20"/>
                <w:lang w:val="fr-FR"/>
              </w:rPr>
              <w:t>35 224</w:t>
            </w:r>
          </w:p>
        </w:tc>
        <w:tc>
          <w:tcPr>
            <w:tcW w:w="777" w:type="dxa"/>
            <w:shd w:val="clear" w:color="auto" w:fill="auto"/>
          </w:tcPr>
          <w:p w:rsidR="00EC53CE" w:rsidRPr="00E34727" w:rsidRDefault="00EC53CE" w:rsidP="00BB7784">
            <w:pPr>
              <w:spacing w:after="60"/>
              <w:jc w:val="right"/>
              <w:rPr>
                <w:sz w:val="16"/>
                <w:szCs w:val="20"/>
                <w:lang w:val="fr-FR"/>
              </w:rPr>
            </w:pPr>
            <w:r w:rsidRPr="00E34727">
              <w:rPr>
                <w:sz w:val="16"/>
                <w:szCs w:val="20"/>
                <w:lang w:val="fr-FR"/>
              </w:rPr>
              <w:t>0</w:t>
            </w:r>
          </w:p>
        </w:tc>
        <w:tc>
          <w:tcPr>
            <w:tcW w:w="801" w:type="dxa"/>
            <w:shd w:val="clear" w:color="auto" w:fill="auto"/>
          </w:tcPr>
          <w:p w:rsidR="00EC53CE" w:rsidRPr="00E34727" w:rsidRDefault="00EC53CE" w:rsidP="00BB7784">
            <w:pPr>
              <w:spacing w:after="60"/>
              <w:jc w:val="right"/>
              <w:rPr>
                <w:sz w:val="16"/>
                <w:szCs w:val="20"/>
                <w:lang w:val="fr-FR"/>
              </w:rPr>
            </w:pPr>
            <w:r w:rsidRPr="00E34727">
              <w:rPr>
                <w:sz w:val="16"/>
                <w:szCs w:val="20"/>
                <w:lang w:val="fr-FR"/>
              </w:rPr>
              <w:t>17 063</w:t>
            </w:r>
          </w:p>
        </w:tc>
        <w:tc>
          <w:tcPr>
            <w:tcW w:w="815" w:type="dxa"/>
            <w:shd w:val="clear" w:color="auto" w:fill="auto"/>
          </w:tcPr>
          <w:p w:rsidR="00EC53CE" w:rsidRPr="00E34727" w:rsidRDefault="00EC53CE" w:rsidP="00BB7784">
            <w:pPr>
              <w:spacing w:after="60"/>
              <w:jc w:val="right"/>
              <w:rPr>
                <w:sz w:val="16"/>
                <w:szCs w:val="20"/>
                <w:lang w:val="fr-FR"/>
              </w:rPr>
            </w:pPr>
            <w:r w:rsidRPr="00E34727">
              <w:rPr>
                <w:sz w:val="16"/>
                <w:szCs w:val="20"/>
                <w:lang w:val="fr-FR"/>
              </w:rPr>
              <w:t>0</w:t>
            </w:r>
          </w:p>
        </w:tc>
        <w:tc>
          <w:tcPr>
            <w:tcW w:w="685" w:type="dxa"/>
            <w:shd w:val="clear" w:color="auto" w:fill="auto"/>
          </w:tcPr>
          <w:p w:rsidR="00EC53CE" w:rsidRPr="00E34727" w:rsidRDefault="00EC53CE" w:rsidP="00BB7784">
            <w:pPr>
              <w:spacing w:after="60"/>
              <w:jc w:val="right"/>
              <w:rPr>
                <w:sz w:val="16"/>
                <w:szCs w:val="20"/>
                <w:lang w:val="fr-FR"/>
              </w:rPr>
            </w:pPr>
            <w:r w:rsidRPr="00E34727">
              <w:rPr>
                <w:sz w:val="16"/>
                <w:szCs w:val="20"/>
                <w:lang w:val="fr-FR"/>
              </w:rPr>
              <w:t>0</w:t>
            </w:r>
          </w:p>
        </w:tc>
        <w:tc>
          <w:tcPr>
            <w:tcW w:w="806" w:type="dxa"/>
          </w:tcPr>
          <w:p w:rsidR="00EC53CE" w:rsidRPr="00E34727" w:rsidRDefault="00EC53CE" w:rsidP="00BB7784">
            <w:pPr>
              <w:spacing w:after="60"/>
              <w:jc w:val="right"/>
              <w:rPr>
                <w:sz w:val="16"/>
                <w:szCs w:val="20"/>
                <w:lang w:val="fr-FR"/>
              </w:rPr>
            </w:pPr>
          </w:p>
        </w:tc>
        <w:tc>
          <w:tcPr>
            <w:tcW w:w="795" w:type="dxa"/>
          </w:tcPr>
          <w:p w:rsidR="00EC53CE" w:rsidRPr="00E34727" w:rsidRDefault="00EC53CE" w:rsidP="00BB7784">
            <w:pPr>
              <w:spacing w:after="60"/>
              <w:jc w:val="right"/>
              <w:rPr>
                <w:sz w:val="16"/>
                <w:szCs w:val="20"/>
                <w:lang w:val="fr-FR"/>
              </w:rPr>
            </w:pPr>
            <w:r w:rsidRPr="00E34727">
              <w:rPr>
                <w:sz w:val="16"/>
                <w:szCs w:val="20"/>
                <w:lang w:val="fr-FR"/>
              </w:rPr>
              <w:t>0</w:t>
            </w:r>
          </w:p>
        </w:tc>
        <w:tc>
          <w:tcPr>
            <w:tcW w:w="1126" w:type="dxa"/>
            <w:shd w:val="clear" w:color="auto" w:fill="auto"/>
          </w:tcPr>
          <w:p w:rsidR="00EC53CE" w:rsidRPr="00E34727" w:rsidRDefault="00EC53CE" w:rsidP="00BB7784">
            <w:pPr>
              <w:spacing w:after="60"/>
              <w:jc w:val="right"/>
              <w:rPr>
                <w:sz w:val="16"/>
                <w:szCs w:val="20"/>
                <w:lang w:val="fr-FR"/>
              </w:rPr>
            </w:pPr>
            <w:r w:rsidRPr="00E34727">
              <w:rPr>
                <w:sz w:val="16"/>
                <w:szCs w:val="20"/>
                <w:lang w:val="fr-FR"/>
              </w:rPr>
              <w:t>52 287</w:t>
            </w:r>
          </w:p>
        </w:tc>
      </w:tr>
      <w:tr w:rsidR="00EC53CE" w:rsidRPr="00E34727" w:rsidTr="00BB7784">
        <w:trPr>
          <w:trHeight w:val="345"/>
        </w:trPr>
        <w:tc>
          <w:tcPr>
            <w:tcW w:w="1980" w:type="dxa"/>
            <w:gridSpan w:val="2"/>
            <w:vMerge w:val="restart"/>
            <w:shd w:val="clear" w:color="auto" w:fill="auto"/>
          </w:tcPr>
          <w:p w:rsidR="00EC53CE" w:rsidRPr="00E34727" w:rsidRDefault="00EC53CE" w:rsidP="00BB7784">
            <w:pPr>
              <w:spacing w:after="60"/>
              <w:jc w:val="left"/>
              <w:rPr>
                <w:sz w:val="16"/>
                <w:szCs w:val="20"/>
                <w:lang w:val="fr-FR"/>
              </w:rPr>
            </w:pPr>
            <w:r w:rsidRPr="00E34727">
              <w:rPr>
                <w:sz w:val="16"/>
                <w:szCs w:val="20"/>
                <w:lang w:val="fr-FR"/>
              </w:rPr>
              <w:t>Total des fonds demandés pour approbation à cette réunion ($ US)</w:t>
            </w:r>
          </w:p>
        </w:tc>
        <w:tc>
          <w:tcPr>
            <w:tcW w:w="1402" w:type="dxa"/>
            <w:shd w:val="clear" w:color="auto" w:fill="auto"/>
          </w:tcPr>
          <w:p w:rsidR="00EC53CE" w:rsidRPr="00E34727" w:rsidRDefault="00EC53CE" w:rsidP="00BB7784">
            <w:pPr>
              <w:spacing w:after="60"/>
              <w:jc w:val="left"/>
              <w:rPr>
                <w:sz w:val="16"/>
                <w:szCs w:val="20"/>
                <w:lang w:val="fr-FR"/>
              </w:rPr>
            </w:pPr>
            <w:r w:rsidRPr="00E34727">
              <w:rPr>
                <w:sz w:val="16"/>
                <w:szCs w:val="20"/>
                <w:lang w:val="fr-FR"/>
              </w:rPr>
              <w:t>Coûts du projet</w:t>
            </w:r>
          </w:p>
        </w:tc>
        <w:tc>
          <w:tcPr>
            <w:tcW w:w="801" w:type="dxa"/>
            <w:shd w:val="clear" w:color="auto" w:fill="auto"/>
          </w:tcPr>
          <w:p w:rsidR="00EC53CE" w:rsidRPr="00E34727" w:rsidRDefault="00EC53CE" w:rsidP="00BB7784">
            <w:pPr>
              <w:spacing w:after="60"/>
              <w:jc w:val="right"/>
              <w:rPr>
                <w:sz w:val="16"/>
                <w:szCs w:val="20"/>
                <w:lang w:val="fr-FR"/>
              </w:rPr>
            </w:pPr>
          </w:p>
        </w:tc>
        <w:tc>
          <w:tcPr>
            <w:tcW w:w="777" w:type="dxa"/>
            <w:shd w:val="clear" w:color="auto" w:fill="auto"/>
          </w:tcPr>
          <w:p w:rsidR="00EC53CE" w:rsidRPr="00E34727" w:rsidRDefault="00EC53CE" w:rsidP="00BB7784">
            <w:pPr>
              <w:spacing w:after="60"/>
              <w:jc w:val="right"/>
              <w:rPr>
                <w:sz w:val="16"/>
                <w:szCs w:val="20"/>
                <w:lang w:val="fr-FR"/>
              </w:rPr>
            </w:pPr>
          </w:p>
        </w:tc>
        <w:tc>
          <w:tcPr>
            <w:tcW w:w="801" w:type="dxa"/>
            <w:shd w:val="clear" w:color="auto" w:fill="auto"/>
          </w:tcPr>
          <w:p w:rsidR="00EC53CE" w:rsidRPr="00E34727" w:rsidRDefault="00EC53CE" w:rsidP="00BB7784">
            <w:pPr>
              <w:spacing w:after="60"/>
              <w:jc w:val="right"/>
              <w:rPr>
                <w:sz w:val="16"/>
                <w:szCs w:val="20"/>
                <w:lang w:val="fr-FR"/>
              </w:rPr>
            </w:pPr>
          </w:p>
        </w:tc>
        <w:tc>
          <w:tcPr>
            <w:tcW w:w="815" w:type="dxa"/>
            <w:shd w:val="clear" w:color="auto" w:fill="auto"/>
          </w:tcPr>
          <w:p w:rsidR="00EC53CE" w:rsidRPr="00E34727" w:rsidRDefault="00EC53CE" w:rsidP="00BB7784">
            <w:pPr>
              <w:spacing w:after="60"/>
              <w:jc w:val="right"/>
              <w:rPr>
                <w:sz w:val="16"/>
                <w:szCs w:val="20"/>
                <w:lang w:val="fr-FR"/>
              </w:rPr>
            </w:pPr>
          </w:p>
        </w:tc>
        <w:tc>
          <w:tcPr>
            <w:tcW w:w="685" w:type="dxa"/>
            <w:shd w:val="clear" w:color="auto" w:fill="auto"/>
          </w:tcPr>
          <w:p w:rsidR="00EC53CE" w:rsidRPr="00E34727" w:rsidRDefault="00EC53CE" w:rsidP="00BB7784">
            <w:pPr>
              <w:spacing w:after="60"/>
              <w:jc w:val="right"/>
              <w:rPr>
                <w:sz w:val="16"/>
                <w:szCs w:val="20"/>
                <w:lang w:val="fr-FR"/>
              </w:rPr>
            </w:pPr>
          </w:p>
        </w:tc>
        <w:tc>
          <w:tcPr>
            <w:tcW w:w="806" w:type="dxa"/>
          </w:tcPr>
          <w:p w:rsidR="00EC53CE" w:rsidRPr="00E34727" w:rsidRDefault="00EC53CE" w:rsidP="00BB7784">
            <w:pPr>
              <w:spacing w:after="60"/>
              <w:jc w:val="right"/>
              <w:rPr>
                <w:sz w:val="16"/>
                <w:szCs w:val="20"/>
                <w:lang w:val="fr-FR"/>
              </w:rPr>
            </w:pPr>
            <w:r w:rsidRPr="00E34727">
              <w:rPr>
                <w:sz w:val="16"/>
                <w:szCs w:val="20"/>
                <w:lang w:val="fr-FR"/>
              </w:rPr>
              <w:t>91 500</w:t>
            </w:r>
          </w:p>
        </w:tc>
        <w:tc>
          <w:tcPr>
            <w:tcW w:w="795" w:type="dxa"/>
          </w:tcPr>
          <w:p w:rsidR="00EC53CE" w:rsidRPr="00E34727" w:rsidRDefault="00EC53CE" w:rsidP="00BB7784">
            <w:pPr>
              <w:spacing w:after="60"/>
              <w:jc w:val="right"/>
              <w:rPr>
                <w:sz w:val="16"/>
                <w:szCs w:val="20"/>
                <w:lang w:val="fr-FR"/>
              </w:rPr>
            </w:pPr>
          </w:p>
        </w:tc>
        <w:tc>
          <w:tcPr>
            <w:tcW w:w="1126" w:type="dxa"/>
            <w:shd w:val="clear" w:color="auto" w:fill="auto"/>
          </w:tcPr>
          <w:p w:rsidR="00EC53CE" w:rsidRPr="00E34727" w:rsidRDefault="00EC53CE" w:rsidP="00BB7784">
            <w:pPr>
              <w:spacing w:after="60"/>
              <w:jc w:val="right"/>
              <w:rPr>
                <w:sz w:val="16"/>
                <w:szCs w:val="20"/>
                <w:lang w:val="fr-FR"/>
              </w:rPr>
            </w:pPr>
            <w:r w:rsidRPr="00E34727">
              <w:rPr>
                <w:sz w:val="16"/>
                <w:szCs w:val="20"/>
                <w:lang w:val="fr-FR"/>
              </w:rPr>
              <w:t>91 500</w:t>
            </w:r>
          </w:p>
        </w:tc>
      </w:tr>
      <w:tr w:rsidR="00EC53CE" w:rsidRPr="00E34727" w:rsidTr="00BB7784">
        <w:trPr>
          <w:trHeight w:val="359"/>
        </w:trPr>
        <w:tc>
          <w:tcPr>
            <w:tcW w:w="1980" w:type="dxa"/>
            <w:gridSpan w:val="2"/>
            <w:vMerge/>
            <w:shd w:val="clear" w:color="auto" w:fill="auto"/>
          </w:tcPr>
          <w:p w:rsidR="00EC53CE" w:rsidRPr="00E34727" w:rsidRDefault="00EC53CE" w:rsidP="00BB7784">
            <w:pPr>
              <w:spacing w:after="60"/>
              <w:jc w:val="center"/>
              <w:rPr>
                <w:sz w:val="16"/>
                <w:szCs w:val="20"/>
                <w:lang w:val="fr-FR"/>
              </w:rPr>
            </w:pPr>
          </w:p>
        </w:tc>
        <w:tc>
          <w:tcPr>
            <w:tcW w:w="1402" w:type="dxa"/>
            <w:shd w:val="clear" w:color="auto" w:fill="auto"/>
          </w:tcPr>
          <w:p w:rsidR="00EC53CE" w:rsidRPr="00E34727" w:rsidRDefault="00EC53CE" w:rsidP="00BB7784">
            <w:pPr>
              <w:spacing w:after="60"/>
              <w:jc w:val="left"/>
              <w:rPr>
                <w:sz w:val="16"/>
                <w:szCs w:val="20"/>
                <w:lang w:val="fr-FR"/>
              </w:rPr>
            </w:pPr>
            <w:r w:rsidRPr="00E34727">
              <w:rPr>
                <w:sz w:val="16"/>
                <w:szCs w:val="20"/>
                <w:lang w:val="fr-FR"/>
              </w:rPr>
              <w:t>Coûts d’appui</w:t>
            </w:r>
          </w:p>
        </w:tc>
        <w:tc>
          <w:tcPr>
            <w:tcW w:w="801" w:type="dxa"/>
            <w:shd w:val="clear" w:color="auto" w:fill="auto"/>
          </w:tcPr>
          <w:p w:rsidR="00EC53CE" w:rsidRPr="00E34727" w:rsidRDefault="00EC53CE" w:rsidP="00BB7784">
            <w:pPr>
              <w:spacing w:after="60"/>
              <w:jc w:val="right"/>
              <w:rPr>
                <w:sz w:val="16"/>
                <w:szCs w:val="20"/>
                <w:lang w:val="fr-FR"/>
              </w:rPr>
            </w:pPr>
          </w:p>
        </w:tc>
        <w:tc>
          <w:tcPr>
            <w:tcW w:w="777" w:type="dxa"/>
            <w:shd w:val="clear" w:color="auto" w:fill="auto"/>
          </w:tcPr>
          <w:p w:rsidR="00EC53CE" w:rsidRPr="00E34727" w:rsidRDefault="00EC53CE" w:rsidP="00BB7784">
            <w:pPr>
              <w:spacing w:after="60"/>
              <w:jc w:val="right"/>
              <w:rPr>
                <w:sz w:val="16"/>
                <w:szCs w:val="20"/>
                <w:lang w:val="fr-FR"/>
              </w:rPr>
            </w:pPr>
          </w:p>
        </w:tc>
        <w:tc>
          <w:tcPr>
            <w:tcW w:w="801" w:type="dxa"/>
            <w:shd w:val="clear" w:color="auto" w:fill="auto"/>
          </w:tcPr>
          <w:p w:rsidR="00EC53CE" w:rsidRPr="00E34727" w:rsidRDefault="00EC53CE" w:rsidP="00BB7784">
            <w:pPr>
              <w:spacing w:after="60"/>
              <w:jc w:val="right"/>
              <w:rPr>
                <w:sz w:val="16"/>
                <w:szCs w:val="20"/>
                <w:lang w:val="fr-FR"/>
              </w:rPr>
            </w:pPr>
          </w:p>
        </w:tc>
        <w:tc>
          <w:tcPr>
            <w:tcW w:w="815" w:type="dxa"/>
            <w:shd w:val="clear" w:color="auto" w:fill="auto"/>
          </w:tcPr>
          <w:p w:rsidR="00EC53CE" w:rsidRPr="00E34727" w:rsidRDefault="00EC53CE" w:rsidP="00BB7784">
            <w:pPr>
              <w:spacing w:after="60"/>
              <w:jc w:val="right"/>
              <w:rPr>
                <w:sz w:val="16"/>
                <w:szCs w:val="20"/>
                <w:lang w:val="fr-FR"/>
              </w:rPr>
            </w:pPr>
          </w:p>
        </w:tc>
        <w:tc>
          <w:tcPr>
            <w:tcW w:w="685" w:type="dxa"/>
            <w:shd w:val="clear" w:color="auto" w:fill="auto"/>
          </w:tcPr>
          <w:p w:rsidR="00EC53CE" w:rsidRPr="00E34727" w:rsidRDefault="00EC53CE" w:rsidP="00BB7784">
            <w:pPr>
              <w:spacing w:after="60"/>
              <w:jc w:val="right"/>
              <w:rPr>
                <w:sz w:val="16"/>
                <w:szCs w:val="20"/>
                <w:lang w:val="fr-FR"/>
              </w:rPr>
            </w:pPr>
          </w:p>
        </w:tc>
        <w:tc>
          <w:tcPr>
            <w:tcW w:w="806" w:type="dxa"/>
          </w:tcPr>
          <w:p w:rsidR="00EC53CE" w:rsidRPr="00E34727" w:rsidRDefault="00EC53CE" w:rsidP="00BB7784">
            <w:pPr>
              <w:spacing w:after="60"/>
              <w:jc w:val="right"/>
              <w:rPr>
                <w:sz w:val="16"/>
                <w:szCs w:val="20"/>
                <w:lang w:val="fr-FR"/>
              </w:rPr>
            </w:pPr>
            <w:r w:rsidRPr="00E34727">
              <w:rPr>
                <w:sz w:val="16"/>
                <w:szCs w:val="20"/>
                <w:lang w:val="fr-FR"/>
              </w:rPr>
              <w:t>8 445</w:t>
            </w:r>
          </w:p>
        </w:tc>
        <w:tc>
          <w:tcPr>
            <w:tcW w:w="795" w:type="dxa"/>
          </w:tcPr>
          <w:p w:rsidR="00EC53CE" w:rsidRPr="00E34727" w:rsidRDefault="00EC53CE" w:rsidP="00BB7784">
            <w:pPr>
              <w:spacing w:after="60"/>
              <w:jc w:val="right"/>
              <w:rPr>
                <w:sz w:val="16"/>
                <w:szCs w:val="20"/>
                <w:lang w:val="fr-FR"/>
              </w:rPr>
            </w:pPr>
          </w:p>
        </w:tc>
        <w:tc>
          <w:tcPr>
            <w:tcW w:w="1126" w:type="dxa"/>
            <w:shd w:val="clear" w:color="auto" w:fill="auto"/>
          </w:tcPr>
          <w:p w:rsidR="00EC53CE" w:rsidRPr="00E34727" w:rsidRDefault="00EC53CE" w:rsidP="00BB7784">
            <w:pPr>
              <w:spacing w:after="60"/>
              <w:jc w:val="right"/>
              <w:rPr>
                <w:sz w:val="16"/>
                <w:szCs w:val="20"/>
                <w:lang w:val="fr-FR"/>
              </w:rPr>
            </w:pPr>
            <w:r w:rsidRPr="00E34727">
              <w:rPr>
                <w:sz w:val="16"/>
                <w:szCs w:val="20"/>
                <w:lang w:val="fr-FR"/>
              </w:rPr>
              <w:t>8 445</w:t>
            </w:r>
          </w:p>
        </w:tc>
      </w:tr>
    </w:tbl>
    <w:p w:rsidR="00EC53CE" w:rsidRPr="00E34727" w:rsidRDefault="00EC53CE" w:rsidP="00EC53CE">
      <w:pPr>
        <w:spacing w:after="60"/>
        <w:rPr>
          <w:sz w:val="14"/>
          <w:szCs w:val="14"/>
          <w:lang w:val="fr-FR"/>
        </w:rPr>
      </w:pPr>
    </w:p>
    <w:tbl>
      <w:tblPr>
        <w:tblStyle w:val="TableGrid"/>
        <w:tblW w:w="10000" w:type="dxa"/>
        <w:tblLook w:val="04A0" w:firstRow="1" w:lastRow="0" w:firstColumn="1" w:lastColumn="0" w:noHBand="0" w:noVBand="1"/>
      </w:tblPr>
      <w:tblGrid>
        <w:gridCol w:w="3000"/>
        <w:gridCol w:w="7000"/>
      </w:tblGrid>
      <w:tr w:rsidR="00EC53CE" w:rsidRPr="00E34727" w:rsidTr="00BB7784">
        <w:trPr>
          <w:trHeight w:val="240"/>
        </w:trPr>
        <w:tc>
          <w:tcPr>
            <w:tcW w:w="3000" w:type="dxa"/>
            <w:shd w:val="clear" w:color="auto" w:fill="auto"/>
          </w:tcPr>
          <w:p w:rsidR="00EC53CE" w:rsidRPr="00E34727" w:rsidRDefault="00EC53CE" w:rsidP="00BB7784">
            <w:pPr>
              <w:spacing w:after="60"/>
              <w:jc w:val="left"/>
              <w:rPr>
                <w:b/>
                <w:sz w:val="16"/>
                <w:szCs w:val="20"/>
                <w:lang w:val="fr-FR"/>
              </w:rPr>
            </w:pPr>
            <w:r w:rsidRPr="00E34727">
              <w:rPr>
                <w:b/>
                <w:sz w:val="16"/>
                <w:szCs w:val="20"/>
                <w:lang w:val="fr-FR"/>
              </w:rPr>
              <w:t>Recommandation du Secrétariat :</w:t>
            </w:r>
          </w:p>
        </w:tc>
        <w:tc>
          <w:tcPr>
            <w:tcW w:w="7000" w:type="dxa"/>
            <w:shd w:val="clear" w:color="auto" w:fill="auto"/>
          </w:tcPr>
          <w:p w:rsidR="00EC53CE" w:rsidRPr="00E34727" w:rsidRDefault="00EC53CE" w:rsidP="00BB7784">
            <w:pPr>
              <w:spacing w:after="60"/>
              <w:jc w:val="center"/>
              <w:rPr>
                <w:sz w:val="16"/>
                <w:szCs w:val="20"/>
                <w:lang w:val="fr-FR"/>
              </w:rPr>
            </w:pPr>
            <w:r w:rsidRPr="00E34727">
              <w:rPr>
                <w:sz w:val="16"/>
                <w:szCs w:val="20"/>
                <w:lang w:val="fr-FR"/>
              </w:rPr>
              <w:t>Approbation globale</w:t>
            </w:r>
          </w:p>
        </w:tc>
      </w:tr>
    </w:tbl>
    <w:p w:rsidR="00EC53CE" w:rsidRPr="00A13740" w:rsidRDefault="00EC53CE" w:rsidP="00E34727">
      <w:pPr>
        <w:spacing w:after="240"/>
        <w:rPr>
          <w:b/>
          <w:lang w:val="fr-FR"/>
        </w:rPr>
      </w:pPr>
    </w:p>
    <w:p w:rsidR="00EC53CE" w:rsidRPr="00A13740" w:rsidRDefault="00EC53CE" w:rsidP="00EC53CE">
      <w:pPr>
        <w:spacing w:after="240"/>
        <w:jc w:val="center"/>
        <w:rPr>
          <w:b/>
          <w:lang w:val="fr-FR"/>
        </w:rPr>
      </w:pPr>
      <w:r w:rsidRPr="00A13740">
        <w:rPr>
          <w:b/>
          <w:lang w:val="fr-FR"/>
        </w:rPr>
        <w:t>DESCRIPTIF DU PROJET</w:t>
      </w:r>
    </w:p>
    <w:p w:rsidR="00EC53CE" w:rsidRPr="00A13740" w:rsidRDefault="00EC53CE" w:rsidP="00EC53CE">
      <w:pPr>
        <w:pStyle w:val="Heading1"/>
        <w:numPr>
          <w:ilvl w:val="0"/>
          <w:numId w:val="0"/>
        </w:numPr>
        <w:rPr>
          <w:b/>
          <w:lang w:val="fr-FR"/>
        </w:rPr>
      </w:pPr>
      <w:r w:rsidRPr="00A13740">
        <w:rPr>
          <w:b/>
          <w:lang w:val="fr-FR"/>
        </w:rPr>
        <w:t>Historique</w:t>
      </w:r>
    </w:p>
    <w:p w:rsidR="00EC53CE" w:rsidRPr="00A13740" w:rsidRDefault="00EC53CE" w:rsidP="00EC53CE">
      <w:pPr>
        <w:pStyle w:val="Heading1"/>
        <w:rPr>
          <w:lang w:val="fr-FR"/>
        </w:rPr>
      </w:pPr>
      <w:r w:rsidRPr="00A13740">
        <w:rPr>
          <w:lang w:val="fr-FR"/>
        </w:rPr>
        <w:t>Au nom du Gouvernement de la Tunisie, l’ONUDI, à titre d’agence d’exécution principale, a présenté une demande de financement pour la troisième et dernière tranche de la phase I du plan de gestion de l’élimination des HCFC (PGEH) ainsi qu'une demande portant sur la phase II du PGEH.</w:t>
      </w:r>
    </w:p>
    <w:p w:rsidR="00EC53CE" w:rsidRPr="00A13740" w:rsidRDefault="00EC53CE" w:rsidP="00EC53CE">
      <w:pPr>
        <w:pStyle w:val="Heading1"/>
        <w:rPr>
          <w:lang w:val="fr-FR"/>
        </w:rPr>
      </w:pPr>
      <w:r w:rsidRPr="00A13740">
        <w:rPr>
          <w:lang w:val="fr-FR"/>
        </w:rPr>
        <w:t>La phase I du PGEH a été approuvée à la 72</w:t>
      </w:r>
      <w:r w:rsidRPr="00A13740">
        <w:rPr>
          <w:vertAlign w:val="superscript"/>
          <w:lang w:val="fr-FR"/>
        </w:rPr>
        <w:t xml:space="preserve">e </w:t>
      </w:r>
      <w:r w:rsidRPr="00A13740">
        <w:rPr>
          <w:lang w:val="fr-FR"/>
        </w:rPr>
        <w:t xml:space="preserve">réunion afin d’atteindre une réduction de 15 % d'ici 2018 pour un coût total de 1 966 209 $ US (soit 1 100 195 $ US, plus coûts d’appui d’agence de </w:t>
      </w:r>
      <w:r>
        <w:rPr>
          <w:lang w:val="fr-FR"/>
        </w:rPr>
        <w:t>77 014 </w:t>
      </w:r>
      <w:r w:rsidRPr="00A13740">
        <w:rPr>
          <w:lang w:val="fr-FR"/>
        </w:rPr>
        <w:t>$ US pour l'ONUDI, 100 000 $ US plus coûts d’appui d’agence de 13 000 $ US pour le PNUE et 600 000 $ US plus coûts d’appui d’agence de 76 000 $ US pour le Gouvernement français), l'objectif étant d'éliminer 10,6 tonnes PAO de HCFC (1,34 tonne PAO de HCFC-141b et 9,26 tonnes PAO de HCFC-22) employés dans les secteurs des solvants, de la climatisation résidentielle, de la fabrication et de l'entretien en réfrigération. Les tranches de financement ont été approuvées aux 72</w:t>
      </w:r>
      <w:r w:rsidRPr="00A13740">
        <w:rPr>
          <w:vertAlign w:val="superscript"/>
          <w:lang w:val="fr-FR"/>
        </w:rPr>
        <w:t>e</w:t>
      </w:r>
      <w:r w:rsidRPr="00A13740">
        <w:rPr>
          <w:lang w:val="fr-FR"/>
        </w:rPr>
        <w:t xml:space="preserve"> et 76</w:t>
      </w:r>
      <w:r w:rsidRPr="00A13740">
        <w:rPr>
          <w:vertAlign w:val="superscript"/>
          <w:lang w:val="fr-FR"/>
        </w:rPr>
        <w:t>e</w:t>
      </w:r>
      <w:r w:rsidRPr="00A13740">
        <w:rPr>
          <w:lang w:val="fr-FR"/>
        </w:rPr>
        <w:t xml:space="preserve"> réunions.</w:t>
      </w:r>
    </w:p>
    <w:p w:rsidR="00EC53CE" w:rsidRPr="00A13740" w:rsidRDefault="00EC53CE" w:rsidP="00EC53CE">
      <w:pPr>
        <w:pStyle w:val="Heading1"/>
        <w:rPr>
          <w:lang w:val="fr-FR"/>
        </w:rPr>
      </w:pPr>
      <w:r w:rsidRPr="00A13740">
        <w:rPr>
          <w:lang w:val="fr-FR"/>
        </w:rPr>
        <w:t xml:space="preserve">La phase I comprenait une proposition de conversion du secteur de la fabrication de climatiseurs résidentiels en vue de l'élimination de 79,3 </w:t>
      </w:r>
      <w:proofErr w:type="spellStart"/>
      <w:r w:rsidRPr="00A13740">
        <w:rPr>
          <w:lang w:val="fr-FR"/>
        </w:rPr>
        <w:t>tm</w:t>
      </w:r>
      <w:proofErr w:type="spellEnd"/>
      <w:r w:rsidRPr="00A13740">
        <w:rPr>
          <w:lang w:val="fr-FR"/>
        </w:rPr>
        <w:t xml:space="preserve"> (4,36 tonnes PAO) de HCFC-22, pour un coût convenu de 1 206 919 $ US (y compris les coûts d'appui d'agence pour l'ONUDI et le Gouvernement français). Par la suite, à la 83</w:t>
      </w:r>
      <w:r w:rsidRPr="00A13740">
        <w:rPr>
          <w:vertAlign w:val="superscript"/>
          <w:lang w:val="fr-FR"/>
        </w:rPr>
        <w:t>e</w:t>
      </w:r>
      <w:r w:rsidRPr="00A13740">
        <w:rPr>
          <w:lang w:val="fr-FR"/>
        </w:rPr>
        <w:t xml:space="preserve"> réunion, le Gouvernement tunisien, par l'intermédiaire de l'ONUDI, a présenté une demande d'annulation du plan concernant le secteur de la climatisation, faisant valoir que les entreprises bénéficiaires avaient des difficultés techniques et financières à se convertir à la technologie de remplacement convenue (le R-290) ; accepté de rembourser au Fonds le solde associé au plan sectoriel ; et accepté que la consommation de HCFC associée au plan sectoriel soit considérée comme totalement éliminée et déduite de la consommation admissibles. Suite à cette demande, l'Accord avec le Comité exécutif a été révisé et il a été demandé à l'ONUDI et au Gouvernemen</w:t>
      </w:r>
      <w:r>
        <w:rPr>
          <w:lang w:val="fr-FR"/>
        </w:rPr>
        <w:t>t français de retourner 898 976 </w:t>
      </w:r>
      <w:r w:rsidRPr="00A13740">
        <w:rPr>
          <w:lang w:val="fr-FR"/>
        </w:rPr>
        <w:t>$ US à la 84</w:t>
      </w:r>
      <w:r w:rsidRPr="00A13740">
        <w:rPr>
          <w:vertAlign w:val="superscript"/>
          <w:lang w:val="fr-FR"/>
        </w:rPr>
        <w:t>e</w:t>
      </w:r>
      <w:r w:rsidRPr="00A13740">
        <w:rPr>
          <w:lang w:val="fr-FR"/>
        </w:rPr>
        <w:t>réunion (décision 83/28).</w:t>
      </w:r>
    </w:p>
    <w:p w:rsidR="00EC53CE" w:rsidRPr="00A13740" w:rsidRDefault="00EC53CE" w:rsidP="00EC53CE">
      <w:pPr>
        <w:pStyle w:val="Heading1"/>
        <w:rPr>
          <w:lang w:val="fr-FR"/>
        </w:rPr>
      </w:pPr>
      <w:r w:rsidRPr="00A13740">
        <w:rPr>
          <w:lang w:val="fr-FR"/>
        </w:rPr>
        <w:t>Conformément à la décision 83/28 (d), un montant de 875 764 $ US a été reversé au Fonds multilatéral à la 84</w:t>
      </w:r>
      <w:r w:rsidRPr="00A13740">
        <w:rPr>
          <w:vertAlign w:val="superscript"/>
          <w:lang w:val="fr-FR"/>
        </w:rPr>
        <w:t xml:space="preserve">e </w:t>
      </w:r>
      <w:r w:rsidRPr="00A13740">
        <w:rPr>
          <w:lang w:val="fr-FR"/>
        </w:rPr>
        <w:t>réunion.</w:t>
      </w:r>
      <w:r w:rsidR="0012077D">
        <w:rPr>
          <w:rStyle w:val="FootnoteReference"/>
          <w:lang w:val="fr-FR"/>
        </w:rPr>
        <w:footnoteReference w:id="1"/>
      </w:r>
    </w:p>
    <w:p w:rsidR="00EC53CE" w:rsidRPr="00A13740" w:rsidRDefault="00EC53CE" w:rsidP="00EC53CE">
      <w:pPr>
        <w:pStyle w:val="Heading1"/>
        <w:keepNext/>
        <w:numPr>
          <w:ilvl w:val="0"/>
          <w:numId w:val="0"/>
        </w:numPr>
        <w:rPr>
          <w:b/>
          <w:lang w:val="fr-FR"/>
        </w:rPr>
      </w:pPr>
      <w:r w:rsidRPr="00A13740">
        <w:rPr>
          <w:b/>
          <w:lang w:val="fr-FR"/>
        </w:rPr>
        <w:t>Troisième et dernière tranche de la phase I du PGEH</w:t>
      </w:r>
    </w:p>
    <w:p w:rsidR="00EC53CE" w:rsidRPr="00A13740" w:rsidRDefault="00EC53CE" w:rsidP="00EC53CE">
      <w:pPr>
        <w:pStyle w:val="Heading1"/>
        <w:rPr>
          <w:lang w:val="fr-FR"/>
        </w:rPr>
      </w:pPr>
      <w:r w:rsidRPr="00A13740">
        <w:rPr>
          <w:lang w:val="fr-FR"/>
        </w:rPr>
        <w:t>Au nom du Gouvernement tunisien, l’ONUDI, en sa qualité d'agence d'exécution principale, a présenté une demande de financement pour la troisième et dernière tranche de la phase I du PGEH, d'un montant total de 99 945 $ US, dont 57 500 $ US plus les coûts d'appui d'agence pour l’</w:t>
      </w:r>
      <w:r>
        <w:rPr>
          <w:lang w:val="fr-FR"/>
        </w:rPr>
        <w:t>ONUDI (4 025 </w:t>
      </w:r>
      <w:r w:rsidRPr="00A13740">
        <w:rPr>
          <w:lang w:val="fr-FR"/>
        </w:rPr>
        <w:t>$ US), 15 000 $ US plus les coûts d'appui d'agence pour le PNUE (1 950 $ US) et 19 000 $ US plus les coûts d'appui d'agence pour le Gouvernement français (2 470 $ US).</w:t>
      </w:r>
      <w:r w:rsidR="0012077D">
        <w:rPr>
          <w:rStyle w:val="FootnoteReference"/>
          <w:lang w:val="fr-FR"/>
        </w:rPr>
        <w:footnoteReference w:id="2"/>
      </w:r>
      <w:r w:rsidRPr="00A13740">
        <w:rPr>
          <w:lang w:val="fr-FR"/>
        </w:rPr>
        <w:t xml:space="preserve"> La demande comprend un rapport périodique sur la mise en œuvre de la deuxième tranche, le rapport de vérification sur la consommation de HCFC pour 2016-2018 et le plan de mise en œuvre de la tranche pour 2020.</w:t>
      </w:r>
    </w:p>
    <w:p w:rsidR="00EC53CE" w:rsidRPr="00A13740" w:rsidRDefault="00EC53CE" w:rsidP="00EC53CE">
      <w:pPr>
        <w:spacing w:after="240"/>
        <w:rPr>
          <w:u w:val="single"/>
          <w:lang w:val="fr-FR"/>
        </w:rPr>
      </w:pPr>
      <w:r w:rsidRPr="00A13740">
        <w:rPr>
          <w:u w:val="single"/>
          <w:lang w:val="fr-FR"/>
        </w:rPr>
        <w:t>Rapport sur la consommation de HCFC</w:t>
      </w:r>
    </w:p>
    <w:p w:rsidR="0012077D" w:rsidRPr="00BE27C5" w:rsidRDefault="00EC53CE" w:rsidP="00EC53CE">
      <w:pPr>
        <w:pStyle w:val="Heading1"/>
        <w:rPr>
          <w:lang w:val="fr-FR"/>
        </w:rPr>
      </w:pPr>
      <w:r w:rsidRPr="00A13740">
        <w:rPr>
          <w:lang w:val="fr-FR"/>
        </w:rPr>
        <w:t xml:space="preserve">Le Gouvernement tunisien a rapporté une consommation de 25,91 tonnes PAO de HCFC en 2018, ce qui est environ 36 % inférieur à la valeur de référence à des fins de conformité. La consommation de HCFC pour 2014-2018 figure au tableau 1 ci-après : </w:t>
      </w:r>
    </w:p>
    <w:p w:rsidR="00EC53CE" w:rsidRPr="00A13740" w:rsidRDefault="00EC53CE" w:rsidP="00EC53CE">
      <w:pPr>
        <w:rPr>
          <w:b/>
          <w:lang w:val="fr-FR"/>
        </w:rPr>
      </w:pPr>
      <w:r w:rsidRPr="00A13740">
        <w:rPr>
          <w:b/>
          <w:lang w:val="fr-FR"/>
        </w:rPr>
        <w:lastRenderedPageBreak/>
        <w:t>Tableau 1. Consommation de HCFC en Tunisie (données fournies au titre de l’article 7 pour 2014-2018)</w:t>
      </w:r>
    </w:p>
    <w:tbl>
      <w:tblPr>
        <w:tblW w:w="5003" w:type="pct"/>
        <w:tblLayout w:type="fixed"/>
        <w:tblLook w:val="04A0" w:firstRow="1" w:lastRow="0" w:firstColumn="1" w:lastColumn="0" w:noHBand="0" w:noVBand="1"/>
      </w:tblPr>
      <w:tblGrid>
        <w:gridCol w:w="3144"/>
        <w:gridCol w:w="1035"/>
        <w:gridCol w:w="1035"/>
        <w:gridCol w:w="1035"/>
        <w:gridCol w:w="1035"/>
        <w:gridCol w:w="1035"/>
        <w:gridCol w:w="1037"/>
      </w:tblGrid>
      <w:tr w:rsidR="00EC53CE" w:rsidRPr="00A13740" w:rsidTr="00BB7784">
        <w:trPr>
          <w:tblHeader/>
        </w:trPr>
        <w:tc>
          <w:tcPr>
            <w:tcW w:w="1681" w:type="pct"/>
            <w:tcBorders>
              <w:top w:val="single" w:sz="4" w:space="0" w:color="auto"/>
              <w:left w:val="single" w:sz="4" w:space="0" w:color="auto"/>
              <w:bottom w:val="single" w:sz="4" w:space="0" w:color="auto"/>
              <w:right w:val="single" w:sz="4" w:space="0" w:color="auto"/>
            </w:tcBorders>
            <w:shd w:val="clear" w:color="auto" w:fill="auto"/>
            <w:noWrap/>
            <w:tcMar>
              <w:left w:w="43" w:type="dxa"/>
              <w:right w:w="43" w:type="dxa"/>
            </w:tcMar>
            <w:vAlign w:val="center"/>
            <w:hideMark/>
          </w:tcPr>
          <w:p w:rsidR="00EC53CE" w:rsidRPr="00A13740" w:rsidRDefault="00EC53CE" w:rsidP="00BB7784">
            <w:pPr>
              <w:widowControl w:val="0"/>
              <w:jc w:val="left"/>
              <w:rPr>
                <w:b/>
                <w:bCs/>
                <w:color w:val="000000"/>
                <w:sz w:val="20"/>
                <w:szCs w:val="20"/>
                <w:lang w:val="fr-FR"/>
              </w:rPr>
            </w:pPr>
            <w:r w:rsidRPr="00A13740">
              <w:rPr>
                <w:b/>
                <w:bCs/>
                <w:color w:val="000000"/>
                <w:sz w:val="20"/>
                <w:szCs w:val="20"/>
                <w:lang w:val="fr-FR"/>
              </w:rPr>
              <w:t>HCFC</w:t>
            </w:r>
          </w:p>
        </w:tc>
        <w:tc>
          <w:tcPr>
            <w:tcW w:w="553" w:type="pct"/>
            <w:tcBorders>
              <w:top w:val="single" w:sz="4" w:space="0" w:color="auto"/>
              <w:left w:val="nil"/>
              <w:bottom w:val="single" w:sz="4" w:space="0" w:color="auto"/>
              <w:right w:val="single" w:sz="4" w:space="0" w:color="auto"/>
            </w:tcBorders>
            <w:shd w:val="clear" w:color="auto" w:fill="auto"/>
            <w:noWrap/>
            <w:vAlign w:val="center"/>
            <w:hideMark/>
          </w:tcPr>
          <w:p w:rsidR="00EC53CE" w:rsidRPr="00A13740" w:rsidRDefault="00EC53CE" w:rsidP="00BB7784">
            <w:pPr>
              <w:widowControl w:val="0"/>
              <w:jc w:val="center"/>
              <w:rPr>
                <w:b/>
                <w:bCs/>
                <w:color w:val="000000"/>
                <w:sz w:val="20"/>
                <w:szCs w:val="20"/>
                <w:lang w:val="fr-FR"/>
              </w:rPr>
            </w:pPr>
            <w:r w:rsidRPr="00A13740">
              <w:rPr>
                <w:b/>
                <w:bCs/>
                <w:color w:val="000000"/>
                <w:sz w:val="20"/>
                <w:szCs w:val="20"/>
                <w:lang w:val="fr-FR"/>
              </w:rPr>
              <w:t>2014</w:t>
            </w:r>
          </w:p>
        </w:tc>
        <w:tc>
          <w:tcPr>
            <w:tcW w:w="553" w:type="pct"/>
            <w:tcBorders>
              <w:top w:val="single" w:sz="4" w:space="0" w:color="auto"/>
              <w:left w:val="nil"/>
              <w:bottom w:val="single" w:sz="4" w:space="0" w:color="auto"/>
              <w:right w:val="single" w:sz="4" w:space="0" w:color="auto"/>
            </w:tcBorders>
            <w:shd w:val="clear" w:color="auto" w:fill="auto"/>
            <w:noWrap/>
            <w:vAlign w:val="center"/>
            <w:hideMark/>
          </w:tcPr>
          <w:p w:rsidR="00EC53CE" w:rsidRPr="00A13740" w:rsidRDefault="00EC53CE" w:rsidP="00BB7784">
            <w:pPr>
              <w:widowControl w:val="0"/>
              <w:jc w:val="center"/>
              <w:rPr>
                <w:b/>
                <w:bCs/>
                <w:color w:val="000000"/>
                <w:sz w:val="20"/>
                <w:szCs w:val="20"/>
                <w:lang w:val="fr-FR"/>
              </w:rPr>
            </w:pPr>
            <w:r w:rsidRPr="00A13740">
              <w:rPr>
                <w:b/>
                <w:bCs/>
                <w:color w:val="000000"/>
                <w:sz w:val="20"/>
                <w:szCs w:val="20"/>
                <w:lang w:val="fr-FR"/>
              </w:rPr>
              <w:t>2015</w:t>
            </w:r>
          </w:p>
        </w:tc>
        <w:tc>
          <w:tcPr>
            <w:tcW w:w="553" w:type="pct"/>
            <w:tcBorders>
              <w:top w:val="single" w:sz="4" w:space="0" w:color="auto"/>
              <w:left w:val="nil"/>
              <w:bottom w:val="single" w:sz="4" w:space="0" w:color="auto"/>
              <w:right w:val="single" w:sz="4" w:space="0" w:color="auto"/>
            </w:tcBorders>
            <w:shd w:val="clear" w:color="auto" w:fill="auto"/>
            <w:noWrap/>
            <w:vAlign w:val="center"/>
            <w:hideMark/>
          </w:tcPr>
          <w:p w:rsidR="00EC53CE" w:rsidRPr="00A13740" w:rsidRDefault="00EC53CE" w:rsidP="00BB7784">
            <w:pPr>
              <w:widowControl w:val="0"/>
              <w:jc w:val="center"/>
              <w:rPr>
                <w:b/>
                <w:bCs/>
                <w:color w:val="000000"/>
                <w:sz w:val="20"/>
                <w:szCs w:val="20"/>
                <w:lang w:val="fr-FR"/>
              </w:rPr>
            </w:pPr>
            <w:r w:rsidRPr="00A13740">
              <w:rPr>
                <w:b/>
                <w:bCs/>
                <w:color w:val="000000"/>
                <w:sz w:val="20"/>
                <w:szCs w:val="20"/>
                <w:lang w:val="fr-FR"/>
              </w:rPr>
              <w:t>2016</w:t>
            </w:r>
          </w:p>
        </w:tc>
        <w:tc>
          <w:tcPr>
            <w:tcW w:w="553" w:type="pct"/>
            <w:tcBorders>
              <w:top w:val="single" w:sz="4" w:space="0" w:color="auto"/>
              <w:left w:val="nil"/>
              <w:bottom w:val="single" w:sz="4" w:space="0" w:color="auto"/>
              <w:right w:val="single" w:sz="4" w:space="0" w:color="auto"/>
            </w:tcBorders>
            <w:vAlign w:val="center"/>
          </w:tcPr>
          <w:p w:rsidR="00EC53CE" w:rsidRPr="00A13740" w:rsidRDefault="00EC53CE" w:rsidP="00BB7784">
            <w:pPr>
              <w:widowControl w:val="0"/>
              <w:jc w:val="center"/>
              <w:rPr>
                <w:b/>
                <w:bCs/>
                <w:color w:val="000000"/>
                <w:sz w:val="20"/>
                <w:szCs w:val="20"/>
                <w:lang w:val="fr-FR"/>
              </w:rPr>
            </w:pPr>
            <w:r w:rsidRPr="00A13740">
              <w:rPr>
                <w:b/>
                <w:bCs/>
                <w:color w:val="000000"/>
                <w:sz w:val="20"/>
                <w:szCs w:val="20"/>
                <w:lang w:val="fr-FR"/>
              </w:rPr>
              <w:t>2017</w:t>
            </w:r>
          </w:p>
        </w:tc>
        <w:tc>
          <w:tcPr>
            <w:tcW w:w="553" w:type="pct"/>
            <w:tcBorders>
              <w:top w:val="single" w:sz="4" w:space="0" w:color="auto"/>
              <w:left w:val="single" w:sz="4" w:space="0" w:color="auto"/>
              <w:bottom w:val="single" w:sz="4" w:space="0" w:color="auto"/>
              <w:right w:val="single" w:sz="4" w:space="0" w:color="auto"/>
            </w:tcBorders>
            <w:vAlign w:val="center"/>
          </w:tcPr>
          <w:p w:rsidR="00EC53CE" w:rsidRPr="00A13740" w:rsidRDefault="00EC53CE" w:rsidP="00BB7784">
            <w:pPr>
              <w:widowControl w:val="0"/>
              <w:jc w:val="center"/>
              <w:rPr>
                <w:b/>
                <w:bCs/>
                <w:color w:val="000000"/>
                <w:sz w:val="20"/>
                <w:szCs w:val="20"/>
                <w:lang w:val="fr-FR"/>
              </w:rPr>
            </w:pPr>
            <w:r w:rsidRPr="00A13740">
              <w:rPr>
                <w:b/>
                <w:bCs/>
                <w:color w:val="000000"/>
                <w:sz w:val="20"/>
                <w:szCs w:val="20"/>
                <w:lang w:val="fr-FR"/>
              </w:rPr>
              <w:t>2018</w:t>
            </w:r>
          </w:p>
        </w:tc>
        <w:tc>
          <w:tcPr>
            <w:tcW w:w="5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53CE" w:rsidRPr="00A13740" w:rsidRDefault="00EC53CE" w:rsidP="00BB7784">
            <w:pPr>
              <w:widowControl w:val="0"/>
              <w:jc w:val="center"/>
              <w:rPr>
                <w:b/>
                <w:bCs/>
                <w:color w:val="000000"/>
                <w:sz w:val="20"/>
                <w:szCs w:val="20"/>
                <w:lang w:val="fr-FR"/>
              </w:rPr>
            </w:pPr>
            <w:r w:rsidRPr="00A13740">
              <w:rPr>
                <w:b/>
                <w:bCs/>
                <w:color w:val="000000"/>
                <w:sz w:val="20"/>
                <w:szCs w:val="20"/>
                <w:lang w:val="fr-FR"/>
              </w:rPr>
              <w:t>Référence</w:t>
            </w:r>
          </w:p>
        </w:tc>
      </w:tr>
      <w:tr w:rsidR="00EC53CE" w:rsidRPr="00A13740" w:rsidTr="00BB7784">
        <w:tc>
          <w:tcPr>
            <w:tcW w:w="1681" w:type="pct"/>
            <w:tcBorders>
              <w:top w:val="nil"/>
              <w:left w:val="single" w:sz="4" w:space="0" w:color="auto"/>
              <w:bottom w:val="single" w:sz="4" w:space="0" w:color="auto"/>
              <w:right w:val="single" w:sz="4" w:space="0" w:color="auto"/>
            </w:tcBorders>
            <w:shd w:val="clear" w:color="auto" w:fill="auto"/>
            <w:noWrap/>
            <w:tcMar>
              <w:left w:w="43" w:type="dxa"/>
              <w:right w:w="43" w:type="dxa"/>
            </w:tcMar>
            <w:vAlign w:val="center"/>
            <w:hideMark/>
          </w:tcPr>
          <w:p w:rsidR="00EC53CE" w:rsidRPr="00A13740" w:rsidRDefault="00EC53CE" w:rsidP="00BB7784">
            <w:pPr>
              <w:widowControl w:val="0"/>
              <w:jc w:val="left"/>
              <w:rPr>
                <w:b/>
                <w:bCs/>
                <w:color w:val="000000"/>
                <w:sz w:val="20"/>
                <w:szCs w:val="20"/>
                <w:lang w:val="fr-FR"/>
              </w:rPr>
            </w:pPr>
            <w:r w:rsidRPr="00A13740">
              <w:rPr>
                <w:b/>
                <w:bCs/>
                <w:color w:val="000000"/>
                <w:sz w:val="20"/>
                <w:szCs w:val="20"/>
                <w:lang w:val="fr-FR"/>
              </w:rPr>
              <w:t>Tonnes métriques</w:t>
            </w:r>
          </w:p>
        </w:tc>
        <w:tc>
          <w:tcPr>
            <w:tcW w:w="553" w:type="pct"/>
            <w:tcBorders>
              <w:top w:val="nil"/>
              <w:left w:val="nil"/>
              <w:bottom w:val="single" w:sz="4" w:space="0" w:color="auto"/>
              <w:right w:val="single" w:sz="4" w:space="0" w:color="auto"/>
            </w:tcBorders>
            <w:shd w:val="clear" w:color="auto" w:fill="auto"/>
            <w:noWrap/>
            <w:vAlign w:val="center"/>
            <w:hideMark/>
          </w:tcPr>
          <w:p w:rsidR="00EC53CE" w:rsidRPr="00A13740" w:rsidRDefault="00EC53CE" w:rsidP="00BB7784">
            <w:pPr>
              <w:widowControl w:val="0"/>
              <w:jc w:val="center"/>
              <w:rPr>
                <w:b/>
                <w:bCs/>
                <w:color w:val="000000"/>
                <w:sz w:val="20"/>
                <w:szCs w:val="20"/>
                <w:lang w:val="fr-FR"/>
              </w:rPr>
            </w:pPr>
          </w:p>
        </w:tc>
        <w:tc>
          <w:tcPr>
            <w:tcW w:w="553" w:type="pct"/>
            <w:tcBorders>
              <w:top w:val="nil"/>
              <w:left w:val="nil"/>
              <w:bottom w:val="single" w:sz="4" w:space="0" w:color="auto"/>
              <w:right w:val="single" w:sz="4" w:space="0" w:color="auto"/>
            </w:tcBorders>
            <w:shd w:val="clear" w:color="auto" w:fill="auto"/>
            <w:noWrap/>
            <w:vAlign w:val="center"/>
            <w:hideMark/>
          </w:tcPr>
          <w:p w:rsidR="00EC53CE" w:rsidRPr="00A13740" w:rsidRDefault="00EC53CE" w:rsidP="00BB7784">
            <w:pPr>
              <w:widowControl w:val="0"/>
              <w:jc w:val="center"/>
              <w:rPr>
                <w:b/>
                <w:bCs/>
                <w:color w:val="000000"/>
                <w:sz w:val="20"/>
                <w:szCs w:val="20"/>
                <w:lang w:val="fr-FR"/>
              </w:rPr>
            </w:pPr>
          </w:p>
        </w:tc>
        <w:tc>
          <w:tcPr>
            <w:tcW w:w="553" w:type="pct"/>
            <w:tcBorders>
              <w:top w:val="nil"/>
              <w:left w:val="nil"/>
              <w:bottom w:val="single" w:sz="4" w:space="0" w:color="auto"/>
              <w:right w:val="single" w:sz="4" w:space="0" w:color="auto"/>
            </w:tcBorders>
            <w:shd w:val="clear" w:color="auto" w:fill="auto"/>
            <w:noWrap/>
            <w:vAlign w:val="center"/>
            <w:hideMark/>
          </w:tcPr>
          <w:p w:rsidR="00EC53CE" w:rsidRPr="00A13740" w:rsidRDefault="00EC53CE" w:rsidP="00BB7784">
            <w:pPr>
              <w:widowControl w:val="0"/>
              <w:jc w:val="center"/>
              <w:rPr>
                <w:b/>
                <w:bCs/>
                <w:color w:val="000000"/>
                <w:sz w:val="20"/>
                <w:szCs w:val="20"/>
                <w:lang w:val="fr-FR"/>
              </w:rPr>
            </w:pPr>
          </w:p>
        </w:tc>
        <w:tc>
          <w:tcPr>
            <w:tcW w:w="553" w:type="pct"/>
            <w:tcBorders>
              <w:top w:val="single" w:sz="4" w:space="0" w:color="auto"/>
              <w:left w:val="nil"/>
              <w:bottom w:val="single" w:sz="4" w:space="0" w:color="auto"/>
              <w:right w:val="single" w:sz="4" w:space="0" w:color="auto"/>
            </w:tcBorders>
          </w:tcPr>
          <w:p w:rsidR="00EC53CE" w:rsidRPr="00A13740" w:rsidRDefault="00EC53CE" w:rsidP="00BB7784">
            <w:pPr>
              <w:widowControl w:val="0"/>
              <w:jc w:val="center"/>
              <w:rPr>
                <w:b/>
                <w:bCs/>
                <w:color w:val="000000"/>
                <w:sz w:val="20"/>
                <w:szCs w:val="20"/>
                <w:lang w:val="fr-FR"/>
              </w:rPr>
            </w:pPr>
          </w:p>
        </w:tc>
        <w:tc>
          <w:tcPr>
            <w:tcW w:w="553" w:type="pct"/>
            <w:tcBorders>
              <w:top w:val="nil"/>
              <w:left w:val="single" w:sz="4" w:space="0" w:color="auto"/>
              <w:bottom w:val="single" w:sz="4" w:space="0" w:color="auto"/>
              <w:right w:val="single" w:sz="4" w:space="0" w:color="auto"/>
            </w:tcBorders>
          </w:tcPr>
          <w:p w:rsidR="00EC53CE" w:rsidRPr="00A13740" w:rsidRDefault="00EC53CE" w:rsidP="00BB7784">
            <w:pPr>
              <w:widowControl w:val="0"/>
              <w:jc w:val="center"/>
              <w:rPr>
                <w:b/>
                <w:bCs/>
                <w:color w:val="000000"/>
                <w:sz w:val="20"/>
                <w:szCs w:val="20"/>
                <w:lang w:val="fr-FR"/>
              </w:rPr>
            </w:pPr>
          </w:p>
        </w:tc>
        <w:tc>
          <w:tcPr>
            <w:tcW w:w="554" w:type="pct"/>
            <w:tcBorders>
              <w:top w:val="nil"/>
              <w:left w:val="single" w:sz="4" w:space="0" w:color="auto"/>
              <w:bottom w:val="single" w:sz="4" w:space="0" w:color="auto"/>
              <w:right w:val="single" w:sz="4" w:space="0" w:color="auto"/>
            </w:tcBorders>
            <w:shd w:val="clear" w:color="auto" w:fill="auto"/>
            <w:noWrap/>
            <w:vAlign w:val="center"/>
            <w:hideMark/>
          </w:tcPr>
          <w:p w:rsidR="00EC53CE" w:rsidRPr="00A13740" w:rsidRDefault="00EC53CE" w:rsidP="00BB7784">
            <w:pPr>
              <w:widowControl w:val="0"/>
              <w:jc w:val="center"/>
              <w:rPr>
                <w:b/>
                <w:bCs/>
                <w:color w:val="000000"/>
                <w:sz w:val="20"/>
                <w:szCs w:val="20"/>
                <w:lang w:val="fr-FR"/>
              </w:rPr>
            </w:pPr>
          </w:p>
        </w:tc>
      </w:tr>
      <w:tr w:rsidR="00EC53CE" w:rsidRPr="00A13740" w:rsidTr="00BB7784">
        <w:tc>
          <w:tcPr>
            <w:tcW w:w="1681" w:type="pct"/>
            <w:tcBorders>
              <w:top w:val="nil"/>
              <w:left w:val="single" w:sz="4" w:space="0" w:color="auto"/>
              <w:bottom w:val="single" w:sz="4" w:space="0" w:color="auto"/>
              <w:right w:val="single" w:sz="4" w:space="0" w:color="auto"/>
            </w:tcBorders>
            <w:shd w:val="clear" w:color="auto" w:fill="auto"/>
            <w:noWrap/>
            <w:tcMar>
              <w:left w:w="43" w:type="dxa"/>
              <w:right w:w="43" w:type="dxa"/>
            </w:tcMar>
            <w:vAlign w:val="center"/>
            <w:hideMark/>
          </w:tcPr>
          <w:p w:rsidR="00EC53CE" w:rsidRPr="00A13740" w:rsidRDefault="00EC53CE" w:rsidP="00BB7784">
            <w:pPr>
              <w:widowControl w:val="0"/>
              <w:jc w:val="left"/>
              <w:rPr>
                <w:color w:val="000000"/>
                <w:sz w:val="20"/>
                <w:szCs w:val="20"/>
                <w:lang w:val="fr-FR"/>
              </w:rPr>
            </w:pPr>
            <w:r w:rsidRPr="00A13740">
              <w:rPr>
                <w:color w:val="000000"/>
                <w:sz w:val="20"/>
                <w:szCs w:val="20"/>
                <w:lang w:val="fr-FR"/>
              </w:rPr>
              <w:t>HCFC-22</w:t>
            </w:r>
          </w:p>
        </w:tc>
        <w:tc>
          <w:tcPr>
            <w:tcW w:w="553" w:type="pct"/>
            <w:tcBorders>
              <w:top w:val="nil"/>
              <w:left w:val="nil"/>
              <w:bottom w:val="single" w:sz="4" w:space="0" w:color="auto"/>
              <w:right w:val="single" w:sz="4" w:space="0" w:color="auto"/>
            </w:tcBorders>
            <w:shd w:val="clear" w:color="auto" w:fill="auto"/>
            <w:noWrap/>
          </w:tcPr>
          <w:p w:rsidR="00EC53CE" w:rsidRPr="00A13740" w:rsidRDefault="00EC53CE" w:rsidP="00BB7784">
            <w:pPr>
              <w:widowControl w:val="0"/>
              <w:jc w:val="right"/>
              <w:rPr>
                <w:color w:val="000000"/>
                <w:sz w:val="20"/>
                <w:szCs w:val="20"/>
                <w:lang w:val="fr-FR"/>
              </w:rPr>
            </w:pPr>
            <w:r w:rsidRPr="00A13740">
              <w:rPr>
                <w:color w:val="000000"/>
                <w:sz w:val="20"/>
                <w:szCs w:val="20"/>
                <w:lang w:val="fr-FR"/>
              </w:rPr>
              <w:t>610,43</w:t>
            </w:r>
          </w:p>
        </w:tc>
        <w:tc>
          <w:tcPr>
            <w:tcW w:w="553" w:type="pct"/>
            <w:tcBorders>
              <w:top w:val="nil"/>
              <w:left w:val="nil"/>
              <w:bottom w:val="single" w:sz="4" w:space="0" w:color="auto"/>
              <w:right w:val="single" w:sz="4" w:space="0" w:color="auto"/>
            </w:tcBorders>
            <w:shd w:val="clear" w:color="auto" w:fill="auto"/>
            <w:noWrap/>
          </w:tcPr>
          <w:p w:rsidR="00EC53CE" w:rsidRPr="00A13740" w:rsidRDefault="00EC53CE" w:rsidP="00BB7784">
            <w:pPr>
              <w:widowControl w:val="0"/>
              <w:jc w:val="right"/>
              <w:rPr>
                <w:color w:val="000000"/>
                <w:sz w:val="20"/>
                <w:szCs w:val="20"/>
                <w:lang w:val="fr-FR"/>
              </w:rPr>
            </w:pPr>
            <w:r w:rsidRPr="00A13740">
              <w:rPr>
                <w:color w:val="000000"/>
                <w:sz w:val="20"/>
                <w:szCs w:val="20"/>
                <w:lang w:val="fr-FR"/>
              </w:rPr>
              <w:t>629,75</w:t>
            </w:r>
          </w:p>
        </w:tc>
        <w:tc>
          <w:tcPr>
            <w:tcW w:w="553" w:type="pct"/>
            <w:tcBorders>
              <w:top w:val="nil"/>
              <w:left w:val="nil"/>
              <w:bottom w:val="single" w:sz="4" w:space="0" w:color="auto"/>
              <w:right w:val="single" w:sz="4" w:space="0" w:color="auto"/>
            </w:tcBorders>
            <w:shd w:val="clear" w:color="auto" w:fill="auto"/>
            <w:noWrap/>
            <w:vAlign w:val="center"/>
          </w:tcPr>
          <w:p w:rsidR="00EC53CE" w:rsidRPr="00A13740" w:rsidRDefault="00EC53CE" w:rsidP="00BB7784">
            <w:pPr>
              <w:widowControl w:val="0"/>
              <w:jc w:val="right"/>
              <w:rPr>
                <w:sz w:val="20"/>
                <w:szCs w:val="20"/>
                <w:lang w:val="fr-FR"/>
              </w:rPr>
            </w:pPr>
            <w:r w:rsidRPr="00A13740">
              <w:rPr>
                <w:sz w:val="20"/>
                <w:szCs w:val="20"/>
                <w:lang w:val="fr-FR"/>
              </w:rPr>
              <w:t>463,56</w:t>
            </w:r>
          </w:p>
        </w:tc>
        <w:tc>
          <w:tcPr>
            <w:tcW w:w="553" w:type="pct"/>
            <w:tcBorders>
              <w:top w:val="single" w:sz="4" w:space="0" w:color="auto"/>
              <w:left w:val="nil"/>
              <w:bottom w:val="single" w:sz="4" w:space="0" w:color="auto"/>
              <w:right w:val="single" w:sz="4" w:space="0" w:color="auto"/>
            </w:tcBorders>
            <w:vAlign w:val="center"/>
          </w:tcPr>
          <w:p w:rsidR="00EC53CE" w:rsidRPr="00A13740" w:rsidRDefault="00EC53CE" w:rsidP="00BB7784">
            <w:pPr>
              <w:widowControl w:val="0"/>
              <w:jc w:val="right"/>
              <w:rPr>
                <w:sz w:val="20"/>
                <w:szCs w:val="20"/>
                <w:lang w:val="fr-FR"/>
              </w:rPr>
            </w:pPr>
            <w:r w:rsidRPr="00A13740">
              <w:rPr>
                <w:sz w:val="20"/>
                <w:szCs w:val="20"/>
                <w:lang w:val="fr-FR"/>
              </w:rPr>
              <w:t>501,54</w:t>
            </w:r>
          </w:p>
        </w:tc>
        <w:tc>
          <w:tcPr>
            <w:tcW w:w="553" w:type="pct"/>
            <w:tcBorders>
              <w:top w:val="nil"/>
              <w:left w:val="single" w:sz="4" w:space="0" w:color="auto"/>
              <w:bottom w:val="single" w:sz="4" w:space="0" w:color="auto"/>
              <w:right w:val="single" w:sz="4" w:space="0" w:color="auto"/>
            </w:tcBorders>
            <w:vAlign w:val="center"/>
          </w:tcPr>
          <w:p w:rsidR="00EC53CE" w:rsidRPr="00A13740" w:rsidRDefault="00EC53CE" w:rsidP="00BB7784">
            <w:pPr>
              <w:widowControl w:val="0"/>
              <w:jc w:val="right"/>
              <w:rPr>
                <w:color w:val="000000"/>
                <w:sz w:val="20"/>
                <w:szCs w:val="20"/>
                <w:lang w:val="fr-FR"/>
              </w:rPr>
            </w:pPr>
            <w:r w:rsidRPr="00A13740">
              <w:rPr>
                <w:color w:val="000000"/>
                <w:sz w:val="20"/>
                <w:szCs w:val="20"/>
                <w:lang w:val="fr-FR"/>
              </w:rPr>
              <w:t>471,13</w:t>
            </w:r>
          </w:p>
        </w:tc>
        <w:tc>
          <w:tcPr>
            <w:tcW w:w="554" w:type="pct"/>
            <w:tcBorders>
              <w:top w:val="nil"/>
              <w:left w:val="single" w:sz="4" w:space="0" w:color="auto"/>
              <w:bottom w:val="single" w:sz="4" w:space="0" w:color="auto"/>
              <w:right w:val="single" w:sz="4" w:space="0" w:color="auto"/>
            </w:tcBorders>
            <w:shd w:val="clear" w:color="auto" w:fill="auto"/>
            <w:noWrap/>
            <w:vAlign w:val="center"/>
          </w:tcPr>
          <w:p w:rsidR="00EC53CE" w:rsidRPr="00A13740" w:rsidRDefault="00EC53CE" w:rsidP="00BB7784">
            <w:pPr>
              <w:widowControl w:val="0"/>
              <w:jc w:val="right"/>
              <w:rPr>
                <w:color w:val="000000"/>
                <w:sz w:val="20"/>
                <w:szCs w:val="20"/>
                <w:lang w:val="fr-FR"/>
              </w:rPr>
            </w:pPr>
            <w:r w:rsidRPr="00A13740">
              <w:rPr>
                <w:color w:val="000000"/>
                <w:sz w:val="20"/>
                <w:szCs w:val="20"/>
                <w:lang w:val="fr-FR"/>
              </w:rPr>
              <w:t>709,34</w:t>
            </w:r>
          </w:p>
        </w:tc>
      </w:tr>
      <w:tr w:rsidR="00EC53CE" w:rsidRPr="00A13740" w:rsidTr="00BB7784">
        <w:tc>
          <w:tcPr>
            <w:tcW w:w="1681" w:type="pct"/>
            <w:tcBorders>
              <w:top w:val="nil"/>
              <w:left w:val="single" w:sz="4" w:space="0" w:color="auto"/>
              <w:bottom w:val="single" w:sz="4" w:space="0" w:color="auto"/>
              <w:right w:val="single" w:sz="4" w:space="0" w:color="auto"/>
            </w:tcBorders>
            <w:shd w:val="clear" w:color="auto" w:fill="auto"/>
            <w:noWrap/>
            <w:tcMar>
              <w:left w:w="43" w:type="dxa"/>
              <w:right w:w="43" w:type="dxa"/>
            </w:tcMar>
            <w:vAlign w:val="center"/>
            <w:hideMark/>
          </w:tcPr>
          <w:p w:rsidR="00EC53CE" w:rsidRPr="00A13740" w:rsidRDefault="00EC53CE" w:rsidP="00BB7784">
            <w:pPr>
              <w:widowControl w:val="0"/>
              <w:jc w:val="left"/>
              <w:rPr>
                <w:color w:val="000000"/>
                <w:sz w:val="20"/>
                <w:szCs w:val="20"/>
                <w:lang w:val="fr-FR"/>
              </w:rPr>
            </w:pPr>
            <w:r w:rsidRPr="00A13740">
              <w:rPr>
                <w:color w:val="000000"/>
                <w:sz w:val="20"/>
                <w:szCs w:val="20"/>
                <w:lang w:val="fr-FR"/>
              </w:rPr>
              <w:t>HCFC-141b</w:t>
            </w:r>
          </w:p>
        </w:tc>
        <w:tc>
          <w:tcPr>
            <w:tcW w:w="553" w:type="pct"/>
            <w:tcBorders>
              <w:top w:val="nil"/>
              <w:left w:val="nil"/>
              <w:bottom w:val="single" w:sz="4" w:space="0" w:color="auto"/>
              <w:right w:val="single" w:sz="4" w:space="0" w:color="auto"/>
            </w:tcBorders>
            <w:shd w:val="clear" w:color="auto" w:fill="auto"/>
            <w:noWrap/>
          </w:tcPr>
          <w:p w:rsidR="00EC53CE" w:rsidRPr="00A13740" w:rsidRDefault="00EC53CE" w:rsidP="00BB7784">
            <w:pPr>
              <w:jc w:val="right"/>
              <w:rPr>
                <w:sz w:val="20"/>
                <w:szCs w:val="20"/>
                <w:lang w:val="fr-FR"/>
              </w:rPr>
            </w:pPr>
            <w:r w:rsidRPr="00A13740">
              <w:rPr>
                <w:sz w:val="20"/>
                <w:szCs w:val="20"/>
                <w:lang w:val="fr-FR"/>
              </w:rPr>
              <w:t>8,46</w:t>
            </w:r>
          </w:p>
        </w:tc>
        <w:tc>
          <w:tcPr>
            <w:tcW w:w="553" w:type="pct"/>
            <w:tcBorders>
              <w:top w:val="nil"/>
              <w:left w:val="nil"/>
              <w:bottom w:val="single" w:sz="4" w:space="0" w:color="auto"/>
              <w:right w:val="single" w:sz="4" w:space="0" w:color="auto"/>
            </w:tcBorders>
            <w:shd w:val="clear" w:color="auto" w:fill="auto"/>
            <w:noWrap/>
          </w:tcPr>
          <w:p w:rsidR="00EC53CE" w:rsidRPr="00A13740" w:rsidRDefault="00EC53CE" w:rsidP="00BB7784">
            <w:pPr>
              <w:widowControl w:val="0"/>
              <w:jc w:val="right"/>
              <w:rPr>
                <w:color w:val="000000"/>
                <w:sz w:val="20"/>
                <w:szCs w:val="20"/>
                <w:lang w:val="fr-FR"/>
              </w:rPr>
            </w:pPr>
            <w:r w:rsidRPr="00A13740">
              <w:rPr>
                <w:color w:val="000000"/>
                <w:sz w:val="20"/>
                <w:szCs w:val="20"/>
                <w:lang w:val="fr-FR"/>
              </w:rPr>
              <w:t>8,46</w:t>
            </w:r>
          </w:p>
        </w:tc>
        <w:tc>
          <w:tcPr>
            <w:tcW w:w="553" w:type="pct"/>
            <w:tcBorders>
              <w:top w:val="nil"/>
              <w:left w:val="nil"/>
              <w:bottom w:val="single" w:sz="4" w:space="0" w:color="auto"/>
              <w:right w:val="single" w:sz="4" w:space="0" w:color="auto"/>
            </w:tcBorders>
            <w:shd w:val="clear" w:color="auto" w:fill="auto"/>
            <w:noWrap/>
            <w:vAlign w:val="center"/>
          </w:tcPr>
          <w:p w:rsidR="00EC53CE" w:rsidRPr="00A13740" w:rsidRDefault="00EC53CE" w:rsidP="00BB7784">
            <w:pPr>
              <w:widowControl w:val="0"/>
              <w:jc w:val="right"/>
              <w:rPr>
                <w:sz w:val="20"/>
                <w:szCs w:val="20"/>
                <w:lang w:val="fr-FR"/>
              </w:rPr>
            </w:pPr>
            <w:r w:rsidRPr="00A13740">
              <w:rPr>
                <w:sz w:val="20"/>
                <w:szCs w:val="20"/>
                <w:lang w:val="fr-FR"/>
              </w:rPr>
              <w:t>0,00</w:t>
            </w:r>
          </w:p>
        </w:tc>
        <w:tc>
          <w:tcPr>
            <w:tcW w:w="553" w:type="pct"/>
            <w:tcBorders>
              <w:top w:val="single" w:sz="4" w:space="0" w:color="auto"/>
              <w:left w:val="nil"/>
              <w:bottom w:val="single" w:sz="4" w:space="0" w:color="auto"/>
              <w:right w:val="single" w:sz="4" w:space="0" w:color="auto"/>
            </w:tcBorders>
          </w:tcPr>
          <w:p w:rsidR="00EC53CE" w:rsidRPr="00A13740" w:rsidRDefault="00EC53CE" w:rsidP="00BB7784">
            <w:pPr>
              <w:jc w:val="right"/>
              <w:rPr>
                <w:sz w:val="20"/>
                <w:szCs w:val="20"/>
                <w:lang w:val="fr-FR"/>
              </w:rPr>
            </w:pPr>
            <w:r w:rsidRPr="00A13740">
              <w:rPr>
                <w:sz w:val="20"/>
                <w:szCs w:val="20"/>
                <w:lang w:val="fr-FR"/>
              </w:rPr>
              <w:t>8,25</w:t>
            </w:r>
          </w:p>
        </w:tc>
        <w:tc>
          <w:tcPr>
            <w:tcW w:w="553" w:type="pct"/>
            <w:tcBorders>
              <w:top w:val="nil"/>
              <w:left w:val="single" w:sz="4" w:space="0" w:color="auto"/>
              <w:bottom w:val="single" w:sz="4" w:space="0" w:color="auto"/>
              <w:right w:val="single" w:sz="4" w:space="0" w:color="auto"/>
            </w:tcBorders>
          </w:tcPr>
          <w:p w:rsidR="00EC53CE" w:rsidRPr="00A13740" w:rsidRDefault="00EC53CE" w:rsidP="00BB7784">
            <w:pPr>
              <w:jc w:val="right"/>
              <w:rPr>
                <w:sz w:val="20"/>
                <w:szCs w:val="20"/>
                <w:lang w:val="fr-FR"/>
              </w:rPr>
            </w:pPr>
            <w:r w:rsidRPr="00A13740">
              <w:rPr>
                <w:sz w:val="20"/>
                <w:szCs w:val="20"/>
                <w:lang w:val="fr-FR"/>
              </w:rPr>
              <w:t>0,00</w:t>
            </w:r>
          </w:p>
        </w:tc>
        <w:tc>
          <w:tcPr>
            <w:tcW w:w="554" w:type="pct"/>
            <w:tcBorders>
              <w:top w:val="nil"/>
              <w:left w:val="single" w:sz="4" w:space="0" w:color="auto"/>
              <w:bottom w:val="single" w:sz="4" w:space="0" w:color="auto"/>
              <w:right w:val="single" w:sz="4" w:space="0" w:color="auto"/>
            </w:tcBorders>
            <w:shd w:val="clear" w:color="auto" w:fill="auto"/>
            <w:noWrap/>
            <w:vAlign w:val="center"/>
          </w:tcPr>
          <w:p w:rsidR="00EC53CE" w:rsidRPr="00A13740" w:rsidRDefault="00EC53CE" w:rsidP="00BB7784">
            <w:pPr>
              <w:widowControl w:val="0"/>
              <w:jc w:val="right"/>
              <w:rPr>
                <w:color w:val="000000"/>
                <w:sz w:val="20"/>
                <w:szCs w:val="20"/>
                <w:lang w:val="fr-FR"/>
              </w:rPr>
            </w:pPr>
            <w:r w:rsidRPr="00A13740">
              <w:rPr>
                <w:color w:val="000000"/>
                <w:sz w:val="20"/>
                <w:szCs w:val="20"/>
                <w:lang w:val="fr-FR"/>
              </w:rPr>
              <w:t>14,57</w:t>
            </w:r>
          </w:p>
        </w:tc>
      </w:tr>
      <w:tr w:rsidR="00EC53CE" w:rsidRPr="00A13740" w:rsidTr="00BB7784">
        <w:tc>
          <w:tcPr>
            <w:tcW w:w="1681" w:type="pct"/>
            <w:tcBorders>
              <w:top w:val="nil"/>
              <w:left w:val="single" w:sz="4" w:space="0" w:color="auto"/>
              <w:bottom w:val="single" w:sz="4" w:space="0" w:color="auto"/>
              <w:right w:val="single" w:sz="4" w:space="0" w:color="auto"/>
            </w:tcBorders>
            <w:shd w:val="clear" w:color="auto" w:fill="auto"/>
            <w:noWrap/>
            <w:tcMar>
              <w:left w:w="43" w:type="dxa"/>
              <w:right w:w="43" w:type="dxa"/>
            </w:tcMar>
            <w:vAlign w:val="center"/>
          </w:tcPr>
          <w:p w:rsidR="00EC53CE" w:rsidRPr="00A13740" w:rsidRDefault="00EC53CE" w:rsidP="00BB7784">
            <w:pPr>
              <w:widowControl w:val="0"/>
              <w:jc w:val="left"/>
              <w:rPr>
                <w:color w:val="000000"/>
                <w:sz w:val="20"/>
                <w:szCs w:val="20"/>
                <w:lang w:val="fr-FR"/>
              </w:rPr>
            </w:pPr>
            <w:r w:rsidRPr="00A13740">
              <w:rPr>
                <w:color w:val="000000"/>
                <w:sz w:val="20"/>
                <w:szCs w:val="20"/>
                <w:lang w:val="fr-FR"/>
              </w:rPr>
              <w:t>HCFC-142b</w:t>
            </w:r>
          </w:p>
        </w:tc>
        <w:tc>
          <w:tcPr>
            <w:tcW w:w="553" w:type="pct"/>
            <w:tcBorders>
              <w:top w:val="nil"/>
              <w:left w:val="nil"/>
              <w:bottom w:val="single" w:sz="4" w:space="0" w:color="auto"/>
              <w:right w:val="single" w:sz="4" w:space="0" w:color="auto"/>
            </w:tcBorders>
            <w:shd w:val="clear" w:color="auto" w:fill="auto"/>
            <w:noWrap/>
          </w:tcPr>
          <w:p w:rsidR="00EC53CE" w:rsidRPr="00A13740" w:rsidRDefault="00EC53CE" w:rsidP="00BB7784">
            <w:pPr>
              <w:jc w:val="right"/>
              <w:rPr>
                <w:sz w:val="20"/>
                <w:szCs w:val="20"/>
                <w:lang w:val="fr-FR"/>
              </w:rPr>
            </w:pPr>
            <w:r w:rsidRPr="00A13740">
              <w:rPr>
                <w:sz w:val="20"/>
                <w:szCs w:val="20"/>
                <w:lang w:val="fr-FR"/>
              </w:rPr>
              <w:t>0,00</w:t>
            </w:r>
          </w:p>
        </w:tc>
        <w:tc>
          <w:tcPr>
            <w:tcW w:w="553" w:type="pct"/>
            <w:tcBorders>
              <w:top w:val="nil"/>
              <w:left w:val="nil"/>
              <w:bottom w:val="single" w:sz="4" w:space="0" w:color="auto"/>
              <w:right w:val="single" w:sz="4" w:space="0" w:color="auto"/>
            </w:tcBorders>
            <w:shd w:val="clear" w:color="auto" w:fill="auto"/>
            <w:noWrap/>
          </w:tcPr>
          <w:p w:rsidR="00EC53CE" w:rsidRPr="00A13740" w:rsidRDefault="00EC53CE" w:rsidP="00BB7784">
            <w:pPr>
              <w:widowControl w:val="0"/>
              <w:jc w:val="right"/>
              <w:rPr>
                <w:color w:val="000000"/>
                <w:sz w:val="20"/>
                <w:szCs w:val="20"/>
                <w:lang w:val="fr-FR"/>
              </w:rPr>
            </w:pPr>
            <w:r w:rsidRPr="00A13740">
              <w:rPr>
                <w:color w:val="000000"/>
                <w:sz w:val="20"/>
                <w:szCs w:val="20"/>
                <w:lang w:val="fr-FR"/>
              </w:rPr>
              <w:t>0,00</w:t>
            </w:r>
          </w:p>
        </w:tc>
        <w:tc>
          <w:tcPr>
            <w:tcW w:w="553" w:type="pct"/>
            <w:tcBorders>
              <w:top w:val="nil"/>
              <w:left w:val="nil"/>
              <w:bottom w:val="single" w:sz="4" w:space="0" w:color="auto"/>
              <w:right w:val="single" w:sz="4" w:space="0" w:color="auto"/>
            </w:tcBorders>
            <w:shd w:val="clear" w:color="auto" w:fill="auto"/>
            <w:noWrap/>
            <w:vAlign w:val="center"/>
          </w:tcPr>
          <w:p w:rsidR="00EC53CE" w:rsidRPr="00A13740" w:rsidRDefault="00EC53CE" w:rsidP="00BB7784">
            <w:pPr>
              <w:widowControl w:val="0"/>
              <w:jc w:val="right"/>
              <w:rPr>
                <w:sz w:val="20"/>
                <w:szCs w:val="20"/>
                <w:lang w:val="fr-FR"/>
              </w:rPr>
            </w:pPr>
            <w:r w:rsidRPr="00A13740">
              <w:rPr>
                <w:sz w:val="20"/>
                <w:szCs w:val="20"/>
                <w:lang w:val="fr-FR"/>
              </w:rPr>
              <w:t>0,00</w:t>
            </w:r>
          </w:p>
        </w:tc>
        <w:tc>
          <w:tcPr>
            <w:tcW w:w="553" w:type="pct"/>
            <w:tcBorders>
              <w:top w:val="single" w:sz="4" w:space="0" w:color="auto"/>
              <w:left w:val="nil"/>
              <w:bottom w:val="single" w:sz="4" w:space="0" w:color="auto"/>
              <w:right w:val="single" w:sz="4" w:space="0" w:color="auto"/>
            </w:tcBorders>
          </w:tcPr>
          <w:p w:rsidR="00EC53CE" w:rsidRPr="00A13740" w:rsidRDefault="00EC53CE" w:rsidP="00BB7784">
            <w:pPr>
              <w:jc w:val="right"/>
              <w:rPr>
                <w:sz w:val="20"/>
                <w:szCs w:val="20"/>
                <w:lang w:val="fr-FR"/>
              </w:rPr>
            </w:pPr>
            <w:r w:rsidRPr="00A13740">
              <w:rPr>
                <w:sz w:val="20"/>
                <w:szCs w:val="20"/>
                <w:lang w:val="fr-FR"/>
              </w:rPr>
              <w:t>0,00</w:t>
            </w:r>
          </w:p>
        </w:tc>
        <w:tc>
          <w:tcPr>
            <w:tcW w:w="553" w:type="pct"/>
            <w:tcBorders>
              <w:top w:val="nil"/>
              <w:left w:val="single" w:sz="4" w:space="0" w:color="auto"/>
              <w:bottom w:val="single" w:sz="4" w:space="0" w:color="auto"/>
              <w:right w:val="single" w:sz="4" w:space="0" w:color="auto"/>
            </w:tcBorders>
          </w:tcPr>
          <w:p w:rsidR="00EC53CE" w:rsidRPr="00A13740" w:rsidRDefault="00EC53CE" w:rsidP="00BB7784">
            <w:pPr>
              <w:jc w:val="right"/>
              <w:rPr>
                <w:sz w:val="20"/>
                <w:szCs w:val="20"/>
                <w:lang w:val="fr-FR"/>
              </w:rPr>
            </w:pPr>
            <w:r w:rsidRPr="00A13740">
              <w:rPr>
                <w:sz w:val="20"/>
                <w:szCs w:val="20"/>
                <w:lang w:val="fr-FR"/>
              </w:rPr>
              <w:t>0,00</w:t>
            </w:r>
          </w:p>
        </w:tc>
        <w:tc>
          <w:tcPr>
            <w:tcW w:w="554" w:type="pct"/>
            <w:tcBorders>
              <w:top w:val="nil"/>
              <w:left w:val="single" w:sz="4" w:space="0" w:color="auto"/>
              <w:bottom w:val="single" w:sz="4" w:space="0" w:color="auto"/>
              <w:right w:val="single" w:sz="4" w:space="0" w:color="auto"/>
            </w:tcBorders>
            <w:shd w:val="clear" w:color="auto" w:fill="auto"/>
            <w:noWrap/>
            <w:vAlign w:val="center"/>
          </w:tcPr>
          <w:p w:rsidR="00EC53CE" w:rsidRPr="00A13740" w:rsidRDefault="00EC53CE" w:rsidP="00BB7784">
            <w:pPr>
              <w:widowControl w:val="0"/>
              <w:jc w:val="right"/>
              <w:rPr>
                <w:color w:val="000000"/>
                <w:sz w:val="20"/>
                <w:szCs w:val="20"/>
                <w:lang w:val="fr-FR"/>
              </w:rPr>
            </w:pPr>
            <w:r w:rsidRPr="00A13740">
              <w:rPr>
                <w:color w:val="000000"/>
                <w:sz w:val="20"/>
                <w:szCs w:val="20"/>
                <w:lang w:val="fr-FR"/>
              </w:rPr>
              <w:t>0,55</w:t>
            </w:r>
          </w:p>
        </w:tc>
      </w:tr>
      <w:tr w:rsidR="00EC53CE" w:rsidRPr="00A13740" w:rsidTr="00BB7784">
        <w:tc>
          <w:tcPr>
            <w:tcW w:w="1681" w:type="pct"/>
            <w:tcBorders>
              <w:top w:val="nil"/>
              <w:left w:val="single" w:sz="4" w:space="0" w:color="auto"/>
              <w:bottom w:val="single" w:sz="4" w:space="0" w:color="auto"/>
              <w:right w:val="single" w:sz="4" w:space="0" w:color="auto"/>
            </w:tcBorders>
            <w:shd w:val="clear" w:color="auto" w:fill="auto"/>
            <w:noWrap/>
            <w:tcMar>
              <w:left w:w="43" w:type="dxa"/>
              <w:right w:w="43" w:type="dxa"/>
            </w:tcMar>
            <w:hideMark/>
          </w:tcPr>
          <w:p w:rsidR="00EC53CE" w:rsidRPr="00A13740" w:rsidRDefault="00EC53CE" w:rsidP="00BB7784">
            <w:pPr>
              <w:jc w:val="left"/>
              <w:rPr>
                <w:rFonts w:eastAsiaTheme="minorHAnsi"/>
                <w:b/>
                <w:color w:val="000000"/>
                <w:sz w:val="20"/>
                <w:szCs w:val="20"/>
                <w:lang w:val="fr-FR"/>
              </w:rPr>
            </w:pPr>
            <w:r w:rsidRPr="00A13740">
              <w:rPr>
                <w:b/>
                <w:color w:val="000000"/>
                <w:sz w:val="20"/>
                <w:szCs w:val="20"/>
                <w:lang w:val="fr-FR"/>
              </w:rPr>
              <w:t>Sous-total (</w:t>
            </w:r>
            <w:proofErr w:type="spellStart"/>
            <w:r w:rsidRPr="00A13740">
              <w:rPr>
                <w:b/>
                <w:color w:val="000000"/>
                <w:sz w:val="20"/>
                <w:szCs w:val="20"/>
                <w:lang w:val="fr-FR"/>
              </w:rPr>
              <w:t>tm</w:t>
            </w:r>
            <w:proofErr w:type="spellEnd"/>
            <w:r w:rsidRPr="00A13740">
              <w:rPr>
                <w:b/>
                <w:color w:val="000000"/>
                <w:sz w:val="20"/>
                <w:szCs w:val="20"/>
                <w:lang w:val="fr-FR"/>
              </w:rPr>
              <w:t>)</w:t>
            </w:r>
          </w:p>
        </w:tc>
        <w:tc>
          <w:tcPr>
            <w:tcW w:w="553" w:type="pct"/>
            <w:tcBorders>
              <w:top w:val="nil"/>
              <w:left w:val="nil"/>
              <w:bottom w:val="single" w:sz="4" w:space="0" w:color="auto"/>
              <w:right w:val="single" w:sz="4" w:space="0" w:color="auto"/>
            </w:tcBorders>
            <w:shd w:val="clear" w:color="auto" w:fill="auto"/>
            <w:noWrap/>
            <w:vAlign w:val="bottom"/>
          </w:tcPr>
          <w:p w:rsidR="00EC53CE" w:rsidRPr="00A13740" w:rsidRDefault="00EC53CE" w:rsidP="00BB7784">
            <w:pPr>
              <w:widowControl w:val="0"/>
              <w:jc w:val="right"/>
              <w:rPr>
                <w:sz w:val="20"/>
                <w:szCs w:val="20"/>
                <w:lang w:val="fr-FR"/>
              </w:rPr>
            </w:pPr>
            <w:r w:rsidRPr="00A13740">
              <w:rPr>
                <w:sz w:val="20"/>
                <w:szCs w:val="20"/>
                <w:lang w:val="fr-FR"/>
              </w:rPr>
              <w:t>618,89</w:t>
            </w:r>
          </w:p>
        </w:tc>
        <w:tc>
          <w:tcPr>
            <w:tcW w:w="553" w:type="pct"/>
            <w:tcBorders>
              <w:top w:val="nil"/>
              <w:left w:val="nil"/>
              <w:bottom w:val="single" w:sz="4" w:space="0" w:color="auto"/>
              <w:right w:val="single" w:sz="4" w:space="0" w:color="auto"/>
            </w:tcBorders>
            <w:shd w:val="clear" w:color="auto" w:fill="auto"/>
            <w:noWrap/>
            <w:vAlign w:val="bottom"/>
          </w:tcPr>
          <w:p w:rsidR="00EC53CE" w:rsidRPr="00A13740" w:rsidRDefault="00EC53CE" w:rsidP="00BB7784">
            <w:pPr>
              <w:widowControl w:val="0"/>
              <w:jc w:val="right"/>
              <w:rPr>
                <w:sz w:val="20"/>
                <w:szCs w:val="20"/>
                <w:lang w:val="fr-FR"/>
              </w:rPr>
            </w:pPr>
            <w:r w:rsidRPr="00A13740">
              <w:rPr>
                <w:sz w:val="20"/>
                <w:szCs w:val="20"/>
                <w:lang w:val="fr-FR"/>
              </w:rPr>
              <w:t>638,21</w:t>
            </w:r>
          </w:p>
        </w:tc>
        <w:tc>
          <w:tcPr>
            <w:tcW w:w="553" w:type="pct"/>
            <w:tcBorders>
              <w:top w:val="nil"/>
              <w:left w:val="nil"/>
              <w:bottom w:val="single" w:sz="4" w:space="0" w:color="auto"/>
              <w:right w:val="single" w:sz="4" w:space="0" w:color="auto"/>
            </w:tcBorders>
            <w:shd w:val="clear" w:color="auto" w:fill="auto"/>
            <w:noWrap/>
            <w:vAlign w:val="bottom"/>
          </w:tcPr>
          <w:p w:rsidR="00EC53CE" w:rsidRPr="00A13740" w:rsidRDefault="00EC53CE" w:rsidP="00BB7784">
            <w:pPr>
              <w:widowControl w:val="0"/>
              <w:jc w:val="right"/>
              <w:rPr>
                <w:sz w:val="20"/>
                <w:szCs w:val="20"/>
                <w:lang w:val="fr-FR"/>
              </w:rPr>
            </w:pPr>
            <w:r w:rsidRPr="00A13740">
              <w:rPr>
                <w:sz w:val="20"/>
                <w:szCs w:val="20"/>
                <w:lang w:val="fr-FR"/>
              </w:rPr>
              <w:t>464,06</w:t>
            </w:r>
          </w:p>
        </w:tc>
        <w:tc>
          <w:tcPr>
            <w:tcW w:w="553" w:type="pct"/>
            <w:tcBorders>
              <w:top w:val="single" w:sz="4" w:space="0" w:color="auto"/>
              <w:left w:val="nil"/>
              <w:bottom w:val="single" w:sz="4" w:space="0" w:color="auto"/>
              <w:right w:val="single" w:sz="4" w:space="0" w:color="auto"/>
            </w:tcBorders>
            <w:vAlign w:val="bottom"/>
          </w:tcPr>
          <w:p w:rsidR="00EC53CE" w:rsidRPr="00A13740" w:rsidRDefault="00EC53CE" w:rsidP="00BB7784">
            <w:pPr>
              <w:widowControl w:val="0"/>
              <w:jc w:val="right"/>
              <w:rPr>
                <w:sz w:val="20"/>
                <w:szCs w:val="20"/>
                <w:lang w:val="fr-FR"/>
              </w:rPr>
            </w:pPr>
            <w:r w:rsidRPr="00A13740">
              <w:rPr>
                <w:sz w:val="20"/>
                <w:szCs w:val="20"/>
                <w:lang w:val="fr-FR"/>
              </w:rPr>
              <w:t>509,79</w:t>
            </w:r>
          </w:p>
        </w:tc>
        <w:tc>
          <w:tcPr>
            <w:tcW w:w="553" w:type="pct"/>
            <w:tcBorders>
              <w:top w:val="nil"/>
              <w:left w:val="single" w:sz="4" w:space="0" w:color="auto"/>
              <w:bottom w:val="single" w:sz="4" w:space="0" w:color="auto"/>
              <w:right w:val="single" w:sz="4" w:space="0" w:color="auto"/>
            </w:tcBorders>
            <w:vAlign w:val="bottom"/>
          </w:tcPr>
          <w:p w:rsidR="00EC53CE" w:rsidRPr="00A13740" w:rsidRDefault="00EC53CE" w:rsidP="00BB7784">
            <w:pPr>
              <w:widowControl w:val="0"/>
              <w:jc w:val="right"/>
              <w:rPr>
                <w:sz w:val="20"/>
                <w:szCs w:val="20"/>
                <w:lang w:val="fr-FR"/>
              </w:rPr>
            </w:pPr>
            <w:r w:rsidRPr="00A13740">
              <w:rPr>
                <w:sz w:val="20"/>
                <w:szCs w:val="20"/>
                <w:lang w:val="fr-FR"/>
              </w:rPr>
              <w:t>471,13</w:t>
            </w:r>
          </w:p>
        </w:tc>
        <w:tc>
          <w:tcPr>
            <w:tcW w:w="554" w:type="pct"/>
            <w:tcBorders>
              <w:top w:val="nil"/>
              <w:left w:val="single" w:sz="4" w:space="0" w:color="auto"/>
              <w:bottom w:val="single" w:sz="4" w:space="0" w:color="auto"/>
              <w:right w:val="single" w:sz="4" w:space="0" w:color="auto"/>
            </w:tcBorders>
            <w:shd w:val="clear" w:color="auto" w:fill="auto"/>
            <w:noWrap/>
            <w:vAlign w:val="bottom"/>
          </w:tcPr>
          <w:p w:rsidR="00EC53CE" w:rsidRPr="00A13740" w:rsidRDefault="00EC53CE" w:rsidP="00BB7784">
            <w:pPr>
              <w:widowControl w:val="0"/>
              <w:jc w:val="right"/>
              <w:rPr>
                <w:sz w:val="20"/>
                <w:szCs w:val="20"/>
                <w:lang w:val="fr-FR"/>
              </w:rPr>
            </w:pPr>
            <w:r w:rsidRPr="00A13740">
              <w:rPr>
                <w:sz w:val="20"/>
                <w:szCs w:val="20"/>
                <w:lang w:val="fr-FR"/>
              </w:rPr>
              <w:t>724,46</w:t>
            </w:r>
          </w:p>
        </w:tc>
      </w:tr>
      <w:tr w:rsidR="00EC53CE" w:rsidRPr="00A13740" w:rsidTr="00BB7784">
        <w:tc>
          <w:tcPr>
            <w:tcW w:w="1681" w:type="pct"/>
            <w:tcBorders>
              <w:top w:val="nil"/>
              <w:left w:val="single" w:sz="4" w:space="0" w:color="auto"/>
              <w:bottom w:val="single" w:sz="4" w:space="0" w:color="auto"/>
              <w:right w:val="single" w:sz="4" w:space="0" w:color="auto"/>
            </w:tcBorders>
            <w:shd w:val="clear" w:color="auto" w:fill="auto"/>
            <w:noWrap/>
            <w:tcMar>
              <w:left w:w="43" w:type="dxa"/>
              <w:right w:w="43" w:type="dxa"/>
            </w:tcMar>
            <w:hideMark/>
          </w:tcPr>
          <w:p w:rsidR="00EC53CE" w:rsidRPr="00A13740" w:rsidRDefault="00EC53CE" w:rsidP="00BB7784">
            <w:pPr>
              <w:jc w:val="left"/>
              <w:rPr>
                <w:b/>
                <w:bCs/>
                <w:color w:val="000000"/>
                <w:sz w:val="20"/>
                <w:szCs w:val="20"/>
                <w:lang w:val="fr-FR"/>
              </w:rPr>
            </w:pPr>
            <w:r w:rsidRPr="00A13740">
              <w:rPr>
                <w:color w:val="000000"/>
                <w:sz w:val="20"/>
                <w:szCs w:val="20"/>
                <w:lang w:val="fr-FR"/>
              </w:rPr>
              <w:t xml:space="preserve">HCFC-141b dans les polyols </w:t>
            </w:r>
            <w:proofErr w:type="spellStart"/>
            <w:r w:rsidRPr="00A13740">
              <w:rPr>
                <w:color w:val="000000"/>
                <w:sz w:val="20"/>
                <w:szCs w:val="20"/>
                <w:lang w:val="fr-FR"/>
              </w:rPr>
              <w:t>prémélangés</w:t>
            </w:r>
            <w:proofErr w:type="spellEnd"/>
            <w:r w:rsidRPr="00A13740">
              <w:rPr>
                <w:color w:val="000000"/>
                <w:sz w:val="20"/>
                <w:szCs w:val="20"/>
                <w:lang w:val="fr-FR"/>
              </w:rPr>
              <w:t xml:space="preserve"> importés</w:t>
            </w:r>
            <w:r w:rsidRPr="00A13740">
              <w:rPr>
                <w:color w:val="000000"/>
                <w:sz w:val="20"/>
                <w:szCs w:val="20"/>
                <w:vertAlign w:val="superscript"/>
                <w:lang w:val="fr-FR"/>
              </w:rPr>
              <w:t>*</w:t>
            </w:r>
          </w:p>
        </w:tc>
        <w:tc>
          <w:tcPr>
            <w:tcW w:w="553" w:type="pct"/>
            <w:tcBorders>
              <w:top w:val="nil"/>
              <w:left w:val="nil"/>
              <w:bottom w:val="single" w:sz="4" w:space="0" w:color="auto"/>
              <w:right w:val="single" w:sz="4" w:space="0" w:color="auto"/>
            </w:tcBorders>
            <w:shd w:val="clear" w:color="auto" w:fill="auto"/>
            <w:noWrap/>
          </w:tcPr>
          <w:p w:rsidR="00EC53CE" w:rsidRPr="00A13740" w:rsidRDefault="00EC53CE" w:rsidP="00BB7784">
            <w:pPr>
              <w:jc w:val="right"/>
              <w:rPr>
                <w:sz w:val="20"/>
                <w:szCs w:val="20"/>
                <w:lang w:val="fr-FR"/>
              </w:rPr>
            </w:pPr>
            <w:r w:rsidRPr="00A13740">
              <w:rPr>
                <w:sz w:val="20"/>
                <w:szCs w:val="20"/>
                <w:lang w:val="fr-FR"/>
              </w:rPr>
              <w:t>43,77</w:t>
            </w:r>
          </w:p>
        </w:tc>
        <w:tc>
          <w:tcPr>
            <w:tcW w:w="553" w:type="pct"/>
            <w:tcBorders>
              <w:top w:val="nil"/>
              <w:left w:val="nil"/>
              <w:bottom w:val="single" w:sz="4" w:space="0" w:color="auto"/>
              <w:right w:val="single" w:sz="4" w:space="0" w:color="auto"/>
            </w:tcBorders>
            <w:shd w:val="clear" w:color="auto" w:fill="auto"/>
            <w:noWrap/>
          </w:tcPr>
          <w:p w:rsidR="00EC53CE" w:rsidRPr="00A13740" w:rsidRDefault="00EC53CE" w:rsidP="00BB7784">
            <w:pPr>
              <w:jc w:val="right"/>
              <w:rPr>
                <w:sz w:val="20"/>
                <w:szCs w:val="20"/>
                <w:lang w:val="fr-FR"/>
              </w:rPr>
            </w:pPr>
            <w:r w:rsidRPr="00A13740">
              <w:rPr>
                <w:sz w:val="20"/>
                <w:szCs w:val="20"/>
                <w:lang w:val="fr-FR"/>
              </w:rPr>
              <w:t>55,97</w:t>
            </w:r>
          </w:p>
        </w:tc>
        <w:tc>
          <w:tcPr>
            <w:tcW w:w="553" w:type="pct"/>
            <w:tcBorders>
              <w:top w:val="nil"/>
              <w:left w:val="nil"/>
              <w:bottom w:val="single" w:sz="4" w:space="0" w:color="auto"/>
              <w:right w:val="single" w:sz="4" w:space="0" w:color="auto"/>
            </w:tcBorders>
            <w:shd w:val="clear" w:color="auto" w:fill="auto"/>
            <w:noWrap/>
          </w:tcPr>
          <w:p w:rsidR="00EC53CE" w:rsidRPr="00A13740" w:rsidRDefault="00EC53CE" w:rsidP="00BB7784">
            <w:pPr>
              <w:jc w:val="right"/>
              <w:rPr>
                <w:color w:val="000000"/>
                <w:sz w:val="20"/>
                <w:szCs w:val="20"/>
                <w:lang w:val="fr-FR"/>
              </w:rPr>
            </w:pPr>
            <w:r w:rsidRPr="00A13740">
              <w:rPr>
                <w:color w:val="000000"/>
                <w:sz w:val="20"/>
                <w:szCs w:val="20"/>
                <w:lang w:val="fr-FR"/>
              </w:rPr>
              <w:t>53,72</w:t>
            </w:r>
          </w:p>
        </w:tc>
        <w:tc>
          <w:tcPr>
            <w:tcW w:w="553" w:type="pct"/>
            <w:tcBorders>
              <w:top w:val="single" w:sz="4" w:space="0" w:color="auto"/>
              <w:left w:val="nil"/>
              <w:bottom w:val="single" w:sz="4" w:space="0" w:color="auto"/>
              <w:right w:val="single" w:sz="4" w:space="0" w:color="auto"/>
            </w:tcBorders>
          </w:tcPr>
          <w:p w:rsidR="00EC53CE" w:rsidRPr="00A13740" w:rsidRDefault="00EC53CE" w:rsidP="00BB7784">
            <w:pPr>
              <w:jc w:val="right"/>
              <w:rPr>
                <w:color w:val="000000"/>
                <w:sz w:val="20"/>
                <w:szCs w:val="20"/>
                <w:lang w:val="fr-FR"/>
              </w:rPr>
            </w:pPr>
            <w:r w:rsidRPr="00A13740">
              <w:rPr>
                <w:color w:val="000000"/>
                <w:sz w:val="20"/>
                <w:szCs w:val="20"/>
                <w:lang w:val="fr-FR"/>
              </w:rPr>
              <w:t>64,30</w:t>
            </w:r>
          </w:p>
        </w:tc>
        <w:tc>
          <w:tcPr>
            <w:tcW w:w="553" w:type="pct"/>
            <w:tcBorders>
              <w:top w:val="nil"/>
              <w:left w:val="single" w:sz="4" w:space="0" w:color="auto"/>
              <w:bottom w:val="single" w:sz="4" w:space="0" w:color="auto"/>
              <w:right w:val="single" w:sz="4" w:space="0" w:color="auto"/>
            </w:tcBorders>
          </w:tcPr>
          <w:p w:rsidR="00EC53CE" w:rsidRPr="00A13740" w:rsidRDefault="00EC53CE" w:rsidP="00BB7784">
            <w:pPr>
              <w:jc w:val="right"/>
              <w:rPr>
                <w:sz w:val="20"/>
                <w:szCs w:val="20"/>
                <w:lang w:val="fr-FR"/>
              </w:rPr>
            </w:pPr>
            <w:r w:rsidRPr="00A13740">
              <w:rPr>
                <w:sz w:val="20"/>
                <w:szCs w:val="20"/>
                <w:lang w:val="fr-FR"/>
              </w:rPr>
              <w:t>65,00</w:t>
            </w:r>
          </w:p>
        </w:tc>
        <w:tc>
          <w:tcPr>
            <w:tcW w:w="554" w:type="pct"/>
            <w:tcBorders>
              <w:top w:val="nil"/>
              <w:left w:val="single" w:sz="4" w:space="0" w:color="auto"/>
              <w:bottom w:val="single" w:sz="4" w:space="0" w:color="auto"/>
              <w:right w:val="single" w:sz="4" w:space="0" w:color="auto"/>
            </w:tcBorders>
            <w:shd w:val="clear" w:color="auto" w:fill="auto"/>
            <w:noWrap/>
          </w:tcPr>
          <w:p w:rsidR="00EC53CE" w:rsidRPr="00A13740" w:rsidRDefault="00EC53CE" w:rsidP="00BB7784">
            <w:pPr>
              <w:jc w:val="right"/>
              <w:rPr>
                <w:sz w:val="20"/>
                <w:szCs w:val="20"/>
                <w:lang w:val="fr-FR"/>
              </w:rPr>
            </w:pPr>
            <w:r w:rsidRPr="00A13740">
              <w:rPr>
                <w:sz w:val="20"/>
                <w:szCs w:val="20"/>
                <w:lang w:val="fr-FR"/>
              </w:rPr>
              <w:t>45,64</w:t>
            </w:r>
            <w:r w:rsidRPr="00A13740">
              <w:rPr>
                <w:sz w:val="20"/>
                <w:szCs w:val="20"/>
                <w:vertAlign w:val="superscript"/>
                <w:lang w:val="fr-FR"/>
              </w:rPr>
              <w:t>**</w:t>
            </w:r>
          </w:p>
        </w:tc>
      </w:tr>
      <w:tr w:rsidR="00EC53CE" w:rsidRPr="00A13740" w:rsidTr="00BB7784">
        <w:tc>
          <w:tcPr>
            <w:tcW w:w="1681" w:type="pct"/>
            <w:tcBorders>
              <w:top w:val="single" w:sz="4" w:space="0" w:color="auto"/>
              <w:left w:val="single" w:sz="4" w:space="0" w:color="auto"/>
              <w:bottom w:val="single" w:sz="4" w:space="0" w:color="auto"/>
              <w:right w:val="single" w:sz="4" w:space="0" w:color="auto"/>
            </w:tcBorders>
            <w:shd w:val="clear" w:color="auto" w:fill="auto"/>
            <w:noWrap/>
            <w:tcMar>
              <w:left w:w="43" w:type="dxa"/>
              <w:right w:w="43" w:type="dxa"/>
            </w:tcMar>
            <w:vAlign w:val="center"/>
            <w:hideMark/>
          </w:tcPr>
          <w:p w:rsidR="00EC53CE" w:rsidRPr="00A13740" w:rsidRDefault="00EC53CE" w:rsidP="00BB7784">
            <w:pPr>
              <w:widowControl w:val="0"/>
              <w:jc w:val="left"/>
              <w:rPr>
                <w:b/>
                <w:bCs/>
                <w:color w:val="000000"/>
                <w:sz w:val="20"/>
                <w:szCs w:val="20"/>
                <w:lang w:val="fr-FR"/>
              </w:rPr>
            </w:pPr>
            <w:r w:rsidRPr="00A13740">
              <w:rPr>
                <w:b/>
                <w:bCs/>
                <w:color w:val="000000"/>
                <w:sz w:val="20"/>
                <w:szCs w:val="20"/>
                <w:lang w:val="fr-FR"/>
              </w:rPr>
              <w:t>Tonnes PAO</w:t>
            </w:r>
          </w:p>
        </w:tc>
        <w:tc>
          <w:tcPr>
            <w:tcW w:w="5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53CE" w:rsidRPr="00A13740" w:rsidRDefault="00EC53CE" w:rsidP="00BB7784">
            <w:pPr>
              <w:widowControl w:val="0"/>
              <w:jc w:val="right"/>
              <w:rPr>
                <w:color w:val="000000"/>
                <w:sz w:val="20"/>
                <w:szCs w:val="20"/>
                <w:lang w:val="fr-FR"/>
              </w:rPr>
            </w:pPr>
          </w:p>
        </w:tc>
        <w:tc>
          <w:tcPr>
            <w:tcW w:w="5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53CE" w:rsidRPr="00A13740" w:rsidRDefault="00EC53CE" w:rsidP="00BB7784">
            <w:pPr>
              <w:widowControl w:val="0"/>
              <w:jc w:val="right"/>
              <w:rPr>
                <w:color w:val="000000"/>
                <w:sz w:val="20"/>
                <w:szCs w:val="20"/>
                <w:lang w:val="fr-FR"/>
              </w:rPr>
            </w:pPr>
          </w:p>
        </w:tc>
        <w:tc>
          <w:tcPr>
            <w:tcW w:w="5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EC53CE" w:rsidRPr="00A13740" w:rsidRDefault="00EC53CE" w:rsidP="00BB7784">
            <w:pPr>
              <w:widowControl w:val="0"/>
              <w:jc w:val="right"/>
              <w:rPr>
                <w:color w:val="000000"/>
                <w:sz w:val="20"/>
                <w:szCs w:val="20"/>
                <w:lang w:val="fr-FR"/>
              </w:rPr>
            </w:pPr>
          </w:p>
        </w:tc>
        <w:tc>
          <w:tcPr>
            <w:tcW w:w="553" w:type="pct"/>
            <w:tcBorders>
              <w:top w:val="single" w:sz="4" w:space="0" w:color="auto"/>
              <w:left w:val="single" w:sz="4" w:space="0" w:color="auto"/>
              <w:bottom w:val="single" w:sz="4" w:space="0" w:color="auto"/>
              <w:right w:val="single" w:sz="4" w:space="0" w:color="auto"/>
            </w:tcBorders>
          </w:tcPr>
          <w:p w:rsidR="00EC53CE" w:rsidRPr="00A13740" w:rsidRDefault="00EC53CE" w:rsidP="00BB7784">
            <w:pPr>
              <w:widowControl w:val="0"/>
              <w:jc w:val="right"/>
              <w:rPr>
                <w:color w:val="000000"/>
                <w:sz w:val="20"/>
                <w:szCs w:val="20"/>
                <w:lang w:val="fr-FR"/>
              </w:rPr>
            </w:pPr>
          </w:p>
        </w:tc>
        <w:tc>
          <w:tcPr>
            <w:tcW w:w="553" w:type="pct"/>
            <w:tcBorders>
              <w:top w:val="single" w:sz="4" w:space="0" w:color="auto"/>
              <w:left w:val="single" w:sz="4" w:space="0" w:color="auto"/>
              <w:bottom w:val="single" w:sz="4" w:space="0" w:color="auto"/>
              <w:right w:val="single" w:sz="4" w:space="0" w:color="auto"/>
            </w:tcBorders>
          </w:tcPr>
          <w:p w:rsidR="00EC53CE" w:rsidRPr="00A13740" w:rsidRDefault="00EC53CE" w:rsidP="00BB7784">
            <w:pPr>
              <w:widowControl w:val="0"/>
              <w:jc w:val="right"/>
              <w:rPr>
                <w:color w:val="000000"/>
                <w:sz w:val="20"/>
                <w:szCs w:val="20"/>
                <w:lang w:val="fr-FR"/>
              </w:rPr>
            </w:pPr>
          </w:p>
        </w:tc>
        <w:tc>
          <w:tcPr>
            <w:tcW w:w="554" w:type="pct"/>
            <w:tcBorders>
              <w:top w:val="single" w:sz="4" w:space="0" w:color="auto"/>
              <w:left w:val="single" w:sz="4" w:space="0" w:color="auto"/>
              <w:bottom w:val="single" w:sz="4" w:space="0" w:color="auto"/>
              <w:right w:val="single" w:sz="4" w:space="0" w:color="auto"/>
            </w:tcBorders>
            <w:shd w:val="clear" w:color="auto" w:fill="auto"/>
            <w:noWrap/>
            <w:vAlign w:val="center"/>
          </w:tcPr>
          <w:p w:rsidR="00EC53CE" w:rsidRPr="00A13740" w:rsidRDefault="00EC53CE" w:rsidP="00BB7784">
            <w:pPr>
              <w:widowControl w:val="0"/>
              <w:jc w:val="right"/>
              <w:rPr>
                <w:color w:val="000000"/>
                <w:sz w:val="20"/>
                <w:szCs w:val="20"/>
                <w:lang w:val="fr-FR"/>
              </w:rPr>
            </w:pPr>
          </w:p>
        </w:tc>
      </w:tr>
      <w:tr w:rsidR="00EC53CE" w:rsidRPr="00A13740" w:rsidTr="00BB7784">
        <w:tc>
          <w:tcPr>
            <w:tcW w:w="1681" w:type="pct"/>
            <w:tcBorders>
              <w:top w:val="single" w:sz="4" w:space="0" w:color="auto"/>
              <w:left w:val="single" w:sz="4" w:space="0" w:color="auto"/>
              <w:bottom w:val="single" w:sz="4" w:space="0" w:color="auto"/>
              <w:right w:val="single" w:sz="4" w:space="0" w:color="auto"/>
            </w:tcBorders>
            <w:shd w:val="clear" w:color="auto" w:fill="auto"/>
            <w:noWrap/>
            <w:tcMar>
              <w:left w:w="43" w:type="dxa"/>
              <w:right w:w="43" w:type="dxa"/>
            </w:tcMar>
            <w:vAlign w:val="center"/>
            <w:hideMark/>
          </w:tcPr>
          <w:p w:rsidR="00EC53CE" w:rsidRPr="00A13740" w:rsidRDefault="00EC53CE" w:rsidP="00BB7784">
            <w:pPr>
              <w:widowControl w:val="0"/>
              <w:jc w:val="left"/>
              <w:rPr>
                <w:color w:val="000000"/>
                <w:sz w:val="20"/>
                <w:szCs w:val="20"/>
                <w:lang w:val="fr-FR"/>
              </w:rPr>
            </w:pPr>
            <w:r w:rsidRPr="00A13740">
              <w:rPr>
                <w:color w:val="000000"/>
                <w:sz w:val="20"/>
                <w:szCs w:val="20"/>
                <w:lang w:val="fr-FR"/>
              </w:rPr>
              <w:t>HCFC-22</w:t>
            </w:r>
          </w:p>
        </w:tc>
        <w:tc>
          <w:tcPr>
            <w:tcW w:w="553" w:type="pct"/>
            <w:tcBorders>
              <w:top w:val="single" w:sz="4" w:space="0" w:color="auto"/>
              <w:left w:val="single" w:sz="4" w:space="0" w:color="auto"/>
              <w:bottom w:val="single" w:sz="4" w:space="0" w:color="auto"/>
              <w:right w:val="single" w:sz="4" w:space="0" w:color="auto"/>
            </w:tcBorders>
            <w:shd w:val="clear" w:color="auto" w:fill="auto"/>
            <w:noWrap/>
          </w:tcPr>
          <w:p w:rsidR="00EC53CE" w:rsidRPr="00A13740" w:rsidRDefault="00EC53CE" w:rsidP="00BB7784">
            <w:pPr>
              <w:widowControl w:val="0"/>
              <w:jc w:val="right"/>
              <w:rPr>
                <w:sz w:val="20"/>
                <w:szCs w:val="20"/>
                <w:lang w:val="fr-FR"/>
              </w:rPr>
            </w:pPr>
            <w:r w:rsidRPr="00A13740">
              <w:rPr>
                <w:sz w:val="20"/>
                <w:szCs w:val="20"/>
                <w:lang w:val="fr-FR"/>
              </w:rPr>
              <w:t>33,57</w:t>
            </w:r>
          </w:p>
        </w:tc>
        <w:tc>
          <w:tcPr>
            <w:tcW w:w="553" w:type="pct"/>
            <w:tcBorders>
              <w:top w:val="single" w:sz="4" w:space="0" w:color="auto"/>
              <w:left w:val="single" w:sz="4" w:space="0" w:color="auto"/>
              <w:bottom w:val="single" w:sz="4" w:space="0" w:color="auto"/>
              <w:right w:val="single" w:sz="4" w:space="0" w:color="auto"/>
            </w:tcBorders>
            <w:shd w:val="clear" w:color="auto" w:fill="auto"/>
            <w:noWrap/>
          </w:tcPr>
          <w:p w:rsidR="00EC53CE" w:rsidRPr="00A13740" w:rsidRDefault="00EC53CE" w:rsidP="00BB7784">
            <w:pPr>
              <w:widowControl w:val="0"/>
              <w:jc w:val="right"/>
              <w:rPr>
                <w:sz w:val="20"/>
                <w:szCs w:val="20"/>
                <w:lang w:val="fr-FR"/>
              </w:rPr>
            </w:pPr>
            <w:r w:rsidRPr="00A13740">
              <w:rPr>
                <w:sz w:val="20"/>
                <w:szCs w:val="20"/>
                <w:lang w:val="fr-FR"/>
              </w:rPr>
              <w:t>34,67</w:t>
            </w:r>
          </w:p>
        </w:tc>
        <w:tc>
          <w:tcPr>
            <w:tcW w:w="5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EC53CE" w:rsidRPr="00A13740" w:rsidRDefault="00EC53CE" w:rsidP="00BB7784">
            <w:pPr>
              <w:widowControl w:val="0"/>
              <w:jc w:val="right"/>
              <w:rPr>
                <w:sz w:val="20"/>
                <w:szCs w:val="20"/>
                <w:lang w:val="fr-FR"/>
              </w:rPr>
            </w:pPr>
            <w:r w:rsidRPr="00A13740">
              <w:rPr>
                <w:sz w:val="20"/>
                <w:szCs w:val="20"/>
                <w:lang w:val="fr-FR"/>
              </w:rPr>
              <w:t>25,50</w:t>
            </w:r>
          </w:p>
        </w:tc>
        <w:tc>
          <w:tcPr>
            <w:tcW w:w="553" w:type="pct"/>
            <w:tcBorders>
              <w:top w:val="single" w:sz="4" w:space="0" w:color="auto"/>
              <w:left w:val="single" w:sz="4" w:space="0" w:color="auto"/>
              <w:bottom w:val="single" w:sz="4" w:space="0" w:color="auto"/>
              <w:right w:val="single" w:sz="4" w:space="0" w:color="auto"/>
            </w:tcBorders>
            <w:vAlign w:val="center"/>
          </w:tcPr>
          <w:p w:rsidR="00EC53CE" w:rsidRPr="00A13740" w:rsidRDefault="00EC53CE" w:rsidP="00BB7784">
            <w:pPr>
              <w:widowControl w:val="0"/>
              <w:jc w:val="right"/>
              <w:rPr>
                <w:sz w:val="20"/>
                <w:szCs w:val="20"/>
                <w:lang w:val="fr-FR"/>
              </w:rPr>
            </w:pPr>
            <w:r w:rsidRPr="00A13740">
              <w:rPr>
                <w:sz w:val="20"/>
                <w:szCs w:val="20"/>
                <w:lang w:val="fr-FR"/>
              </w:rPr>
              <w:t>27,58</w:t>
            </w:r>
          </w:p>
        </w:tc>
        <w:tc>
          <w:tcPr>
            <w:tcW w:w="553" w:type="pct"/>
            <w:tcBorders>
              <w:top w:val="single" w:sz="4" w:space="0" w:color="auto"/>
              <w:left w:val="single" w:sz="4" w:space="0" w:color="auto"/>
              <w:bottom w:val="single" w:sz="4" w:space="0" w:color="auto"/>
              <w:right w:val="single" w:sz="4" w:space="0" w:color="auto"/>
            </w:tcBorders>
            <w:vAlign w:val="center"/>
          </w:tcPr>
          <w:p w:rsidR="00EC53CE" w:rsidRPr="00A13740" w:rsidRDefault="00EC53CE" w:rsidP="00BB7784">
            <w:pPr>
              <w:widowControl w:val="0"/>
              <w:jc w:val="right"/>
              <w:rPr>
                <w:sz w:val="20"/>
                <w:szCs w:val="20"/>
                <w:lang w:val="fr-FR"/>
              </w:rPr>
            </w:pPr>
            <w:r w:rsidRPr="00A13740">
              <w:rPr>
                <w:sz w:val="20"/>
                <w:szCs w:val="20"/>
                <w:lang w:val="fr-FR"/>
              </w:rPr>
              <w:t>25,91</w:t>
            </w:r>
          </w:p>
        </w:tc>
        <w:tc>
          <w:tcPr>
            <w:tcW w:w="554" w:type="pct"/>
            <w:tcBorders>
              <w:top w:val="single" w:sz="4" w:space="0" w:color="auto"/>
              <w:left w:val="single" w:sz="4" w:space="0" w:color="auto"/>
              <w:bottom w:val="single" w:sz="4" w:space="0" w:color="auto"/>
              <w:right w:val="single" w:sz="4" w:space="0" w:color="auto"/>
            </w:tcBorders>
            <w:shd w:val="clear" w:color="auto" w:fill="auto"/>
            <w:noWrap/>
            <w:vAlign w:val="center"/>
          </w:tcPr>
          <w:p w:rsidR="00EC53CE" w:rsidRPr="00A13740" w:rsidRDefault="00EC53CE" w:rsidP="00BB7784">
            <w:pPr>
              <w:widowControl w:val="0"/>
              <w:jc w:val="right"/>
              <w:rPr>
                <w:sz w:val="20"/>
                <w:szCs w:val="20"/>
                <w:lang w:val="fr-FR"/>
              </w:rPr>
            </w:pPr>
            <w:r w:rsidRPr="00A13740">
              <w:rPr>
                <w:sz w:val="20"/>
                <w:szCs w:val="20"/>
                <w:lang w:val="fr-FR"/>
              </w:rPr>
              <w:t>39,01</w:t>
            </w:r>
          </w:p>
        </w:tc>
      </w:tr>
      <w:tr w:rsidR="00EC53CE" w:rsidRPr="00A13740" w:rsidTr="00BB7784">
        <w:tc>
          <w:tcPr>
            <w:tcW w:w="1681" w:type="pct"/>
            <w:tcBorders>
              <w:top w:val="single" w:sz="4" w:space="0" w:color="auto"/>
              <w:left w:val="single" w:sz="4" w:space="0" w:color="auto"/>
              <w:bottom w:val="single" w:sz="4" w:space="0" w:color="auto"/>
              <w:right w:val="single" w:sz="4" w:space="0" w:color="auto"/>
            </w:tcBorders>
            <w:shd w:val="clear" w:color="auto" w:fill="auto"/>
            <w:noWrap/>
            <w:tcMar>
              <w:left w:w="43" w:type="dxa"/>
              <w:right w:w="43" w:type="dxa"/>
            </w:tcMar>
            <w:vAlign w:val="center"/>
            <w:hideMark/>
          </w:tcPr>
          <w:p w:rsidR="00EC53CE" w:rsidRPr="00A13740" w:rsidRDefault="00EC53CE" w:rsidP="00BB7784">
            <w:pPr>
              <w:widowControl w:val="0"/>
              <w:jc w:val="left"/>
              <w:rPr>
                <w:color w:val="000000"/>
                <w:sz w:val="20"/>
                <w:szCs w:val="20"/>
                <w:lang w:val="fr-FR"/>
              </w:rPr>
            </w:pPr>
            <w:r w:rsidRPr="00A13740">
              <w:rPr>
                <w:color w:val="000000"/>
                <w:sz w:val="20"/>
                <w:szCs w:val="20"/>
                <w:lang w:val="fr-FR"/>
              </w:rPr>
              <w:t>HCFC-141b</w:t>
            </w:r>
          </w:p>
        </w:tc>
        <w:tc>
          <w:tcPr>
            <w:tcW w:w="553" w:type="pct"/>
            <w:tcBorders>
              <w:top w:val="single" w:sz="4" w:space="0" w:color="auto"/>
              <w:left w:val="single" w:sz="4" w:space="0" w:color="auto"/>
              <w:bottom w:val="single" w:sz="4" w:space="0" w:color="auto"/>
              <w:right w:val="single" w:sz="4" w:space="0" w:color="auto"/>
            </w:tcBorders>
            <w:shd w:val="clear" w:color="auto" w:fill="auto"/>
            <w:noWrap/>
          </w:tcPr>
          <w:p w:rsidR="00EC53CE" w:rsidRPr="00A13740" w:rsidRDefault="00EC53CE" w:rsidP="00BB7784">
            <w:pPr>
              <w:widowControl w:val="0"/>
              <w:jc w:val="right"/>
              <w:rPr>
                <w:sz w:val="20"/>
                <w:szCs w:val="20"/>
                <w:lang w:val="fr-FR"/>
              </w:rPr>
            </w:pPr>
            <w:r w:rsidRPr="00A13740">
              <w:rPr>
                <w:sz w:val="20"/>
                <w:szCs w:val="20"/>
                <w:lang w:val="fr-FR"/>
              </w:rPr>
              <w:t>0,93</w:t>
            </w:r>
          </w:p>
        </w:tc>
        <w:tc>
          <w:tcPr>
            <w:tcW w:w="553" w:type="pct"/>
            <w:tcBorders>
              <w:top w:val="single" w:sz="4" w:space="0" w:color="auto"/>
              <w:left w:val="single" w:sz="4" w:space="0" w:color="auto"/>
              <w:bottom w:val="single" w:sz="4" w:space="0" w:color="auto"/>
              <w:right w:val="single" w:sz="4" w:space="0" w:color="auto"/>
            </w:tcBorders>
            <w:shd w:val="clear" w:color="auto" w:fill="auto"/>
            <w:noWrap/>
          </w:tcPr>
          <w:p w:rsidR="00EC53CE" w:rsidRPr="00A13740" w:rsidRDefault="00EC53CE" w:rsidP="00BB7784">
            <w:pPr>
              <w:widowControl w:val="0"/>
              <w:jc w:val="right"/>
              <w:rPr>
                <w:sz w:val="20"/>
                <w:szCs w:val="20"/>
                <w:lang w:val="fr-FR"/>
              </w:rPr>
            </w:pPr>
            <w:r w:rsidRPr="00A13740">
              <w:rPr>
                <w:sz w:val="20"/>
                <w:szCs w:val="20"/>
                <w:lang w:val="fr-FR"/>
              </w:rPr>
              <w:t>0,93</w:t>
            </w:r>
          </w:p>
        </w:tc>
        <w:tc>
          <w:tcPr>
            <w:tcW w:w="5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EC53CE" w:rsidRPr="00A13740" w:rsidRDefault="00EC53CE" w:rsidP="00BB7784">
            <w:pPr>
              <w:widowControl w:val="0"/>
              <w:jc w:val="right"/>
              <w:rPr>
                <w:sz w:val="20"/>
                <w:szCs w:val="20"/>
                <w:lang w:val="fr-FR"/>
              </w:rPr>
            </w:pPr>
            <w:r w:rsidRPr="00A13740">
              <w:rPr>
                <w:sz w:val="20"/>
                <w:szCs w:val="20"/>
                <w:lang w:val="fr-FR"/>
              </w:rPr>
              <w:t>0,00</w:t>
            </w:r>
          </w:p>
        </w:tc>
        <w:tc>
          <w:tcPr>
            <w:tcW w:w="553" w:type="pct"/>
            <w:tcBorders>
              <w:top w:val="single" w:sz="4" w:space="0" w:color="auto"/>
              <w:left w:val="single" w:sz="4" w:space="0" w:color="auto"/>
              <w:bottom w:val="single" w:sz="4" w:space="0" w:color="auto"/>
              <w:right w:val="single" w:sz="4" w:space="0" w:color="auto"/>
            </w:tcBorders>
            <w:vAlign w:val="center"/>
          </w:tcPr>
          <w:p w:rsidR="00EC53CE" w:rsidRPr="00A13740" w:rsidRDefault="00EC53CE" w:rsidP="00BB7784">
            <w:pPr>
              <w:widowControl w:val="0"/>
              <w:jc w:val="right"/>
              <w:rPr>
                <w:sz w:val="20"/>
                <w:szCs w:val="20"/>
                <w:lang w:val="fr-FR"/>
              </w:rPr>
            </w:pPr>
            <w:r w:rsidRPr="00A13740">
              <w:rPr>
                <w:sz w:val="20"/>
                <w:szCs w:val="20"/>
                <w:lang w:val="fr-FR"/>
              </w:rPr>
              <w:t>0,91</w:t>
            </w:r>
          </w:p>
        </w:tc>
        <w:tc>
          <w:tcPr>
            <w:tcW w:w="553" w:type="pct"/>
            <w:tcBorders>
              <w:top w:val="single" w:sz="4" w:space="0" w:color="auto"/>
              <w:left w:val="single" w:sz="4" w:space="0" w:color="auto"/>
              <w:bottom w:val="single" w:sz="4" w:space="0" w:color="auto"/>
              <w:right w:val="single" w:sz="4" w:space="0" w:color="auto"/>
            </w:tcBorders>
            <w:vAlign w:val="center"/>
          </w:tcPr>
          <w:p w:rsidR="00EC53CE" w:rsidRPr="00A13740" w:rsidRDefault="00EC53CE" w:rsidP="00BB7784">
            <w:pPr>
              <w:widowControl w:val="0"/>
              <w:jc w:val="right"/>
              <w:rPr>
                <w:sz w:val="20"/>
                <w:szCs w:val="20"/>
                <w:lang w:val="fr-FR"/>
              </w:rPr>
            </w:pPr>
            <w:r w:rsidRPr="00A13740">
              <w:rPr>
                <w:sz w:val="20"/>
                <w:szCs w:val="20"/>
                <w:lang w:val="fr-FR"/>
              </w:rPr>
              <w:t>0,00</w:t>
            </w:r>
          </w:p>
        </w:tc>
        <w:tc>
          <w:tcPr>
            <w:tcW w:w="554" w:type="pct"/>
            <w:tcBorders>
              <w:top w:val="single" w:sz="4" w:space="0" w:color="auto"/>
              <w:left w:val="single" w:sz="4" w:space="0" w:color="auto"/>
              <w:bottom w:val="single" w:sz="4" w:space="0" w:color="auto"/>
              <w:right w:val="single" w:sz="4" w:space="0" w:color="auto"/>
            </w:tcBorders>
            <w:shd w:val="clear" w:color="auto" w:fill="auto"/>
            <w:noWrap/>
            <w:vAlign w:val="center"/>
          </w:tcPr>
          <w:p w:rsidR="00EC53CE" w:rsidRPr="00A13740" w:rsidRDefault="00EC53CE" w:rsidP="00BB7784">
            <w:pPr>
              <w:widowControl w:val="0"/>
              <w:jc w:val="right"/>
              <w:rPr>
                <w:sz w:val="20"/>
                <w:szCs w:val="20"/>
                <w:lang w:val="fr-FR"/>
              </w:rPr>
            </w:pPr>
            <w:r w:rsidRPr="00A13740">
              <w:rPr>
                <w:sz w:val="20"/>
                <w:szCs w:val="20"/>
                <w:lang w:val="fr-FR"/>
              </w:rPr>
              <w:t>1,61</w:t>
            </w:r>
          </w:p>
        </w:tc>
      </w:tr>
      <w:tr w:rsidR="00EC53CE" w:rsidRPr="00A13740" w:rsidTr="00BB7784">
        <w:tc>
          <w:tcPr>
            <w:tcW w:w="1681" w:type="pct"/>
            <w:tcBorders>
              <w:top w:val="single" w:sz="4" w:space="0" w:color="auto"/>
              <w:left w:val="single" w:sz="4" w:space="0" w:color="auto"/>
              <w:bottom w:val="single" w:sz="4" w:space="0" w:color="auto"/>
              <w:right w:val="single" w:sz="4" w:space="0" w:color="auto"/>
            </w:tcBorders>
            <w:shd w:val="clear" w:color="auto" w:fill="auto"/>
            <w:noWrap/>
            <w:tcMar>
              <w:left w:w="43" w:type="dxa"/>
              <w:right w:w="43" w:type="dxa"/>
            </w:tcMar>
            <w:vAlign w:val="center"/>
          </w:tcPr>
          <w:p w:rsidR="00EC53CE" w:rsidRPr="00A13740" w:rsidRDefault="00EC53CE" w:rsidP="00BB7784">
            <w:pPr>
              <w:widowControl w:val="0"/>
              <w:jc w:val="left"/>
              <w:rPr>
                <w:color w:val="000000"/>
                <w:sz w:val="20"/>
                <w:szCs w:val="20"/>
                <w:lang w:val="fr-FR"/>
              </w:rPr>
            </w:pPr>
            <w:r w:rsidRPr="00A13740">
              <w:rPr>
                <w:color w:val="000000"/>
                <w:sz w:val="20"/>
                <w:szCs w:val="20"/>
                <w:lang w:val="fr-FR"/>
              </w:rPr>
              <w:t>HCFC-142b</w:t>
            </w:r>
          </w:p>
        </w:tc>
        <w:tc>
          <w:tcPr>
            <w:tcW w:w="553" w:type="pct"/>
            <w:tcBorders>
              <w:top w:val="single" w:sz="4" w:space="0" w:color="auto"/>
              <w:left w:val="single" w:sz="4" w:space="0" w:color="auto"/>
              <w:bottom w:val="single" w:sz="4" w:space="0" w:color="auto"/>
              <w:right w:val="single" w:sz="4" w:space="0" w:color="auto"/>
            </w:tcBorders>
            <w:shd w:val="clear" w:color="auto" w:fill="auto"/>
            <w:noWrap/>
          </w:tcPr>
          <w:p w:rsidR="00EC53CE" w:rsidRPr="00A13740" w:rsidRDefault="00EC53CE" w:rsidP="00BB7784">
            <w:pPr>
              <w:widowControl w:val="0"/>
              <w:jc w:val="right"/>
              <w:rPr>
                <w:sz w:val="20"/>
                <w:szCs w:val="20"/>
                <w:lang w:val="fr-FR"/>
              </w:rPr>
            </w:pPr>
            <w:r w:rsidRPr="00A13740">
              <w:rPr>
                <w:sz w:val="20"/>
                <w:szCs w:val="20"/>
                <w:lang w:val="fr-FR"/>
              </w:rPr>
              <w:t>0,00</w:t>
            </w:r>
          </w:p>
        </w:tc>
        <w:tc>
          <w:tcPr>
            <w:tcW w:w="553" w:type="pct"/>
            <w:tcBorders>
              <w:top w:val="single" w:sz="4" w:space="0" w:color="auto"/>
              <w:left w:val="single" w:sz="4" w:space="0" w:color="auto"/>
              <w:bottom w:val="single" w:sz="4" w:space="0" w:color="auto"/>
              <w:right w:val="single" w:sz="4" w:space="0" w:color="auto"/>
            </w:tcBorders>
            <w:shd w:val="clear" w:color="auto" w:fill="auto"/>
            <w:noWrap/>
          </w:tcPr>
          <w:p w:rsidR="00EC53CE" w:rsidRPr="00A13740" w:rsidRDefault="00EC53CE" w:rsidP="00BB7784">
            <w:pPr>
              <w:widowControl w:val="0"/>
              <w:jc w:val="right"/>
              <w:rPr>
                <w:sz w:val="20"/>
                <w:szCs w:val="20"/>
                <w:lang w:val="fr-FR"/>
              </w:rPr>
            </w:pPr>
            <w:r w:rsidRPr="00A13740">
              <w:rPr>
                <w:sz w:val="20"/>
                <w:szCs w:val="20"/>
                <w:lang w:val="fr-FR"/>
              </w:rPr>
              <w:t>0,00</w:t>
            </w:r>
          </w:p>
        </w:tc>
        <w:tc>
          <w:tcPr>
            <w:tcW w:w="5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EC53CE" w:rsidRPr="00A13740" w:rsidRDefault="00EC53CE" w:rsidP="00BB7784">
            <w:pPr>
              <w:widowControl w:val="0"/>
              <w:jc w:val="right"/>
              <w:rPr>
                <w:sz w:val="20"/>
                <w:szCs w:val="20"/>
                <w:lang w:val="fr-FR"/>
              </w:rPr>
            </w:pPr>
            <w:r w:rsidRPr="00A13740">
              <w:rPr>
                <w:sz w:val="20"/>
                <w:szCs w:val="20"/>
                <w:lang w:val="fr-FR"/>
              </w:rPr>
              <w:t>0,00</w:t>
            </w:r>
          </w:p>
        </w:tc>
        <w:tc>
          <w:tcPr>
            <w:tcW w:w="553" w:type="pct"/>
            <w:tcBorders>
              <w:top w:val="single" w:sz="4" w:space="0" w:color="auto"/>
              <w:left w:val="single" w:sz="4" w:space="0" w:color="auto"/>
              <w:bottom w:val="single" w:sz="4" w:space="0" w:color="auto"/>
              <w:right w:val="single" w:sz="4" w:space="0" w:color="auto"/>
            </w:tcBorders>
            <w:vAlign w:val="center"/>
          </w:tcPr>
          <w:p w:rsidR="00EC53CE" w:rsidRPr="00A13740" w:rsidRDefault="00EC53CE" w:rsidP="00BB7784">
            <w:pPr>
              <w:widowControl w:val="0"/>
              <w:jc w:val="right"/>
              <w:rPr>
                <w:sz w:val="20"/>
                <w:szCs w:val="20"/>
                <w:lang w:val="fr-FR"/>
              </w:rPr>
            </w:pPr>
            <w:r w:rsidRPr="00A13740">
              <w:rPr>
                <w:sz w:val="20"/>
                <w:szCs w:val="20"/>
                <w:lang w:val="fr-FR"/>
              </w:rPr>
              <w:t>0,00</w:t>
            </w:r>
          </w:p>
        </w:tc>
        <w:tc>
          <w:tcPr>
            <w:tcW w:w="553" w:type="pct"/>
            <w:tcBorders>
              <w:top w:val="single" w:sz="4" w:space="0" w:color="auto"/>
              <w:left w:val="single" w:sz="4" w:space="0" w:color="auto"/>
              <w:bottom w:val="single" w:sz="4" w:space="0" w:color="auto"/>
              <w:right w:val="single" w:sz="4" w:space="0" w:color="auto"/>
            </w:tcBorders>
            <w:vAlign w:val="center"/>
          </w:tcPr>
          <w:p w:rsidR="00EC53CE" w:rsidRPr="00A13740" w:rsidRDefault="00EC53CE" w:rsidP="00BB7784">
            <w:pPr>
              <w:widowControl w:val="0"/>
              <w:jc w:val="right"/>
              <w:rPr>
                <w:sz w:val="20"/>
                <w:szCs w:val="20"/>
                <w:lang w:val="fr-FR"/>
              </w:rPr>
            </w:pPr>
            <w:r w:rsidRPr="00A13740">
              <w:rPr>
                <w:sz w:val="20"/>
                <w:szCs w:val="20"/>
                <w:lang w:val="fr-FR"/>
              </w:rPr>
              <w:t>0,00</w:t>
            </w:r>
          </w:p>
        </w:tc>
        <w:tc>
          <w:tcPr>
            <w:tcW w:w="554" w:type="pct"/>
            <w:tcBorders>
              <w:top w:val="single" w:sz="4" w:space="0" w:color="auto"/>
              <w:left w:val="single" w:sz="4" w:space="0" w:color="auto"/>
              <w:bottom w:val="single" w:sz="4" w:space="0" w:color="auto"/>
              <w:right w:val="single" w:sz="4" w:space="0" w:color="auto"/>
            </w:tcBorders>
            <w:shd w:val="clear" w:color="auto" w:fill="auto"/>
            <w:noWrap/>
            <w:vAlign w:val="center"/>
          </w:tcPr>
          <w:p w:rsidR="00EC53CE" w:rsidRPr="00A13740" w:rsidRDefault="00EC53CE" w:rsidP="00BB7784">
            <w:pPr>
              <w:widowControl w:val="0"/>
              <w:jc w:val="right"/>
              <w:rPr>
                <w:sz w:val="20"/>
                <w:szCs w:val="20"/>
                <w:lang w:val="fr-FR"/>
              </w:rPr>
            </w:pPr>
            <w:r w:rsidRPr="00A13740">
              <w:rPr>
                <w:sz w:val="20"/>
                <w:szCs w:val="20"/>
                <w:lang w:val="fr-FR"/>
              </w:rPr>
              <w:t>0,04</w:t>
            </w:r>
          </w:p>
        </w:tc>
      </w:tr>
      <w:tr w:rsidR="00EC53CE" w:rsidRPr="00A13740" w:rsidTr="00BB7784">
        <w:tc>
          <w:tcPr>
            <w:tcW w:w="1681" w:type="pct"/>
            <w:tcBorders>
              <w:top w:val="single" w:sz="4" w:space="0" w:color="auto"/>
              <w:left w:val="single" w:sz="4" w:space="0" w:color="auto"/>
              <w:bottom w:val="single" w:sz="4" w:space="0" w:color="auto"/>
              <w:right w:val="single" w:sz="4" w:space="0" w:color="auto"/>
            </w:tcBorders>
            <w:shd w:val="clear" w:color="auto" w:fill="auto"/>
            <w:noWrap/>
            <w:tcMar>
              <w:left w:w="43" w:type="dxa"/>
              <w:right w:w="43" w:type="dxa"/>
            </w:tcMar>
            <w:hideMark/>
          </w:tcPr>
          <w:p w:rsidR="00EC53CE" w:rsidRPr="00A13740" w:rsidRDefault="00EC53CE" w:rsidP="00BB7784">
            <w:pPr>
              <w:jc w:val="left"/>
              <w:rPr>
                <w:rFonts w:eastAsiaTheme="minorHAnsi"/>
                <w:b/>
                <w:sz w:val="20"/>
                <w:szCs w:val="20"/>
                <w:lang w:val="fr-FR"/>
              </w:rPr>
            </w:pPr>
            <w:r w:rsidRPr="00A13740">
              <w:rPr>
                <w:b/>
                <w:sz w:val="20"/>
                <w:szCs w:val="20"/>
                <w:lang w:val="fr-FR"/>
              </w:rPr>
              <w:t>Sous-total (tonnes PAO)</w:t>
            </w:r>
          </w:p>
        </w:tc>
        <w:tc>
          <w:tcPr>
            <w:tcW w:w="553" w:type="pct"/>
            <w:tcBorders>
              <w:top w:val="single" w:sz="4" w:space="0" w:color="auto"/>
              <w:left w:val="single" w:sz="4" w:space="0" w:color="auto"/>
              <w:bottom w:val="single" w:sz="4" w:space="0" w:color="auto"/>
              <w:right w:val="single" w:sz="4" w:space="0" w:color="auto"/>
            </w:tcBorders>
            <w:shd w:val="clear" w:color="auto" w:fill="auto"/>
            <w:noWrap/>
            <w:vAlign w:val="bottom"/>
          </w:tcPr>
          <w:p w:rsidR="00EC53CE" w:rsidRPr="00A13740" w:rsidRDefault="00EC53CE" w:rsidP="00BB7784">
            <w:pPr>
              <w:widowControl w:val="0"/>
              <w:jc w:val="right"/>
              <w:rPr>
                <w:sz w:val="20"/>
                <w:szCs w:val="20"/>
                <w:lang w:val="fr-FR"/>
              </w:rPr>
            </w:pPr>
            <w:r w:rsidRPr="00A13740">
              <w:rPr>
                <w:sz w:val="20"/>
                <w:szCs w:val="20"/>
                <w:lang w:val="fr-FR"/>
              </w:rPr>
              <w:t>34,50</w:t>
            </w:r>
          </w:p>
        </w:tc>
        <w:tc>
          <w:tcPr>
            <w:tcW w:w="553" w:type="pct"/>
            <w:tcBorders>
              <w:top w:val="single" w:sz="4" w:space="0" w:color="auto"/>
              <w:left w:val="single" w:sz="4" w:space="0" w:color="auto"/>
              <w:bottom w:val="single" w:sz="4" w:space="0" w:color="auto"/>
              <w:right w:val="single" w:sz="4" w:space="0" w:color="auto"/>
            </w:tcBorders>
            <w:shd w:val="clear" w:color="auto" w:fill="auto"/>
            <w:noWrap/>
          </w:tcPr>
          <w:p w:rsidR="00EC53CE" w:rsidRPr="00A13740" w:rsidRDefault="00EC53CE" w:rsidP="00BB7784">
            <w:pPr>
              <w:widowControl w:val="0"/>
              <w:jc w:val="right"/>
              <w:rPr>
                <w:sz w:val="20"/>
                <w:szCs w:val="20"/>
                <w:lang w:val="fr-FR"/>
              </w:rPr>
            </w:pPr>
            <w:r w:rsidRPr="00A13740">
              <w:rPr>
                <w:sz w:val="20"/>
                <w:szCs w:val="20"/>
                <w:lang w:val="fr-FR"/>
              </w:rPr>
              <w:t>35,57</w:t>
            </w:r>
          </w:p>
        </w:tc>
        <w:tc>
          <w:tcPr>
            <w:tcW w:w="553" w:type="pct"/>
            <w:tcBorders>
              <w:top w:val="single" w:sz="4" w:space="0" w:color="auto"/>
              <w:left w:val="single" w:sz="4" w:space="0" w:color="auto"/>
              <w:bottom w:val="single" w:sz="4" w:space="0" w:color="auto"/>
              <w:right w:val="single" w:sz="4" w:space="0" w:color="auto"/>
            </w:tcBorders>
            <w:shd w:val="clear" w:color="auto" w:fill="auto"/>
            <w:noWrap/>
            <w:vAlign w:val="bottom"/>
          </w:tcPr>
          <w:p w:rsidR="00EC53CE" w:rsidRPr="00A13740" w:rsidRDefault="00EC53CE" w:rsidP="00BB7784">
            <w:pPr>
              <w:widowControl w:val="0"/>
              <w:jc w:val="right"/>
              <w:rPr>
                <w:sz w:val="20"/>
                <w:szCs w:val="20"/>
                <w:lang w:val="fr-FR"/>
              </w:rPr>
            </w:pPr>
            <w:r w:rsidRPr="00A13740">
              <w:rPr>
                <w:sz w:val="20"/>
                <w:szCs w:val="20"/>
                <w:lang w:val="fr-FR"/>
              </w:rPr>
              <w:t>25,51</w:t>
            </w:r>
          </w:p>
        </w:tc>
        <w:tc>
          <w:tcPr>
            <w:tcW w:w="553" w:type="pct"/>
            <w:tcBorders>
              <w:top w:val="single" w:sz="4" w:space="0" w:color="auto"/>
              <w:left w:val="single" w:sz="4" w:space="0" w:color="auto"/>
              <w:bottom w:val="single" w:sz="4" w:space="0" w:color="auto"/>
              <w:right w:val="single" w:sz="4" w:space="0" w:color="auto"/>
            </w:tcBorders>
            <w:vAlign w:val="bottom"/>
          </w:tcPr>
          <w:p w:rsidR="00EC53CE" w:rsidRPr="00A13740" w:rsidRDefault="00EC53CE" w:rsidP="00BB7784">
            <w:pPr>
              <w:widowControl w:val="0"/>
              <w:jc w:val="right"/>
              <w:rPr>
                <w:sz w:val="20"/>
                <w:szCs w:val="20"/>
                <w:lang w:val="fr-FR"/>
              </w:rPr>
            </w:pPr>
            <w:r w:rsidRPr="00A13740">
              <w:rPr>
                <w:sz w:val="20"/>
                <w:szCs w:val="20"/>
                <w:lang w:val="fr-FR"/>
              </w:rPr>
              <w:t>28,49</w:t>
            </w:r>
          </w:p>
        </w:tc>
        <w:tc>
          <w:tcPr>
            <w:tcW w:w="553" w:type="pct"/>
            <w:tcBorders>
              <w:top w:val="single" w:sz="4" w:space="0" w:color="auto"/>
              <w:left w:val="single" w:sz="4" w:space="0" w:color="auto"/>
              <w:bottom w:val="single" w:sz="4" w:space="0" w:color="auto"/>
              <w:right w:val="single" w:sz="4" w:space="0" w:color="auto"/>
            </w:tcBorders>
            <w:vAlign w:val="bottom"/>
          </w:tcPr>
          <w:p w:rsidR="00EC53CE" w:rsidRPr="00A13740" w:rsidRDefault="00EC53CE" w:rsidP="00BB7784">
            <w:pPr>
              <w:widowControl w:val="0"/>
              <w:jc w:val="right"/>
              <w:rPr>
                <w:sz w:val="20"/>
                <w:szCs w:val="20"/>
                <w:lang w:val="fr-FR"/>
              </w:rPr>
            </w:pPr>
            <w:r w:rsidRPr="00A13740">
              <w:rPr>
                <w:sz w:val="20"/>
                <w:szCs w:val="20"/>
                <w:lang w:val="fr-FR"/>
              </w:rPr>
              <w:t>25,91</w:t>
            </w:r>
          </w:p>
        </w:tc>
        <w:tc>
          <w:tcPr>
            <w:tcW w:w="554" w:type="pct"/>
            <w:tcBorders>
              <w:top w:val="single" w:sz="4" w:space="0" w:color="auto"/>
              <w:left w:val="single" w:sz="4" w:space="0" w:color="auto"/>
              <w:bottom w:val="single" w:sz="4" w:space="0" w:color="auto"/>
              <w:right w:val="single" w:sz="4" w:space="0" w:color="auto"/>
            </w:tcBorders>
            <w:shd w:val="clear" w:color="auto" w:fill="auto"/>
            <w:noWrap/>
            <w:vAlign w:val="center"/>
          </w:tcPr>
          <w:p w:rsidR="00EC53CE" w:rsidRPr="00A13740" w:rsidRDefault="00EC53CE" w:rsidP="00BB7784">
            <w:pPr>
              <w:widowControl w:val="0"/>
              <w:jc w:val="right"/>
              <w:rPr>
                <w:sz w:val="20"/>
                <w:szCs w:val="20"/>
                <w:lang w:val="fr-FR"/>
              </w:rPr>
            </w:pPr>
            <w:r w:rsidRPr="00A13740">
              <w:rPr>
                <w:sz w:val="20"/>
                <w:szCs w:val="20"/>
                <w:lang w:val="fr-FR"/>
              </w:rPr>
              <w:t>40,70</w:t>
            </w:r>
          </w:p>
        </w:tc>
      </w:tr>
      <w:tr w:rsidR="00EC53CE" w:rsidRPr="00A13740" w:rsidTr="00BB7784">
        <w:tc>
          <w:tcPr>
            <w:tcW w:w="1681" w:type="pct"/>
            <w:tcBorders>
              <w:top w:val="single" w:sz="4" w:space="0" w:color="auto"/>
              <w:left w:val="single" w:sz="4" w:space="0" w:color="auto"/>
              <w:bottom w:val="single" w:sz="4" w:space="0" w:color="auto"/>
              <w:right w:val="single" w:sz="4" w:space="0" w:color="auto"/>
            </w:tcBorders>
            <w:shd w:val="clear" w:color="auto" w:fill="auto"/>
            <w:noWrap/>
            <w:tcMar>
              <w:left w:w="43" w:type="dxa"/>
              <w:right w:w="43" w:type="dxa"/>
            </w:tcMar>
            <w:hideMark/>
          </w:tcPr>
          <w:p w:rsidR="00EC53CE" w:rsidRPr="00A13740" w:rsidRDefault="00EC53CE" w:rsidP="00BB7784">
            <w:pPr>
              <w:jc w:val="left"/>
              <w:rPr>
                <w:color w:val="000000"/>
                <w:sz w:val="20"/>
                <w:szCs w:val="20"/>
                <w:lang w:val="fr-FR"/>
              </w:rPr>
            </w:pPr>
            <w:r w:rsidRPr="00A13740">
              <w:rPr>
                <w:color w:val="000000"/>
                <w:sz w:val="20"/>
                <w:szCs w:val="20"/>
                <w:lang w:val="fr-FR"/>
              </w:rPr>
              <w:t xml:space="preserve">HCFC-141b dans les polyols </w:t>
            </w:r>
            <w:proofErr w:type="spellStart"/>
            <w:r w:rsidRPr="00A13740">
              <w:rPr>
                <w:color w:val="000000"/>
                <w:sz w:val="20"/>
                <w:szCs w:val="20"/>
                <w:lang w:val="fr-FR"/>
              </w:rPr>
              <w:t>prémélangés</w:t>
            </w:r>
            <w:proofErr w:type="spellEnd"/>
            <w:r w:rsidRPr="00A13740">
              <w:rPr>
                <w:color w:val="000000"/>
                <w:sz w:val="20"/>
                <w:szCs w:val="20"/>
                <w:lang w:val="fr-FR"/>
              </w:rPr>
              <w:t xml:space="preserve"> importés</w:t>
            </w:r>
            <w:r w:rsidRPr="00A13740">
              <w:rPr>
                <w:color w:val="000000"/>
                <w:sz w:val="20"/>
                <w:szCs w:val="20"/>
                <w:vertAlign w:val="superscript"/>
                <w:lang w:val="fr-FR"/>
              </w:rPr>
              <w:t>*</w:t>
            </w:r>
          </w:p>
        </w:tc>
        <w:tc>
          <w:tcPr>
            <w:tcW w:w="553" w:type="pct"/>
            <w:tcBorders>
              <w:top w:val="single" w:sz="4" w:space="0" w:color="auto"/>
              <w:left w:val="single" w:sz="4" w:space="0" w:color="auto"/>
              <w:bottom w:val="single" w:sz="4" w:space="0" w:color="auto"/>
              <w:right w:val="single" w:sz="4" w:space="0" w:color="auto"/>
            </w:tcBorders>
            <w:shd w:val="clear" w:color="auto" w:fill="auto"/>
            <w:noWrap/>
          </w:tcPr>
          <w:p w:rsidR="00EC53CE" w:rsidRPr="00A13740" w:rsidRDefault="00EC53CE" w:rsidP="00BB7784">
            <w:pPr>
              <w:jc w:val="right"/>
              <w:rPr>
                <w:rFonts w:eastAsiaTheme="minorHAnsi"/>
                <w:color w:val="000000"/>
                <w:sz w:val="20"/>
                <w:szCs w:val="20"/>
                <w:lang w:val="fr-FR"/>
              </w:rPr>
            </w:pPr>
            <w:r w:rsidRPr="00A13740">
              <w:rPr>
                <w:rFonts w:eastAsiaTheme="minorHAnsi"/>
                <w:color w:val="000000"/>
                <w:sz w:val="20"/>
                <w:szCs w:val="20"/>
                <w:lang w:val="fr-FR"/>
              </w:rPr>
              <w:t>4,81</w:t>
            </w:r>
          </w:p>
        </w:tc>
        <w:tc>
          <w:tcPr>
            <w:tcW w:w="553" w:type="pct"/>
            <w:tcBorders>
              <w:top w:val="single" w:sz="4" w:space="0" w:color="auto"/>
              <w:left w:val="single" w:sz="4" w:space="0" w:color="auto"/>
              <w:bottom w:val="single" w:sz="4" w:space="0" w:color="auto"/>
              <w:right w:val="single" w:sz="4" w:space="0" w:color="auto"/>
            </w:tcBorders>
            <w:shd w:val="clear" w:color="auto" w:fill="auto"/>
            <w:noWrap/>
          </w:tcPr>
          <w:p w:rsidR="00EC53CE" w:rsidRPr="00A13740" w:rsidRDefault="00EC53CE" w:rsidP="00BB7784">
            <w:pPr>
              <w:jc w:val="right"/>
              <w:rPr>
                <w:rFonts w:eastAsiaTheme="minorHAnsi"/>
                <w:color w:val="000000"/>
                <w:sz w:val="20"/>
                <w:szCs w:val="20"/>
                <w:lang w:val="fr-FR"/>
              </w:rPr>
            </w:pPr>
            <w:r w:rsidRPr="00A13740">
              <w:rPr>
                <w:rFonts w:eastAsiaTheme="minorHAnsi"/>
                <w:color w:val="000000"/>
                <w:sz w:val="20"/>
                <w:szCs w:val="20"/>
                <w:lang w:val="fr-FR"/>
              </w:rPr>
              <w:t>6,16</w:t>
            </w:r>
          </w:p>
        </w:tc>
        <w:tc>
          <w:tcPr>
            <w:tcW w:w="553" w:type="pct"/>
            <w:tcBorders>
              <w:top w:val="single" w:sz="4" w:space="0" w:color="auto"/>
              <w:left w:val="single" w:sz="4" w:space="0" w:color="auto"/>
              <w:bottom w:val="single" w:sz="4" w:space="0" w:color="auto"/>
              <w:right w:val="single" w:sz="4" w:space="0" w:color="auto"/>
            </w:tcBorders>
            <w:shd w:val="clear" w:color="auto" w:fill="auto"/>
            <w:noWrap/>
          </w:tcPr>
          <w:p w:rsidR="00EC53CE" w:rsidRPr="00A13740" w:rsidRDefault="00EC53CE" w:rsidP="00BB7784">
            <w:pPr>
              <w:jc w:val="right"/>
              <w:rPr>
                <w:rFonts w:eastAsiaTheme="minorHAnsi"/>
                <w:color w:val="000000"/>
                <w:sz w:val="20"/>
                <w:szCs w:val="20"/>
                <w:lang w:val="fr-FR"/>
              </w:rPr>
            </w:pPr>
            <w:r w:rsidRPr="00A13740">
              <w:rPr>
                <w:rFonts w:eastAsiaTheme="minorHAnsi"/>
                <w:color w:val="000000"/>
                <w:sz w:val="20"/>
                <w:szCs w:val="20"/>
                <w:lang w:val="fr-FR"/>
              </w:rPr>
              <w:t>5,91</w:t>
            </w:r>
          </w:p>
        </w:tc>
        <w:tc>
          <w:tcPr>
            <w:tcW w:w="553" w:type="pct"/>
            <w:tcBorders>
              <w:top w:val="single" w:sz="4" w:space="0" w:color="auto"/>
              <w:left w:val="single" w:sz="4" w:space="0" w:color="auto"/>
              <w:bottom w:val="single" w:sz="4" w:space="0" w:color="auto"/>
              <w:right w:val="single" w:sz="4" w:space="0" w:color="auto"/>
            </w:tcBorders>
          </w:tcPr>
          <w:p w:rsidR="00EC53CE" w:rsidRPr="00A13740" w:rsidRDefault="00EC53CE" w:rsidP="00BB7784">
            <w:pPr>
              <w:jc w:val="right"/>
              <w:rPr>
                <w:color w:val="000000"/>
                <w:sz w:val="20"/>
                <w:szCs w:val="20"/>
                <w:lang w:val="fr-FR"/>
              </w:rPr>
            </w:pPr>
            <w:r w:rsidRPr="00A13740">
              <w:rPr>
                <w:color w:val="000000"/>
                <w:sz w:val="20"/>
                <w:szCs w:val="20"/>
                <w:lang w:val="fr-FR"/>
              </w:rPr>
              <w:t>7,05</w:t>
            </w:r>
          </w:p>
        </w:tc>
        <w:tc>
          <w:tcPr>
            <w:tcW w:w="553" w:type="pct"/>
            <w:tcBorders>
              <w:top w:val="single" w:sz="4" w:space="0" w:color="auto"/>
              <w:left w:val="single" w:sz="4" w:space="0" w:color="auto"/>
              <w:bottom w:val="single" w:sz="4" w:space="0" w:color="auto"/>
              <w:right w:val="single" w:sz="4" w:space="0" w:color="auto"/>
            </w:tcBorders>
          </w:tcPr>
          <w:p w:rsidR="00EC53CE" w:rsidRPr="00A13740" w:rsidRDefault="00EC53CE" w:rsidP="00BB7784">
            <w:pPr>
              <w:jc w:val="right"/>
              <w:rPr>
                <w:rFonts w:eastAsiaTheme="minorHAnsi"/>
                <w:color w:val="000000"/>
                <w:sz w:val="20"/>
                <w:szCs w:val="20"/>
                <w:lang w:val="fr-FR"/>
              </w:rPr>
            </w:pPr>
            <w:r w:rsidRPr="00A13740">
              <w:rPr>
                <w:rFonts w:eastAsiaTheme="minorHAnsi"/>
                <w:color w:val="000000"/>
                <w:sz w:val="20"/>
                <w:szCs w:val="20"/>
                <w:lang w:val="fr-FR"/>
              </w:rPr>
              <w:t>7,15</w:t>
            </w:r>
          </w:p>
        </w:tc>
        <w:tc>
          <w:tcPr>
            <w:tcW w:w="554" w:type="pct"/>
            <w:tcBorders>
              <w:top w:val="single" w:sz="4" w:space="0" w:color="auto"/>
              <w:left w:val="single" w:sz="4" w:space="0" w:color="auto"/>
              <w:bottom w:val="single" w:sz="4" w:space="0" w:color="auto"/>
              <w:right w:val="single" w:sz="4" w:space="0" w:color="auto"/>
            </w:tcBorders>
            <w:shd w:val="clear" w:color="auto" w:fill="auto"/>
            <w:noWrap/>
          </w:tcPr>
          <w:p w:rsidR="00EC53CE" w:rsidRPr="00A13740" w:rsidRDefault="00EC53CE" w:rsidP="00BB7784">
            <w:pPr>
              <w:jc w:val="right"/>
              <w:rPr>
                <w:rFonts w:eastAsiaTheme="minorHAnsi"/>
                <w:color w:val="000000"/>
                <w:sz w:val="20"/>
                <w:szCs w:val="20"/>
                <w:lang w:val="fr-FR"/>
              </w:rPr>
            </w:pPr>
            <w:r w:rsidRPr="00A13740">
              <w:rPr>
                <w:rFonts w:eastAsiaTheme="minorHAnsi"/>
                <w:color w:val="000000"/>
                <w:sz w:val="20"/>
                <w:szCs w:val="20"/>
                <w:lang w:val="fr-FR"/>
              </w:rPr>
              <w:t>5,02</w:t>
            </w:r>
            <w:r w:rsidRPr="00A13740">
              <w:rPr>
                <w:rFonts w:eastAsiaTheme="minorHAnsi"/>
                <w:color w:val="000000"/>
                <w:sz w:val="20"/>
                <w:szCs w:val="20"/>
                <w:vertAlign w:val="superscript"/>
                <w:lang w:val="fr-FR"/>
              </w:rPr>
              <w:t>**</w:t>
            </w:r>
          </w:p>
        </w:tc>
      </w:tr>
    </w:tbl>
    <w:p w:rsidR="00EC53CE" w:rsidRPr="00A13740" w:rsidRDefault="00EC53CE" w:rsidP="00EC53CE">
      <w:pPr>
        <w:tabs>
          <w:tab w:val="left" w:pos="8280"/>
        </w:tabs>
        <w:rPr>
          <w:sz w:val="18"/>
          <w:szCs w:val="18"/>
          <w:lang w:val="fr-FR"/>
        </w:rPr>
      </w:pPr>
      <w:r w:rsidRPr="00A13740">
        <w:rPr>
          <w:sz w:val="18"/>
          <w:szCs w:val="18"/>
          <w:vertAlign w:val="superscript"/>
          <w:lang w:val="fr-FR"/>
        </w:rPr>
        <w:t>*</w:t>
      </w:r>
      <w:r w:rsidRPr="00A13740">
        <w:rPr>
          <w:sz w:val="18"/>
          <w:szCs w:val="18"/>
          <w:lang w:val="fr-FR"/>
        </w:rPr>
        <w:t>Selon les données du programme de pays (PP)</w:t>
      </w:r>
    </w:p>
    <w:p w:rsidR="00EC53CE" w:rsidRPr="00A13740" w:rsidRDefault="00EC53CE" w:rsidP="00EC53CE">
      <w:pPr>
        <w:tabs>
          <w:tab w:val="left" w:pos="8280"/>
        </w:tabs>
        <w:rPr>
          <w:sz w:val="18"/>
          <w:szCs w:val="18"/>
          <w:lang w:val="fr-FR"/>
        </w:rPr>
      </w:pPr>
      <w:r w:rsidRPr="00A13740">
        <w:rPr>
          <w:sz w:val="18"/>
          <w:szCs w:val="18"/>
          <w:vertAlign w:val="superscript"/>
          <w:lang w:val="fr-FR"/>
        </w:rPr>
        <w:t>**</w:t>
      </w:r>
      <w:r w:rsidRPr="00A13740">
        <w:rPr>
          <w:sz w:val="18"/>
          <w:szCs w:val="18"/>
          <w:lang w:val="fr-FR"/>
        </w:rPr>
        <w:t>Point de départ fixé dans l’Accord avec le Comité exécutif.</w:t>
      </w:r>
    </w:p>
    <w:p w:rsidR="00EC53CE" w:rsidRPr="00A13740" w:rsidRDefault="00EC53CE" w:rsidP="00EC53CE">
      <w:pPr>
        <w:rPr>
          <w:sz w:val="16"/>
          <w:szCs w:val="16"/>
          <w:lang w:val="fr-FR"/>
        </w:rPr>
      </w:pPr>
    </w:p>
    <w:p w:rsidR="00EC53CE" w:rsidRPr="00A13740" w:rsidRDefault="00EC53CE" w:rsidP="00EC53CE">
      <w:pPr>
        <w:pStyle w:val="Heading1"/>
        <w:rPr>
          <w:lang w:val="fr-FR"/>
        </w:rPr>
      </w:pPr>
      <w:r w:rsidRPr="00A13740">
        <w:rPr>
          <w:lang w:val="fr-FR"/>
        </w:rPr>
        <w:t xml:space="preserve">Le HCFC-22 a été le seul HCFC importé en 2018. Il a représenté 78% de la consommation totale mesurée en tonnes PAO. La réduction de la consommation de HCFC-22 est due aux activités mises en œuvre dans le secteur de l'entretien en réfrigération, et à l'élimination de 79,3 </w:t>
      </w:r>
      <w:proofErr w:type="spellStart"/>
      <w:r w:rsidRPr="00A13740">
        <w:rPr>
          <w:lang w:val="fr-FR"/>
        </w:rPr>
        <w:t>tm</w:t>
      </w:r>
      <w:proofErr w:type="spellEnd"/>
      <w:r w:rsidRPr="00A13740">
        <w:rPr>
          <w:lang w:val="fr-FR"/>
        </w:rPr>
        <w:t xml:space="preserve"> (4,36 tonnes PAO) de HCFC-22 associé aux entreprises de fabrication de </w:t>
      </w:r>
      <w:proofErr w:type="spellStart"/>
      <w:r w:rsidRPr="00A13740">
        <w:rPr>
          <w:lang w:val="fr-FR"/>
        </w:rPr>
        <w:t>climatisateurs</w:t>
      </w:r>
      <w:proofErr w:type="spellEnd"/>
      <w:r w:rsidRPr="00A13740">
        <w:rPr>
          <w:lang w:val="fr-FR"/>
        </w:rPr>
        <w:t xml:space="preserve"> résidentiels converties aux technologies à base de R-410A, sans financement du Fonds multilatéral.</w:t>
      </w:r>
    </w:p>
    <w:p w:rsidR="00EC53CE" w:rsidRPr="00A13740" w:rsidRDefault="00EC53CE" w:rsidP="00EC53CE">
      <w:pPr>
        <w:pStyle w:val="Heading1"/>
        <w:rPr>
          <w:i/>
          <w:lang w:val="fr-FR"/>
        </w:rPr>
      </w:pPr>
      <w:r w:rsidRPr="00A13740">
        <w:rPr>
          <w:lang w:val="fr-FR"/>
        </w:rPr>
        <w:t xml:space="preserve">Le HCFC-141b a été utilisé comme solvant par deux entreprises ; Une entreprise a achevé sa conversion en 2016 ; l'autre avait entamé cette conversion et a fait usage de stocks de HCFC-141b issus des années précédentes. La consommation de HCFC-141b dans les polyols </w:t>
      </w:r>
      <w:proofErr w:type="spellStart"/>
      <w:r w:rsidRPr="00A13740">
        <w:rPr>
          <w:lang w:val="fr-FR"/>
        </w:rPr>
        <w:t>prémélangés</w:t>
      </w:r>
      <w:proofErr w:type="spellEnd"/>
      <w:r w:rsidRPr="00A13740">
        <w:rPr>
          <w:lang w:val="fr-FR"/>
        </w:rPr>
        <w:t xml:space="preserve"> a augmenté depuis 2016 ; une proposition visant à l'élimination de ces substances n'a pas été comprise dans la phase I du PGEH. </w:t>
      </w:r>
    </w:p>
    <w:p w:rsidR="00EC53CE" w:rsidRPr="00A13740" w:rsidRDefault="00EC53CE" w:rsidP="00EC53CE">
      <w:pPr>
        <w:pStyle w:val="Heading1"/>
        <w:numPr>
          <w:ilvl w:val="0"/>
          <w:numId w:val="0"/>
        </w:numPr>
        <w:rPr>
          <w:i/>
          <w:lang w:val="fr-FR"/>
        </w:rPr>
      </w:pPr>
      <w:r w:rsidRPr="00A13740">
        <w:rPr>
          <w:i/>
          <w:lang w:val="fr-FR"/>
        </w:rPr>
        <w:t>Rapport sur la mise en œuvre du programme de pays (PP)</w:t>
      </w:r>
    </w:p>
    <w:p w:rsidR="00EC53CE" w:rsidRPr="00A13740" w:rsidRDefault="00EC53CE" w:rsidP="00EC53CE">
      <w:pPr>
        <w:pStyle w:val="Heading1"/>
        <w:rPr>
          <w:lang w:val="fr-FR"/>
        </w:rPr>
      </w:pPr>
      <w:r w:rsidRPr="00A13740">
        <w:rPr>
          <w:lang w:val="fr-FR"/>
        </w:rPr>
        <w:t xml:space="preserve">Le Gouvernement tunisien a fait état des données de sa consommation sectorielle de HCFC pour 2018 dans le rapport de mise en œuvre du PP. Ces données correspondent à celles indiquées en vertu de l’article 7 du Protocole de Montréal. </w:t>
      </w:r>
    </w:p>
    <w:p w:rsidR="00EC53CE" w:rsidRPr="00A13740" w:rsidRDefault="00EC53CE" w:rsidP="00EC53CE">
      <w:pPr>
        <w:spacing w:after="240"/>
        <w:rPr>
          <w:i/>
          <w:lang w:val="fr-FR"/>
        </w:rPr>
      </w:pPr>
      <w:r w:rsidRPr="00A13740">
        <w:rPr>
          <w:i/>
          <w:lang w:val="fr-FR"/>
        </w:rPr>
        <w:t>Rapport de vérification</w:t>
      </w:r>
    </w:p>
    <w:p w:rsidR="00EC53CE" w:rsidRPr="00A13740" w:rsidRDefault="00EC53CE" w:rsidP="00EC53CE">
      <w:pPr>
        <w:pStyle w:val="Heading1"/>
        <w:rPr>
          <w:lang w:val="fr-FR"/>
        </w:rPr>
      </w:pPr>
      <w:r w:rsidRPr="00A13740">
        <w:rPr>
          <w:lang w:val="fr-FR"/>
        </w:rPr>
        <w:t xml:space="preserve">Le rapport de vérification a confirmé que le gouvernement met en œuvre un système de permis et de quota pour l’importation et l’exportation des HCFC et permis de vérifier l'exactitude des données de consommation fournies au titre de l'article 7 du Protocole pour les années 2016, 2017 et 2018. La vérification a conclu que la Tunisie a respecté entre 2016 et 2018 les objectifs énoncés dans l’Accord conclu entre le Gouvernement et le Comité exécutif. </w:t>
      </w:r>
    </w:p>
    <w:p w:rsidR="00EC53CE" w:rsidRPr="00A13740" w:rsidRDefault="00EC53CE" w:rsidP="00EC53CE">
      <w:pPr>
        <w:spacing w:after="240"/>
        <w:rPr>
          <w:u w:val="single"/>
          <w:lang w:val="fr-FR"/>
        </w:rPr>
      </w:pPr>
      <w:r w:rsidRPr="00A13740">
        <w:rPr>
          <w:u w:val="single"/>
          <w:lang w:val="fr-FR"/>
        </w:rPr>
        <w:t>Rapport périodique sur la mise en œuvre de la deuxième tranche du PGEH</w:t>
      </w:r>
    </w:p>
    <w:p w:rsidR="00EC53CE" w:rsidRPr="00A13740" w:rsidRDefault="00EC53CE" w:rsidP="00EC53CE">
      <w:pPr>
        <w:spacing w:after="240"/>
        <w:rPr>
          <w:i/>
          <w:lang w:val="fr-FR"/>
        </w:rPr>
      </w:pPr>
      <w:r w:rsidRPr="00A13740">
        <w:rPr>
          <w:i/>
          <w:lang w:val="fr-FR"/>
        </w:rPr>
        <w:t>Cadre juridique</w:t>
      </w:r>
    </w:p>
    <w:p w:rsidR="00EC53CE" w:rsidRPr="00A13740" w:rsidRDefault="00EC53CE" w:rsidP="00EC53CE">
      <w:pPr>
        <w:pStyle w:val="Heading1"/>
        <w:rPr>
          <w:lang w:val="fr-FR"/>
        </w:rPr>
      </w:pPr>
      <w:r w:rsidRPr="00A13740">
        <w:rPr>
          <w:lang w:val="fr-FR"/>
        </w:rPr>
        <w:t xml:space="preserve">Le Gouvernement tunisien a poursuivi la mise en œuvre de son système d’octroi de permis et de quotas d’importation et d’exportation de HCFC, qui s'est informatisé en 2017. </w:t>
      </w:r>
    </w:p>
    <w:p w:rsidR="00EC53CE" w:rsidRPr="00A13740" w:rsidRDefault="00EC53CE" w:rsidP="00EC53CE">
      <w:pPr>
        <w:pStyle w:val="Heading1"/>
        <w:rPr>
          <w:lang w:val="fr-FR"/>
        </w:rPr>
      </w:pPr>
      <w:r w:rsidRPr="00A13740">
        <w:rPr>
          <w:lang w:val="fr-FR"/>
        </w:rPr>
        <w:lastRenderedPageBreak/>
        <w:t>En 2018, une commission nationale pour la protection de la couche d'ozone a été créée. Elle comprend le comité de pilotage du PGEH ainsi qu'un comité législatif et un comité technique. Cet organisme sera chargé de fixer les quotas d'importations de substances contrôlées et de créer un système de quotas pour l'import-export de HFC. En outre, un système national de certification des techniciens et des entreprises du secteur de l'entretien en réfrigération et en climatisation a été mis en place.</w:t>
      </w:r>
    </w:p>
    <w:p w:rsidR="00EC53CE" w:rsidRPr="00A13740" w:rsidRDefault="00EC53CE" w:rsidP="00EC53CE">
      <w:pPr>
        <w:pStyle w:val="Heading1"/>
        <w:rPr>
          <w:lang w:val="fr-FR"/>
        </w:rPr>
      </w:pPr>
      <w:r w:rsidRPr="00A13740">
        <w:rPr>
          <w:lang w:val="fr-FR"/>
        </w:rPr>
        <w:t>Au cours de la seconde tranche de financement, 187 agents des douanes ont été formés au contrôle et à l’identification des SAO et des équipements qui en utilisent ainsi qu'au commerce illicite et aux codes du Système harmonisé.</w:t>
      </w:r>
    </w:p>
    <w:p w:rsidR="00EC53CE" w:rsidRPr="00A13740" w:rsidRDefault="00EC53CE" w:rsidP="00EC53CE">
      <w:pPr>
        <w:keepNext/>
        <w:keepLines/>
        <w:spacing w:after="240"/>
        <w:rPr>
          <w:rFonts w:eastAsia="MS Mincho"/>
          <w:i/>
          <w:lang w:val="fr-FR"/>
        </w:rPr>
      </w:pPr>
      <w:r w:rsidRPr="00A13740">
        <w:rPr>
          <w:rFonts w:eastAsia="MS Mincho"/>
          <w:i/>
          <w:lang w:val="fr-FR"/>
        </w:rPr>
        <w:t>Secteur de la fabrication</w:t>
      </w:r>
    </w:p>
    <w:p w:rsidR="00EC53CE" w:rsidRPr="00A13740" w:rsidRDefault="00EC53CE" w:rsidP="00EC53CE">
      <w:pPr>
        <w:keepNext/>
        <w:keepLines/>
        <w:spacing w:after="240"/>
        <w:rPr>
          <w:rFonts w:eastAsia="MS Mincho"/>
          <w:u w:val="single"/>
          <w:lang w:val="fr-FR"/>
        </w:rPr>
      </w:pPr>
      <w:r w:rsidRPr="00A13740">
        <w:rPr>
          <w:rFonts w:eastAsia="MS Mincho"/>
          <w:u w:val="single"/>
          <w:lang w:val="fr-FR"/>
        </w:rPr>
        <w:t>Secteur de la climatisation résidentielle</w:t>
      </w:r>
    </w:p>
    <w:p w:rsidR="00EC53CE" w:rsidRPr="00A13740" w:rsidRDefault="00EC53CE" w:rsidP="00EC53CE">
      <w:pPr>
        <w:pStyle w:val="Heading1"/>
        <w:rPr>
          <w:lang w:val="fr-FR"/>
        </w:rPr>
      </w:pPr>
      <w:r w:rsidRPr="00A13740">
        <w:rPr>
          <w:lang w:val="fr-FR"/>
        </w:rPr>
        <w:t>Avant l'annulation du plan du secteur de la climatisation résidentielle, entérinée à la 83</w:t>
      </w:r>
      <w:r w:rsidRPr="00A13740">
        <w:rPr>
          <w:vertAlign w:val="superscript"/>
          <w:lang w:val="fr-FR"/>
        </w:rPr>
        <w:t xml:space="preserve">e </w:t>
      </w:r>
      <w:r w:rsidRPr="00A13740">
        <w:rPr>
          <w:lang w:val="fr-FR"/>
        </w:rPr>
        <w:t xml:space="preserve">réunion, une assistance technique et une formation de techniciens ont été fournies aux entreprises pour les aider à choisir la meilleure technologie de remplacement en évaluant divers facteurs et les propriétés des réfrigérants de remplacement à faible potentiel de réchauffement du globe (PRG) disponibles. Ce plan sectoriel sera présenté lors de la mise en œuvre de l'amendement de Kigali, lorsque des technologies économiquement sensées seront disponibles sur le marché local et que des normes de sécurité seront en place. </w:t>
      </w:r>
    </w:p>
    <w:p w:rsidR="00EC53CE" w:rsidRPr="00A13740" w:rsidRDefault="00EC53CE" w:rsidP="00EC53CE">
      <w:pPr>
        <w:keepNext/>
        <w:spacing w:after="240"/>
        <w:rPr>
          <w:u w:val="single"/>
          <w:lang w:val="fr-FR"/>
        </w:rPr>
      </w:pPr>
      <w:r w:rsidRPr="00A13740">
        <w:rPr>
          <w:u w:val="single"/>
          <w:lang w:val="fr-FR"/>
        </w:rPr>
        <w:t>Secteur des solvants</w:t>
      </w:r>
    </w:p>
    <w:p w:rsidR="00EC53CE" w:rsidRPr="00A13740" w:rsidRDefault="00EC53CE" w:rsidP="00EC53CE">
      <w:pPr>
        <w:pStyle w:val="Heading1"/>
        <w:keepNext/>
        <w:rPr>
          <w:lang w:val="fr-FR"/>
        </w:rPr>
      </w:pPr>
      <w:r w:rsidRPr="00A13740">
        <w:rPr>
          <w:lang w:val="fr-FR"/>
        </w:rPr>
        <w:t xml:space="preserve">La phase I du PGEH a vu la conversion de deux entreprises (à savoir la Société de fabrication des articles pharmaceutiques (SOFAP) et la Société nationale des chemins de fer tunisiens (SNCFT) qui avaient recours à du HCFC-141b en vrac, comme solvant. La SNCFT avait achevé sa conversion en 2016 et éliminé 3,80 </w:t>
      </w:r>
      <w:proofErr w:type="spellStart"/>
      <w:r w:rsidRPr="00A13740">
        <w:rPr>
          <w:lang w:val="fr-FR"/>
        </w:rPr>
        <w:t>tm</w:t>
      </w:r>
      <w:proofErr w:type="spellEnd"/>
      <w:r w:rsidRPr="00A13740">
        <w:rPr>
          <w:lang w:val="fr-FR"/>
        </w:rPr>
        <w:t xml:space="preserve"> (0,41 tonne PAO) de HCFC-141b. </w:t>
      </w:r>
    </w:p>
    <w:p w:rsidR="00EC53CE" w:rsidRPr="00A13740" w:rsidRDefault="00EC53CE" w:rsidP="00EC53CE">
      <w:pPr>
        <w:pStyle w:val="Heading1"/>
        <w:rPr>
          <w:lang w:val="fr-FR"/>
        </w:rPr>
      </w:pPr>
      <w:r w:rsidRPr="00A13740">
        <w:rPr>
          <w:lang w:val="fr-FR"/>
        </w:rPr>
        <w:t xml:space="preserve">En ce qui concerne la SOFAP, où 8,46 </w:t>
      </w:r>
      <w:proofErr w:type="spellStart"/>
      <w:r w:rsidRPr="00A13740">
        <w:rPr>
          <w:lang w:val="fr-FR"/>
        </w:rPr>
        <w:t>tm</w:t>
      </w:r>
      <w:proofErr w:type="spellEnd"/>
      <w:r w:rsidRPr="00A13740">
        <w:rPr>
          <w:lang w:val="fr-FR"/>
        </w:rPr>
        <w:t xml:space="preserve"> (0,93 tonne PAO) de HCFC-141b sont utilisées comme solvant pour le matériel médical, deux solvants de remplacement ont été testés et des essais pilotes ont ensuite été menés pour passer au </w:t>
      </w:r>
      <w:proofErr w:type="spellStart"/>
      <w:r w:rsidRPr="00A13740">
        <w:rPr>
          <w:lang w:val="fr-FR"/>
        </w:rPr>
        <w:t>Novec</w:t>
      </w:r>
      <w:proofErr w:type="spellEnd"/>
      <w:r w:rsidRPr="00A13740">
        <w:rPr>
          <w:lang w:val="fr-FR"/>
        </w:rPr>
        <w:t xml:space="preserve"> 71DE ; une solution technique a été trouvée pour remédier au coût élevé du procédé de nettoyage utilisant le produit choisi ; l'achat du matériel a été fait ; la mise en service est prévue pour octobre 2019 et les ultimes essais pour décembre 2019. L'ONUDI a indiqué que l'entreprise avait déjà commencé à utiliser le nouveau solvant, réduisant ainsi sa consommation de HCFC-141b.</w:t>
      </w:r>
    </w:p>
    <w:p w:rsidR="00EC53CE" w:rsidRPr="00A13740" w:rsidRDefault="00EC53CE" w:rsidP="00EC53CE">
      <w:pPr>
        <w:keepNext/>
        <w:spacing w:after="240"/>
        <w:rPr>
          <w:lang w:val="fr-FR"/>
        </w:rPr>
      </w:pPr>
      <w:r w:rsidRPr="00A13740">
        <w:rPr>
          <w:i/>
          <w:lang w:val="fr-FR"/>
        </w:rPr>
        <w:t>Secteur de l’entretien en réfrigération</w:t>
      </w:r>
    </w:p>
    <w:p w:rsidR="00EC53CE" w:rsidRPr="00A13740" w:rsidRDefault="00EC53CE" w:rsidP="00EC53CE">
      <w:pPr>
        <w:pStyle w:val="Heading1"/>
        <w:rPr>
          <w:lang w:val="fr-FR"/>
        </w:rPr>
      </w:pPr>
      <w:r w:rsidRPr="00A13740">
        <w:rPr>
          <w:lang w:val="fr-FR"/>
        </w:rPr>
        <w:t>Le programme de formation et de certification offert par les cinq centres de formation tunisiens a été mis à jour et une évaluation des équipements utilisés par les centres a été réalisée ; les exigences en matière de certification des techniciens ont été adaptées aux normes européennes conformes aux normes EN 13313 (exigences de l'Union européenne pour la qualification et la certification des techniciens en entretien) et EN 378-1/2/3/4 (exigences liées à la sécurité et à l'environnement pour les systèmes frigorifiques). Soixante formateurs issus de cinq écoles professionnelles et 522 techniciens ont été formés dans le cadre du nouveau système de formation et de certification. Quatre centres de formation ont reçu de l'équipement (plus précisément, chaque centre a reçu quatre rampes de chargement numériques, deux kits de démo</w:t>
      </w:r>
      <w:r>
        <w:rPr>
          <w:lang w:val="fr-FR"/>
        </w:rPr>
        <w:t xml:space="preserve">nstration pour les équipements </w:t>
      </w:r>
      <w:r w:rsidRPr="00A13740">
        <w:rPr>
          <w:lang w:val="fr-FR"/>
        </w:rPr>
        <w:t xml:space="preserve">de refroidissement, deux unités de détection de gaz, une unité d'identification des gaz réfrigérants et des outils de </w:t>
      </w:r>
      <w:proofErr w:type="spellStart"/>
      <w:r w:rsidRPr="00A13740">
        <w:rPr>
          <w:lang w:val="fr-FR"/>
        </w:rPr>
        <w:t>torchage</w:t>
      </w:r>
      <w:proofErr w:type="spellEnd"/>
      <w:r w:rsidRPr="00A13740">
        <w:rPr>
          <w:lang w:val="fr-FR"/>
        </w:rPr>
        <w:t>).</w:t>
      </w:r>
    </w:p>
    <w:p w:rsidR="00EC53CE" w:rsidRPr="00A13740" w:rsidRDefault="00EC53CE" w:rsidP="00EC53CE">
      <w:pPr>
        <w:widowControl w:val="0"/>
        <w:spacing w:after="240"/>
        <w:rPr>
          <w:i/>
          <w:lang w:val="fr-FR"/>
        </w:rPr>
      </w:pPr>
      <w:r w:rsidRPr="00A13740">
        <w:rPr>
          <w:i/>
          <w:lang w:val="fr-FR"/>
        </w:rPr>
        <w:t>Unité de mise en œuvre et de suivi du projet (UGP)</w:t>
      </w:r>
    </w:p>
    <w:p w:rsidR="00EC53CE" w:rsidRPr="00A13740" w:rsidRDefault="00EC53CE" w:rsidP="00EC53CE">
      <w:pPr>
        <w:pStyle w:val="Heading1"/>
        <w:widowControl w:val="0"/>
        <w:rPr>
          <w:u w:val="single"/>
          <w:lang w:val="fr-FR"/>
        </w:rPr>
      </w:pPr>
      <w:r w:rsidRPr="00A13740">
        <w:rPr>
          <w:lang w:val="fr-FR"/>
        </w:rPr>
        <w:t xml:space="preserve">La phase I du PGEH de la Tunisie ne comprenait pas la mise en place d'une UGP distincte. L’Unité nationale de l’ozone (UNO) est chargée de la coordination et de la gestion du PGEH de manière générale, </w:t>
      </w:r>
      <w:r w:rsidRPr="00A13740">
        <w:rPr>
          <w:lang w:val="fr-FR"/>
        </w:rPr>
        <w:lastRenderedPageBreak/>
        <w:t xml:space="preserve">notamment la coordination des réunions de parties prenantes, la vérification de la consommation de HCFC et la coordination de la formation professionnelle. Les fonds alloués à la gestion de projet au cours de la phase I (50 000 $ US) ont été principalement utilisés pour recruter des consultants techniques pour les activités supplémentaires nécessaires au suivi de la mise en œuvre du PGEH. En conséquence, il n'est pas soumis ici de répartition du financement de l'UGP. </w:t>
      </w:r>
    </w:p>
    <w:p w:rsidR="00EC53CE" w:rsidRPr="00A13740" w:rsidRDefault="00EC53CE" w:rsidP="00EC53CE">
      <w:pPr>
        <w:pStyle w:val="Heading1"/>
        <w:widowControl w:val="0"/>
        <w:numPr>
          <w:ilvl w:val="0"/>
          <w:numId w:val="0"/>
        </w:numPr>
        <w:rPr>
          <w:u w:val="single"/>
          <w:lang w:val="fr-FR"/>
        </w:rPr>
      </w:pPr>
      <w:r w:rsidRPr="00A13740">
        <w:rPr>
          <w:u w:val="single"/>
          <w:lang w:val="fr-FR"/>
        </w:rPr>
        <w:t>Niveau de décaissement</w:t>
      </w:r>
    </w:p>
    <w:p w:rsidR="00EC53CE" w:rsidRPr="00A13740" w:rsidRDefault="00EC53CE" w:rsidP="00EC53CE">
      <w:pPr>
        <w:pStyle w:val="Heading1"/>
        <w:rPr>
          <w:lang w:val="fr-FR"/>
        </w:rPr>
      </w:pPr>
      <w:r w:rsidRPr="00A13740">
        <w:rPr>
          <w:lang w:val="fr-FR"/>
        </w:rPr>
        <w:t>En octobre 2019, sur les 608 958 $ US approuvés à ce jour dans le ca</w:t>
      </w:r>
      <w:r w:rsidR="0012077D">
        <w:rPr>
          <w:lang w:val="fr-FR"/>
        </w:rPr>
        <w:t>dre de l'Accord révisé, 406 437 </w:t>
      </w:r>
      <w:r w:rsidRPr="00A13740">
        <w:rPr>
          <w:lang w:val="fr-FR"/>
        </w:rPr>
        <w:t xml:space="preserve">$ US avaient été décaissés (283 913 $ US pour l'ONUDI, 55 </w:t>
      </w:r>
      <w:r>
        <w:rPr>
          <w:lang w:val="fr-FR"/>
        </w:rPr>
        <w:t>000 $ US pour le PNUE et 67 524 </w:t>
      </w:r>
      <w:r w:rsidRPr="00A13740">
        <w:rPr>
          <w:lang w:val="fr-FR"/>
        </w:rPr>
        <w:t>$ US pour le Gouvernement français) comme indiqué au tableau 2. Le solde de 202</w:t>
      </w:r>
      <w:r w:rsidR="0012077D">
        <w:rPr>
          <w:lang w:val="fr-FR"/>
        </w:rPr>
        <w:t xml:space="preserve"> 521 $ US sera décaissé en </w:t>
      </w:r>
      <w:r w:rsidR="0012077D" w:rsidRPr="0012077D">
        <w:rPr>
          <w:lang w:val="fr-FR"/>
        </w:rPr>
        <w:t>2019 </w:t>
      </w:r>
      <w:r w:rsidRPr="0012077D">
        <w:rPr>
          <w:lang w:val="fr-FR"/>
        </w:rPr>
        <w:t>et</w:t>
      </w:r>
      <w:r w:rsidRPr="00A13740">
        <w:rPr>
          <w:lang w:val="fr-FR"/>
        </w:rPr>
        <w:t xml:space="preserve"> en 2020.</w:t>
      </w:r>
    </w:p>
    <w:p w:rsidR="00EC53CE" w:rsidRPr="00A13740" w:rsidRDefault="00EC53CE" w:rsidP="00EC53CE">
      <w:pPr>
        <w:keepNext/>
        <w:rPr>
          <w:b/>
          <w:sz w:val="21"/>
          <w:szCs w:val="21"/>
          <w:lang w:val="fr-FR"/>
        </w:rPr>
      </w:pPr>
      <w:r w:rsidRPr="00A13740">
        <w:rPr>
          <w:b/>
          <w:sz w:val="21"/>
          <w:szCs w:val="21"/>
          <w:lang w:val="fr-FR"/>
        </w:rPr>
        <w:t xml:space="preserve">Tableau 2. Rapport financier de la phase I du PGEH pour la Tunisie ($ US) </w:t>
      </w:r>
    </w:p>
    <w:tbl>
      <w:tblPr>
        <w:tblStyle w:val="TableGrid"/>
        <w:tblW w:w="0" w:type="auto"/>
        <w:tblLook w:val="04A0" w:firstRow="1" w:lastRow="0" w:firstColumn="1" w:lastColumn="0" w:noHBand="0" w:noVBand="1"/>
      </w:tblPr>
      <w:tblGrid>
        <w:gridCol w:w="2049"/>
        <w:gridCol w:w="1216"/>
        <w:gridCol w:w="1217"/>
        <w:gridCol w:w="1217"/>
        <w:gridCol w:w="1217"/>
        <w:gridCol w:w="1217"/>
        <w:gridCol w:w="1217"/>
      </w:tblGrid>
      <w:tr w:rsidR="00EC53CE" w:rsidRPr="00A13740" w:rsidTr="00BB7784">
        <w:tc>
          <w:tcPr>
            <w:tcW w:w="2051" w:type="dxa"/>
            <w:vMerge w:val="restart"/>
            <w:tcMar>
              <w:left w:w="29" w:type="dxa"/>
              <w:right w:w="29" w:type="dxa"/>
            </w:tcMar>
            <w:vAlign w:val="center"/>
          </w:tcPr>
          <w:p w:rsidR="00EC53CE" w:rsidRPr="00A13740" w:rsidRDefault="00EC53CE" w:rsidP="00BB7784">
            <w:pPr>
              <w:keepNext/>
              <w:jc w:val="left"/>
              <w:rPr>
                <w:b/>
                <w:sz w:val="20"/>
                <w:szCs w:val="20"/>
                <w:lang w:val="fr-FR"/>
              </w:rPr>
            </w:pPr>
            <w:r w:rsidRPr="00A13740">
              <w:rPr>
                <w:b/>
                <w:sz w:val="20"/>
                <w:szCs w:val="20"/>
                <w:lang w:val="fr-FR"/>
              </w:rPr>
              <w:t>Agence</w:t>
            </w:r>
          </w:p>
        </w:tc>
        <w:tc>
          <w:tcPr>
            <w:tcW w:w="2433" w:type="dxa"/>
            <w:gridSpan w:val="2"/>
          </w:tcPr>
          <w:p w:rsidR="00EC53CE" w:rsidRPr="00A13740" w:rsidRDefault="00EC53CE" w:rsidP="00BB7784">
            <w:pPr>
              <w:keepNext/>
              <w:jc w:val="center"/>
              <w:rPr>
                <w:b/>
                <w:sz w:val="20"/>
                <w:szCs w:val="20"/>
                <w:lang w:val="fr-FR"/>
              </w:rPr>
            </w:pPr>
            <w:r w:rsidRPr="00A13740">
              <w:rPr>
                <w:b/>
                <w:sz w:val="20"/>
                <w:szCs w:val="20"/>
                <w:lang w:val="fr-FR"/>
              </w:rPr>
              <w:t>Première tranche</w:t>
            </w:r>
          </w:p>
        </w:tc>
        <w:tc>
          <w:tcPr>
            <w:tcW w:w="2434" w:type="dxa"/>
            <w:gridSpan w:val="2"/>
          </w:tcPr>
          <w:p w:rsidR="00EC53CE" w:rsidRPr="00A13740" w:rsidRDefault="00EC53CE" w:rsidP="00BB7784">
            <w:pPr>
              <w:keepNext/>
              <w:jc w:val="center"/>
              <w:rPr>
                <w:b/>
                <w:sz w:val="20"/>
                <w:szCs w:val="20"/>
                <w:lang w:val="fr-FR"/>
              </w:rPr>
            </w:pPr>
            <w:r w:rsidRPr="00A13740">
              <w:rPr>
                <w:b/>
                <w:sz w:val="20"/>
                <w:szCs w:val="20"/>
                <w:lang w:val="fr-FR"/>
              </w:rPr>
              <w:t>Deuxième tranche</w:t>
            </w:r>
          </w:p>
        </w:tc>
        <w:tc>
          <w:tcPr>
            <w:tcW w:w="2434" w:type="dxa"/>
            <w:gridSpan w:val="2"/>
          </w:tcPr>
          <w:p w:rsidR="00EC53CE" w:rsidRPr="00A13740" w:rsidRDefault="00EC53CE" w:rsidP="00BB7784">
            <w:pPr>
              <w:keepNext/>
              <w:jc w:val="center"/>
              <w:rPr>
                <w:b/>
                <w:sz w:val="20"/>
                <w:szCs w:val="20"/>
                <w:lang w:val="fr-FR"/>
              </w:rPr>
            </w:pPr>
            <w:r w:rsidRPr="00A13740">
              <w:rPr>
                <w:b/>
                <w:sz w:val="20"/>
                <w:szCs w:val="20"/>
                <w:lang w:val="fr-FR"/>
              </w:rPr>
              <w:t>Total approuvé</w:t>
            </w:r>
          </w:p>
        </w:tc>
      </w:tr>
      <w:tr w:rsidR="00EC53CE" w:rsidRPr="00A13740" w:rsidTr="00BB7784">
        <w:tc>
          <w:tcPr>
            <w:tcW w:w="2051" w:type="dxa"/>
            <w:vMerge/>
            <w:tcMar>
              <w:left w:w="29" w:type="dxa"/>
              <w:right w:w="29" w:type="dxa"/>
            </w:tcMar>
            <w:vAlign w:val="center"/>
          </w:tcPr>
          <w:p w:rsidR="00EC53CE" w:rsidRPr="00A13740" w:rsidRDefault="00EC53CE" w:rsidP="00BB7784">
            <w:pPr>
              <w:keepNext/>
              <w:jc w:val="left"/>
              <w:rPr>
                <w:b/>
                <w:sz w:val="20"/>
                <w:szCs w:val="20"/>
                <w:lang w:val="fr-FR"/>
              </w:rPr>
            </w:pPr>
          </w:p>
        </w:tc>
        <w:tc>
          <w:tcPr>
            <w:tcW w:w="1216" w:type="dxa"/>
          </w:tcPr>
          <w:p w:rsidR="00EC53CE" w:rsidRPr="00A13740" w:rsidRDefault="00EC53CE" w:rsidP="00BB7784">
            <w:pPr>
              <w:keepNext/>
              <w:jc w:val="center"/>
              <w:rPr>
                <w:b/>
                <w:sz w:val="20"/>
                <w:szCs w:val="20"/>
                <w:lang w:val="fr-FR"/>
              </w:rPr>
            </w:pPr>
            <w:r w:rsidRPr="00A13740">
              <w:rPr>
                <w:b/>
                <w:sz w:val="20"/>
                <w:szCs w:val="20"/>
                <w:lang w:val="fr-FR"/>
              </w:rPr>
              <w:t>Approuvé*</w:t>
            </w:r>
          </w:p>
        </w:tc>
        <w:tc>
          <w:tcPr>
            <w:tcW w:w="1217" w:type="dxa"/>
          </w:tcPr>
          <w:p w:rsidR="00EC53CE" w:rsidRPr="00A13740" w:rsidRDefault="00EC53CE" w:rsidP="00BB7784">
            <w:pPr>
              <w:keepNext/>
              <w:jc w:val="center"/>
              <w:rPr>
                <w:b/>
                <w:sz w:val="20"/>
                <w:szCs w:val="20"/>
                <w:lang w:val="fr-FR"/>
              </w:rPr>
            </w:pPr>
            <w:r w:rsidRPr="00A13740">
              <w:rPr>
                <w:b/>
                <w:sz w:val="20"/>
                <w:szCs w:val="20"/>
                <w:lang w:val="fr-FR"/>
              </w:rPr>
              <w:t>Décaissé</w:t>
            </w:r>
          </w:p>
        </w:tc>
        <w:tc>
          <w:tcPr>
            <w:tcW w:w="1217" w:type="dxa"/>
          </w:tcPr>
          <w:p w:rsidR="00EC53CE" w:rsidRPr="00A13740" w:rsidRDefault="00EC53CE" w:rsidP="00BB7784">
            <w:pPr>
              <w:keepNext/>
              <w:jc w:val="center"/>
              <w:rPr>
                <w:b/>
                <w:sz w:val="20"/>
                <w:szCs w:val="20"/>
                <w:lang w:val="fr-FR"/>
              </w:rPr>
            </w:pPr>
            <w:r w:rsidRPr="00A13740">
              <w:rPr>
                <w:b/>
                <w:sz w:val="20"/>
                <w:szCs w:val="20"/>
                <w:lang w:val="fr-FR"/>
              </w:rPr>
              <w:t>Approuvé*</w:t>
            </w:r>
          </w:p>
        </w:tc>
        <w:tc>
          <w:tcPr>
            <w:tcW w:w="1217" w:type="dxa"/>
          </w:tcPr>
          <w:p w:rsidR="00EC53CE" w:rsidRPr="00A13740" w:rsidRDefault="00EC53CE" w:rsidP="00BB7784">
            <w:pPr>
              <w:keepNext/>
              <w:jc w:val="center"/>
              <w:rPr>
                <w:b/>
                <w:sz w:val="20"/>
                <w:szCs w:val="20"/>
                <w:lang w:val="fr-FR"/>
              </w:rPr>
            </w:pPr>
            <w:r w:rsidRPr="00A13740">
              <w:rPr>
                <w:b/>
                <w:sz w:val="20"/>
                <w:szCs w:val="20"/>
                <w:lang w:val="fr-FR"/>
              </w:rPr>
              <w:t>Décaissé</w:t>
            </w:r>
          </w:p>
        </w:tc>
        <w:tc>
          <w:tcPr>
            <w:tcW w:w="1217" w:type="dxa"/>
          </w:tcPr>
          <w:p w:rsidR="00EC53CE" w:rsidRPr="00A13740" w:rsidRDefault="00EC53CE" w:rsidP="00BB7784">
            <w:pPr>
              <w:keepNext/>
              <w:jc w:val="center"/>
              <w:rPr>
                <w:b/>
                <w:sz w:val="20"/>
                <w:szCs w:val="20"/>
                <w:lang w:val="fr-FR"/>
              </w:rPr>
            </w:pPr>
            <w:r w:rsidRPr="00A13740">
              <w:rPr>
                <w:b/>
                <w:sz w:val="20"/>
                <w:szCs w:val="20"/>
                <w:lang w:val="fr-FR"/>
              </w:rPr>
              <w:t>Approuvé*</w:t>
            </w:r>
          </w:p>
        </w:tc>
        <w:tc>
          <w:tcPr>
            <w:tcW w:w="1217" w:type="dxa"/>
          </w:tcPr>
          <w:p w:rsidR="00EC53CE" w:rsidRPr="00A13740" w:rsidRDefault="00EC53CE" w:rsidP="00BB7784">
            <w:pPr>
              <w:keepNext/>
              <w:jc w:val="center"/>
              <w:rPr>
                <w:b/>
                <w:sz w:val="20"/>
                <w:szCs w:val="20"/>
                <w:lang w:val="fr-FR"/>
              </w:rPr>
            </w:pPr>
            <w:r w:rsidRPr="00A13740">
              <w:rPr>
                <w:b/>
                <w:sz w:val="20"/>
                <w:szCs w:val="20"/>
                <w:lang w:val="fr-FR"/>
              </w:rPr>
              <w:t>Décaissé</w:t>
            </w:r>
          </w:p>
        </w:tc>
      </w:tr>
      <w:tr w:rsidR="00EC53CE" w:rsidRPr="00A13740" w:rsidTr="00BB7784">
        <w:tc>
          <w:tcPr>
            <w:tcW w:w="2051" w:type="dxa"/>
            <w:tcMar>
              <w:left w:w="29" w:type="dxa"/>
              <w:right w:w="29" w:type="dxa"/>
            </w:tcMar>
            <w:vAlign w:val="center"/>
          </w:tcPr>
          <w:p w:rsidR="00EC53CE" w:rsidRPr="00A13740" w:rsidRDefault="00EC53CE" w:rsidP="00BB7784">
            <w:pPr>
              <w:keepNext/>
              <w:jc w:val="left"/>
              <w:rPr>
                <w:sz w:val="20"/>
                <w:szCs w:val="20"/>
                <w:lang w:val="fr-FR"/>
              </w:rPr>
            </w:pPr>
            <w:r w:rsidRPr="00A13740">
              <w:rPr>
                <w:sz w:val="20"/>
                <w:szCs w:val="20"/>
                <w:lang w:val="fr-FR"/>
              </w:rPr>
              <w:t>ONUDI</w:t>
            </w:r>
          </w:p>
        </w:tc>
        <w:tc>
          <w:tcPr>
            <w:tcW w:w="1216" w:type="dxa"/>
          </w:tcPr>
          <w:p w:rsidR="00EC53CE" w:rsidRPr="00A13740" w:rsidRDefault="00EC53CE" w:rsidP="00BB7784">
            <w:pPr>
              <w:keepNext/>
              <w:jc w:val="right"/>
              <w:rPr>
                <w:sz w:val="20"/>
                <w:szCs w:val="20"/>
                <w:lang w:val="fr-FR"/>
              </w:rPr>
            </w:pPr>
            <w:r w:rsidRPr="00A13740">
              <w:rPr>
                <w:sz w:val="20"/>
                <w:szCs w:val="20"/>
                <w:lang w:val="fr-FR"/>
              </w:rPr>
              <w:t>376 920</w:t>
            </w:r>
          </w:p>
        </w:tc>
        <w:tc>
          <w:tcPr>
            <w:tcW w:w="1217" w:type="dxa"/>
          </w:tcPr>
          <w:p w:rsidR="00EC53CE" w:rsidRPr="00A13740" w:rsidRDefault="00EC53CE" w:rsidP="00BB7784">
            <w:pPr>
              <w:keepNext/>
              <w:jc w:val="right"/>
              <w:rPr>
                <w:sz w:val="20"/>
                <w:szCs w:val="20"/>
                <w:lang w:val="fr-FR"/>
              </w:rPr>
            </w:pPr>
            <w:r w:rsidRPr="00A13740">
              <w:rPr>
                <w:sz w:val="20"/>
                <w:szCs w:val="20"/>
                <w:lang w:val="fr-FR"/>
              </w:rPr>
              <w:t>213 642</w:t>
            </w:r>
          </w:p>
        </w:tc>
        <w:tc>
          <w:tcPr>
            <w:tcW w:w="1217" w:type="dxa"/>
          </w:tcPr>
          <w:p w:rsidR="00EC53CE" w:rsidRPr="00A13740" w:rsidRDefault="00EC53CE" w:rsidP="00BB7784">
            <w:pPr>
              <w:keepNext/>
              <w:jc w:val="right"/>
              <w:rPr>
                <w:sz w:val="20"/>
                <w:szCs w:val="20"/>
                <w:lang w:val="fr-FR"/>
              </w:rPr>
            </w:pPr>
            <w:r w:rsidRPr="00A13740">
              <w:rPr>
                <w:sz w:val="20"/>
                <w:szCs w:val="20"/>
                <w:lang w:val="fr-FR"/>
              </w:rPr>
              <w:t>71 038</w:t>
            </w:r>
          </w:p>
        </w:tc>
        <w:tc>
          <w:tcPr>
            <w:tcW w:w="1217" w:type="dxa"/>
          </w:tcPr>
          <w:p w:rsidR="00EC53CE" w:rsidRPr="00A13740" w:rsidRDefault="00EC53CE" w:rsidP="00BB7784">
            <w:pPr>
              <w:keepNext/>
              <w:jc w:val="right"/>
              <w:rPr>
                <w:sz w:val="20"/>
                <w:szCs w:val="20"/>
                <w:lang w:val="fr-FR"/>
              </w:rPr>
            </w:pPr>
            <w:r w:rsidRPr="00A13740">
              <w:rPr>
                <w:sz w:val="20"/>
                <w:szCs w:val="20"/>
                <w:lang w:val="fr-FR"/>
              </w:rPr>
              <w:t>70 271</w:t>
            </w:r>
          </w:p>
        </w:tc>
        <w:tc>
          <w:tcPr>
            <w:tcW w:w="1217" w:type="dxa"/>
          </w:tcPr>
          <w:p w:rsidR="00EC53CE" w:rsidRPr="00A13740" w:rsidRDefault="00EC53CE" w:rsidP="00BB7784">
            <w:pPr>
              <w:keepNext/>
              <w:jc w:val="right"/>
              <w:rPr>
                <w:sz w:val="20"/>
                <w:szCs w:val="20"/>
                <w:lang w:val="fr-FR"/>
              </w:rPr>
            </w:pPr>
            <w:r w:rsidRPr="00A13740">
              <w:rPr>
                <w:sz w:val="20"/>
                <w:szCs w:val="20"/>
                <w:lang w:val="fr-FR"/>
              </w:rPr>
              <w:t>447 958</w:t>
            </w:r>
          </w:p>
        </w:tc>
        <w:tc>
          <w:tcPr>
            <w:tcW w:w="1217" w:type="dxa"/>
          </w:tcPr>
          <w:p w:rsidR="00EC53CE" w:rsidRPr="00A13740" w:rsidRDefault="00EC53CE" w:rsidP="00BB7784">
            <w:pPr>
              <w:keepNext/>
              <w:jc w:val="right"/>
              <w:rPr>
                <w:sz w:val="20"/>
                <w:szCs w:val="20"/>
                <w:lang w:val="fr-FR"/>
              </w:rPr>
            </w:pPr>
            <w:r w:rsidRPr="00A13740">
              <w:rPr>
                <w:sz w:val="20"/>
                <w:szCs w:val="20"/>
                <w:lang w:val="fr-FR"/>
              </w:rPr>
              <w:t>283 913</w:t>
            </w:r>
          </w:p>
        </w:tc>
      </w:tr>
      <w:tr w:rsidR="00EC53CE" w:rsidRPr="00A13740" w:rsidTr="00BB7784">
        <w:tc>
          <w:tcPr>
            <w:tcW w:w="2051" w:type="dxa"/>
            <w:tcMar>
              <w:left w:w="29" w:type="dxa"/>
              <w:right w:w="29" w:type="dxa"/>
            </w:tcMar>
            <w:vAlign w:val="center"/>
          </w:tcPr>
          <w:p w:rsidR="00EC53CE" w:rsidRPr="00A13740" w:rsidRDefault="00EC53CE" w:rsidP="00BB7784">
            <w:pPr>
              <w:jc w:val="left"/>
              <w:rPr>
                <w:sz w:val="20"/>
                <w:szCs w:val="20"/>
                <w:lang w:val="fr-FR"/>
              </w:rPr>
            </w:pPr>
            <w:r w:rsidRPr="00A13740">
              <w:rPr>
                <w:sz w:val="20"/>
                <w:szCs w:val="20"/>
                <w:lang w:val="fr-FR"/>
              </w:rPr>
              <w:t>PNUE</w:t>
            </w:r>
          </w:p>
        </w:tc>
        <w:tc>
          <w:tcPr>
            <w:tcW w:w="1216" w:type="dxa"/>
          </w:tcPr>
          <w:p w:rsidR="00EC53CE" w:rsidRPr="00A13740" w:rsidRDefault="00EC53CE" w:rsidP="00BB7784">
            <w:pPr>
              <w:jc w:val="right"/>
              <w:rPr>
                <w:sz w:val="20"/>
                <w:szCs w:val="20"/>
                <w:lang w:val="fr-FR"/>
              </w:rPr>
            </w:pPr>
            <w:r w:rsidRPr="00A13740">
              <w:rPr>
                <w:sz w:val="20"/>
                <w:szCs w:val="20"/>
                <w:lang w:val="fr-FR"/>
              </w:rPr>
              <w:t>30 000</w:t>
            </w:r>
          </w:p>
        </w:tc>
        <w:tc>
          <w:tcPr>
            <w:tcW w:w="1217" w:type="dxa"/>
          </w:tcPr>
          <w:p w:rsidR="00EC53CE" w:rsidRPr="00A13740" w:rsidRDefault="00EC53CE" w:rsidP="00BB7784">
            <w:pPr>
              <w:jc w:val="right"/>
              <w:rPr>
                <w:sz w:val="20"/>
                <w:szCs w:val="20"/>
                <w:lang w:val="fr-FR"/>
              </w:rPr>
            </w:pPr>
            <w:r w:rsidRPr="00A13740">
              <w:rPr>
                <w:sz w:val="20"/>
                <w:szCs w:val="20"/>
                <w:lang w:val="fr-FR"/>
              </w:rPr>
              <w:t>30 000</w:t>
            </w:r>
          </w:p>
        </w:tc>
        <w:tc>
          <w:tcPr>
            <w:tcW w:w="1217" w:type="dxa"/>
          </w:tcPr>
          <w:p w:rsidR="00EC53CE" w:rsidRPr="00A13740" w:rsidRDefault="00EC53CE" w:rsidP="00BB7784">
            <w:pPr>
              <w:jc w:val="right"/>
              <w:rPr>
                <w:sz w:val="20"/>
                <w:szCs w:val="20"/>
                <w:lang w:val="fr-FR"/>
              </w:rPr>
            </w:pPr>
            <w:r w:rsidRPr="00A13740">
              <w:rPr>
                <w:sz w:val="20"/>
                <w:szCs w:val="20"/>
                <w:lang w:val="fr-FR"/>
              </w:rPr>
              <w:t>55 000</w:t>
            </w:r>
          </w:p>
        </w:tc>
        <w:tc>
          <w:tcPr>
            <w:tcW w:w="1217" w:type="dxa"/>
          </w:tcPr>
          <w:p w:rsidR="00EC53CE" w:rsidRPr="00A13740" w:rsidRDefault="00EC53CE" w:rsidP="00BB7784">
            <w:pPr>
              <w:jc w:val="right"/>
              <w:rPr>
                <w:sz w:val="20"/>
                <w:szCs w:val="20"/>
                <w:lang w:val="fr-FR"/>
              </w:rPr>
            </w:pPr>
            <w:r w:rsidRPr="00A13740">
              <w:rPr>
                <w:sz w:val="20"/>
                <w:szCs w:val="20"/>
                <w:lang w:val="fr-FR"/>
              </w:rPr>
              <w:t>25 000</w:t>
            </w:r>
          </w:p>
        </w:tc>
        <w:tc>
          <w:tcPr>
            <w:tcW w:w="1217" w:type="dxa"/>
          </w:tcPr>
          <w:p w:rsidR="00EC53CE" w:rsidRPr="00A13740" w:rsidRDefault="00EC53CE" w:rsidP="00BB7784">
            <w:pPr>
              <w:jc w:val="right"/>
              <w:rPr>
                <w:sz w:val="20"/>
                <w:szCs w:val="20"/>
                <w:lang w:val="fr-FR"/>
              </w:rPr>
            </w:pPr>
            <w:r w:rsidRPr="00A13740">
              <w:rPr>
                <w:sz w:val="20"/>
                <w:szCs w:val="20"/>
                <w:lang w:val="fr-FR"/>
              </w:rPr>
              <w:t>85 000</w:t>
            </w:r>
          </w:p>
        </w:tc>
        <w:tc>
          <w:tcPr>
            <w:tcW w:w="1217" w:type="dxa"/>
          </w:tcPr>
          <w:p w:rsidR="00EC53CE" w:rsidRPr="00A13740" w:rsidRDefault="00EC53CE" w:rsidP="00BB7784">
            <w:pPr>
              <w:jc w:val="right"/>
              <w:rPr>
                <w:sz w:val="20"/>
                <w:szCs w:val="20"/>
                <w:lang w:val="fr-FR"/>
              </w:rPr>
            </w:pPr>
            <w:r w:rsidRPr="00A13740">
              <w:rPr>
                <w:sz w:val="20"/>
                <w:szCs w:val="20"/>
                <w:lang w:val="fr-FR"/>
              </w:rPr>
              <w:t>55 000</w:t>
            </w:r>
          </w:p>
        </w:tc>
      </w:tr>
      <w:tr w:rsidR="00EC53CE" w:rsidRPr="00A13740" w:rsidTr="00BB7784">
        <w:tc>
          <w:tcPr>
            <w:tcW w:w="2051" w:type="dxa"/>
            <w:tcMar>
              <w:left w:w="29" w:type="dxa"/>
              <w:right w:w="29" w:type="dxa"/>
            </w:tcMar>
            <w:vAlign w:val="center"/>
          </w:tcPr>
          <w:p w:rsidR="00EC53CE" w:rsidRPr="00A13740" w:rsidRDefault="00EC53CE" w:rsidP="00BB7784">
            <w:pPr>
              <w:jc w:val="left"/>
              <w:rPr>
                <w:sz w:val="20"/>
                <w:szCs w:val="20"/>
                <w:lang w:val="fr-FR"/>
              </w:rPr>
            </w:pPr>
            <w:r w:rsidRPr="00A13740">
              <w:rPr>
                <w:sz w:val="20"/>
                <w:szCs w:val="20"/>
                <w:lang w:val="fr-FR"/>
              </w:rPr>
              <w:t>France</w:t>
            </w:r>
          </w:p>
        </w:tc>
        <w:tc>
          <w:tcPr>
            <w:tcW w:w="1216" w:type="dxa"/>
          </w:tcPr>
          <w:p w:rsidR="00EC53CE" w:rsidRPr="00A13740" w:rsidRDefault="00EC53CE" w:rsidP="00BB7784">
            <w:pPr>
              <w:jc w:val="right"/>
              <w:rPr>
                <w:sz w:val="20"/>
                <w:szCs w:val="20"/>
                <w:lang w:val="fr-FR"/>
              </w:rPr>
            </w:pPr>
            <w:r w:rsidRPr="00A13740">
              <w:rPr>
                <w:sz w:val="20"/>
                <w:szCs w:val="20"/>
                <w:lang w:val="fr-FR"/>
              </w:rPr>
              <w:t>38 000</w:t>
            </w:r>
          </w:p>
        </w:tc>
        <w:tc>
          <w:tcPr>
            <w:tcW w:w="1217" w:type="dxa"/>
          </w:tcPr>
          <w:p w:rsidR="00EC53CE" w:rsidRPr="00A13740" w:rsidRDefault="00EC53CE" w:rsidP="00BB7784">
            <w:pPr>
              <w:jc w:val="right"/>
              <w:rPr>
                <w:sz w:val="20"/>
                <w:szCs w:val="20"/>
                <w:lang w:val="fr-FR"/>
              </w:rPr>
            </w:pPr>
            <w:r w:rsidRPr="00A13740">
              <w:rPr>
                <w:sz w:val="20"/>
                <w:szCs w:val="20"/>
                <w:lang w:val="fr-FR"/>
              </w:rPr>
              <w:t>38 000</w:t>
            </w:r>
          </w:p>
        </w:tc>
        <w:tc>
          <w:tcPr>
            <w:tcW w:w="1217" w:type="dxa"/>
          </w:tcPr>
          <w:p w:rsidR="00EC53CE" w:rsidRPr="00A13740" w:rsidRDefault="00EC53CE" w:rsidP="00BB7784">
            <w:pPr>
              <w:jc w:val="right"/>
              <w:rPr>
                <w:sz w:val="20"/>
                <w:szCs w:val="20"/>
                <w:lang w:val="fr-FR"/>
              </w:rPr>
            </w:pPr>
            <w:r w:rsidRPr="00A13740">
              <w:rPr>
                <w:sz w:val="20"/>
                <w:szCs w:val="20"/>
                <w:lang w:val="fr-FR"/>
              </w:rPr>
              <w:t>38 000</w:t>
            </w:r>
          </w:p>
        </w:tc>
        <w:tc>
          <w:tcPr>
            <w:tcW w:w="1217" w:type="dxa"/>
          </w:tcPr>
          <w:p w:rsidR="00EC53CE" w:rsidRPr="00A13740" w:rsidRDefault="00EC53CE" w:rsidP="00BB7784">
            <w:pPr>
              <w:jc w:val="right"/>
              <w:rPr>
                <w:sz w:val="20"/>
                <w:szCs w:val="20"/>
                <w:lang w:val="fr-FR"/>
              </w:rPr>
            </w:pPr>
            <w:r w:rsidRPr="00A13740">
              <w:rPr>
                <w:sz w:val="20"/>
                <w:szCs w:val="20"/>
                <w:lang w:val="fr-FR"/>
              </w:rPr>
              <w:t>29 524</w:t>
            </w:r>
          </w:p>
        </w:tc>
        <w:tc>
          <w:tcPr>
            <w:tcW w:w="1217" w:type="dxa"/>
          </w:tcPr>
          <w:p w:rsidR="00EC53CE" w:rsidRPr="00A13740" w:rsidRDefault="00EC53CE" w:rsidP="00BB7784">
            <w:pPr>
              <w:jc w:val="right"/>
              <w:rPr>
                <w:sz w:val="20"/>
                <w:szCs w:val="20"/>
                <w:lang w:val="fr-FR"/>
              </w:rPr>
            </w:pPr>
            <w:r w:rsidRPr="00A13740">
              <w:rPr>
                <w:sz w:val="20"/>
                <w:szCs w:val="20"/>
                <w:lang w:val="fr-FR"/>
              </w:rPr>
              <w:t>76 000</w:t>
            </w:r>
          </w:p>
        </w:tc>
        <w:tc>
          <w:tcPr>
            <w:tcW w:w="1217" w:type="dxa"/>
          </w:tcPr>
          <w:p w:rsidR="00EC53CE" w:rsidRPr="00A13740" w:rsidRDefault="00EC53CE" w:rsidP="00BB7784">
            <w:pPr>
              <w:jc w:val="right"/>
              <w:rPr>
                <w:sz w:val="20"/>
                <w:szCs w:val="20"/>
                <w:lang w:val="fr-FR"/>
              </w:rPr>
            </w:pPr>
            <w:r w:rsidRPr="00A13740">
              <w:rPr>
                <w:sz w:val="20"/>
                <w:szCs w:val="20"/>
                <w:lang w:val="fr-FR"/>
              </w:rPr>
              <w:t>67 524</w:t>
            </w:r>
          </w:p>
        </w:tc>
      </w:tr>
      <w:tr w:rsidR="00EC53CE" w:rsidRPr="00A13740" w:rsidTr="00BB7784">
        <w:tc>
          <w:tcPr>
            <w:tcW w:w="2051" w:type="dxa"/>
            <w:tcMar>
              <w:left w:w="29" w:type="dxa"/>
              <w:right w:w="29" w:type="dxa"/>
            </w:tcMar>
            <w:vAlign w:val="center"/>
          </w:tcPr>
          <w:p w:rsidR="00EC53CE" w:rsidRPr="00A13740" w:rsidRDefault="00EC53CE" w:rsidP="00BB7784">
            <w:pPr>
              <w:jc w:val="left"/>
              <w:rPr>
                <w:b/>
                <w:sz w:val="20"/>
                <w:szCs w:val="20"/>
                <w:lang w:val="fr-FR"/>
              </w:rPr>
            </w:pPr>
            <w:r w:rsidRPr="00A13740">
              <w:rPr>
                <w:b/>
                <w:sz w:val="20"/>
                <w:szCs w:val="20"/>
                <w:lang w:val="fr-FR"/>
              </w:rPr>
              <w:t>Total</w:t>
            </w:r>
          </w:p>
        </w:tc>
        <w:tc>
          <w:tcPr>
            <w:tcW w:w="1216" w:type="dxa"/>
          </w:tcPr>
          <w:p w:rsidR="00EC53CE" w:rsidRPr="00A13740" w:rsidRDefault="00EC53CE" w:rsidP="00BB7784">
            <w:pPr>
              <w:jc w:val="right"/>
              <w:rPr>
                <w:sz w:val="20"/>
                <w:szCs w:val="20"/>
                <w:lang w:val="fr-FR"/>
              </w:rPr>
            </w:pPr>
            <w:r w:rsidRPr="00A13740">
              <w:rPr>
                <w:sz w:val="20"/>
                <w:szCs w:val="20"/>
                <w:lang w:val="fr-FR"/>
              </w:rPr>
              <w:t>444 920</w:t>
            </w:r>
          </w:p>
        </w:tc>
        <w:tc>
          <w:tcPr>
            <w:tcW w:w="1217" w:type="dxa"/>
          </w:tcPr>
          <w:p w:rsidR="00EC53CE" w:rsidRPr="00A13740" w:rsidRDefault="00EC53CE" w:rsidP="00BB7784">
            <w:pPr>
              <w:jc w:val="right"/>
              <w:rPr>
                <w:sz w:val="20"/>
                <w:szCs w:val="20"/>
                <w:lang w:val="fr-FR"/>
              </w:rPr>
            </w:pPr>
            <w:r w:rsidRPr="00A13740">
              <w:rPr>
                <w:sz w:val="20"/>
                <w:szCs w:val="20"/>
                <w:lang w:val="fr-FR"/>
              </w:rPr>
              <w:t>281 642</w:t>
            </w:r>
          </w:p>
        </w:tc>
        <w:tc>
          <w:tcPr>
            <w:tcW w:w="1217" w:type="dxa"/>
          </w:tcPr>
          <w:p w:rsidR="00EC53CE" w:rsidRPr="00A13740" w:rsidRDefault="00EC53CE" w:rsidP="00BB7784">
            <w:pPr>
              <w:jc w:val="right"/>
              <w:rPr>
                <w:sz w:val="20"/>
                <w:szCs w:val="20"/>
                <w:lang w:val="fr-FR"/>
              </w:rPr>
            </w:pPr>
            <w:r w:rsidRPr="00A13740">
              <w:rPr>
                <w:sz w:val="20"/>
                <w:szCs w:val="20"/>
                <w:lang w:val="fr-FR"/>
              </w:rPr>
              <w:t>164 038</w:t>
            </w:r>
          </w:p>
        </w:tc>
        <w:tc>
          <w:tcPr>
            <w:tcW w:w="1217" w:type="dxa"/>
          </w:tcPr>
          <w:p w:rsidR="00EC53CE" w:rsidRPr="00A13740" w:rsidRDefault="00EC53CE" w:rsidP="00BB7784">
            <w:pPr>
              <w:jc w:val="right"/>
              <w:rPr>
                <w:sz w:val="20"/>
                <w:szCs w:val="20"/>
                <w:lang w:val="fr-FR"/>
              </w:rPr>
            </w:pPr>
            <w:r w:rsidRPr="00A13740">
              <w:rPr>
                <w:sz w:val="20"/>
                <w:szCs w:val="20"/>
                <w:lang w:val="fr-FR"/>
              </w:rPr>
              <w:t>124 795</w:t>
            </w:r>
          </w:p>
        </w:tc>
        <w:tc>
          <w:tcPr>
            <w:tcW w:w="1217" w:type="dxa"/>
          </w:tcPr>
          <w:p w:rsidR="00EC53CE" w:rsidRPr="00A13740" w:rsidRDefault="00EC53CE" w:rsidP="00BB7784">
            <w:pPr>
              <w:jc w:val="right"/>
              <w:rPr>
                <w:sz w:val="20"/>
                <w:szCs w:val="20"/>
                <w:lang w:val="fr-FR"/>
              </w:rPr>
            </w:pPr>
            <w:r w:rsidRPr="00A13740">
              <w:rPr>
                <w:sz w:val="20"/>
                <w:szCs w:val="20"/>
                <w:lang w:val="fr-FR"/>
              </w:rPr>
              <w:t>608 958</w:t>
            </w:r>
          </w:p>
        </w:tc>
        <w:tc>
          <w:tcPr>
            <w:tcW w:w="1217" w:type="dxa"/>
          </w:tcPr>
          <w:p w:rsidR="00EC53CE" w:rsidRPr="00A13740" w:rsidRDefault="00EC53CE" w:rsidP="00BB7784">
            <w:pPr>
              <w:jc w:val="right"/>
              <w:rPr>
                <w:sz w:val="20"/>
                <w:szCs w:val="20"/>
                <w:lang w:val="fr-FR"/>
              </w:rPr>
            </w:pPr>
            <w:r w:rsidRPr="00A13740">
              <w:rPr>
                <w:sz w:val="20"/>
                <w:szCs w:val="20"/>
                <w:lang w:val="fr-FR"/>
              </w:rPr>
              <w:t>406 437</w:t>
            </w:r>
          </w:p>
        </w:tc>
      </w:tr>
      <w:tr w:rsidR="00EC53CE" w:rsidRPr="00A13740" w:rsidTr="00BB7784">
        <w:tc>
          <w:tcPr>
            <w:tcW w:w="2051" w:type="dxa"/>
            <w:tcMar>
              <w:left w:w="29" w:type="dxa"/>
              <w:right w:w="29" w:type="dxa"/>
            </w:tcMar>
            <w:vAlign w:val="center"/>
          </w:tcPr>
          <w:p w:rsidR="00EC53CE" w:rsidRPr="00A13740" w:rsidRDefault="00EC53CE" w:rsidP="00BB7784">
            <w:pPr>
              <w:jc w:val="left"/>
              <w:rPr>
                <w:b/>
                <w:sz w:val="20"/>
                <w:szCs w:val="20"/>
                <w:lang w:val="fr-FR"/>
              </w:rPr>
            </w:pPr>
            <w:r w:rsidRPr="00A13740">
              <w:rPr>
                <w:b/>
                <w:sz w:val="20"/>
                <w:szCs w:val="20"/>
                <w:lang w:val="fr-FR"/>
              </w:rPr>
              <w:t>Taux de décaissement (%)</w:t>
            </w:r>
          </w:p>
        </w:tc>
        <w:tc>
          <w:tcPr>
            <w:tcW w:w="2433" w:type="dxa"/>
            <w:gridSpan w:val="2"/>
          </w:tcPr>
          <w:p w:rsidR="00EC53CE" w:rsidRPr="00A13740" w:rsidRDefault="00EC53CE" w:rsidP="00BB7784">
            <w:pPr>
              <w:jc w:val="right"/>
              <w:rPr>
                <w:sz w:val="20"/>
                <w:szCs w:val="20"/>
                <w:lang w:val="fr-FR"/>
              </w:rPr>
            </w:pPr>
            <w:r w:rsidRPr="00A13740">
              <w:rPr>
                <w:sz w:val="20"/>
                <w:szCs w:val="20"/>
                <w:lang w:val="fr-FR"/>
              </w:rPr>
              <w:t>63</w:t>
            </w:r>
          </w:p>
        </w:tc>
        <w:tc>
          <w:tcPr>
            <w:tcW w:w="2434" w:type="dxa"/>
            <w:gridSpan w:val="2"/>
          </w:tcPr>
          <w:p w:rsidR="00EC53CE" w:rsidRPr="00A13740" w:rsidRDefault="00EC53CE" w:rsidP="00BB7784">
            <w:pPr>
              <w:jc w:val="right"/>
              <w:rPr>
                <w:sz w:val="20"/>
                <w:szCs w:val="20"/>
                <w:lang w:val="fr-FR"/>
              </w:rPr>
            </w:pPr>
            <w:r w:rsidRPr="00A13740">
              <w:rPr>
                <w:sz w:val="20"/>
                <w:szCs w:val="20"/>
                <w:lang w:val="fr-FR"/>
              </w:rPr>
              <w:t>76</w:t>
            </w:r>
          </w:p>
        </w:tc>
        <w:tc>
          <w:tcPr>
            <w:tcW w:w="2434" w:type="dxa"/>
            <w:gridSpan w:val="2"/>
          </w:tcPr>
          <w:p w:rsidR="00EC53CE" w:rsidRPr="00A13740" w:rsidRDefault="00EC53CE" w:rsidP="00BB7784">
            <w:pPr>
              <w:jc w:val="right"/>
              <w:rPr>
                <w:sz w:val="20"/>
                <w:szCs w:val="20"/>
                <w:lang w:val="fr-FR"/>
              </w:rPr>
            </w:pPr>
            <w:r w:rsidRPr="00A13740">
              <w:rPr>
                <w:sz w:val="20"/>
                <w:szCs w:val="20"/>
                <w:lang w:val="fr-FR"/>
              </w:rPr>
              <w:t>67</w:t>
            </w:r>
          </w:p>
        </w:tc>
      </w:tr>
    </w:tbl>
    <w:p w:rsidR="00EC53CE" w:rsidRPr="00A13740" w:rsidRDefault="00EC53CE" w:rsidP="00EC53CE">
      <w:pPr>
        <w:rPr>
          <w:lang w:val="fr-FR"/>
        </w:rPr>
      </w:pPr>
      <w:r w:rsidRPr="00A13740">
        <w:rPr>
          <w:sz w:val="20"/>
          <w:lang w:val="fr-FR"/>
        </w:rPr>
        <w:t>*Sur la base de l'Accord actualisé avec le Comité exécutif (décision 83/28). Les fonds associés au secteur de la climatisation résidentielle seront retournés à la 84</w:t>
      </w:r>
      <w:r w:rsidRPr="00A13740">
        <w:rPr>
          <w:sz w:val="20"/>
          <w:vertAlign w:val="superscript"/>
          <w:lang w:val="fr-FR"/>
        </w:rPr>
        <w:t>e</w:t>
      </w:r>
      <w:r w:rsidRPr="00A13740">
        <w:rPr>
          <w:sz w:val="20"/>
          <w:lang w:val="fr-FR"/>
        </w:rPr>
        <w:t xml:space="preserve"> réunion.</w:t>
      </w:r>
    </w:p>
    <w:p w:rsidR="00EC53CE" w:rsidRPr="00A13740" w:rsidRDefault="00EC53CE" w:rsidP="00EC53CE">
      <w:pPr>
        <w:rPr>
          <w:lang w:val="fr-FR"/>
        </w:rPr>
      </w:pPr>
    </w:p>
    <w:p w:rsidR="00EC53CE" w:rsidRPr="00A13740" w:rsidRDefault="00EC53CE" w:rsidP="00EC53CE">
      <w:pPr>
        <w:spacing w:after="240"/>
        <w:rPr>
          <w:u w:val="single"/>
          <w:lang w:val="fr-FR"/>
        </w:rPr>
      </w:pPr>
      <w:r w:rsidRPr="00A13740">
        <w:rPr>
          <w:u w:val="single"/>
          <w:lang w:val="fr-FR"/>
        </w:rPr>
        <w:t>Plan de mise en œuvre de la troisième tranche du PGEH</w:t>
      </w:r>
    </w:p>
    <w:p w:rsidR="00EC53CE" w:rsidRPr="00A13740" w:rsidRDefault="00EC53CE" w:rsidP="00EC53CE">
      <w:pPr>
        <w:pStyle w:val="Heading1"/>
        <w:rPr>
          <w:lang w:val="fr-FR"/>
        </w:rPr>
      </w:pPr>
      <w:r w:rsidRPr="00A13740">
        <w:rPr>
          <w:lang w:val="fr-FR"/>
        </w:rPr>
        <w:t>Les activités suivantes seront mises en œuvre durant la troisième tranche :</w:t>
      </w:r>
    </w:p>
    <w:p w:rsidR="00EC53CE" w:rsidRPr="00A13740" w:rsidRDefault="00EC53CE" w:rsidP="00EC53CE">
      <w:pPr>
        <w:pStyle w:val="Heading2"/>
        <w:numPr>
          <w:ilvl w:val="1"/>
          <w:numId w:val="1"/>
        </w:numPr>
        <w:rPr>
          <w:lang w:val="fr-FR"/>
        </w:rPr>
      </w:pPr>
      <w:r w:rsidRPr="00A13740">
        <w:rPr>
          <w:bCs/>
          <w:i/>
          <w:lang w:val="fr-FR"/>
        </w:rPr>
        <w:t xml:space="preserve">Politiques et </w:t>
      </w:r>
      <w:proofErr w:type="gramStart"/>
      <w:r w:rsidRPr="00A13740">
        <w:rPr>
          <w:bCs/>
          <w:i/>
          <w:lang w:val="fr-FR"/>
        </w:rPr>
        <w:t>réglementation</w:t>
      </w:r>
      <w:r w:rsidRPr="00A13740">
        <w:rPr>
          <w:bCs/>
          <w:lang w:val="fr-FR"/>
        </w:rPr>
        <w:t>:</w:t>
      </w:r>
      <w:proofErr w:type="gramEnd"/>
      <w:r w:rsidRPr="00A13740">
        <w:rPr>
          <w:bCs/>
          <w:lang w:val="fr-FR"/>
        </w:rPr>
        <w:t xml:space="preserve"> assurer le suivi de l'adoption d'une législation subsidiaire visant à aligner le nouveau système de certification sur les règlements de l'UE relatifs aux gaz fluorés, qui comprendrait des exigences minimales pour les centres de formation et les écoles professionnelles (PNUE) (financement issu de la tranche précédente) ;</w:t>
      </w:r>
    </w:p>
    <w:p w:rsidR="00EC53CE" w:rsidRPr="00A13740" w:rsidRDefault="00EC53CE" w:rsidP="00EC53CE">
      <w:pPr>
        <w:pStyle w:val="Heading2"/>
        <w:numPr>
          <w:ilvl w:val="1"/>
          <w:numId w:val="1"/>
        </w:numPr>
        <w:rPr>
          <w:lang w:val="fr-FR"/>
        </w:rPr>
      </w:pPr>
      <w:r w:rsidRPr="00A13740">
        <w:rPr>
          <w:i/>
          <w:lang w:val="fr-FR"/>
        </w:rPr>
        <w:t xml:space="preserve">Renforcement des capacités des </w:t>
      </w:r>
      <w:proofErr w:type="gramStart"/>
      <w:r w:rsidRPr="00A13740">
        <w:rPr>
          <w:i/>
          <w:lang w:val="fr-FR"/>
        </w:rPr>
        <w:t>douanes</w:t>
      </w:r>
      <w:r w:rsidRPr="00A13740">
        <w:rPr>
          <w:lang w:val="fr-FR"/>
        </w:rPr>
        <w:t>:</w:t>
      </w:r>
      <w:proofErr w:type="gramEnd"/>
      <w:r w:rsidRPr="00A13740">
        <w:rPr>
          <w:lang w:val="fr-FR"/>
        </w:rPr>
        <w:t xml:space="preserve"> trois ateliers portant sur l'application des règlements relatifs aux SAO et l'identification des réfrigérants à l'intention de 60 agents des douanes et autres membres des forces de l'ordre (PNUE) (15 000 $ US et financement issu de la tranche précédente) ;</w:t>
      </w:r>
    </w:p>
    <w:p w:rsidR="00EC53CE" w:rsidRPr="00A13740" w:rsidRDefault="00EC53CE" w:rsidP="00EC53CE">
      <w:pPr>
        <w:pStyle w:val="Heading2"/>
        <w:numPr>
          <w:ilvl w:val="1"/>
          <w:numId w:val="1"/>
        </w:numPr>
        <w:rPr>
          <w:lang w:val="fr-FR"/>
        </w:rPr>
      </w:pPr>
      <w:r w:rsidRPr="00A13740">
        <w:rPr>
          <w:i/>
          <w:lang w:val="fr-FR"/>
        </w:rPr>
        <w:t xml:space="preserve">Secteur de </w:t>
      </w:r>
      <w:proofErr w:type="gramStart"/>
      <w:r w:rsidRPr="00A13740">
        <w:rPr>
          <w:i/>
          <w:lang w:val="fr-FR"/>
        </w:rPr>
        <w:t>l'entretien</w:t>
      </w:r>
      <w:r w:rsidRPr="00A13740">
        <w:rPr>
          <w:lang w:val="fr-FR"/>
        </w:rPr>
        <w:t>:</w:t>
      </w:r>
      <w:proofErr w:type="gramEnd"/>
      <w:r w:rsidRPr="00A13740">
        <w:rPr>
          <w:lang w:val="fr-FR"/>
        </w:rPr>
        <w:t xml:space="preserve"> un atelier portant sur l'entretien en réfrigération et certification des techniciens en réfrigération pour 50 formateurs travaillant dans les écoles professionnelles ; un atelier de formation au bénéfice de 40 techniciens en entretien sur les questions de sécurité ; distribution de matériel d'atelier (ONUDI) (27 500 $ US et financement issu de la tranche précédente) ;</w:t>
      </w:r>
    </w:p>
    <w:p w:rsidR="00EC53CE" w:rsidRPr="00A13740" w:rsidRDefault="00EC53CE" w:rsidP="00EC53CE">
      <w:pPr>
        <w:pStyle w:val="Heading2"/>
        <w:numPr>
          <w:ilvl w:val="1"/>
          <w:numId w:val="1"/>
        </w:numPr>
        <w:rPr>
          <w:lang w:val="fr-FR"/>
        </w:rPr>
      </w:pPr>
      <w:r w:rsidRPr="00A13740">
        <w:rPr>
          <w:i/>
          <w:lang w:val="fr-FR"/>
        </w:rPr>
        <w:t>Programme d'incitation au remplacement des équipements</w:t>
      </w:r>
      <w:r w:rsidRPr="00A13740">
        <w:rPr>
          <w:lang w:val="fr-FR"/>
        </w:rPr>
        <w:t xml:space="preserve"> : mesures incitatives destinées à certains utilisateurs finaux afin d'encourager le recours aux nouveaux réfrigérants de remplacement ; un atelier visant à diffuser les résultats du programme destiné aux utilisateurs finaux et à mettre en œuvre une campagne de sensibilisation (France) (19 000 $ US et financement issu de la tranche précédente) ;</w:t>
      </w:r>
    </w:p>
    <w:p w:rsidR="00EC53CE" w:rsidRPr="00F15449" w:rsidRDefault="00EC53CE" w:rsidP="00EC53CE">
      <w:pPr>
        <w:pStyle w:val="Heading2"/>
        <w:numPr>
          <w:ilvl w:val="1"/>
          <w:numId w:val="1"/>
        </w:numPr>
        <w:rPr>
          <w:lang w:val="fr-FR"/>
        </w:rPr>
      </w:pPr>
      <w:r w:rsidRPr="00A13740">
        <w:rPr>
          <w:i/>
          <w:lang w:val="fr-FR"/>
        </w:rPr>
        <w:t>Gestion et suivi</w:t>
      </w:r>
      <w:r w:rsidRPr="00A13740">
        <w:rPr>
          <w:lang w:val="fr-FR"/>
        </w:rPr>
        <w:t xml:space="preserve"> du </w:t>
      </w:r>
      <w:r w:rsidRPr="00A13740">
        <w:rPr>
          <w:i/>
          <w:lang w:val="fr-FR"/>
        </w:rPr>
        <w:t>PGE</w:t>
      </w:r>
      <w:r w:rsidRPr="00A13740">
        <w:rPr>
          <w:lang w:val="fr-FR"/>
        </w:rPr>
        <w:t xml:space="preserve"> (ONUDI) : par le truchement de l'UNO, élaboration d'un rapport de vérification pour 2019 (6 000 $ US) ; un consultant national / expert technique pour la conversion pilote à une solution de rechange à faible PRG à la SOFAP (5 000 $ US) ; deux </w:t>
      </w:r>
      <w:r w:rsidRPr="00A13740">
        <w:rPr>
          <w:lang w:val="fr-FR"/>
        </w:rPr>
        <w:lastRenderedPageBreak/>
        <w:t>consultants nationaux à court terme et un consultant international pour l'atelier sur la sécurité (15 000 $ US) ; appui aux voyages sur place et aux visites sur le terrain de l'UNO (4 000 $ US).</w:t>
      </w:r>
    </w:p>
    <w:p w:rsidR="00EC53CE" w:rsidRPr="00A13740" w:rsidRDefault="00EC53CE" w:rsidP="00EC53CE">
      <w:pPr>
        <w:keepNext/>
        <w:spacing w:after="240"/>
        <w:jc w:val="center"/>
        <w:rPr>
          <w:b/>
          <w:lang w:val="fr-FR"/>
        </w:rPr>
      </w:pPr>
      <w:r w:rsidRPr="00A13740">
        <w:rPr>
          <w:b/>
          <w:lang w:val="fr-FR"/>
        </w:rPr>
        <w:t>OBSERVATIONS ET RECOMMANDATIONS DU SECRÉTARIAT</w:t>
      </w:r>
    </w:p>
    <w:p w:rsidR="00EC53CE" w:rsidRPr="00A13740" w:rsidRDefault="00EC53CE" w:rsidP="00EC53CE">
      <w:pPr>
        <w:keepNext/>
        <w:spacing w:after="240"/>
        <w:rPr>
          <w:b/>
          <w:lang w:val="fr-FR"/>
        </w:rPr>
      </w:pPr>
      <w:r w:rsidRPr="00A13740">
        <w:rPr>
          <w:b/>
          <w:lang w:val="fr-FR"/>
        </w:rPr>
        <w:t>OBSERVATIONS</w:t>
      </w:r>
    </w:p>
    <w:p w:rsidR="00EC53CE" w:rsidRPr="00A13740" w:rsidRDefault="00EC53CE" w:rsidP="00EC53CE">
      <w:pPr>
        <w:keepNext/>
        <w:spacing w:after="240"/>
        <w:rPr>
          <w:u w:val="single"/>
          <w:lang w:val="fr-FR"/>
        </w:rPr>
      </w:pPr>
      <w:r w:rsidRPr="00A13740">
        <w:rPr>
          <w:u w:val="single"/>
          <w:lang w:val="fr-FR"/>
        </w:rPr>
        <w:t>Rapport périodique sur la mise en œuvre de la deuxième tranche du PGEH</w:t>
      </w:r>
    </w:p>
    <w:p w:rsidR="00EC53CE" w:rsidRPr="00A13740" w:rsidRDefault="00EC53CE" w:rsidP="00EC53CE">
      <w:pPr>
        <w:keepNext/>
        <w:spacing w:after="240"/>
        <w:rPr>
          <w:i/>
          <w:lang w:val="fr-FR"/>
        </w:rPr>
      </w:pPr>
      <w:r w:rsidRPr="00A13740">
        <w:rPr>
          <w:i/>
          <w:lang w:val="fr-FR"/>
        </w:rPr>
        <w:t>Cadre juridique</w:t>
      </w:r>
    </w:p>
    <w:p w:rsidR="00EC53CE" w:rsidRPr="00A13740" w:rsidRDefault="00EC53CE" w:rsidP="00EC53CE">
      <w:pPr>
        <w:pStyle w:val="Heading1"/>
        <w:rPr>
          <w:lang w:val="fr-FR"/>
        </w:rPr>
      </w:pPr>
      <w:r w:rsidRPr="00A13740">
        <w:rPr>
          <w:lang w:val="fr-FR"/>
        </w:rPr>
        <w:t>Le Gouvernement tunisien a d'ores et déjà émis des quotas d’importation de HCFC pour 2019 et les a fixés à 29,15 tonnes PAO, soit 70 % de moins que la consommation autorisée par le Protocole de Montréal, et 16 % inférieur à la consommation maximale admissible dans le cadre du Protocole pour cette année-là.</w:t>
      </w:r>
    </w:p>
    <w:p w:rsidR="00EC53CE" w:rsidRPr="00A13740" w:rsidRDefault="00EC53CE" w:rsidP="00EC53CE">
      <w:pPr>
        <w:keepNext/>
        <w:spacing w:after="240"/>
        <w:rPr>
          <w:i/>
          <w:lang w:val="fr-FR"/>
        </w:rPr>
      </w:pPr>
      <w:r w:rsidRPr="00A13740">
        <w:rPr>
          <w:i/>
          <w:lang w:val="fr-FR"/>
        </w:rPr>
        <w:t>Secteur de la fabrication</w:t>
      </w:r>
    </w:p>
    <w:p w:rsidR="00EC53CE" w:rsidRPr="00A13740" w:rsidRDefault="00EC53CE" w:rsidP="00EC53CE">
      <w:pPr>
        <w:pStyle w:val="Heading1"/>
        <w:keepNext/>
        <w:keepLines/>
        <w:rPr>
          <w:lang w:val="fr-FR"/>
        </w:rPr>
      </w:pPr>
      <w:r w:rsidRPr="00A13740">
        <w:rPr>
          <w:lang w:val="fr-FR"/>
        </w:rPr>
        <w:t>L’ONUDI a indiqué que la principale raison du retard dans la conversion de la SOFAP était d’ordre administrative, et liée aux achats. Il a été remédié à cette situation en autorisant la SOFAP à se procurer le matériel sous la supervision de l’ONUDI, après quoi l’ONUDI décaisserait les fonds rétroactivement, à la mise en service. Cela a été fait dans le respect des règles de gestion financière de l’ONUDI et à titre exceptionnel, l'objectif étant de permettre au projet d'aller de l'avant sans plus tarder. Il a été précisé que l'achèvement financier du projet est prévu en décembre 2019.</w:t>
      </w:r>
    </w:p>
    <w:p w:rsidR="00EC53CE" w:rsidRPr="00A13740" w:rsidRDefault="00EC53CE" w:rsidP="00EC53CE">
      <w:pPr>
        <w:keepNext/>
        <w:spacing w:after="240"/>
        <w:rPr>
          <w:i/>
          <w:lang w:val="fr-FR"/>
        </w:rPr>
      </w:pPr>
      <w:r w:rsidRPr="00A13740">
        <w:rPr>
          <w:i/>
          <w:lang w:val="fr-FR"/>
        </w:rPr>
        <w:t>Secteur de l’entretien en réfrigération</w:t>
      </w:r>
    </w:p>
    <w:p w:rsidR="00EC53CE" w:rsidRPr="00A13740" w:rsidRDefault="00EC53CE" w:rsidP="00EC53CE">
      <w:pPr>
        <w:pStyle w:val="Heading1"/>
        <w:rPr>
          <w:lang w:val="fr-FR"/>
        </w:rPr>
      </w:pPr>
      <w:r w:rsidRPr="00A13740">
        <w:rPr>
          <w:lang w:val="fr-FR"/>
        </w:rPr>
        <w:t>L’ONUDI a précisé que des activités avaient démarré pour élaborer des règlements subsidiaires relatifs à l'utilisation des réfrigérants inflammables. Les programmes de formation des techniciens en entretien abordent d'ores et déjà des éléments liés à la manipulation en toute sécurité des réfrigérants inflammables. Ils seront mis à jour lorsque les nouveaux règlements seront approuvés.</w:t>
      </w:r>
    </w:p>
    <w:p w:rsidR="00EC53CE" w:rsidRPr="00A13740" w:rsidRDefault="00EC53CE" w:rsidP="00EC53CE">
      <w:pPr>
        <w:pStyle w:val="Heading1"/>
        <w:rPr>
          <w:lang w:val="fr-FR"/>
        </w:rPr>
      </w:pPr>
      <w:r w:rsidRPr="00A13740">
        <w:rPr>
          <w:lang w:val="fr-FR"/>
        </w:rPr>
        <w:t>Selon l’ONUDI, le programme d'incitation au remplacement du matériel visant à encourager l'utilisation de réfrigérants de remplacement pour certains utilisateurs finaux, qui était pré</w:t>
      </w:r>
      <w:r>
        <w:rPr>
          <w:lang w:val="fr-FR"/>
        </w:rPr>
        <w:t xml:space="preserve">vu pour la tranche précédente, </w:t>
      </w:r>
      <w:r w:rsidRPr="00A13740">
        <w:rPr>
          <w:lang w:val="fr-FR"/>
        </w:rPr>
        <w:t xml:space="preserve">sera mis en œuvre au cours de la troisième tranche, le financement des deux tranches étant ainsi fusionné. Des discussions ont eu lieu avec les utilisateurs finaux pour identifier un site pilote de démonstration. D'autres discussions sont en cours pour finaliser la sélection et les exigences pour les bénéficiaires du programme. </w:t>
      </w:r>
    </w:p>
    <w:p w:rsidR="00EC53CE" w:rsidRPr="00A13740" w:rsidRDefault="00EC53CE" w:rsidP="00EC53CE">
      <w:pPr>
        <w:pStyle w:val="Heading1"/>
        <w:numPr>
          <w:ilvl w:val="0"/>
          <w:numId w:val="0"/>
        </w:numPr>
        <w:rPr>
          <w:i/>
          <w:lang w:val="fr-FR"/>
        </w:rPr>
      </w:pPr>
      <w:r w:rsidRPr="00A13740">
        <w:rPr>
          <w:u w:val="single"/>
          <w:lang w:val="fr-FR"/>
        </w:rPr>
        <w:t xml:space="preserve">Durabilité de l'élimination des HCFC </w:t>
      </w:r>
    </w:p>
    <w:p w:rsidR="00EC53CE" w:rsidRPr="00A13740" w:rsidRDefault="00EC53CE" w:rsidP="00EC53CE">
      <w:pPr>
        <w:pStyle w:val="Heading1"/>
        <w:rPr>
          <w:lang w:val="fr-FR"/>
        </w:rPr>
      </w:pPr>
      <w:r w:rsidRPr="00A13740">
        <w:rPr>
          <w:lang w:val="fr-FR"/>
        </w:rPr>
        <w:t xml:space="preserve">Le Gouvernement tunisien a achevé l'élimination au sein d'une entreprise du secteur des solvants utilisant une technologie à faible PRG. La mise en service finale de l'entreprise restante est prévue en décembre 2019, ce qui a permis d'éliminer 12,20 </w:t>
      </w:r>
      <w:proofErr w:type="spellStart"/>
      <w:r w:rsidRPr="00A13740">
        <w:rPr>
          <w:lang w:val="fr-FR"/>
        </w:rPr>
        <w:t>tm</w:t>
      </w:r>
      <w:proofErr w:type="spellEnd"/>
      <w:r w:rsidRPr="00A13740">
        <w:rPr>
          <w:lang w:val="fr-FR"/>
        </w:rPr>
        <w:t xml:space="preserve"> (1,34 tonne PAO) de HCFC-141b. Le Gouvernement s'est engagé à veiller à ce que l'élimination des HCFC soit durable en assurant la surveillance des importations de ces substances par le biais du système de quotas informatisé et un suivi continu des entreprises après leur conversion. Lorsque le secteur des solvants aura achevé sa conversion, le Gouvernement imposera des contrôles stricts sur l'importation de HCFC-141b utilisé comme solvant. Les activités menées dans le secteur de l'entretien continueront de contribuer</w:t>
      </w:r>
      <w:r w:rsidR="00815061">
        <w:rPr>
          <w:lang w:val="fr-FR"/>
        </w:rPr>
        <w:t xml:space="preserve"> à la réduction durable du HCFC</w:t>
      </w:r>
      <w:r w:rsidR="00815061">
        <w:rPr>
          <w:lang w:val="fr-FR"/>
        </w:rPr>
        <w:noBreakHyphen/>
      </w:r>
      <w:r w:rsidRPr="00A13740">
        <w:rPr>
          <w:lang w:val="fr-FR"/>
        </w:rPr>
        <w:t xml:space="preserve">22. </w:t>
      </w:r>
    </w:p>
    <w:p w:rsidR="00EC53CE" w:rsidRPr="00A13740" w:rsidRDefault="00EC53CE" w:rsidP="00EC53CE">
      <w:pPr>
        <w:keepNext/>
        <w:spacing w:after="240"/>
        <w:rPr>
          <w:u w:val="single"/>
          <w:lang w:val="fr-FR"/>
        </w:rPr>
      </w:pPr>
      <w:r w:rsidRPr="00A13740">
        <w:rPr>
          <w:u w:val="single"/>
          <w:lang w:val="fr-FR"/>
        </w:rPr>
        <w:lastRenderedPageBreak/>
        <w:t xml:space="preserve">Conclusion </w:t>
      </w:r>
    </w:p>
    <w:p w:rsidR="00EC53CE" w:rsidRPr="00A13740" w:rsidRDefault="00EC53CE" w:rsidP="00EC53CE">
      <w:pPr>
        <w:pStyle w:val="Heading1"/>
        <w:rPr>
          <w:lang w:val="fr-FR"/>
        </w:rPr>
      </w:pPr>
      <w:r w:rsidRPr="00A13740">
        <w:rPr>
          <w:lang w:val="fr-FR"/>
        </w:rPr>
        <w:t>Le Secrétariat a noté que la consommation de HCFC en Tunisie était déjà inférieure de 25 % aux objectifs de consommation de HCFC fixés dans l'Accord avec le Comité exécutif. Le système de licences et de quotas du pays a été amélioré et la mise en œuvre des activités approuvées dans le cadre de la phase I continue de progresser. L'achèvement des activités d'investissement dans le secteur des solvants entraînerait l'élimination de 1,34 tonne PAO de HCFC-141b. La formation de formateurs et de techniciens issus des douanes et du secteur de la réfrigération, ainsi que la certification des techniciens, se poursuivront également dans le cadre de la troisième tranche. Le décaissement du financement dépasse le seuil requis pour le déblocage de la tranche suivante. Les activités mises en œuvre à ce jour et celles prévues au titre de la troisième et dernière tranche de la phase I complètent celles de la phase II qui a également été soumise à la présente réunion.</w:t>
      </w:r>
    </w:p>
    <w:p w:rsidR="00EC53CE" w:rsidRPr="00A13740" w:rsidRDefault="00EC53CE" w:rsidP="00EC53CE">
      <w:pPr>
        <w:widowControl w:val="0"/>
        <w:spacing w:after="240"/>
        <w:rPr>
          <w:lang w:val="fr-FR"/>
        </w:rPr>
      </w:pPr>
      <w:r w:rsidRPr="00A13740">
        <w:rPr>
          <w:b/>
          <w:lang w:val="fr-FR"/>
        </w:rPr>
        <w:t xml:space="preserve">RECOMMANDATION </w:t>
      </w:r>
    </w:p>
    <w:p w:rsidR="00EC53CE" w:rsidRPr="00A13740" w:rsidRDefault="00EC53CE" w:rsidP="00EC53CE">
      <w:pPr>
        <w:pStyle w:val="Heading1"/>
        <w:widowControl w:val="0"/>
        <w:rPr>
          <w:lang w:val="fr-FR"/>
        </w:rPr>
      </w:pPr>
      <w:r w:rsidRPr="00A13740">
        <w:rPr>
          <w:lang w:val="fr-FR"/>
        </w:rPr>
        <w:t xml:space="preserve">Le Secrétariat du Fonds recommande au Comité exécutif de : </w:t>
      </w:r>
    </w:p>
    <w:p w:rsidR="00EC53CE" w:rsidRPr="00A13740" w:rsidRDefault="00C15A00" w:rsidP="00EC53CE">
      <w:pPr>
        <w:pStyle w:val="Heading2"/>
        <w:numPr>
          <w:ilvl w:val="1"/>
          <w:numId w:val="1"/>
        </w:numPr>
        <w:rPr>
          <w:lang w:val="fr-FR"/>
        </w:rPr>
      </w:pPr>
      <w:r>
        <w:rPr>
          <w:lang w:val="fr-FR"/>
        </w:rPr>
        <w:t>P</w:t>
      </w:r>
      <w:r w:rsidR="00EC53CE" w:rsidRPr="00A13740">
        <w:rPr>
          <w:lang w:val="fr-FR"/>
        </w:rPr>
        <w:t>rendre note du rapport périodique concernant la mise en œuvre de la deuxième tranche de la phase I du plan de gestion de l'élimination des HCFC pour la Tunisie et de l'engagement pris par le Gouvernement tunisien de contrôler strictement l'importation de HCFC-141b utilisé comme solvant ;</w:t>
      </w:r>
      <w:r>
        <w:rPr>
          <w:lang w:val="fr-FR"/>
        </w:rPr>
        <w:t xml:space="preserve"> et</w:t>
      </w:r>
    </w:p>
    <w:p w:rsidR="00EC53CE" w:rsidRPr="00A13740" w:rsidRDefault="00C15A00" w:rsidP="00EC53CE">
      <w:pPr>
        <w:pStyle w:val="Heading2"/>
        <w:numPr>
          <w:ilvl w:val="1"/>
          <w:numId w:val="1"/>
        </w:numPr>
        <w:rPr>
          <w:lang w:val="fr-FR"/>
        </w:rPr>
      </w:pPr>
      <w:r>
        <w:rPr>
          <w:lang w:val="fr-FR"/>
        </w:rPr>
        <w:t>D</w:t>
      </w:r>
      <w:r w:rsidR="00EC53CE" w:rsidRPr="00A13740">
        <w:rPr>
          <w:lang w:val="fr-FR"/>
        </w:rPr>
        <w:t>emander au Gouvernement de la Tunisie, à l’ONUDI, au PNUE et au Gouvernement de la France de présenter chaque année des rapports périodiques portant sur la mise en œuvre du programme de travail associé à la dernière tranche, jusqu’à l’achèvement du projet, des rapports de vérification jusqu’à l’approbation de la phase II du PGEH, et le rapport d’achèvement du projet à la deuxième réunion tenue par le Comité exécutif en 2021.</w:t>
      </w:r>
    </w:p>
    <w:p w:rsidR="00EC53CE" w:rsidRPr="00A13740" w:rsidRDefault="00EC53CE" w:rsidP="00EC53CE">
      <w:pPr>
        <w:pStyle w:val="Heading1"/>
        <w:rPr>
          <w:lang w:val="fr-FR"/>
        </w:rPr>
      </w:pPr>
      <w:r w:rsidRPr="00A13740">
        <w:rPr>
          <w:lang w:val="fr-FR"/>
        </w:rPr>
        <w:t>Le Secrétariat du Fonds recommande en outre l’approbation globale de la troisième et dernière tranche de la phase I du PGEH pour la Tunisie, ainsi que du plan de mise en œuvre de la tranche 2020correspondant, à un niveau de financement figurant au tableau ci-après :</w:t>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53"/>
        <w:gridCol w:w="4320"/>
        <w:gridCol w:w="1620"/>
        <w:gridCol w:w="1380"/>
        <w:gridCol w:w="1387"/>
      </w:tblGrid>
      <w:tr w:rsidR="00EC53CE" w:rsidRPr="00A13740" w:rsidTr="00C15A00">
        <w:tc>
          <w:tcPr>
            <w:tcW w:w="653" w:type="dxa"/>
          </w:tcPr>
          <w:p w:rsidR="00EC53CE" w:rsidRPr="00A13740" w:rsidRDefault="00EC53CE" w:rsidP="00BB7784">
            <w:pPr>
              <w:jc w:val="center"/>
              <w:rPr>
                <w:b/>
                <w:bCs/>
                <w:sz w:val="21"/>
                <w:szCs w:val="21"/>
                <w:lang w:val="fr-FR"/>
              </w:rPr>
            </w:pPr>
          </w:p>
        </w:tc>
        <w:tc>
          <w:tcPr>
            <w:tcW w:w="4320" w:type="dxa"/>
            <w:vAlign w:val="center"/>
          </w:tcPr>
          <w:p w:rsidR="00EC53CE" w:rsidRPr="00A13740" w:rsidRDefault="00EC53CE" w:rsidP="00BB7784">
            <w:pPr>
              <w:jc w:val="left"/>
              <w:rPr>
                <w:b/>
                <w:bCs/>
                <w:sz w:val="21"/>
                <w:szCs w:val="21"/>
                <w:lang w:val="fr-FR"/>
              </w:rPr>
            </w:pPr>
            <w:r w:rsidRPr="00A13740">
              <w:rPr>
                <w:b/>
                <w:bCs/>
                <w:sz w:val="21"/>
                <w:szCs w:val="21"/>
                <w:lang w:val="fr-FR"/>
              </w:rPr>
              <w:t>Titre du projet</w:t>
            </w:r>
          </w:p>
        </w:tc>
        <w:tc>
          <w:tcPr>
            <w:tcW w:w="1620" w:type="dxa"/>
            <w:tcMar>
              <w:left w:w="29" w:type="dxa"/>
              <w:right w:w="29" w:type="dxa"/>
            </w:tcMar>
          </w:tcPr>
          <w:p w:rsidR="00EC53CE" w:rsidRPr="00A13740" w:rsidRDefault="00EC53CE" w:rsidP="00BB7784">
            <w:pPr>
              <w:jc w:val="center"/>
              <w:rPr>
                <w:b/>
                <w:bCs/>
                <w:sz w:val="21"/>
                <w:szCs w:val="21"/>
                <w:lang w:val="fr-FR"/>
              </w:rPr>
            </w:pPr>
            <w:r w:rsidRPr="00A13740">
              <w:rPr>
                <w:b/>
                <w:bCs/>
                <w:sz w:val="21"/>
                <w:szCs w:val="21"/>
                <w:lang w:val="fr-FR"/>
              </w:rPr>
              <w:t>Financement du projet ($ US)</w:t>
            </w:r>
          </w:p>
        </w:tc>
        <w:tc>
          <w:tcPr>
            <w:tcW w:w="1380" w:type="dxa"/>
            <w:tcMar>
              <w:left w:w="29" w:type="dxa"/>
              <w:right w:w="29" w:type="dxa"/>
            </w:tcMar>
          </w:tcPr>
          <w:p w:rsidR="00EC53CE" w:rsidRPr="00A13740" w:rsidRDefault="00EC53CE" w:rsidP="00BB7784">
            <w:pPr>
              <w:jc w:val="center"/>
              <w:rPr>
                <w:b/>
                <w:bCs/>
                <w:sz w:val="21"/>
                <w:szCs w:val="21"/>
                <w:lang w:val="fr-FR"/>
              </w:rPr>
            </w:pPr>
            <w:r w:rsidRPr="00A13740">
              <w:rPr>
                <w:b/>
                <w:bCs/>
                <w:sz w:val="21"/>
                <w:szCs w:val="21"/>
                <w:lang w:val="fr-FR"/>
              </w:rPr>
              <w:t>Coûts d’appui ($ US)</w:t>
            </w:r>
          </w:p>
        </w:tc>
        <w:tc>
          <w:tcPr>
            <w:tcW w:w="1387" w:type="dxa"/>
            <w:tcMar>
              <w:left w:w="29" w:type="dxa"/>
              <w:right w:w="29" w:type="dxa"/>
            </w:tcMar>
          </w:tcPr>
          <w:p w:rsidR="00EC53CE" w:rsidRPr="00A13740" w:rsidRDefault="00EC53CE" w:rsidP="00BB7784">
            <w:pPr>
              <w:jc w:val="center"/>
              <w:rPr>
                <w:b/>
                <w:bCs/>
                <w:sz w:val="21"/>
                <w:szCs w:val="21"/>
                <w:lang w:val="fr-FR"/>
              </w:rPr>
            </w:pPr>
            <w:r w:rsidRPr="00A13740">
              <w:rPr>
                <w:b/>
                <w:bCs/>
                <w:sz w:val="21"/>
                <w:szCs w:val="21"/>
                <w:lang w:val="fr-FR"/>
              </w:rPr>
              <w:t>Agence d’exécution</w:t>
            </w:r>
          </w:p>
        </w:tc>
      </w:tr>
      <w:tr w:rsidR="00EC53CE" w:rsidRPr="00A13740" w:rsidTr="00C15A00">
        <w:tc>
          <w:tcPr>
            <w:tcW w:w="653" w:type="dxa"/>
          </w:tcPr>
          <w:p w:rsidR="00EC53CE" w:rsidRPr="00A13740" w:rsidRDefault="00EC53CE" w:rsidP="00BB7784">
            <w:pPr>
              <w:rPr>
                <w:sz w:val="21"/>
                <w:szCs w:val="21"/>
                <w:lang w:val="fr-FR"/>
              </w:rPr>
            </w:pPr>
            <w:r w:rsidRPr="00A13740">
              <w:rPr>
                <w:sz w:val="21"/>
                <w:szCs w:val="21"/>
                <w:lang w:val="fr-FR"/>
              </w:rPr>
              <w:t>(a)</w:t>
            </w:r>
          </w:p>
        </w:tc>
        <w:tc>
          <w:tcPr>
            <w:tcW w:w="4320" w:type="dxa"/>
          </w:tcPr>
          <w:p w:rsidR="00EC53CE" w:rsidRPr="00A13740" w:rsidRDefault="00EC53CE" w:rsidP="00BB7784">
            <w:pPr>
              <w:jc w:val="left"/>
              <w:rPr>
                <w:sz w:val="21"/>
                <w:szCs w:val="21"/>
                <w:lang w:val="fr-FR"/>
              </w:rPr>
            </w:pPr>
            <w:r w:rsidRPr="00A13740">
              <w:rPr>
                <w:sz w:val="21"/>
                <w:szCs w:val="21"/>
                <w:lang w:val="fr-FR"/>
              </w:rPr>
              <w:t>Plan de gestion de l’élimination des HCFC (phase I, deuxième tranche)</w:t>
            </w:r>
          </w:p>
        </w:tc>
        <w:tc>
          <w:tcPr>
            <w:tcW w:w="1620" w:type="dxa"/>
          </w:tcPr>
          <w:p w:rsidR="00EC53CE" w:rsidRPr="00A13740" w:rsidRDefault="00EC53CE" w:rsidP="00BB7784">
            <w:pPr>
              <w:jc w:val="right"/>
              <w:rPr>
                <w:sz w:val="21"/>
                <w:szCs w:val="21"/>
                <w:lang w:val="fr-FR"/>
              </w:rPr>
            </w:pPr>
            <w:r w:rsidRPr="00A13740">
              <w:rPr>
                <w:sz w:val="21"/>
                <w:szCs w:val="21"/>
                <w:lang w:val="fr-FR"/>
              </w:rPr>
              <w:t>57 500</w:t>
            </w:r>
          </w:p>
        </w:tc>
        <w:tc>
          <w:tcPr>
            <w:tcW w:w="1380" w:type="dxa"/>
          </w:tcPr>
          <w:p w:rsidR="00EC53CE" w:rsidRPr="00A13740" w:rsidRDefault="00EC53CE" w:rsidP="00BB7784">
            <w:pPr>
              <w:jc w:val="right"/>
              <w:rPr>
                <w:sz w:val="21"/>
                <w:szCs w:val="21"/>
                <w:lang w:val="fr-FR"/>
              </w:rPr>
            </w:pPr>
            <w:r w:rsidRPr="00A13740">
              <w:rPr>
                <w:sz w:val="21"/>
                <w:szCs w:val="21"/>
                <w:lang w:val="fr-FR"/>
              </w:rPr>
              <w:t>4 025</w:t>
            </w:r>
          </w:p>
        </w:tc>
        <w:tc>
          <w:tcPr>
            <w:tcW w:w="1387" w:type="dxa"/>
          </w:tcPr>
          <w:p w:rsidR="00EC53CE" w:rsidRPr="00A13740" w:rsidRDefault="00EC53CE" w:rsidP="00BB7784">
            <w:pPr>
              <w:jc w:val="right"/>
              <w:rPr>
                <w:sz w:val="21"/>
                <w:szCs w:val="21"/>
                <w:lang w:val="fr-FR"/>
              </w:rPr>
            </w:pPr>
            <w:r w:rsidRPr="00A13740">
              <w:rPr>
                <w:sz w:val="21"/>
                <w:szCs w:val="21"/>
                <w:lang w:val="fr-FR"/>
              </w:rPr>
              <w:t>ONUDI</w:t>
            </w:r>
          </w:p>
        </w:tc>
      </w:tr>
      <w:tr w:rsidR="00EC53CE" w:rsidRPr="00A13740" w:rsidTr="00C15A00">
        <w:tc>
          <w:tcPr>
            <w:tcW w:w="653" w:type="dxa"/>
          </w:tcPr>
          <w:p w:rsidR="00EC53CE" w:rsidRPr="00A13740" w:rsidRDefault="00EC53CE" w:rsidP="00BB7784">
            <w:pPr>
              <w:rPr>
                <w:sz w:val="21"/>
                <w:szCs w:val="21"/>
                <w:lang w:val="fr-FR"/>
              </w:rPr>
            </w:pPr>
            <w:r w:rsidRPr="00A13740">
              <w:rPr>
                <w:sz w:val="21"/>
                <w:szCs w:val="21"/>
                <w:lang w:val="fr-FR"/>
              </w:rPr>
              <w:t>(b)</w:t>
            </w:r>
          </w:p>
        </w:tc>
        <w:tc>
          <w:tcPr>
            <w:tcW w:w="4320" w:type="dxa"/>
          </w:tcPr>
          <w:p w:rsidR="00EC53CE" w:rsidRPr="00A13740" w:rsidRDefault="00EC53CE" w:rsidP="00BB7784">
            <w:pPr>
              <w:jc w:val="left"/>
              <w:rPr>
                <w:sz w:val="21"/>
                <w:szCs w:val="21"/>
                <w:lang w:val="fr-FR"/>
              </w:rPr>
            </w:pPr>
            <w:r w:rsidRPr="00A13740">
              <w:rPr>
                <w:sz w:val="21"/>
                <w:szCs w:val="21"/>
                <w:lang w:val="fr-FR"/>
              </w:rPr>
              <w:t>Plan de gestion de l’élimination des HCFC (phase I, deuxième tranche)</w:t>
            </w:r>
          </w:p>
        </w:tc>
        <w:tc>
          <w:tcPr>
            <w:tcW w:w="1620" w:type="dxa"/>
          </w:tcPr>
          <w:p w:rsidR="00EC53CE" w:rsidRPr="00A13740" w:rsidRDefault="00EC53CE" w:rsidP="00BB7784">
            <w:pPr>
              <w:jc w:val="right"/>
              <w:rPr>
                <w:sz w:val="21"/>
                <w:szCs w:val="21"/>
                <w:lang w:val="fr-FR"/>
              </w:rPr>
            </w:pPr>
            <w:r w:rsidRPr="00A13740">
              <w:rPr>
                <w:sz w:val="21"/>
                <w:szCs w:val="21"/>
                <w:lang w:val="fr-FR"/>
              </w:rPr>
              <w:t>15 000</w:t>
            </w:r>
          </w:p>
        </w:tc>
        <w:tc>
          <w:tcPr>
            <w:tcW w:w="1380" w:type="dxa"/>
          </w:tcPr>
          <w:p w:rsidR="00EC53CE" w:rsidRPr="00A13740" w:rsidRDefault="00EC53CE" w:rsidP="00BB7784">
            <w:pPr>
              <w:jc w:val="right"/>
              <w:rPr>
                <w:sz w:val="21"/>
                <w:szCs w:val="21"/>
                <w:lang w:val="fr-FR"/>
              </w:rPr>
            </w:pPr>
            <w:r w:rsidRPr="00A13740">
              <w:rPr>
                <w:sz w:val="21"/>
                <w:szCs w:val="21"/>
                <w:lang w:val="fr-FR"/>
              </w:rPr>
              <w:t>1 950</w:t>
            </w:r>
          </w:p>
        </w:tc>
        <w:tc>
          <w:tcPr>
            <w:tcW w:w="1387" w:type="dxa"/>
          </w:tcPr>
          <w:p w:rsidR="00EC53CE" w:rsidRPr="00A13740" w:rsidRDefault="00EC53CE" w:rsidP="00BB7784">
            <w:pPr>
              <w:jc w:val="right"/>
              <w:rPr>
                <w:sz w:val="21"/>
                <w:szCs w:val="21"/>
                <w:lang w:val="fr-FR"/>
              </w:rPr>
            </w:pPr>
            <w:r w:rsidRPr="00A13740">
              <w:rPr>
                <w:sz w:val="21"/>
                <w:szCs w:val="21"/>
                <w:lang w:val="fr-FR"/>
              </w:rPr>
              <w:t>PNUE</w:t>
            </w:r>
          </w:p>
        </w:tc>
      </w:tr>
      <w:tr w:rsidR="00EC53CE" w:rsidRPr="00A13740" w:rsidTr="00C15A00">
        <w:tc>
          <w:tcPr>
            <w:tcW w:w="653" w:type="dxa"/>
          </w:tcPr>
          <w:p w:rsidR="00EC53CE" w:rsidRPr="00A13740" w:rsidRDefault="00EC53CE" w:rsidP="00BB7784">
            <w:pPr>
              <w:rPr>
                <w:sz w:val="21"/>
                <w:szCs w:val="21"/>
                <w:lang w:val="fr-FR"/>
              </w:rPr>
            </w:pPr>
            <w:r w:rsidRPr="00A13740">
              <w:rPr>
                <w:sz w:val="21"/>
                <w:szCs w:val="21"/>
                <w:lang w:val="fr-FR"/>
              </w:rPr>
              <w:t>(c)</w:t>
            </w:r>
          </w:p>
        </w:tc>
        <w:tc>
          <w:tcPr>
            <w:tcW w:w="4320" w:type="dxa"/>
          </w:tcPr>
          <w:p w:rsidR="00EC53CE" w:rsidRPr="00A13740" w:rsidRDefault="00EC53CE" w:rsidP="00BB7784">
            <w:pPr>
              <w:jc w:val="left"/>
              <w:rPr>
                <w:sz w:val="21"/>
                <w:szCs w:val="21"/>
                <w:lang w:val="fr-FR"/>
              </w:rPr>
            </w:pPr>
            <w:r w:rsidRPr="00A13740">
              <w:rPr>
                <w:sz w:val="21"/>
                <w:szCs w:val="21"/>
                <w:lang w:val="fr-FR"/>
              </w:rPr>
              <w:t>Plan de gestion de l’élimination des HCFC (phase I, deuxième tranche)</w:t>
            </w:r>
          </w:p>
        </w:tc>
        <w:tc>
          <w:tcPr>
            <w:tcW w:w="1620" w:type="dxa"/>
          </w:tcPr>
          <w:p w:rsidR="00EC53CE" w:rsidRPr="00A13740" w:rsidRDefault="00EC53CE" w:rsidP="00BB7784">
            <w:pPr>
              <w:jc w:val="right"/>
              <w:rPr>
                <w:sz w:val="21"/>
                <w:szCs w:val="21"/>
                <w:lang w:val="fr-FR"/>
              </w:rPr>
            </w:pPr>
            <w:r w:rsidRPr="00A13740">
              <w:rPr>
                <w:sz w:val="21"/>
                <w:szCs w:val="21"/>
                <w:lang w:val="fr-FR"/>
              </w:rPr>
              <w:t>19 000</w:t>
            </w:r>
          </w:p>
        </w:tc>
        <w:tc>
          <w:tcPr>
            <w:tcW w:w="1380" w:type="dxa"/>
          </w:tcPr>
          <w:p w:rsidR="00EC53CE" w:rsidRPr="00A13740" w:rsidRDefault="00EC53CE" w:rsidP="00BB7784">
            <w:pPr>
              <w:jc w:val="right"/>
              <w:rPr>
                <w:sz w:val="21"/>
                <w:szCs w:val="21"/>
                <w:lang w:val="fr-FR"/>
              </w:rPr>
            </w:pPr>
            <w:r w:rsidRPr="00A13740">
              <w:rPr>
                <w:sz w:val="21"/>
                <w:szCs w:val="21"/>
                <w:lang w:val="fr-FR"/>
              </w:rPr>
              <w:t>2 470</w:t>
            </w:r>
          </w:p>
        </w:tc>
        <w:tc>
          <w:tcPr>
            <w:tcW w:w="1387" w:type="dxa"/>
          </w:tcPr>
          <w:p w:rsidR="00EC53CE" w:rsidRPr="00A13740" w:rsidRDefault="00EC53CE" w:rsidP="00BB7784">
            <w:pPr>
              <w:jc w:val="right"/>
              <w:rPr>
                <w:sz w:val="21"/>
                <w:szCs w:val="21"/>
                <w:lang w:val="fr-FR"/>
              </w:rPr>
            </w:pPr>
            <w:r w:rsidRPr="00A13740">
              <w:rPr>
                <w:sz w:val="21"/>
                <w:szCs w:val="21"/>
                <w:lang w:val="fr-FR"/>
              </w:rPr>
              <w:t>France</w:t>
            </w:r>
          </w:p>
        </w:tc>
      </w:tr>
    </w:tbl>
    <w:p w:rsidR="00EC53CE" w:rsidRPr="00A13740" w:rsidRDefault="00EC53CE" w:rsidP="00EC53CE">
      <w:pPr>
        <w:pStyle w:val="Title1"/>
        <w:rPr>
          <w:lang w:val="fr-FR"/>
        </w:rPr>
      </w:pPr>
    </w:p>
    <w:p w:rsidR="00EC53CE" w:rsidRPr="00A13740" w:rsidRDefault="00EC53CE" w:rsidP="00EC53CE">
      <w:pPr>
        <w:pStyle w:val="Title1"/>
        <w:rPr>
          <w:lang w:val="fr-FR"/>
        </w:rPr>
      </w:pPr>
      <w:r w:rsidRPr="00A13740">
        <w:rPr>
          <w:lang w:val="fr-FR"/>
        </w:rPr>
        <w:br w:type="page"/>
      </w:r>
    </w:p>
    <w:p w:rsidR="00EC53CE" w:rsidRPr="00A13740" w:rsidRDefault="00EC53CE" w:rsidP="00E34727">
      <w:pPr>
        <w:jc w:val="center"/>
        <w:rPr>
          <w:color w:val="000000" w:themeColor="text1"/>
          <w:sz w:val="16"/>
          <w:szCs w:val="17"/>
          <w:lang w:val="fr-FR"/>
        </w:rPr>
      </w:pPr>
      <w:r w:rsidRPr="00A13740">
        <w:rPr>
          <w:b/>
          <w:color w:val="000000" w:themeColor="text1"/>
          <w:lang w:val="fr-FR"/>
        </w:rPr>
        <w:lastRenderedPageBreak/>
        <w:t>FICHE D’ÉVALUATION DU PROJET – PROJETS PLURIANNUELS</w:t>
      </w:r>
    </w:p>
    <w:p w:rsidR="00EC53CE" w:rsidRPr="00A13740" w:rsidRDefault="00EC53CE" w:rsidP="00E34727">
      <w:pPr>
        <w:tabs>
          <w:tab w:val="left" w:pos="8280"/>
        </w:tabs>
        <w:jc w:val="center"/>
        <w:rPr>
          <w:sz w:val="16"/>
          <w:szCs w:val="17"/>
          <w:lang w:val="fr-FR"/>
        </w:rPr>
      </w:pPr>
      <w:r w:rsidRPr="00A13740">
        <w:rPr>
          <w:b/>
          <w:lang w:val="fr-FR"/>
        </w:rPr>
        <w:t>Tunisie</w:t>
      </w:r>
    </w:p>
    <w:tbl>
      <w:tblPr>
        <w:tblStyle w:val="TableGrid"/>
        <w:tblW w:w="5458" w:type="pct"/>
        <w:tblInd w:w="-431" w:type="dxa"/>
        <w:tblLook w:val="04A0" w:firstRow="1" w:lastRow="0" w:firstColumn="1" w:lastColumn="0" w:noHBand="0" w:noVBand="1"/>
      </w:tblPr>
      <w:tblGrid>
        <w:gridCol w:w="5105"/>
        <w:gridCol w:w="5101"/>
      </w:tblGrid>
      <w:tr w:rsidR="00EC53CE" w:rsidRPr="00A13740" w:rsidTr="00E34727">
        <w:trPr>
          <w:trHeight w:val="240"/>
        </w:trPr>
        <w:tc>
          <w:tcPr>
            <w:tcW w:w="2501" w:type="pct"/>
            <w:shd w:val="clear" w:color="auto" w:fill="auto"/>
          </w:tcPr>
          <w:p w:rsidR="00EC53CE" w:rsidRPr="00A13740" w:rsidRDefault="00EC53CE" w:rsidP="00BB7784">
            <w:pPr>
              <w:jc w:val="left"/>
              <w:rPr>
                <w:b/>
                <w:color w:val="000000" w:themeColor="text1"/>
                <w:sz w:val="17"/>
                <w:szCs w:val="17"/>
                <w:lang w:val="fr-FR"/>
              </w:rPr>
            </w:pPr>
            <w:r w:rsidRPr="00A13740">
              <w:rPr>
                <w:b/>
                <w:color w:val="000000" w:themeColor="text1"/>
                <w:sz w:val="17"/>
                <w:szCs w:val="17"/>
                <w:lang w:val="fr-FR"/>
              </w:rPr>
              <w:t>(I) TITRE DU PROJET</w:t>
            </w:r>
          </w:p>
        </w:tc>
        <w:tc>
          <w:tcPr>
            <w:tcW w:w="2499" w:type="pct"/>
            <w:shd w:val="clear" w:color="auto" w:fill="auto"/>
          </w:tcPr>
          <w:p w:rsidR="00EC53CE" w:rsidRPr="00A13740" w:rsidRDefault="00EC53CE" w:rsidP="00BB7784">
            <w:pPr>
              <w:jc w:val="center"/>
              <w:rPr>
                <w:b/>
                <w:color w:val="000000" w:themeColor="text1"/>
                <w:sz w:val="17"/>
                <w:szCs w:val="17"/>
                <w:lang w:val="fr-FR"/>
              </w:rPr>
            </w:pPr>
            <w:r w:rsidRPr="00A13740">
              <w:rPr>
                <w:b/>
                <w:color w:val="000000" w:themeColor="text1"/>
                <w:sz w:val="17"/>
                <w:szCs w:val="17"/>
                <w:lang w:val="fr-FR"/>
              </w:rPr>
              <w:t>AGENCE</w:t>
            </w:r>
          </w:p>
        </w:tc>
      </w:tr>
      <w:tr w:rsidR="00EC53CE" w:rsidRPr="00A13740" w:rsidTr="00E34727">
        <w:trPr>
          <w:trHeight w:val="240"/>
        </w:trPr>
        <w:tc>
          <w:tcPr>
            <w:tcW w:w="2501" w:type="pct"/>
            <w:shd w:val="clear" w:color="auto" w:fill="auto"/>
          </w:tcPr>
          <w:p w:rsidR="00EC53CE" w:rsidRPr="00A13740" w:rsidRDefault="00EC53CE" w:rsidP="00BB7784">
            <w:pPr>
              <w:jc w:val="center"/>
              <w:rPr>
                <w:color w:val="000000" w:themeColor="text1"/>
                <w:sz w:val="17"/>
                <w:szCs w:val="17"/>
                <w:lang w:val="fr-FR"/>
              </w:rPr>
            </w:pPr>
            <w:r w:rsidRPr="00A13740">
              <w:rPr>
                <w:color w:val="000000" w:themeColor="text1"/>
                <w:sz w:val="17"/>
                <w:szCs w:val="17"/>
                <w:lang w:val="fr-FR"/>
              </w:rPr>
              <w:t>Plan de l’élimination des HCFC (phase II)</w:t>
            </w:r>
          </w:p>
        </w:tc>
        <w:tc>
          <w:tcPr>
            <w:tcW w:w="2499" w:type="pct"/>
            <w:shd w:val="clear" w:color="auto" w:fill="auto"/>
          </w:tcPr>
          <w:p w:rsidR="00EC53CE" w:rsidRPr="00A13740" w:rsidRDefault="00EC53CE" w:rsidP="00BB7784">
            <w:pPr>
              <w:jc w:val="center"/>
              <w:rPr>
                <w:color w:val="000000" w:themeColor="text1"/>
                <w:sz w:val="17"/>
                <w:szCs w:val="17"/>
                <w:lang w:val="fr-FR"/>
              </w:rPr>
            </w:pPr>
            <w:r w:rsidRPr="00A13740">
              <w:rPr>
                <w:color w:val="000000" w:themeColor="text1"/>
                <w:sz w:val="17"/>
                <w:szCs w:val="17"/>
                <w:lang w:val="fr-FR"/>
              </w:rPr>
              <w:t>ONUDI (agence principale), PNUE</w:t>
            </w:r>
          </w:p>
        </w:tc>
      </w:tr>
    </w:tbl>
    <w:p w:rsidR="00EC53CE" w:rsidRPr="00A13740" w:rsidRDefault="00EC53CE" w:rsidP="00E34727">
      <w:pPr>
        <w:spacing w:line="80" w:lineRule="exact"/>
        <w:jc w:val="center"/>
        <w:rPr>
          <w:color w:val="000000" w:themeColor="text1"/>
          <w:sz w:val="16"/>
          <w:szCs w:val="16"/>
          <w:lang w:val="fr-FR"/>
        </w:rPr>
      </w:pPr>
    </w:p>
    <w:tbl>
      <w:tblPr>
        <w:tblStyle w:val="TableGrid"/>
        <w:tblW w:w="5458" w:type="pct"/>
        <w:tblInd w:w="-431" w:type="dxa"/>
        <w:tblLook w:val="04A0" w:firstRow="1" w:lastRow="0" w:firstColumn="1" w:lastColumn="0" w:noHBand="0" w:noVBand="1"/>
      </w:tblPr>
      <w:tblGrid>
        <w:gridCol w:w="7514"/>
        <w:gridCol w:w="992"/>
        <w:gridCol w:w="1700"/>
      </w:tblGrid>
      <w:tr w:rsidR="00EC53CE" w:rsidRPr="00A13740" w:rsidTr="00E34727">
        <w:trPr>
          <w:trHeight w:val="240"/>
        </w:trPr>
        <w:tc>
          <w:tcPr>
            <w:tcW w:w="3681" w:type="pct"/>
            <w:shd w:val="clear" w:color="auto" w:fill="auto"/>
          </w:tcPr>
          <w:p w:rsidR="00EC53CE" w:rsidRPr="00A13740" w:rsidRDefault="00EC53CE" w:rsidP="00BB7784">
            <w:pPr>
              <w:jc w:val="left"/>
              <w:rPr>
                <w:b/>
                <w:color w:val="000000" w:themeColor="text1"/>
                <w:sz w:val="17"/>
                <w:szCs w:val="17"/>
                <w:lang w:val="fr-FR"/>
              </w:rPr>
            </w:pPr>
            <w:r w:rsidRPr="00E34727">
              <w:rPr>
                <w:b/>
                <w:color w:val="000000" w:themeColor="text1"/>
                <w:sz w:val="16"/>
                <w:szCs w:val="16"/>
                <w:lang w:val="fr-FR"/>
              </w:rPr>
              <w:t>(II) DERNIÈRES DONNÉES COMMUNIQUÉES EN VERTU DE L’ARTICLE 7 (Annexe C Groupe l)</w:t>
            </w:r>
          </w:p>
        </w:tc>
        <w:tc>
          <w:tcPr>
            <w:tcW w:w="486" w:type="pct"/>
            <w:shd w:val="clear" w:color="auto" w:fill="auto"/>
          </w:tcPr>
          <w:p w:rsidR="00EC53CE" w:rsidRPr="00A13740" w:rsidRDefault="00EC53CE" w:rsidP="00E34727">
            <w:pPr>
              <w:jc w:val="center"/>
              <w:rPr>
                <w:color w:val="000000" w:themeColor="text1"/>
                <w:sz w:val="17"/>
                <w:szCs w:val="17"/>
                <w:lang w:val="fr-FR"/>
              </w:rPr>
            </w:pPr>
            <w:r w:rsidRPr="00A13740">
              <w:rPr>
                <w:color w:val="000000" w:themeColor="text1"/>
                <w:sz w:val="17"/>
                <w:szCs w:val="17"/>
                <w:lang w:val="fr-FR"/>
              </w:rPr>
              <w:t>An : 2018</w:t>
            </w:r>
          </w:p>
        </w:tc>
        <w:tc>
          <w:tcPr>
            <w:tcW w:w="833" w:type="pct"/>
            <w:shd w:val="clear" w:color="auto" w:fill="auto"/>
          </w:tcPr>
          <w:p w:rsidR="00EC53CE" w:rsidRPr="00A13740" w:rsidRDefault="00EC53CE" w:rsidP="00BB7784">
            <w:pPr>
              <w:jc w:val="right"/>
              <w:rPr>
                <w:color w:val="000000" w:themeColor="text1"/>
                <w:sz w:val="17"/>
                <w:szCs w:val="17"/>
                <w:lang w:val="fr-FR"/>
              </w:rPr>
            </w:pPr>
            <w:r w:rsidRPr="00A13740">
              <w:rPr>
                <w:color w:val="000000" w:themeColor="text1"/>
                <w:sz w:val="17"/>
                <w:szCs w:val="17"/>
                <w:lang w:val="fr-FR"/>
              </w:rPr>
              <w:t>25,91 (tonnes PAO)</w:t>
            </w:r>
          </w:p>
        </w:tc>
      </w:tr>
    </w:tbl>
    <w:p w:rsidR="00EC53CE" w:rsidRPr="00A13740" w:rsidRDefault="00EC53CE" w:rsidP="00EC53CE">
      <w:pPr>
        <w:spacing w:after="60"/>
        <w:jc w:val="center"/>
        <w:rPr>
          <w:color w:val="000000" w:themeColor="text1"/>
          <w:sz w:val="16"/>
          <w:szCs w:val="16"/>
          <w:lang w:val="fr-FR"/>
        </w:rPr>
      </w:pPr>
    </w:p>
    <w:tbl>
      <w:tblPr>
        <w:tblStyle w:val="TableGrid"/>
        <w:tblW w:w="5458" w:type="pct"/>
        <w:tblInd w:w="-431" w:type="dxa"/>
        <w:tblLook w:val="04A0" w:firstRow="1" w:lastRow="0" w:firstColumn="1" w:lastColumn="0" w:noHBand="0" w:noVBand="1"/>
      </w:tblPr>
      <w:tblGrid>
        <w:gridCol w:w="1505"/>
        <w:gridCol w:w="821"/>
        <w:gridCol w:w="812"/>
        <w:gridCol w:w="896"/>
        <w:gridCol w:w="991"/>
        <w:gridCol w:w="841"/>
        <w:gridCol w:w="802"/>
        <w:gridCol w:w="1217"/>
        <w:gridCol w:w="953"/>
        <w:gridCol w:w="1368"/>
      </w:tblGrid>
      <w:tr w:rsidR="00EC53CE" w:rsidRPr="00A13740" w:rsidTr="00E34727">
        <w:trPr>
          <w:trHeight w:val="240"/>
        </w:trPr>
        <w:tc>
          <w:tcPr>
            <w:tcW w:w="3863" w:type="pct"/>
            <w:gridSpan w:val="8"/>
            <w:shd w:val="clear" w:color="auto" w:fill="auto"/>
          </w:tcPr>
          <w:p w:rsidR="00EC53CE" w:rsidRPr="00A13740" w:rsidRDefault="00EC53CE" w:rsidP="00BB7784">
            <w:pPr>
              <w:jc w:val="left"/>
              <w:rPr>
                <w:b/>
                <w:color w:val="000000" w:themeColor="text1"/>
                <w:sz w:val="17"/>
                <w:szCs w:val="17"/>
                <w:lang w:val="fr-FR"/>
              </w:rPr>
            </w:pPr>
            <w:r w:rsidRPr="00A13740">
              <w:rPr>
                <w:b/>
                <w:color w:val="000000" w:themeColor="text1"/>
                <w:sz w:val="17"/>
                <w:szCs w:val="17"/>
                <w:lang w:val="fr-FR"/>
              </w:rPr>
              <w:t>(III) DERNIÈRES DONNÉES SECTORIELLES DU PROGRAMME DE PAYS (tonnes PAO)</w:t>
            </w:r>
          </w:p>
        </w:tc>
        <w:tc>
          <w:tcPr>
            <w:tcW w:w="1137" w:type="pct"/>
            <w:gridSpan w:val="2"/>
            <w:shd w:val="clear" w:color="auto" w:fill="auto"/>
          </w:tcPr>
          <w:p w:rsidR="00EC53CE" w:rsidRPr="00A13740" w:rsidRDefault="00EC53CE" w:rsidP="00BB7784">
            <w:pPr>
              <w:jc w:val="right"/>
              <w:rPr>
                <w:b/>
                <w:color w:val="000000" w:themeColor="text1"/>
                <w:sz w:val="17"/>
                <w:szCs w:val="17"/>
                <w:lang w:val="fr-FR"/>
              </w:rPr>
            </w:pPr>
            <w:r w:rsidRPr="00A13740">
              <w:rPr>
                <w:b/>
                <w:color w:val="000000" w:themeColor="text1"/>
                <w:sz w:val="17"/>
                <w:szCs w:val="17"/>
                <w:lang w:val="fr-FR"/>
              </w:rPr>
              <w:t>Année : 2018</w:t>
            </w:r>
          </w:p>
        </w:tc>
      </w:tr>
      <w:tr w:rsidR="00EC53CE" w:rsidRPr="00A13740" w:rsidTr="00E34727">
        <w:trPr>
          <w:trHeight w:val="240"/>
        </w:trPr>
        <w:tc>
          <w:tcPr>
            <w:tcW w:w="738" w:type="pct"/>
            <w:shd w:val="clear" w:color="auto" w:fill="auto"/>
          </w:tcPr>
          <w:p w:rsidR="00EC53CE" w:rsidRPr="00A13740" w:rsidRDefault="00EC53CE" w:rsidP="00BB7784">
            <w:pPr>
              <w:jc w:val="center"/>
              <w:rPr>
                <w:color w:val="000000" w:themeColor="text1"/>
                <w:sz w:val="17"/>
                <w:szCs w:val="17"/>
                <w:lang w:val="fr-FR"/>
              </w:rPr>
            </w:pPr>
            <w:r w:rsidRPr="00A13740">
              <w:rPr>
                <w:color w:val="000000" w:themeColor="text1"/>
                <w:sz w:val="17"/>
                <w:szCs w:val="17"/>
                <w:lang w:val="fr-FR"/>
              </w:rPr>
              <w:t>Produits chimiques</w:t>
            </w:r>
          </w:p>
        </w:tc>
        <w:tc>
          <w:tcPr>
            <w:tcW w:w="402" w:type="pct"/>
            <w:shd w:val="clear" w:color="auto" w:fill="auto"/>
          </w:tcPr>
          <w:p w:rsidR="00EC53CE" w:rsidRPr="00A13740" w:rsidRDefault="00EC53CE" w:rsidP="00BB7784">
            <w:pPr>
              <w:jc w:val="center"/>
              <w:rPr>
                <w:color w:val="000000" w:themeColor="text1"/>
                <w:sz w:val="17"/>
                <w:szCs w:val="17"/>
                <w:lang w:val="fr-FR"/>
              </w:rPr>
            </w:pPr>
            <w:r w:rsidRPr="00A13740">
              <w:rPr>
                <w:color w:val="000000" w:themeColor="text1"/>
                <w:sz w:val="17"/>
                <w:szCs w:val="17"/>
                <w:lang w:val="fr-FR"/>
              </w:rPr>
              <w:t>Aérosols</w:t>
            </w:r>
          </w:p>
        </w:tc>
        <w:tc>
          <w:tcPr>
            <w:tcW w:w="398" w:type="pct"/>
            <w:shd w:val="clear" w:color="auto" w:fill="auto"/>
          </w:tcPr>
          <w:p w:rsidR="00EC53CE" w:rsidRPr="00A13740" w:rsidRDefault="00EC53CE" w:rsidP="00BB7784">
            <w:pPr>
              <w:jc w:val="center"/>
              <w:rPr>
                <w:color w:val="000000" w:themeColor="text1"/>
                <w:sz w:val="17"/>
                <w:szCs w:val="17"/>
                <w:lang w:val="fr-FR"/>
              </w:rPr>
            </w:pPr>
            <w:r w:rsidRPr="00A13740">
              <w:rPr>
                <w:color w:val="000000" w:themeColor="text1"/>
                <w:sz w:val="17"/>
                <w:szCs w:val="17"/>
                <w:lang w:val="fr-FR"/>
              </w:rPr>
              <w:t>Mousses</w:t>
            </w:r>
          </w:p>
        </w:tc>
        <w:tc>
          <w:tcPr>
            <w:tcW w:w="439" w:type="pct"/>
            <w:shd w:val="clear" w:color="auto" w:fill="auto"/>
          </w:tcPr>
          <w:p w:rsidR="00EC53CE" w:rsidRPr="00A13740" w:rsidRDefault="00EC53CE" w:rsidP="00BB7784">
            <w:pPr>
              <w:jc w:val="center"/>
              <w:rPr>
                <w:color w:val="000000" w:themeColor="text1"/>
                <w:sz w:val="17"/>
                <w:szCs w:val="17"/>
                <w:lang w:val="fr-FR"/>
              </w:rPr>
            </w:pPr>
            <w:r w:rsidRPr="00A13740">
              <w:rPr>
                <w:color w:val="000000" w:themeColor="text1"/>
                <w:sz w:val="17"/>
                <w:szCs w:val="17"/>
                <w:lang w:val="fr-FR"/>
              </w:rPr>
              <w:t>Lutte contre l’incendie</w:t>
            </w:r>
          </w:p>
        </w:tc>
        <w:tc>
          <w:tcPr>
            <w:tcW w:w="897" w:type="pct"/>
            <w:gridSpan w:val="2"/>
            <w:shd w:val="clear" w:color="auto" w:fill="auto"/>
          </w:tcPr>
          <w:p w:rsidR="00EC53CE" w:rsidRPr="00A13740" w:rsidRDefault="00EC53CE" w:rsidP="00BB7784">
            <w:pPr>
              <w:jc w:val="center"/>
              <w:rPr>
                <w:color w:val="000000" w:themeColor="text1"/>
                <w:sz w:val="17"/>
                <w:szCs w:val="17"/>
                <w:lang w:val="fr-FR"/>
              </w:rPr>
            </w:pPr>
            <w:r w:rsidRPr="00A13740">
              <w:rPr>
                <w:color w:val="000000" w:themeColor="text1"/>
                <w:sz w:val="17"/>
                <w:szCs w:val="17"/>
                <w:lang w:val="fr-FR"/>
              </w:rPr>
              <w:t>Réfrigération</w:t>
            </w:r>
          </w:p>
        </w:tc>
        <w:tc>
          <w:tcPr>
            <w:tcW w:w="393" w:type="pct"/>
            <w:shd w:val="clear" w:color="auto" w:fill="auto"/>
          </w:tcPr>
          <w:p w:rsidR="00EC53CE" w:rsidRPr="00A13740" w:rsidRDefault="00EC53CE" w:rsidP="00BB7784">
            <w:pPr>
              <w:jc w:val="center"/>
              <w:rPr>
                <w:color w:val="000000" w:themeColor="text1"/>
                <w:sz w:val="17"/>
                <w:szCs w:val="17"/>
                <w:lang w:val="fr-FR"/>
              </w:rPr>
            </w:pPr>
            <w:r w:rsidRPr="00A13740">
              <w:rPr>
                <w:color w:val="000000" w:themeColor="text1"/>
                <w:sz w:val="17"/>
                <w:szCs w:val="17"/>
                <w:lang w:val="fr-FR"/>
              </w:rPr>
              <w:t>Solvants</w:t>
            </w:r>
          </w:p>
        </w:tc>
        <w:tc>
          <w:tcPr>
            <w:tcW w:w="596" w:type="pct"/>
            <w:shd w:val="clear" w:color="auto" w:fill="auto"/>
          </w:tcPr>
          <w:p w:rsidR="00EC53CE" w:rsidRPr="00A13740" w:rsidRDefault="00EC53CE" w:rsidP="00BB7784">
            <w:pPr>
              <w:jc w:val="center"/>
              <w:rPr>
                <w:color w:val="000000" w:themeColor="text1"/>
                <w:sz w:val="17"/>
                <w:szCs w:val="17"/>
                <w:lang w:val="fr-FR"/>
              </w:rPr>
            </w:pPr>
            <w:r w:rsidRPr="00A13740">
              <w:rPr>
                <w:color w:val="000000" w:themeColor="text1"/>
                <w:sz w:val="17"/>
                <w:szCs w:val="17"/>
                <w:lang w:val="fr-FR"/>
              </w:rPr>
              <w:t>Agents de transformation</w:t>
            </w:r>
          </w:p>
        </w:tc>
        <w:tc>
          <w:tcPr>
            <w:tcW w:w="467" w:type="pct"/>
            <w:shd w:val="clear" w:color="auto" w:fill="auto"/>
          </w:tcPr>
          <w:p w:rsidR="00EC53CE" w:rsidRPr="00A13740" w:rsidRDefault="00EC53CE" w:rsidP="00BB7784">
            <w:pPr>
              <w:jc w:val="center"/>
              <w:rPr>
                <w:color w:val="000000" w:themeColor="text1"/>
                <w:sz w:val="17"/>
                <w:szCs w:val="17"/>
                <w:lang w:val="fr-FR"/>
              </w:rPr>
            </w:pPr>
            <w:r w:rsidRPr="00A13740">
              <w:rPr>
                <w:color w:val="000000" w:themeColor="text1"/>
                <w:sz w:val="17"/>
                <w:szCs w:val="17"/>
                <w:lang w:val="fr-FR"/>
              </w:rPr>
              <w:t>Utilisation en laboratoire</w:t>
            </w:r>
          </w:p>
        </w:tc>
        <w:tc>
          <w:tcPr>
            <w:tcW w:w="670" w:type="pct"/>
            <w:shd w:val="clear" w:color="auto" w:fill="auto"/>
          </w:tcPr>
          <w:p w:rsidR="00EC53CE" w:rsidRPr="00A13740" w:rsidRDefault="00EC53CE" w:rsidP="00BB7784">
            <w:pPr>
              <w:jc w:val="center"/>
              <w:rPr>
                <w:color w:val="000000" w:themeColor="text1"/>
                <w:sz w:val="17"/>
                <w:szCs w:val="17"/>
                <w:lang w:val="fr-FR"/>
              </w:rPr>
            </w:pPr>
            <w:r w:rsidRPr="00A13740">
              <w:rPr>
                <w:color w:val="000000" w:themeColor="text1"/>
                <w:sz w:val="17"/>
                <w:szCs w:val="17"/>
                <w:lang w:val="fr-FR"/>
              </w:rPr>
              <w:t>Consommation totale par secteur</w:t>
            </w:r>
          </w:p>
        </w:tc>
      </w:tr>
      <w:tr w:rsidR="00EC53CE" w:rsidRPr="00A13740" w:rsidTr="00E34727">
        <w:trPr>
          <w:trHeight w:val="240"/>
        </w:trPr>
        <w:tc>
          <w:tcPr>
            <w:tcW w:w="1977" w:type="pct"/>
            <w:gridSpan w:val="4"/>
            <w:shd w:val="clear" w:color="auto" w:fill="auto"/>
          </w:tcPr>
          <w:p w:rsidR="00EC53CE" w:rsidRPr="00A13740" w:rsidRDefault="00EC53CE" w:rsidP="00BB7784">
            <w:pPr>
              <w:jc w:val="center"/>
              <w:rPr>
                <w:color w:val="000000" w:themeColor="text1"/>
                <w:sz w:val="17"/>
                <w:szCs w:val="17"/>
                <w:lang w:val="fr-FR"/>
              </w:rPr>
            </w:pPr>
          </w:p>
        </w:tc>
        <w:tc>
          <w:tcPr>
            <w:tcW w:w="485" w:type="pct"/>
            <w:shd w:val="clear" w:color="auto" w:fill="auto"/>
          </w:tcPr>
          <w:p w:rsidR="00EC53CE" w:rsidRPr="00A13740" w:rsidRDefault="00EC53CE" w:rsidP="00BB7784">
            <w:pPr>
              <w:jc w:val="center"/>
              <w:rPr>
                <w:color w:val="000000" w:themeColor="text1"/>
                <w:sz w:val="17"/>
                <w:szCs w:val="17"/>
                <w:lang w:val="fr-FR"/>
              </w:rPr>
            </w:pPr>
            <w:r w:rsidRPr="00A13740">
              <w:rPr>
                <w:color w:val="000000" w:themeColor="text1"/>
                <w:sz w:val="17"/>
                <w:szCs w:val="17"/>
                <w:lang w:val="fr-FR"/>
              </w:rPr>
              <w:t>Fabrication</w:t>
            </w:r>
          </w:p>
        </w:tc>
        <w:tc>
          <w:tcPr>
            <w:tcW w:w="411" w:type="pct"/>
            <w:shd w:val="clear" w:color="auto" w:fill="auto"/>
          </w:tcPr>
          <w:p w:rsidR="00EC53CE" w:rsidRPr="00A13740" w:rsidRDefault="00EC53CE" w:rsidP="00BB7784">
            <w:pPr>
              <w:jc w:val="center"/>
              <w:rPr>
                <w:color w:val="000000" w:themeColor="text1"/>
                <w:sz w:val="17"/>
                <w:szCs w:val="17"/>
                <w:lang w:val="fr-FR"/>
              </w:rPr>
            </w:pPr>
            <w:r w:rsidRPr="00A13740">
              <w:rPr>
                <w:color w:val="000000" w:themeColor="text1"/>
                <w:sz w:val="17"/>
                <w:szCs w:val="17"/>
                <w:lang w:val="fr-FR"/>
              </w:rPr>
              <w:t>Entretien</w:t>
            </w:r>
          </w:p>
        </w:tc>
        <w:tc>
          <w:tcPr>
            <w:tcW w:w="2126" w:type="pct"/>
            <w:gridSpan w:val="4"/>
            <w:shd w:val="clear" w:color="auto" w:fill="auto"/>
          </w:tcPr>
          <w:p w:rsidR="00EC53CE" w:rsidRPr="00A13740" w:rsidRDefault="00EC53CE" w:rsidP="00BB7784">
            <w:pPr>
              <w:jc w:val="center"/>
              <w:rPr>
                <w:color w:val="000000" w:themeColor="text1"/>
                <w:sz w:val="17"/>
                <w:szCs w:val="17"/>
                <w:lang w:val="fr-FR"/>
              </w:rPr>
            </w:pPr>
          </w:p>
        </w:tc>
      </w:tr>
      <w:tr w:rsidR="00EC53CE" w:rsidRPr="00A13740" w:rsidTr="00E34727">
        <w:trPr>
          <w:trHeight w:val="240"/>
        </w:trPr>
        <w:tc>
          <w:tcPr>
            <w:tcW w:w="738" w:type="pct"/>
            <w:shd w:val="clear" w:color="auto" w:fill="auto"/>
          </w:tcPr>
          <w:p w:rsidR="00EC53CE" w:rsidRPr="00A13740" w:rsidRDefault="00EC53CE" w:rsidP="00BB7784">
            <w:pPr>
              <w:jc w:val="left"/>
              <w:rPr>
                <w:color w:val="000000" w:themeColor="text1"/>
                <w:sz w:val="17"/>
                <w:szCs w:val="17"/>
                <w:lang w:val="fr-FR"/>
              </w:rPr>
            </w:pPr>
            <w:r w:rsidRPr="00A13740">
              <w:rPr>
                <w:color w:val="000000" w:themeColor="text1"/>
                <w:sz w:val="17"/>
                <w:szCs w:val="17"/>
                <w:lang w:val="fr-FR"/>
              </w:rPr>
              <w:t>HCFC-123</w:t>
            </w:r>
          </w:p>
        </w:tc>
        <w:tc>
          <w:tcPr>
            <w:tcW w:w="402" w:type="pct"/>
            <w:shd w:val="clear" w:color="auto" w:fill="auto"/>
          </w:tcPr>
          <w:p w:rsidR="00EC53CE" w:rsidRPr="00A13740" w:rsidRDefault="00EC53CE" w:rsidP="00BB7784">
            <w:pPr>
              <w:jc w:val="right"/>
              <w:rPr>
                <w:color w:val="000000" w:themeColor="text1"/>
                <w:sz w:val="17"/>
                <w:szCs w:val="17"/>
                <w:lang w:val="fr-FR"/>
              </w:rPr>
            </w:pPr>
          </w:p>
        </w:tc>
        <w:tc>
          <w:tcPr>
            <w:tcW w:w="398" w:type="pct"/>
            <w:shd w:val="clear" w:color="auto" w:fill="auto"/>
          </w:tcPr>
          <w:p w:rsidR="00EC53CE" w:rsidRPr="00A13740" w:rsidRDefault="00EC53CE" w:rsidP="00BB7784">
            <w:pPr>
              <w:jc w:val="right"/>
              <w:rPr>
                <w:color w:val="000000" w:themeColor="text1"/>
                <w:sz w:val="17"/>
                <w:szCs w:val="17"/>
                <w:lang w:val="fr-FR"/>
              </w:rPr>
            </w:pPr>
          </w:p>
        </w:tc>
        <w:tc>
          <w:tcPr>
            <w:tcW w:w="439" w:type="pct"/>
            <w:shd w:val="clear" w:color="auto" w:fill="auto"/>
          </w:tcPr>
          <w:p w:rsidR="00EC53CE" w:rsidRPr="00A13740" w:rsidRDefault="00EC53CE" w:rsidP="00BB7784">
            <w:pPr>
              <w:jc w:val="right"/>
              <w:rPr>
                <w:color w:val="000000" w:themeColor="text1"/>
                <w:sz w:val="17"/>
                <w:szCs w:val="17"/>
                <w:lang w:val="fr-FR"/>
              </w:rPr>
            </w:pPr>
          </w:p>
        </w:tc>
        <w:tc>
          <w:tcPr>
            <w:tcW w:w="485" w:type="pct"/>
            <w:shd w:val="clear" w:color="auto" w:fill="auto"/>
          </w:tcPr>
          <w:p w:rsidR="00EC53CE" w:rsidRPr="00A13740" w:rsidRDefault="00EC53CE" w:rsidP="00BB7784">
            <w:pPr>
              <w:jc w:val="right"/>
              <w:rPr>
                <w:color w:val="000000" w:themeColor="text1"/>
                <w:sz w:val="17"/>
                <w:szCs w:val="17"/>
                <w:lang w:val="fr-FR"/>
              </w:rPr>
            </w:pPr>
          </w:p>
        </w:tc>
        <w:tc>
          <w:tcPr>
            <w:tcW w:w="411" w:type="pct"/>
            <w:shd w:val="clear" w:color="auto" w:fill="auto"/>
          </w:tcPr>
          <w:p w:rsidR="00EC53CE" w:rsidRPr="00A13740" w:rsidRDefault="00EC53CE" w:rsidP="00BB7784">
            <w:pPr>
              <w:jc w:val="right"/>
              <w:rPr>
                <w:color w:val="000000" w:themeColor="text1"/>
                <w:sz w:val="17"/>
                <w:szCs w:val="17"/>
                <w:lang w:val="fr-FR"/>
              </w:rPr>
            </w:pPr>
            <w:r w:rsidRPr="00A13740">
              <w:rPr>
                <w:color w:val="000000" w:themeColor="text1"/>
                <w:sz w:val="17"/>
                <w:szCs w:val="17"/>
                <w:lang w:val="fr-FR"/>
              </w:rPr>
              <w:t>0,01</w:t>
            </w:r>
          </w:p>
        </w:tc>
        <w:tc>
          <w:tcPr>
            <w:tcW w:w="393" w:type="pct"/>
            <w:shd w:val="clear" w:color="auto" w:fill="auto"/>
          </w:tcPr>
          <w:p w:rsidR="00EC53CE" w:rsidRPr="00A13740" w:rsidRDefault="00EC53CE" w:rsidP="00BB7784">
            <w:pPr>
              <w:jc w:val="right"/>
              <w:rPr>
                <w:color w:val="000000" w:themeColor="text1"/>
                <w:sz w:val="17"/>
                <w:szCs w:val="17"/>
                <w:lang w:val="fr-FR"/>
              </w:rPr>
            </w:pPr>
          </w:p>
        </w:tc>
        <w:tc>
          <w:tcPr>
            <w:tcW w:w="596" w:type="pct"/>
            <w:shd w:val="clear" w:color="auto" w:fill="auto"/>
          </w:tcPr>
          <w:p w:rsidR="00EC53CE" w:rsidRPr="00A13740" w:rsidRDefault="00EC53CE" w:rsidP="00BB7784">
            <w:pPr>
              <w:jc w:val="right"/>
              <w:rPr>
                <w:color w:val="000000" w:themeColor="text1"/>
                <w:sz w:val="17"/>
                <w:szCs w:val="17"/>
                <w:lang w:val="fr-FR"/>
              </w:rPr>
            </w:pPr>
          </w:p>
        </w:tc>
        <w:tc>
          <w:tcPr>
            <w:tcW w:w="467" w:type="pct"/>
            <w:shd w:val="clear" w:color="auto" w:fill="auto"/>
          </w:tcPr>
          <w:p w:rsidR="00EC53CE" w:rsidRPr="00A13740" w:rsidRDefault="00EC53CE" w:rsidP="00BB7784">
            <w:pPr>
              <w:jc w:val="right"/>
              <w:rPr>
                <w:color w:val="000000" w:themeColor="text1"/>
                <w:sz w:val="17"/>
                <w:szCs w:val="17"/>
                <w:lang w:val="fr-FR"/>
              </w:rPr>
            </w:pPr>
          </w:p>
        </w:tc>
        <w:tc>
          <w:tcPr>
            <w:tcW w:w="670" w:type="pct"/>
            <w:shd w:val="clear" w:color="auto" w:fill="auto"/>
          </w:tcPr>
          <w:p w:rsidR="00EC53CE" w:rsidRPr="00A13740" w:rsidRDefault="00EC53CE" w:rsidP="00BB7784">
            <w:pPr>
              <w:jc w:val="right"/>
              <w:rPr>
                <w:color w:val="000000" w:themeColor="text1"/>
                <w:sz w:val="17"/>
                <w:szCs w:val="17"/>
                <w:lang w:val="fr-FR"/>
              </w:rPr>
            </w:pPr>
            <w:r w:rsidRPr="00A13740">
              <w:rPr>
                <w:color w:val="000000" w:themeColor="text1"/>
                <w:sz w:val="17"/>
                <w:szCs w:val="17"/>
                <w:lang w:val="fr-FR"/>
              </w:rPr>
              <w:t>0,01</w:t>
            </w:r>
          </w:p>
        </w:tc>
      </w:tr>
      <w:tr w:rsidR="00EC53CE" w:rsidRPr="00A13740" w:rsidTr="00E34727">
        <w:trPr>
          <w:trHeight w:val="240"/>
        </w:trPr>
        <w:tc>
          <w:tcPr>
            <w:tcW w:w="738" w:type="pct"/>
            <w:shd w:val="clear" w:color="auto" w:fill="auto"/>
          </w:tcPr>
          <w:p w:rsidR="00EC53CE" w:rsidRPr="00A13740" w:rsidRDefault="00EC53CE" w:rsidP="00BB7784">
            <w:pPr>
              <w:jc w:val="left"/>
              <w:rPr>
                <w:color w:val="000000" w:themeColor="text1"/>
                <w:sz w:val="17"/>
                <w:szCs w:val="17"/>
                <w:lang w:val="fr-FR"/>
              </w:rPr>
            </w:pPr>
            <w:r w:rsidRPr="00A13740">
              <w:rPr>
                <w:color w:val="000000" w:themeColor="text1"/>
                <w:sz w:val="17"/>
                <w:szCs w:val="17"/>
                <w:lang w:val="fr-FR"/>
              </w:rPr>
              <w:t>HCFC-124</w:t>
            </w:r>
          </w:p>
        </w:tc>
        <w:tc>
          <w:tcPr>
            <w:tcW w:w="402" w:type="pct"/>
            <w:shd w:val="clear" w:color="auto" w:fill="auto"/>
          </w:tcPr>
          <w:p w:rsidR="00EC53CE" w:rsidRPr="00A13740" w:rsidRDefault="00EC53CE" w:rsidP="00BB7784">
            <w:pPr>
              <w:jc w:val="right"/>
              <w:rPr>
                <w:color w:val="000000" w:themeColor="text1"/>
                <w:sz w:val="17"/>
                <w:szCs w:val="17"/>
                <w:lang w:val="fr-FR"/>
              </w:rPr>
            </w:pPr>
          </w:p>
        </w:tc>
        <w:tc>
          <w:tcPr>
            <w:tcW w:w="398" w:type="pct"/>
            <w:shd w:val="clear" w:color="auto" w:fill="auto"/>
          </w:tcPr>
          <w:p w:rsidR="00EC53CE" w:rsidRPr="00A13740" w:rsidRDefault="00EC53CE" w:rsidP="00BB7784">
            <w:pPr>
              <w:jc w:val="right"/>
              <w:rPr>
                <w:color w:val="000000" w:themeColor="text1"/>
                <w:sz w:val="17"/>
                <w:szCs w:val="17"/>
                <w:lang w:val="fr-FR"/>
              </w:rPr>
            </w:pPr>
          </w:p>
        </w:tc>
        <w:tc>
          <w:tcPr>
            <w:tcW w:w="439" w:type="pct"/>
            <w:shd w:val="clear" w:color="auto" w:fill="auto"/>
          </w:tcPr>
          <w:p w:rsidR="00EC53CE" w:rsidRPr="00A13740" w:rsidRDefault="00EC53CE" w:rsidP="00BB7784">
            <w:pPr>
              <w:jc w:val="right"/>
              <w:rPr>
                <w:color w:val="000000" w:themeColor="text1"/>
                <w:sz w:val="17"/>
                <w:szCs w:val="17"/>
                <w:lang w:val="fr-FR"/>
              </w:rPr>
            </w:pPr>
          </w:p>
        </w:tc>
        <w:tc>
          <w:tcPr>
            <w:tcW w:w="485" w:type="pct"/>
            <w:shd w:val="clear" w:color="auto" w:fill="auto"/>
          </w:tcPr>
          <w:p w:rsidR="00EC53CE" w:rsidRPr="00A13740" w:rsidRDefault="00EC53CE" w:rsidP="00BB7784">
            <w:pPr>
              <w:jc w:val="right"/>
              <w:rPr>
                <w:color w:val="000000" w:themeColor="text1"/>
                <w:sz w:val="17"/>
                <w:szCs w:val="17"/>
                <w:lang w:val="fr-FR"/>
              </w:rPr>
            </w:pPr>
          </w:p>
        </w:tc>
        <w:tc>
          <w:tcPr>
            <w:tcW w:w="411" w:type="pct"/>
            <w:shd w:val="clear" w:color="auto" w:fill="auto"/>
          </w:tcPr>
          <w:p w:rsidR="00EC53CE" w:rsidRPr="00A13740" w:rsidRDefault="00EC53CE" w:rsidP="00BB7784">
            <w:pPr>
              <w:jc w:val="right"/>
              <w:rPr>
                <w:color w:val="000000" w:themeColor="text1"/>
                <w:sz w:val="17"/>
                <w:szCs w:val="17"/>
                <w:lang w:val="fr-FR"/>
              </w:rPr>
            </w:pPr>
          </w:p>
        </w:tc>
        <w:tc>
          <w:tcPr>
            <w:tcW w:w="393" w:type="pct"/>
            <w:shd w:val="clear" w:color="auto" w:fill="auto"/>
          </w:tcPr>
          <w:p w:rsidR="00EC53CE" w:rsidRPr="00A13740" w:rsidRDefault="00EC53CE" w:rsidP="00BB7784">
            <w:pPr>
              <w:jc w:val="right"/>
              <w:rPr>
                <w:color w:val="000000" w:themeColor="text1"/>
                <w:sz w:val="17"/>
                <w:szCs w:val="17"/>
                <w:lang w:val="fr-FR"/>
              </w:rPr>
            </w:pPr>
          </w:p>
        </w:tc>
        <w:tc>
          <w:tcPr>
            <w:tcW w:w="596" w:type="pct"/>
            <w:shd w:val="clear" w:color="auto" w:fill="auto"/>
          </w:tcPr>
          <w:p w:rsidR="00EC53CE" w:rsidRPr="00A13740" w:rsidRDefault="00EC53CE" w:rsidP="00BB7784">
            <w:pPr>
              <w:jc w:val="right"/>
              <w:rPr>
                <w:color w:val="000000" w:themeColor="text1"/>
                <w:sz w:val="17"/>
                <w:szCs w:val="17"/>
                <w:lang w:val="fr-FR"/>
              </w:rPr>
            </w:pPr>
          </w:p>
        </w:tc>
        <w:tc>
          <w:tcPr>
            <w:tcW w:w="467" w:type="pct"/>
            <w:shd w:val="clear" w:color="auto" w:fill="auto"/>
          </w:tcPr>
          <w:p w:rsidR="00EC53CE" w:rsidRPr="00A13740" w:rsidRDefault="00EC53CE" w:rsidP="00BB7784">
            <w:pPr>
              <w:jc w:val="right"/>
              <w:rPr>
                <w:color w:val="000000" w:themeColor="text1"/>
                <w:sz w:val="17"/>
                <w:szCs w:val="17"/>
                <w:lang w:val="fr-FR"/>
              </w:rPr>
            </w:pPr>
          </w:p>
        </w:tc>
        <w:tc>
          <w:tcPr>
            <w:tcW w:w="670" w:type="pct"/>
            <w:shd w:val="clear" w:color="auto" w:fill="auto"/>
          </w:tcPr>
          <w:p w:rsidR="00EC53CE" w:rsidRPr="00A13740" w:rsidRDefault="00EC53CE" w:rsidP="00BB7784">
            <w:pPr>
              <w:jc w:val="right"/>
              <w:rPr>
                <w:color w:val="000000" w:themeColor="text1"/>
                <w:sz w:val="17"/>
                <w:szCs w:val="17"/>
                <w:lang w:val="fr-FR"/>
              </w:rPr>
            </w:pPr>
          </w:p>
        </w:tc>
      </w:tr>
      <w:tr w:rsidR="00EC53CE" w:rsidRPr="00A13740" w:rsidTr="00E34727">
        <w:trPr>
          <w:trHeight w:val="240"/>
        </w:trPr>
        <w:tc>
          <w:tcPr>
            <w:tcW w:w="738" w:type="pct"/>
            <w:shd w:val="clear" w:color="auto" w:fill="auto"/>
          </w:tcPr>
          <w:p w:rsidR="00EC53CE" w:rsidRPr="00A13740" w:rsidRDefault="00EC53CE" w:rsidP="00BB7784">
            <w:pPr>
              <w:jc w:val="left"/>
              <w:rPr>
                <w:color w:val="000000" w:themeColor="text1"/>
                <w:sz w:val="17"/>
                <w:szCs w:val="17"/>
                <w:lang w:val="fr-FR"/>
              </w:rPr>
            </w:pPr>
            <w:r w:rsidRPr="00A13740">
              <w:rPr>
                <w:color w:val="000000" w:themeColor="text1"/>
                <w:sz w:val="17"/>
                <w:szCs w:val="17"/>
                <w:lang w:val="fr-FR"/>
              </w:rPr>
              <w:t>HCFC-141b</w:t>
            </w:r>
          </w:p>
        </w:tc>
        <w:tc>
          <w:tcPr>
            <w:tcW w:w="402" w:type="pct"/>
            <w:shd w:val="clear" w:color="auto" w:fill="auto"/>
          </w:tcPr>
          <w:p w:rsidR="00EC53CE" w:rsidRPr="00A13740" w:rsidRDefault="00EC53CE" w:rsidP="00BB7784">
            <w:pPr>
              <w:jc w:val="right"/>
              <w:rPr>
                <w:color w:val="000000" w:themeColor="text1"/>
                <w:sz w:val="17"/>
                <w:szCs w:val="17"/>
                <w:lang w:val="fr-FR"/>
              </w:rPr>
            </w:pPr>
          </w:p>
        </w:tc>
        <w:tc>
          <w:tcPr>
            <w:tcW w:w="398" w:type="pct"/>
            <w:shd w:val="clear" w:color="auto" w:fill="auto"/>
          </w:tcPr>
          <w:p w:rsidR="00EC53CE" w:rsidRPr="00A13740" w:rsidRDefault="00EC53CE" w:rsidP="00BB7784">
            <w:pPr>
              <w:jc w:val="right"/>
              <w:rPr>
                <w:color w:val="000000" w:themeColor="text1"/>
                <w:sz w:val="17"/>
                <w:szCs w:val="17"/>
                <w:lang w:val="fr-FR"/>
              </w:rPr>
            </w:pPr>
          </w:p>
        </w:tc>
        <w:tc>
          <w:tcPr>
            <w:tcW w:w="439" w:type="pct"/>
            <w:shd w:val="clear" w:color="auto" w:fill="auto"/>
          </w:tcPr>
          <w:p w:rsidR="00EC53CE" w:rsidRPr="00A13740" w:rsidRDefault="00EC53CE" w:rsidP="00BB7784">
            <w:pPr>
              <w:jc w:val="right"/>
              <w:rPr>
                <w:color w:val="000000" w:themeColor="text1"/>
                <w:sz w:val="17"/>
                <w:szCs w:val="17"/>
                <w:lang w:val="fr-FR"/>
              </w:rPr>
            </w:pPr>
          </w:p>
        </w:tc>
        <w:tc>
          <w:tcPr>
            <w:tcW w:w="485" w:type="pct"/>
            <w:shd w:val="clear" w:color="auto" w:fill="auto"/>
          </w:tcPr>
          <w:p w:rsidR="00EC53CE" w:rsidRPr="00A13740" w:rsidRDefault="00EC53CE" w:rsidP="00BB7784">
            <w:pPr>
              <w:jc w:val="right"/>
              <w:rPr>
                <w:color w:val="000000" w:themeColor="text1"/>
                <w:sz w:val="17"/>
                <w:szCs w:val="17"/>
                <w:lang w:val="fr-FR"/>
              </w:rPr>
            </w:pPr>
          </w:p>
        </w:tc>
        <w:tc>
          <w:tcPr>
            <w:tcW w:w="411" w:type="pct"/>
            <w:shd w:val="clear" w:color="auto" w:fill="auto"/>
          </w:tcPr>
          <w:p w:rsidR="00EC53CE" w:rsidRPr="00A13740" w:rsidRDefault="00EC53CE" w:rsidP="00BB7784">
            <w:pPr>
              <w:jc w:val="right"/>
              <w:rPr>
                <w:color w:val="000000" w:themeColor="text1"/>
                <w:sz w:val="17"/>
                <w:szCs w:val="17"/>
                <w:lang w:val="fr-FR"/>
              </w:rPr>
            </w:pPr>
          </w:p>
        </w:tc>
        <w:tc>
          <w:tcPr>
            <w:tcW w:w="393" w:type="pct"/>
            <w:shd w:val="clear" w:color="auto" w:fill="auto"/>
          </w:tcPr>
          <w:p w:rsidR="00EC53CE" w:rsidRPr="00A13740" w:rsidRDefault="00EC53CE" w:rsidP="00BB7784">
            <w:pPr>
              <w:jc w:val="right"/>
              <w:rPr>
                <w:color w:val="000000" w:themeColor="text1"/>
                <w:sz w:val="17"/>
                <w:szCs w:val="17"/>
                <w:lang w:val="fr-FR"/>
              </w:rPr>
            </w:pPr>
          </w:p>
        </w:tc>
        <w:tc>
          <w:tcPr>
            <w:tcW w:w="596" w:type="pct"/>
            <w:shd w:val="clear" w:color="auto" w:fill="auto"/>
          </w:tcPr>
          <w:p w:rsidR="00EC53CE" w:rsidRPr="00A13740" w:rsidRDefault="00EC53CE" w:rsidP="00BB7784">
            <w:pPr>
              <w:jc w:val="right"/>
              <w:rPr>
                <w:color w:val="000000" w:themeColor="text1"/>
                <w:sz w:val="17"/>
                <w:szCs w:val="17"/>
                <w:lang w:val="fr-FR"/>
              </w:rPr>
            </w:pPr>
          </w:p>
        </w:tc>
        <w:tc>
          <w:tcPr>
            <w:tcW w:w="467" w:type="pct"/>
            <w:shd w:val="clear" w:color="auto" w:fill="auto"/>
          </w:tcPr>
          <w:p w:rsidR="00EC53CE" w:rsidRPr="00A13740" w:rsidRDefault="00EC53CE" w:rsidP="00BB7784">
            <w:pPr>
              <w:jc w:val="right"/>
              <w:rPr>
                <w:color w:val="000000" w:themeColor="text1"/>
                <w:sz w:val="17"/>
                <w:szCs w:val="17"/>
                <w:lang w:val="fr-FR"/>
              </w:rPr>
            </w:pPr>
          </w:p>
        </w:tc>
        <w:tc>
          <w:tcPr>
            <w:tcW w:w="670" w:type="pct"/>
            <w:shd w:val="clear" w:color="auto" w:fill="auto"/>
          </w:tcPr>
          <w:p w:rsidR="00EC53CE" w:rsidRPr="00A13740" w:rsidRDefault="00EC53CE" w:rsidP="00BB7784">
            <w:pPr>
              <w:jc w:val="right"/>
              <w:rPr>
                <w:color w:val="000000" w:themeColor="text1"/>
                <w:sz w:val="17"/>
                <w:szCs w:val="17"/>
                <w:lang w:val="fr-FR"/>
              </w:rPr>
            </w:pPr>
          </w:p>
        </w:tc>
      </w:tr>
      <w:tr w:rsidR="00EC53CE" w:rsidRPr="00A13740" w:rsidTr="00E34727">
        <w:trPr>
          <w:trHeight w:val="240"/>
        </w:trPr>
        <w:tc>
          <w:tcPr>
            <w:tcW w:w="738" w:type="pct"/>
            <w:shd w:val="clear" w:color="auto" w:fill="auto"/>
          </w:tcPr>
          <w:p w:rsidR="00EC53CE" w:rsidRPr="00A13740" w:rsidRDefault="00EC53CE" w:rsidP="00BB7784">
            <w:pPr>
              <w:jc w:val="left"/>
              <w:rPr>
                <w:color w:val="000000" w:themeColor="text1"/>
                <w:sz w:val="17"/>
                <w:szCs w:val="17"/>
                <w:lang w:val="fr-FR"/>
              </w:rPr>
            </w:pPr>
            <w:r w:rsidRPr="00A13740">
              <w:rPr>
                <w:color w:val="000000" w:themeColor="text1"/>
                <w:sz w:val="17"/>
                <w:szCs w:val="17"/>
                <w:lang w:val="fr-FR"/>
              </w:rPr>
              <w:t xml:space="preserve">HCFC-141b dans les polyols </w:t>
            </w:r>
            <w:proofErr w:type="spellStart"/>
            <w:r w:rsidRPr="00A13740">
              <w:rPr>
                <w:color w:val="000000" w:themeColor="text1"/>
                <w:sz w:val="17"/>
                <w:szCs w:val="17"/>
                <w:lang w:val="fr-FR"/>
              </w:rPr>
              <w:t>prémélangés</w:t>
            </w:r>
            <w:proofErr w:type="spellEnd"/>
            <w:r w:rsidRPr="00A13740">
              <w:rPr>
                <w:color w:val="000000" w:themeColor="text1"/>
                <w:sz w:val="17"/>
                <w:szCs w:val="17"/>
                <w:lang w:val="fr-FR"/>
              </w:rPr>
              <w:t xml:space="preserve"> importés</w:t>
            </w:r>
          </w:p>
        </w:tc>
        <w:tc>
          <w:tcPr>
            <w:tcW w:w="402" w:type="pct"/>
            <w:shd w:val="clear" w:color="auto" w:fill="auto"/>
          </w:tcPr>
          <w:p w:rsidR="00EC53CE" w:rsidRPr="00A13740" w:rsidRDefault="00EC53CE" w:rsidP="00BB7784">
            <w:pPr>
              <w:jc w:val="right"/>
              <w:rPr>
                <w:color w:val="000000" w:themeColor="text1"/>
                <w:sz w:val="17"/>
                <w:szCs w:val="17"/>
                <w:lang w:val="fr-FR"/>
              </w:rPr>
            </w:pPr>
          </w:p>
        </w:tc>
        <w:tc>
          <w:tcPr>
            <w:tcW w:w="398" w:type="pct"/>
            <w:shd w:val="clear" w:color="auto" w:fill="auto"/>
          </w:tcPr>
          <w:p w:rsidR="00EC53CE" w:rsidRPr="00A13740" w:rsidRDefault="00EC53CE" w:rsidP="00BB7784">
            <w:pPr>
              <w:jc w:val="right"/>
              <w:rPr>
                <w:color w:val="000000" w:themeColor="text1"/>
                <w:sz w:val="17"/>
                <w:szCs w:val="17"/>
                <w:lang w:val="fr-FR"/>
              </w:rPr>
            </w:pPr>
            <w:r w:rsidRPr="00A13740">
              <w:rPr>
                <w:color w:val="000000" w:themeColor="text1"/>
                <w:sz w:val="17"/>
                <w:szCs w:val="17"/>
                <w:lang w:val="fr-FR"/>
              </w:rPr>
              <w:t>7,15</w:t>
            </w:r>
          </w:p>
        </w:tc>
        <w:tc>
          <w:tcPr>
            <w:tcW w:w="439" w:type="pct"/>
            <w:shd w:val="clear" w:color="auto" w:fill="auto"/>
          </w:tcPr>
          <w:p w:rsidR="00EC53CE" w:rsidRPr="00A13740" w:rsidRDefault="00EC53CE" w:rsidP="00BB7784">
            <w:pPr>
              <w:jc w:val="right"/>
              <w:rPr>
                <w:color w:val="000000" w:themeColor="text1"/>
                <w:sz w:val="17"/>
                <w:szCs w:val="17"/>
                <w:lang w:val="fr-FR"/>
              </w:rPr>
            </w:pPr>
          </w:p>
        </w:tc>
        <w:tc>
          <w:tcPr>
            <w:tcW w:w="485" w:type="pct"/>
            <w:shd w:val="clear" w:color="auto" w:fill="auto"/>
          </w:tcPr>
          <w:p w:rsidR="00EC53CE" w:rsidRPr="00A13740" w:rsidRDefault="00EC53CE" w:rsidP="00BB7784">
            <w:pPr>
              <w:jc w:val="right"/>
              <w:rPr>
                <w:color w:val="000000" w:themeColor="text1"/>
                <w:sz w:val="17"/>
                <w:szCs w:val="17"/>
                <w:lang w:val="fr-FR"/>
              </w:rPr>
            </w:pPr>
          </w:p>
        </w:tc>
        <w:tc>
          <w:tcPr>
            <w:tcW w:w="411" w:type="pct"/>
            <w:shd w:val="clear" w:color="auto" w:fill="auto"/>
          </w:tcPr>
          <w:p w:rsidR="00EC53CE" w:rsidRPr="00A13740" w:rsidRDefault="00EC53CE" w:rsidP="00BB7784">
            <w:pPr>
              <w:jc w:val="right"/>
              <w:rPr>
                <w:color w:val="000000" w:themeColor="text1"/>
                <w:sz w:val="17"/>
                <w:szCs w:val="17"/>
                <w:lang w:val="fr-FR"/>
              </w:rPr>
            </w:pPr>
          </w:p>
        </w:tc>
        <w:tc>
          <w:tcPr>
            <w:tcW w:w="393" w:type="pct"/>
            <w:shd w:val="clear" w:color="auto" w:fill="auto"/>
          </w:tcPr>
          <w:p w:rsidR="00EC53CE" w:rsidRPr="00A13740" w:rsidRDefault="00EC53CE" w:rsidP="00BB7784">
            <w:pPr>
              <w:jc w:val="right"/>
              <w:rPr>
                <w:color w:val="000000" w:themeColor="text1"/>
                <w:sz w:val="17"/>
                <w:szCs w:val="17"/>
                <w:lang w:val="fr-FR"/>
              </w:rPr>
            </w:pPr>
          </w:p>
        </w:tc>
        <w:tc>
          <w:tcPr>
            <w:tcW w:w="596" w:type="pct"/>
            <w:shd w:val="clear" w:color="auto" w:fill="auto"/>
          </w:tcPr>
          <w:p w:rsidR="00EC53CE" w:rsidRPr="00A13740" w:rsidRDefault="00EC53CE" w:rsidP="00BB7784">
            <w:pPr>
              <w:jc w:val="right"/>
              <w:rPr>
                <w:color w:val="000000" w:themeColor="text1"/>
                <w:sz w:val="17"/>
                <w:szCs w:val="17"/>
                <w:lang w:val="fr-FR"/>
              </w:rPr>
            </w:pPr>
          </w:p>
        </w:tc>
        <w:tc>
          <w:tcPr>
            <w:tcW w:w="467" w:type="pct"/>
            <w:shd w:val="clear" w:color="auto" w:fill="auto"/>
          </w:tcPr>
          <w:p w:rsidR="00EC53CE" w:rsidRPr="00A13740" w:rsidRDefault="00EC53CE" w:rsidP="00BB7784">
            <w:pPr>
              <w:jc w:val="right"/>
              <w:rPr>
                <w:color w:val="000000" w:themeColor="text1"/>
                <w:sz w:val="17"/>
                <w:szCs w:val="17"/>
                <w:lang w:val="fr-FR"/>
              </w:rPr>
            </w:pPr>
          </w:p>
        </w:tc>
        <w:tc>
          <w:tcPr>
            <w:tcW w:w="670" w:type="pct"/>
            <w:shd w:val="clear" w:color="auto" w:fill="auto"/>
          </w:tcPr>
          <w:p w:rsidR="00EC53CE" w:rsidRPr="00A13740" w:rsidRDefault="00EC53CE" w:rsidP="00BB7784">
            <w:pPr>
              <w:jc w:val="right"/>
              <w:rPr>
                <w:color w:val="000000" w:themeColor="text1"/>
                <w:sz w:val="17"/>
                <w:szCs w:val="17"/>
                <w:lang w:val="fr-FR"/>
              </w:rPr>
            </w:pPr>
            <w:r w:rsidRPr="00A13740">
              <w:rPr>
                <w:color w:val="000000" w:themeColor="text1"/>
                <w:sz w:val="17"/>
                <w:szCs w:val="17"/>
                <w:lang w:val="fr-FR"/>
              </w:rPr>
              <w:t>7,15</w:t>
            </w:r>
          </w:p>
        </w:tc>
      </w:tr>
      <w:tr w:rsidR="00EC53CE" w:rsidRPr="00A13740" w:rsidTr="00E34727">
        <w:trPr>
          <w:trHeight w:val="240"/>
        </w:trPr>
        <w:tc>
          <w:tcPr>
            <w:tcW w:w="738" w:type="pct"/>
            <w:shd w:val="clear" w:color="auto" w:fill="auto"/>
          </w:tcPr>
          <w:p w:rsidR="00EC53CE" w:rsidRPr="00A13740" w:rsidRDefault="00EC53CE" w:rsidP="00BB7784">
            <w:pPr>
              <w:jc w:val="left"/>
              <w:rPr>
                <w:color w:val="000000" w:themeColor="text1"/>
                <w:sz w:val="17"/>
                <w:szCs w:val="17"/>
                <w:lang w:val="fr-FR"/>
              </w:rPr>
            </w:pPr>
            <w:r w:rsidRPr="00A13740">
              <w:rPr>
                <w:color w:val="000000" w:themeColor="text1"/>
                <w:sz w:val="17"/>
                <w:szCs w:val="17"/>
                <w:lang w:val="fr-FR"/>
              </w:rPr>
              <w:t>HCFC-142b</w:t>
            </w:r>
          </w:p>
        </w:tc>
        <w:tc>
          <w:tcPr>
            <w:tcW w:w="402" w:type="pct"/>
            <w:shd w:val="clear" w:color="auto" w:fill="auto"/>
          </w:tcPr>
          <w:p w:rsidR="00EC53CE" w:rsidRPr="00A13740" w:rsidRDefault="00EC53CE" w:rsidP="00BB7784">
            <w:pPr>
              <w:jc w:val="right"/>
              <w:rPr>
                <w:color w:val="000000" w:themeColor="text1"/>
                <w:sz w:val="17"/>
                <w:szCs w:val="17"/>
                <w:lang w:val="fr-FR"/>
              </w:rPr>
            </w:pPr>
          </w:p>
        </w:tc>
        <w:tc>
          <w:tcPr>
            <w:tcW w:w="398" w:type="pct"/>
            <w:shd w:val="clear" w:color="auto" w:fill="auto"/>
          </w:tcPr>
          <w:p w:rsidR="00EC53CE" w:rsidRPr="00A13740" w:rsidRDefault="00EC53CE" w:rsidP="00BB7784">
            <w:pPr>
              <w:jc w:val="right"/>
              <w:rPr>
                <w:color w:val="000000" w:themeColor="text1"/>
                <w:sz w:val="17"/>
                <w:szCs w:val="17"/>
                <w:lang w:val="fr-FR"/>
              </w:rPr>
            </w:pPr>
          </w:p>
        </w:tc>
        <w:tc>
          <w:tcPr>
            <w:tcW w:w="439" w:type="pct"/>
            <w:shd w:val="clear" w:color="auto" w:fill="auto"/>
          </w:tcPr>
          <w:p w:rsidR="00EC53CE" w:rsidRPr="00A13740" w:rsidRDefault="00EC53CE" w:rsidP="00BB7784">
            <w:pPr>
              <w:jc w:val="right"/>
              <w:rPr>
                <w:color w:val="000000" w:themeColor="text1"/>
                <w:sz w:val="17"/>
                <w:szCs w:val="17"/>
                <w:lang w:val="fr-FR"/>
              </w:rPr>
            </w:pPr>
          </w:p>
        </w:tc>
        <w:tc>
          <w:tcPr>
            <w:tcW w:w="485" w:type="pct"/>
            <w:shd w:val="clear" w:color="auto" w:fill="auto"/>
          </w:tcPr>
          <w:p w:rsidR="00EC53CE" w:rsidRPr="00A13740" w:rsidRDefault="00EC53CE" w:rsidP="00BB7784">
            <w:pPr>
              <w:jc w:val="right"/>
              <w:rPr>
                <w:color w:val="000000" w:themeColor="text1"/>
                <w:sz w:val="17"/>
                <w:szCs w:val="17"/>
                <w:lang w:val="fr-FR"/>
              </w:rPr>
            </w:pPr>
          </w:p>
        </w:tc>
        <w:tc>
          <w:tcPr>
            <w:tcW w:w="411" w:type="pct"/>
            <w:shd w:val="clear" w:color="auto" w:fill="auto"/>
          </w:tcPr>
          <w:p w:rsidR="00EC53CE" w:rsidRPr="00A13740" w:rsidRDefault="00EC53CE" w:rsidP="00BB7784">
            <w:pPr>
              <w:jc w:val="right"/>
              <w:rPr>
                <w:color w:val="000000" w:themeColor="text1"/>
                <w:sz w:val="17"/>
                <w:szCs w:val="17"/>
                <w:lang w:val="fr-FR"/>
              </w:rPr>
            </w:pPr>
          </w:p>
        </w:tc>
        <w:tc>
          <w:tcPr>
            <w:tcW w:w="393" w:type="pct"/>
            <w:shd w:val="clear" w:color="auto" w:fill="auto"/>
          </w:tcPr>
          <w:p w:rsidR="00EC53CE" w:rsidRPr="00A13740" w:rsidRDefault="00EC53CE" w:rsidP="00BB7784">
            <w:pPr>
              <w:jc w:val="right"/>
              <w:rPr>
                <w:color w:val="000000" w:themeColor="text1"/>
                <w:sz w:val="17"/>
                <w:szCs w:val="17"/>
                <w:lang w:val="fr-FR"/>
              </w:rPr>
            </w:pPr>
          </w:p>
        </w:tc>
        <w:tc>
          <w:tcPr>
            <w:tcW w:w="596" w:type="pct"/>
            <w:shd w:val="clear" w:color="auto" w:fill="auto"/>
          </w:tcPr>
          <w:p w:rsidR="00EC53CE" w:rsidRPr="00A13740" w:rsidRDefault="00EC53CE" w:rsidP="00BB7784">
            <w:pPr>
              <w:jc w:val="right"/>
              <w:rPr>
                <w:color w:val="000000" w:themeColor="text1"/>
                <w:sz w:val="17"/>
                <w:szCs w:val="17"/>
                <w:lang w:val="fr-FR"/>
              </w:rPr>
            </w:pPr>
          </w:p>
        </w:tc>
        <w:tc>
          <w:tcPr>
            <w:tcW w:w="467" w:type="pct"/>
            <w:shd w:val="clear" w:color="auto" w:fill="auto"/>
          </w:tcPr>
          <w:p w:rsidR="00EC53CE" w:rsidRPr="00A13740" w:rsidRDefault="00EC53CE" w:rsidP="00BB7784">
            <w:pPr>
              <w:jc w:val="right"/>
              <w:rPr>
                <w:color w:val="000000" w:themeColor="text1"/>
                <w:sz w:val="17"/>
                <w:szCs w:val="17"/>
                <w:lang w:val="fr-FR"/>
              </w:rPr>
            </w:pPr>
          </w:p>
        </w:tc>
        <w:tc>
          <w:tcPr>
            <w:tcW w:w="670" w:type="pct"/>
            <w:shd w:val="clear" w:color="auto" w:fill="auto"/>
          </w:tcPr>
          <w:p w:rsidR="00EC53CE" w:rsidRPr="00A13740" w:rsidRDefault="00EC53CE" w:rsidP="00BB7784">
            <w:pPr>
              <w:jc w:val="right"/>
              <w:rPr>
                <w:color w:val="000000" w:themeColor="text1"/>
                <w:sz w:val="17"/>
                <w:szCs w:val="17"/>
                <w:lang w:val="fr-FR"/>
              </w:rPr>
            </w:pPr>
          </w:p>
        </w:tc>
      </w:tr>
      <w:tr w:rsidR="00EC53CE" w:rsidRPr="00A13740" w:rsidTr="00E34727">
        <w:trPr>
          <w:trHeight w:val="240"/>
        </w:trPr>
        <w:tc>
          <w:tcPr>
            <w:tcW w:w="738" w:type="pct"/>
            <w:shd w:val="clear" w:color="auto" w:fill="auto"/>
          </w:tcPr>
          <w:p w:rsidR="00EC53CE" w:rsidRPr="00A13740" w:rsidRDefault="00EC53CE" w:rsidP="00BB7784">
            <w:pPr>
              <w:jc w:val="left"/>
              <w:rPr>
                <w:color w:val="000000" w:themeColor="text1"/>
                <w:sz w:val="17"/>
                <w:szCs w:val="17"/>
                <w:lang w:val="fr-FR"/>
              </w:rPr>
            </w:pPr>
            <w:r w:rsidRPr="00A13740">
              <w:rPr>
                <w:color w:val="000000" w:themeColor="text1"/>
                <w:sz w:val="17"/>
                <w:szCs w:val="17"/>
                <w:lang w:val="fr-FR"/>
              </w:rPr>
              <w:t>HCFC-22</w:t>
            </w:r>
          </w:p>
        </w:tc>
        <w:tc>
          <w:tcPr>
            <w:tcW w:w="402" w:type="pct"/>
            <w:shd w:val="clear" w:color="auto" w:fill="auto"/>
          </w:tcPr>
          <w:p w:rsidR="00EC53CE" w:rsidRPr="00A13740" w:rsidRDefault="00EC53CE" w:rsidP="00BB7784">
            <w:pPr>
              <w:jc w:val="right"/>
              <w:rPr>
                <w:color w:val="000000" w:themeColor="text1"/>
                <w:sz w:val="17"/>
                <w:szCs w:val="17"/>
                <w:lang w:val="fr-FR"/>
              </w:rPr>
            </w:pPr>
          </w:p>
        </w:tc>
        <w:tc>
          <w:tcPr>
            <w:tcW w:w="398" w:type="pct"/>
            <w:shd w:val="clear" w:color="auto" w:fill="auto"/>
          </w:tcPr>
          <w:p w:rsidR="00EC53CE" w:rsidRPr="00A13740" w:rsidRDefault="00EC53CE" w:rsidP="00BB7784">
            <w:pPr>
              <w:jc w:val="right"/>
              <w:rPr>
                <w:color w:val="000000" w:themeColor="text1"/>
                <w:sz w:val="17"/>
                <w:szCs w:val="17"/>
                <w:lang w:val="fr-FR"/>
              </w:rPr>
            </w:pPr>
          </w:p>
        </w:tc>
        <w:tc>
          <w:tcPr>
            <w:tcW w:w="439" w:type="pct"/>
            <w:shd w:val="clear" w:color="auto" w:fill="auto"/>
          </w:tcPr>
          <w:p w:rsidR="00EC53CE" w:rsidRPr="00A13740" w:rsidRDefault="00EC53CE" w:rsidP="00BB7784">
            <w:pPr>
              <w:jc w:val="right"/>
              <w:rPr>
                <w:color w:val="000000" w:themeColor="text1"/>
                <w:sz w:val="17"/>
                <w:szCs w:val="17"/>
                <w:lang w:val="fr-FR"/>
              </w:rPr>
            </w:pPr>
          </w:p>
        </w:tc>
        <w:tc>
          <w:tcPr>
            <w:tcW w:w="485" w:type="pct"/>
            <w:shd w:val="clear" w:color="auto" w:fill="auto"/>
          </w:tcPr>
          <w:p w:rsidR="00EC53CE" w:rsidRPr="00A13740" w:rsidRDefault="00EC53CE" w:rsidP="00BB7784">
            <w:pPr>
              <w:jc w:val="right"/>
              <w:rPr>
                <w:color w:val="000000" w:themeColor="text1"/>
                <w:sz w:val="17"/>
                <w:szCs w:val="17"/>
                <w:lang w:val="fr-FR"/>
              </w:rPr>
            </w:pPr>
          </w:p>
        </w:tc>
        <w:tc>
          <w:tcPr>
            <w:tcW w:w="411" w:type="pct"/>
            <w:shd w:val="clear" w:color="auto" w:fill="auto"/>
          </w:tcPr>
          <w:p w:rsidR="00EC53CE" w:rsidRPr="00A13740" w:rsidRDefault="00EC53CE" w:rsidP="00BB7784">
            <w:pPr>
              <w:jc w:val="right"/>
              <w:rPr>
                <w:color w:val="000000" w:themeColor="text1"/>
                <w:sz w:val="17"/>
                <w:szCs w:val="17"/>
                <w:lang w:val="fr-FR"/>
              </w:rPr>
            </w:pPr>
            <w:r w:rsidRPr="00A13740">
              <w:rPr>
                <w:color w:val="000000" w:themeColor="text1"/>
                <w:sz w:val="17"/>
                <w:szCs w:val="17"/>
                <w:lang w:val="fr-FR"/>
              </w:rPr>
              <w:t>25,91</w:t>
            </w:r>
          </w:p>
        </w:tc>
        <w:tc>
          <w:tcPr>
            <w:tcW w:w="393" w:type="pct"/>
            <w:shd w:val="clear" w:color="auto" w:fill="auto"/>
          </w:tcPr>
          <w:p w:rsidR="00EC53CE" w:rsidRPr="00A13740" w:rsidRDefault="00EC53CE" w:rsidP="00BB7784">
            <w:pPr>
              <w:jc w:val="right"/>
              <w:rPr>
                <w:color w:val="000000" w:themeColor="text1"/>
                <w:sz w:val="17"/>
                <w:szCs w:val="17"/>
                <w:lang w:val="fr-FR"/>
              </w:rPr>
            </w:pPr>
          </w:p>
        </w:tc>
        <w:tc>
          <w:tcPr>
            <w:tcW w:w="596" w:type="pct"/>
            <w:shd w:val="clear" w:color="auto" w:fill="auto"/>
          </w:tcPr>
          <w:p w:rsidR="00EC53CE" w:rsidRPr="00A13740" w:rsidRDefault="00EC53CE" w:rsidP="00BB7784">
            <w:pPr>
              <w:jc w:val="right"/>
              <w:rPr>
                <w:color w:val="000000" w:themeColor="text1"/>
                <w:sz w:val="17"/>
                <w:szCs w:val="17"/>
                <w:lang w:val="fr-FR"/>
              </w:rPr>
            </w:pPr>
          </w:p>
        </w:tc>
        <w:tc>
          <w:tcPr>
            <w:tcW w:w="467" w:type="pct"/>
            <w:shd w:val="clear" w:color="auto" w:fill="auto"/>
          </w:tcPr>
          <w:p w:rsidR="00EC53CE" w:rsidRPr="00A13740" w:rsidRDefault="00EC53CE" w:rsidP="00BB7784">
            <w:pPr>
              <w:jc w:val="right"/>
              <w:rPr>
                <w:color w:val="000000" w:themeColor="text1"/>
                <w:sz w:val="17"/>
                <w:szCs w:val="17"/>
                <w:lang w:val="fr-FR"/>
              </w:rPr>
            </w:pPr>
          </w:p>
        </w:tc>
        <w:tc>
          <w:tcPr>
            <w:tcW w:w="670" w:type="pct"/>
            <w:shd w:val="clear" w:color="auto" w:fill="auto"/>
          </w:tcPr>
          <w:p w:rsidR="00EC53CE" w:rsidRPr="00A13740" w:rsidRDefault="00EC53CE" w:rsidP="00BB7784">
            <w:pPr>
              <w:jc w:val="right"/>
              <w:rPr>
                <w:color w:val="000000" w:themeColor="text1"/>
                <w:sz w:val="17"/>
                <w:szCs w:val="17"/>
                <w:lang w:val="fr-FR"/>
              </w:rPr>
            </w:pPr>
            <w:r w:rsidRPr="00A13740">
              <w:rPr>
                <w:color w:val="000000" w:themeColor="text1"/>
                <w:sz w:val="17"/>
                <w:szCs w:val="17"/>
                <w:lang w:val="fr-FR"/>
              </w:rPr>
              <w:t>25,91</w:t>
            </w:r>
          </w:p>
        </w:tc>
      </w:tr>
    </w:tbl>
    <w:p w:rsidR="00EC53CE" w:rsidRPr="00A13740" w:rsidRDefault="00EC53CE" w:rsidP="00EC53CE">
      <w:pPr>
        <w:spacing w:after="60"/>
        <w:jc w:val="center"/>
        <w:rPr>
          <w:color w:val="000000" w:themeColor="text1"/>
          <w:sz w:val="16"/>
          <w:szCs w:val="16"/>
          <w:lang w:val="fr-FR"/>
        </w:rPr>
      </w:pPr>
    </w:p>
    <w:tbl>
      <w:tblPr>
        <w:tblStyle w:val="TableGrid"/>
        <w:tblW w:w="5458" w:type="pct"/>
        <w:tblInd w:w="-431" w:type="dxa"/>
        <w:tblLook w:val="04A0" w:firstRow="1" w:lastRow="0" w:firstColumn="1" w:lastColumn="0" w:noHBand="0" w:noVBand="1"/>
      </w:tblPr>
      <w:tblGrid>
        <w:gridCol w:w="2170"/>
        <w:gridCol w:w="1819"/>
        <w:gridCol w:w="5021"/>
        <w:gridCol w:w="1196"/>
      </w:tblGrid>
      <w:tr w:rsidR="00EC53CE" w:rsidRPr="00F36C81" w:rsidTr="00E34727">
        <w:trPr>
          <w:trHeight w:hRule="exact" w:val="238"/>
        </w:trPr>
        <w:tc>
          <w:tcPr>
            <w:tcW w:w="5000" w:type="pct"/>
            <w:gridSpan w:val="4"/>
            <w:shd w:val="clear" w:color="auto" w:fill="auto"/>
          </w:tcPr>
          <w:p w:rsidR="00EC53CE" w:rsidRPr="00A13740" w:rsidRDefault="00EC53CE" w:rsidP="00BB7784">
            <w:pPr>
              <w:jc w:val="left"/>
              <w:rPr>
                <w:b/>
                <w:color w:val="000000" w:themeColor="text1"/>
                <w:sz w:val="17"/>
                <w:szCs w:val="17"/>
                <w:lang w:val="fr-FR"/>
              </w:rPr>
            </w:pPr>
            <w:r w:rsidRPr="00A13740">
              <w:rPr>
                <w:b/>
                <w:color w:val="000000" w:themeColor="text1"/>
                <w:sz w:val="17"/>
                <w:szCs w:val="17"/>
                <w:lang w:val="fr-FR"/>
              </w:rPr>
              <w:t>(IV) DONNÉES DE CONSOMMATION (tonnes PAO)</w:t>
            </w:r>
          </w:p>
        </w:tc>
      </w:tr>
      <w:tr w:rsidR="00EC53CE" w:rsidRPr="00A13740" w:rsidTr="00E34727">
        <w:trPr>
          <w:trHeight w:hRule="exact" w:val="238"/>
        </w:trPr>
        <w:tc>
          <w:tcPr>
            <w:tcW w:w="1063" w:type="pct"/>
            <w:shd w:val="clear" w:color="auto" w:fill="auto"/>
          </w:tcPr>
          <w:p w:rsidR="00EC53CE" w:rsidRPr="00A13740" w:rsidRDefault="00EC53CE" w:rsidP="00BB7784">
            <w:pPr>
              <w:jc w:val="center"/>
              <w:rPr>
                <w:color w:val="000000" w:themeColor="text1"/>
                <w:sz w:val="17"/>
                <w:szCs w:val="17"/>
                <w:lang w:val="fr-FR"/>
              </w:rPr>
            </w:pPr>
            <w:r w:rsidRPr="00A13740">
              <w:rPr>
                <w:color w:val="000000" w:themeColor="text1"/>
                <w:sz w:val="17"/>
                <w:szCs w:val="17"/>
                <w:lang w:val="fr-FR"/>
              </w:rPr>
              <w:t>Base de référence 2009 - 2010 :</w:t>
            </w:r>
          </w:p>
        </w:tc>
        <w:tc>
          <w:tcPr>
            <w:tcW w:w="891" w:type="pct"/>
            <w:shd w:val="clear" w:color="auto" w:fill="auto"/>
          </w:tcPr>
          <w:p w:rsidR="00EC53CE" w:rsidRPr="00A13740" w:rsidRDefault="00EC53CE" w:rsidP="00BB7784">
            <w:pPr>
              <w:jc w:val="right"/>
              <w:rPr>
                <w:color w:val="000000" w:themeColor="text1"/>
                <w:sz w:val="17"/>
                <w:szCs w:val="17"/>
                <w:lang w:val="fr-FR"/>
              </w:rPr>
            </w:pPr>
            <w:r w:rsidRPr="00A13740">
              <w:rPr>
                <w:color w:val="000000" w:themeColor="text1"/>
                <w:sz w:val="17"/>
                <w:szCs w:val="17"/>
                <w:lang w:val="fr-FR"/>
              </w:rPr>
              <w:t>40,7</w:t>
            </w:r>
          </w:p>
        </w:tc>
        <w:tc>
          <w:tcPr>
            <w:tcW w:w="2460" w:type="pct"/>
            <w:shd w:val="clear" w:color="auto" w:fill="auto"/>
          </w:tcPr>
          <w:p w:rsidR="00EC53CE" w:rsidRPr="00A13740" w:rsidRDefault="00EC53CE" w:rsidP="00BB7784">
            <w:pPr>
              <w:jc w:val="center"/>
              <w:rPr>
                <w:color w:val="000000" w:themeColor="text1"/>
                <w:sz w:val="17"/>
                <w:szCs w:val="17"/>
                <w:lang w:val="fr-FR"/>
              </w:rPr>
            </w:pPr>
            <w:r w:rsidRPr="00A13740">
              <w:rPr>
                <w:color w:val="000000" w:themeColor="text1"/>
                <w:sz w:val="17"/>
                <w:szCs w:val="17"/>
                <w:lang w:val="fr-FR"/>
              </w:rPr>
              <w:t>Point de départ des réductions globales durables :</w:t>
            </w:r>
          </w:p>
        </w:tc>
        <w:tc>
          <w:tcPr>
            <w:tcW w:w="587" w:type="pct"/>
            <w:shd w:val="clear" w:color="auto" w:fill="auto"/>
          </w:tcPr>
          <w:p w:rsidR="00EC53CE" w:rsidRPr="00A13740" w:rsidRDefault="00EC53CE" w:rsidP="00BB7784">
            <w:pPr>
              <w:jc w:val="right"/>
              <w:rPr>
                <w:color w:val="000000" w:themeColor="text1"/>
                <w:sz w:val="17"/>
                <w:szCs w:val="17"/>
                <w:lang w:val="fr-FR"/>
              </w:rPr>
            </w:pPr>
            <w:r w:rsidRPr="00A13740">
              <w:rPr>
                <w:color w:val="000000" w:themeColor="text1"/>
                <w:sz w:val="17"/>
                <w:szCs w:val="17"/>
                <w:lang w:val="fr-FR"/>
              </w:rPr>
              <w:t>45,7</w:t>
            </w:r>
          </w:p>
        </w:tc>
      </w:tr>
      <w:tr w:rsidR="00EC53CE" w:rsidRPr="00F36C81" w:rsidTr="00E34727">
        <w:trPr>
          <w:trHeight w:hRule="exact" w:val="238"/>
        </w:trPr>
        <w:tc>
          <w:tcPr>
            <w:tcW w:w="5000" w:type="pct"/>
            <w:gridSpan w:val="4"/>
            <w:shd w:val="clear" w:color="auto" w:fill="auto"/>
          </w:tcPr>
          <w:p w:rsidR="00EC53CE" w:rsidRPr="00A13740" w:rsidRDefault="00EC53CE" w:rsidP="00BB7784">
            <w:pPr>
              <w:jc w:val="center"/>
              <w:rPr>
                <w:b/>
                <w:color w:val="000000" w:themeColor="text1"/>
                <w:sz w:val="17"/>
                <w:szCs w:val="17"/>
                <w:lang w:val="fr-FR"/>
              </w:rPr>
            </w:pPr>
            <w:r w:rsidRPr="00A13740">
              <w:rPr>
                <w:b/>
                <w:color w:val="000000" w:themeColor="text1"/>
                <w:sz w:val="17"/>
                <w:szCs w:val="17"/>
                <w:lang w:val="fr-FR"/>
              </w:rPr>
              <w:t>CONSOMMATION ADMISSIBLE AU FINANCEMENT (tonnes PAO)</w:t>
            </w:r>
          </w:p>
        </w:tc>
      </w:tr>
      <w:tr w:rsidR="00EC53CE" w:rsidRPr="00A13740" w:rsidTr="00E34727">
        <w:trPr>
          <w:trHeight w:hRule="exact" w:val="238"/>
        </w:trPr>
        <w:tc>
          <w:tcPr>
            <w:tcW w:w="1063" w:type="pct"/>
            <w:shd w:val="clear" w:color="auto" w:fill="auto"/>
          </w:tcPr>
          <w:p w:rsidR="00EC53CE" w:rsidRPr="00A13740" w:rsidRDefault="00EC53CE" w:rsidP="00BB7784">
            <w:pPr>
              <w:jc w:val="center"/>
              <w:rPr>
                <w:color w:val="000000" w:themeColor="text1"/>
                <w:sz w:val="17"/>
                <w:szCs w:val="17"/>
                <w:lang w:val="fr-FR"/>
              </w:rPr>
            </w:pPr>
            <w:r w:rsidRPr="00A13740">
              <w:rPr>
                <w:color w:val="000000" w:themeColor="text1"/>
                <w:sz w:val="17"/>
                <w:szCs w:val="17"/>
                <w:lang w:val="fr-FR"/>
              </w:rPr>
              <w:t>Déjà approuvée :</w:t>
            </w:r>
          </w:p>
        </w:tc>
        <w:tc>
          <w:tcPr>
            <w:tcW w:w="891" w:type="pct"/>
            <w:shd w:val="clear" w:color="auto" w:fill="auto"/>
          </w:tcPr>
          <w:p w:rsidR="00EC53CE" w:rsidRPr="00A13740" w:rsidRDefault="00EC53CE" w:rsidP="00BB7784">
            <w:pPr>
              <w:tabs>
                <w:tab w:val="left" w:pos="255"/>
              </w:tabs>
              <w:jc w:val="right"/>
              <w:rPr>
                <w:color w:val="000000" w:themeColor="text1"/>
                <w:sz w:val="17"/>
                <w:szCs w:val="17"/>
                <w:lang w:val="fr-FR"/>
              </w:rPr>
            </w:pPr>
            <w:r w:rsidRPr="00A13740">
              <w:rPr>
                <w:color w:val="000000" w:themeColor="text1"/>
                <w:sz w:val="17"/>
                <w:szCs w:val="17"/>
                <w:lang w:val="fr-FR"/>
              </w:rPr>
              <w:t>10,6</w:t>
            </w:r>
          </w:p>
        </w:tc>
        <w:tc>
          <w:tcPr>
            <w:tcW w:w="2460" w:type="pct"/>
            <w:shd w:val="clear" w:color="auto" w:fill="auto"/>
          </w:tcPr>
          <w:p w:rsidR="00EC53CE" w:rsidRPr="00A13740" w:rsidRDefault="00EC53CE" w:rsidP="00BB7784">
            <w:pPr>
              <w:jc w:val="center"/>
              <w:rPr>
                <w:color w:val="000000" w:themeColor="text1"/>
                <w:sz w:val="17"/>
                <w:szCs w:val="17"/>
                <w:lang w:val="fr-FR"/>
              </w:rPr>
            </w:pPr>
            <w:r w:rsidRPr="00A13740">
              <w:rPr>
                <w:color w:val="000000" w:themeColor="text1"/>
                <w:sz w:val="17"/>
                <w:szCs w:val="17"/>
                <w:lang w:val="fr-FR"/>
              </w:rPr>
              <w:t>Restante :</w:t>
            </w:r>
          </w:p>
        </w:tc>
        <w:tc>
          <w:tcPr>
            <w:tcW w:w="587" w:type="pct"/>
            <w:shd w:val="clear" w:color="auto" w:fill="auto"/>
          </w:tcPr>
          <w:p w:rsidR="00EC53CE" w:rsidRPr="00A13740" w:rsidRDefault="00EC53CE" w:rsidP="00BB7784">
            <w:pPr>
              <w:jc w:val="right"/>
              <w:rPr>
                <w:color w:val="000000" w:themeColor="text1"/>
                <w:sz w:val="17"/>
                <w:szCs w:val="17"/>
                <w:lang w:val="fr-FR"/>
              </w:rPr>
            </w:pPr>
            <w:r w:rsidRPr="00A13740">
              <w:rPr>
                <w:color w:val="000000" w:themeColor="text1"/>
                <w:sz w:val="17"/>
                <w:szCs w:val="17"/>
                <w:lang w:val="fr-FR"/>
              </w:rPr>
              <w:t>35,1</w:t>
            </w:r>
          </w:p>
        </w:tc>
      </w:tr>
    </w:tbl>
    <w:p w:rsidR="00EC53CE" w:rsidRPr="00E34727" w:rsidRDefault="00EC53CE" w:rsidP="00E34727">
      <w:pPr>
        <w:spacing w:line="80" w:lineRule="exact"/>
        <w:jc w:val="center"/>
        <w:rPr>
          <w:color w:val="000000" w:themeColor="text1"/>
          <w:sz w:val="16"/>
          <w:szCs w:val="16"/>
          <w:lang w:val="fr-FR"/>
        </w:rPr>
      </w:pPr>
    </w:p>
    <w:tbl>
      <w:tblPr>
        <w:tblStyle w:val="TableGrid"/>
        <w:tblW w:w="5458" w:type="pct"/>
        <w:tblInd w:w="-431" w:type="dxa"/>
        <w:tblLook w:val="04A0" w:firstRow="1" w:lastRow="0" w:firstColumn="1" w:lastColumn="0" w:noHBand="0" w:noVBand="1"/>
      </w:tblPr>
      <w:tblGrid>
        <w:gridCol w:w="1656"/>
        <w:gridCol w:w="3210"/>
        <w:gridCol w:w="1019"/>
        <w:gridCol w:w="1019"/>
        <w:gridCol w:w="1019"/>
        <w:gridCol w:w="1019"/>
        <w:gridCol w:w="1264"/>
      </w:tblGrid>
      <w:tr w:rsidR="00EC53CE" w:rsidRPr="00A13740" w:rsidTr="00E34727">
        <w:trPr>
          <w:trHeight w:val="272"/>
        </w:trPr>
        <w:tc>
          <w:tcPr>
            <w:tcW w:w="2385" w:type="pct"/>
            <w:gridSpan w:val="2"/>
            <w:shd w:val="clear" w:color="auto" w:fill="auto"/>
          </w:tcPr>
          <w:p w:rsidR="00EC53CE" w:rsidRPr="00A13740" w:rsidRDefault="00EC53CE" w:rsidP="00BB7784">
            <w:pPr>
              <w:jc w:val="left"/>
              <w:rPr>
                <w:b/>
                <w:color w:val="000000" w:themeColor="text1"/>
                <w:sz w:val="17"/>
                <w:szCs w:val="17"/>
                <w:lang w:val="fr-FR"/>
              </w:rPr>
            </w:pPr>
            <w:r w:rsidRPr="00A13740">
              <w:rPr>
                <w:b/>
                <w:color w:val="000000" w:themeColor="text1"/>
                <w:sz w:val="17"/>
                <w:szCs w:val="17"/>
                <w:lang w:val="fr-FR"/>
              </w:rPr>
              <w:t>(V) PLAN D’ACTIVITÉS</w:t>
            </w:r>
          </w:p>
        </w:tc>
        <w:tc>
          <w:tcPr>
            <w:tcW w:w="499" w:type="pct"/>
            <w:shd w:val="clear" w:color="auto" w:fill="auto"/>
          </w:tcPr>
          <w:p w:rsidR="00EC53CE" w:rsidRPr="00A13740" w:rsidRDefault="00EC53CE" w:rsidP="00BB7784">
            <w:pPr>
              <w:jc w:val="center"/>
              <w:rPr>
                <w:b/>
                <w:color w:val="000000" w:themeColor="text1"/>
                <w:sz w:val="17"/>
                <w:szCs w:val="17"/>
                <w:lang w:val="fr-FR"/>
              </w:rPr>
            </w:pPr>
            <w:r w:rsidRPr="00A13740">
              <w:rPr>
                <w:b/>
                <w:color w:val="000000" w:themeColor="text1"/>
                <w:sz w:val="17"/>
                <w:szCs w:val="17"/>
                <w:lang w:val="fr-FR"/>
              </w:rPr>
              <w:t>2019</w:t>
            </w:r>
          </w:p>
        </w:tc>
        <w:tc>
          <w:tcPr>
            <w:tcW w:w="499" w:type="pct"/>
          </w:tcPr>
          <w:p w:rsidR="00EC53CE" w:rsidRPr="00A13740" w:rsidRDefault="00EC53CE" w:rsidP="00BB7784">
            <w:pPr>
              <w:jc w:val="center"/>
              <w:rPr>
                <w:b/>
                <w:color w:val="000000" w:themeColor="text1"/>
                <w:sz w:val="17"/>
                <w:szCs w:val="17"/>
                <w:lang w:val="fr-FR"/>
              </w:rPr>
            </w:pPr>
            <w:r w:rsidRPr="00A13740">
              <w:rPr>
                <w:b/>
                <w:color w:val="000000" w:themeColor="text1"/>
                <w:sz w:val="17"/>
                <w:szCs w:val="17"/>
                <w:lang w:val="fr-FR"/>
              </w:rPr>
              <w:t>2020</w:t>
            </w:r>
          </w:p>
        </w:tc>
        <w:tc>
          <w:tcPr>
            <w:tcW w:w="499" w:type="pct"/>
          </w:tcPr>
          <w:p w:rsidR="00EC53CE" w:rsidRPr="00A13740" w:rsidRDefault="00EC53CE" w:rsidP="00BB7784">
            <w:pPr>
              <w:jc w:val="center"/>
              <w:rPr>
                <w:b/>
                <w:color w:val="000000" w:themeColor="text1"/>
                <w:sz w:val="17"/>
                <w:szCs w:val="17"/>
                <w:lang w:val="fr-FR"/>
              </w:rPr>
            </w:pPr>
            <w:r w:rsidRPr="00A13740">
              <w:rPr>
                <w:b/>
                <w:color w:val="000000" w:themeColor="text1"/>
                <w:sz w:val="17"/>
                <w:szCs w:val="17"/>
                <w:lang w:val="fr-FR"/>
              </w:rPr>
              <w:t>2021</w:t>
            </w:r>
          </w:p>
        </w:tc>
        <w:tc>
          <w:tcPr>
            <w:tcW w:w="499" w:type="pct"/>
          </w:tcPr>
          <w:p w:rsidR="00EC53CE" w:rsidRPr="00A13740" w:rsidRDefault="00EC53CE" w:rsidP="00BB7784">
            <w:pPr>
              <w:jc w:val="center"/>
              <w:rPr>
                <w:b/>
                <w:color w:val="000000" w:themeColor="text1"/>
                <w:sz w:val="17"/>
                <w:szCs w:val="17"/>
                <w:lang w:val="fr-FR"/>
              </w:rPr>
            </w:pPr>
            <w:r w:rsidRPr="00A13740">
              <w:rPr>
                <w:b/>
                <w:color w:val="000000" w:themeColor="text1"/>
                <w:sz w:val="17"/>
                <w:szCs w:val="17"/>
                <w:lang w:val="fr-FR"/>
              </w:rPr>
              <w:t>Après 2021</w:t>
            </w:r>
          </w:p>
        </w:tc>
        <w:tc>
          <w:tcPr>
            <w:tcW w:w="619" w:type="pct"/>
          </w:tcPr>
          <w:p w:rsidR="00EC53CE" w:rsidRPr="00A13740" w:rsidRDefault="00EC53CE" w:rsidP="00BB7784">
            <w:pPr>
              <w:jc w:val="center"/>
              <w:rPr>
                <w:b/>
                <w:color w:val="000000" w:themeColor="text1"/>
                <w:sz w:val="17"/>
                <w:szCs w:val="17"/>
                <w:lang w:val="fr-FR"/>
              </w:rPr>
            </w:pPr>
            <w:r w:rsidRPr="00A13740">
              <w:rPr>
                <w:b/>
                <w:color w:val="000000" w:themeColor="text1"/>
                <w:sz w:val="17"/>
                <w:szCs w:val="17"/>
                <w:lang w:val="fr-FR"/>
              </w:rPr>
              <w:t>Total</w:t>
            </w:r>
          </w:p>
        </w:tc>
      </w:tr>
      <w:tr w:rsidR="00EC53CE" w:rsidRPr="00A13740" w:rsidTr="00E34727">
        <w:trPr>
          <w:trHeight w:val="272"/>
        </w:trPr>
        <w:tc>
          <w:tcPr>
            <w:tcW w:w="812" w:type="pct"/>
            <w:vMerge w:val="restart"/>
            <w:shd w:val="clear" w:color="auto" w:fill="auto"/>
          </w:tcPr>
          <w:p w:rsidR="00EC53CE" w:rsidRPr="00A13740" w:rsidRDefault="00EC53CE" w:rsidP="00BB7784">
            <w:pPr>
              <w:rPr>
                <w:color w:val="000000" w:themeColor="text1"/>
                <w:sz w:val="17"/>
                <w:szCs w:val="17"/>
                <w:lang w:val="fr-FR"/>
              </w:rPr>
            </w:pPr>
            <w:r w:rsidRPr="00A13740">
              <w:rPr>
                <w:color w:val="000000" w:themeColor="text1"/>
                <w:sz w:val="17"/>
                <w:szCs w:val="17"/>
                <w:lang w:val="fr-FR"/>
              </w:rPr>
              <w:t>PNUE</w:t>
            </w:r>
          </w:p>
        </w:tc>
        <w:tc>
          <w:tcPr>
            <w:tcW w:w="1572" w:type="pct"/>
            <w:shd w:val="clear" w:color="auto" w:fill="auto"/>
          </w:tcPr>
          <w:p w:rsidR="00EC53CE" w:rsidRPr="00A13740" w:rsidRDefault="00EC53CE" w:rsidP="00BB7784">
            <w:pPr>
              <w:jc w:val="left"/>
              <w:rPr>
                <w:color w:val="000000" w:themeColor="text1"/>
                <w:sz w:val="17"/>
                <w:szCs w:val="17"/>
                <w:lang w:val="fr-FR"/>
              </w:rPr>
            </w:pPr>
            <w:r w:rsidRPr="00A13740">
              <w:rPr>
                <w:color w:val="000000" w:themeColor="text1"/>
                <w:sz w:val="17"/>
                <w:szCs w:val="17"/>
                <w:lang w:val="fr-FR"/>
              </w:rPr>
              <w:t xml:space="preserve">Élimination des </w:t>
            </w:r>
            <w:r w:rsidRPr="00A13740">
              <w:rPr>
                <w:color w:val="000000" w:themeColor="text1"/>
                <w:sz w:val="17"/>
                <w:szCs w:val="17"/>
                <w:lang w:val="fr-FR"/>
              </w:rPr>
              <w:noBreakHyphen/>
              <w:t>SAO (tonnes PAO)</w:t>
            </w:r>
          </w:p>
        </w:tc>
        <w:tc>
          <w:tcPr>
            <w:tcW w:w="499" w:type="pct"/>
            <w:shd w:val="clear" w:color="auto" w:fill="auto"/>
          </w:tcPr>
          <w:p w:rsidR="00EC53CE" w:rsidRPr="00A13740" w:rsidRDefault="00EC53CE" w:rsidP="00BB7784">
            <w:pPr>
              <w:jc w:val="right"/>
              <w:rPr>
                <w:color w:val="000000" w:themeColor="text1"/>
                <w:sz w:val="17"/>
                <w:szCs w:val="17"/>
                <w:lang w:val="fr-FR"/>
              </w:rPr>
            </w:pPr>
            <w:r w:rsidRPr="00A13740">
              <w:rPr>
                <w:color w:val="000000" w:themeColor="text1"/>
                <w:sz w:val="17"/>
                <w:szCs w:val="17"/>
                <w:lang w:val="fr-FR"/>
              </w:rPr>
              <w:t>1,50</w:t>
            </w:r>
          </w:p>
        </w:tc>
        <w:tc>
          <w:tcPr>
            <w:tcW w:w="499" w:type="pct"/>
          </w:tcPr>
          <w:p w:rsidR="00EC53CE" w:rsidRPr="00A13740" w:rsidRDefault="00EC53CE" w:rsidP="00BB7784">
            <w:pPr>
              <w:jc w:val="right"/>
              <w:rPr>
                <w:color w:val="000000" w:themeColor="text1"/>
                <w:sz w:val="17"/>
                <w:szCs w:val="17"/>
                <w:lang w:val="fr-FR"/>
              </w:rPr>
            </w:pPr>
            <w:r w:rsidRPr="00A13740">
              <w:rPr>
                <w:color w:val="000000" w:themeColor="text1"/>
                <w:sz w:val="17"/>
                <w:szCs w:val="17"/>
                <w:lang w:val="fr-FR"/>
              </w:rPr>
              <w:t>0,00</w:t>
            </w:r>
          </w:p>
        </w:tc>
        <w:tc>
          <w:tcPr>
            <w:tcW w:w="499" w:type="pct"/>
          </w:tcPr>
          <w:p w:rsidR="00EC53CE" w:rsidRPr="00A13740" w:rsidRDefault="00EC53CE" w:rsidP="00BB7784">
            <w:pPr>
              <w:jc w:val="right"/>
              <w:rPr>
                <w:color w:val="000000" w:themeColor="text1"/>
                <w:sz w:val="17"/>
                <w:szCs w:val="17"/>
                <w:lang w:val="fr-FR"/>
              </w:rPr>
            </w:pPr>
            <w:r w:rsidRPr="00A13740">
              <w:rPr>
                <w:color w:val="000000" w:themeColor="text1"/>
                <w:sz w:val="17"/>
                <w:szCs w:val="17"/>
                <w:lang w:val="fr-FR"/>
              </w:rPr>
              <w:t>0,00</w:t>
            </w:r>
          </w:p>
        </w:tc>
        <w:tc>
          <w:tcPr>
            <w:tcW w:w="499" w:type="pct"/>
          </w:tcPr>
          <w:p w:rsidR="00EC53CE" w:rsidRPr="00A13740" w:rsidRDefault="00EC53CE" w:rsidP="00BB7784">
            <w:pPr>
              <w:jc w:val="right"/>
              <w:rPr>
                <w:color w:val="000000" w:themeColor="text1"/>
                <w:sz w:val="17"/>
                <w:szCs w:val="17"/>
                <w:lang w:val="fr-FR"/>
              </w:rPr>
            </w:pPr>
            <w:r w:rsidRPr="00A13740">
              <w:rPr>
                <w:color w:val="000000" w:themeColor="text1"/>
                <w:sz w:val="17"/>
                <w:szCs w:val="17"/>
                <w:lang w:val="fr-FR"/>
              </w:rPr>
              <w:t>1,50</w:t>
            </w:r>
          </w:p>
        </w:tc>
        <w:tc>
          <w:tcPr>
            <w:tcW w:w="619" w:type="pct"/>
          </w:tcPr>
          <w:p w:rsidR="00EC53CE" w:rsidRPr="00A13740" w:rsidRDefault="00EC53CE" w:rsidP="00BB7784">
            <w:pPr>
              <w:jc w:val="right"/>
              <w:rPr>
                <w:color w:val="000000" w:themeColor="text1"/>
                <w:sz w:val="17"/>
                <w:szCs w:val="17"/>
                <w:lang w:val="fr-FR"/>
              </w:rPr>
            </w:pPr>
            <w:r w:rsidRPr="00A13740">
              <w:rPr>
                <w:color w:val="000000" w:themeColor="text1"/>
                <w:sz w:val="17"/>
                <w:szCs w:val="17"/>
                <w:lang w:val="fr-FR"/>
              </w:rPr>
              <w:t>3,00</w:t>
            </w:r>
          </w:p>
        </w:tc>
      </w:tr>
      <w:tr w:rsidR="00EC53CE" w:rsidRPr="00A13740" w:rsidTr="00E34727">
        <w:trPr>
          <w:trHeight w:val="272"/>
        </w:trPr>
        <w:tc>
          <w:tcPr>
            <w:tcW w:w="812" w:type="pct"/>
            <w:vMerge/>
            <w:shd w:val="clear" w:color="auto" w:fill="auto"/>
          </w:tcPr>
          <w:p w:rsidR="00EC53CE" w:rsidRPr="00A13740" w:rsidRDefault="00EC53CE" w:rsidP="00BB7784">
            <w:pPr>
              <w:jc w:val="center"/>
              <w:rPr>
                <w:color w:val="000000" w:themeColor="text1"/>
                <w:sz w:val="17"/>
                <w:szCs w:val="17"/>
                <w:lang w:val="fr-FR"/>
              </w:rPr>
            </w:pPr>
          </w:p>
        </w:tc>
        <w:tc>
          <w:tcPr>
            <w:tcW w:w="1572" w:type="pct"/>
            <w:shd w:val="clear" w:color="auto" w:fill="auto"/>
          </w:tcPr>
          <w:p w:rsidR="00EC53CE" w:rsidRPr="00A13740" w:rsidRDefault="00EC53CE" w:rsidP="00BB7784">
            <w:pPr>
              <w:jc w:val="left"/>
              <w:rPr>
                <w:color w:val="000000" w:themeColor="text1"/>
                <w:sz w:val="17"/>
                <w:szCs w:val="17"/>
                <w:lang w:val="fr-FR"/>
              </w:rPr>
            </w:pPr>
            <w:r w:rsidRPr="00A13740">
              <w:rPr>
                <w:color w:val="000000" w:themeColor="text1"/>
                <w:sz w:val="17"/>
                <w:szCs w:val="17"/>
                <w:lang w:val="fr-FR"/>
              </w:rPr>
              <w:t>Financement ($ US)</w:t>
            </w:r>
          </w:p>
        </w:tc>
        <w:tc>
          <w:tcPr>
            <w:tcW w:w="499" w:type="pct"/>
            <w:shd w:val="clear" w:color="auto" w:fill="auto"/>
          </w:tcPr>
          <w:p w:rsidR="00EC53CE" w:rsidRPr="00A13740" w:rsidRDefault="00EC53CE" w:rsidP="00BB7784">
            <w:pPr>
              <w:jc w:val="right"/>
              <w:rPr>
                <w:color w:val="000000" w:themeColor="text1"/>
                <w:sz w:val="17"/>
                <w:szCs w:val="17"/>
                <w:lang w:val="fr-FR"/>
              </w:rPr>
            </w:pPr>
            <w:r w:rsidRPr="00A13740">
              <w:rPr>
                <w:color w:val="000000" w:themeColor="text1"/>
                <w:sz w:val="17"/>
                <w:szCs w:val="17"/>
                <w:lang w:val="fr-FR"/>
              </w:rPr>
              <w:t>75 605</w:t>
            </w:r>
          </w:p>
        </w:tc>
        <w:tc>
          <w:tcPr>
            <w:tcW w:w="499" w:type="pct"/>
          </w:tcPr>
          <w:p w:rsidR="00EC53CE" w:rsidRPr="00A13740" w:rsidRDefault="00EC53CE" w:rsidP="00BB7784">
            <w:pPr>
              <w:jc w:val="right"/>
              <w:rPr>
                <w:color w:val="000000" w:themeColor="text1"/>
                <w:sz w:val="17"/>
                <w:szCs w:val="17"/>
                <w:lang w:val="fr-FR"/>
              </w:rPr>
            </w:pPr>
            <w:r w:rsidRPr="00A13740">
              <w:rPr>
                <w:color w:val="000000" w:themeColor="text1"/>
                <w:sz w:val="17"/>
                <w:szCs w:val="17"/>
                <w:lang w:val="fr-FR"/>
              </w:rPr>
              <w:t>0</w:t>
            </w:r>
          </w:p>
        </w:tc>
        <w:tc>
          <w:tcPr>
            <w:tcW w:w="499" w:type="pct"/>
          </w:tcPr>
          <w:p w:rsidR="00EC53CE" w:rsidRPr="00A13740" w:rsidRDefault="00EC53CE" w:rsidP="00BB7784">
            <w:pPr>
              <w:jc w:val="right"/>
              <w:rPr>
                <w:color w:val="000000" w:themeColor="text1"/>
                <w:sz w:val="17"/>
                <w:szCs w:val="17"/>
                <w:lang w:val="fr-FR"/>
              </w:rPr>
            </w:pPr>
            <w:r w:rsidRPr="00A13740">
              <w:rPr>
                <w:color w:val="000000" w:themeColor="text1"/>
                <w:sz w:val="17"/>
                <w:szCs w:val="17"/>
                <w:lang w:val="fr-FR"/>
              </w:rPr>
              <w:t>0</w:t>
            </w:r>
          </w:p>
        </w:tc>
        <w:tc>
          <w:tcPr>
            <w:tcW w:w="499" w:type="pct"/>
          </w:tcPr>
          <w:p w:rsidR="00EC53CE" w:rsidRPr="00A13740" w:rsidRDefault="00EC53CE" w:rsidP="00BB7784">
            <w:pPr>
              <w:jc w:val="right"/>
              <w:rPr>
                <w:color w:val="000000" w:themeColor="text1"/>
                <w:sz w:val="17"/>
                <w:szCs w:val="17"/>
                <w:lang w:val="fr-FR"/>
              </w:rPr>
            </w:pPr>
            <w:r w:rsidRPr="00A13740">
              <w:rPr>
                <w:color w:val="000000" w:themeColor="text1"/>
                <w:sz w:val="17"/>
                <w:szCs w:val="17"/>
                <w:lang w:val="fr-FR"/>
              </w:rPr>
              <w:t>147 930</w:t>
            </w:r>
          </w:p>
        </w:tc>
        <w:tc>
          <w:tcPr>
            <w:tcW w:w="619" w:type="pct"/>
          </w:tcPr>
          <w:p w:rsidR="00EC53CE" w:rsidRPr="00A13740" w:rsidRDefault="00EC53CE" w:rsidP="00BB7784">
            <w:pPr>
              <w:jc w:val="right"/>
              <w:rPr>
                <w:color w:val="000000" w:themeColor="text1"/>
                <w:sz w:val="17"/>
                <w:szCs w:val="17"/>
                <w:lang w:val="fr-FR"/>
              </w:rPr>
            </w:pPr>
            <w:r w:rsidRPr="00A13740">
              <w:rPr>
                <w:color w:val="000000" w:themeColor="text1"/>
                <w:sz w:val="17"/>
                <w:szCs w:val="17"/>
                <w:lang w:val="fr-FR"/>
              </w:rPr>
              <w:t>223 535</w:t>
            </w:r>
          </w:p>
        </w:tc>
      </w:tr>
      <w:tr w:rsidR="00EC53CE" w:rsidRPr="00A13740" w:rsidTr="00E34727">
        <w:trPr>
          <w:trHeight w:val="272"/>
        </w:trPr>
        <w:tc>
          <w:tcPr>
            <w:tcW w:w="812" w:type="pct"/>
            <w:vMerge w:val="restart"/>
            <w:shd w:val="clear" w:color="auto" w:fill="auto"/>
          </w:tcPr>
          <w:p w:rsidR="00EC53CE" w:rsidRPr="00A13740" w:rsidRDefault="00EC53CE" w:rsidP="00BB7784">
            <w:pPr>
              <w:jc w:val="left"/>
              <w:rPr>
                <w:color w:val="000000" w:themeColor="text1"/>
                <w:sz w:val="17"/>
                <w:szCs w:val="17"/>
                <w:lang w:val="fr-FR"/>
              </w:rPr>
            </w:pPr>
            <w:r w:rsidRPr="00A13740">
              <w:rPr>
                <w:color w:val="000000" w:themeColor="text1"/>
                <w:sz w:val="17"/>
                <w:szCs w:val="17"/>
                <w:lang w:val="fr-FR"/>
              </w:rPr>
              <w:t>ONUDI</w:t>
            </w:r>
          </w:p>
        </w:tc>
        <w:tc>
          <w:tcPr>
            <w:tcW w:w="1572" w:type="pct"/>
            <w:shd w:val="clear" w:color="auto" w:fill="auto"/>
          </w:tcPr>
          <w:p w:rsidR="00EC53CE" w:rsidRPr="00A13740" w:rsidRDefault="00EC53CE" w:rsidP="00BB7784">
            <w:pPr>
              <w:jc w:val="left"/>
              <w:rPr>
                <w:color w:val="000000" w:themeColor="text1"/>
                <w:sz w:val="17"/>
                <w:szCs w:val="17"/>
                <w:lang w:val="fr-FR"/>
              </w:rPr>
            </w:pPr>
            <w:r w:rsidRPr="00A13740">
              <w:rPr>
                <w:color w:val="000000" w:themeColor="text1"/>
                <w:sz w:val="17"/>
                <w:szCs w:val="17"/>
                <w:lang w:val="fr-FR"/>
              </w:rPr>
              <w:t xml:space="preserve">Élimination des </w:t>
            </w:r>
            <w:r w:rsidRPr="00A13740">
              <w:rPr>
                <w:color w:val="000000" w:themeColor="text1"/>
                <w:sz w:val="17"/>
                <w:szCs w:val="17"/>
                <w:lang w:val="fr-FR"/>
              </w:rPr>
              <w:noBreakHyphen/>
              <w:t>SAO (tonnes PAO)</w:t>
            </w:r>
          </w:p>
        </w:tc>
        <w:tc>
          <w:tcPr>
            <w:tcW w:w="499" w:type="pct"/>
            <w:shd w:val="clear" w:color="auto" w:fill="auto"/>
          </w:tcPr>
          <w:p w:rsidR="00EC53CE" w:rsidRPr="00A13740" w:rsidRDefault="00EC53CE" w:rsidP="00BB7784">
            <w:pPr>
              <w:jc w:val="right"/>
              <w:rPr>
                <w:color w:val="000000" w:themeColor="text1"/>
                <w:sz w:val="17"/>
                <w:szCs w:val="17"/>
                <w:lang w:val="fr-FR"/>
              </w:rPr>
            </w:pPr>
            <w:r w:rsidRPr="00A13740">
              <w:rPr>
                <w:color w:val="000000" w:themeColor="text1"/>
                <w:sz w:val="17"/>
                <w:szCs w:val="17"/>
                <w:lang w:val="fr-FR"/>
              </w:rPr>
              <w:t>0,00</w:t>
            </w:r>
          </w:p>
        </w:tc>
        <w:tc>
          <w:tcPr>
            <w:tcW w:w="499" w:type="pct"/>
          </w:tcPr>
          <w:p w:rsidR="00EC53CE" w:rsidRPr="00A13740" w:rsidRDefault="00EC53CE" w:rsidP="00BB7784">
            <w:pPr>
              <w:jc w:val="right"/>
              <w:rPr>
                <w:color w:val="000000" w:themeColor="text1"/>
                <w:sz w:val="17"/>
                <w:szCs w:val="17"/>
                <w:lang w:val="fr-FR"/>
              </w:rPr>
            </w:pPr>
            <w:r w:rsidRPr="00A13740">
              <w:rPr>
                <w:color w:val="000000" w:themeColor="text1"/>
                <w:sz w:val="17"/>
                <w:szCs w:val="17"/>
                <w:lang w:val="fr-FR"/>
              </w:rPr>
              <w:t>9,00</w:t>
            </w:r>
          </w:p>
        </w:tc>
        <w:tc>
          <w:tcPr>
            <w:tcW w:w="499" w:type="pct"/>
          </w:tcPr>
          <w:p w:rsidR="00EC53CE" w:rsidRPr="00A13740" w:rsidRDefault="00EC53CE" w:rsidP="00BB7784">
            <w:pPr>
              <w:jc w:val="right"/>
              <w:rPr>
                <w:color w:val="000000" w:themeColor="text1"/>
                <w:sz w:val="17"/>
                <w:szCs w:val="17"/>
                <w:lang w:val="fr-FR"/>
              </w:rPr>
            </w:pPr>
            <w:r w:rsidRPr="00A13740">
              <w:rPr>
                <w:color w:val="000000" w:themeColor="text1"/>
                <w:sz w:val="17"/>
                <w:szCs w:val="17"/>
                <w:lang w:val="fr-FR"/>
              </w:rPr>
              <w:t>0,00</w:t>
            </w:r>
          </w:p>
        </w:tc>
        <w:tc>
          <w:tcPr>
            <w:tcW w:w="499" w:type="pct"/>
          </w:tcPr>
          <w:p w:rsidR="00EC53CE" w:rsidRPr="00A13740" w:rsidRDefault="00EC53CE" w:rsidP="00BB7784">
            <w:pPr>
              <w:jc w:val="right"/>
              <w:rPr>
                <w:color w:val="000000" w:themeColor="text1"/>
                <w:sz w:val="17"/>
                <w:szCs w:val="17"/>
                <w:lang w:val="fr-FR"/>
              </w:rPr>
            </w:pPr>
            <w:r w:rsidRPr="00A13740">
              <w:rPr>
                <w:color w:val="000000" w:themeColor="text1"/>
                <w:sz w:val="17"/>
                <w:szCs w:val="17"/>
                <w:lang w:val="fr-FR"/>
              </w:rPr>
              <w:t>4,00</w:t>
            </w:r>
          </w:p>
        </w:tc>
        <w:tc>
          <w:tcPr>
            <w:tcW w:w="619" w:type="pct"/>
          </w:tcPr>
          <w:p w:rsidR="00EC53CE" w:rsidRPr="00A13740" w:rsidRDefault="00EC53CE" w:rsidP="00BB7784">
            <w:pPr>
              <w:jc w:val="right"/>
              <w:rPr>
                <w:color w:val="000000" w:themeColor="text1"/>
                <w:sz w:val="17"/>
                <w:szCs w:val="17"/>
                <w:lang w:val="fr-FR"/>
              </w:rPr>
            </w:pPr>
            <w:r w:rsidRPr="00A13740">
              <w:rPr>
                <w:color w:val="000000" w:themeColor="text1"/>
                <w:sz w:val="17"/>
                <w:szCs w:val="17"/>
                <w:lang w:val="fr-FR"/>
              </w:rPr>
              <w:t>13,00</w:t>
            </w:r>
          </w:p>
        </w:tc>
      </w:tr>
      <w:tr w:rsidR="00EC53CE" w:rsidRPr="00A13740" w:rsidTr="00E34727">
        <w:trPr>
          <w:trHeight w:val="272"/>
        </w:trPr>
        <w:tc>
          <w:tcPr>
            <w:tcW w:w="812" w:type="pct"/>
            <w:vMerge/>
            <w:shd w:val="clear" w:color="auto" w:fill="auto"/>
          </w:tcPr>
          <w:p w:rsidR="00EC53CE" w:rsidRPr="00A13740" w:rsidRDefault="00EC53CE" w:rsidP="00BB7784">
            <w:pPr>
              <w:jc w:val="center"/>
              <w:rPr>
                <w:color w:val="000000" w:themeColor="text1"/>
                <w:sz w:val="17"/>
                <w:szCs w:val="17"/>
                <w:lang w:val="fr-FR"/>
              </w:rPr>
            </w:pPr>
          </w:p>
        </w:tc>
        <w:tc>
          <w:tcPr>
            <w:tcW w:w="1572" w:type="pct"/>
            <w:shd w:val="clear" w:color="auto" w:fill="auto"/>
          </w:tcPr>
          <w:p w:rsidR="00EC53CE" w:rsidRPr="00A13740" w:rsidRDefault="00EC53CE" w:rsidP="00BB7784">
            <w:pPr>
              <w:jc w:val="left"/>
              <w:rPr>
                <w:color w:val="000000" w:themeColor="text1"/>
                <w:sz w:val="17"/>
                <w:szCs w:val="17"/>
                <w:lang w:val="fr-FR"/>
              </w:rPr>
            </w:pPr>
            <w:r w:rsidRPr="00A13740">
              <w:rPr>
                <w:color w:val="000000" w:themeColor="text1"/>
                <w:sz w:val="17"/>
                <w:szCs w:val="17"/>
                <w:lang w:val="fr-FR"/>
              </w:rPr>
              <w:t>Financement ($ US)</w:t>
            </w:r>
          </w:p>
        </w:tc>
        <w:tc>
          <w:tcPr>
            <w:tcW w:w="499" w:type="pct"/>
            <w:shd w:val="clear" w:color="auto" w:fill="auto"/>
          </w:tcPr>
          <w:p w:rsidR="00EC53CE" w:rsidRPr="00A13740" w:rsidRDefault="00EC53CE" w:rsidP="00BB7784">
            <w:pPr>
              <w:jc w:val="right"/>
              <w:rPr>
                <w:color w:val="000000" w:themeColor="text1"/>
                <w:sz w:val="17"/>
                <w:szCs w:val="17"/>
                <w:lang w:val="fr-FR"/>
              </w:rPr>
            </w:pPr>
            <w:r w:rsidRPr="00A13740">
              <w:rPr>
                <w:color w:val="000000" w:themeColor="text1"/>
                <w:sz w:val="17"/>
                <w:szCs w:val="17"/>
                <w:lang w:val="fr-FR"/>
              </w:rPr>
              <w:t>0</w:t>
            </w:r>
          </w:p>
        </w:tc>
        <w:tc>
          <w:tcPr>
            <w:tcW w:w="499" w:type="pct"/>
          </w:tcPr>
          <w:p w:rsidR="00EC53CE" w:rsidRPr="00A13740" w:rsidRDefault="00EC53CE" w:rsidP="00BB7784">
            <w:pPr>
              <w:jc w:val="right"/>
              <w:rPr>
                <w:color w:val="000000" w:themeColor="text1"/>
                <w:sz w:val="17"/>
                <w:szCs w:val="17"/>
                <w:lang w:val="fr-FR"/>
              </w:rPr>
            </w:pPr>
            <w:r w:rsidRPr="00A13740">
              <w:rPr>
                <w:color w:val="000000" w:themeColor="text1"/>
                <w:sz w:val="17"/>
                <w:szCs w:val="17"/>
                <w:lang w:val="fr-FR"/>
              </w:rPr>
              <w:t>364 903</w:t>
            </w:r>
          </w:p>
        </w:tc>
        <w:tc>
          <w:tcPr>
            <w:tcW w:w="499" w:type="pct"/>
          </w:tcPr>
          <w:p w:rsidR="00EC53CE" w:rsidRPr="00A13740" w:rsidRDefault="00EC53CE" w:rsidP="00BB7784">
            <w:pPr>
              <w:jc w:val="right"/>
              <w:rPr>
                <w:color w:val="000000" w:themeColor="text1"/>
                <w:sz w:val="17"/>
                <w:szCs w:val="17"/>
                <w:lang w:val="fr-FR"/>
              </w:rPr>
            </w:pPr>
            <w:r w:rsidRPr="00A13740">
              <w:rPr>
                <w:color w:val="000000" w:themeColor="text1"/>
                <w:sz w:val="17"/>
                <w:szCs w:val="17"/>
                <w:lang w:val="fr-FR"/>
              </w:rPr>
              <w:t>0</w:t>
            </w:r>
          </w:p>
        </w:tc>
        <w:tc>
          <w:tcPr>
            <w:tcW w:w="499" w:type="pct"/>
          </w:tcPr>
          <w:p w:rsidR="00EC53CE" w:rsidRPr="00A13740" w:rsidRDefault="00EC53CE" w:rsidP="00BB7784">
            <w:pPr>
              <w:jc w:val="right"/>
              <w:rPr>
                <w:color w:val="000000" w:themeColor="text1"/>
                <w:sz w:val="17"/>
                <w:szCs w:val="17"/>
                <w:lang w:val="fr-FR"/>
              </w:rPr>
            </w:pPr>
            <w:r w:rsidRPr="00A13740">
              <w:rPr>
                <w:color w:val="000000" w:themeColor="text1"/>
                <w:sz w:val="17"/>
                <w:szCs w:val="17"/>
                <w:lang w:val="fr-FR"/>
              </w:rPr>
              <w:t>373 520</w:t>
            </w:r>
          </w:p>
        </w:tc>
        <w:tc>
          <w:tcPr>
            <w:tcW w:w="619" w:type="pct"/>
          </w:tcPr>
          <w:p w:rsidR="00EC53CE" w:rsidRPr="00A13740" w:rsidRDefault="00EC53CE" w:rsidP="00BB7784">
            <w:pPr>
              <w:jc w:val="right"/>
              <w:rPr>
                <w:color w:val="000000" w:themeColor="text1"/>
                <w:sz w:val="17"/>
                <w:szCs w:val="17"/>
                <w:lang w:val="fr-FR"/>
              </w:rPr>
            </w:pPr>
            <w:r w:rsidRPr="00A13740">
              <w:rPr>
                <w:color w:val="000000" w:themeColor="text1"/>
                <w:sz w:val="17"/>
                <w:szCs w:val="17"/>
                <w:lang w:val="fr-FR"/>
              </w:rPr>
              <w:t>738 423</w:t>
            </w:r>
          </w:p>
        </w:tc>
      </w:tr>
    </w:tbl>
    <w:p w:rsidR="00EC53CE" w:rsidRPr="00A13740" w:rsidRDefault="00EC53CE" w:rsidP="00EC53CE">
      <w:pPr>
        <w:spacing w:after="60"/>
        <w:jc w:val="center"/>
        <w:rPr>
          <w:color w:val="000000" w:themeColor="text1"/>
          <w:sz w:val="14"/>
          <w:szCs w:val="14"/>
          <w:lang w:val="fr-FR"/>
        </w:rPr>
      </w:pPr>
    </w:p>
    <w:tbl>
      <w:tblPr>
        <w:tblStyle w:val="TableGrid"/>
        <w:tblW w:w="5458" w:type="pct"/>
        <w:tblInd w:w="-431" w:type="dxa"/>
        <w:tblLayout w:type="fixed"/>
        <w:tblLook w:val="04A0" w:firstRow="1" w:lastRow="0" w:firstColumn="1" w:lastColumn="0" w:noHBand="0" w:noVBand="1"/>
      </w:tblPr>
      <w:tblGrid>
        <w:gridCol w:w="1672"/>
        <w:gridCol w:w="776"/>
        <w:gridCol w:w="1139"/>
        <w:gridCol w:w="976"/>
        <w:gridCol w:w="676"/>
        <w:gridCol w:w="676"/>
        <w:gridCol w:w="933"/>
        <w:gridCol w:w="798"/>
        <w:gridCol w:w="725"/>
        <w:gridCol w:w="845"/>
        <w:gridCol w:w="990"/>
      </w:tblGrid>
      <w:tr w:rsidR="00EC53CE" w:rsidRPr="00A13740" w:rsidTr="00E34727">
        <w:trPr>
          <w:trHeight w:hRule="exact" w:val="244"/>
        </w:trPr>
        <w:tc>
          <w:tcPr>
            <w:tcW w:w="1757" w:type="pct"/>
            <w:gridSpan w:val="3"/>
            <w:shd w:val="clear" w:color="auto" w:fill="auto"/>
            <w:noWrap/>
          </w:tcPr>
          <w:p w:rsidR="00EC53CE" w:rsidRPr="00A13740" w:rsidRDefault="00EC53CE" w:rsidP="00BB7784">
            <w:pPr>
              <w:jc w:val="left"/>
              <w:rPr>
                <w:b/>
                <w:color w:val="000000" w:themeColor="text1"/>
                <w:sz w:val="17"/>
                <w:szCs w:val="17"/>
                <w:lang w:val="fr-FR"/>
              </w:rPr>
            </w:pPr>
            <w:r w:rsidRPr="00A13740">
              <w:rPr>
                <w:b/>
                <w:color w:val="000000" w:themeColor="text1"/>
                <w:sz w:val="17"/>
                <w:szCs w:val="17"/>
                <w:lang w:val="fr-FR"/>
              </w:rPr>
              <w:t>(VI) DONNÉES DU PROJET</w:t>
            </w:r>
          </w:p>
        </w:tc>
        <w:tc>
          <w:tcPr>
            <w:tcW w:w="478" w:type="pct"/>
            <w:shd w:val="clear" w:color="auto" w:fill="auto"/>
            <w:noWrap/>
          </w:tcPr>
          <w:p w:rsidR="00EC53CE" w:rsidRPr="00A13740" w:rsidRDefault="00EC53CE" w:rsidP="00BB7784">
            <w:pPr>
              <w:jc w:val="center"/>
              <w:rPr>
                <w:b/>
                <w:color w:val="000000" w:themeColor="text1"/>
                <w:sz w:val="17"/>
                <w:szCs w:val="17"/>
                <w:lang w:val="fr-FR"/>
              </w:rPr>
            </w:pPr>
            <w:r w:rsidRPr="00A13740">
              <w:rPr>
                <w:b/>
                <w:color w:val="000000" w:themeColor="text1"/>
                <w:sz w:val="17"/>
                <w:szCs w:val="17"/>
                <w:lang w:val="fr-FR"/>
              </w:rPr>
              <w:t>2019</w:t>
            </w:r>
          </w:p>
        </w:tc>
        <w:tc>
          <w:tcPr>
            <w:tcW w:w="331" w:type="pct"/>
            <w:shd w:val="clear" w:color="auto" w:fill="auto"/>
            <w:noWrap/>
          </w:tcPr>
          <w:p w:rsidR="00EC53CE" w:rsidRPr="00A13740" w:rsidRDefault="00EC53CE" w:rsidP="00BB7784">
            <w:pPr>
              <w:jc w:val="center"/>
              <w:rPr>
                <w:b/>
                <w:color w:val="000000" w:themeColor="text1"/>
                <w:sz w:val="17"/>
                <w:szCs w:val="17"/>
                <w:lang w:val="fr-FR"/>
              </w:rPr>
            </w:pPr>
            <w:r w:rsidRPr="00A13740">
              <w:rPr>
                <w:b/>
                <w:color w:val="000000" w:themeColor="text1"/>
                <w:sz w:val="17"/>
                <w:szCs w:val="17"/>
                <w:lang w:val="fr-FR"/>
              </w:rPr>
              <w:t>2020</w:t>
            </w:r>
          </w:p>
        </w:tc>
        <w:tc>
          <w:tcPr>
            <w:tcW w:w="331" w:type="pct"/>
            <w:noWrap/>
          </w:tcPr>
          <w:p w:rsidR="00EC53CE" w:rsidRPr="00A13740" w:rsidRDefault="00EC53CE" w:rsidP="00BB7784">
            <w:pPr>
              <w:jc w:val="center"/>
              <w:rPr>
                <w:b/>
                <w:color w:val="000000" w:themeColor="text1"/>
                <w:sz w:val="17"/>
                <w:szCs w:val="17"/>
                <w:lang w:val="fr-FR"/>
              </w:rPr>
            </w:pPr>
            <w:r w:rsidRPr="00A13740">
              <w:rPr>
                <w:b/>
                <w:color w:val="000000" w:themeColor="text1"/>
                <w:sz w:val="17"/>
                <w:szCs w:val="17"/>
                <w:lang w:val="fr-FR"/>
              </w:rPr>
              <w:t>2021</w:t>
            </w:r>
          </w:p>
        </w:tc>
        <w:tc>
          <w:tcPr>
            <w:tcW w:w="457" w:type="pct"/>
            <w:noWrap/>
          </w:tcPr>
          <w:p w:rsidR="00EC53CE" w:rsidRPr="00A13740" w:rsidRDefault="00EC53CE" w:rsidP="00BB7784">
            <w:pPr>
              <w:jc w:val="center"/>
              <w:rPr>
                <w:b/>
                <w:color w:val="000000" w:themeColor="text1"/>
                <w:sz w:val="17"/>
                <w:szCs w:val="17"/>
                <w:lang w:val="fr-FR"/>
              </w:rPr>
            </w:pPr>
            <w:r w:rsidRPr="00A13740">
              <w:rPr>
                <w:b/>
                <w:color w:val="000000" w:themeColor="text1"/>
                <w:sz w:val="17"/>
                <w:szCs w:val="17"/>
                <w:lang w:val="fr-FR"/>
              </w:rPr>
              <w:t>2022</w:t>
            </w:r>
          </w:p>
        </w:tc>
        <w:tc>
          <w:tcPr>
            <w:tcW w:w="391" w:type="pct"/>
            <w:noWrap/>
          </w:tcPr>
          <w:p w:rsidR="00EC53CE" w:rsidRPr="00A13740" w:rsidRDefault="00EC53CE" w:rsidP="00BB7784">
            <w:pPr>
              <w:jc w:val="center"/>
              <w:rPr>
                <w:b/>
                <w:color w:val="000000" w:themeColor="text1"/>
                <w:sz w:val="17"/>
                <w:szCs w:val="17"/>
                <w:lang w:val="fr-FR"/>
              </w:rPr>
            </w:pPr>
            <w:r w:rsidRPr="00A13740">
              <w:rPr>
                <w:b/>
                <w:color w:val="000000" w:themeColor="text1"/>
                <w:sz w:val="17"/>
                <w:szCs w:val="17"/>
                <w:lang w:val="fr-FR"/>
              </w:rPr>
              <w:t>2023</w:t>
            </w:r>
          </w:p>
        </w:tc>
        <w:tc>
          <w:tcPr>
            <w:tcW w:w="355" w:type="pct"/>
            <w:noWrap/>
          </w:tcPr>
          <w:p w:rsidR="00EC53CE" w:rsidRPr="00A13740" w:rsidRDefault="00EC53CE" w:rsidP="00BB7784">
            <w:pPr>
              <w:jc w:val="center"/>
              <w:rPr>
                <w:b/>
                <w:color w:val="000000" w:themeColor="text1"/>
                <w:sz w:val="17"/>
                <w:szCs w:val="17"/>
                <w:lang w:val="fr-FR"/>
              </w:rPr>
            </w:pPr>
            <w:r w:rsidRPr="00A13740">
              <w:rPr>
                <w:b/>
                <w:color w:val="000000" w:themeColor="text1"/>
                <w:sz w:val="17"/>
                <w:szCs w:val="17"/>
                <w:lang w:val="fr-FR"/>
              </w:rPr>
              <w:t>2024</w:t>
            </w:r>
          </w:p>
        </w:tc>
        <w:tc>
          <w:tcPr>
            <w:tcW w:w="414" w:type="pct"/>
            <w:noWrap/>
          </w:tcPr>
          <w:p w:rsidR="00EC53CE" w:rsidRPr="00A13740" w:rsidRDefault="00EC53CE" w:rsidP="00BB7784">
            <w:pPr>
              <w:jc w:val="center"/>
              <w:rPr>
                <w:b/>
                <w:color w:val="000000" w:themeColor="text1"/>
                <w:sz w:val="17"/>
                <w:szCs w:val="17"/>
                <w:lang w:val="fr-FR"/>
              </w:rPr>
            </w:pPr>
            <w:r w:rsidRPr="00A13740">
              <w:rPr>
                <w:b/>
                <w:color w:val="000000" w:themeColor="text1"/>
                <w:sz w:val="17"/>
                <w:szCs w:val="17"/>
                <w:lang w:val="fr-FR"/>
              </w:rPr>
              <w:t>2025</w:t>
            </w:r>
          </w:p>
        </w:tc>
        <w:tc>
          <w:tcPr>
            <w:tcW w:w="485" w:type="pct"/>
            <w:shd w:val="clear" w:color="auto" w:fill="auto"/>
            <w:noWrap/>
          </w:tcPr>
          <w:p w:rsidR="00EC53CE" w:rsidRPr="00A13740" w:rsidRDefault="00EC53CE" w:rsidP="00BB7784">
            <w:pPr>
              <w:jc w:val="center"/>
              <w:rPr>
                <w:b/>
                <w:color w:val="000000" w:themeColor="text1"/>
                <w:sz w:val="17"/>
                <w:szCs w:val="17"/>
                <w:lang w:val="fr-FR"/>
              </w:rPr>
            </w:pPr>
            <w:r w:rsidRPr="00A13740">
              <w:rPr>
                <w:b/>
                <w:color w:val="000000" w:themeColor="text1"/>
                <w:sz w:val="17"/>
                <w:szCs w:val="17"/>
                <w:lang w:val="fr-FR"/>
              </w:rPr>
              <w:t>Total</w:t>
            </w:r>
          </w:p>
        </w:tc>
      </w:tr>
      <w:tr w:rsidR="00EC53CE" w:rsidRPr="00A13740" w:rsidTr="00E34727">
        <w:trPr>
          <w:trHeight w:hRule="exact" w:val="244"/>
        </w:trPr>
        <w:tc>
          <w:tcPr>
            <w:tcW w:w="1757" w:type="pct"/>
            <w:gridSpan w:val="3"/>
            <w:shd w:val="clear" w:color="auto" w:fill="auto"/>
            <w:noWrap/>
          </w:tcPr>
          <w:p w:rsidR="00EC53CE" w:rsidRPr="00A13740" w:rsidRDefault="00EC53CE" w:rsidP="00BB7784">
            <w:pPr>
              <w:jc w:val="left"/>
              <w:rPr>
                <w:color w:val="000000" w:themeColor="text1"/>
                <w:sz w:val="17"/>
                <w:szCs w:val="17"/>
                <w:lang w:val="fr-FR"/>
              </w:rPr>
            </w:pPr>
            <w:r w:rsidRPr="00A13740">
              <w:rPr>
                <w:color w:val="000000" w:themeColor="text1"/>
                <w:sz w:val="17"/>
                <w:szCs w:val="17"/>
                <w:lang w:val="fr-FR"/>
              </w:rPr>
              <w:t>Limites de consommation du Protocole de Montréal</w:t>
            </w:r>
          </w:p>
        </w:tc>
        <w:tc>
          <w:tcPr>
            <w:tcW w:w="478" w:type="pct"/>
            <w:shd w:val="clear" w:color="auto" w:fill="auto"/>
            <w:noWrap/>
          </w:tcPr>
          <w:p w:rsidR="00EC53CE" w:rsidRPr="00A13740" w:rsidRDefault="00EC53CE" w:rsidP="00BB7784">
            <w:pPr>
              <w:jc w:val="right"/>
              <w:rPr>
                <w:sz w:val="17"/>
                <w:szCs w:val="17"/>
                <w:lang w:val="fr-FR"/>
              </w:rPr>
            </w:pPr>
            <w:r w:rsidRPr="00A13740">
              <w:rPr>
                <w:sz w:val="17"/>
                <w:szCs w:val="17"/>
                <w:lang w:val="fr-FR"/>
              </w:rPr>
              <w:t>36,63</w:t>
            </w:r>
          </w:p>
        </w:tc>
        <w:tc>
          <w:tcPr>
            <w:tcW w:w="331" w:type="pct"/>
            <w:shd w:val="clear" w:color="auto" w:fill="auto"/>
            <w:noWrap/>
          </w:tcPr>
          <w:p w:rsidR="00EC53CE" w:rsidRPr="00A13740" w:rsidRDefault="00EC53CE" w:rsidP="00BB7784">
            <w:pPr>
              <w:jc w:val="right"/>
              <w:rPr>
                <w:sz w:val="17"/>
                <w:szCs w:val="17"/>
                <w:lang w:val="fr-FR"/>
              </w:rPr>
            </w:pPr>
            <w:r w:rsidRPr="00A13740">
              <w:rPr>
                <w:sz w:val="17"/>
                <w:szCs w:val="17"/>
                <w:lang w:val="fr-FR"/>
              </w:rPr>
              <w:t>26,46</w:t>
            </w:r>
          </w:p>
        </w:tc>
        <w:tc>
          <w:tcPr>
            <w:tcW w:w="331" w:type="pct"/>
            <w:shd w:val="clear" w:color="auto" w:fill="auto"/>
            <w:noWrap/>
          </w:tcPr>
          <w:p w:rsidR="00EC53CE" w:rsidRPr="00A13740" w:rsidRDefault="00EC53CE" w:rsidP="00BB7784">
            <w:pPr>
              <w:jc w:val="right"/>
              <w:rPr>
                <w:sz w:val="17"/>
                <w:szCs w:val="17"/>
                <w:lang w:val="fr-FR"/>
              </w:rPr>
            </w:pPr>
            <w:r w:rsidRPr="00A13740">
              <w:rPr>
                <w:sz w:val="17"/>
                <w:szCs w:val="17"/>
                <w:lang w:val="fr-FR"/>
              </w:rPr>
              <w:t>26,46</w:t>
            </w:r>
          </w:p>
        </w:tc>
        <w:tc>
          <w:tcPr>
            <w:tcW w:w="457" w:type="pct"/>
            <w:noWrap/>
          </w:tcPr>
          <w:p w:rsidR="00EC53CE" w:rsidRPr="00A13740" w:rsidRDefault="00EC53CE" w:rsidP="00BB7784">
            <w:pPr>
              <w:jc w:val="right"/>
              <w:rPr>
                <w:sz w:val="17"/>
                <w:szCs w:val="17"/>
                <w:lang w:val="fr-FR"/>
              </w:rPr>
            </w:pPr>
            <w:r w:rsidRPr="00A13740">
              <w:rPr>
                <w:sz w:val="17"/>
                <w:szCs w:val="17"/>
                <w:lang w:val="fr-FR"/>
              </w:rPr>
              <w:t>26,46</w:t>
            </w:r>
          </w:p>
        </w:tc>
        <w:tc>
          <w:tcPr>
            <w:tcW w:w="391" w:type="pct"/>
            <w:shd w:val="clear" w:color="auto" w:fill="auto"/>
            <w:noWrap/>
          </w:tcPr>
          <w:p w:rsidR="00EC53CE" w:rsidRPr="00A13740" w:rsidRDefault="00EC53CE" w:rsidP="00BB7784">
            <w:pPr>
              <w:jc w:val="right"/>
              <w:rPr>
                <w:sz w:val="17"/>
                <w:szCs w:val="17"/>
                <w:lang w:val="fr-FR"/>
              </w:rPr>
            </w:pPr>
            <w:r w:rsidRPr="00A13740">
              <w:rPr>
                <w:sz w:val="17"/>
                <w:szCs w:val="17"/>
                <w:lang w:val="fr-FR"/>
              </w:rPr>
              <w:t>26,46</w:t>
            </w:r>
          </w:p>
        </w:tc>
        <w:tc>
          <w:tcPr>
            <w:tcW w:w="355" w:type="pct"/>
            <w:noWrap/>
          </w:tcPr>
          <w:p w:rsidR="00EC53CE" w:rsidRPr="00A13740" w:rsidRDefault="00EC53CE" w:rsidP="00BB7784">
            <w:pPr>
              <w:jc w:val="right"/>
              <w:rPr>
                <w:sz w:val="17"/>
                <w:szCs w:val="17"/>
                <w:lang w:val="fr-FR"/>
              </w:rPr>
            </w:pPr>
            <w:r w:rsidRPr="00A13740">
              <w:rPr>
                <w:sz w:val="17"/>
                <w:szCs w:val="17"/>
                <w:lang w:val="fr-FR"/>
              </w:rPr>
              <w:t>26,46</w:t>
            </w:r>
          </w:p>
        </w:tc>
        <w:tc>
          <w:tcPr>
            <w:tcW w:w="414" w:type="pct"/>
            <w:noWrap/>
          </w:tcPr>
          <w:p w:rsidR="00EC53CE" w:rsidRPr="00A13740" w:rsidRDefault="00EC53CE" w:rsidP="00BB7784">
            <w:pPr>
              <w:jc w:val="right"/>
              <w:rPr>
                <w:sz w:val="17"/>
                <w:szCs w:val="17"/>
                <w:lang w:val="fr-FR"/>
              </w:rPr>
            </w:pPr>
            <w:r w:rsidRPr="00A13740">
              <w:rPr>
                <w:sz w:val="17"/>
                <w:szCs w:val="17"/>
                <w:lang w:val="fr-FR"/>
              </w:rPr>
              <w:t>13,19</w:t>
            </w:r>
          </w:p>
        </w:tc>
        <w:tc>
          <w:tcPr>
            <w:tcW w:w="485" w:type="pct"/>
            <w:shd w:val="clear" w:color="auto" w:fill="auto"/>
            <w:noWrap/>
          </w:tcPr>
          <w:p w:rsidR="00EC53CE" w:rsidRPr="00A13740" w:rsidRDefault="00EC53CE" w:rsidP="00BB7784">
            <w:pPr>
              <w:jc w:val="right"/>
              <w:rPr>
                <w:sz w:val="17"/>
                <w:szCs w:val="17"/>
                <w:lang w:val="fr-FR"/>
              </w:rPr>
            </w:pPr>
            <w:proofErr w:type="spellStart"/>
            <w:r w:rsidRPr="00A13740">
              <w:rPr>
                <w:sz w:val="17"/>
                <w:szCs w:val="17"/>
                <w:lang w:val="fr-FR"/>
              </w:rPr>
              <w:t>s.o</w:t>
            </w:r>
            <w:proofErr w:type="spellEnd"/>
            <w:r w:rsidRPr="00A13740">
              <w:rPr>
                <w:sz w:val="17"/>
                <w:szCs w:val="17"/>
                <w:lang w:val="fr-FR"/>
              </w:rPr>
              <w:t>.</w:t>
            </w:r>
          </w:p>
        </w:tc>
      </w:tr>
      <w:tr w:rsidR="00EC53CE" w:rsidRPr="00A13740" w:rsidTr="00E34727">
        <w:trPr>
          <w:trHeight w:hRule="exact" w:val="448"/>
        </w:trPr>
        <w:tc>
          <w:tcPr>
            <w:tcW w:w="1757" w:type="pct"/>
            <w:gridSpan w:val="3"/>
            <w:shd w:val="clear" w:color="auto" w:fill="auto"/>
            <w:noWrap/>
          </w:tcPr>
          <w:p w:rsidR="00EC53CE" w:rsidRPr="00A13740" w:rsidRDefault="00EC53CE" w:rsidP="00BB7784">
            <w:pPr>
              <w:jc w:val="left"/>
              <w:rPr>
                <w:color w:val="000000" w:themeColor="text1"/>
                <w:sz w:val="17"/>
                <w:szCs w:val="17"/>
                <w:lang w:val="fr-FR"/>
              </w:rPr>
            </w:pPr>
            <w:r w:rsidRPr="00A13740">
              <w:rPr>
                <w:color w:val="000000" w:themeColor="text1"/>
                <w:sz w:val="17"/>
                <w:szCs w:val="17"/>
                <w:lang w:val="fr-FR"/>
              </w:rPr>
              <w:t xml:space="preserve">Consommation maximale admissible </w:t>
            </w:r>
          </w:p>
          <w:p w:rsidR="00EC53CE" w:rsidRPr="00A13740" w:rsidRDefault="00EC53CE" w:rsidP="00BB7784">
            <w:pPr>
              <w:jc w:val="left"/>
              <w:rPr>
                <w:color w:val="000000" w:themeColor="text1"/>
                <w:sz w:val="17"/>
                <w:szCs w:val="17"/>
                <w:lang w:val="fr-FR"/>
              </w:rPr>
            </w:pPr>
            <w:r w:rsidRPr="00A13740">
              <w:rPr>
                <w:color w:val="000000" w:themeColor="text1"/>
                <w:sz w:val="17"/>
                <w:szCs w:val="17"/>
                <w:lang w:val="fr-FR"/>
              </w:rPr>
              <w:t>(Tonnes PAO)</w:t>
            </w:r>
          </w:p>
        </w:tc>
        <w:tc>
          <w:tcPr>
            <w:tcW w:w="478" w:type="pct"/>
            <w:shd w:val="clear" w:color="auto" w:fill="auto"/>
            <w:noWrap/>
          </w:tcPr>
          <w:p w:rsidR="00EC53CE" w:rsidRPr="00A13740" w:rsidRDefault="00EC53CE" w:rsidP="00BB7784">
            <w:pPr>
              <w:jc w:val="right"/>
              <w:rPr>
                <w:color w:val="000000" w:themeColor="text1"/>
                <w:sz w:val="17"/>
                <w:szCs w:val="17"/>
                <w:lang w:val="fr-FR"/>
              </w:rPr>
            </w:pPr>
            <w:r w:rsidRPr="00A13740">
              <w:rPr>
                <w:color w:val="000000"/>
                <w:sz w:val="17"/>
                <w:szCs w:val="17"/>
                <w:lang w:val="fr-FR" w:eastAsia="fr"/>
              </w:rPr>
              <w:t>34,60</w:t>
            </w:r>
          </w:p>
        </w:tc>
        <w:tc>
          <w:tcPr>
            <w:tcW w:w="331" w:type="pct"/>
            <w:shd w:val="clear" w:color="auto" w:fill="auto"/>
            <w:noWrap/>
          </w:tcPr>
          <w:p w:rsidR="00EC53CE" w:rsidRPr="00A13740" w:rsidRDefault="00EC53CE" w:rsidP="00BB7784">
            <w:pPr>
              <w:jc w:val="right"/>
              <w:rPr>
                <w:color w:val="000000" w:themeColor="text1"/>
                <w:sz w:val="17"/>
                <w:szCs w:val="17"/>
                <w:lang w:val="fr-FR"/>
              </w:rPr>
            </w:pPr>
            <w:r w:rsidRPr="00A13740">
              <w:rPr>
                <w:color w:val="000000"/>
                <w:sz w:val="17"/>
                <w:szCs w:val="17"/>
                <w:lang w:val="fr-FR" w:eastAsia="fr"/>
              </w:rPr>
              <w:t>25,91</w:t>
            </w:r>
          </w:p>
        </w:tc>
        <w:tc>
          <w:tcPr>
            <w:tcW w:w="331" w:type="pct"/>
            <w:shd w:val="clear" w:color="auto" w:fill="auto"/>
            <w:noWrap/>
          </w:tcPr>
          <w:p w:rsidR="00EC53CE" w:rsidRPr="00A13740" w:rsidRDefault="00EC53CE" w:rsidP="00BB7784">
            <w:pPr>
              <w:jc w:val="right"/>
              <w:rPr>
                <w:color w:val="000000" w:themeColor="text1"/>
                <w:sz w:val="17"/>
                <w:szCs w:val="17"/>
                <w:lang w:val="fr-FR"/>
              </w:rPr>
            </w:pPr>
            <w:r w:rsidRPr="00A13740">
              <w:rPr>
                <w:color w:val="000000"/>
                <w:sz w:val="17"/>
                <w:szCs w:val="17"/>
                <w:lang w:val="fr-FR" w:eastAsia="fr"/>
              </w:rPr>
              <w:t>25,91</w:t>
            </w:r>
          </w:p>
        </w:tc>
        <w:tc>
          <w:tcPr>
            <w:tcW w:w="457" w:type="pct"/>
            <w:noWrap/>
          </w:tcPr>
          <w:p w:rsidR="00EC53CE" w:rsidRPr="00A13740" w:rsidRDefault="00EC53CE" w:rsidP="00BB7784">
            <w:pPr>
              <w:jc w:val="right"/>
              <w:rPr>
                <w:color w:val="000000" w:themeColor="text1"/>
                <w:sz w:val="17"/>
                <w:szCs w:val="17"/>
                <w:lang w:val="fr-FR"/>
              </w:rPr>
            </w:pPr>
            <w:r w:rsidRPr="00A13740">
              <w:rPr>
                <w:color w:val="000000"/>
                <w:sz w:val="17"/>
                <w:szCs w:val="17"/>
                <w:lang w:val="fr-FR" w:eastAsia="fr"/>
              </w:rPr>
              <w:t>25,91</w:t>
            </w:r>
          </w:p>
        </w:tc>
        <w:tc>
          <w:tcPr>
            <w:tcW w:w="391" w:type="pct"/>
            <w:shd w:val="clear" w:color="auto" w:fill="auto"/>
            <w:noWrap/>
          </w:tcPr>
          <w:p w:rsidR="00EC53CE" w:rsidRPr="00A13740" w:rsidRDefault="00EC53CE" w:rsidP="00BB7784">
            <w:pPr>
              <w:jc w:val="right"/>
              <w:rPr>
                <w:color w:val="000000" w:themeColor="text1"/>
                <w:sz w:val="17"/>
                <w:szCs w:val="17"/>
                <w:lang w:val="fr-FR"/>
              </w:rPr>
            </w:pPr>
            <w:r w:rsidRPr="00A13740">
              <w:rPr>
                <w:color w:val="000000"/>
                <w:sz w:val="17"/>
                <w:szCs w:val="17"/>
                <w:lang w:val="fr-FR" w:eastAsia="fr"/>
              </w:rPr>
              <w:t>25,91</w:t>
            </w:r>
          </w:p>
        </w:tc>
        <w:tc>
          <w:tcPr>
            <w:tcW w:w="355" w:type="pct"/>
            <w:noWrap/>
          </w:tcPr>
          <w:p w:rsidR="00EC53CE" w:rsidRPr="00A13740" w:rsidRDefault="00EC53CE" w:rsidP="00BB7784">
            <w:pPr>
              <w:jc w:val="right"/>
              <w:rPr>
                <w:color w:val="000000" w:themeColor="text1"/>
                <w:sz w:val="17"/>
                <w:szCs w:val="17"/>
                <w:lang w:val="fr-FR"/>
              </w:rPr>
            </w:pPr>
            <w:r w:rsidRPr="00A13740">
              <w:rPr>
                <w:color w:val="000000"/>
                <w:sz w:val="17"/>
                <w:szCs w:val="17"/>
                <w:lang w:val="fr-FR" w:eastAsia="fr"/>
              </w:rPr>
              <w:t>25,91</w:t>
            </w:r>
          </w:p>
        </w:tc>
        <w:tc>
          <w:tcPr>
            <w:tcW w:w="414" w:type="pct"/>
            <w:noWrap/>
          </w:tcPr>
          <w:p w:rsidR="00EC53CE" w:rsidRPr="00A13740" w:rsidRDefault="00EC53CE" w:rsidP="00BB7784">
            <w:pPr>
              <w:jc w:val="right"/>
              <w:rPr>
                <w:color w:val="000000" w:themeColor="text1"/>
                <w:sz w:val="17"/>
                <w:szCs w:val="17"/>
                <w:lang w:val="fr-FR"/>
              </w:rPr>
            </w:pPr>
            <w:r w:rsidRPr="00A13740">
              <w:rPr>
                <w:color w:val="000000"/>
                <w:sz w:val="17"/>
                <w:szCs w:val="17"/>
                <w:lang w:val="fr-FR" w:eastAsia="fr"/>
              </w:rPr>
              <w:t>12,88</w:t>
            </w:r>
          </w:p>
        </w:tc>
        <w:tc>
          <w:tcPr>
            <w:tcW w:w="485" w:type="pct"/>
            <w:shd w:val="clear" w:color="auto" w:fill="auto"/>
            <w:noWrap/>
          </w:tcPr>
          <w:p w:rsidR="00EC53CE" w:rsidRPr="00A13740" w:rsidRDefault="00EC53CE" w:rsidP="00BB7784">
            <w:pPr>
              <w:jc w:val="right"/>
              <w:rPr>
                <w:color w:val="000000" w:themeColor="text1"/>
                <w:sz w:val="17"/>
                <w:szCs w:val="17"/>
                <w:lang w:val="fr-FR"/>
              </w:rPr>
            </w:pPr>
            <w:proofErr w:type="spellStart"/>
            <w:r w:rsidRPr="00A13740">
              <w:rPr>
                <w:color w:val="000000" w:themeColor="text1"/>
                <w:sz w:val="17"/>
                <w:szCs w:val="17"/>
                <w:lang w:val="fr-FR"/>
              </w:rPr>
              <w:t>s.o</w:t>
            </w:r>
            <w:proofErr w:type="spellEnd"/>
            <w:r w:rsidRPr="00A13740">
              <w:rPr>
                <w:color w:val="000000" w:themeColor="text1"/>
                <w:sz w:val="17"/>
                <w:szCs w:val="17"/>
                <w:lang w:val="fr-FR"/>
              </w:rPr>
              <w:t>.</w:t>
            </w:r>
          </w:p>
        </w:tc>
      </w:tr>
      <w:tr w:rsidR="00EC53CE" w:rsidRPr="00A13740" w:rsidTr="00E34727">
        <w:trPr>
          <w:trHeight w:val="289"/>
        </w:trPr>
        <w:tc>
          <w:tcPr>
            <w:tcW w:w="819" w:type="pct"/>
            <w:vMerge w:val="restart"/>
            <w:shd w:val="clear" w:color="auto" w:fill="auto"/>
            <w:noWrap/>
          </w:tcPr>
          <w:p w:rsidR="00EC53CE" w:rsidRPr="00A13740" w:rsidRDefault="00EC53CE" w:rsidP="00BB7784">
            <w:pPr>
              <w:jc w:val="left"/>
              <w:rPr>
                <w:color w:val="000000" w:themeColor="text1"/>
                <w:sz w:val="17"/>
                <w:szCs w:val="17"/>
                <w:lang w:val="fr-FR"/>
              </w:rPr>
            </w:pPr>
            <w:r w:rsidRPr="00A13740">
              <w:rPr>
                <w:color w:val="000000" w:themeColor="text1"/>
                <w:sz w:val="17"/>
                <w:szCs w:val="17"/>
                <w:lang w:val="fr-FR"/>
              </w:rPr>
              <w:t>Coûts du projet – Demande de principe ($ US)</w:t>
            </w:r>
          </w:p>
        </w:tc>
        <w:tc>
          <w:tcPr>
            <w:tcW w:w="380" w:type="pct"/>
            <w:vMerge w:val="restart"/>
            <w:shd w:val="clear" w:color="auto" w:fill="auto"/>
            <w:noWrap/>
          </w:tcPr>
          <w:p w:rsidR="00EC53CE" w:rsidRPr="00A13740" w:rsidRDefault="00EC53CE" w:rsidP="00BB7784">
            <w:pPr>
              <w:jc w:val="center"/>
              <w:rPr>
                <w:color w:val="000000" w:themeColor="text1"/>
                <w:sz w:val="17"/>
                <w:szCs w:val="17"/>
                <w:lang w:val="fr-FR"/>
              </w:rPr>
            </w:pPr>
            <w:r w:rsidRPr="00A13740">
              <w:rPr>
                <w:color w:val="000000" w:themeColor="text1"/>
                <w:sz w:val="17"/>
                <w:szCs w:val="17"/>
                <w:lang w:val="fr-FR"/>
              </w:rPr>
              <w:t>ONUDI</w:t>
            </w:r>
          </w:p>
        </w:tc>
        <w:tc>
          <w:tcPr>
            <w:tcW w:w="558" w:type="pct"/>
            <w:shd w:val="clear" w:color="auto" w:fill="auto"/>
            <w:noWrap/>
          </w:tcPr>
          <w:p w:rsidR="00EC53CE" w:rsidRPr="00A13740" w:rsidRDefault="00EC53CE" w:rsidP="00BB7784">
            <w:pPr>
              <w:jc w:val="left"/>
              <w:rPr>
                <w:color w:val="000000" w:themeColor="text1"/>
                <w:sz w:val="17"/>
                <w:szCs w:val="17"/>
                <w:lang w:val="fr-FR"/>
              </w:rPr>
            </w:pPr>
            <w:r w:rsidRPr="00A13740">
              <w:rPr>
                <w:color w:val="000000" w:themeColor="text1"/>
                <w:sz w:val="17"/>
                <w:szCs w:val="17"/>
                <w:lang w:val="fr-FR"/>
              </w:rPr>
              <w:t>Coûts du projet</w:t>
            </w:r>
          </w:p>
        </w:tc>
        <w:tc>
          <w:tcPr>
            <w:tcW w:w="478" w:type="pct"/>
            <w:shd w:val="clear" w:color="auto" w:fill="auto"/>
            <w:noWrap/>
          </w:tcPr>
          <w:p w:rsidR="00EC53CE" w:rsidRPr="00A13740" w:rsidRDefault="00EC53CE" w:rsidP="00BB7784">
            <w:pPr>
              <w:jc w:val="right"/>
              <w:rPr>
                <w:sz w:val="17"/>
                <w:szCs w:val="17"/>
                <w:lang w:val="fr-FR"/>
              </w:rPr>
            </w:pPr>
            <w:r w:rsidRPr="00A13740">
              <w:rPr>
                <w:color w:val="000000"/>
                <w:sz w:val="17"/>
                <w:szCs w:val="17"/>
                <w:lang w:val="fr-FR" w:eastAsia="fr"/>
              </w:rPr>
              <w:t>858 306</w:t>
            </w:r>
          </w:p>
        </w:tc>
        <w:tc>
          <w:tcPr>
            <w:tcW w:w="331" w:type="pct"/>
            <w:shd w:val="clear" w:color="auto" w:fill="auto"/>
            <w:noWrap/>
          </w:tcPr>
          <w:p w:rsidR="00EC53CE" w:rsidRPr="00A13740" w:rsidRDefault="00EC53CE" w:rsidP="00BB7784">
            <w:pPr>
              <w:jc w:val="right"/>
              <w:rPr>
                <w:sz w:val="17"/>
                <w:szCs w:val="17"/>
                <w:lang w:val="fr-FR"/>
              </w:rPr>
            </w:pPr>
            <w:r w:rsidRPr="00A13740">
              <w:rPr>
                <w:color w:val="000000"/>
                <w:sz w:val="17"/>
                <w:szCs w:val="17"/>
                <w:lang w:val="fr-FR" w:eastAsia="fr"/>
              </w:rPr>
              <w:t>0</w:t>
            </w:r>
          </w:p>
        </w:tc>
        <w:tc>
          <w:tcPr>
            <w:tcW w:w="331" w:type="pct"/>
            <w:shd w:val="clear" w:color="auto" w:fill="auto"/>
            <w:noWrap/>
          </w:tcPr>
          <w:p w:rsidR="00EC53CE" w:rsidRPr="00A13740" w:rsidRDefault="00EC53CE" w:rsidP="00BB7784">
            <w:pPr>
              <w:jc w:val="right"/>
              <w:rPr>
                <w:sz w:val="17"/>
                <w:szCs w:val="17"/>
                <w:lang w:val="fr-FR"/>
              </w:rPr>
            </w:pPr>
            <w:r w:rsidRPr="00A13740">
              <w:rPr>
                <w:color w:val="000000"/>
                <w:sz w:val="17"/>
                <w:szCs w:val="17"/>
                <w:lang w:val="fr-FR" w:eastAsia="fr"/>
              </w:rPr>
              <w:t>0</w:t>
            </w:r>
          </w:p>
        </w:tc>
        <w:tc>
          <w:tcPr>
            <w:tcW w:w="457" w:type="pct"/>
            <w:noWrap/>
          </w:tcPr>
          <w:p w:rsidR="00EC53CE" w:rsidRPr="00A13740" w:rsidRDefault="00EC53CE" w:rsidP="00BB7784">
            <w:pPr>
              <w:jc w:val="right"/>
              <w:rPr>
                <w:sz w:val="17"/>
                <w:szCs w:val="17"/>
                <w:lang w:val="fr-FR"/>
              </w:rPr>
            </w:pPr>
            <w:r w:rsidRPr="00A13740">
              <w:rPr>
                <w:color w:val="000000"/>
                <w:sz w:val="17"/>
                <w:szCs w:val="17"/>
                <w:lang w:val="fr-FR" w:eastAsia="fr"/>
              </w:rPr>
              <w:t>386 640</w:t>
            </w:r>
          </w:p>
        </w:tc>
        <w:tc>
          <w:tcPr>
            <w:tcW w:w="391" w:type="pct"/>
            <w:shd w:val="clear" w:color="auto" w:fill="auto"/>
            <w:noWrap/>
          </w:tcPr>
          <w:p w:rsidR="00EC53CE" w:rsidRPr="00A13740" w:rsidRDefault="00EC53CE" w:rsidP="00BB7784">
            <w:pPr>
              <w:jc w:val="right"/>
              <w:rPr>
                <w:sz w:val="17"/>
                <w:szCs w:val="17"/>
                <w:lang w:val="fr-FR"/>
              </w:rPr>
            </w:pPr>
            <w:r w:rsidRPr="00A13740">
              <w:rPr>
                <w:color w:val="000000"/>
                <w:sz w:val="17"/>
                <w:szCs w:val="17"/>
                <w:lang w:val="fr-FR" w:eastAsia="fr"/>
              </w:rPr>
              <w:t>0</w:t>
            </w:r>
          </w:p>
        </w:tc>
        <w:tc>
          <w:tcPr>
            <w:tcW w:w="355" w:type="pct"/>
            <w:noWrap/>
          </w:tcPr>
          <w:p w:rsidR="00EC53CE" w:rsidRPr="00A13740" w:rsidRDefault="00EC53CE" w:rsidP="00BB7784">
            <w:pPr>
              <w:jc w:val="right"/>
              <w:rPr>
                <w:sz w:val="17"/>
                <w:szCs w:val="17"/>
                <w:lang w:val="fr-FR"/>
              </w:rPr>
            </w:pPr>
            <w:r w:rsidRPr="00A13740">
              <w:rPr>
                <w:color w:val="000000"/>
                <w:sz w:val="17"/>
                <w:szCs w:val="17"/>
                <w:lang w:val="fr-FR" w:eastAsia="fr"/>
              </w:rPr>
              <w:t>0</w:t>
            </w:r>
          </w:p>
        </w:tc>
        <w:tc>
          <w:tcPr>
            <w:tcW w:w="414" w:type="pct"/>
            <w:noWrap/>
          </w:tcPr>
          <w:p w:rsidR="00EC53CE" w:rsidRPr="00A13740" w:rsidRDefault="00EC53CE" w:rsidP="00BB7784">
            <w:pPr>
              <w:jc w:val="right"/>
              <w:rPr>
                <w:sz w:val="17"/>
                <w:szCs w:val="17"/>
                <w:lang w:val="fr-FR"/>
              </w:rPr>
            </w:pPr>
            <w:r w:rsidRPr="00A13740">
              <w:rPr>
                <w:color w:val="000000"/>
                <w:sz w:val="17"/>
                <w:szCs w:val="17"/>
                <w:lang w:val="fr-FR" w:eastAsia="fr"/>
              </w:rPr>
              <w:t>120 000</w:t>
            </w:r>
          </w:p>
        </w:tc>
        <w:tc>
          <w:tcPr>
            <w:tcW w:w="485" w:type="pct"/>
            <w:shd w:val="clear" w:color="auto" w:fill="auto"/>
            <w:noWrap/>
          </w:tcPr>
          <w:p w:rsidR="00EC53CE" w:rsidRPr="00A13740" w:rsidRDefault="00EC53CE" w:rsidP="00BB7784">
            <w:pPr>
              <w:jc w:val="right"/>
              <w:rPr>
                <w:sz w:val="17"/>
                <w:szCs w:val="17"/>
                <w:lang w:val="fr-FR"/>
              </w:rPr>
            </w:pPr>
            <w:r w:rsidRPr="00A13740">
              <w:rPr>
                <w:color w:val="000000"/>
                <w:sz w:val="17"/>
                <w:szCs w:val="17"/>
                <w:lang w:val="fr-FR" w:eastAsia="fr"/>
              </w:rPr>
              <w:t>1 364 946</w:t>
            </w:r>
          </w:p>
        </w:tc>
      </w:tr>
      <w:tr w:rsidR="00EC53CE" w:rsidRPr="00A13740" w:rsidTr="00E34727">
        <w:trPr>
          <w:trHeight w:val="153"/>
        </w:trPr>
        <w:tc>
          <w:tcPr>
            <w:tcW w:w="819" w:type="pct"/>
            <w:vMerge/>
            <w:shd w:val="clear" w:color="auto" w:fill="auto"/>
            <w:noWrap/>
          </w:tcPr>
          <w:p w:rsidR="00EC53CE" w:rsidRPr="00A13740" w:rsidRDefault="00EC53CE" w:rsidP="00BB7784">
            <w:pPr>
              <w:jc w:val="center"/>
              <w:rPr>
                <w:color w:val="000000" w:themeColor="text1"/>
                <w:sz w:val="17"/>
                <w:szCs w:val="17"/>
                <w:lang w:val="fr-FR"/>
              </w:rPr>
            </w:pPr>
          </w:p>
        </w:tc>
        <w:tc>
          <w:tcPr>
            <w:tcW w:w="380" w:type="pct"/>
            <w:vMerge/>
            <w:shd w:val="clear" w:color="auto" w:fill="auto"/>
            <w:noWrap/>
          </w:tcPr>
          <w:p w:rsidR="00EC53CE" w:rsidRPr="00A13740" w:rsidRDefault="00EC53CE" w:rsidP="00BB7784">
            <w:pPr>
              <w:jc w:val="center"/>
              <w:rPr>
                <w:color w:val="000000" w:themeColor="text1"/>
                <w:sz w:val="17"/>
                <w:szCs w:val="17"/>
                <w:lang w:val="fr-FR"/>
              </w:rPr>
            </w:pPr>
          </w:p>
        </w:tc>
        <w:tc>
          <w:tcPr>
            <w:tcW w:w="558" w:type="pct"/>
            <w:shd w:val="clear" w:color="auto" w:fill="auto"/>
            <w:noWrap/>
          </w:tcPr>
          <w:p w:rsidR="00EC53CE" w:rsidRPr="00A13740" w:rsidRDefault="00EC53CE" w:rsidP="00BB7784">
            <w:pPr>
              <w:jc w:val="left"/>
              <w:rPr>
                <w:color w:val="000000" w:themeColor="text1"/>
                <w:sz w:val="17"/>
                <w:szCs w:val="17"/>
                <w:lang w:val="fr-FR"/>
              </w:rPr>
            </w:pPr>
            <w:r w:rsidRPr="00A13740">
              <w:rPr>
                <w:color w:val="000000" w:themeColor="text1"/>
                <w:sz w:val="17"/>
                <w:szCs w:val="17"/>
                <w:lang w:val="fr-FR"/>
              </w:rPr>
              <w:t>Coûts d’appui</w:t>
            </w:r>
          </w:p>
        </w:tc>
        <w:tc>
          <w:tcPr>
            <w:tcW w:w="478" w:type="pct"/>
            <w:shd w:val="clear" w:color="auto" w:fill="auto"/>
            <w:noWrap/>
          </w:tcPr>
          <w:p w:rsidR="00EC53CE" w:rsidRPr="00A13740" w:rsidRDefault="00EC53CE" w:rsidP="00BB7784">
            <w:pPr>
              <w:jc w:val="right"/>
              <w:rPr>
                <w:sz w:val="17"/>
                <w:szCs w:val="17"/>
                <w:lang w:val="fr-FR"/>
              </w:rPr>
            </w:pPr>
            <w:r w:rsidRPr="00A13740">
              <w:rPr>
                <w:color w:val="000000"/>
                <w:sz w:val="17"/>
                <w:szCs w:val="17"/>
                <w:lang w:val="fr-FR" w:eastAsia="fr"/>
              </w:rPr>
              <w:t>60 081</w:t>
            </w:r>
          </w:p>
        </w:tc>
        <w:tc>
          <w:tcPr>
            <w:tcW w:w="331" w:type="pct"/>
            <w:shd w:val="clear" w:color="auto" w:fill="auto"/>
            <w:noWrap/>
          </w:tcPr>
          <w:p w:rsidR="00EC53CE" w:rsidRPr="00A13740" w:rsidRDefault="00EC53CE" w:rsidP="00BB7784">
            <w:pPr>
              <w:jc w:val="right"/>
              <w:rPr>
                <w:sz w:val="17"/>
                <w:szCs w:val="17"/>
                <w:lang w:val="fr-FR"/>
              </w:rPr>
            </w:pPr>
            <w:r w:rsidRPr="00A13740">
              <w:rPr>
                <w:sz w:val="17"/>
                <w:szCs w:val="17"/>
                <w:lang w:val="fr-FR"/>
              </w:rPr>
              <w:t>0</w:t>
            </w:r>
          </w:p>
        </w:tc>
        <w:tc>
          <w:tcPr>
            <w:tcW w:w="331" w:type="pct"/>
            <w:shd w:val="clear" w:color="auto" w:fill="auto"/>
            <w:noWrap/>
          </w:tcPr>
          <w:p w:rsidR="00EC53CE" w:rsidRPr="00A13740" w:rsidRDefault="00EC53CE" w:rsidP="00BB7784">
            <w:pPr>
              <w:jc w:val="right"/>
              <w:rPr>
                <w:sz w:val="17"/>
                <w:szCs w:val="17"/>
                <w:lang w:val="fr-FR"/>
              </w:rPr>
            </w:pPr>
            <w:r w:rsidRPr="00A13740">
              <w:rPr>
                <w:sz w:val="17"/>
                <w:szCs w:val="17"/>
                <w:lang w:val="fr-FR"/>
              </w:rPr>
              <w:t>0</w:t>
            </w:r>
          </w:p>
        </w:tc>
        <w:tc>
          <w:tcPr>
            <w:tcW w:w="457" w:type="pct"/>
            <w:noWrap/>
          </w:tcPr>
          <w:p w:rsidR="00EC53CE" w:rsidRPr="00A13740" w:rsidRDefault="00EC53CE" w:rsidP="00BB7784">
            <w:pPr>
              <w:jc w:val="right"/>
              <w:rPr>
                <w:sz w:val="17"/>
                <w:szCs w:val="17"/>
                <w:lang w:val="fr-FR"/>
              </w:rPr>
            </w:pPr>
            <w:r w:rsidRPr="00A13740">
              <w:rPr>
                <w:color w:val="000000"/>
                <w:sz w:val="17"/>
                <w:szCs w:val="17"/>
                <w:lang w:val="fr-FR" w:eastAsia="fr"/>
              </w:rPr>
              <w:t>27 065</w:t>
            </w:r>
          </w:p>
        </w:tc>
        <w:tc>
          <w:tcPr>
            <w:tcW w:w="391" w:type="pct"/>
            <w:shd w:val="clear" w:color="auto" w:fill="auto"/>
            <w:noWrap/>
          </w:tcPr>
          <w:p w:rsidR="00EC53CE" w:rsidRPr="00A13740" w:rsidRDefault="00EC53CE" w:rsidP="00BB7784">
            <w:pPr>
              <w:jc w:val="right"/>
              <w:rPr>
                <w:sz w:val="17"/>
                <w:szCs w:val="17"/>
                <w:lang w:val="fr-FR"/>
              </w:rPr>
            </w:pPr>
            <w:r w:rsidRPr="00A13740">
              <w:rPr>
                <w:sz w:val="17"/>
                <w:szCs w:val="17"/>
                <w:lang w:val="fr-FR"/>
              </w:rPr>
              <w:t>0</w:t>
            </w:r>
          </w:p>
        </w:tc>
        <w:tc>
          <w:tcPr>
            <w:tcW w:w="355" w:type="pct"/>
            <w:noWrap/>
          </w:tcPr>
          <w:p w:rsidR="00EC53CE" w:rsidRPr="00A13740" w:rsidRDefault="00EC53CE" w:rsidP="00BB7784">
            <w:pPr>
              <w:jc w:val="right"/>
              <w:rPr>
                <w:sz w:val="17"/>
                <w:szCs w:val="17"/>
                <w:lang w:val="fr-FR"/>
              </w:rPr>
            </w:pPr>
            <w:r w:rsidRPr="00A13740">
              <w:rPr>
                <w:sz w:val="17"/>
                <w:szCs w:val="17"/>
                <w:lang w:val="fr-FR"/>
              </w:rPr>
              <w:t>0</w:t>
            </w:r>
          </w:p>
        </w:tc>
        <w:tc>
          <w:tcPr>
            <w:tcW w:w="414" w:type="pct"/>
            <w:noWrap/>
          </w:tcPr>
          <w:p w:rsidR="00EC53CE" w:rsidRPr="00A13740" w:rsidRDefault="00EC53CE" w:rsidP="00BB7784">
            <w:pPr>
              <w:jc w:val="right"/>
              <w:rPr>
                <w:sz w:val="17"/>
                <w:szCs w:val="17"/>
                <w:lang w:val="fr-FR"/>
              </w:rPr>
            </w:pPr>
            <w:r w:rsidRPr="00A13740">
              <w:rPr>
                <w:color w:val="000000"/>
                <w:sz w:val="17"/>
                <w:szCs w:val="17"/>
                <w:lang w:val="fr-FR" w:eastAsia="fr"/>
              </w:rPr>
              <w:t>8 400</w:t>
            </w:r>
          </w:p>
        </w:tc>
        <w:tc>
          <w:tcPr>
            <w:tcW w:w="485" w:type="pct"/>
            <w:shd w:val="clear" w:color="auto" w:fill="auto"/>
            <w:noWrap/>
          </w:tcPr>
          <w:p w:rsidR="00EC53CE" w:rsidRPr="00A13740" w:rsidRDefault="00EC53CE" w:rsidP="00BB7784">
            <w:pPr>
              <w:jc w:val="right"/>
              <w:rPr>
                <w:sz w:val="17"/>
                <w:szCs w:val="17"/>
                <w:lang w:val="fr-FR"/>
              </w:rPr>
            </w:pPr>
            <w:r w:rsidRPr="00A13740">
              <w:rPr>
                <w:color w:val="000000"/>
                <w:sz w:val="17"/>
                <w:szCs w:val="17"/>
                <w:lang w:val="fr-FR" w:eastAsia="fr"/>
              </w:rPr>
              <w:t>95 546</w:t>
            </w:r>
          </w:p>
        </w:tc>
      </w:tr>
      <w:tr w:rsidR="00EC53CE" w:rsidRPr="00A13740" w:rsidTr="00E34727">
        <w:trPr>
          <w:trHeight w:val="153"/>
        </w:trPr>
        <w:tc>
          <w:tcPr>
            <w:tcW w:w="819" w:type="pct"/>
            <w:vMerge/>
            <w:shd w:val="clear" w:color="auto" w:fill="auto"/>
            <w:noWrap/>
          </w:tcPr>
          <w:p w:rsidR="00EC53CE" w:rsidRPr="00A13740" w:rsidRDefault="00EC53CE" w:rsidP="00BB7784">
            <w:pPr>
              <w:jc w:val="center"/>
              <w:rPr>
                <w:sz w:val="17"/>
                <w:szCs w:val="17"/>
                <w:lang w:val="fr-FR"/>
              </w:rPr>
            </w:pPr>
          </w:p>
        </w:tc>
        <w:tc>
          <w:tcPr>
            <w:tcW w:w="380" w:type="pct"/>
            <w:vMerge w:val="restart"/>
            <w:shd w:val="clear" w:color="auto" w:fill="auto"/>
            <w:noWrap/>
          </w:tcPr>
          <w:p w:rsidR="00EC53CE" w:rsidRPr="00A13740" w:rsidRDefault="00EC53CE" w:rsidP="00BB7784">
            <w:pPr>
              <w:jc w:val="center"/>
              <w:rPr>
                <w:sz w:val="17"/>
                <w:szCs w:val="17"/>
                <w:lang w:val="fr-FR"/>
              </w:rPr>
            </w:pPr>
            <w:r w:rsidRPr="00A13740">
              <w:rPr>
                <w:sz w:val="17"/>
                <w:szCs w:val="17"/>
                <w:lang w:val="fr-FR"/>
              </w:rPr>
              <w:t>PNUE</w:t>
            </w:r>
          </w:p>
        </w:tc>
        <w:tc>
          <w:tcPr>
            <w:tcW w:w="558" w:type="pct"/>
            <w:shd w:val="clear" w:color="auto" w:fill="auto"/>
            <w:noWrap/>
          </w:tcPr>
          <w:p w:rsidR="00EC53CE" w:rsidRPr="00A13740" w:rsidRDefault="00EC53CE" w:rsidP="00BB7784">
            <w:pPr>
              <w:jc w:val="left"/>
              <w:rPr>
                <w:sz w:val="17"/>
                <w:szCs w:val="17"/>
                <w:lang w:val="fr-FR"/>
              </w:rPr>
            </w:pPr>
            <w:r w:rsidRPr="00A13740">
              <w:rPr>
                <w:sz w:val="17"/>
                <w:szCs w:val="17"/>
                <w:lang w:val="fr-FR"/>
              </w:rPr>
              <w:t>Coûts du projet</w:t>
            </w:r>
          </w:p>
        </w:tc>
        <w:tc>
          <w:tcPr>
            <w:tcW w:w="478" w:type="pct"/>
            <w:shd w:val="clear" w:color="auto" w:fill="auto"/>
            <w:noWrap/>
          </w:tcPr>
          <w:p w:rsidR="00EC53CE" w:rsidRPr="00A13740" w:rsidRDefault="00EC53CE" w:rsidP="00BB7784">
            <w:pPr>
              <w:jc w:val="right"/>
              <w:rPr>
                <w:sz w:val="17"/>
                <w:szCs w:val="17"/>
                <w:lang w:val="fr-FR"/>
              </w:rPr>
            </w:pPr>
            <w:r w:rsidRPr="00A13740">
              <w:rPr>
                <w:color w:val="000000"/>
                <w:sz w:val="17"/>
                <w:szCs w:val="17"/>
                <w:lang w:val="fr-FR" w:eastAsia="fr"/>
              </w:rPr>
              <w:t>76 000</w:t>
            </w:r>
          </w:p>
        </w:tc>
        <w:tc>
          <w:tcPr>
            <w:tcW w:w="331" w:type="pct"/>
            <w:shd w:val="clear" w:color="auto" w:fill="auto"/>
            <w:noWrap/>
          </w:tcPr>
          <w:p w:rsidR="00EC53CE" w:rsidRPr="00A13740" w:rsidRDefault="00EC53CE" w:rsidP="00BB7784">
            <w:pPr>
              <w:jc w:val="right"/>
              <w:rPr>
                <w:sz w:val="17"/>
                <w:szCs w:val="17"/>
                <w:lang w:val="fr-FR"/>
              </w:rPr>
            </w:pPr>
            <w:r w:rsidRPr="00A13740">
              <w:rPr>
                <w:sz w:val="17"/>
                <w:szCs w:val="17"/>
                <w:lang w:val="fr-FR"/>
              </w:rPr>
              <w:t>0</w:t>
            </w:r>
          </w:p>
        </w:tc>
        <w:tc>
          <w:tcPr>
            <w:tcW w:w="331" w:type="pct"/>
            <w:shd w:val="clear" w:color="auto" w:fill="auto"/>
            <w:noWrap/>
          </w:tcPr>
          <w:p w:rsidR="00EC53CE" w:rsidRPr="00A13740" w:rsidRDefault="00EC53CE" w:rsidP="00BB7784">
            <w:pPr>
              <w:jc w:val="right"/>
              <w:rPr>
                <w:sz w:val="17"/>
                <w:szCs w:val="17"/>
                <w:lang w:val="fr-FR"/>
              </w:rPr>
            </w:pPr>
            <w:r w:rsidRPr="00A13740">
              <w:rPr>
                <w:sz w:val="17"/>
                <w:szCs w:val="17"/>
                <w:lang w:val="fr-FR"/>
              </w:rPr>
              <w:t>0</w:t>
            </w:r>
          </w:p>
        </w:tc>
        <w:tc>
          <w:tcPr>
            <w:tcW w:w="457" w:type="pct"/>
            <w:noWrap/>
          </w:tcPr>
          <w:p w:rsidR="00EC53CE" w:rsidRPr="00A13740" w:rsidRDefault="00EC53CE" w:rsidP="00BB7784">
            <w:pPr>
              <w:jc w:val="right"/>
              <w:rPr>
                <w:sz w:val="17"/>
                <w:szCs w:val="17"/>
                <w:lang w:val="fr-FR"/>
              </w:rPr>
            </w:pPr>
            <w:r w:rsidRPr="00A13740">
              <w:rPr>
                <w:color w:val="000000"/>
                <w:sz w:val="17"/>
                <w:szCs w:val="17"/>
                <w:lang w:val="fr-FR" w:eastAsia="fr"/>
              </w:rPr>
              <w:t>100 000</w:t>
            </w:r>
          </w:p>
        </w:tc>
        <w:tc>
          <w:tcPr>
            <w:tcW w:w="391" w:type="pct"/>
            <w:shd w:val="clear" w:color="auto" w:fill="auto"/>
            <w:noWrap/>
          </w:tcPr>
          <w:p w:rsidR="00EC53CE" w:rsidRPr="00A13740" w:rsidRDefault="00EC53CE" w:rsidP="00BB7784">
            <w:pPr>
              <w:jc w:val="right"/>
              <w:rPr>
                <w:sz w:val="17"/>
                <w:szCs w:val="17"/>
                <w:lang w:val="fr-FR"/>
              </w:rPr>
            </w:pPr>
            <w:r w:rsidRPr="00A13740">
              <w:rPr>
                <w:sz w:val="17"/>
                <w:szCs w:val="17"/>
                <w:lang w:val="fr-FR"/>
              </w:rPr>
              <w:t>0</w:t>
            </w:r>
          </w:p>
        </w:tc>
        <w:tc>
          <w:tcPr>
            <w:tcW w:w="355" w:type="pct"/>
            <w:noWrap/>
          </w:tcPr>
          <w:p w:rsidR="00EC53CE" w:rsidRPr="00A13740" w:rsidRDefault="00EC53CE" w:rsidP="00BB7784">
            <w:pPr>
              <w:jc w:val="right"/>
              <w:rPr>
                <w:sz w:val="17"/>
                <w:szCs w:val="17"/>
                <w:lang w:val="fr-FR"/>
              </w:rPr>
            </w:pPr>
            <w:r w:rsidRPr="00A13740">
              <w:rPr>
                <w:sz w:val="17"/>
                <w:szCs w:val="17"/>
                <w:lang w:val="fr-FR"/>
              </w:rPr>
              <w:t>0</w:t>
            </w:r>
          </w:p>
        </w:tc>
        <w:tc>
          <w:tcPr>
            <w:tcW w:w="414" w:type="pct"/>
            <w:noWrap/>
          </w:tcPr>
          <w:p w:rsidR="00EC53CE" w:rsidRPr="00A13740" w:rsidRDefault="00EC53CE" w:rsidP="00BB7784">
            <w:pPr>
              <w:jc w:val="right"/>
              <w:rPr>
                <w:sz w:val="17"/>
                <w:szCs w:val="17"/>
                <w:lang w:val="fr-FR"/>
              </w:rPr>
            </w:pPr>
            <w:r w:rsidRPr="00A13740">
              <w:rPr>
                <w:color w:val="000000"/>
                <w:sz w:val="17"/>
                <w:szCs w:val="17"/>
                <w:lang w:val="fr-FR" w:eastAsia="fr"/>
              </w:rPr>
              <w:t>24 000</w:t>
            </w:r>
          </w:p>
        </w:tc>
        <w:tc>
          <w:tcPr>
            <w:tcW w:w="485" w:type="pct"/>
            <w:shd w:val="clear" w:color="auto" w:fill="auto"/>
            <w:noWrap/>
          </w:tcPr>
          <w:p w:rsidR="00EC53CE" w:rsidRPr="00A13740" w:rsidRDefault="00EC53CE" w:rsidP="00BB7784">
            <w:pPr>
              <w:jc w:val="right"/>
              <w:rPr>
                <w:sz w:val="17"/>
                <w:szCs w:val="17"/>
                <w:lang w:val="fr-FR"/>
              </w:rPr>
            </w:pPr>
            <w:r w:rsidRPr="00A13740">
              <w:rPr>
                <w:color w:val="000000"/>
                <w:sz w:val="17"/>
                <w:szCs w:val="17"/>
                <w:lang w:val="fr-FR" w:eastAsia="fr"/>
              </w:rPr>
              <w:t>200 000</w:t>
            </w:r>
          </w:p>
        </w:tc>
      </w:tr>
      <w:tr w:rsidR="00EC53CE" w:rsidRPr="00A13740" w:rsidTr="00E34727">
        <w:trPr>
          <w:trHeight w:val="153"/>
        </w:trPr>
        <w:tc>
          <w:tcPr>
            <w:tcW w:w="819" w:type="pct"/>
            <w:vMerge/>
            <w:shd w:val="clear" w:color="auto" w:fill="auto"/>
            <w:noWrap/>
          </w:tcPr>
          <w:p w:rsidR="00EC53CE" w:rsidRPr="00A13740" w:rsidRDefault="00EC53CE" w:rsidP="00BB7784">
            <w:pPr>
              <w:jc w:val="center"/>
              <w:rPr>
                <w:sz w:val="17"/>
                <w:szCs w:val="17"/>
                <w:lang w:val="fr-FR"/>
              </w:rPr>
            </w:pPr>
          </w:p>
        </w:tc>
        <w:tc>
          <w:tcPr>
            <w:tcW w:w="380" w:type="pct"/>
            <w:vMerge/>
            <w:shd w:val="clear" w:color="auto" w:fill="auto"/>
            <w:noWrap/>
          </w:tcPr>
          <w:p w:rsidR="00EC53CE" w:rsidRPr="00A13740" w:rsidRDefault="00EC53CE" w:rsidP="00BB7784">
            <w:pPr>
              <w:jc w:val="center"/>
              <w:rPr>
                <w:sz w:val="17"/>
                <w:szCs w:val="17"/>
                <w:lang w:val="fr-FR"/>
              </w:rPr>
            </w:pPr>
          </w:p>
        </w:tc>
        <w:tc>
          <w:tcPr>
            <w:tcW w:w="558" w:type="pct"/>
            <w:shd w:val="clear" w:color="auto" w:fill="auto"/>
            <w:noWrap/>
          </w:tcPr>
          <w:p w:rsidR="00EC53CE" w:rsidRPr="00A13740" w:rsidRDefault="00EC53CE" w:rsidP="00BB7784">
            <w:pPr>
              <w:jc w:val="left"/>
              <w:rPr>
                <w:sz w:val="17"/>
                <w:szCs w:val="17"/>
                <w:lang w:val="fr-FR"/>
              </w:rPr>
            </w:pPr>
            <w:r w:rsidRPr="00A13740">
              <w:rPr>
                <w:sz w:val="17"/>
                <w:szCs w:val="17"/>
                <w:lang w:val="fr-FR"/>
              </w:rPr>
              <w:t>Coûts d’appui</w:t>
            </w:r>
          </w:p>
        </w:tc>
        <w:tc>
          <w:tcPr>
            <w:tcW w:w="478" w:type="pct"/>
            <w:shd w:val="clear" w:color="auto" w:fill="auto"/>
            <w:noWrap/>
          </w:tcPr>
          <w:p w:rsidR="00EC53CE" w:rsidRPr="00A13740" w:rsidRDefault="00EC53CE" w:rsidP="00BB7784">
            <w:pPr>
              <w:jc w:val="right"/>
              <w:rPr>
                <w:sz w:val="17"/>
                <w:szCs w:val="17"/>
                <w:lang w:val="fr-FR"/>
              </w:rPr>
            </w:pPr>
            <w:r w:rsidRPr="00A13740">
              <w:rPr>
                <w:color w:val="000000"/>
                <w:sz w:val="17"/>
                <w:szCs w:val="17"/>
                <w:lang w:val="fr-FR" w:eastAsia="fr"/>
              </w:rPr>
              <w:t>9 880</w:t>
            </w:r>
          </w:p>
        </w:tc>
        <w:tc>
          <w:tcPr>
            <w:tcW w:w="331" w:type="pct"/>
            <w:shd w:val="clear" w:color="auto" w:fill="auto"/>
            <w:noWrap/>
          </w:tcPr>
          <w:p w:rsidR="00EC53CE" w:rsidRPr="00A13740" w:rsidRDefault="00EC53CE" w:rsidP="00BB7784">
            <w:pPr>
              <w:jc w:val="right"/>
              <w:rPr>
                <w:sz w:val="17"/>
                <w:szCs w:val="17"/>
                <w:lang w:val="fr-FR"/>
              </w:rPr>
            </w:pPr>
            <w:r w:rsidRPr="00A13740">
              <w:rPr>
                <w:sz w:val="17"/>
                <w:szCs w:val="17"/>
                <w:lang w:val="fr-FR"/>
              </w:rPr>
              <w:t>0</w:t>
            </w:r>
          </w:p>
        </w:tc>
        <w:tc>
          <w:tcPr>
            <w:tcW w:w="331" w:type="pct"/>
            <w:shd w:val="clear" w:color="auto" w:fill="auto"/>
            <w:noWrap/>
          </w:tcPr>
          <w:p w:rsidR="00EC53CE" w:rsidRPr="00A13740" w:rsidRDefault="00EC53CE" w:rsidP="00BB7784">
            <w:pPr>
              <w:jc w:val="right"/>
              <w:rPr>
                <w:sz w:val="17"/>
                <w:szCs w:val="17"/>
                <w:lang w:val="fr-FR"/>
              </w:rPr>
            </w:pPr>
            <w:r w:rsidRPr="00A13740">
              <w:rPr>
                <w:sz w:val="17"/>
                <w:szCs w:val="17"/>
                <w:lang w:val="fr-FR"/>
              </w:rPr>
              <w:t>0</w:t>
            </w:r>
          </w:p>
        </w:tc>
        <w:tc>
          <w:tcPr>
            <w:tcW w:w="457" w:type="pct"/>
            <w:noWrap/>
          </w:tcPr>
          <w:p w:rsidR="00EC53CE" w:rsidRPr="00A13740" w:rsidRDefault="00EC53CE" w:rsidP="00BB7784">
            <w:pPr>
              <w:jc w:val="right"/>
              <w:rPr>
                <w:sz w:val="17"/>
                <w:szCs w:val="17"/>
                <w:lang w:val="fr-FR"/>
              </w:rPr>
            </w:pPr>
            <w:r w:rsidRPr="00A13740">
              <w:rPr>
                <w:color w:val="000000"/>
                <w:sz w:val="17"/>
                <w:szCs w:val="17"/>
                <w:lang w:val="fr-FR" w:eastAsia="fr"/>
              </w:rPr>
              <w:t>13 000</w:t>
            </w:r>
          </w:p>
        </w:tc>
        <w:tc>
          <w:tcPr>
            <w:tcW w:w="391" w:type="pct"/>
            <w:shd w:val="clear" w:color="auto" w:fill="auto"/>
            <w:noWrap/>
          </w:tcPr>
          <w:p w:rsidR="00EC53CE" w:rsidRPr="00A13740" w:rsidRDefault="00EC53CE" w:rsidP="00BB7784">
            <w:pPr>
              <w:jc w:val="right"/>
              <w:rPr>
                <w:sz w:val="17"/>
                <w:szCs w:val="17"/>
                <w:lang w:val="fr-FR"/>
              </w:rPr>
            </w:pPr>
            <w:r w:rsidRPr="00A13740">
              <w:rPr>
                <w:sz w:val="17"/>
                <w:szCs w:val="17"/>
                <w:lang w:val="fr-FR"/>
              </w:rPr>
              <w:t>0</w:t>
            </w:r>
          </w:p>
        </w:tc>
        <w:tc>
          <w:tcPr>
            <w:tcW w:w="355" w:type="pct"/>
            <w:noWrap/>
          </w:tcPr>
          <w:p w:rsidR="00EC53CE" w:rsidRPr="00A13740" w:rsidRDefault="00EC53CE" w:rsidP="00BB7784">
            <w:pPr>
              <w:jc w:val="right"/>
              <w:rPr>
                <w:sz w:val="17"/>
                <w:szCs w:val="17"/>
                <w:lang w:val="fr-FR"/>
              </w:rPr>
            </w:pPr>
            <w:r w:rsidRPr="00A13740">
              <w:rPr>
                <w:sz w:val="17"/>
                <w:szCs w:val="17"/>
                <w:lang w:val="fr-FR"/>
              </w:rPr>
              <w:t>0</w:t>
            </w:r>
          </w:p>
        </w:tc>
        <w:tc>
          <w:tcPr>
            <w:tcW w:w="414" w:type="pct"/>
            <w:noWrap/>
          </w:tcPr>
          <w:p w:rsidR="00EC53CE" w:rsidRPr="00A13740" w:rsidRDefault="00EC53CE" w:rsidP="00BB7784">
            <w:pPr>
              <w:jc w:val="right"/>
              <w:rPr>
                <w:sz w:val="17"/>
                <w:szCs w:val="17"/>
                <w:lang w:val="fr-FR"/>
              </w:rPr>
            </w:pPr>
            <w:r w:rsidRPr="00A13740">
              <w:rPr>
                <w:color w:val="000000"/>
                <w:sz w:val="17"/>
                <w:szCs w:val="17"/>
                <w:lang w:val="fr-FR" w:eastAsia="fr"/>
              </w:rPr>
              <w:t>3 120</w:t>
            </w:r>
          </w:p>
        </w:tc>
        <w:tc>
          <w:tcPr>
            <w:tcW w:w="485" w:type="pct"/>
            <w:shd w:val="clear" w:color="auto" w:fill="auto"/>
            <w:noWrap/>
          </w:tcPr>
          <w:p w:rsidR="00EC53CE" w:rsidRPr="00A13740" w:rsidRDefault="00EC53CE" w:rsidP="00BB7784">
            <w:pPr>
              <w:jc w:val="right"/>
              <w:rPr>
                <w:sz w:val="17"/>
                <w:szCs w:val="17"/>
                <w:lang w:val="fr-FR"/>
              </w:rPr>
            </w:pPr>
            <w:r w:rsidRPr="00A13740">
              <w:rPr>
                <w:color w:val="000000"/>
                <w:sz w:val="17"/>
                <w:szCs w:val="17"/>
                <w:lang w:val="fr-FR" w:eastAsia="fr"/>
              </w:rPr>
              <w:t>26 000</w:t>
            </w:r>
          </w:p>
        </w:tc>
      </w:tr>
      <w:tr w:rsidR="00EC53CE" w:rsidRPr="00A13740" w:rsidTr="00E34727">
        <w:trPr>
          <w:trHeight w:hRule="exact" w:val="394"/>
        </w:trPr>
        <w:tc>
          <w:tcPr>
            <w:tcW w:w="1757" w:type="pct"/>
            <w:gridSpan w:val="3"/>
            <w:shd w:val="clear" w:color="auto" w:fill="auto"/>
            <w:noWrap/>
          </w:tcPr>
          <w:p w:rsidR="00EC53CE" w:rsidRPr="00A13740" w:rsidRDefault="00EC53CE" w:rsidP="00BB7784">
            <w:pPr>
              <w:jc w:val="left"/>
              <w:rPr>
                <w:sz w:val="17"/>
                <w:szCs w:val="17"/>
                <w:lang w:val="fr-FR"/>
              </w:rPr>
            </w:pPr>
            <w:r w:rsidRPr="00A13740">
              <w:rPr>
                <w:sz w:val="17"/>
                <w:szCs w:val="17"/>
                <w:lang w:val="fr-FR"/>
              </w:rPr>
              <w:t>Total des coûts du projet demandés en principe ($ US)</w:t>
            </w:r>
          </w:p>
        </w:tc>
        <w:tc>
          <w:tcPr>
            <w:tcW w:w="478" w:type="pct"/>
            <w:shd w:val="clear" w:color="auto" w:fill="auto"/>
            <w:noWrap/>
          </w:tcPr>
          <w:p w:rsidR="00EC53CE" w:rsidRPr="00A13740" w:rsidRDefault="00EC53CE" w:rsidP="00BB7784">
            <w:pPr>
              <w:jc w:val="right"/>
              <w:rPr>
                <w:sz w:val="17"/>
                <w:szCs w:val="17"/>
                <w:lang w:val="fr-FR"/>
              </w:rPr>
            </w:pPr>
            <w:r w:rsidRPr="00A13740">
              <w:rPr>
                <w:color w:val="000000"/>
                <w:sz w:val="17"/>
                <w:szCs w:val="17"/>
                <w:lang w:val="fr-FR" w:eastAsia="fr"/>
              </w:rPr>
              <w:t>934 306</w:t>
            </w:r>
          </w:p>
        </w:tc>
        <w:tc>
          <w:tcPr>
            <w:tcW w:w="331" w:type="pct"/>
            <w:shd w:val="clear" w:color="auto" w:fill="auto"/>
            <w:noWrap/>
          </w:tcPr>
          <w:p w:rsidR="00EC53CE" w:rsidRPr="00A13740" w:rsidRDefault="00EC53CE" w:rsidP="00BB7784">
            <w:pPr>
              <w:jc w:val="right"/>
              <w:rPr>
                <w:sz w:val="17"/>
                <w:szCs w:val="17"/>
                <w:lang w:val="fr-FR"/>
              </w:rPr>
            </w:pPr>
            <w:r w:rsidRPr="00A13740">
              <w:rPr>
                <w:sz w:val="17"/>
                <w:szCs w:val="17"/>
                <w:lang w:val="fr-FR"/>
              </w:rPr>
              <w:t>0</w:t>
            </w:r>
          </w:p>
        </w:tc>
        <w:tc>
          <w:tcPr>
            <w:tcW w:w="331" w:type="pct"/>
            <w:shd w:val="clear" w:color="auto" w:fill="auto"/>
            <w:noWrap/>
          </w:tcPr>
          <w:p w:rsidR="00EC53CE" w:rsidRPr="00A13740" w:rsidRDefault="00EC53CE" w:rsidP="00BB7784">
            <w:pPr>
              <w:jc w:val="right"/>
              <w:rPr>
                <w:sz w:val="17"/>
                <w:szCs w:val="17"/>
                <w:lang w:val="fr-FR"/>
              </w:rPr>
            </w:pPr>
            <w:r w:rsidRPr="00A13740">
              <w:rPr>
                <w:sz w:val="17"/>
                <w:szCs w:val="17"/>
                <w:lang w:val="fr-FR"/>
              </w:rPr>
              <w:t>0</w:t>
            </w:r>
          </w:p>
        </w:tc>
        <w:tc>
          <w:tcPr>
            <w:tcW w:w="457" w:type="pct"/>
            <w:noWrap/>
          </w:tcPr>
          <w:p w:rsidR="00EC53CE" w:rsidRPr="00A13740" w:rsidRDefault="00EC53CE" w:rsidP="00BB7784">
            <w:pPr>
              <w:jc w:val="right"/>
              <w:rPr>
                <w:sz w:val="17"/>
                <w:szCs w:val="17"/>
                <w:lang w:val="fr-FR"/>
              </w:rPr>
            </w:pPr>
            <w:r w:rsidRPr="00A13740">
              <w:rPr>
                <w:color w:val="000000"/>
                <w:sz w:val="17"/>
                <w:szCs w:val="17"/>
                <w:lang w:val="fr-FR" w:eastAsia="fr"/>
              </w:rPr>
              <w:t>486 640</w:t>
            </w:r>
          </w:p>
        </w:tc>
        <w:tc>
          <w:tcPr>
            <w:tcW w:w="391" w:type="pct"/>
            <w:shd w:val="clear" w:color="auto" w:fill="auto"/>
            <w:noWrap/>
          </w:tcPr>
          <w:p w:rsidR="00EC53CE" w:rsidRPr="00A13740" w:rsidRDefault="00EC53CE" w:rsidP="00BB7784">
            <w:pPr>
              <w:jc w:val="right"/>
              <w:rPr>
                <w:sz w:val="17"/>
                <w:szCs w:val="17"/>
                <w:lang w:val="fr-FR"/>
              </w:rPr>
            </w:pPr>
            <w:r w:rsidRPr="00A13740">
              <w:rPr>
                <w:sz w:val="17"/>
                <w:szCs w:val="17"/>
                <w:lang w:val="fr-FR"/>
              </w:rPr>
              <w:t>0</w:t>
            </w:r>
          </w:p>
        </w:tc>
        <w:tc>
          <w:tcPr>
            <w:tcW w:w="355" w:type="pct"/>
            <w:noWrap/>
          </w:tcPr>
          <w:p w:rsidR="00EC53CE" w:rsidRPr="00A13740" w:rsidRDefault="00EC53CE" w:rsidP="00BB7784">
            <w:pPr>
              <w:jc w:val="right"/>
              <w:rPr>
                <w:sz w:val="17"/>
                <w:szCs w:val="17"/>
                <w:lang w:val="fr-FR"/>
              </w:rPr>
            </w:pPr>
            <w:r w:rsidRPr="00A13740">
              <w:rPr>
                <w:sz w:val="17"/>
                <w:szCs w:val="17"/>
                <w:lang w:val="fr-FR"/>
              </w:rPr>
              <w:t>0</w:t>
            </w:r>
          </w:p>
        </w:tc>
        <w:tc>
          <w:tcPr>
            <w:tcW w:w="414" w:type="pct"/>
            <w:noWrap/>
          </w:tcPr>
          <w:p w:rsidR="00EC53CE" w:rsidRPr="00A13740" w:rsidRDefault="00EC53CE" w:rsidP="00BB7784">
            <w:pPr>
              <w:jc w:val="right"/>
              <w:rPr>
                <w:sz w:val="17"/>
                <w:szCs w:val="17"/>
                <w:lang w:val="fr-FR"/>
              </w:rPr>
            </w:pPr>
            <w:r w:rsidRPr="00A13740">
              <w:rPr>
                <w:color w:val="000000"/>
                <w:sz w:val="17"/>
                <w:szCs w:val="17"/>
                <w:lang w:val="fr-FR" w:eastAsia="fr"/>
              </w:rPr>
              <w:t>144 000</w:t>
            </w:r>
          </w:p>
        </w:tc>
        <w:tc>
          <w:tcPr>
            <w:tcW w:w="485" w:type="pct"/>
            <w:shd w:val="clear" w:color="auto" w:fill="auto"/>
            <w:noWrap/>
          </w:tcPr>
          <w:p w:rsidR="00EC53CE" w:rsidRPr="00A13740" w:rsidRDefault="00EC53CE" w:rsidP="00BB7784">
            <w:pPr>
              <w:jc w:val="right"/>
              <w:rPr>
                <w:sz w:val="17"/>
                <w:szCs w:val="17"/>
                <w:lang w:val="fr-FR"/>
              </w:rPr>
            </w:pPr>
            <w:r w:rsidRPr="00A13740">
              <w:rPr>
                <w:color w:val="000000"/>
                <w:sz w:val="17"/>
                <w:szCs w:val="17"/>
                <w:lang w:val="fr-FR" w:eastAsia="fr"/>
              </w:rPr>
              <w:t>1 564 946</w:t>
            </w:r>
          </w:p>
        </w:tc>
      </w:tr>
      <w:tr w:rsidR="00EC53CE" w:rsidRPr="00A13740" w:rsidTr="00E34727">
        <w:trPr>
          <w:trHeight w:hRule="exact" w:val="367"/>
        </w:trPr>
        <w:tc>
          <w:tcPr>
            <w:tcW w:w="1757" w:type="pct"/>
            <w:gridSpan w:val="3"/>
            <w:shd w:val="clear" w:color="auto" w:fill="auto"/>
            <w:noWrap/>
          </w:tcPr>
          <w:p w:rsidR="00EC53CE" w:rsidRPr="00A13740" w:rsidRDefault="00EC53CE" w:rsidP="00BB7784">
            <w:pPr>
              <w:jc w:val="left"/>
              <w:rPr>
                <w:sz w:val="17"/>
                <w:szCs w:val="17"/>
                <w:lang w:val="fr-FR"/>
              </w:rPr>
            </w:pPr>
            <w:r w:rsidRPr="00A13740">
              <w:rPr>
                <w:sz w:val="17"/>
                <w:szCs w:val="17"/>
                <w:lang w:val="fr-FR"/>
              </w:rPr>
              <w:t>Total des coûts d’appui demandés en principe ($ US)</w:t>
            </w:r>
          </w:p>
        </w:tc>
        <w:tc>
          <w:tcPr>
            <w:tcW w:w="478" w:type="pct"/>
            <w:shd w:val="clear" w:color="auto" w:fill="auto"/>
            <w:noWrap/>
          </w:tcPr>
          <w:p w:rsidR="00EC53CE" w:rsidRPr="00A13740" w:rsidRDefault="00EC53CE" w:rsidP="00BB7784">
            <w:pPr>
              <w:jc w:val="right"/>
              <w:rPr>
                <w:sz w:val="17"/>
                <w:szCs w:val="17"/>
                <w:lang w:val="fr-FR"/>
              </w:rPr>
            </w:pPr>
            <w:r w:rsidRPr="00A13740">
              <w:rPr>
                <w:color w:val="000000"/>
                <w:sz w:val="17"/>
                <w:szCs w:val="17"/>
                <w:lang w:val="fr-FR" w:eastAsia="fr"/>
              </w:rPr>
              <w:t>69 961</w:t>
            </w:r>
          </w:p>
        </w:tc>
        <w:tc>
          <w:tcPr>
            <w:tcW w:w="331" w:type="pct"/>
            <w:shd w:val="clear" w:color="auto" w:fill="auto"/>
            <w:noWrap/>
          </w:tcPr>
          <w:p w:rsidR="00EC53CE" w:rsidRPr="00A13740" w:rsidRDefault="00EC53CE" w:rsidP="00BB7784">
            <w:pPr>
              <w:jc w:val="right"/>
              <w:rPr>
                <w:sz w:val="17"/>
                <w:szCs w:val="17"/>
                <w:lang w:val="fr-FR"/>
              </w:rPr>
            </w:pPr>
            <w:r w:rsidRPr="00A13740">
              <w:rPr>
                <w:sz w:val="17"/>
                <w:szCs w:val="17"/>
                <w:lang w:val="fr-FR"/>
              </w:rPr>
              <w:t>0</w:t>
            </w:r>
          </w:p>
        </w:tc>
        <w:tc>
          <w:tcPr>
            <w:tcW w:w="331" w:type="pct"/>
            <w:noWrap/>
          </w:tcPr>
          <w:p w:rsidR="00EC53CE" w:rsidRPr="00A13740" w:rsidRDefault="00EC53CE" w:rsidP="00BB7784">
            <w:pPr>
              <w:jc w:val="right"/>
              <w:rPr>
                <w:sz w:val="17"/>
                <w:szCs w:val="17"/>
                <w:lang w:val="fr-FR"/>
              </w:rPr>
            </w:pPr>
            <w:r w:rsidRPr="00A13740">
              <w:rPr>
                <w:sz w:val="17"/>
                <w:szCs w:val="17"/>
                <w:lang w:val="fr-FR"/>
              </w:rPr>
              <w:t>0</w:t>
            </w:r>
          </w:p>
        </w:tc>
        <w:tc>
          <w:tcPr>
            <w:tcW w:w="457" w:type="pct"/>
            <w:noWrap/>
          </w:tcPr>
          <w:p w:rsidR="00EC53CE" w:rsidRPr="00A13740" w:rsidRDefault="00EC53CE" w:rsidP="00BB7784">
            <w:pPr>
              <w:jc w:val="right"/>
              <w:rPr>
                <w:sz w:val="17"/>
                <w:szCs w:val="17"/>
                <w:lang w:val="fr-FR"/>
              </w:rPr>
            </w:pPr>
            <w:r w:rsidRPr="00A13740">
              <w:rPr>
                <w:color w:val="000000"/>
                <w:sz w:val="17"/>
                <w:szCs w:val="17"/>
                <w:lang w:val="fr-FR" w:eastAsia="fr"/>
              </w:rPr>
              <w:t>40 065</w:t>
            </w:r>
          </w:p>
        </w:tc>
        <w:tc>
          <w:tcPr>
            <w:tcW w:w="391" w:type="pct"/>
            <w:noWrap/>
          </w:tcPr>
          <w:p w:rsidR="00EC53CE" w:rsidRPr="00A13740" w:rsidRDefault="00EC53CE" w:rsidP="00BB7784">
            <w:pPr>
              <w:jc w:val="right"/>
              <w:rPr>
                <w:sz w:val="17"/>
                <w:szCs w:val="17"/>
                <w:lang w:val="fr-FR"/>
              </w:rPr>
            </w:pPr>
            <w:r w:rsidRPr="00A13740">
              <w:rPr>
                <w:sz w:val="17"/>
                <w:szCs w:val="17"/>
                <w:lang w:val="fr-FR"/>
              </w:rPr>
              <w:t>0</w:t>
            </w:r>
          </w:p>
        </w:tc>
        <w:tc>
          <w:tcPr>
            <w:tcW w:w="355" w:type="pct"/>
            <w:noWrap/>
          </w:tcPr>
          <w:p w:rsidR="00EC53CE" w:rsidRPr="00A13740" w:rsidRDefault="00EC53CE" w:rsidP="00BB7784">
            <w:pPr>
              <w:jc w:val="right"/>
              <w:rPr>
                <w:sz w:val="17"/>
                <w:szCs w:val="17"/>
                <w:lang w:val="fr-FR"/>
              </w:rPr>
            </w:pPr>
            <w:r w:rsidRPr="00A13740">
              <w:rPr>
                <w:sz w:val="17"/>
                <w:szCs w:val="17"/>
                <w:lang w:val="fr-FR"/>
              </w:rPr>
              <w:t>0</w:t>
            </w:r>
          </w:p>
        </w:tc>
        <w:tc>
          <w:tcPr>
            <w:tcW w:w="414" w:type="pct"/>
            <w:noWrap/>
          </w:tcPr>
          <w:p w:rsidR="00EC53CE" w:rsidRPr="00A13740" w:rsidRDefault="00EC53CE" w:rsidP="00BB7784">
            <w:pPr>
              <w:jc w:val="right"/>
              <w:rPr>
                <w:sz w:val="17"/>
                <w:szCs w:val="17"/>
                <w:lang w:val="fr-FR"/>
              </w:rPr>
            </w:pPr>
            <w:r w:rsidRPr="00A13740">
              <w:rPr>
                <w:color w:val="000000"/>
                <w:sz w:val="17"/>
                <w:szCs w:val="17"/>
                <w:lang w:val="fr-FR" w:eastAsia="fr"/>
              </w:rPr>
              <w:t>11 520</w:t>
            </w:r>
          </w:p>
        </w:tc>
        <w:tc>
          <w:tcPr>
            <w:tcW w:w="485" w:type="pct"/>
            <w:shd w:val="clear" w:color="auto" w:fill="auto"/>
            <w:noWrap/>
          </w:tcPr>
          <w:p w:rsidR="00EC53CE" w:rsidRPr="00A13740" w:rsidRDefault="00EC53CE" w:rsidP="00BB7784">
            <w:pPr>
              <w:jc w:val="right"/>
              <w:rPr>
                <w:sz w:val="17"/>
                <w:szCs w:val="17"/>
                <w:lang w:val="fr-FR"/>
              </w:rPr>
            </w:pPr>
            <w:r w:rsidRPr="00A13740">
              <w:rPr>
                <w:color w:val="000000"/>
                <w:sz w:val="17"/>
                <w:szCs w:val="17"/>
                <w:lang w:val="fr-FR" w:eastAsia="fr"/>
              </w:rPr>
              <w:t>121 546</w:t>
            </w:r>
          </w:p>
        </w:tc>
      </w:tr>
      <w:tr w:rsidR="00EC53CE" w:rsidRPr="00A13740" w:rsidTr="00E34727">
        <w:trPr>
          <w:trHeight w:hRule="exact" w:val="245"/>
        </w:trPr>
        <w:tc>
          <w:tcPr>
            <w:tcW w:w="1757" w:type="pct"/>
            <w:gridSpan w:val="3"/>
            <w:shd w:val="clear" w:color="auto" w:fill="auto"/>
            <w:noWrap/>
          </w:tcPr>
          <w:p w:rsidR="00EC53CE" w:rsidRPr="00A13740" w:rsidRDefault="00EC53CE" w:rsidP="00BB7784">
            <w:pPr>
              <w:jc w:val="left"/>
              <w:rPr>
                <w:sz w:val="17"/>
                <w:szCs w:val="17"/>
                <w:lang w:val="fr-FR"/>
              </w:rPr>
            </w:pPr>
            <w:r w:rsidRPr="00A13740">
              <w:rPr>
                <w:sz w:val="17"/>
                <w:szCs w:val="17"/>
                <w:lang w:val="fr-FR"/>
              </w:rPr>
              <w:t>Total du financement demandé en principe ($ US)</w:t>
            </w:r>
          </w:p>
        </w:tc>
        <w:tc>
          <w:tcPr>
            <w:tcW w:w="478" w:type="pct"/>
            <w:shd w:val="clear" w:color="auto" w:fill="auto"/>
            <w:noWrap/>
          </w:tcPr>
          <w:p w:rsidR="00EC53CE" w:rsidRPr="00A13740" w:rsidRDefault="00EC53CE" w:rsidP="00BB7784">
            <w:pPr>
              <w:jc w:val="right"/>
              <w:rPr>
                <w:sz w:val="17"/>
                <w:szCs w:val="17"/>
                <w:lang w:val="fr-FR"/>
              </w:rPr>
            </w:pPr>
            <w:r w:rsidRPr="00A13740">
              <w:rPr>
                <w:color w:val="000000"/>
                <w:sz w:val="17"/>
                <w:szCs w:val="17"/>
                <w:lang w:val="fr-FR" w:eastAsia="fr"/>
              </w:rPr>
              <w:t>1 004 267</w:t>
            </w:r>
          </w:p>
        </w:tc>
        <w:tc>
          <w:tcPr>
            <w:tcW w:w="331" w:type="pct"/>
            <w:shd w:val="clear" w:color="auto" w:fill="auto"/>
            <w:noWrap/>
          </w:tcPr>
          <w:p w:rsidR="00EC53CE" w:rsidRPr="00A13740" w:rsidRDefault="00EC53CE" w:rsidP="00BB7784">
            <w:pPr>
              <w:jc w:val="right"/>
              <w:rPr>
                <w:sz w:val="17"/>
                <w:szCs w:val="17"/>
                <w:lang w:val="fr-FR"/>
              </w:rPr>
            </w:pPr>
            <w:r w:rsidRPr="00A13740">
              <w:rPr>
                <w:sz w:val="17"/>
                <w:szCs w:val="17"/>
                <w:lang w:val="fr-FR"/>
              </w:rPr>
              <w:t>0</w:t>
            </w:r>
          </w:p>
        </w:tc>
        <w:tc>
          <w:tcPr>
            <w:tcW w:w="331" w:type="pct"/>
            <w:noWrap/>
          </w:tcPr>
          <w:p w:rsidR="00EC53CE" w:rsidRPr="00A13740" w:rsidRDefault="00EC53CE" w:rsidP="00BB7784">
            <w:pPr>
              <w:jc w:val="right"/>
              <w:rPr>
                <w:sz w:val="17"/>
                <w:szCs w:val="17"/>
                <w:lang w:val="fr-FR"/>
              </w:rPr>
            </w:pPr>
            <w:r w:rsidRPr="00A13740">
              <w:rPr>
                <w:sz w:val="17"/>
                <w:szCs w:val="17"/>
                <w:lang w:val="fr-FR"/>
              </w:rPr>
              <w:t>0</w:t>
            </w:r>
          </w:p>
        </w:tc>
        <w:tc>
          <w:tcPr>
            <w:tcW w:w="457" w:type="pct"/>
            <w:noWrap/>
          </w:tcPr>
          <w:p w:rsidR="00EC53CE" w:rsidRPr="00A13740" w:rsidRDefault="00EC53CE" w:rsidP="00BB7784">
            <w:pPr>
              <w:jc w:val="right"/>
              <w:rPr>
                <w:sz w:val="17"/>
                <w:szCs w:val="17"/>
                <w:lang w:val="fr-FR"/>
              </w:rPr>
            </w:pPr>
            <w:r w:rsidRPr="00A13740">
              <w:rPr>
                <w:color w:val="000000"/>
                <w:sz w:val="17"/>
                <w:szCs w:val="17"/>
                <w:lang w:val="fr-FR" w:eastAsia="fr"/>
              </w:rPr>
              <w:t>526 705</w:t>
            </w:r>
          </w:p>
        </w:tc>
        <w:tc>
          <w:tcPr>
            <w:tcW w:w="391" w:type="pct"/>
            <w:noWrap/>
          </w:tcPr>
          <w:p w:rsidR="00EC53CE" w:rsidRPr="00A13740" w:rsidRDefault="00EC53CE" w:rsidP="00BB7784">
            <w:pPr>
              <w:jc w:val="right"/>
              <w:rPr>
                <w:sz w:val="17"/>
                <w:szCs w:val="17"/>
                <w:lang w:val="fr-FR"/>
              </w:rPr>
            </w:pPr>
            <w:r w:rsidRPr="00A13740">
              <w:rPr>
                <w:sz w:val="17"/>
                <w:szCs w:val="17"/>
                <w:lang w:val="fr-FR"/>
              </w:rPr>
              <w:t>0</w:t>
            </w:r>
          </w:p>
        </w:tc>
        <w:tc>
          <w:tcPr>
            <w:tcW w:w="355" w:type="pct"/>
            <w:noWrap/>
          </w:tcPr>
          <w:p w:rsidR="00EC53CE" w:rsidRPr="00A13740" w:rsidRDefault="00EC53CE" w:rsidP="00BB7784">
            <w:pPr>
              <w:jc w:val="right"/>
              <w:rPr>
                <w:sz w:val="17"/>
                <w:szCs w:val="17"/>
                <w:lang w:val="fr-FR"/>
              </w:rPr>
            </w:pPr>
            <w:r w:rsidRPr="00A13740">
              <w:rPr>
                <w:sz w:val="17"/>
                <w:szCs w:val="17"/>
                <w:lang w:val="fr-FR"/>
              </w:rPr>
              <w:t>0</w:t>
            </w:r>
          </w:p>
        </w:tc>
        <w:tc>
          <w:tcPr>
            <w:tcW w:w="414" w:type="pct"/>
            <w:noWrap/>
          </w:tcPr>
          <w:p w:rsidR="00EC53CE" w:rsidRPr="00A13740" w:rsidRDefault="00EC53CE" w:rsidP="00BB7784">
            <w:pPr>
              <w:jc w:val="right"/>
              <w:rPr>
                <w:sz w:val="17"/>
                <w:szCs w:val="17"/>
                <w:lang w:val="fr-FR"/>
              </w:rPr>
            </w:pPr>
            <w:r w:rsidRPr="00A13740">
              <w:rPr>
                <w:color w:val="000000"/>
                <w:sz w:val="17"/>
                <w:szCs w:val="17"/>
                <w:lang w:val="fr-FR" w:eastAsia="fr"/>
              </w:rPr>
              <w:t>155 520</w:t>
            </w:r>
          </w:p>
        </w:tc>
        <w:tc>
          <w:tcPr>
            <w:tcW w:w="485" w:type="pct"/>
            <w:shd w:val="clear" w:color="auto" w:fill="auto"/>
            <w:noWrap/>
          </w:tcPr>
          <w:p w:rsidR="00EC53CE" w:rsidRPr="00A13740" w:rsidRDefault="00EC53CE" w:rsidP="00BB7784">
            <w:pPr>
              <w:jc w:val="right"/>
              <w:rPr>
                <w:sz w:val="17"/>
                <w:szCs w:val="17"/>
                <w:lang w:val="fr-FR"/>
              </w:rPr>
            </w:pPr>
            <w:r w:rsidRPr="00A13740">
              <w:rPr>
                <w:color w:val="000000"/>
                <w:sz w:val="17"/>
                <w:szCs w:val="17"/>
                <w:lang w:val="fr-FR" w:eastAsia="fr"/>
              </w:rPr>
              <w:t>1 686 492</w:t>
            </w:r>
          </w:p>
        </w:tc>
      </w:tr>
    </w:tbl>
    <w:p w:rsidR="00EC53CE" w:rsidRPr="00A13740" w:rsidRDefault="00EC53CE" w:rsidP="00EC53CE">
      <w:pPr>
        <w:jc w:val="left"/>
        <w:rPr>
          <w:sz w:val="14"/>
          <w:szCs w:val="14"/>
          <w:lang w:val="fr-FR"/>
        </w:rPr>
      </w:pPr>
    </w:p>
    <w:tbl>
      <w:tblPr>
        <w:tblStyle w:val="TableGrid10"/>
        <w:tblW w:w="5458" w:type="pct"/>
        <w:tblInd w:w="-431" w:type="dxa"/>
        <w:tblLook w:val="04A0" w:firstRow="1" w:lastRow="0" w:firstColumn="1" w:lastColumn="0" w:noHBand="0" w:noVBand="1"/>
      </w:tblPr>
      <w:tblGrid>
        <w:gridCol w:w="2970"/>
        <w:gridCol w:w="3331"/>
        <w:gridCol w:w="3905"/>
      </w:tblGrid>
      <w:tr w:rsidR="00EC53CE" w:rsidRPr="00F36C81" w:rsidTr="00E34727">
        <w:trPr>
          <w:trHeight w:hRule="exact" w:val="227"/>
        </w:trPr>
        <w:tc>
          <w:tcPr>
            <w:tcW w:w="5000" w:type="pct"/>
            <w:gridSpan w:val="3"/>
            <w:shd w:val="clear" w:color="auto" w:fill="auto"/>
          </w:tcPr>
          <w:p w:rsidR="00EC53CE" w:rsidRPr="00A13740" w:rsidRDefault="00EC53CE" w:rsidP="00BB7784">
            <w:pPr>
              <w:rPr>
                <w:b/>
                <w:color w:val="000000" w:themeColor="text1"/>
                <w:sz w:val="17"/>
                <w:szCs w:val="17"/>
                <w:lang w:val="fr-FR"/>
              </w:rPr>
            </w:pPr>
            <w:r w:rsidRPr="00A13740">
              <w:rPr>
                <w:b/>
                <w:color w:val="000000" w:themeColor="text1"/>
                <w:sz w:val="17"/>
                <w:szCs w:val="17"/>
                <w:lang w:val="fr-FR"/>
              </w:rPr>
              <w:t>(VII) Demande de financement pour la première tranche (2019)</w:t>
            </w:r>
          </w:p>
        </w:tc>
      </w:tr>
      <w:tr w:rsidR="00EC53CE" w:rsidRPr="00A13740" w:rsidTr="00E34727">
        <w:trPr>
          <w:trHeight w:hRule="exact" w:val="227"/>
        </w:trPr>
        <w:tc>
          <w:tcPr>
            <w:tcW w:w="1455" w:type="pct"/>
            <w:shd w:val="clear" w:color="auto" w:fill="auto"/>
          </w:tcPr>
          <w:p w:rsidR="00EC53CE" w:rsidRPr="00A13740" w:rsidRDefault="00EC53CE" w:rsidP="00BB7784">
            <w:pPr>
              <w:jc w:val="center"/>
              <w:rPr>
                <w:b/>
                <w:color w:val="000000" w:themeColor="text1"/>
                <w:sz w:val="17"/>
                <w:szCs w:val="17"/>
                <w:lang w:val="fr-FR"/>
              </w:rPr>
            </w:pPr>
            <w:r w:rsidRPr="00A13740">
              <w:rPr>
                <w:b/>
                <w:color w:val="000000" w:themeColor="text1"/>
                <w:sz w:val="17"/>
                <w:szCs w:val="17"/>
                <w:lang w:val="fr-FR"/>
              </w:rPr>
              <w:t>Agence</w:t>
            </w:r>
          </w:p>
        </w:tc>
        <w:tc>
          <w:tcPr>
            <w:tcW w:w="1632" w:type="pct"/>
            <w:shd w:val="clear" w:color="auto" w:fill="auto"/>
          </w:tcPr>
          <w:p w:rsidR="00EC53CE" w:rsidRPr="00A13740" w:rsidRDefault="00EC53CE" w:rsidP="00BB7784">
            <w:pPr>
              <w:jc w:val="center"/>
              <w:rPr>
                <w:b/>
                <w:color w:val="000000" w:themeColor="text1"/>
                <w:sz w:val="17"/>
                <w:szCs w:val="17"/>
                <w:lang w:val="fr-FR"/>
              </w:rPr>
            </w:pPr>
            <w:r w:rsidRPr="00A13740">
              <w:rPr>
                <w:b/>
                <w:color w:val="000000" w:themeColor="text1"/>
                <w:sz w:val="17"/>
                <w:szCs w:val="17"/>
                <w:lang w:val="fr-FR"/>
              </w:rPr>
              <w:t>Fonds demandés ($ US)</w:t>
            </w:r>
          </w:p>
        </w:tc>
        <w:tc>
          <w:tcPr>
            <w:tcW w:w="1913" w:type="pct"/>
            <w:shd w:val="clear" w:color="auto" w:fill="auto"/>
          </w:tcPr>
          <w:p w:rsidR="00EC53CE" w:rsidRPr="00A13740" w:rsidRDefault="00EC53CE" w:rsidP="00BB7784">
            <w:pPr>
              <w:jc w:val="center"/>
              <w:rPr>
                <w:b/>
                <w:color w:val="000000" w:themeColor="text1"/>
                <w:sz w:val="17"/>
                <w:szCs w:val="17"/>
                <w:lang w:val="fr-FR"/>
              </w:rPr>
            </w:pPr>
            <w:r w:rsidRPr="00A13740">
              <w:rPr>
                <w:b/>
                <w:color w:val="000000" w:themeColor="text1"/>
                <w:sz w:val="17"/>
                <w:szCs w:val="17"/>
                <w:lang w:val="fr-FR"/>
              </w:rPr>
              <w:t>Coûts d’appui ($ US)</w:t>
            </w:r>
          </w:p>
        </w:tc>
      </w:tr>
      <w:tr w:rsidR="00EC53CE" w:rsidRPr="00A13740" w:rsidTr="00E34727">
        <w:trPr>
          <w:trHeight w:hRule="exact" w:val="227"/>
        </w:trPr>
        <w:tc>
          <w:tcPr>
            <w:tcW w:w="1455" w:type="pct"/>
            <w:shd w:val="clear" w:color="auto" w:fill="auto"/>
          </w:tcPr>
          <w:p w:rsidR="00EC53CE" w:rsidRPr="00A13740" w:rsidRDefault="00EC53CE" w:rsidP="00BB7784">
            <w:pPr>
              <w:rPr>
                <w:color w:val="000000" w:themeColor="text1"/>
                <w:sz w:val="17"/>
                <w:szCs w:val="17"/>
                <w:lang w:val="fr-FR"/>
              </w:rPr>
            </w:pPr>
            <w:r w:rsidRPr="00A13740">
              <w:rPr>
                <w:color w:val="000000" w:themeColor="text1"/>
                <w:sz w:val="17"/>
                <w:szCs w:val="17"/>
                <w:lang w:val="fr-FR"/>
              </w:rPr>
              <w:t>ONUDI</w:t>
            </w:r>
          </w:p>
        </w:tc>
        <w:tc>
          <w:tcPr>
            <w:tcW w:w="1632" w:type="pct"/>
            <w:shd w:val="clear" w:color="auto" w:fill="auto"/>
          </w:tcPr>
          <w:p w:rsidR="00EC53CE" w:rsidRPr="00A13740" w:rsidRDefault="00EC53CE" w:rsidP="00BB7784">
            <w:pPr>
              <w:jc w:val="right"/>
              <w:rPr>
                <w:color w:val="000000" w:themeColor="text1"/>
                <w:sz w:val="17"/>
                <w:szCs w:val="17"/>
                <w:lang w:val="fr-FR"/>
              </w:rPr>
            </w:pPr>
            <w:r w:rsidRPr="00A13740">
              <w:rPr>
                <w:color w:val="000000"/>
                <w:sz w:val="17"/>
                <w:szCs w:val="17"/>
                <w:lang w:val="fr-FR" w:eastAsia="fr"/>
              </w:rPr>
              <w:t>858 306</w:t>
            </w:r>
          </w:p>
        </w:tc>
        <w:tc>
          <w:tcPr>
            <w:tcW w:w="1913" w:type="pct"/>
            <w:shd w:val="clear" w:color="auto" w:fill="auto"/>
          </w:tcPr>
          <w:p w:rsidR="00EC53CE" w:rsidRPr="00A13740" w:rsidRDefault="00EC53CE" w:rsidP="00BB7784">
            <w:pPr>
              <w:jc w:val="right"/>
              <w:rPr>
                <w:color w:val="000000" w:themeColor="text1"/>
                <w:sz w:val="17"/>
                <w:szCs w:val="17"/>
                <w:lang w:val="fr-FR"/>
              </w:rPr>
            </w:pPr>
            <w:r w:rsidRPr="00A13740">
              <w:rPr>
                <w:color w:val="000000"/>
                <w:sz w:val="17"/>
                <w:szCs w:val="17"/>
                <w:lang w:val="fr-FR" w:eastAsia="fr"/>
              </w:rPr>
              <w:t>60 081</w:t>
            </w:r>
          </w:p>
        </w:tc>
      </w:tr>
      <w:tr w:rsidR="00EC53CE" w:rsidRPr="00A13740" w:rsidTr="00E34727">
        <w:trPr>
          <w:trHeight w:hRule="exact" w:val="227"/>
        </w:trPr>
        <w:tc>
          <w:tcPr>
            <w:tcW w:w="1455" w:type="pct"/>
            <w:shd w:val="clear" w:color="auto" w:fill="auto"/>
          </w:tcPr>
          <w:p w:rsidR="00EC53CE" w:rsidRPr="00A13740" w:rsidRDefault="00EC53CE" w:rsidP="00BB7784">
            <w:pPr>
              <w:rPr>
                <w:color w:val="000000" w:themeColor="text1"/>
                <w:sz w:val="17"/>
                <w:szCs w:val="17"/>
                <w:lang w:val="fr-FR"/>
              </w:rPr>
            </w:pPr>
            <w:r w:rsidRPr="00A13740">
              <w:rPr>
                <w:color w:val="000000" w:themeColor="text1"/>
                <w:sz w:val="17"/>
                <w:szCs w:val="17"/>
                <w:lang w:val="fr-FR"/>
              </w:rPr>
              <w:t>PNUE</w:t>
            </w:r>
          </w:p>
        </w:tc>
        <w:tc>
          <w:tcPr>
            <w:tcW w:w="1632" w:type="pct"/>
            <w:shd w:val="clear" w:color="auto" w:fill="auto"/>
          </w:tcPr>
          <w:p w:rsidR="00EC53CE" w:rsidRPr="00A13740" w:rsidRDefault="00EC53CE" w:rsidP="00BB7784">
            <w:pPr>
              <w:jc w:val="right"/>
              <w:rPr>
                <w:color w:val="000000" w:themeColor="text1"/>
                <w:sz w:val="17"/>
                <w:szCs w:val="17"/>
                <w:lang w:val="fr-FR"/>
              </w:rPr>
            </w:pPr>
            <w:r w:rsidRPr="00A13740">
              <w:rPr>
                <w:color w:val="000000" w:themeColor="text1"/>
                <w:sz w:val="17"/>
                <w:szCs w:val="17"/>
                <w:lang w:val="fr-FR"/>
              </w:rPr>
              <w:t>76 000</w:t>
            </w:r>
          </w:p>
        </w:tc>
        <w:tc>
          <w:tcPr>
            <w:tcW w:w="1913" w:type="pct"/>
            <w:shd w:val="clear" w:color="auto" w:fill="auto"/>
          </w:tcPr>
          <w:p w:rsidR="00EC53CE" w:rsidRPr="00A13740" w:rsidRDefault="00EC53CE" w:rsidP="00BB7784">
            <w:pPr>
              <w:jc w:val="right"/>
              <w:rPr>
                <w:color w:val="000000" w:themeColor="text1"/>
                <w:sz w:val="17"/>
                <w:szCs w:val="17"/>
                <w:lang w:val="fr-FR"/>
              </w:rPr>
            </w:pPr>
            <w:r w:rsidRPr="00A13740">
              <w:rPr>
                <w:color w:val="000000" w:themeColor="text1"/>
                <w:sz w:val="17"/>
                <w:szCs w:val="17"/>
                <w:lang w:val="fr-FR"/>
              </w:rPr>
              <w:t>9 880</w:t>
            </w:r>
          </w:p>
        </w:tc>
      </w:tr>
      <w:tr w:rsidR="00EC53CE" w:rsidRPr="00A13740" w:rsidTr="00E34727">
        <w:trPr>
          <w:trHeight w:hRule="exact" w:val="227"/>
        </w:trPr>
        <w:tc>
          <w:tcPr>
            <w:tcW w:w="1455" w:type="pct"/>
            <w:shd w:val="clear" w:color="auto" w:fill="auto"/>
          </w:tcPr>
          <w:p w:rsidR="00EC53CE" w:rsidRPr="00A13740" w:rsidRDefault="00EC53CE" w:rsidP="00BB7784">
            <w:pPr>
              <w:rPr>
                <w:color w:val="000000" w:themeColor="text1"/>
                <w:sz w:val="17"/>
                <w:szCs w:val="17"/>
                <w:lang w:val="fr-FR"/>
              </w:rPr>
            </w:pPr>
            <w:r w:rsidRPr="00A13740">
              <w:rPr>
                <w:color w:val="000000" w:themeColor="text1"/>
                <w:sz w:val="17"/>
                <w:szCs w:val="17"/>
                <w:lang w:val="fr-FR"/>
              </w:rPr>
              <w:t>Total</w:t>
            </w:r>
          </w:p>
        </w:tc>
        <w:tc>
          <w:tcPr>
            <w:tcW w:w="1632" w:type="pct"/>
            <w:shd w:val="clear" w:color="auto" w:fill="auto"/>
          </w:tcPr>
          <w:p w:rsidR="00EC53CE" w:rsidRPr="00A13740" w:rsidRDefault="00EC53CE" w:rsidP="00BB7784">
            <w:pPr>
              <w:jc w:val="right"/>
              <w:rPr>
                <w:color w:val="000000" w:themeColor="text1"/>
                <w:sz w:val="17"/>
                <w:szCs w:val="17"/>
                <w:lang w:val="fr-FR"/>
              </w:rPr>
            </w:pPr>
            <w:r w:rsidRPr="00A13740">
              <w:rPr>
                <w:color w:val="000000" w:themeColor="text1"/>
                <w:sz w:val="17"/>
                <w:szCs w:val="17"/>
                <w:lang w:val="fr-FR"/>
              </w:rPr>
              <w:t>934 306</w:t>
            </w:r>
          </w:p>
        </w:tc>
        <w:tc>
          <w:tcPr>
            <w:tcW w:w="1913" w:type="pct"/>
            <w:shd w:val="clear" w:color="auto" w:fill="auto"/>
          </w:tcPr>
          <w:p w:rsidR="00EC53CE" w:rsidRPr="00A13740" w:rsidRDefault="00EC53CE" w:rsidP="00BB7784">
            <w:pPr>
              <w:jc w:val="right"/>
              <w:rPr>
                <w:color w:val="000000" w:themeColor="text1"/>
                <w:sz w:val="17"/>
                <w:szCs w:val="17"/>
                <w:lang w:val="fr-FR"/>
              </w:rPr>
            </w:pPr>
            <w:r w:rsidRPr="00A13740">
              <w:rPr>
                <w:color w:val="000000" w:themeColor="text1"/>
                <w:sz w:val="17"/>
                <w:szCs w:val="17"/>
                <w:lang w:val="fr-FR"/>
              </w:rPr>
              <w:t>69 961</w:t>
            </w:r>
          </w:p>
        </w:tc>
      </w:tr>
      <w:tr w:rsidR="00EC53CE" w:rsidRPr="00F36C81" w:rsidTr="00E34727">
        <w:trPr>
          <w:trHeight w:hRule="exact" w:val="227"/>
        </w:trPr>
        <w:tc>
          <w:tcPr>
            <w:tcW w:w="1455" w:type="pct"/>
            <w:shd w:val="clear" w:color="auto" w:fill="auto"/>
          </w:tcPr>
          <w:p w:rsidR="00EC53CE" w:rsidRPr="00A13740" w:rsidRDefault="00EC53CE" w:rsidP="00BB7784">
            <w:pPr>
              <w:rPr>
                <w:color w:val="000000" w:themeColor="text1"/>
                <w:sz w:val="17"/>
                <w:szCs w:val="17"/>
                <w:lang w:val="fr-FR"/>
              </w:rPr>
            </w:pPr>
            <w:r w:rsidRPr="00A13740">
              <w:rPr>
                <w:color w:val="000000" w:themeColor="text1"/>
                <w:sz w:val="17"/>
                <w:szCs w:val="17"/>
                <w:lang w:val="fr-FR"/>
              </w:rPr>
              <w:t>Demande de financement :</w:t>
            </w:r>
          </w:p>
        </w:tc>
        <w:tc>
          <w:tcPr>
            <w:tcW w:w="3545" w:type="pct"/>
            <w:gridSpan w:val="2"/>
            <w:shd w:val="clear" w:color="auto" w:fill="auto"/>
          </w:tcPr>
          <w:p w:rsidR="00EC53CE" w:rsidRPr="00A13740" w:rsidRDefault="00EC53CE" w:rsidP="00BB7784">
            <w:pPr>
              <w:jc w:val="center"/>
              <w:rPr>
                <w:color w:val="000000" w:themeColor="text1"/>
                <w:sz w:val="17"/>
                <w:szCs w:val="17"/>
                <w:lang w:val="fr-FR"/>
              </w:rPr>
            </w:pPr>
            <w:r w:rsidRPr="00A13740">
              <w:rPr>
                <w:color w:val="000000" w:themeColor="text1"/>
                <w:sz w:val="17"/>
                <w:szCs w:val="17"/>
                <w:lang w:val="fr-FR"/>
              </w:rPr>
              <w:t>Approbation du financement pour la première tranche (2019) comme indiqué ci-dessus</w:t>
            </w:r>
          </w:p>
        </w:tc>
      </w:tr>
    </w:tbl>
    <w:p w:rsidR="00EC53CE" w:rsidRPr="00A13740" w:rsidRDefault="00EC53CE" w:rsidP="00E34727">
      <w:pPr>
        <w:jc w:val="left"/>
        <w:rPr>
          <w:b/>
          <w:sz w:val="16"/>
          <w:szCs w:val="16"/>
          <w:lang w:val="fr-FR"/>
        </w:rPr>
      </w:pPr>
    </w:p>
    <w:tbl>
      <w:tblPr>
        <w:tblStyle w:val="TableGrid"/>
        <w:tblW w:w="5228" w:type="pct"/>
        <w:tblLook w:val="04A0" w:firstRow="1" w:lastRow="0" w:firstColumn="1" w:lastColumn="0" w:noHBand="0" w:noVBand="1"/>
      </w:tblPr>
      <w:tblGrid>
        <w:gridCol w:w="5097"/>
        <w:gridCol w:w="4679"/>
      </w:tblGrid>
      <w:tr w:rsidR="00EC53CE" w:rsidRPr="00A13740" w:rsidTr="00E34727">
        <w:trPr>
          <w:trHeight w:hRule="exact" w:val="281"/>
        </w:trPr>
        <w:tc>
          <w:tcPr>
            <w:tcW w:w="2607" w:type="pct"/>
            <w:shd w:val="clear" w:color="auto" w:fill="auto"/>
          </w:tcPr>
          <w:p w:rsidR="00EC53CE" w:rsidRPr="00A13740" w:rsidRDefault="00EC53CE" w:rsidP="00BB7784">
            <w:pPr>
              <w:jc w:val="left"/>
              <w:rPr>
                <w:b/>
                <w:color w:val="000000" w:themeColor="text1"/>
                <w:sz w:val="17"/>
                <w:szCs w:val="17"/>
                <w:lang w:val="fr-FR"/>
              </w:rPr>
            </w:pPr>
            <w:r w:rsidRPr="00A13740">
              <w:rPr>
                <w:b/>
                <w:color w:val="000000" w:themeColor="text1"/>
                <w:sz w:val="17"/>
                <w:szCs w:val="17"/>
                <w:lang w:val="fr-FR"/>
              </w:rPr>
              <w:t>Recommandation du Secrétariat :</w:t>
            </w:r>
          </w:p>
        </w:tc>
        <w:tc>
          <w:tcPr>
            <w:tcW w:w="2393" w:type="pct"/>
            <w:shd w:val="clear" w:color="auto" w:fill="auto"/>
          </w:tcPr>
          <w:p w:rsidR="00EC53CE" w:rsidRPr="00A13740" w:rsidRDefault="00EC53CE" w:rsidP="00BB7784">
            <w:pPr>
              <w:jc w:val="center"/>
              <w:rPr>
                <w:color w:val="000000" w:themeColor="text1"/>
                <w:sz w:val="17"/>
                <w:szCs w:val="17"/>
                <w:lang w:val="fr-FR"/>
              </w:rPr>
            </w:pPr>
            <w:r w:rsidRPr="00A13740">
              <w:rPr>
                <w:color w:val="000000" w:themeColor="text1"/>
                <w:sz w:val="17"/>
                <w:szCs w:val="17"/>
                <w:lang w:val="fr-FR"/>
              </w:rPr>
              <w:t>Pour examen individuel</w:t>
            </w:r>
          </w:p>
        </w:tc>
      </w:tr>
    </w:tbl>
    <w:p w:rsidR="00EC53CE" w:rsidRDefault="00EC53CE" w:rsidP="00EC53CE">
      <w:pPr>
        <w:pStyle w:val="StyleHeader4Para4Left0Firstline0"/>
        <w:numPr>
          <w:ilvl w:val="0"/>
          <w:numId w:val="0"/>
        </w:numPr>
        <w:jc w:val="center"/>
        <w:rPr>
          <w:b/>
          <w:sz w:val="22"/>
          <w:lang w:val="fr-FR"/>
        </w:rPr>
      </w:pPr>
    </w:p>
    <w:p w:rsidR="00EC53CE" w:rsidRPr="00A13740" w:rsidRDefault="00EC53CE" w:rsidP="00EC53CE">
      <w:pPr>
        <w:pStyle w:val="StyleHeader4Para4Left0Firstline0"/>
        <w:numPr>
          <w:ilvl w:val="0"/>
          <w:numId w:val="0"/>
        </w:numPr>
        <w:jc w:val="center"/>
        <w:rPr>
          <w:b/>
          <w:sz w:val="22"/>
          <w:lang w:val="fr-FR"/>
        </w:rPr>
      </w:pPr>
      <w:r w:rsidRPr="00A13740">
        <w:rPr>
          <w:b/>
          <w:sz w:val="22"/>
          <w:lang w:val="fr-FR"/>
        </w:rPr>
        <w:t>DESCRIPTIF DE PROJET</w:t>
      </w:r>
    </w:p>
    <w:p w:rsidR="00EC53CE" w:rsidRPr="00A13740" w:rsidRDefault="00EC53CE" w:rsidP="00EC53CE">
      <w:pPr>
        <w:spacing w:after="240"/>
        <w:rPr>
          <w:b/>
          <w:lang w:val="fr-FR"/>
        </w:rPr>
      </w:pPr>
      <w:r w:rsidRPr="00A13740">
        <w:rPr>
          <w:b/>
          <w:lang w:val="fr-FR"/>
        </w:rPr>
        <w:t>Historique</w:t>
      </w:r>
    </w:p>
    <w:p w:rsidR="00EC53CE" w:rsidRPr="00A13740" w:rsidRDefault="00EC53CE" w:rsidP="00EC53CE">
      <w:pPr>
        <w:pStyle w:val="Heading1"/>
        <w:rPr>
          <w:lang w:val="fr-FR"/>
        </w:rPr>
      </w:pPr>
      <w:r w:rsidRPr="00A13740">
        <w:rPr>
          <w:lang w:val="fr-FR"/>
        </w:rPr>
        <w:t>Au nom du Gouvernement de la Tunisie, l’ONUDI, en tant que principale agence d’exécution, a présenté une demande pour la phase II du plan de gestion de l’élimination des HCFC (PGEH) d’un montant total de 2 486 097 $ US, soit 2 112 240 $ US, plus les coûts d’appui d’agence de 147 857 $ US pour l’ONUDI, et de 147 857 $ US, plus les coûts d’appui d’agence de 26 000 $ US pour le PNUE, conformément à la proposition initiale.</w:t>
      </w:r>
      <w:r w:rsidR="00D6530D">
        <w:rPr>
          <w:rStyle w:val="FootnoteReference"/>
          <w:lang w:val="fr-FR"/>
        </w:rPr>
        <w:footnoteReference w:id="3"/>
      </w:r>
      <w:r w:rsidRPr="00A13740">
        <w:rPr>
          <w:lang w:val="fr-FR"/>
        </w:rPr>
        <w:t xml:space="preserve"> La mise en œuvre de la phase II du PGEH permettra d’éliminer 24,25 tonnes PAO</w:t>
      </w:r>
      <w:r w:rsidR="00D6530D">
        <w:rPr>
          <w:rStyle w:val="FootnoteReference"/>
          <w:lang w:val="fr-FR"/>
        </w:rPr>
        <w:footnoteReference w:id="4"/>
      </w:r>
      <w:r w:rsidRPr="00A13740">
        <w:rPr>
          <w:lang w:val="fr-FR"/>
        </w:rPr>
        <w:t xml:space="preserve"> de HCFC et de respecter ainsi l’objectif de réduction de la consommation de HCFC de 67,5 % par rapport à la valeur de référence d’ici 2025, conformément à la proposition initiale.</w:t>
      </w:r>
    </w:p>
    <w:p w:rsidR="00EC53CE" w:rsidRPr="00A13740" w:rsidRDefault="00EC53CE" w:rsidP="00EC53CE">
      <w:pPr>
        <w:pStyle w:val="Heading1"/>
        <w:rPr>
          <w:lang w:val="fr-FR"/>
        </w:rPr>
      </w:pPr>
      <w:r w:rsidRPr="00A13740">
        <w:rPr>
          <w:lang w:val="fr-FR"/>
        </w:rPr>
        <w:t>La première tranche de la phase II du PGEH qui est demandée à la présente réunion s’élève à 1 225 304 $ US, soit 1 064 882 $ US, plus les coûts d’appui d’agence de 74 542 $ US pour l’ONUDI, et de 76 000 $ US, plus les coûts d’appui d’agence de 9 880 $ US pour le PNUE, conformément à la proposition initiale.</w:t>
      </w:r>
    </w:p>
    <w:p w:rsidR="00EC53CE" w:rsidRPr="00A13740" w:rsidRDefault="00EC53CE" w:rsidP="00EC53CE">
      <w:pPr>
        <w:tabs>
          <w:tab w:val="left" w:pos="8280"/>
        </w:tabs>
        <w:spacing w:after="240"/>
        <w:rPr>
          <w:b/>
          <w:lang w:val="fr-FR"/>
        </w:rPr>
      </w:pPr>
      <w:r w:rsidRPr="00A13740">
        <w:rPr>
          <w:b/>
          <w:lang w:val="fr-FR"/>
        </w:rPr>
        <w:t>Consommation restante admissible au financement</w:t>
      </w:r>
    </w:p>
    <w:p w:rsidR="00EC53CE" w:rsidRPr="00A13740" w:rsidRDefault="00EC53CE" w:rsidP="00EC53CE">
      <w:pPr>
        <w:pStyle w:val="Heading1"/>
        <w:rPr>
          <w:lang w:val="fr-FR"/>
        </w:rPr>
      </w:pPr>
      <w:r w:rsidRPr="00A13740">
        <w:rPr>
          <w:lang w:val="fr-FR"/>
        </w:rPr>
        <w:t xml:space="preserve">Le point de départ des réductions globales de la consommation de HCFC en Tunisie est de 40,70 tonnes PAO de HCFC (principalement du HCFC-22 et, dans une moindre mesure, du HCFC-141b et du HCFC-142b), plus 5,02 tonnes PAO de HCFC-141b contenu dans des polyols </w:t>
      </w:r>
      <w:proofErr w:type="spellStart"/>
      <w:r w:rsidRPr="00A13740">
        <w:rPr>
          <w:lang w:val="fr-FR"/>
        </w:rPr>
        <w:t>prémélangés</w:t>
      </w:r>
      <w:proofErr w:type="spellEnd"/>
      <w:r w:rsidRPr="00A13740">
        <w:rPr>
          <w:lang w:val="fr-FR"/>
        </w:rPr>
        <w:t xml:space="preserve"> importés. </w:t>
      </w:r>
    </w:p>
    <w:p w:rsidR="00EC53CE" w:rsidRPr="00A13740" w:rsidRDefault="00EC53CE" w:rsidP="00EC53CE">
      <w:pPr>
        <w:pStyle w:val="Heading1"/>
        <w:rPr>
          <w:lang w:val="fr-FR"/>
        </w:rPr>
      </w:pPr>
      <w:r w:rsidRPr="00A13740">
        <w:rPr>
          <w:lang w:val="fr-FR"/>
        </w:rPr>
        <w:t xml:space="preserve">Dans le cadre de la phase I du PGEH, le Gouvernement tunisien s'est engagé à éliminer 10,60 tonnes PAO de HCFC (9,26 tonnes PAO de HCFC-22 et 1,34 tonne PAO de HCFC-141b), ce qui aboutit à une consommation restante admissible au financement de 30,10 tonnes PAO de HCFC (29,75 tonnes PAO de HCFC-22, 0,27 tonne PAO de HCFC-141b et 0,04 tonne PAO de HCFC-142b) et de 5,02 tonnes PAO de HCFC-141b contenu dans des polyols </w:t>
      </w:r>
      <w:proofErr w:type="spellStart"/>
      <w:r w:rsidRPr="00A13740">
        <w:rPr>
          <w:lang w:val="fr-FR"/>
        </w:rPr>
        <w:t>prémélangés</w:t>
      </w:r>
      <w:proofErr w:type="spellEnd"/>
      <w:r w:rsidRPr="00A13740">
        <w:rPr>
          <w:lang w:val="fr-FR"/>
        </w:rPr>
        <w:t xml:space="preserve"> importés. </w:t>
      </w:r>
    </w:p>
    <w:p w:rsidR="00EC53CE" w:rsidRPr="00A13740" w:rsidRDefault="00EC53CE" w:rsidP="00EC53CE">
      <w:pPr>
        <w:pStyle w:val="Heading1"/>
        <w:rPr>
          <w:lang w:val="fr-FR"/>
        </w:rPr>
      </w:pPr>
      <w:r w:rsidRPr="00A13740">
        <w:rPr>
          <w:lang w:val="fr-FR"/>
        </w:rPr>
        <w:t>Le HCFC-141b est uniquement utilisé dans le secteur des solvants, qui a été entièrement converti au cours de la phase I du PGEH ; comme il n'y a plus de consommation de HCFC-141b dans le pays et que le gouvernement tunisien s'est engagé à interdire l'importation du HCFC-141b, la consommation restante de HCFC-141b admissible au financements est nulle. Bien que le HCFC-142b ait été consommé au cours des années de référence (2009 et 2010), depuis 2014, aucun HCFC-142b n'a été importé ; par conséquent, la consommation restante de HCFC-142b admissible au financement est nulle.</w:t>
      </w:r>
    </w:p>
    <w:p w:rsidR="00EC53CE" w:rsidRPr="00A13740" w:rsidRDefault="00EC53CE" w:rsidP="00EC53CE">
      <w:pPr>
        <w:pStyle w:val="Heading1"/>
        <w:rPr>
          <w:lang w:val="fr-FR"/>
        </w:rPr>
      </w:pPr>
      <w:r w:rsidRPr="00A13740">
        <w:rPr>
          <w:lang w:val="fr-FR"/>
        </w:rPr>
        <w:t xml:space="preserve">Au cours de la deuxième phase du PGEH, le Gouvernement tunisien s'est engagé à éliminer 16,87 tonnes PAO supplémentaires de HCFC et 5,02 tonnes PAO de HCFC-141b contenues dans les polyols </w:t>
      </w:r>
      <w:proofErr w:type="spellStart"/>
      <w:r w:rsidRPr="00A13740">
        <w:rPr>
          <w:lang w:val="fr-FR"/>
        </w:rPr>
        <w:t>prémélangés</w:t>
      </w:r>
      <w:proofErr w:type="spellEnd"/>
      <w:r w:rsidRPr="00A13740">
        <w:rPr>
          <w:lang w:val="fr-FR"/>
        </w:rPr>
        <w:t xml:space="preserve"> importés, comme indiqué au Tableau 1.</w:t>
      </w:r>
    </w:p>
    <w:p w:rsidR="00EC53CE" w:rsidRPr="00A13740" w:rsidRDefault="00EC53CE" w:rsidP="00EC53CE">
      <w:pPr>
        <w:pStyle w:val="Heading1"/>
        <w:numPr>
          <w:ilvl w:val="0"/>
          <w:numId w:val="0"/>
        </w:numPr>
        <w:spacing w:after="0"/>
        <w:rPr>
          <w:sz w:val="21"/>
          <w:szCs w:val="21"/>
          <w:lang w:val="fr-FR"/>
        </w:rPr>
      </w:pPr>
      <w:r w:rsidRPr="00A13740">
        <w:rPr>
          <w:b/>
          <w:sz w:val="21"/>
          <w:szCs w:val="21"/>
          <w:lang w:val="fr-FR"/>
        </w:rPr>
        <w:t>Tableau 1. Aperçu de la consommation de HCFC restante admissible au financement (tonnes PAO)</w:t>
      </w:r>
      <w:r w:rsidRPr="00A13740">
        <w:rPr>
          <w:sz w:val="21"/>
          <w:szCs w:val="21"/>
          <w:lang w:val="fr-FR"/>
        </w:rPr>
        <w:t xml:space="preserve"> </w:t>
      </w:r>
    </w:p>
    <w:tbl>
      <w:tblPr>
        <w:tblStyle w:val="TableGrid"/>
        <w:tblW w:w="5000" w:type="pct"/>
        <w:tblInd w:w="-5" w:type="dxa"/>
        <w:tblLook w:val="04A0" w:firstRow="1" w:lastRow="0" w:firstColumn="1" w:lastColumn="0" w:noHBand="0" w:noVBand="1"/>
      </w:tblPr>
      <w:tblGrid>
        <w:gridCol w:w="2612"/>
        <w:gridCol w:w="1349"/>
        <w:gridCol w:w="1347"/>
        <w:gridCol w:w="1346"/>
        <w:gridCol w:w="1346"/>
        <w:gridCol w:w="1350"/>
      </w:tblGrid>
      <w:tr w:rsidR="00EC53CE" w:rsidRPr="00A13740" w:rsidTr="00D6530D">
        <w:trPr>
          <w:tblHeader/>
        </w:trPr>
        <w:tc>
          <w:tcPr>
            <w:tcW w:w="1396" w:type="pct"/>
            <w:vAlign w:val="center"/>
            <w:hideMark/>
          </w:tcPr>
          <w:p w:rsidR="00EC53CE" w:rsidRPr="00A13740" w:rsidRDefault="00EC53CE" w:rsidP="00BB7784">
            <w:pPr>
              <w:jc w:val="left"/>
              <w:rPr>
                <w:b/>
                <w:bCs/>
                <w:sz w:val="21"/>
                <w:szCs w:val="21"/>
                <w:lang w:val="fr-FR"/>
              </w:rPr>
            </w:pPr>
            <w:r w:rsidRPr="00A13740">
              <w:rPr>
                <w:b/>
                <w:bCs/>
                <w:sz w:val="21"/>
                <w:szCs w:val="21"/>
                <w:lang w:val="fr-FR"/>
              </w:rPr>
              <w:t>Description</w:t>
            </w:r>
          </w:p>
        </w:tc>
        <w:tc>
          <w:tcPr>
            <w:tcW w:w="721" w:type="pct"/>
            <w:vAlign w:val="center"/>
            <w:hideMark/>
          </w:tcPr>
          <w:p w:rsidR="00EC53CE" w:rsidRPr="00A13740" w:rsidRDefault="00EC53CE" w:rsidP="00BB7784">
            <w:pPr>
              <w:jc w:val="center"/>
              <w:rPr>
                <w:b/>
                <w:bCs/>
                <w:sz w:val="21"/>
                <w:szCs w:val="21"/>
                <w:lang w:val="fr-FR"/>
              </w:rPr>
            </w:pPr>
            <w:r w:rsidRPr="00A13740">
              <w:rPr>
                <w:b/>
                <w:bCs/>
                <w:sz w:val="21"/>
                <w:szCs w:val="21"/>
                <w:lang w:val="fr-FR"/>
              </w:rPr>
              <w:t>HCFC</w:t>
            </w:r>
            <w:r w:rsidRPr="00A13740">
              <w:rPr>
                <w:b/>
                <w:bCs/>
                <w:sz w:val="21"/>
                <w:szCs w:val="21"/>
                <w:lang w:val="fr-FR"/>
              </w:rPr>
              <w:noBreakHyphen/>
              <w:t>22</w:t>
            </w:r>
          </w:p>
        </w:tc>
        <w:tc>
          <w:tcPr>
            <w:tcW w:w="720" w:type="pct"/>
            <w:vAlign w:val="center"/>
            <w:hideMark/>
          </w:tcPr>
          <w:p w:rsidR="00EC53CE" w:rsidRPr="00A13740" w:rsidRDefault="00EC53CE" w:rsidP="00BB7784">
            <w:pPr>
              <w:jc w:val="center"/>
              <w:rPr>
                <w:b/>
                <w:bCs/>
                <w:sz w:val="21"/>
                <w:szCs w:val="21"/>
                <w:lang w:val="fr-FR"/>
              </w:rPr>
            </w:pPr>
            <w:r w:rsidRPr="00A13740">
              <w:rPr>
                <w:b/>
                <w:bCs/>
                <w:sz w:val="21"/>
                <w:szCs w:val="21"/>
                <w:lang w:val="fr-FR"/>
              </w:rPr>
              <w:t>HCFC</w:t>
            </w:r>
            <w:r w:rsidRPr="00A13740">
              <w:rPr>
                <w:b/>
                <w:bCs/>
                <w:sz w:val="21"/>
                <w:szCs w:val="21"/>
                <w:lang w:val="fr-FR"/>
              </w:rPr>
              <w:noBreakHyphen/>
              <w:t>141b</w:t>
            </w:r>
          </w:p>
        </w:tc>
        <w:tc>
          <w:tcPr>
            <w:tcW w:w="720" w:type="pct"/>
            <w:vAlign w:val="center"/>
            <w:hideMark/>
          </w:tcPr>
          <w:p w:rsidR="00EC53CE" w:rsidRPr="00A13740" w:rsidRDefault="00EC53CE" w:rsidP="00BB7784">
            <w:pPr>
              <w:jc w:val="center"/>
              <w:rPr>
                <w:b/>
                <w:bCs/>
                <w:sz w:val="21"/>
                <w:szCs w:val="21"/>
                <w:lang w:val="fr-FR"/>
              </w:rPr>
            </w:pPr>
            <w:r w:rsidRPr="00A13740">
              <w:rPr>
                <w:b/>
                <w:bCs/>
                <w:sz w:val="21"/>
                <w:szCs w:val="21"/>
                <w:lang w:val="fr-FR"/>
              </w:rPr>
              <w:t>HCFC</w:t>
            </w:r>
            <w:r w:rsidRPr="00A13740">
              <w:rPr>
                <w:b/>
                <w:bCs/>
                <w:sz w:val="21"/>
                <w:szCs w:val="21"/>
                <w:lang w:val="fr-FR"/>
              </w:rPr>
              <w:noBreakHyphen/>
              <w:t>142b</w:t>
            </w:r>
          </w:p>
        </w:tc>
        <w:tc>
          <w:tcPr>
            <w:tcW w:w="720" w:type="pct"/>
            <w:vAlign w:val="center"/>
            <w:hideMark/>
          </w:tcPr>
          <w:p w:rsidR="00EC53CE" w:rsidRPr="00A13740" w:rsidRDefault="00EC53CE" w:rsidP="00BB7784">
            <w:pPr>
              <w:jc w:val="center"/>
              <w:rPr>
                <w:b/>
                <w:bCs/>
                <w:sz w:val="21"/>
                <w:szCs w:val="21"/>
                <w:lang w:val="fr-FR"/>
              </w:rPr>
            </w:pPr>
            <w:r w:rsidRPr="00A13740">
              <w:rPr>
                <w:b/>
                <w:bCs/>
                <w:sz w:val="21"/>
                <w:szCs w:val="21"/>
                <w:lang w:val="fr-FR"/>
              </w:rPr>
              <w:t>HCFC</w:t>
            </w:r>
            <w:r w:rsidRPr="00A13740">
              <w:rPr>
                <w:b/>
                <w:bCs/>
                <w:sz w:val="21"/>
                <w:szCs w:val="21"/>
                <w:lang w:val="fr-FR"/>
              </w:rPr>
              <w:noBreakHyphen/>
              <w:t>141b dans les polyols</w:t>
            </w:r>
          </w:p>
        </w:tc>
        <w:tc>
          <w:tcPr>
            <w:tcW w:w="722" w:type="pct"/>
            <w:vAlign w:val="center"/>
            <w:hideMark/>
          </w:tcPr>
          <w:p w:rsidR="00EC53CE" w:rsidRPr="00A13740" w:rsidRDefault="00EC53CE" w:rsidP="00BB7784">
            <w:pPr>
              <w:jc w:val="center"/>
              <w:rPr>
                <w:b/>
                <w:bCs/>
                <w:sz w:val="21"/>
                <w:szCs w:val="21"/>
                <w:lang w:val="fr-FR"/>
              </w:rPr>
            </w:pPr>
            <w:r w:rsidRPr="00A13740">
              <w:rPr>
                <w:b/>
                <w:bCs/>
                <w:sz w:val="21"/>
                <w:szCs w:val="21"/>
                <w:lang w:val="fr-FR"/>
              </w:rPr>
              <w:t>Total</w:t>
            </w:r>
          </w:p>
        </w:tc>
      </w:tr>
      <w:tr w:rsidR="00EC53CE" w:rsidRPr="00A13740" w:rsidTr="00D6530D">
        <w:tc>
          <w:tcPr>
            <w:tcW w:w="1396" w:type="pct"/>
          </w:tcPr>
          <w:p w:rsidR="00EC53CE" w:rsidRPr="00A13740" w:rsidRDefault="00EC53CE" w:rsidP="00BB7784">
            <w:pPr>
              <w:jc w:val="left"/>
              <w:rPr>
                <w:sz w:val="21"/>
                <w:szCs w:val="21"/>
                <w:lang w:val="fr-FR"/>
              </w:rPr>
            </w:pPr>
            <w:r w:rsidRPr="00A13740">
              <w:rPr>
                <w:sz w:val="21"/>
                <w:szCs w:val="21"/>
                <w:lang w:val="fr-FR"/>
              </w:rPr>
              <w:t>Point de départ</w:t>
            </w:r>
          </w:p>
        </w:tc>
        <w:tc>
          <w:tcPr>
            <w:tcW w:w="721" w:type="pct"/>
            <w:tcMar>
              <w:right w:w="216" w:type="dxa"/>
            </w:tcMar>
          </w:tcPr>
          <w:p w:rsidR="00EC53CE" w:rsidRPr="00A13740" w:rsidRDefault="00EC53CE" w:rsidP="00BB7784">
            <w:pPr>
              <w:jc w:val="right"/>
              <w:rPr>
                <w:sz w:val="21"/>
                <w:szCs w:val="21"/>
                <w:lang w:val="fr-FR"/>
              </w:rPr>
            </w:pPr>
            <w:r w:rsidRPr="00A13740">
              <w:rPr>
                <w:sz w:val="21"/>
                <w:szCs w:val="21"/>
                <w:lang w:val="fr-FR"/>
              </w:rPr>
              <w:t>39,01</w:t>
            </w:r>
          </w:p>
        </w:tc>
        <w:tc>
          <w:tcPr>
            <w:tcW w:w="720" w:type="pct"/>
            <w:tcMar>
              <w:left w:w="115" w:type="dxa"/>
              <w:right w:w="216" w:type="dxa"/>
            </w:tcMar>
          </w:tcPr>
          <w:p w:rsidR="00EC53CE" w:rsidRPr="00A13740" w:rsidRDefault="00EC53CE" w:rsidP="00BB7784">
            <w:pPr>
              <w:jc w:val="right"/>
              <w:rPr>
                <w:sz w:val="21"/>
                <w:szCs w:val="21"/>
                <w:lang w:val="fr-FR"/>
              </w:rPr>
            </w:pPr>
            <w:r w:rsidRPr="00A13740">
              <w:rPr>
                <w:sz w:val="21"/>
                <w:szCs w:val="21"/>
                <w:lang w:val="fr-FR"/>
              </w:rPr>
              <w:t>1,61</w:t>
            </w:r>
          </w:p>
        </w:tc>
        <w:tc>
          <w:tcPr>
            <w:tcW w:w="720" w:type="pct"/>
            <w:tcMar>
              <w:left w:w="115" w:type="dxa"/>
              <w:right w:w="216" w:type="dxa"/>
            </w:tcMar>
          </w:tcPr>
          <w:p w:rsidR="00EC53CE" w:rsidRPr="00A13740" w:rsidRDefault="00EC53CE" w:rsidP="00BB7784">
            <w:pPr>
              <w:jc w:val="right"/>
              <w:rPr>
                <w:sz w:val="21"/>
                <w:szCs w:val="21"/>
                <w:lang w:val="fr-FR"/>
              </w:rPr>
            </w:pPr>
            <w:r w:rsidRPr="00A13740">
              <w:rPr>
                <w:sz w:val="21"/>
                <w:szCs w:val="21"/>
                <w:lang w:val="fr-FR"/>
              </w:rPr>
              <w:t>0,04</w:t>
            </w:r>
          </w:p>
        </w:tc>
        <w:tc>
          <w:tcPr>
            <w:tcW w:w="720" w:type="pct"/>
            <w:tcMar>
              <w:left w:w="115" w:type="dxa"/>
              <w:right w:w="216" w:type="dxa"/>
            </w:tcMar>
          </w:tcPr>
          <w:p w:rsidR="00EC53CE" w:rsidRPr="00A13740" w:rsidRDefault="00EC53CE" w:rsidP="00BB7784">
            <w:pPr>
              <w:jc w:val="right"/>
              <w:rPr>
                <w:sz w:val="21"/>
                <w:szCs w:val="21"/>
                <w:lang w:val="fr-FR"/>
              </w:rPr>
            </w:pPr>
            <w:r w:rsidRPr="00A13740">
              <w:rPr>
                <w:sz w:val="21"/>
                <w:szCs w:val="21"/>
                <w:lang w:val="fr-FR"/>
              </w:rPr>
              <w:t>5,02</w:t>
            </w:r>
          </w:p>
        </w:tc>
        <w:tc>
          <w:tcPr>
            <w:tcW w:w="722" w:type="pct"/>
            <w:tcMar>
              <w:left w:w="115" w:type="dxa"/>
              <w:right w:w="216" w:type="dxa"/>
            </w:tcMar>
          </w:tcPr>
          <w:p w:rsidR="00EC53CE" w:rsidRPr="00A13740" w:rsidRDefault="00EC53CE" w:rsidP="00BB7784">
            <w:pPr>
              <w:jc w:val="right"/>
              <w:rPr>
                <w:sz w:val="21"/>
                <w:szCs w:val="21"/>
                <w:lang w:val="fr-FR"/>
              </w:rPr>
            </w:pPr>
            <w:r w:rsidRPr="00A13740">
              <w:rPr>
                <w:sz w:val="21"/>
                <w:szCs w:val="21"/>
                <w:lang w:val="fr-FR"/>
              </w:rPr>
              <w:t>45,68</w:t>
            </w:r>
          </w:p>
        </w:tc>
      </w:tr>
      <w:tr w:rsidR="00EC53CE" w:rsidRPr="00A13740" w:rsidTr="00D6530D">
        <w:tc>
          <w:tcPr>
            <w:tcW w:w="1396" w:type="pct"/>
          </w:tcPr>
          <w:p w:rsidR="00EC53CE" w:rsidRPr="00A13740" w:rsidRDefault="00EC53CE" w:rsidP="00BB7784">
            <w:pPr>
              <w:jc w:val="left"/>
              <w:rPr>
                <w:sz w:val="21"/>
                <w:szCs w:val="21"/>
                <w:lang w:val="fr-FR"/>
              </w:rPr>
            </w:pPr>
            <w:r w:rsidRPr="00A13740">
              <w:rPr>
                <w:sz w:val="21"/>
                <w:szCs w:val="21"/>
                <w:lang w:val="fr-FR"/>
              </w:rPr>
              <w:t>Réduction à la phase I</w:t>
            </w:r>
          </w:p>
        </w:tc>
        <w:tc>
          <w:tcPr>
            <w:tcW w:w="721" w:type="pct"/>
            <w:tcMar>
              <w:right w:w="216" w:type="dxa"/>
            </w:tcMar>
          </w:tcPr>
          <w:p w:rsidR="00EC53CE" w:rsidRPr="00A13740" w:rsidRDefault="00EC53CE" w:rsidP="00BB7784">
            <w:pPr>
              <w:jc w:val="right"/>
              <w:rPr>
                <w:sz w:val="21"/>
                <w:szCs w:val="21"/>
                <w:lang w:val="fr-FR"/>
              </w:rPr>
            </w:pPr>
            <w:r w:rsidRPr="00A13740">
              <w:rPr>
                <w:sz w:val="21"/>
                <w:szCs w:val="21"/>
                <w:lang w:val="fr-FR"/>
              </w:rPr>
              <w:t>9,26</w:t>
            </w:r>
          </w:p>
        </w:tc>
        <w:tc>
          <w:tcPr>
            <w:tcW w:w="720" w:type="pct"/>
            <w:tcMar>
              <w:left w:w="115" w:type="dxa"/>
              <w:right w:w="216" w:type="dxa"/>
            </w:tcMar>
          </w:tcPr>
          <w:p w:rsidR="00EC53CE" w:rsidRPr="00A13740" w:rsidRDefault="00EC53CE" w:rsidP="00BB7784">
            <w:pPr>
              <w:jc w:val="right"/>
              <w:rPr>
                <w:sz w:val="21"/>
                <w:szCs w:val="21"/>
                <w:lang w:val="fr-FR"/>
              </w:rPr>
            </w:pPr>
            <w:r w:rsidRPr="00A13740">
              <w:rPr>
                <w:sz w:val="21"/>
                <w:szCs w:val="21"/>
                <w:lang w:val="fr-FR"/>
              </w:rPr>
              <w:t>1,34</w:t>
            </w:r>
          </w:p>
        </w:tc>
        <w:tc>
          <w:tcPr>
            <w:tcW w:w="720" w:type="pct"/>
            <w:tcMar>
              <w:left w:w="115" w:type="dxa"/>
              <w:right w:w="216" w:type="dxa"/>
            </w:tcMar>
          </w:tcPr>
          <w:p w:rsidR="00EC53CE" w:rsidRPr="00A13740" w:rsidRDefault="00EC53CE" w:rsidP="00BB7784">
            <w:pPr>
              <w:jc w:val="right"/>
              <w:rPr>
                <w:sz w:val="21"/>
                <w:szCs w:val="21"/>
                <w:lang w:val="fr-FR"/>
              </w:rPr>
            </w:pPr>
            <w:r w:rsidRPr="00A13740">
              <w:rPr>
                <w:sz w:val="21"/>
                <w:szCs w:val="21"/>
                <w:lang w:val="fr-FR"/>
              </w:rPr>
              <w:t>0,00</w:t>
            </w:r>
          </w:p>
        </w:tc>
        <w:tc>
          <w:tcPr>
            <w:tcW w:w="720" w:type="pct"/>
            <w:tcMar>
              <w:left w:w="115" w:type="dxa"/>
              <w:right w:w="216" w:type="dxa"/>
            </w:tcMar>
          </w:tcPr>
          <w:p w:rsidR="00EC53CE" w:rsidRPr="00A13740" w:rsidRDefault="00EC53CE" w:rsidP="00BB7784">
            <w:pPr>
              <w:jc w:val="right"/>
              <w:rPr>
                <w:sz w:val="21"/>
                <w:szCs w:val="21"/>
                <w:lang w:val="fr-FR"/>
              </w:rPr>
            </w:pPr>
            <w:r w:rsidRPr="00A13740">
              <w:rPr>
                <w:sz w:val="21"/>
                <w:szCs w:val="21"/>
                <w:lang w:val="fr-FR"/>
              </w:rPr>
              <w:t>0,00</w:t>
            </w:r>
          </w:p>
        </w:tc>
        <w:tc>
          <w:tcPr>
            <w:tcW w:w="722" w:type="pct"/>
            <w:tcMar>
              <w:left w:w="115" w:type="dxa"/>
              <w:right w:w="216" w:type="dxa"/>
            </w:tcMar>
          </w:tcPr>
          <w:p w:rsidR="00EC53CE" w:rsidRPr="00A13740" w:rsidRDefault="00EC53CE" w:rsidP="00BB7784">
            <w:pPr>
              <w:jc w:val="right"/>
              <w:rPr>
                <w:sz w:val="21"/>
                <w:szCs w:val="21"/>
                <w:lang w:val="fr-FR"/>
              </w:rPr>
            </w:pPr>
            <w:r w:rsidRPr="00A13740">
              <w:rPr>
                <w:sz w:val="21"/>
                <w:szCs w:val="21"/>
                <w:lang w:val="fr-FR"/>
              </w:rPr>
              <w:t>10,60</w:t>
            </w:r>
          </w:p>
        </w:tc>
      </w:tr>
      <w:tr w:rsidR="00EC53CE" w:rsidRPr="00A13740" w:rsidTr="00D6530D">
        <w:tc>
          <w:tcPr>
            <w:tcW w:w="1396" w:type="pct"/>
          </w:tcPr>
          <w:p w:rsidR="00EC53CE" w:rsidRPr="00A13740" w:rsidRDefault="00EC53CE" w:rsidP="00BB7784">
            <w:pPr>
              <w:jc w:val="left"/>
              <w:rPr>
                <w:sz w:val="21"/>
                <w:szCs w:val="21"/>
                <w:lang w:val="fr-FR"/>
              </w:rPr>
            </w:pPr>
            <w:r w:rsidRPr="00A13740">
              <w:rPr>
                <w:sz w:val="21"/>
                <w:szCs w:val="21"/>
                <w:lang w:val="fr-FR"/>
              </w:rPr>
              <w:t>Consommation restante</w:t>
            </w:r>
          </w:p>
        </w:tc>
        <w:tc>
          <w:tcPr>
            <w:tcW w:w="721" w:type="pct"/>
            <w:tcMar>
              <w:right w:w="216" w:type="dxa"/>
            </w:tcMar>
          </w:tcPr>
          <w:p w:rsidR="00EC53CE" w:rsidRPr="00A13740" w:rsidRDefault="00EC53CE" w:rsidP="00BB7784">
            <w:pPr>
              <w:jc w:val="right"/>
              <w:rPr>
                <w:sz w:val="21"/>
                <w:szCs w:val="21"/>
                <w:lang w:val="fr-FR"/>
              </w:rPr>
            </w:pPr>
            <w:r w:rsidRPr="00A13740">
              <w:rPr>
                <w:sz w:val="21"/>
                <w:szCs w:val="21"/>
                <w:lang w:val="fr-FR"/>
              </w:rPr>
              <w:t>29,75</w:t>
            </w:r>
          </w:p>
        </w:tc>
        <w:tc>
          <w:tcPr>
            <w:tcW w:w="720" w:type="pct"/>
            <w:tcMar>
              <w:left w:w="115" w:type="dxa"/>
              <w:right w:w="216" w:type="dxa"/>
            </w:tcMar>
          </w:tcPr>
          <w:p w:rsidR="00EC53CE" w:rsidRPr="00A13740" w:rsidRDefault="00EC53CE" w:rsidP="00BB7784">
            <w:pPr>
              <w:jc w:val="right"/>
              <w:rPr>
                <w:sz w:val="21"/>
                <w:szCs w:val="21"/>
                <w:lang w:val="fr-FR"/>
              </w:rPr>
            </w:pPr>
            <w:r w:rsidRPr="00A13740">
              <w:rPr>
                <w:sz w:val="21"/>
                <w:szCs w:val="21"/>
                <w:lang w:val="fr-FR"/>
              </w:rPr>
              <w:t>0,00*</w:t>
            </w:r>
          </w:p>
        </w:tc>
        <w:tc>
          <w:tcPr>
            <w:tcW w:w="720" w:type="pct"/>
            <w:tcMar>
              <w:left w:w="115" w:type="dxa"/>
              <w:right w:w="216" w:type="dxa"/>
            </w:tcMar>
          </w:tcPr>
          <w:p w:rsidR="00EC53CE" w:rsidRPr="00A13740" w:rsidRDefault="00EC53CE" w:rsidP="00BB7784">
            <w:pPr>
              <w:jc w:val="right"/>
              <w:rPr>
                <w:sz w:val="21"/>
                <w:szCs w:val="21"/>
                <w:lang w:val="fr-FR"/>
              </w:rPr>
            </w:pPr>
            <w:r w:rsidRPr="00A13740">
              <w:rPr>
                <w:sz w:val="21"/>
                <w:szCs w:val="21"/>
                <w:lang w:val="fr-FR"/>
              </w:rPr>
              <w:t>0,00**</w:t>
            </w:r>
          </w:p>
        </w:tc>
        <w:tc>
          <w:tcPr>
            <w:tcW w:w="720" w:type="pct"/>
            <w:tcMar>
              <w:left w:w="115" w:type="dxa"/>
              <w:right w:w="216" w:type="dxa"/>
            </w:tcMar>
          </w:tcPr>
          <w:p w:rsidR="00EC53CE" w:rsidRPr="00A13740" w:rsidRDefault="00EC53CE" w:rsidP="00BB7784">
            <w:pPr>
              <w:jc w:val="right"/>
              <w:rPr>
                <w:sz w:val="21"/>
                <w:szCs w:val="21"/>
                <w:lang w:val="fr-FR"/>
              </w:rPr>
            </w:pPr>
            <w:r w:rsidRPr="00A13740">
              <w:rPr>
                <w:sz w:val="21"/>
                <w:szCs w:val="21"/>
                <w:lang w:val="fr-FR"/>
              </w:rPr>
              <w:t>5,02</w:t>
            </w:r>
          </w:p>
        </w:tc>
        <w:tc>
          <w:tcPr>
            <w:tcW w:w="722" w:type="pct"/>
            <w:tcMar>
              <w:left w:w="115" w:type="dxa"/>
              <w:right w:w="216" w:type="dxa"/>
            </w:tcMar>
          </w:tcPr>
          <w:p w:rsidR="00EC53CE" w:rsidRPr="00A13740" w:rsidRDefault="00EC53CE" w:rsidP="00BB7784">
            <w:pPr>
              <w:jc w:val="right"/>
              <w:rPr>
                <w:sz w:val="21"/>
                <w:szCs w:val="21"/>
                <w:lang w:val="fr-FR"/>
              </w:rPr>
            </w:pPr>
            <w:r w:rsidRPr="00A13740">
              <w:rPr>
                <w:sz w:val="21"/>
                <w:szCs w:val="21"/>
                <w:lang w:val="fr-FR"/>
              </w:rPr>
              <w:t>35,08</w:t>
            </w:r>
          </w:p>
        </w:tc>
      </w:tr>
      <w:tr w:rsidR="00EC53CE" w:rsidRPr="00A13740" w:rsidTr="00D6530D">
        <w:tc>
          <w:tcPr>
            <w:tcW w:w="1396" w:type="pct"/>
          </w:tcPr>
          <w:p w:rsidR="00EC53CE" w:rsidRPr="00A13740" w:rsidRDefault="00EC53CE" w:rsidP="00BB7784">
            <w:pPr>
              <w:jc w:val="left"/>
              <w:rPr>
                <w:sz w:val="21"/>
                <w:szCs w:val="21"/>
                <w:lang w:val="fr-FR"/>
              </w:rPr>
            </w:pPr>
            <w:r w:rsidRPr="00A13740">
              <w:rPr>
                <w:sz w:val="21"/>
                <w:szCs w:val="21"/>
                <w:lang w:val="fr-FR"/>
              </w:rPr>
              <w:lastRenderedPageBreak/>
              <w:t>Réduction au titre de la phase II</w:t>
            </w:r>
          </w:p>
        </w:tc>
        <w:tc>
          <w:tcPr>
            <w:tcW w:w="721" w:type="pct"/>
            <w:tcMar>
              <w:right w:w="216" w:type="dxa"/>
            </w:tcMar>
          </w:tcPr>
          <w:p w:rsidR="00EC53CE" w:rsidRPr="00A13740" w:rsidRDefault="00EC53CE" w:rsidP="00BB7784">
            <w:pPr>
              <w:jc w:val="right"/>
              <w:rPr>
                <w:sz w:val="21"/>
                <w:szCs w:val="21"/>
                <w:lang w:val="fr-FR"/>
              </w:rPr>
            </w:pPr>
            <w:r w:rsidRPr="00A13740">
              <w:rPr>
                <w:sz w:val="21"/>
                <w:szCs w:val="21"/>
                <w:lang w:val="fr-FR"/>
              </w:rPr>
              <w:t>16,87</w:t>
            </w:r>
          </w:p>
        </w:tc>
        <w:tc>
          <w:tcPr>
            <w:tcW w:w="720" w:type="pct"/>
            <w:tcMar>
              <w:left w:w="115" w:type="dxa"/>
              <w:right w:w="216" w:type="dxa"/>
            </w:tcMar>
          </w:tcPr>
          <w:p w:rsidR="00EC53CE" w:rsidRPr="00A13740" w:rsidRDefault="00EC53CE" w:rsidP="00BB7784">
            <w:pPr>
              <w:jc w:val="right"/>
              <w:rPr>
                <w:sz w:val="21"/>
                <w:szCs w:val="21"/>
                <w:lang w:val="fr-FR"/>
              </w:rPr>
            </w:pPr>
            <w:r w:rsidRPr="00A13740">
              <w:rPr>
                <w:sz w:val="21"/>
                <w:szCs w:val="21"/>
                <w:lang w:val="fr-FR"/>
              </w:rPr>
              <w:t>0,00</w:t>
            </w:r>
          </w:p>
        </w:tc>
        <w:tc>
          <w:tcPr>
            <w:tcW w:w="720" w:type="pct"/>
            <w:tcMar>
              <w:left w:w="115" w:type="dxa"/>
              <w:right w:w="216" w:type="dxa"/>
            </w:tcMar>
          </w:tcPr>
          <w:p w:rsidR="00EC53CE" w:rsidRPr="00A13740" w:rsidRDefault="00EC53CE" w:rsidP="00BB7784">
            <w:pPr>
              <w:jc w:val="right"/>
              <w:rPr>
                <w:sz w:val="21"/>
                <w:szCs w:val="21"/>
                <w:lang w:val="fr-FR"/>
              </w:rPr>
            </w:pPr>
            <w:r w:rsidRPr="00A13740">
              <w:rPr>
                <w:sz w:val="21"/>
                <w:szCs w:val="21"/>
                <w:lang w:val="fr-FR"/>
              </w:rPr>
              <w:t>0,00</w:t>
            </w:r>
          </w:p>
        </w:tc>
        <w:tc>
          <w:tcPr>
            <w:tcW w:w="720" w:type="pct"/>
            <w:tcMar>
              <w:left w:w="115" w:type="dxa"/>
              <w:right w:w="216" w:type="dxa"/>
            </w:tcMar>
          </w:tcPr>
          <w:p w:rsidR="00EC53CE" w:rsidRPr="00A13740" w:rsidRDefault="00EC53CE" w:rsidP="00BB7784">
            <w:pPr>
              <w:jc w:val="right"/>
              <w:rPr>
                <w:sz w:val="21"/>
                <w:szCs w:val="21"/>
                <w:lang w:val="fr-FR"/>
              </w:rPr>
            </w:pPr>
            <w:r w:rsidRPr="00A13740">
              <w:rPr>
                <w:sz w:val="21"/>
                <w:szCs w:val="21"/>
                <w:lang w:val="fr-FR"/>
              </w:rPr>
              <w:t>5,02</w:t>
            </w:r>
          </w:p>
        </w:tc>
        <w:tc>
          <w:tcPr>
            <w:tcW w:w="722" w:type="pct"/>
            <w:tcMar>
              <w:left w:w="115" w:type="dxa"/>
              <w:right w:w="216" w:type="dxa"/>
            </w:tcMar>
          </w:tcPr>
          <w:p w:rsidR="00EC53CE" w:rsidRPr="00A13740" w:rsidRDefault="00EC53CE" w:rsidP="00BB7784">
            <w:pPr>
              <w:jc w:val="right"/>
              <w:rPr>
                <w:sz w:val="21"/>
                <w:szCs w:val="21"/>
                <w:lang w:val="fr-FR"/>
              </w:rPr>
            </w:pPr>
            <w:r w:rsidRPr="00A13740">
              <w:rPr>
                <w:sz w:val="21"/>
                <w:szCs w:val="21"/>
                <w:lang w:val="fr-FR"/>
              </w:rPr>
              <w:t>21,89</w:t>
            </w:r>
          </w:p>
        </w:tc>
      </w:tr>
      <w:tr w:rsidR="00EC53CE" w:rsidRPr="00A13740" w:rsidTr="00D6530D">
        <w:tc>
          <w:tcPr>
            <w:tcW w:w="1396" w:type="pct"/>
            <w:tcBorders>
              <w:bottom w:val="single" w:sz="4" w:space="0" w:color="auto"/>
            </w:tcBorders>
          </w:tcPr>
          <w:p w:rsidR="00EC53CE" w:rsidRPr="00A13740" w:rsidRDefault="00EC53CE" w:rsidP="00BB7784">
            <w:pPr>
              <w:jc w:val="left"/>
              <w:rPr>
                <w:sz w:val="21"/>
                <w:szCs w:val="21"/>
                <w:lang w:val="fr-FR"/>
              </w:rPr>
            </w:pPr>
            <w:r w:rsidRPr="00A13740">
              <w:rPr>
                <w:sz w:val="21"/>
                <w:szCs w:val="21"/>
                <w:lang w:val="fr-FR"/>
              </w:rPr>
              <w:t>Restante pour les phases ultérieures</w:t>
            </w:r>
          </w:p>
        </w:tc>
        <w:tc>
          <w:tcPr>
            <w:tcW w:w="721" w:type="pct"/>
            <w:tcBorders>
              <w:bottom w:val="single" w:sz="4" w:space="0" w:color="auto"/>
            </w:tcBorders>
            <w:tcMar>
              <w:right w:w="216" w:type="dxa"/>
            </w:tcMar>
          </w:tcPr>
          <w:p w:rsidR="00EC53CE" w:rsidRPr="00A13740" w:rsidRDefault="00EC53CE" w:rsidP="00BB7784">
            <w:pPr>
              <w:jc w:val="right"/>
              <w:rPr>
                <w:sz w:val="21"/>
                <w:szCs w:val="21"/>
                <w:lang w:val="fr-FR"/>
              </w:rPr>
            </w:pPr>
            <w:r w:rsidRPr="00A13740">
              <w:rPr>
                <w:sz w:val="21"/>
                <w:szCs w:val="21"/>
                <w:lang w:val="fr-FR"/>
              </w:rPr>
              <w:t>12,88</w:t>
            </w:r>
          </w:p>
        </w:tc>
        <w:tc>
          <w:tcPr>
            <w:tcW w:w="720" w:type="pct"/>
            <w:tcBorders>
              <w:bottom w:val="single" w:sz="4" w:space="0" w:color="auto"/>
            </w:tcBorders>
            <w:tcMar>
              <w:left w:w="115" w:type="dxa"/>
              <w:right w:w="216" w:type="dxa"/>
            </w:tcMar>
          </w:tcPr>
          <w:p w:rsidR="00EC53CE" w:rsidRPr="00A13740" w:rsidRDefault="00EC53CE" w:rsidP="00BB7784">
            <w:pPr>
              <w:jc w:val="right"/>
              <w:rPr>
                <w:sz w:val="21"/>
                <w:szCs w:val="21"/>
                <w:lang w:val="fr-FR"/>
              </w:rPr>
            </w:pPr>
            <w:r w:rsidRPr="00A13740">
              <w:rPr>
                <w:sz w:val="21"/>
                <w:szCs w:val="21"/>
                <w:lang w:val="fr-FR"/>
              </w:rPr>
              <w:t>0,00</w:t>
            </w:r>
          </w:p>
        </w:tc>
        <w:tc>
          <w:tcPr>
            <w:tcW w:w="720" w:type="pct"/>
            <w:tcBorders>
              <w:bottom w:val="single" w:sz="4" w:space="0" w:color="auto"/>
            </w:tcBorders>
            <w:tcMar>
              <w:left w:w="115" w:type="dxa"/>
              <w:right w:w="216" w:type="dxa"/>
            </w:tcMar>
          </w:tcPr>
          <w:p w:rsidR="00EC53CE" w:rsidRPr="00A13740" w:rsidRDefault="00EC53CE" w:rsidP="00BB7784">
            <w:pPr>
              <w:jc w:val="right"/>
              <w:rPr>
                <w:sz w:val="21"/>
                <w:szCs w:val="21"/>
                <w:lang w:val="fr-FR"/>
              </w:rPr>
            </w:pPr>
            <w:r w:rsidRPr="00A13740">
              <w:rPr>
                <w:sz w:val="21"/>
                <w:szCs w:val="21"/>
                <w:lang w:val="fr-FR"/>
              </w:rPr>
              <w:t>0,00</w:t>
            </w:r>
          </w:p>
        </w:tc>
        <w:tc>
          <w:tcPr>
            <w:tcW w:w="720" w:type="pct"/>
            <w:tcBorders>
              <w:bottom w:val="single" w:sz="4" w:space="0" w:color="auto"/>
            </w:tcBorders>
            <w:tcMar>
              <w:left w:w="115" w:type="dxa"/>
              <w:right w:w="216" w:type="dxa"/>
            </w:tcMar>
          </w:tcPr>
          <w:p w:rsidR="00EC53CE" w:rsidRPr="00A13740" w:rsidRDefault="00EC53CE" w:rsidP="00BB7784">
            <w:pPr>
              <w:jc w:val="right"/>
              <w:rPr>
                <w:sz w:val="21"/>
                <w:szCs w:val="21"/>
                <w:lang w:val="fr-FR"/>
              </w:rPr>
            </w:pPr>
            <w:r w:rsidRPr="00A13740">
              <w:rPr>
                <w:sz w:val="21"/>
                <w:szCs w:val="21"/>
                <w:lang w:val="fr-FR"/>
              </w:rPr>
              <w:t>0,00</w:t>
            </w:r>
          </w:p>
        </w:tc>
        <w:tc>
          <w:tcPr>
            <w:tcW w:w="722" w:type="pct"/>
            <w:tcBorders>
              <w:bottom w:val="single" w:sz="4" w:space="0" w:color="auto"/>
            </w:tcBorders>
            <w:tcMar>
              <w:left w:w="115" w:type="dxa"/>
              <w:right w:w="216" w:type="dxa"/>
            </w:tcMar>
          </w:tcPr>
          <w:p w:rsidR="00EC53CE" w:rsidRPr="00A13740" w:rsidRDefault="00EC53CE" w:rsidP="00BB7784">
            <w:pPr>
              <w:jc w:val="right"/>
              <w:rPr>
                <w:sz w:val="21"/>
                <w:szCs w:val="21"/>
                <w:lang w:val="fr-FR"/>
              </w:rPr>
            </w:pPr>
            <w:r w:rsidRPr="00A13740">
              <w:rPr>
                <w:sz w:val="21"/>
                <w:szCs w:val="21"/>
                <w:lang w:val="fr-FR"/>
              </w:rPr>
              <w:t>12,88</w:t>
            </w:r>
          </w:p>
        </w:tc>
      </w:tr>
    </w:tbl>
    <w:p w:rsidR="00EC53CE" w:rsidRPr="00A13740" w:rsidRDefault="00EC53CE" w:rsidP="00EC53CE">
      <w:pPr>
        <w:rPr>
          <w:sz w:val="20"/>
          <w:szCs w:val="20"/>
          <w:lang w:val="fr-FR"/>
        </w:rPr>
      </w:pPr>
      <w:r w:rsidRPr="00A13740">
        <w:rPr>
          <w:sz w:val="20"/>
          <w:szCs w:val="20"/>
          <w:lang w:val="fr-FR"/>
        </w:rPr>
        <w:t>(*) Après la phase I, il n'y a plus de consommation de HCFC-141b ; par conséquent, la consommation restante éligible au financement est nulle (au lieu de 0,27 tonne PAO).</w:t>
      </w:r>
    </w:p>
    <w:p w:rsidR="00EC53CE" w:rsidRPr="00A13740" w:rsidRDefault="00EC53CE" w:rsidP="00EC53CE">
      <w:pPr>
        <w:rPr>
          <w:sz w:val="20"/>
          <w:szCs w:val="20"/>
          <w:lang w:val="fr-FR"/>
        </w:rPr>
      </w:pPr>
      <w:r w:rsidRPr="00A13740">
        <w:rPr>
          <w:sz w:val="20"/>
          <w:szCs w:val="20"/>
          <w:lang w:val="fr-FR"/>
        </w:rPr>
        <w:t>(**) Depuis 2014, le HCFC-142b n'a pas été importé ; par conséquent, la consommation restante éligible au financement est nulle (au lieu de 0,04 tonne PAO).</w:t>
      </w:r>
    </w:p>
    <w:p w:rsidR="00EC53CE" w:rsidRPr="00A13740" w:rsidRDefault="00EC53CE" w:rsidP="00EC53CE">
      <w:pPr>
        <w:rPr>
          <w:lang w:val="fr-FR"/>
        </w:rPr>
      </w:pPr>
    </w:p>
    <w:p w:rsidR="00EC53CE" w:rsidRPr="00A13740" w:rsidRDefault="00EC53CE" w:rsidP="00EC53CE">
      <w:pPr>
        <w:pStyle w:val="Heading1"/>
        <w:rPr>
          <w:lang w:val="fr-FR"/>
        </w:rPr>
      </w:pPr>
      <w:r w:rsidRPr="00A13740">
        <w:rPr>
          <w:lang w:val="fr-FR"/>
        </w:rPr>
        <w:t>L'Accord révisé entre le Gouvernement tunisien et le Comité exécutif pour la phase I du PGEH, soumis à la 83</w:t>
      </w:r>
      <w:r w:rsidRPr="00A13740">
        <w:rPr>
          <w:vertAlign w:val="superscript"/>
          <w:lang w:val="fr-FR"/>
        </w:rPr>
        <w:t xml:space="preserve">e </w:t>
      </w:r>
      <w:r w:rsidRPr="00A13740">
        <w:rPr>
          <w:lang w:val="fr-FR"/>
        </w:rPr>
        <w:t xml:space="preserve">réunion, a reporté la date d'achèvement à 2020 avec un objectif de consommation de 26,46 tonnes PAO (soit une réduction de 35 % par rapport au niveau de référence) ; cependant, la consommation restant admissible au financement était de 35,80 tonnes PAO (c'est-à-dire 9,35 tonnes PAO en plus du niveau visé pour 2020). Étant donné que la consommation de 2018 est inférieure à l'objectif fixé par le Protocole de Montréal pour 2020, le Gouvernement tunisien s'est engagé, pour la phase II du HPMP, à éliminer 16,87 tonnes PAO de HCFC-22 pour atteindre une réduction de 67,5 % d'ici 2025. Le gouvernement demande un financement du Fonds multilatéral pour en éliminer 12,68 tonnes PAO. Les 4,19 tonnes PAO restantes seront éliminées grâce à un financement extérieur au Fonds. La phase II portera également sur tous les HCFC-141b contenus dans les polyols </w:t>
      </w:r>
      <w:proofErr w:type="spellStart"/>
      <w:r w:rsidRPr="00A13740">
        <w:rPr>
          <w:lang w:val="fr-FR"/>
        </w:rPr>
        <w:t>prémélangés</w:t>
      </w:r>
      <w:proofErr w:type="spellEnd"/>
      <w:r w:rsidRPr="00A13740">
        <w:rPr>
          <w:lang w:val="fr-FR"/>
        </w:rPr>
        <w:t xml:space="preserve"> importés admissibles au financement.</w:t>
      </w:r>
    </w:p>
    <w:p w:rsidR="00EC53CE" w:rsidRPr="00A13740" w:rsidRDefault="00EC53CE" w:rsidP="00EC53CE">
      <w:pPr>
        <w:tabs>
          <w:tab w:val="left" w:pos="8280"/>
        </w:tabs>
        <w:spacing w:after="240"/>
        <w:rPr>
          <w:b/>
          <w:lang w:val="fr-FR"/>
        </w:rPr>
      </w:pPr>
      <w:r w:rsidRPr="00A13740">
        <w:rPr>
          <w:b/>
          <w:lang w:val="fr-FR"/>
        </w:rPr>
        <w:t xml:space="preserve">Répartition sectorielle de la consommation de HCFC </w:t>
      </w:r>
    </w:p>
    <w:p w:rsidR="00EC53CE" w:rsidRPr="00A13740" w:rsidRDefault="00EC53CE" w:rsidP="00EC53CE">
      <w:pPr>
        <w:pStyle w:val="Heading1"/>
        <w:rPr>
          <w:lang w:val="fr-FR"/>
        </w:rPr>
      </w:pPr>
      <w:r w:rsidRPr="00A13740">
        <w:rPr>
          <w:lang w:val="fr-FR"/>
        </w:rPr>
        <w:t>Les secteurs où les HCFC sont actuellement utilisés en Tunisie sont la fabrication de mousse et l'entretien en réfrigération.</w:t>
      </w:r>
    </w:p>
    <w:p w:rsidR="00EC53CE" w:rsidRPr="00A13740" w:rsidRDefault="00EC53CE" w:rsidP="00EC53CE">
      <w:pPr>
        <w:keepNext/>
        <w:tabs>
          <w:tab w:val="left" w:pos="8280"/>
        </w:tabs>
        <w:spacing w:after="240"/>
        <w:rPr>
          <w:u w:val="single"/>
          <w:lang w:val="fr-FR"/>
        </w:rPr>
      </w:pPr>
      <w:r w:rsidRPr="00A13740">
        <w:rPr>
          <w:u w:val="single"/>
          <w:lang w:val="fr-FR"/>
        </w:rPr>
        <w:t>Secteur de la fabrication de la mousse</w:t>
      </w:r>
    </w:p>
    <w:p w:rsidR="00EC53CE" w:rsidRPr="00A13740" w:rsidRDefault="00EC53CE" w:rsidP="00EC53CE">
      <w:pPr>
        <w:pStyle w:val="Heading1"/>
        <w:rPr>
          <w:lang w:val="fr-FR"/>
        </w:rPr>
      </w:pPr>
      <w:r w:rsidRPr="00A13740">
        <w:rPr>
          <w:lang w:val="fr-FR"/>
        </w:rPr>
        <w:t xml:space="preserve">La Tunisie compte plusieurs entreprises de fabrication de mousses mais seules trois d'entre elles utilisent des formulations de polyols </w:t>
      </w:r>
      <w:proofErr w:type="spellStart"/>
      <w:r w:rsidRPr="00A13740">
        <w:rPr>
          <w:lang w:val="fr-FR"/>
        </w:rPr>
        <w:t>prémélangés</w:t>
      </w:r>
      <w:proofErr w:type="spellEnd"/>
      <w:r w:rsidRPr="00A13740">
        <w:rPr>
          <w:lang w:val="fr-FR"/>
        </w:rPr>
        <w:t xml:space="preserve"> importés contenant du HCFC-141b comme agent gonflant. Il s'agit des Grands Ateliers du Nord (GAN) qui fabriquent des réfrigérateurs et congélateurs domestiques, de la société Le Panneau qui fabrique des panneaux isolants rigides et de COLDEQ qui fabrique des cabines réfrigérées et isothermes. </w:t>
      </w:r>
    </w:p>
    <w:p w:rsidR="00EC53CE" w:rsidRPr="00A13740" w:rsidRDefault="00EC53CE" w:rsidP="00EC53CE">
      <w:pPr>
        <w:pStyle w:val="Heading1"/>
        <w:rPr>
          <w:lang w:val="fr-FR"/>
        </w:rPr>
      </w:pPr>
      <w:r w:rsidRPr="00A13740">
        <w:rPr>
          <w:lang w:val="fr-FR"/>
        </w:rPr>
        <w:t>À sa 32</w:t>
      </w:r>
      <w:r w:rsidRPr="00A13740">
        <w:rPr>
          <w:vertAlign w:val="superscript"/>
          <w:lang w:val="fr-FR"/>
        </w:rPr>
        <w:t xml:space="preserve">e </w:t>
      </w:r>
      <w:r w:rsidRPr="00A13740">
        <w:rPr>
          <w:lang w:val="fr-FR"/>
        </w:rPr>
        <w:t xml:space="preserve">réunion, le Comité exécutif a approuvé le versement de 68 917 $ US pour l'élimination du CFC-11 dans la fabrication de mousse de polyuréthane rigide par COLDEQ, par conversion à un système polyol à base d'eau et de HCFC-141b. Actuellement, l'entreprise utilise 1,07 </w:t>
      </w:r>
      <w:proofErr w:type="spellStart"/>
      <w:r w:rsidRPr="00A13740">
        <w:rPr>
          <w:lang w:val="fr-FR"/>
        </w:rPr>
        <w:t>tm</w:t>
      </w:r>
      <w:proofErr w:type="spellEnd"/>
      <w:r w:rsidRPr="00A13740">
        <w:rPr>
          <w:lang w:val="fr-FR"/>
        </w:rPr>
        <w:t xml:space="preserve"> (0,12 tonne PAO) de HCFC-141b contenu dans des polyols </w:t>
      </w:r>
      <w:proofErr w:type="spellStart"/>
      <w:r w:rsidRPr="00A13740">
        <w:rPr>
          <w:lang w:val="fr-FR"/>
        </w:rPr>
        <w:t>prémélangés</w:t>
      </w:r>
      <w:proofErr w:type="spellEnd"/>
      <w:r w:rsidRPr="00A13740">
        <w:rPr>
          <w:lang w:val="fr-FR"/>
        </w:rPr>
        <w:t xml:space="preserve"> importés ; elle se convertira à ses frais à des systèmes de polyols ne faisant pas appel au HCFC-141b, lesquels lui seront vendus par son fournisseur en produits chimiques.</w:t>
      </w:r>
    </w:p>
    <w:p w:rsidR="00EC53CE" w:rsidRPr="00A13740" w:rsidRDefault="00EC53CE" w:rsidP="00EC53CE">
      <w:pPr>
        <w:pStyle w:val="Heading1"/>
        <w:rPr>
          <w:lang w:val="fr-FR"/>
        </w:rPr>
      </w:pPr>
      <w:r w:rsidRPr="00A13740">
        <w:rPr>
          <w:lang w:val="fr-FR"/>
        </w:rPr>
        <w:t xml:space="preserve">Les deux autres entreprises demandent un financement du Fonds multilatéral pour leur conversion. La consommation de HCFC-141b de ces entreprises figure au tableau 2 ci-après : </w:t>
      </w:r>
    </w:p>
    <w:p w:rsidR="00EC53CE" w:rsidRPr="00A13740" w:rsidRDefault="00EC53CE" w:rsidP="00EC53CE">
      <w:pPr>
        <w:pStyle w:val="Heading1"/>
        <w:numPr>
          <w:ilvl w:val="0"/>
          <w:numId w:val="0"/>
        </w:numPr>
        <w:spacing w:after="0"/>
        <w:rPr>
          <w:b/>
          <w:sz w:val="21"/>
          <w:szCs w:val="21"/>
          <w:lang w:val="fr-FR"/>
        </w:rPr>
      </w:pPr>
      <w:r w:rsidRPr="00A13740">
        <w:rPr>
          <w:b/>
          <w:sz w:val="21"/>
          <w:szCs w:val="21"/>
          <w:lang w:val="fr-FR"/>
        </w:rPr>
        <w:t xml:space="preserve">Tableau 2. Consommation de HCFC-141b contenu dans des polyols </w:t>
      </w:r>
      <w:proofErr w:type="spellStart"/>
      <w:r w:rsidRPr="00A13740">
        <w:rPr>
          <w:b/>
          <w:sz w:val="21"/>
          <w:szCs w:val="21"/>
          <w:lang w:val="fr-FR"/>
        </w:rPr>
        <w:t>prémélangés</w:t>
      </w:r>
      <w:proofErr w:type="spellEnd"/>
    </w:p>
    <w:tbl>
      <w:tblPr>
        <w:tblStyle w:val="TableGrid"/>
        <w:tblW w:w="5000" w:type="pct"/>
        <w:tblInd w:w="-5" w:type="dxa"/>
        <w:tblLook w:val="04A0" w:firstRow="1" w:lastRow="0" w:firstColumn="1" w:lastColumn="0" w:noHBand="0" w:noVBand="1"/>
      </w:tblPr>
      <w:tblGrid>
        <w:gridCol w:w="1443"/>
        <w:gridCol w:w="1319"/>
        <w:gridCol w:w="1319"/>
        <w:gridCol w:w="1319"/>
        <w:gridCol w:w="1316"/>
        <w:gridCol w:w="1316"/>
        <w:gridCol w:w="1318"/>
      </w:tblGrid>
      <w:tr w:rsidR="00EC53CE" w:rsidRPr="00A13740" w:rsidTr="00D6530D">
        <w:trPr>
          <w:tblHeader/>
        </w:trPr>
        <w:tc>
          <w:tcPr>
            <w:tcW w:w="771" w:type="pct"/>
            <w:vMerge w:val="restart"/>
            <w:vAlign w:val="center"/>
          </w:tcPr>
          <w:p w:rsidR="00EC53CE" w:rsidRPr="00A13740" w:rsidRDefault="00EC53CE" w:rsidP="00BB7784">
            <w:pPr>
              <w:jc w:val="left"/>
              <w:rPr>
                <w:b/>
                <w:sz w:val="21"/>
                <w:szCs w:val="21"/>
                <w:lang w:val="fr-FR"/>
              </w:rPr>
            </w:pPr>
            <w:r w:rsidRPr="00A13740">
              <w:rPr>
                <w:b/>
                <w:sz w:val="21"/>
                <w:szCs w:val="21"/>
                <w:lang w:val="fr-FR"/>
              </w:rPr>
              <w:t>Entreprise</w:t>
            </w:r>
          </w:p>
        </w:tc>
        <w:tc>
          <w:tcPr>
            <w:tcW w:w="1410" w:type="pct"/>
            <w:gridSpan w:val="2"/>
          </w:tcPr>
          <w:p w:rsidR="00EC53CE" w:rsidRPr="00A13740" w:rsidRDefault="00EC53CE" w:rsidP="00BB7784">
            <w:pPr>
              <w:jc w:val="center"/>
              <w:rPr>
                <w:b/>
                <w:sz w:val="21"/>
                <w:szCs w:val="21"/>
                <w:lang w:val="fr-FR"/>
              </w:rPr>
            </w:pPr>
            <w:r w:rsidRPr="00A13740">
              <w:rPr>
                <w:b/>
                <w:sz w:val="21"/>
                <w:szCs w:val="21"/>
                <w:lang w:val="fr-FR"/>
              </w:rPr>
              <w:t>2016</w:t>
            </w:r>
          </w:p>
        </w:tc>
        <w:tc>
          <w:tcPr>
            <w:tcW w:w="1409" w:type="pct"/>
            <w:gridSpan w:val="2"/>
          </w:tcPr>
          <w:p w:rsidR="00EC53CE" w:rsidRPr="00A13740" w:rsidRDefault="00EC53CE" w:rsidP="00BB7784">
            <w:pPr>
              <w:jc w:val="center"/>
              <w:rPr>
                <w:b/>
                <w:sz w:val="21"/>
                <w:szCs w:val="21"/>
                <w:lang w:val="fr-FR"/>
              </w:rPr>
            </w:pPr>
            <w:r w:rsidRPr="00A13740">
              <w:rPr>
                <w:b/>
                <w:sz w:val="21"/>
                <w:szCs w:val="21"/>
                <w:lang w:val="fr-FR"/>
              </w:rPr>
              <w:t>2017</w:t>
            </w:r>
          </w:p>
        </w:tc>
        <w:tc>
          <w:tcPr>
            <w:tcW w:w="1409" w:type="pct"/>
            <w:gridSpan w:val="2"/>
          </w:tcPr>
          <w:p w:rsidR="00EC53CE" w:rsidRPr="00A13740" w:rsidRDefault="00EC53CE" w:rsidP="00BB7784">
            <w:pPr>
              <w:jc w:val="center"/>
              <w:rPr>
                <w:b/>
                <w:sz w:val="21"/>
                <w:szCs w:val="21"/>
                <w:lang w:val="fr-FR"/>
              </w:rPr>
            </w:pPr>
            <w:r w:rsidRPr="00A13740">
              <w:rPr>
                <w:b/>
                <w:sz w:val="21"/>
                <w:szCs w:val="21"/>
                <w:lang w:val="fr-FR"/>
              </w:rPr>
              <w:t>2018</w:t>
            </w:r>
          </w:p>
        </w:tc>
      </w:tr>
      <w:tr w:rsidR="00EC53CE" w:rsidRPr="00A13740" w:rsidTr="00D6530D">
        <w:trPr>
          <w:tblHeader/>
        </w:trPr>
        <w:tc>
          <w:tcPr>
            <w:tcW w:w="771" w:type="pct"/>
            <w:vMerge/>
          </w:tcPr>
          <w:p w:rsidR="00EC53CE" w:rsidRPr="00A13740" w:rsidRDefault="00EC53CE" w:rsidP="00BB7784">
            <w:pPr>
              <w:jc w:val="center"/>
              <w:rPr>
                <w:b/>
                <w:sz w:val="21"/>
                <w:szCs w:val="21"/>
                <w:lang w:val="fr-FR"/>
              </w:rPr>
            </w:pPr>
          </w:p>
        </w:tc>
        <w:tc>
          <w:tcPr>
            <w:tcW w:w="705" w:type="pct"/>
            <w:vAlign w:val="center"/>
          </w:tcPr>
          <w:p w:rsidR="00EC53CE" w:rsidRPr="00A13740" w:rsidRDefault="00EC53CE" w:rsidP="00BB7784">
            <w:pPr>
              <w:jc w:val="center"/>
              <w:rPr>
                <w:b/>
                <w:sz w:val="21"/>
                <w:szCs w:val="21"/>
                <w:lang w:val="fr-FR"/>
              </w:rPr>
            </w:pPr>
            <w:proofErr w:type="spellStart"/>
            <w:r w:rsidRPr="00A13740">
              <w:rPr>
                <w:b/>
                <w:sz w:val="21"/>
                <w:szCs w:val="21"/>
                <w:lang w:val="fr-FR"/>
              </w:rPr>
              <w:t>tm</w:t>
            </w:r>
            <w:proofErr w:type="spellEnd"/>
          </w:p>
        </w:tc>
        <w:tc>
          <w:tcPr>
            <w:tcW w:w="705" w:type="pct"/>
            <w:vAlign w:val="center"/>
          </w:tcPr>
          <w:p w:rsidR="00EC53CE" w:rsidRPr="00A13740" w:rsidRDefault="00EC53CE" w:rsidP="00BB7784">
            <w:pPr>
              <w:jc w:val="center"/>
              <w:rPr>
                <w:b/>
                <w:sz w:val="21"/>
                <w:szCs w:val="21"/>
                <w:lang w:val="fr-FR"/>
              </w:rPr>
            </w:pPr>
            <w:r w:rsidRPr="00A13740">
              <w:rPr>
                <w:b/>
                <w:sz w:val="21"/>
                <w:szCs w:val="21"/>
                <w:lang w:val="fr-FR"/>
              </w:rPr>
              <w:t>Tonnes PAO</w:t>
            </w:r>
          </w:p>
        </w:tc>
        <w:tc>
          <w:tcPr>
            <w:tcW w:w="705" w:type="pct"/>
            <w:vAlign w:val="center"/>
          </w:tcPr>
          <w:p w:rsidR="00EC53CE" w:rsidRPr="00A13740" w:rsidRDefault="00EC53CE" w:rsidP="00BB7784">
            <w:pPr>
              <w:jc w:val="center"/>
              <w:rPr>
                <w:b/>
                <w:sz w:val="21"/>
                <w:szCs w:val="21"/>
                <w:lang w:val="fr-FR"/>
              </w:rPr>
            </w:pPr>
            <w:proofErr w:type="spellStart"/>
            <w:r w:rsidRPr="00A13740">
              <w:rPr>
                <w:b/>
                <w:sz w:val="21"/>
                <w:szCs w:val="21"/>
                <w:lang w:val="fr-FR"/>
              </w:rPr>
              <w:t>tm</w:t>
            </w:r>
            <w:proofErr w:type="spellEnd"/>
          </w:p>
        </w:tc>
        <w:tc>
          <w:tcPr>
            <w:tcW w:w="704" w:type="pct"/>
            <w:vAlign w:val="center"/>
          </w:tcPr>
          <w:p w:rsidR="00EC53CE" w:rsidRPr="00A13740" w:rsidRDefault="00EC53CE" w:rsidP="00BB7784">
            <w:pPr>
              <w:jc w:val="center"/>
              <w:rPr>
                <w:b/>
                <w:sz w:val="21"/>
                <w:szCs w:val="21"/>
                <w:lang w:val="fr-FR"/>
              </w:rPr>
            </w:pPr>
            <w:r w:rsidRPr="00A13740">
              <w:rPr>
                <w:b/>
                <w:sz w:val="21"/>
                <w:szCs w:val="21"/>
                <w:lang w:val="fr-FR"/>
              </w:rPr>
              <w:t>Tonnes PAO</w:t>
            </w:r>
          </w:p>
        </w:tc>
        <w:tc>
          <w:tcPr>
            <w:tcW w:w="704" w:type="pct"/>
            <w:vAlign w:val="center"/>
          </w:tcPr>
          <w:p w:rsidR="00EC53CE" w:rsidRPr="00A13740" w:rsidRDefault="00EC53CE" w:rsidP="00BB7784">
            <w:pPr>
              <w:jc w:val="center"/>
              <w:rPr>
                <w:b/>
                <w:sz w:val="21"/>
                <w:szCs w:val="21"/>
                <w:lang w:val="fr-FR"/>
              </w:rPr>
            </w:pPr>
            <w:proofErr w:type="spellStart"/>
            <w:r w:rsidRPr="00A13740">
              <w:rPr>
                <w:b/>
                <w:sz w:val="21"/>
                <w:szCs w:val="21"/>
                <w:lang w:val="fr-FR"/>
              </w:rPr>
              <w:t>tm</w:t>
            </w:r>
            <w:proofErr w:type="spellEnd"/>
          </w:p>
        </w:tc>
        <w:tc>
          <w:tcPr>
            <w:tcW w:w="705" w:type="pct"/>
            <w:vAlign w:val="center"/>
          </w:tcPr>
          <w:p w:rsidR="00EC53CE" w:rsidRPr="00A13740" w:rsidRDefault="00EC53CE" w:rsidP="00BB7784">
            <w:pPr>
              <w:jc w:val="center"/>
              <w:rPr>
                <w:b/>
                <w:sz w:val="21"/>
                <w:szCs w:val="21"/>
                <w:lang w:val="fr-FR"/>
              </w:rPr>
            </w:pPr>
            <w:r w:rsidRPr="00A13740">
              <w:rPr>
                <w:b/>
                <w:sz w:val="21"/>
                <w:szCs w:val="21"/>
                <w:lang w:val="fr-FR"/>
              </w:rPr>
              <w:t>Tonnes PAO</w:t>
            </w:r>
          </w:p>
        </w:tc>
      </w:tr>
      <w:tr w:rsidR="00EC53CE" w:rsidRPr="00A13740" w:rsidTr="00D6530D">
        <w:tc>
          <w:tcPr>
            <w:tcW w:w="771" w:type="pct"/>
          </w:tcPr>
          <w:p w:rsidR="00EC53CE" w:rsidRPr="00A13740" w:rsidRDefault="00EC53CE" w:rsidP="00BB7784">
            <w:pPr>
              <w:rPr>
                <w:sz w:val="21"/>
                <w:szCs w:val="21"/>
                <w:lang w:val="fr-FR"/>
              </w:rPr>
            </w:pPr>
            <w:r w:rsidRPr="00A13740">
              <w:rPr>
                <w:sz w:val="21"/>
                <w:szCs w:val="21"/>
                <w:lang w:val="fr-FR"/>
              </w:rPr>
              <w:t>GAN</w:t>
            </w:r>
          </w:p>
        </w:tc>
        <w:tc>
          <w:tcPr>
            <w:tcW w:w="705" w:type="pct"/>
            <w:tcMar>
              <w:left w:w="115" w:type="dxa"/>
              <w:right w:w="288" w:type="dxa"/>
            </w:tcMar>
          </w:tcPr>
          <w:p w:rsidR="00EC53CE" w:rsidRPr="00A13740" w:rsidRDefault="00EC53CE" w:rsidP="00BB7784">
            <w:pPr>
              <w:jc w:val="right"/>
              <w:rPr>
                <w:sz w:val="21"/>
                <w:szCs w:val="21"/>
                <w:lang w:val="fr-FR"/>
              </w:rPr>
            </w:pPr>
            <w:r w:rsidRPr="00A13740">
              <w:rPr>
                <w:sz w:val="21"/>
                <w:szCs w:val="21"/>
                <w:lang w:val="fr-FR"/>
              </w:rPr>
              <w:t>42,00</w:t>
            </w:r>
          </w:p>
        </w:tc>
        <w:tc>
          <w:tcPr>
            <w:tcW w:w="705" w:type="pct"/>
            <w:tcMar>
              <w:left w:w="115" w:type="dxa"/>
              <w:right w:w="288" w:type="dxa"/>
            </w:tcMar>
          </w:tcPr>
          <w:p w:rsidR="00EC53CE" w:rsidRPr="00A13740" w:rsidRDefault="00EC53CE" w:rsidP="00BB7784">
            <w:pPr>
              <w:jc w:val="right"/>
              <w:rPr>
                <w:sz w:val="21"/>
                <w:szCs w:val="21"/>
                <w:lang w:val="fr-FR"/>
              </w:rPr>
            </w:pPr>
            <w:r w:rsidRPr="00A13740">
              <w:rPr>
                <w:sz w:val="21"/>
                <w:szCs w:val="21"/>
                <w:lang w:val="fr-FR"/>
              </w:rPr>
              <w:t>4,62</w:t>
            </w:r>
          </w:p>
        </w:tc>
        <w:tc>
          <w:tcPr>
            <w:tcW w:w="705" w:type="pct"/>
            <w:tcMar>
              <w:left w:w="115" w:type="dxa"/>
              <w:right w:w="288" w:type="dxa"/>
            </w:tcMar>
          </w:tcPr>
          <w:p w:rsidR="00EC53CE" w:rsidRPr="00A13740" w:rsidRDefault="00EC53CE" w:rsidP="00BB7784">
            <w:pPr>
              <w:jc w:val="right"/>
              <w:rPr>
                <w:sz w:val="21"/>
                <w:szCs w:val="21"/>
                <w:lang w:val="fr-FR"/>
              </w:rPr>
            </w:pPr>
            <w:r w:rsidRPr="00A13740">
              <w:rPr>
                <w:sz w:val="21"/>
                <w:szCs w:val="21"/>
                <w:lang w:val="fr-FR"/>
              </w:rPr>
              <w:t>52,50</w:t>
            </w:r>
          </w:p>
        </w:tc>
        <w:tc>
          <w:tcPr>
            <w:tcW w:w="704" w:type="pct"/>
            <w:tcMar>
              <w:left w:w="115" w:type="dxa"/>
              <w:right w:w="288" w:type="dxa"/>
            </w:tcMar>
          </w:tcPr>
          <w:p w:rsidR="00EC53CE" w:rsidRPr="00A13740" w:rsidRDefault="00EC53CE" w:rsidP="00BB7784">
            <w:pPr>
              <w:jc w:val="right"/>
              <w:rPr>
                <w:sz w:val="21"/>
                <w:szCs w:val="21"/>
                <w:lang w:val="fr-FR"/>
              </w:rPr>
            </w:pPr>
            <w:r w:rsidRPr="00A13740">
              <w:rPr>
                <w:sz w:val="21"/>
                <w:szCs w:val="21"/>
                <w:lang w:val="fr-FR"/>
              </w:rPr>
              <w:t>5,78</w:t>
            </w:r>
          </w:p>
        </w:tc>
        <w:tc>
          <w:tcPr>
            <w:tcW w:w="704" w:type="pct"/>
            <w:tcMar>
              <w:left w:w="115" w:type="dxa"/>
              <w:right w:w="288" w:type="dxa"/>
            </w:tcMar>
          </w:tcPr>
          <w:p w:rsidR="00EC53CE" w:rsidRPr="00A13740" w:rsidRDefault="00EC53CE" w:rsidP="00BB7784">
            <w:pPr>
              <w:jc w:val="right"/>
              <w:rPr>
                <w:sz w:val="21"/>
                <w:szCs w:val="21"/>
                <w:lang w:val="fr-FR"/>
              </w:rPr>
            </w:pPr>
            <w:r w:rsidRPr="00A13740">
              <w:rPr>
                <w:sz w:val="21"/>
                <w:szCs w:val="21"/>
                <w:lang w:val="fr-FR"/>
              </w:rPr>
              <w:t>52,50</w:t>
            </w:r>
          </w:p>
        </w:tc>
        <w:tc>
          <w:tcPr>
            <w:tcW w:w="705" w:type="pct"/>
            <w:tcMar>
              <w:left w:w="115" w:type="dxa"/>
              <w:right w:w="288" w:type="dxa"/>
            </w:tcMar>
          </w:tcPr>
          <w:p w:rsidR="00EC53CE" w:rsidRPr="00A13740" w:rsidRDefault="00EC53CE" w:rsidP="00BB7784">
            <w:pPr>
              <w:jc w:val="right"/>
              <w:rPr>
                <w:sz w:val="21"/>
                <w:szCs w:val="21"/>
                <w:lang w:val="fr-FR"/>
              </w:rPr>
            </w:pPr>
            <w:r w:rsidRPr="00A13740">
              <w:rPr>
                <w:sz w:val="21"/>
                <w:szCs w:val="21"/>
                <w:lang w:val="fr-FR"/>
              </w:rPr>
              <w:t>5,78</w:t>
            </w:r>
          </w:p>
        </w:tc>
      </w:tr>
      <w:tr w:rsidR="00EC53CE" w:rsidRPr="00A13740" w:rsidTr="00D6530D">
        <w:tc>
          <w:tcPr>
            <w:tcW w:w="771" w:type="pct"/>
          </w:tcPr>
          <w:p w:rsidR="00EC53CE" w:rsidRPr="00A13740" w:rsidRDefault="00EC53CE" w:rsidP="00BB7784">
            <w:pPr>
              <w:rPr>
                <w:sz w:val="21"/>
                <w:szCs w:val="21"/>
                <w:lang w:val="fr-FR"/>
              </w:rPr>
            </w:pPr>
            <w:r w:rsidRPr="00A13740">
              <w:rPr>
                <w:sz w:val="21"/>
                <w:szCs w:val="21"/>
                <w:lang w:val="fr-FR"/>
              </w:rPr>
              <w:t>Le Panneau</w:t>
            </w:r>
          </w:p>
        </w:tc>
        <w:tc>
          <w:tcPr>
            <w:tcW w:w="705" w:type="pct"/>
            <w:tcMar>
              <w:left w:w="115" w:type="dxa"/>
              <w:right w:w="288" w:type="dxa"/>
            </w:tcMar>
          </w:tcPr>
          <w:p w:rsidR="00EC53CE" w:rsidRPr="00A13740" w:rsidRDefault="00EC53CE" w:rsidP="00BB7784">
            <w:pPr>
              <w:jc w:val="right"/>
              <w:rPr>
                <w:sz w:val="21"/>
                <w:szCs w:val="21"/>
                <w:lang w:val="fr-FR"/>
              </w:rPr>
            </w:pPr>
            <w:r w:rsidRPr="00A13740">
              <w:rPr>
                <w:sz w:val="21"/>
                <w:szCs w:val="21"/>
                <w:lang w:val="fr-FR"/>
              </w:rPr>
              <w:t>14,47</w:t>
            </w:r>
          </w:p>
        </w:tc>
        <w:tc>
          <w:tcPr>
            <w:tcW w:w="705" w:type="pct"/>
            <w:tcMar>
              <w:left w:w="115" w:type="dxa"/>
              <w:right w:w="288" w:type="dxa"/>
            </w:tcMar>
          </w:tcPr>
          <w:p w:rsidR="00EC53CE" w:rsidRPr="00A13740" w:rsidRDefault="00EC53CE" w:rsidP="00BB7784">
            <w:pPr>
              <w:jc w:val="right"/>
              <w:rPr>
                <w:sz w:val="21"/>
                <w:szCs w:val="21"/>
                <w:lang w:val="fr-FR"/>
              </w:rPr>
            </w:pPr>
            <w:r w:rsidRPr="00A13740">
              <w:rPr>
                <w:sz w:val="21"/>
                <w:szCs w:val="21"/>
                <w:lang w:val="fr-FR"/>
              </w:rPr>
              <w:t>1,59</w:t>
            </w:r>
          </w:p>
        </w:tc>
        <w:tc>
          <w:tcPr>
            <w:tcW w:w="705" w:type="pct"/>
            <w:tcMar>
              <w:left w:w="115" w:type="dxa"/>
              <w:right w:w="288" w:type="dxa"/>
            </w:tcMar>
          </w:tcPr>
          <w:p w:rsidR="00EC53CE" w:rsidRPr="00A13740" w:rsidRDefault="00EC53CE" w:rsidP="00BB7784">
            <w:pPr>
              <w:jc w:val="right"/>
              <w:rPr>
                <w:sz w:val="21"/>
                <w:szCs w:val="21"/>
                <w:lang w:val="fr-FR"/>
              </w:rPr>
            </w:pPr>
            <w:r w:rsidRPr="00A13740">
              <w:rPr>
                <w:sz w:val="21"/>
                <w:szCs w:val="21"/>
                <w:lang w:val="fr-FR"/>
              </w:rPr>
              <w:t>14,50</w:t>
            </w:r>
          </w:p>
        </w:tc>
        <w:tc>
          <w:tcPr>
            <w:tcW w:w="704" w:type="pct"/>
            <w:tcMar>
              <w:left w:w="115" w:type="dxa"/>
              <w:right w:w="288" w:type="dxa"/>
            </w:tcMar>
          </w:tcPr>
          <w:p w:rsidR="00EC53CE" w:rsidRPr="00A13740" w:rsidRDefault="00EC53CE" w:rsidP="00BB7784">
            <w:pPr>
              <w:jc w:val="right"/>
              <w:rPr>
                <w:sz w:val="21"/>
                <w:szCs w:val="21"/>
                <w:lang w:val="fr-FR"/>
              </w:rPr>
            </w:pPr>
            <w:r w:rsidRPr="00A13740">
              <w:rPr>
                <w:sz w:val="21"/>
                <w:szCs w:val="21"/>
                <w:lang w:val="fr-FR"/>
              </w:rPr>
              <w:t>1,60</w:t>
            </w:r>
          </w:p>
        </w:tc>
        <w:tc>
          <w:tcPr>
            <w:tcW w:w="704" w:type="pct"/>
            <w:tcMar>
              <w:left w:w="115" w:type="dxa"/>
              <w:right w:w="288" w:type="dxa"/>
            </w:tcMar>
          </w:tcPr>
          <w:p w:rsidR="00EC53CE" w:rsidRPr="00A13740" w:rsidRDefault="00EC53CE" w:rsidP="00BB7784">
            <w:pPr>
              <w:jc w:val="right"/>
              <w:rPr>
                <w:sz w:val="21"/>
                <w:szCs w:val="21"/>
                <w:lang w:val="fr-FR"/>
              </w:rPr>
            </w:pPr>
            <w:r w:rsidRPr="00A13740">
              <w:rPr>
                <w:sz w:val="21"/>
                <w:szCs w:val="21"/>
                <w:lang w:val="fr-FR"/>
              </w:rPr>
              <w:t>14,50</w:t>
            </w:r>
          </w:p>
        </w:tc>
        <w:tc>
          <w:tcPr>
            <w:tcW w:w="705" w:type="pct"/>
            <w:tcMar>
              <w:left w:w="115" w:type="dxa"/>
              <w:right w:w="288" w:type="dxa"/>
            </w:tcMar>
          </w:tcPr>
          <w:p w:rsidR="00EC53CE" w:rsidRPr="00A13740" w:rsidRDefault="00EC53CE" w:rsidP="00BB7784">
            <w:pPr>
              <w:jc w:val="right"/>
              <w:rPr>
                <w:sz w:val="21"/>
                <w:szCs w:val="21"/>
                <w:lang w:val="fr-FR"/>
              </w:rPr>
            </w:pPr>
            <w:r w:rsidRPr="00A13740">
              <w:rPr>
                <w:sz w:val="21"/>
                <w:szCs w:val="21"/>
                <w:lang w:val="fr-FR"/>
              </w:rPr>
              <w:t>1,60</w:t>
            </w:r>
          </w:p>
        </w:tc>
      </w:tr>
    </w:tbl>
    <w:p w:rsidR="00EC53CE" w:rsidRPr="00A13740" w:rsidRDefault="00EC53CE" w:rsidP="00EC53CE">
      <w:pPr>
        <w:rPr>
          <w:lang w:val="fr-FR"/>
        </w:rPr>
      </w:pPr>
    </w:p>
    <w:p w:rsidR="00EC53CE" w:rsidRPr="00A13740" w:rsidRDefault="00EC53CE" w:rsidP="00E928D9">
      <w:pPr>
        <w:keepNext/>
        <w:keepLines/>
        <w:tabs>
          <w:tab w:val="left" w:pos="8280"/>
        </w:tabs>
        <w:spacing w:after="240"/>
        <w:rPr>
          <w:u w:val="single"/>
          <w:lang w:val="fr-FR"/>
        </w:rPr>
      </w:pPr>
      <w:r w:rsidRPr="00A13740">
        <w:rPr>
          <w:u w:val="single"/>
          <w:lang w:val="fr-FR"/>
        </w:rPr>
        <w:lastRenderedPageBreak/>
        <w:t>Consommation de HCFC dans le secteur de l’entretien</w:t>
      </w:r>
    </w:p>
    <w:p w:rsidR="00EC53CE" w:rsidRPr="00A13740" w:rsidRDefault="00EC53CE" w:rsidP="00E928D9">
      <w:pPr>
        <w:pStyle w:val="Heading1"/>
        <w:keepNext/>
        <w:keepLines/>
        <w:rPr>
          <w:lang w:val="fr-FR"/>
        </w:rPr>
      </w:pPr>
      <w:r w:rsidRPr="00A13740">
        <w:rPr>
          <w:lang w:val="fr-FR"/>
        </w:rPr>
        <w:t>La consommation actuelle de HCFC-22 est principalement destinée à l'entretien des climatiseurs domestiques, des équipements commerciaux et des équipements industriels et de climatisation de plus grande taille. Le nombre de climatiseurs en fonctionnement qui utilisent le HCFC-22 comme réfrigérant est en baisse. Le nombre de climatiseurs (d'importation et de fabrication locale) qui fonctionnent avec des mélanges HFC tournent principalement au R-410A. L'ammoniac est largement utilisé comme réfrigérant dans l'industrie alimentaire.</w:t>
      </w:r>
    </w:p>
    <w:p w:rsidR="00EC53CE" w:rsidRPr="00A13740" w:rsidRDefault="00EC53CE" w:rsidP="00EC53CE">
      <w:pPr>
        <w:pStyle w:val="Heading1"/>
        <w:rPr>
          <w:lang w:val="fr-FR"/>
        </w:rPr>
      </w:pPr>
      <w:r w:rsidRPr="00A13740">
        <w:rPr>
          <w:lang w:val="fr-FR"/>
        </w:rPr>
        <w:t xml:space="preserve">Il y a environ 5 000 techniciens d’entretien en climatisation dans le pays. Au total, 176 ateliers de service agréés (d'après l'inventaire précédent) emploient environ 1 000 techniciens ; le reste travaille à temps partiel dans des ateliers non agréés, consommant moins de 1 tonne par an de HCFC-22 ; environ 80 % des ateliers consomment moins de 100 kg par an. De plus, environ 35 grandes entreprises industrielles ainsi que des grands supermarchés, hôtels et hôpitaux entretiennent eux-mêmes leurs climatiseurs. Il existe deux centres de récupération et de valorisation des HCFC et des HFC en Tunisie. </w:t>
      </w:r>
    </w:p>
    <w:p w:rsidR="00EC53CE" w:rsidRPr="00A13740" w:rsidRDefault="00EC53CE" w:rsidP="00EC53CE">
      <w:pPr>
        <w:tabs>
          <w:tab w:val="left" w:pos="8280"/>
        </w:tabs>
        <w:spacing w:after="240"/>
        <w:rPr>
          <w:b/>
          <w:lang w:val="fr-FR"/>
        </w:rPr>
      </w:pPr>
      <w:r w:rsidRPr="00A13740">
        <w:rPr>
          <w:b/>
          <w:lang w:val="fr-FR"/>
        </w:rPr>
        <w:t>Activités proposées au titre de la phase II du PGEH</w:t>
      </w:r>
    </w:p>
    <w:p w:rsidR="00EC53CE" w:rsidRPr="00A13740" w:rsidRDefault="00EC53CE" w:rsidP="00EC53CE">
      <w:pPr>
        <w:pStyle w:val="Heading1"/>
        <w:rPr>
          <w:lang w:val="fr-FR"/>
        </w:rPr>
      </w:pPr>
      <w:r w:rsidRPr="00A13740">
        <w:rPr>
          <w:lang w:val="fr-FR"/>
        </w:rPr>
        <w:t xml:space="preserve">La phase II du PGEH couvre la période 2020-2025 et propose d'éliminer 5,02 tonnes PAO de HCFC-141b contenues dans les polyols </w:t>
      </w:r>
      <w:proofErr w:type="spellStart"/>
      <w:r w:rsidRPr="00A13740">
        <w:rPr>
          <w:lang w:val="fr-FR"/>
        </w:rPr>
        <w:t>prémélangés</w:t>
      </w:r>
      <w:proofErr w:type="spellEnd"/>
      <w:r w:rsidRPr="00A13740">
        <w:rPr>
          <w:lang w:val="fr-FR"/>
        </w:rPr>
        <w:t xml:space="preserve"> importés et 16,87 tonnes PAO de HCFC-22 provenant du secteur de l'entretien en réfrigération, par des mesures réglementaires, la conversion du secteur de la fabrication de mousse et des activités dans le secteur de l'entretien en réfrigération.</w:t>
      </w:r>
    </w:p>
    <w:p w:rsidR="00EC53CE" w:rsidRPr="00A13740" w:rsidRDefault="00EC53CE" w:rsidP="00EC53CE">
      <w:pPr>
        <w:tabs>
          <w:tab w:val="left" w:pos="8280"/>
        </w:tabs>
        <w:spacing w:after="240"/>
        <w:rPr>
          <w:u w:val="single"/>
          <w:lang w:val="fr-FR"/>
        </w:rPr>
      </w:pPr>
      <w:r w:rsidRPr="00A13740">
        <w:rPr>
          <w:u w:val="single"/>
          <w:lang w:val="fr-FR"/>
        </w:rPr>
        <w:t>Activités réglementaires</w:t>
      </w:r>
    </w:p>
    <w:p w:rsidR="00EC53CE" w:rsidRPr="00A13740" w:rsidRDefault="00EC53CE" w:rsidP="00EC53CE">
      <w:pPr>
        <w:pStyle w:val="Heading1"/>
        <w:rPr>
          <w:lang w:val="fr-FR"/>
        </w:rPr>
      </w:pPr>
      <w:r w:rsidRPr="00A13740">
        <w:rPr>
          <w:lang w:val="fr-FR"/>
        </w:rPr>
        <w:t>Le volet réglementaire de la phase II du PGEH comprend les activités suivantes :</w:t>
      </w:r>
    </w:p>
    <w:p w:rsidR="00EC53CE" w:rsidRPr="00A13740" w:rsidRDefault="00EC53CE" w:rsidP="00EC53CE">
      <w:pPr>
        <w:pStyle w:val="Heading2"/>
        <w:numPr>
          <w:ilvl w:val="1"/>
          <w:numId w:val="1"/>
        </w:numPr>
        <w:rPr>
          <w:lang w:val="fr-FR"/>
        </w:rPr>
      </w:pPr>
      <w:r w:rsidRPr="00A13740">
        <w:rPr>
          <w:lang w:val="fr-FR"/>
        </w:rPr>
        <w:t xml:space="preserve">Poursuivre l'application du système de délivrance de permis et de quotas en fournissant aux agents des douanes une formation et de l'équipement (p. ex., des identificateurs de réfrigérants) ; </w:t>
      </w:r>
    </w:p>
    <w:p w:rsidR="00EC53CE" w:rsidRPr="00A13740" w:rsidRDefault="00EC53CE" w:rsidP="00EC53CE">
      <w:pPr>
        <w:pStyle w:val="Heading2"/>
        <w:numPr>
          <w:ilvl w:val="1"/>
          <w:numId w:val="1"/>
        </w:numPr>
        <w:rPr>
          <w:lang w:val="fr-FR"/>
        </w:rPr>
      </w:pPr>
      <w:r w:rsidRPr="00A13740">
        <w:rPr>
          <w:lang w:val="fr-FR"/>
        </w:rPr>
        <w:t xml:space="preserve">Interdire toute importation de HCFC-141b contenu dans des polyols </w:t>
      </w:r>
      <w:proofErr w:type="spellStart"/>
      <w:r w:rsidRPr="00A13740">
        <w:rPr>
          <w:lang w:val="fr-FR"/>
        </w:rPr>
        <w:t>prémélangés</w:t>
      </w:r>
      <w:proofErr w:type="spellEnd"/>
      <w:r w:rsidRPr="00A13740">
        <w:rPr>
          <w:lang w:val="fr-FR"/>
        </w:rPr>
        <w:t xml:space="preserve"> à l'issue de la conversion des entreprises de fabrication de mousse ; </w:t>
      </w:r>
    </w:p>
    <w:p w:rsidR="00EC53CE" w:rsidRPr="00A13740" w:rsidRDefault="00EC53CE" w:rsidP="00EC53CE">
      <w:pPr>
        <w:pStyle w:val="Heading2"/>
        <w:numPr>
          <w:ilvl w:val="1"/>
          <w:numId w:val="1"/>
        </w:numPr>
        <w:rPr>
          <w:lang w:val="fr-FR"/>
        </w:rPr>
      </w:pPr>
      <w:r w:rsidRPr="00A13740">
        <w:rPr>
          <w:lang w:val="fr-FR"/>
        </w:rPr>
        <w:t xml:space="preserve">Élaborer des politiques et des règlements relatifs aux HFC en combinaison avec les règlements actuels relatifs aux HCFC, en particulier pour le secteur de l'entretien en réfrigération ; </w:t>
      </w:r>
    </w:p>
    <w:p w:rsidR="00EC53CE" w:rsidRPr="00A13740" w:rsidRDefault="00EC53CE" w:rsidP="00EC53CE">
      <w:pPr>
        <w:pStyle w:val="Heading2"/>
        <w:numPr>
          <w:ilvl w:val="1"/>
          <w:numId w:val="1"/>
        </w:numPr>
        <w:rPr>
          <w:lang w:val="fr-FR"/>
        </w:rPr>
      </w:pPr>
      <w:r w:rsidRPr="00A13740">
        <w:rPr>
          <w:lang w:val="fr-FR"/>
        </w:rPr>
        <w:t xml:space="preserve">Appuyer, sur les plans des politiques publiques suivies et des réglementations édictées, le secteur de l'entretien des installations frigorifiques en créant et en mettant en œuvre un programme de certification des techniciens et de formation des techniciens, en élaborant d'un code de conduite et en mettant à jour les supports de formation destinés aux techniciens en maintenance. </w:t>
      </w:r>
    </w:p>
    <w:p w:rsidR="00EC53CE" w:rsidRPr="00A13740" w:rsidRDefault="00EC53CE" w:rsidP="00EC53CE">
      <w:pPr>
        <w:tabs>
          <w:tab w:val="left" w:pos="8280"/>
        </w:tabs>
        <w:spacing w:after="240"/>
        <w:rPr>
          <w:u w:val="single"/>
          <w:lang w:val="fr-FR"/>
        </w:rPr>
      </w:pPr>
      <w:r w:rsidRPr="00A13740">
        <w:rPr>
          <w:u w:val="single"/>
          <w:lang w:val="fr-FR"/>
        </w:rPr>
        <w:t>Activités dans le secteur de la fabrication des produits de mousse</w:t>
      </w:r>
    </w:p>
    <w:p w:rsidR="00EC53CE" w:rsidRPr="00A13740" w:rsidRDefault="00EC53CE" w:rsidP="00EC53CE">
      <w:pPr>
        <w:pStyle w:val="Heading1"/>
        <w:rPr>
          <w:lang w:val="fr-FR"/>
        </w:rPr>
      </w:pPr>
      <w:r w:rsidRPr="00A13740">
        <w:rPr>
          <w:lang w:val="fr-FR"/>
        </w:rPr>
        <w:t xml:space="preserve">La phase II propose d'éliminer complètement la consommation réelle de 67,0 </w:t>
      </w:r>
      <w:proofErr w:type="spellStart"/>
      <w:r w:rsidRPr="00A13740">
        <w:rPr>
          <w:lang w:val="fr-FR"/>
        </w:rPr>
        <w:t>tm</w:t>
      </w:r>
      <w:proofErr w:type="spellEnd"/>
      <w:r w:rsidRPr="00A13740">
        <w:rPr>
          <w:lang w:val="fr-FR"/>
        </w:rPr>
        <w:t xml:space="preserve"> (7,38 tonnes PAO) de HCFC-141b contenu dans des polyols </w:t>
      </w:r>
      <w:proofErr w:type="spellStart"/>
      <w:r w:rsidRPr="00A13740">
        <w:rPr>
          <w:lang w:val="fr-FR"/>
        </w:rPr>
        <w:t>prémélangés</w:t>
      </w:r>
      <w:proofErr w:type="spellEnd"/>
      <w:r w:rsidRPr="00A13740">
        <w:rPr>
          <w:lang w:val="fr-FR"/>
        </w:rPr>
        <w:t xml:space="preserve"> importés utilisés comme agent de gonflage dans la fabrication de mousse rigide de polyuréthane (PU) par les entreprises GAN et Le Panneau. Les deux entreprises prévoient se convertir aux agents gonflants à base d'hydrocarbures (cyclopentane pour le GAN et n-pentane pour Le Panneau). </w:t>
      </w:r>
    </w:p>
    <w:p w:rsidR="00EC53CE" w:rsidRPr="00A13740" w:rsidRDefault="00EC53CE" w:rsidP="00EC53CE">
      <w:pPr>
        <w:pStyle w:val="Heading1"/>
        <w:rPr>
          <w:lang w:val="fr-FR"/>
        </w:rPr>
      </w:pPr>
      <w:r w:rsidRPr="00A13740">
        <w:rPr>
          <w:lang w:val="fr-FR"/>
        </w:rPr>
        <w:t xml:space="preserve">Les surcoûts d'investissement comprenaient l'installation de systèmes de stockage et de stations de mélange des hydrocarbures, le remplacement des distributeurs de mousse, la modernisation des moules, des </w:t>
      </w:r>
      <w:r w:rsidRPr="00A13740">
        <w:rPr>
          <w:lang w:val="fr-FR"/>
        </w:rPr>
        <w:lastRenderedPageBreak/>
        <w:t>accessoires fixes et des gabarits, l'équipement lié à la sécurité et la formation, les essais et les vérifications liées à la sécurité. Il n'est pas demandé de financer les surcoûts d’exploitation. Le Tableau 3 présente un aperçu des coûts pour la conversion des entreprises de fabrication de mousses.</w:t>
      </w:r>
    </w:p>
    <w:p w:rsidR="00D6530D" w:rsidRDefault="00D6530D" w:rsidP="00EC53CE">
      <w:pPr>
        <w:rPr>
          <w:b/>
          <w:sz w:val="21"/>
          <w:szCs w:val="21"/>
          <w:lang w:val="fr-FR"/>
        </w:rPr>
      </w:pPr>
    </w:p>
    <w:p w:rsidR="00EC53CE" w:rsidRPr="00A13740" w:rsidRDefault="00EC53CE" w:rsidP="00EC53CE">
      <w:pPr>
        <w:rPr>
          <w:b/>
          <w:sz w:val="21"/>
          <w:szCs w:val="21"/>
          <w:lang w:val="fr-FR"/>
        </w:rPr>
      </w:pPr>
      <w:r w:rsidRPr="00A13740">
        <w:rPr>
          <w:b/>
          <w:sz w:val="21"/>
          <w:szCs w:val="21"/>
          <w:lang w:val="fr-FR"/>
        </w:rPr>
        <w:t>Tableau 3. Coût total de la conversion des entreprises de fabrication de mousses au cours de la phase II du PGEH pour la Tunisie</w:t>
      </w:r>
    </w:p>
    <w:tbl>
      <w:tblPr>
        <w:tblStyle w:val="TableGrid"/>
        <w:tblW w:w="9432" w:type="dxa"/>
        <w:tblInd w:w="-5" w:type="dxa"/>
        <w:tblLook w:val="04A0" w:firstRow="1" w:lastRow="0" w:firstColumn="1" w:lastColumn="0" w:noHBand="0" w:noVBand="1"/>
      </w:tblPr>
      <w:tblGrid>
        <w:gridCol w:w="1350"/>
        <w:gridCol w:w="6120"/>
        <w:gridCol w:w="1962"/>
      </w:tblGrid>
      <w:tr w:rsidR="00EC53CE" w:rsidRPr="00A13740" w:rsidTr="00D6530D">
        <w:trPr>
          <w:tblHeader/>
        </w:trPr>
        <w:tc>
          <w:tcPr>
            <w:tcW w:w="1350" w:type="dxa"/>
          </w:tcPr>
          <w:p w:rsidR="00EC53CE" w:rsidRPr="00A13740" w:rsidRDefault="00EC53CE" w:rsidP="00BB7784">
            <w:pPr>
              <w:jc w:val="center"/>
              <w:rPr>
                <w:b/>
                <w:sz w:val="21"/>
                <w:szCs w:val="21"/>
                <w:lang w:val="fr-FR"/>
              </w:rPr>
            </w:pPr>
            <w:r w:rsidRPr="00A13740">
              <w:rPr>
                <w:b/>
                <w:sz w:val="21"/>
                <w:szCs w:val="21"/>
                <w:lang w:val="fr-FR"/>
              </w:rPr>
              <w:t>Entreprise</w:t>
            </w:r>
          </w:p>
        </w:tc>
        <w:tc>
          <w:tcPr>
            <w:tcW w:w="6120" w:type="dxa"/>
          </w:tcPr>
          <w:p w:rsidR="00EC53CE" w:rsidRPr="00A13740" w:rsidRDefault="00EC53CE" w:rsidP="00BB7784">
            <w:pPr>
              <w:jc w:val="center"/>
              <w:rPr>
                <w:b/>
                <w:sz w:val="21"/>
                <w:szCs w:val="21"/>
                <w:lang w:val="fr-FR"/>
              </w:rPr>
            </w:pPr>
            <w:r w:rsidRPr="00A13740">
              <w:rPr>
                <w:b/>
                <w:sz w:val="21"/>
                <w:szCs w:val="21"/>
                <w:lang w:val="fr-FR"/>
              </w:rPr>
              <w:t>Poste</w:t>
            </w:r>
          </w:p>
        </w:tc>
        <w:tc>
          <w:tcPr>
            <w:tcW w:w="1962" w:type="dxa"/>
          </w:tcPr>
          <w:p w:rsidR="00EC53CE" w:rsidRPr="00A13740" w:rsidRDefault="00EC53CE" w:rsidP="00BB7784">
            <w:pPr>
              <w:jc w:val="center"/>
              <w:rPr>
                <w:b/>
                <w:sz w:val="21"/>
                <w:szCs w:val="21"/>
                <w:lang w:val="fr-FR"/>
              </w:rPr>
            </w:pPr>
            <w:r w:rsidRPr="00A13740">
              <w:rPr>
                <w:b/>
                <w:sz w:val="21"/>
                <w:szCs w:val="21"/>
                <w:lang w:val="fr-FR"/>
              </w:rPr>
              <w:t>Coût ($ US)</w:t>
            </w:r>
          </w:p>
        </w:tc>
      </w:tr>
      <w:tr w:rsidR="00EC53CE" w:rsidRPr="00A13740" w:rsidTr="00D6530D">
        <w:tc>
          <w:tcPr>
            <w:tcW w:w="1350" w:type="dxa"/>
            <w:vMerge w:val="restart"/>
          </w:tcPr>
          <w:p w:rsidR="00EC53CE" w:rsidRPr="00A13740" w:rsidRDefault="00EC53CE" w:rsidP="00BB7784">
            <w:pPr>
              <w:rPr>
                <w:sz w:val="21"/>
                <w:szCs w:val="21"/>
                <w:lang w:val="fr-FR"/>
              </w:rPr>
            </w:pPr>
            <w:r w:rsidRPr="00A13740">
              <w:rPr>
                <w:sz w:val="21"/>
                <w:szCs w:val="21"/>
                <w:lang w:val="fr-FR"/>
              </w:rPr>
              <w:t>GAN</w:t>
            </w:r>
          </w:p>
        </w:tc>
        <w:tc>
          <w:tcPr>
            <w:tcW w:w="6120" w:type="dxa"/>
          </w:tcPr>
          <w:p w:rsidR="00EC53CE" w:rsidRPr="00A13740" w:rsidRDefault="00EC53CE" w:rsidP="00BB7784">
            <w:pPr>
              <w:jc w:val="left"/>
              <w:rPr>
                <w:sz w:val="21"/>
                <w:szCs w:val="21"/>
                <w:lang w:val="fr-FR"/>
              </w:rPr>
            </w:pPr>
            <w:r w:rsidRPr="00A13740">
              <w:rPr>
                <w:sz w:val="21"/>
                <w:szCs w:val="21"/>
                <w:lang w:val="fr-FR"/>
              </w:rPr>
              <w:t>Production (remplacement ou modernisation de la machine à mousser (235 000 $ US), de l'unité de mélange du pentane (95 000 $ US) et de l'approvisionnement en azote (30 000 $ US), modernisation des moules, montages et gabarits (38 000 $ US), réservoir de stockage du pentane et accessoires, y compris la tuyauterie et la ventilation (55 000 $ US))</w:t>
            </w:r>
          </w:p>
        </w:tc>
        <w:tc>
          <w:tcPr>
            <w:tcW w:w="1962" w:type="dxa"/>
          </w:tcPr>
          <w:p w:rsidR="00EC53CE" w:rsidRPr="00A13740" w:rsidRDefault="00EC53CE" w:rsidP="00BB7784">
            <w:pPr>
              <w:jc w:val="right"/>
              <w:rPr>
                <w:sz w:val="21"/>
                <w:szCs w:val="21"/>
                <w:lang w:val="fr-FR"/>
              </w:rPr>
            </w:pPr>
            <w:r w:rsidRPr="00A13740">
              <w:rPr>
                <w:sz w:val="21"/>
                <w:szCs w:val="21"/>
                <w:lang w:val="fr-FR"/>
              </w:rPr>
              <w:t>453 000</w:t>
            </w:r>
          </w:p>
        </w:tc>
      </w:tr>
      <w:tr w:rsidR="00EC53CE" w:rsidRPr="00A13740" w:rsidTr="00D6530D">
        <w:tc>
          <w:tcPr>
            <w:tcW w:w="1350" w:type="dxa"/>
            <w:vMerge/>
          </w:tcPr>
          <w:p w:rsidR="00EC53CE" w:rsidRPr="00A13740" w:rsidRDefault="00EC53CE" w:rsidP="00BB7784">
            <w:pPr>
              <w:rPr>
                <w:sz w:val="21"/>
                <w:szCs w:val="21"/>
                <w:lang w:val="fr-FR"/>
              </w:rPr>
            </w:pPr>
          </w:p>
        </w:tc>
        <w:tc>
          <w:tcPr>
            <w:tcW w:w="6120" w:type="dxa"/>
          </w:tcPr>
          <w:p w:rsidR="00EC53CE" w:rsidRPr="00A13740" w:rsidRDefault="00EC53CE" w:rsidP="00BB7784">
            <w:pPr>
              <w:jc w:val="left"/>
              <w:rPr>
                <w:sz w:val="21"/>
                <w:szCs w:val="21"/>
                <w:lang w:val="fr-FR"/>
              </w:rPr>
            </w:pPr>
            <w:r w:rsidRPr="00A13740">
              <w:rPr>
                <w:sz w:val="21"/>
                <w:szCs w:val="21"/>
                <w:lang w:val="fr-FR"/>
              </w:rPr>
              <w:t>Sûreté de l'installation (système de ventilation, capteurs de gaz, système de suivi des alarmes, système de contrôle de la protection incendie, mise à la terre, modifications électriques, inspection et audit de sécurité)</w:t>
            </w:r>
          </w:p>
        </w:tc>
        <w:tc>
          <w:tcPr>
            <w:tcW w:w="1962" w:type="dxa"/>
          </w:tcPr>
          <w:p w:rsidR="00EC53CE" w:rsidRPr="00A13740" w:rsidRDefault="00EC53CE" w:rsidP="00BB7784">
            <w:pPr>
              <w:jc w:val="right"/>
              <w:rPr>
                <w:sz w:val="21"/>
                <w:szCs w:val="21"/>
                <w:lang w:val="fr-FR"/>
              </w:rPr>
            </w:pPr>
            <w:r w:rsidRPr="00A13740">
              <w:rPr>
                <w:sz w:val="21"/>
                <w:szCs w:val="21"/>
                <w:lang w:val="fr-FR"/>
              </w:rPr>
              <w:t>160 000</w:t>
            </w:r>
          </w:p>
        </w:tc>
      </w:tr>
      <w:tr w:rsidR="00EC53CE" w:rsidRPr="00A13740" w:rsidTr="00D6530D">
        <w:tc>
          <w:tcPr>
            <w:tcW w:w="1350" w:type="dxa"/>
            <w:vMerge/>
          </w:tcPr>
          <w:p w:rsidR="00EC53CE" w:rsidRPr="00A13740" w:rsidRDefault="00EC53CE" w:rsidP="00BB7784">
            <w:pPr>
              <w:rPr>
                <w:sz w:val="21"/>
                <w:szCs w:val="21"/>
                <w:lang w:val="fr-FR"/>
              </w:rPr>
            </w:pPr>
          </w:p>
        </w:tc>
        <w:tc>
          <w:tcPr>
            <w:tcW w:w="6120" w:type="dxa"/>
          </w:tcPr>
          <w:p w:rsidR="00EC53CE" w:rsidRPr="00A13740" w:rsidRDefault="00EC53CE" w:rsidP="00BB7784">
            <w:pPr>
              <w:jc w:val="left"/>
              <w:rPr>
                <w:sz w:val="21"/>
                <w:szCs w:val="21"/>
                <w:lang w:val="fr-FR"/>
              </w:rPr>
            </w:pPr>
            <w:r w:rsidRPr="00A13740">
              <w:rPr>
                <w:sz w:val="21"/>
                <w:szCs w:val="21"/>
                <w:lang w:val="fr-FR"/>
              </w:rPr>
              <w:t>Généralités (c.-à-d. travaux de génie civil ou modifications des usines, formation et soutien technique sur le plan international, prototypes et essais)</w:t>
            </w:r>
          </w:p>
        </w:tc>
        <w:tc>
          <w:tcPr>
            <w:tcW w:w="1962" w:type="dxa"/>
          </w:tcPr>
          <w:p w:rsidR="00EC53CE" w:rsidRPr="00A13740" w:rsidRDefault="00EC53CE" w:rsidP="00BB7784">
            <w:pPr>
              <w:jc w:val="right"/>
              <w:rPr>
                <w:sz w:val="21"/>
                <w:szCs w:val="21"/>
                <w:lang w:val="fr-FR"/>
              </w:rPr>
            </w:pPr>
            <w:r w:rsidRPr="00A13740">
              <w:rPr>
                <w:sz w:val="21"/>
                <w:szCs w:val="21"/>
                <w:lang w:val="fr-FR"/>
              </w:rPr>
              <w:t>30 000</w:t>
            </w:r>
          </w:p>
        </w:tc>
      </w:tr>
      <w:tr w:rsidR="00EC53CE" w:rsidRPr="00A13740" w:rsidTr="00D6530D">
        <w:tc>
          <w:tcPr>
            <w:tcW w:w="1350" w:type="dxa"/>
            <w:vMerge/>
          </w:tcPr>
          <w:p w:rsidR="00EC53CE" w:rsidRPr="00A13740" w:rsidRDefault="00EC53CE" w:rsidP="00BB7784">
            <w:pPr>
              <w:rPr>
                <w:sz w:val="21"/>
                <w:szCs w:val="21"/>
                <w:lang w:val="fr-FR"/>
              </w:rPr>
            </w:pPr>
          </w:p>
        </w:tc>
        <w:tc>
          <w:tcPr>
            <w:tcW w:w="6120" w:type="dxa"/>
          </w:tcPr>
          <w:p w:rsidR="00EC53CE" w:rsidRPr="00A13740" w:rsidRDefault="00EC53CE" w:rsidP="00BB7784">
            <w:pPr>
              <w:jc w:val="left"/>
              <w:rPr>
                <w:sz w:val="21"/>
                <w:szCs w:val="21"/>
                <w:lang w:val="fr-FR"/>
              </w:rPr>
            </w:pPr>
            <w:r w:rsidRPr="00A13740">
              <w:rPr>
                <w:sz w:val="21"/>
                <w:szCs w:val="21"/>
                <w:lang w:val="fr-FR"/>
              </w:rPr>
              <w:t>Sous-total</w:t>
            </w:r>
          </w:p>
        </w:tc>
        <w:tc>
          <w:tcPr>
            <w:tcW w:w="1962" w:type="dxa"/>
          </w:tcPr>
          <w:p w:rsidR="00EC53CE" w:rsidRPr="00A13740" w:rsidRDefault="00EC53CE" w:rsidP="00BB7784">
            <w:pPr>
              <w:jc w:val="right"/>
              <w:rPr>
                <w:sz w:val="21"/>
                <w:szCs w:val="21"/>
                <w:lang w:val="fr-FR"/>
              </w:rPr>
            </w:pPr>
            <w:r w:rsidRPr="00A13740">
              <w:rPr>
                <w:sz w:val="21"/>
                <w:szCs w:val="21"/>
                <w:lang w:val="fr-FR"/>
              </w:rPr>
              <w:t>643 000</w:t>
            </w:r>
          </w:p>
        </w:tc>
      </w:tr>
      <w:tr w:rsidR="00EC53CE" w:rsidRPr="00A13740" w:rsidTr="00D6530D">
        <w:tc>
          <w:tcPr>
            <w:tcW w:w="1350" w:type="dxa"/>
            <w:vMerge/>
          </w:tcPr>
          <w:p w:rsidR="00EC53CE" w:rsidRPr="00A13740" w:rsidRDefault="00EC53CE" w:rsidP="00BB7784">
            <w:pPr>
              <w:rPr>
                <w:sz w:val="21"/>
                <w:szCs w:val="21"/>
                <w:lang w:val="fr-FR"/>
              </w:rPr>
            </w:pPr>
          </w:p>
        </w:tc>
        <w:tc>
          <w:tcPr>
            <w:tcW w:w="6120" w:type="dxa"/>
          </w:tcPr>
          <w:p w:rsidR="00EC53CE" w:rsidRPr="00A13740" w:rsidRDefault="00EC53CE" w:rsidP="00BB7784">
            <w:pPr>
              <w:jc w:val="left"/>
              <w:rPr>
                <w:sz w:val="21"/>
                <w:szCs w:val="21"/>
                <w:lang w:val="fr-FR"/>
              </w:rPr>
            </w:pPr>
            <w:r w:rsidRPr="00A13740">
              <w:rPr>
                <w:sz w:val="21"/>
                <w:szCs w:val="21"/>
                <w:lang w:val="fr-FR"/>
              </w:rPr>
              <w:t>Imprévus (10 %) :</w:t>
            </w:r>
          </w:p>
        </w:tc>
        <w:tc>
          <w:tcPr>
            <w:tcW w:w="1962" w:type="dxa"/>
          </w:tcPr>
          <w:p w:rsidR="00EC53CE" w:rsidRPr="00A13740" w:rsidRDefault="00EC53CE" w:rsidP="00BB7784">
            <w:pPr>
              <w:jc w:val="right"/>
              <w:rPr>
                <w:sz w:val="21"/>
                <w:szCs w:val="21"/>
                <w:lang w:val="fr-FR"/>
              </w:rPr>
            </w:pPr>
            <w:r w:rsidRPr="00A13740">
              <w:rPr>
                <w:sz w:val="21"/>
                <w:szCs w:val="21"/>
                <w:lang w:val="fr-FR"/>
              </w:rPr>
              <w:t>64 300</w:t>
            </w:r>
          </w:p>
        </w:tc>
      </w:tr>
      <w:tr w:rsidR="00EC53CE" w:rsidRPr="00A13740" w:rsidTr="00D6530D">
        <w:tc>
          <w:tcPr>
            <w:tcW w:w="1350" w:type="dxa"/>
            <w:vMerge/>
          </w:tcPr>
          <w:p w:rsidR="00EC53CE" w:rsidRPr="00A13740" w:rsidRDefault="00EC53CE" w:rsidP="00BB7784">
            <w:pPr>
              <w:rPr>
                <w:sz w:val="21"/>
                <w:szCs w:val="21"/>
                <w:lang w:val="fr-FR"/>
              </w:rPr>
            </w:pPr>
          </w:p>
        </w:tc>
        <w:tc>
          <w:tcPr>
            <w:tcW w:w="6120" w:type="dxa"/>
          </w:tcPr>
          <w:p w:rsidR="00EC53CE" w:rsidRPr="00A13740" w:rsidRDefault="00EC53CE" w:rsidP="00BB7784">
            <w:pPr>
              <w:jc w:val="left"/>
              <w:rPr>
                <w:b/>
                <w:sz w:val="21"/>
                <w:szCs w:val="21"/>
                <w:lang w:val="fr-FR"/>
              </w:rPr>
            </w:pPr>
            <w:r w:rsidRPr="00A13740">
              <w:rPr>
                <w:b/>
                <w:sz w:val="21"/>
                <w:szCs w:val="21"/>
                <w:lang w:val="fr-FR"/>
              </w:rPr>
              <w:t>Coût total</w:t>
            </w:r>
          </w:p>
        </w:tc>
        <w:tc>
          <w:tcPr>
            <w:tcW w:w="1962" w:type="dxa"/>
          </w:tcPr>
          <w:p w:rsidR="00EC53CE" w:rsidRPr="00A13740" w:rsidRDefault="00EC53CE" w:rsidP="00BB7784">
            <w:pPr>
              <w:jc w:val="right"/>
              <w:rPr>
                <w:b/>
                <w:sz w:val="21"/>
                <w:szCs w:val="21"/>
                <w:lang w:val="fr-FR"/>
              </w:rPr>
            </w:pPr>
            <w:r w:rsidRPr="00A13740">
              <w:rPr>
                <w:b/>
                <w:sz w:val="21"/>
                <w:szCs w:val="21"/>
                <w:lang w:val="fr-FR"/>
              </w:rPr>
              <w:t>707 300</w:t>
            </w:r>
          </w:p>
        </w:tc>
      </w:tr>
      <w:tr w:rsidR="00EC53CE" w:rsidRPr="00A13740" w:rsidTr="00D6530D">
        <w:tc>
          <w:tcPr>
            <w:tcW w:w="1350" w:type="dxa"/>
            <w:vMerge w:val="restart"/>
          </w:tcPr>
          <w:p w:rsidR="00EC53CE" w:rsidRPr="00A13740" w:rsidRDefault="00EC53CE" w:rsidP="00BB7784">
            <w:pPr>
              <w:rPr>
                <w:sz w:val="21"/>
                <w:szCs w:val="21"/>
                <w:lang w:val="fr-FR"/>
              </w:rPr>
            </w:pPr>
            <w:r w:rsidRPr="00A13740">
              <w:rPr>
                <w:sz w:val="21"/>
                <w:szCs w:val="21"/>
                <w:lang w:val="fr-FR"/>
              </w:rPr>
              <w:t>Le Panneau</w:t>
            </w:r>
          </w:p>
        </w:tc>
        <w:tc>
          <w:tcPr>
            <w:tcW w:w="6120" w:type="dxa"/>
          </w:tcPr>
          <w:p w:rsidR="00EC53CE" w:rsidRPr="00A13740" w:rsidRDefault="00EC53CE" w:rsidP="00BB7784">
            <w:pPr>
              <w:jc w:val="left"/>
              <w:rPr>
                <w:sz w:val="21"/>
                <w:szCs w:val="21"/>
                <w:lang w:val="fr-FR"/>
              </w:rPr>
            </w:pPr>
            <w:r w:rsidRPr="00A13740">
              <w:rPr>
                <w:sz w:val="21"/>
                <w:szCs w:val="21"/>
                <w:lang w:val="fr-FR"/>
              </w:rPr>
              <w:t xml:space="preserve">Production (remplacement de l'unité de moussage (150 000 $ US), de l'unité de </w:t>
            </w:r>
            <w:proofErr w:type="spellStart"/>
            <w:r w:rsidRPr="00A13740">
              <w:rPr>
                <w:sz w:val="21"/>
                <w:szCs w:val="21"/>
                <w:lang w:val="fr-FR"/>
              </w:rPr>
              <w:t>prémélange</w:t>
            </w:r>
            <w:proofErr w:type="spellEnd"/>
            <w:r w:rsidRPr="00A13740">
              <w:rPr>
                <w:sz w:val="21"/>
                <w:szCs w:val="21"/>
                <w:lang w:val="fr-FR"/>
              </w:rPr>
              <w:t xml:space="preserve"> (80 000 $ US), des réservoirs de polyol et du refroidisseur d'eau (43 000 $ US)</w:t>
            </w:r>
          </w:p>
        </w:tc>
        <w:tc>
          <w:tcPr>
            <w:tcW w:w="1962" w:type="dxa"/>
          </w:tcPr>
          <w:p w:rsidR="00EC53CE" w:rsidRPr="00A13740" w:rsidRDefault="00EC53CE" w:rsidP="00BB7784">
            <w:pPr>
              <w:jc w:val="right"/>
              <w:rPr>
                <w:sz w:val="21"/>
                <w:szCs w:val="21"/>
                <w:lang w:val="fr-FR"/>
              </w:rPr>
            </w:pPr>
            <w:r w:rsidRPr="00A13740">
              <w:rPr>
                <w:sz w:val="21"/>
                <w:szCs w:val="21"/>
                <w:lang w:val="fr-FR"/>
              </w:rPr>
              <w:t>273 000</w:t>
            </w:r>
          </w:p>
        </w:tc>
      </w:tr>
      <w:tr w:rsidR="00EC53CE" w:rsidRPr="00A13740" w:rsidTr="00D6530D">
        <w:tc>
          <w:tcPr>
            <w:tcW w:w="1350" w:type="dxa"/>
            <w:vMerge/>
          </w:tcPr>
          <w:p w:rsidR="00EC53CE" w:rsidRPr="00A13740" w:rsidRDefault="00EC53CE" w:rsidP="00BB7784">
            <w:pPr>
              <w:rPr>
                <w:sz w:val="21"/>
                <w:szCs w:val="21"/>
                <w:lang w:val="fr-FR"/>
              </w:rPr>
            </w:pPr>
          </w:p>
        </w:tc>
        <w:tc>
          <w:tcPr>
            <w:tcW w:w="6120" w:type="dxa"/>
          </w:tcPr>
          <w:p w:rsidR="00EC53CE" w:rsidRPr="00A13740" w:rsidRDefault="00EC53CE" w:rsidP="00BB7784">
            <w:pPr>
              <w:jc w:val="left"/>
              <w:rPr>
                <w:sz w:val="21"/>
                <w:szCs w:val="21"/>
                <w:lang w:val="fr-FR"/>
              </w:rPr>
            </w:pPr>
            <w:r w:rsidRPr="00A13740">
              <w:rPr>
                <w:sz w:val="21"/>
                <w:szCs w:val="21"/>
                <w:lang w:val="fr-FR"/>
              </w:rPr>
              <w:t>Sûreté de l'installation (système de ventilation, commande et panneau d'alarme, capteurs d'hydrocarbures, extincteurs, mise à la terre, modifications électriques)</w:t>
            </w:r>
          </w:p>
        </w:tc>
        <w:tc>
          <w:tcPr>
            <w:tcW w:w="1962" w:type="dxa"/>
          </w:tcPr>
          <w:p w:rsidR="00EC53CE" w:rsidRPr="00A13740" w:rsidRDefault="00EC53CE" w:rsidP="00BB7784">
            <w:pPr>
              <w:jc w:val="right"/>
              <w:rPr>
                <w:sz w:val="21"/>
                <w:szCs w:val="21"/>
                <w:lang w:val="fr-FR"/>
              </w:rPr>
            </w:pPr>
            <w:r w:rsidRPr="00A13740">
              <w:rPr>
                <w:sz w:val="21"/>
                <w:szCs w:val="21"/>
                <w:lang w:val="fr-FR"/>
              </w:rPr>
              <w:t>145 000</w:t>
            </w:r>
          </w:p>
        </w:tc>
      </w:tr>
      <w:tr w:rsidR="00EC53CE" w:rsidRPr="00A13740" w:rsidTr="00D6530D">
        <w:tc>
          <w:tcPr>
            <w:tcW w:w="1350" w:type="dxa"/>
            <w:vMerge/>
          </w:tcPr>
          <w:p w:rsidR="00EC53CE" w:rsidRPr="00A13740" w:rsidRDefault="00EC53CE" w:rsidP="00BB7784">
            <w:pPr>
              <w:rPr>
                <w:sz w:val="21"/>
                <w:szCs w:val="21"/>
                <w:lang w:val="fr-FR"/>
              </w:rPr>
            </w:pPr>
          </w:p>
        </w:tc>
        <w:tc>
          <w:tcPr>
            <w:tcW w:w="6120" w:type="dxa"/>
          </w:tcPr>
          <w:p w:rsidR="00EC53CE" w:rsidRPr="00A13740" w:rsidRDefault="00EC53CE" w:rsidP="00BB7784">
            <w:pPr>
              <w:jc w:val="left"/>
              <w:rPr>
                <w:sz w:val="21"/>
                <w:szCs w:val="21"/>
                <w:lang w:val="fr-FR"/>
              </w:rPr>
            </w:pPr>
            <w:r w:rsidRPr="00A13740">
              <w:rPr>
                <w:sz w:val="21"/>
                <w:szCs w:val="21"/>
                <w:lang w:val="fr-FR"/>
              </w:rPr>
              <w:t>Appui technique (transfert de technologie, essais et tests, inspection et audits de sécurité)</w:t>
            </w:r>
          </w:p>
        </w:tc>
        <w:tc>
          <w:tcPr>
            <w:tcW w:w="1962" w:type="dxa"/>
          </w:tcPr>
          <w:p w:rsidR="00EC53CE" w:rsidRPr="00A13740" w:rsidRDefault="00EC53CE" w:rsidP="00BB7784">
            <w:pPr>
              <w:jc w:val="right"/>
              <w:rPr>
                <w:sz w:val="21"/>
                <w:szCs w:val="21"/>
                <w:lang w:val="fr-FR"/>
              </w:rPr>
            </w:pPr>
            <w:r w:rsidRPr="00A13740">
              <w:rPr>
                <w:sz w:val="21"/>
                <w:szCs w:val="21"/>
                <w:lang w:val="fr-FR"/>
              </w:rPr>
              <w:t>35 000</w:t>
            </w:r>
          </w:p>
        </w:tc>
      </w:tr>
      <w:tr w:rsidR="00EC53CE" w:rsidRPr="00A13740" w:rsidTr="00D6530D">
        <w:tc>
          <w:tcPr>
            <w:tcW w:w="1350" w:type="dxa"/>
            <w:vMerge/>
          </w:tcPr>
          <w:p w:rsidR="00EC53CE" w:rsidRPr="00A13740" w:rsidRDefault="00EC53CE" w:rsidP="00BB7784">
            <w:pPr>
              <w:rPr>
                <w:sz w:val="21"/>
                <w:szCs w:val="21"/>
                <w:lang w:val="fr-FR"/>
              </w:rPr>
            </w:pPr>
          </w:p>
        </w:tc>
        <w:tc>
          <w:tcPr>
            <w:tcW w:w="6120" w:type="dxa"/>
          </w:tcPr>
          <w:p w:rsidR="00EC53CE" w:rsidRPr="00A13740" w:rsidRDefault="00EC53CE" w:rsidP="00BB7784">
            <w:pPr>
              <w:jc w:val="left"/>
              <w:rPr>
                <w:sz w:val="21"/>
                <w:szCs w:val="21"/>
                <w:lang w:val="fr-FR"/>
              </w:rPr>
            </w:pPr>
            <w:r w:rsidRPr="00A13740">
              <w:rPr>
                <w:sz w:val="21"/>
                <w:szCs w:val="21"/>
                <w:lang w:val="fr-FR"/>
              </w:rPr>
              <w:t>Sous-total</w:t>
            </w:r>
          </w:p>
        </w:tc>
        <w:tc>
          <w:tcPr>
            <w:tcW w:w="1962" w:type="dxa"/>
          </w:tcPr>
          <w:p w:rsidR="00EC53CE" w:rsidRPr="00A13740" w:rsidRDefault="00EC53CE" w:rsidP="00BB7784">
            <w:pPr>
              <w:jc w:val="right"/>
              <w:rPr>
                <w:sz w:val="21"/>
                <w:szCs w:val="21"/>
                <w:lang w:val="fr-FR"/>
              </w:rPr>
            </w:pPr>
            <w:r w:rsidRPr="00A13740">
              <w:rPr>
                <w:sz w:val="21"/>
                <w:szCs w:val="21"/>
                <w:lang w:val="fr-FR"/>
              </w:rPr>
              <w:t>453 000</w:t>
            </w:r>
          </w:p>
        </w:tc>
      </w:tr>
      <w:tr w:rsidR="00EC53CE" w:rsidRPr="00A13740" w:rsidTr="00D6530D">
        <w:tc>
          <w:tcPr>
            <w:tcW w:w="1350" w:type="dxa"/>
            <w:vMerge/>
          </w:tcPr>
          <w:p w:rsidR="00EC53CE" w:rsidRPr="00A13740" w:rsidRDefault="00EC53CE" w:rsidP="00BB7784">
            <w:pPr>
              <w:rPr>
                <w:sz w:val="21"/>
                <w:szCs w:val="21"/>
                <w:lang w:val="fr-FR"/>
              </w:rPr>
            </w:pPr>
          </w:p>
        </w:tc>
        <w:tc>
          <w:tcPr>
            <w:tcW w:w="6120" w:type="dxa"/>
          </w:tcPr>
          <w:p w:rsidR="00EC53CE" w:rsidRPr="00A13740" w:rsidRDefault="00EC53CE" w:rsidP="00BB7784">
            <w:pPr>
              <w:jc w:val="left"/>
              <w:rPr>
                <w:sz w:val="21"/>
                <w:szCs w:val="21"/>
                <w:lang w:val="fr-FR"/>
              </w:rPr>
            </w:pPr>
            <w:r w:rsidRPr="00A13740">
              <w:rPr>
                <w:sz w:val="21"/>
                <w:szCs w:val="21"/>
                <w:lang w:val="fr-FR"/>
              </w:rPr>
              <w:t>Imprévus (10 %) :</w:t>
            </w:r>
          </w:p>
        </w:tc>
        <w:tc>
          <w:tcPr>
            <w:tcW w:w="1962" w:type="dxa"/>
          </w:tcPr>
          <w:p w:rsidR="00EC53CE" w:rsidRPr="00A13740" w:rsidRDefault="00EC53CE" w:rsidP="00BB7784">
            <w:pPr>
              <w:jc w:val="right"/>
              <w:rPr>
                <w:sz w:val="21"/>
                <w:szCs w:val="21"/>
                <w:lang w:val="fr-FR"/>
              </w:rPr>
            </w:pPr>
            <w:r w:rsidRPr="00A13740">
              <w:rPr>
                <w:sz w:val="21"/>
                <w:szCs w:val="21"/>
                <w:lang w:val="fr-FR"/>
              </w:rPr>
              <w:t>45 300</w:t>
            </w:r>
          </w:p>
        </w:tc>
      </w:tr>
      <w:tr w:rsidR="00EC53CE" w:rsidRPr="00A13740" w:rsidTr="00D6530D">
        <w:tc>
          <w:tcPr>
            <w:tcW w:w="1350" w:type="dxa"/>
            <w:vMerge/>
          </w:tcPr>
          <w:p w:rsidR="00EC53CE" w:rsidRPr="00A13740" w:rsidRDefault="00EC53CE" w:rsidP="00BB7784">
            <w:pPr>
              <w:rPr>
                <w:sz w:val="21"/>
                <w:szCs w:val="21"/>
                <w:lang w:val="fr-FR"/>
              </w:rPr>
            </w:pPr>
          </w:p>
        </w:tc>
        <w:tc>
          <w:tcPr>
            <w:tcW w:w="6120" w:type="dxa"/>
          </w:tcPr>
          <w:p w:rsidR="00EC53CE" w:rsidRPr="00A13740" w:rsidRDefault="00EC53CE" w:rsidP="00BB7784">
            <w:pPr>
              <w:rPr>
                <w:b/>
                <w:sz w:val="21"/>
                <w:szCs w:val="21"/>
                <w:lang w:val="fr-FR"/>
              </w:rPr>
            </w:pPr>
            <w:r w:rsidRPr="00A13740">
              <w:rPr>
                <w:b/>
                <w:sz w:val="21"/>
                <w:szCs w:val="21"/>
                <w:lang w:val="fr-FR"/>
              </w:rPr>
              <w:t xml:space="preserve">Coût total </w:t>
            </w:r>
          </w:p>
        </w:tc>
        <w:tc>
          <w:tcPr>
            <w:tcW w:w="1962" w:type="dxa"/>
          </w:tcPr>
          <w:p w:rsidR="00EC53CE" w:rsidRPr="00A13740" w:rsidRDefault="00EC53CE" w:rsidP="00BB7784">
            <w:pPr>
              <w:jc w:val="right"/>
              <w:rPr>
                <w:b/>
                <w:sz w:val="21"/>
                <w:szCs w:val="21"/>
                <w:lang w:val="fr-FR"/>
              </w:rPr>
            </w:pPr>
            <w:r w:rsidRPr="00A13740">
              <w:rPr>
                <w:b/>
                <w:sz w:val="21"/>
                <w:szCs w:val="21"/>
                <w:lang w:val="fr-FR"/>
              </w:rPr>
              <w:t>498 300</w:t>
            </w:r>
          </w:p>
        </w:tc>
      </w:tr>
      <w:tr w:rsidR="00EC53CE" w:rsidRPr="00A13740" w:rsidTr="00D6530D">
        <w:tc>
          <w:tcPr>
            <w:tcW w:w="7470" w:type="dxa"/>
            <w:gridSpan w:val="2"/>
          </w:tcPr>
          <w:p w:rsidR="00EC53CE" w:rsidRPr="00A13740" w:rsidRDefault="00EC53CE" w:rsidP="00BB7784">
            <w:pPr>
              <w:rPr>
                <w:b/>
                <w:sz w:val="21"/>
                <w:szCs w:val="21"/>
                <w:lang w:val="fr-FR"/>
              </w:rPr>
            </w:pPr>
            <w:r w:rsidRPr="00A13740">
              <w:rPr>
                <w:b/>
                <w:sz w:val="21"/>
                <w:szCs w:val="21"/>
                <w:lang w:val="fr-FR"/>
              </w:rPr>
              <w:t>Coût total</w:t>
            </w:r>
          </w:p>
        </w:tc>
        <w:tc>
          <w:tcPr>
            <w:tcW w:w="1962" w:type="dxa"/>
          </w:tcPr>
          <w:p w:rsidR="00EC53CE" w:rsidRPr="00A13740" w:rsidRDefault="00EC53CE" w:rsidP="00BB7784">
            <w:pPr>
              <w:jc w:val="right"/>
              <w:rPr>
                <w:b/>
                <w:sz w:val="21"/>
                <w:szCs w:val="21"/>
                <w:lang w:val="fr-FR"/>
              </w:rPr>
            </w:pPr>
            <w:r w:rsidRPr="00A13740">
              <w:rPr>
                <w:b/>
                <w:sz w:val="21"/>
                <w:szCs w:val="21"/>
                <w:lang w:val="fr-FR"/>
              </w:rPr>
              <w:t>1 205 600</w:t>
            </w:r>
          </w:p>
        </w:tc>
      </w:tr>
    </w:tbl>
    <w:p w:rsidR="00EC53CE" w:rsidRPr="00A13740" w:rsidRDefault="00EC53CE" w:rsidP="00EC53CE">
      <w:pPr>
        <w:rPr>
          <w:lang w:val="fr-FR"/>
        </w:rPr>
      </w:pPr>
    </w:p>
    <w:p w:rsidR="00EC53CE" w:rsidRPr="00A13740" w:rsidRDefault="00EC53CE" w:rsidP="00EC53CE">
      <w:pPr>
        <w:pStyle w:val="Heading1"/>
        <w:rPr>
          <w:lang w:val="fr-FR"/>
        </w:rPr>
      </w:pPr>
      <w:r w:rsidRPr="00A13740">
        <w:rPr>
          <w:lang w:val="fr-FR"/>
        </w:rPr>
        <w:t xml:space="preserve">Afin de poursuivre l'élimination du HCFC-141b contenu dans les polyols </w:t>
      </w:r>
      <w:proofErr w:type="spellStart"/>
      <w:r w:rsidRPr="00A13740">
        <w:rPr>
          <w:lang w:val="fr-FR"/>
        </w:rPr>
        <w:t>prémélangés</w:t>
      </w:r>
      <w:proofErr w:type="spellEnd"/>
      <w:r w:rsidRPr="00A13740">
        <w:rPr>
          <w:lang w:val="fr-FR"/>
        </w:rPr>
        <w:t xml:space="preserve"> importés après la conversion des entreprises, le Gouvernement tunisien s'engage à mettre en place un règlement interdisant l'importation et l'utilisation de cette substance à compter du 1er janvier 2023, conformément à la décision 63/15(d).</w:t>
      </w:r>
      <w:r w:rsidR="00D6530D">
        <w:rPr>
          <w:rStyle w:val="FootnoteReference"/>
          <w:lang w:val="fr-FR"/>
        </w:rPr>
        <w:footnoteReference w:id="5"/>
      </w:r>
    </w:p>
    <w:p w:rsidR="00EC53CE" w:rsidRPr="00A13740" w:rsidRDefault="00EC53CE" w:rsidP="00EC53CE">
      <w:pPr>
        <w:tabs>
          <w:tab w:val="left" w:pos="8280"/>
        </w:tabs>
        <w:spacing w:after="240"/>
        <w:rPr>
          <w:u w:val="single"/>
          <w:lang w:val="fr-FR"/>
        </w:rPr>
      </w:pPr>
      <w:r w:rsidRPr="00A13740">
        <w:rPr>
          <w:u w:val="single"/>
          <w:lang w:val="fr-FR"/>
        </w:rPr>
        <w:t>Activités dans le secteur de l’entretien en réfrigération</w:t>
      </w:r>
    </w:p>
    <w:p w:rsidR="00EC53CE" w:rsidRPr="00A13740" w:rsidRDefault="00EC53CE" w:rsidP="00EC53CE">
      <w:pPr>
        <w:pStyle w:val="Heading1"/>
        <w:rPr>
          <w:lang w:val="fr-FR"/>
        </w:rPr>
      </w:pPr>
      <w:r w:rsidRPr="00A13740">
        <w:rPr>
          <w:lang w:val="fr-FR"/>
        </w:rPr>
        <w:t>Les activités dans le secteur de l’entretien de la réfrigération comprennent les activités suivantes :</w:t>
      </w:r>
    </w:p>
    <w:p w:rsidR="00EC53CE" w:rsidRPr="00A13740" w:rsidRDefault="00EC53CE" w:rsidP="00EC53CE">
      <w:pPr>
        <w:pStyle w:val="Heading2"/>
        <w:numPr>
          <w:ilvl w:val="1"/>
          <w:numId w:val="1"/>
        </w:numPr>
        <w:rPr>
          <w:lang w:val="fr-FR"/>
        </w:rPr>
      </w:pPr>
      <w:r w:rsidRPr="00A13740">
        <w:rPr>
          <w:lang w:val="fr-FR"/>
        </w:rPr>
        <w:t xml:space="preserve">Politiques publiques et réglementation, notamment la création et la mise en pratique d'un système de certification des techniciens, l'élaboration de supports de formation et </w:t>
      </w:r>
      <w:r w:rsidRPr="00A13740">
        <w:rPr>
          <w:lang w:val="fr-FR"/>
        </w:rPr>
        <w:lastRenderedPageBreak/>
        <w:t xml:space="preserve">d'examens permettant la certification et l'assistance aux centres de </w:t>
      </w:r>
      <w:proofErr w:type="gramStart"/>
      <w:r w:rsidRPr="00A13740">
        <w:rPr>
          <w:lang w:val="fr-FR"/>
        </w:rPr>
        <w:t>formation;</w:t>
      </w:r>
      <w:proofErr w:type="gramEnd"/>
      <w:r w:rsidRPr="00A13740">
        <w:rPr>
          <w:lang w:val="fr-FR"/>
        </w:rPr>
        <w:t xml:space="preserve"> trois ateliers de consultation pour l’élaboration de nouveaux règlements visant à appuyer le système de certification ; l'élaboration d'un nouveau règlement sur les HFC (ONUDI) (230 000 $ US); </w:t>
      </w:r>
    </w:p>
    <w:p w:rsidR="00EC53CE" w:rsidRPr="00A13740" w:rsidRDefault="00EC53CE" w:rsidP="00EC53CE">
      <w:pPr>
        <w:pStyle w:val="Heading2"/>
        <w:numPr>
          <w:ilvl w:val="1"/>
          <w:numId w:val="1"/>
        </w:numPr>
        <w:rPr>
          <w:lang w:val="fr-FR"/>
        </w:rPr>
      </w:pPr>
      <w:r w:rsidRPr="00A13740">
        <w:rPr>
          <w:lang w:val="fr-FR"/>
        </w:rPr>
        <w:t>Formation de 60 formateurs et de 125 agents des douanes et membres des forces de l'ordre sur la réglementation des SAO et achat de 20 unités d'identifiants de réfrigérants (PNUE) (200 000 $ US</w:t>
      </w:r>
      <w:proofErr w:type="gramStart"/>
      <w:r w:rsidRPr="00A13740">
        <w:rPr>
          <w:lang w:val="fr-FR"/>
        </w:rPr>
        <w:t>);</w:t>
      </w:r>
      <w:proofErr w:type="gramEnd"/>
    </w:p>
    <w:p w:rsidR="00EC53CE" w:rsidRPr="00A13740" w:rsidRDefault="00EC53CE" w:rsidP="00EC53CE">
      <w:pPr>
        <w:pStyle w:val="Heading2"/>
        <w:numPr>
          <w:ilvl w:val="1"/>
          <w:numId w:val="1"/>
        </w:numPr>
        <w:rPr>
          <w:lang w:val="fr-FR"/>
        </w:rPr>
      </w:pPr>
      <w:r w:rsidRPr="00A13740">
        <w:rPr>
          <w:lang w:val="fr-FR"/>
        </w:rPr>
        <w:t xml:space="preserve">Cours de formation de formateurs à l'intention de 125 techniciens et portant sur les bonnes pratiques en réfrigération, l'utilisation de réfrigérants de remplacement à faible PRG, la récupération et le recyclage des réfrigérants, l'appui au programme de certification ; mise à jour des supports de formation; fourniture de trousses à outils et de matériel de maintenance de base (coupe-tubes, jeux de clés, outils de </w:t>
      </w:r>
      <w:proofErr w:type="spellStart"/>
      <w:r w:rsidRPr="00A13740">
        <w:rPr>
          <w:lang w:val="fr-FR"/>
        </w:rPr>
        <w:t>torchage</w:t>
      </w:r>
      <w:proofErr w:type="spellEnd"/>
      <w:r w:rsidRPr="00A13740">
        <w:rPr>
          <w:lang w:val="fr-FR"/>
        </w:rPr>
        <w:t>, gants et lunettes de protection, détecteur de fuite simple) à 125 techniciens (ONUDI) (322 651 $ US) ;</w:t>
      </w:r>
    </w:p>
    <w:p w:rsidR="00EC53CE" w:rsidRPr="00A13740" w:rsidRDefault="00EC53CE" w:rsidP="00EC53CE">
      <w:pPr>
        <w:pStyle w:val="Heading2"/>
        <w:numPr>
          <w:ilvl w:val="1"/>
          <w:numId w:val="1"/>
        </w:numPr>
        <w:rPr>
          <w:lang w:val="fr-FR"/>
        </w:rPr>
      </w:pPr>
      <w:r w:rsidRPr="00A13740">
        <w:rPr>
          <w:lang w:val="fr-FR"/>
        </w:rPr>
        <w:t>Modernisation de deux centres de récupération et de recyclage en réfrigération par la fourniture de matériel (par exemple des unités de récupération et de recyclage et des cylindres de différentes tailles, des pompes à vide, des balances, des multimètres, des outils de base) ; et création d'un centre de formation au sein d’un collège technique pour l'équiper d'outils de formation et de démonstration (ONUDI) (268 989 $ US).</w:t>
      </w:r>
    </w:p>
    <w:p w:rsidR="00EC53CE" w:rsidRPr="00A13740" w:rsidRDefault="00EC53CE" w:rsidP="00EC53CE">
      <w:pPr>
        <w:keepNext/>
        <w:tabs>
          <w:tab w:val="left" w:pos="8280"/>
        </w:tabs>
        <w:spacing w:after="240"/>
        <w:rPr>
          <w:u w:val="single"/>
          <w:lang w:val="fr-FR"/>
        </w:rPr>
      </w:pPr>
      <w:r w:rsidRPr="00A13740">
        <w:rPr>
          <w:u w:val="single"/>
          <w:lang w:val="fr-FR"/>
        </w:rPr>
        <w:t>Unité de mise en œuvre et de suivi de projet (PMU)</w:t>
      </w:r>
    </w:p>
    <w:p w:rsidR="00EC53CE" w:rsidRPr="00A13740" w:rsidRDefault="00EC53CE" w:rsidP="00EC53CE">
      <w:pPr>
        <w:pStyle w:val="Heading1"/>
        <w:keepNext/>
        <w:rPr>
          <w:lang w:val="fr-FR"/>
        </w:rPr>
      </w:pPr>
      <w:r w:rsidRPr="00A13740">
        <w:rPr>
          <w:lang w:val="fr-FR"/>
        </w:rPr>
        <w:t>Pour la phase II, où la majorité des activités seront liées au secteur de l'entretien des installations frigorifiques et nécessiteront une coordination étroite, une petite UGP, composée d'un coordinateur et d'experts techniques à recruter en fonction des besoins, sera mise en place sous la supervision de l'UNO, pour suivre en permanence les progrès effectués dans de la mise en œuvre du PGEH. Le coût de l’UGP se monte à 85 000 $ US.</w:t>
      </w:r>
    </w:p>
    <w:p w:rsidR="00EC53CE" w:rsidRPr="00A13740" w:rsidRDefault="00EC53CE" w:rsidP="00EC53CE">
      <w:pPr>
        <w:pStyle w:val="Heading1"/>
        <w:numPr>
          <w:ilvl w:val="0"/>
          <w:numId w:val="0"/>
        </w:numPr>
        <w:rPr>
          <w:lang w:val="fr-FR"/>
        </w:rPr>
      </w:pPr>
      <w:r w:rsidRPr="00A13740">
        <w:rPr>
          <w:b/>
          <w:lang w:val="fr-FR"/>
        </w:rPr>
        <w:t>Coût total de la phase II du PGEH</w:t>
      </w:r>
    </w:p>
    <w:p w:rsidR="00EC53CE" w:rsidRPr="00A13740" w:rsidRDefault="00EC53CE" w:rsidP="00EC53CE">
      <w:pPr>
        <w:pStyle w:val="Heading1"/>
        <w:rPr>
          <w:lang w:val="fr-FR"/>
        </w:rPr>
      </w:pPr>
      <w:r w:rsidRPr="00A13740">
        <w:rPr>
          <w:lang w:val="fr-FR"/>
        </w:rPr>
        <w:t xml:space="preserve">Le coût total de la phase II du PGEH pour la Tunisie a été estimé à 2 312 240 $ US, ainsi qu’il avait été présenté au départ (hors coûts d’appui d’agence). Les activités proposées entraîneront l'élimination de 16,87 tonnes PAO de HCFC-22, plus 7,38 tonnes PAO de HCFC-141b contenues dans les polyols </w:t>
      </w:r>
      <w:proofErr w:type="spellStart"/>
      <w:r w:rsidRPr="00A13740">
        <w:rPr>
          <w:lang w:val="fr-FR"/>
        </w:rPr>
        <w:t>prémélangés</w:t>
      </w:r>
      <w:proofErr w:type="spellEnd"/>
      <w:r w:rsidRPr="00A13740">
        <w:rPr>
          <w:lang w:val="fr-FR"/>
        </w:rPr>
        <w:t xml:space="preserve"> importés. Le rapport coût-efficacité global s'établit à 6,19 $ US/kg, comme le montre le Tableau 4.</w:t>
      </w:r>
    </w:p>
    <w:p w:rsidR="00E17F71" w:rsidRDefault="00E17F71" w:rsidP="00EC53CE">
      <w:pPr>
        <w:rPr>
          <w:b/>
          <w:sz w:val="21"/>
          <w:szCs w:val="21"/>
          <w:lang w:val="fr-FR"/>
        </w:rPr>
      </w:pPr>
    </w:p>
    <w:p w:rsidR="00E17F71" w:rsidRDefault="00E17F71" w:rsidP="00EC53CE">
      <w:pPr>
        <w:rPr>
          <w:b/>
          <w:sz w:val="21"/>
          <w:szCs w:val="21"/>
          <w:lang w:val="fr-FR"/>
        </w:rPr>
      </w:pPr>
    </w:p>
    <w:p w:rsidR="00E17F71" w:rsidRDefault="00E17F71" w:rsidP="00EC53CE">
      <w:pPr>
        <w:rPr>
          <w:b/>
          <w:sz w:val="21"/>
          <w:szCs w:val="21"/>
          <w:lang w:val="fr-FR"/>
        </w:rPr>
      </w:pPr>
    </w:p>
    <w:p w:rsidR="00E17F71" w:rsidRDefault="00E17F71" w:rsidP="00EC53CE">
      <w:pPr>
        <w:rPr>
          <w:b/>
          <w:sz w:val="21"/>
          <w:szCs w:val="21"/>
          <w:lang w:val="fr-FR"/>
        </w:rPr>
      </w:pPr>
    </w:p>
    <w:p w:rsidR="00E17F71" w:rsidRDefault="00E17F71" w:rsidP="00EC53CE">
      <w:pPr>
        <w:rPr>
          <w:b/>
          <w:sz w:val="21"/>
          <w:szCs w:val="21"/>
          <w:lang w:val="fr-FR"/>
        </w:rPr>
      </w:pPr>
    </w:p>
    <w:p w:rsidR="00E17F71" w:rsidRDefault="00E17F71" w:rsidP="00EC53CE">
      <w:pPr>
        <w:rPr>
          <w:b/>
          <w:sz w:val="21"/>
          <w:szCs w:val="21"/>
          <w:lang w:val="fr-FR"/>
        </w:rPr>
      </w:pPr>
    </w:p>
    <w:p w:rsidR="00E17F71" w:rsidRDefault="00E17F71" w:rsidP="00EC53CE">
      <w:pPr>
        <w:rPr>
          <w:b/>
          <w:sz w:val="21"/>
          <w:szCs w:val="21"/>
          <w:lang w:val="fr-FR"/>
        </w:rPr>
      </w:pPr>
    </w:p>
    <w:p w:rsidR="00E17F71" w:rsidRDefault="00E17F71" w:rsidP="00EC53CE">
      <w:pPr>
        <w:rPr>
          <w:b/>
          <w:sz w:val="21"/>
          <w:szCs w:val="21"/>
          <w:lang w:val="fr-FR"/>
        </w:rPr>
      </w:pPr>
    </w:p>
    <w:p w:rsidR="00E17F71" w:rsidRDefault="00E17F71" w:rsidP="00EC53CE">
      <w:pPr>
        <w:rPr>
          <w:b/>
          <w:sz w:val="21"/>
          <w:szCs w:val="21"/>
          <w:lang w:val="fr-FR"/>
        </w:rPr>
      </w:pPr>
    </w:p>
    <w:p w:rsidR="00E17F71" w:rsidRDefault="00E17F71" w:rsidP="00EC53CE">
      <w:pPr>
        <w:rPr>
          <w:b/>
          <w:sz w:val="21"/>
          <w:szCs w:val="21"/>
          <w:lang w:val="fr-FR"/>
        </w:rPr>
      </w:pPr>
    </w:p>
    <w:p w:rsidR="00E17F71" w:rsidRDefault="00E17F71" w:rsidP="00EC53CE">
      <w:pPr>
        <w:rPr>
          <w:b/>
          <w:sz w:val="21"/>
          <w:szCs w:val="21"/>
          <w:lang w:val="fr-FR"/>
        </w:rPr>
      </w:pPr>
    </w:p>
    <w:p w:rsidR="00E17F71" w:rsidRDefault="00E17F71" w:rsidP="00EC53CE">
      <w:pPr>
        <w:rPr>
          <w:b/>
          <w:sz w:val="21"/>
          <w:szCs w:val="21"/>
          <w:lang w:val="fr-FR"/>
        </w:rPr>
      </w:pPr>
    </w:p>
    <w:p w:rsidR="00E17F71" w:rsidRDefault="00E17F71" w:rsidP="00EC53CE">
      <w:pPr>
        <w:rPr>
          <w:b/>
          <w:sz w:val="21"/>
          <w:szCs w:val="21"/>
          <w:lang w:val="fr-FR"/>
        </w:rPr>
      </w:pPr>
    </w:p>
    <w:p w:rsidR="00E17F71" w:rsidRDefault="00E17F71" w:rsidP="00EC53CE">
      <w:pPr>
        <w:rPr>
          <w:b/>
          <w:sz w:val="21"/>
          <w:szCs w:val="21"/>
          <w:lang w:val="fr-FR"/>
        </w:rPr>
      </w:pPr>
    </w:p>
    <w:p w:rsidR="00E17F71" w:rsidRDefault="00E17F71" w:rsidP="00EC53CE">
      <w:pPr>
        <w:rPr>
          <w:b/>
          <w:sz w:val="21"/>
          <w:szCs w:val="21"/>
          <w:lang w:val="fr-FR"/>
        </w:rPr>
      </w:pPr>
    </w:p>
    <w:p w:rsidR="00E17F71" w:rsidRDefault="00E17F71" w:rsidP="00EC53CE">
      <w:pPr>
        <w:rPr>
          <w:b/>
          <w:sz w:val="21"/>
          <w:szCs w:val="21"/>
          <w:lang w:val="fr-FR"/>
        </w:rPr>
      </w:pPr>
    </w:p>
    <w:p w:rsidR="00E17F71" w:rsidRDefault="00E17F71" w:rsidP="00EC53CE">
      <w:pPr>
        <w:rPr>
          <w:b/>
          <w:sz w:val="21"/>
          <w:szCs w:val="21"/>
          <w:lang w:val="fr-FR"/>
        </w:rPr>
      </w:pPr>
    </w:p>
    <w:p w:rsidR="009778FB" w:rsidRDefault="00EC53CE" w:rsidP="00EC53CE">
      <w:pPr>
        <w:rPr>
          <w:b/>
          <w:sz w:val="21"/>
          <w:szCs w:val="21"/>
          <w:lang w:val="fr-FR"/>
        </w:rPr>
      </w:pPr>
      <w:r w:rsidRPr="00A13740">
        <w:rPr>
          <w:b/>
          <w:sz w:val="21"/>
          <w:szCs w:val="21"/>
          <w:lang w:val="fr-FR"/>
        </w:rPr>
        <w:lastRenderedPageBreak/>
        <w:t xml:space="preserve">Tableau 4. Demande de financement pour la phase II du PGEH de la Tunisie </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1"/>
        <w:gridCol w:w="1079"/>
        <w:gridCol w:w="1326"/>
        <w:gridCol w:w="1171"/>
        <w:gridCol w:w="9"/>
        <w:gridCol w:w="1178"/>
        <w:gridCol w:w="1165"/>
        <w:gridCol w:w="6"/>
        <w:gridCol w:w="1159"/>
        <w:gridCol w:w="6"/>
      </w:tblGrid>
      <w:tr w:rsidR="009778FB" w:rsidRPr="00F36C81" w:rsidTr="00F87D7C">
        <w:trPr>
          <w:gridAfter w:val="1"/>
          <w:wAfter w:w="3" w:type="pct"/>
          <w:tblHeader/>
        </w:trPr>
        <w:tc>
          <w:tcPr>
            <w:tcW w:w="1204" w:type="pct"/>
            <w:vMerge w:val="restart"/>
            <w:shd w:val="clear" w:color="auto" w:fill="auto"/>
            <w:vAlign w:val="center"/>
          </w:tcPr>
          <w:p w:rsidR="009778FB" w:rsidRPr="00A13740" w:rsidRDefault="009778FB" w:rsidP="00F87D7C">
            <w:pPr>
              <w:jc w:val="left"/>
              <w:rPr>
                <w:b/>
                <w:bCs/>
                <w:color w:val="000000" w:themeColor="text1"/>
                <w:sz w:val="21"/>
                <w:szCs w:val="21"/>
                <w:lang w:val="fr-FR" w:eastAsia="en-CA"/>
              </w:rPr>
            </w:pPr>
            <w:r w:rsidRPr="00A13740">
              <w:rPr>
                <w:b/>
                <w:bCs/>
                <w:color w:val="000000" w:themeColor="text1"/>
                <w:sz w:val="21"/>
                <w:szCs w:val="21"/>
                <w:lang w:val="fr-FR" w:eastAsia="fr"/>
              </w:rPr>
              <w:t>Secteur/composant</w:t>
            </w:r>
          </w:p>
        </w:tc>
        <w:tc>
          <w:tcPr>
            <w:tcW w:w="577" w:type="pct"/>
            <w:vMerge w:val="restart"/>
            <w:vAlign w:val="center"/>
          </w:tcPr>
          <w:p w:rsidR="009778FB" w:rsidRPr="00A13740" w:rsidRDefault="009778FB" w:rsidP="00F87D7C">
            <w:pPr>
              <w:jc w:val="left"/>
              <w:rPr>
                <w:b/>
                <w:bCs/>
                <w:color w:val="000000" w:themeColor="text1"/>
                <w:sz w:val="21"/>
                <w:szCs w:val="21"/>
                <w:lang w:val="fr-FR" w:eastAsia="en-CA"/>
              </w:rPr>
            </w:pPr>
            <w:r w:rsidRPr="00A13740">
              <w:rPr>
                <w:b/>
                <w:bCs/>
                <w:color w:val="000000" w:themeColor="text1"/>
                <w:sz w:val="21"/>
                <w:szCs w:val="21"/>
                <w:lang w:val="fr-FR" w:eastAsia="fr"/>
              </w:rPr>
              <w:t>Agence</w:t>
            </w:r>
          </w:p>
        </w:tc>
        <w:tc>
          <w:tcPr>
            <w:tcW w:w="709" w:type="pct"/>
            <w:vMerge w:val="restart"/>
            <w:shd w:val="clear" w:color="auto" w:fill="auto"/>
            <w:vAlign w:val="center"/>
          </w:tcPr>
          <w:p w:rsidR="009778FB" w:rsidRPr="00A13740" w:rsidRDefault="009778FB" w:rsidP="00F87D7C">
            <w:pPr>
              <w:jc w:val="left"/>
              <w:rPr>
                <w:b/>
                <w:bCs/>
                <w:color w:val="000000" w:themeColor="text1"/>
                <w:sz w:val="21"/>
                <w:szCs w:val="21"/>
                <w:lang w:val="fr-FR" w:eastAsia="en-CA"/>
              </w:rPr>
            </w:pPr>
            <w:r w:rsidRPr="00A13740">
              <w:rPr>
                <w:b/>
                <w:bCs/>
                <w:color w:val="000000" w:themeColor="text1"/>
                <w:sz w:val="21"/>
                <w:szCs w:val="21"/>
                <w:lang w:val="fr-FR" w:eastAsia="fr"/>
              </w:rPr>
              <w:t>Substance</w:t>
            </w:r>
          </w:p>
        </w:tc>
        <w:tc>
          <w:tcPr>
            <w:tcW w:w="1261" w:type="pct"/>
            <w:gridSpan w:val="3"/>
            <w:shd w:val="clear" w:color="auto" w:fill="auto"/>
          </w:tcPr>
          <w:p w:rsidR="009778FB" w:rsidRPr="00A13740" w:rsidRDefault="009778FB" w:rsidP="00F87D7C">
            <w:pPr>
              <w:jc w:val="center"/>
              <w:rPr>
                <w:b/>
                <w:bCs/>
                <w:color w:val="000000" w:themeColor="text1"/>
                <w:sz w:val="21"/>
                <w:szCs w:val="21"/>
                <w:lang w:val="fr-FR" w:eastAsia="en-CA"/>
              </w:rPr>
            </w:pPr>
            <w:r w:rsidRPr="00A13740">
              <w:rPr>
                <w:b/>
                <w:bCs/>
                <w:color w:val="000000" w:themeColor="text1"/>
                <w:sz w:val="21"/>
                <w:szCs w:val="21"/>
                <w:lang w:val="fr-FR" w:eastAsia="fr"/>
              </w:rPr>
              <w:t>Élimination des HCFC</w:t>
            </w:r>
          </w:p>
        </w:tc>
        <w:tc>
          <w:tcPr>
            <w:tcW w:w="623" w:type="pct"/>
            <w:vMerge w:val="restart"/>
            <w:shd w:val="clear" w:color="auto" w:fill="auto"/>
          </w:tcPr>
          <w:p w:rsidR="009778FB" w:rsidRPr="00A13740" w:rsidRDefault="009778FB" w:rsidP="00F87D7C">
            <w:pPr>
              <w:jc w:val="center"/>
              <w:rPr>
                <w:b/>
                <w:bCs/>
                <w:color w:val="000000" w:themeColor="text1"/>
                <w:sz w:val="21"/>
                <w:szCs w:val="21"/>
                <w:lang w:val="fr-FR" w:eastAsia="en-CA"/>
              </w:rPr>
            </w:pPr>
            <w:r w:rsidRPr="00A13740">
              <w:rPr>
                <w:b/>
                <w:bCs/>
                <w:color w:val="000000" w:themeColor="text1"/>
                <w:sz w:val="21"/>
                <w:szCs w:val="21"/>
                <w:lang w:val="fr-FR" w:eastAsia="fr"/>
              </w:rPr>
              <w:t>Coût ($ US)</w:t>
            </w:r>
          </w:p>
        </w:tc>
        <w:tc>
          <w:tcPr>
            <w:tcW w:w="623" w:type="pct"/>
            <w:gridSpan w:val="2"/>
            <w:vMerge w:val="restart"/>
            <w:shd w:val="clear" w:color="auto" w:fill="auto"/>
          </w:tcPr>
          <w:p w:rsidR="009778FB" w:rsidRPr="00A13740" w:rsidRDefault="009778FB" w:rsidP="00F87D7C">
            <w:pPr>
              <w:jc w:val="center"/>
              <w:rPr>
                <w:b/>
                <w:bCs/>
                <w:color w:val="000000" w:themeColor="text1"/>
                <w:sz w:val="21"/>
                <w:szCs w:val="21"/>
                <w:lang w:val="fr-FR" w:eastAsia="en-CA"/>
              </w:rPr>
            </w:pPr>
            <w:r w:rsidRPr="00A13740">
              <w:rPr>
                <w:b/>
                <w:bCs/>
                <w:color w:val="000000" w:themeColor="text1"/>
                <w:sz w:val="21"/>
                <w:szCs w:val="21"/>
                <w:lang w:val="fr-FR" w:eastAsia="fr"/>
              </w:rPr>
              <w:t>Rapport coût-efficacité ($ US/kg)</w:t>
            </w:r>
          </w:p>
        </w:tc>
      </w:tr>
      <w:tr w:rsidR="009778FB" w:rsidRPr="00A13740" w:rsidTr="00F87D7C">
        <w:trPr>
          <w:gridAfter w:val="1"/>
          <w:wAfter w:w="3" w:type="pct"/>
          <w:tblHeader/>
        </w:trPr>
        <w:tc>
          <w:tcPr>
            <w:tcW w:w="1204" w:type="pct"/>
            <w:vMerge/>
            <w:shd w:val="clear" w:color="auto" w:fill="auto"/>
            <w:hideMark/>
          </w:tcPr>
          <w:p w:rsidR="009778FB" w:rsidRPr="00A13740" w:rsidRDefault="009778FB" w:rsidP="00F87D7C">
            <w:pPr>
              <w:jc w:val="left"/>
              <w:rPr>
                <w:b/>
                <w:bCs/>
                <w:color w:val="000000" w:themeColor="text1"/>
                <w:sz w:val="21"/>
                <w:szCs w:val="21"/>
                <w:lang w:val="fr-FR" w:eastAsia="en-CA"/>
              </w:rPr>
            </w:pPr>
          </w:p>
        </w:tc>
        <w:tc>
          <w:tcPr>
            <w:tcW w:w="577" w:type="pct"/>
            <w:vMerge/>
          </w:tcPr>
          <w:p w:rsidR="009778FB" w:rsidRPr="00A13740" w:rsidRDefault="009778FB" w:rsidP="00F87D7C">
            <w:pPr>
              <w:jc w:val="left"/>
              <w:rPr>
                <w:b/>
                <w:bCs/>
                <w:color w:val="000000" w:themeColor="text1"/>
                <w:sz w:val="21"/>
                <w:szCs w:val="21"/>
                <w:lang w:val="fr-FR" w:eastAsia="en-CA"/>
              </w:rPr>
            </w:pPr>
          </w:p>
        </w:tc>
        <w:tc>
          <w:tcPr>
            <w:tcW w:w="709" w:type="pct"/>
            <w:vMerge/>
            <w:shd w:val="clear" w:color="auto" w:fill="auto"/>
            <w:hideMark/>
          </w:tcPr>
          <w:p w:rsidR="009778FB" w:rsidRPr="00A13740" w:rsidRDefault="009778FB" w:rsidP="00F87D7C">
            <w:pPr>
              <w:jc w:val="left"/>
              <w:rPr>
                <w:b/>
                <w:bCs/>
                <w:color w:val="000000" w:themeColor="text1"/>
                <w:sz w:val="21"/>
                <w:szCs w:val="21"/>
                <w:lang w:val="fr-FR" w:eastAsia="en-CA"/>
              </w:rPr>
            </w:pPr>
          </w:p>
        </w:tc>
        <w:tc>
          <w:tcPr>
            <w:tcW w:w="631" w:type="pct"/>
            <w:gridSpan w:val="2"/>
            <w:shd w:val="clear" w:color="auto" w:fill="auto"/>
            <w:hideMark/>
          </w:tcPr>
          <w:p w:rsidR="009778FB" w:rsidRPr="00A13740" w:rsidRDefault="009778FB" w:rsidP="00F87D7C">
            <w:pPr>
              <w:jc w:val="center"/>
              <w:rPr>
                <w:b/>
                <w:bCs/>
                <w:color w:val="000000" w:themeColor="text1"/>
                <w:sz w:val="21"/>
                <w:szCs w:val="21"/>
                <w:lang w:val="fr-FR" w:eastAsia="en-CA"/>
              </w:rPr>
            </w:pPr>
            <w:proofErr w:type="spellStart"/>
            <w:r w:rsidRPr="00A13740">
              <w:rPr>
                <w:b/>
                <w:bCs/>
                <w:color w:val="000000" w:themeColor="text1"/>
                <w:sz w:val="21"/>
                <w:szCs w:val="21"/>
                <w:lang w:val="fr-FR" w:eastAsia="fr"/>
              </w:rPr>
              <w:t>tm</w:t>
            </w:r>
            <w:proofErr w:type="spellEnd"/>
          </w:p>
        </w:tc>
        <w:tc>
          <w:tcPr>
            <w:tcW w:w="630" w:type="pct"/>
            <w:shd w:val="clear" w:color="auto" w:fill="auto"/>
            <w:tcMar>
              <w:left w:w="0" w:type="dxa"/>
              <w:right w:w="0" w:type="dxa"/>
            </w:tcMar>
            <w:hideMark/>
          </w:tcPr>
          <w:p w:rsidR="009778FB" w:rsidRPr="00A13740" w:rsidRDefault="009778FB" w:rsidP="00F87D7C">
            <w:pPr>
              <w:jc w:val="center"/>
              <w:rPr>
                <w:b/>
                <w:bCs/>
                <w:color w:val="000000" w:themeColor="text1"/>
                <w:sz w:val="21"/>
                <w:szCs w:val="21"/>
                <w:lang w:val="fr-FR" w:eastAsia="en-CA"/>
              </w:rPr>
            </w:pPr>
            <w:r w:rsidRPr="00A13740">
              <w:rPr>
                <w:b/>
                <w:bCs/>
                <w:color w:val="000000" w:themeColor="text1"/>
                <w:sz w:val="21"/>
                <w:szCs w:val="21"/>
                <w:lang w:val="fr-FR" w:eastAsia="fr"/>
              </w:rPr>
              <w:t>Tonnes PAO</w:t>
            </w:r>
          </w:p>
        </w:tc>
        <w:tc>
          <w:tcPr>
            <w:tcW w:w="623" w:type="pct"/>
            <w:vMerge/>
            <w:shd w:val="clear" w:color="auto" w:fill="auto"/>
            <w:noWrap/>
            <w:hideMark/>
          </w:tcPr>
          <w:p w:rsidR="009778FB" w:rsidRPr="00A13740" w:rsidRDefault="009778FB" w:rsidP="00F87D7C">
            <w:pPr>
              <w:jc w:val="center"/>
              <w:rPr>
                <w:color w:val="000000" w:themeColor="text1"/>
                <w:sz w:val="21"/>
                <w:szCs w:val="21"/>
                <w:lang w:val="fr-FR" w:eastAsia="en-CA"/>
              </w:rPr>
            </w:pPr>
          </w:p>
        </w:tc>
        <w:tc>
          <w:tcPr>
            <w:tcW w:w="623" w:type="pct"/>
            <w:gridSpan w:val="2"/>
            <w:vMerge/>
            <w:shd w:val="clear" w:color="auto" w:fill="auto"/>
            <w:noWrap/>
            <w:hideMark/>
          </w:tcPr>
          <w:p w:rsidR="009778FB" w:rsidRPr="00A13740" w:rsidRDefault="009778FB" w:rsidP="00F87D7C">
            <w:pPr>
              <w:jc w:val="center"/>
              <w:rPr>
                <w:b/>
                <w:bCs/>
                <w:color w:val="000000" w:themeColor="text1"/>
                <w:sz w:val="21"/>
                <w:szCs w:val="21"/>
                <w:lang w:val="fr-FR" w:eastAsia="en-CA"/>
              </w:rPr>
            </w:pPr>
          </w:p>
        </w:tc>
      </w:tr>
      <w:tr w:rsidR="009778FB" w:rsidRPr="00A13740" w:rsidTr="00F87D7C">
        <w:trPr>
          <w:tblHeader/>
        </w:trPr>
        <w:tc>
          <w:tcPr>
            <w:tcW w:w="5000" w:type="pct"/>
            <w:gridSpan w:val="10"/>
            <w:shd w:val="clear" w:color="auto" w:fill="auto"/>
          </w:tcPr>
          <w:p w:rsidR="009778FB" w:rsidRPr="00A13740" w:rsidRDefault="009778FB" w:rsidP="00F87D7C">
            <w:pPr>
              <w:jc w:val="left"/>
              <w:rPr>
                <w:bCs/>
                <w:color w:val="000000" w:themeColor="text1"/>
                <w:sz w:val="21"/>
                <w:szCs w:val="21"/>
                <w:lang w:val="fr-FR" w:eastAsia="en-CA"/>
              </w:rPr>
            </w:pPr>
            <w:r w:rsidRPr="00A13740">
              <w:rPr>
                <w:b/>
                <w:bCs/>
                <w:color w:val="000000" w:themeColor="text1"/>
                <w:sz w:val="21"/>
                <w:szCs w:val="21"/>
                <w:lang w:val="fr-FR" w:eastAsia="fr"/>
              </w:rPr>
              <w:t>Secteur de la mousse</w:t>
            </w:r>
          </w:p>
        </w:tc>
      </w:tr>
      <w:tr w:rsidR="009778FB" w:rsidRPr="00A13740" w:rsidTr="00F87D7C">
        <w:trPr>
          <w:tblHeader/>
        </w:trPr>
        <w:tc>
          <w:tcPr>
            <w:tcW w:w="1204" w:type="pct"/>
            <w:tcBorders>
              <w:bottom w:val="single" w:sz="4" w:space="0" w:color="auto"/>
            </w:tcBorders>
            <w:shd w:val="clear" w:color="auto" w:fill="auto"/>
          </w:tcPr>
          <w:p w:rsidR="009778FB" w:rsidRPr="00A13740" w:rsidRDefault="009778FB" w:rsidP="00F87D7C">
            <w:pPr>
              <w:widowControl w:val="0"/>
              <w:jc w:val="left"/>
              <w:rPr>
                <w:bCs/>
                <w:color w:val="000000" w:themeColor="text1"/>
                <w:sz w:val="21"/>
                <w:szCs w:val="21"/>
                <w:lang w:val="fr-FR" w:eastAsia="en-CA"/>
              </w:rPr>
            </w:pPr>
            <w:r w:rsidRPr="00A13740">
              <w:rPr>
                <w:bCs/>
                <w:color w:val="000000" w:themeColor="text1"/>
                <w:sz w:val="21"/>
                <w:szCs w:val="21"/>
                <w:lang w:val="fr-FR" w:eastAsia="fr"/>
              </w:rPr>
              <w:t>GAN</w:t>
            </w:r>
          </w:p>
        </w:tc>
        <w:tc>
          <w:tcPr>
            <w:tcW w:w="577" w:type="pct"/>
            <w:tcBorders>
              <w:bottom w:val="single" w:sz="4" w:space="0" w:color="auto"/>
            </w:tcBorders>
          </w:tcPr>
          <w:p w:rsidR="009778FB" w:rsidRPr="00A13740" w:rsidRDefault="009778FB" w:rsidP="00F87D7C">
            <w:pPr>
              <w:widowControl w:val="0"/>
              <w:jc w:val="left"/>
              <w:rPr>
                <w:bCs/>
                <w:color w:val="000000" w:themeColor="text1"/>
                <w:sz w:val="21"/>
                <w:szCs w:val="21"/>
                <w:lang w:val="fr-FR" w:eastAsia="en-CA"/>
              </w:rPr>
            </w:pPr>
            <w:r w:rsidRPr="00A13740">
              <w:rPr>
                <w:bCs/>
                <w:color w:val="000000" w:themeColor="text1"/>
                <w:sz w:val="21"/>
                <w:szCs w:val="21"/>
                <w:lang w:val="fr-FR" w:eastAsia="fr"/>
              </w:rPr>
              <w:t>ONUDI</w:t>
            </w:r>
          </w:p>
        </w:tc>
        <w:tc>
          <w:tcPr>
            <w:tcW w:w="709" w:type="pct"/>
            <w:tcBorders>
              <w:bottom w:val="single" w:sz="4" w:space="0" w:color="auto"/>
            </w:tcBorders>
            <w:shd w:val="clear" w:color="auto" w:fill="auto"/>
          </w:tcPr>
          <w:p w:rsidR="009778FB" w:rsidRPr="00A13740" w:rsidRDefault="009778FB" w:rsidP="00F87D7C">
            <w:pPr>
              <w:widowControl w:val="0"/>
              <w:jc w:val="left"/>
              <w:rPr>
                <w:bCs/>
                <w:color w:val="000000" w:themeColor="text1"/>
                <w:sz w:val="21"/>
                <w:szCs w:val="21"/>
                <w:lang w:val="fr-FR" w:eastAsia="en-CA"/>
              </w:rPr>
            </w:pPr>
            <w:r w:rsidRPr="00A13740">
              <w:rPr>
                <w:bCs/>
                <w:color w:val="000000" w:themeColor="text1"/>
                <w:sz w:val="21"/>
                <w:szCs w:val="21"/>
                <w:lang w:val="fr-FR" w:eastAsia="fr"/>
              </w:rPr>
              <w:t>HCFC-141b</w:t>
            </w:r>
          </w:p>
        </w:tc>
        <w:tc>
          <w:tcPr>
            <w:tcW w:w="626" w:type="pct"/>
            <w:tcBorders>
              <w:bottom w:val="single" w:sz="4" w:space="0" w:color="auto"/>
            </w:tcBorders>
            <w:shd w:val="clear" w:color="auto" w:fill="auto"/>
            <w:tcMar>
              <w:right w:w="173" w:type="dxa"/>
            </w:tcMar>
          </w:tcPr>
          <w:p w:rsidR="009778FB" w:rsidRPr="00A13740" w:rsidRDefault="009778FB" w:rsidP="00F87D7C">
            <w:pPr>
              <w:widowControl w:val="0"/>
              <w:jc w:val="right"/>
              <w:rPr>
                <w:sz w:val="21"/>
                <w:szCs w:val="21"/>
                <w:lang w:val="fr-FR"/>
              </w:rPr>
            </w:pPr>
            <w:r w:rsidRPr="00A13740">
              <w:rPr>
                <w:sz w:val="21"/>
                <w:szCs w:val="21"/>
                <w:lang w:val="fr-FR"/>
              </w:rPr>
              <w:t>52,50</w:t>
            </w:r>
          </w:p>
        </w:tc>
        <w:tc>
          <w:tcPr>
            <w:tcW w:w="635" w:type="pct"/>
            <w:gridSpan w:val="2"/>
            <w:tcBorders>
              <w:bottom w:val="single" w:sz="4" w:space="0" w:color="auto"/>
            </w:tcBorders>
            <w:shd w:val="clear" w:color="auto" w:fill="auto"/>
            <w:tcMar>
              <w:left w:w="0" w:type="dxa"/>
              <w:right w:w="173" w:type="dxa"/>
            </w:tcMar>
          </w:tcPr>
          <w:p w:rsidR="009778FB" w:rsidRPr="00A13740" w:rsidRDefault="009778FB" w:rsidP="00F87D7C">
            <w:pPr>
              <w:widowControl w:val="0"/>
              <w:jc w:val="right"/>
              <w:rPr>
                <w:sz w:val="21"/>
                <w:szCs w:val="21"/>
                <w:lang w:val="fr-FR"/>
              </w:rPr>
            </w:pPr>
            <w:r w:rsidRPr="00A13740">
              <w:rPr>
                <w:sz w:val="21"/>
                <w:szCs w:val="21"/>
                <w:lang w:val="fr-FR"/>
              </w:rPr>
              <w:t>5,78</w:t>
            </w:r>
          </w:p>
        </w:tc>
        <w:tc>
          <w:tcPr>
            <w:tcW w:w="626" w:type="pct"/>
            <w:gridSpan w:val="2"/>
            <w:shd w:val="clear" w:color="auto" w:fill="auto"/>
            <w:noWrap/>
            <w:tcMar>
              <w:right w:w="173" w:type="dxa"/>
            </w:tcMar>
          </w:tcPr>
          <w:p w:rsidR="009778FB" w:rsidRPr="00A13740" w:rsidRDefault="009778FB" w:rsidP="00F87D7C">
            <w:pPr>
              <w:widowControl w:val="0"/>
              <w:jc w:val="right"/>
              <w:rPr>
                <w:color w:val="000000" w:themeColor="text1"/>
                <w:sz w:val="21"/>
                <w:szCs w:val="21"/>
                <w:lang w:val="fr-FR" w:eastAsia="en-CA"/>
              </w:rPr>
            </w:pPr>
            <w:r w:rsidRPr="00A13740">
              <w:rPr>
                <w:color w:val="000000" w:themeColor="text1"/>
                <w:sz w:val="21"/>
                <w:szCs w:val="21"/>
                <w:lang w:val="fr-FR" w:eastAsia="fr"/>
              </w:rPr>
              <w:t>707 300</w:t>
            </w:r>
          </w:p>
        </w:tc>
        <w:tc>
          <w:tcPr>
            <w:tcW w:w="623" w:type="pct"/>
            <w:gridSpan w:val="2"/>
            <w:shd w:val="clear" w:color="auto" w:fill="auto"/>
            <w:noWrap/>
            <w:tcMar>
              <w:right w:w="173" w:type="dxa"/>
            </w:tcMar>
          </w:tcPr>
          <w:p w:rsidR="009778FB" w:rsidRPr="00A13740" w:rsidRDefault="009778FB" w:rsidP="00F87D7C">
            <w:pPr>
              <w:widowControl w:val="0"/>
              <w:jc w:val="right"/>
              <w:rPr>
                <w:bCs/>
                <w:color w:val="000000" w:themeColor="text1"/>
                <w:sz w:val="21"/>
                <w:szCs w:val="21"/>
                <w:lang w:val="fr-FR" w:eastAsia="en-CA"/>
              </w:rPr>
            </w:pPr>
            <w:r w:rsidRPr="00A13740">
              <w:rPr>
                <w:bCs/>
                <w:color w:val="000000" w:themeColor="text1"/>
                <w:sz w:val="21"/>
                <w:szCs w:val="21"/>
                <w:lang w:val="fr-FR" w:eastAsia="fr"/>
              </w:rPr>
              <w:t>13,47</w:t>
            </w:r>
          </w:p>
        </w:tc>
      </w:tr>
      <w:tr w:rsidR="009778FB" w:rsidRPr="00A13740" w:rsidTr="00F87D7C">
        <w:trPr>
          <w:tblHeader/>
        </w:trPr>
        <w:tc>
          <w:tcPr>
            <w:tcW w:w="1204" w:type="pct"/>
            <w:shd w:val="clear" w:color="auto" w:fill="auto"/>
          </w:tcPr>
          <w:p w:rsidR="009778FB" w:rsidRPr="00A13740" w:rsidRDefault="009778FB" w:rsidP="00F87D7C">
            <w:pPr>
              <w:widowControl w:val="0"/>
              <w:jc w:val="left"/>
              <w:rPr>
                <w:bCs/>
                <w:color w:val="000000" w:themeColor="text1"/>
                <w:sz w:val="21"/>
                <w:szCs w:val="21"/>
                <w:lang w:val="fr-FR" w:eastAsia="en-CA"/>
              </w:rPr>
            </w:pPr>
            <w:r w:rsidRPr="00A13740">
              <w:rPr>
                <w:bCs/>
                <w:color w:val="000000" w:themeColor="text1"/>
                <w:sz w:val="21"/>
                <w:szCs w:val="21"/>
                <w:lang w:val="fr-FR" w:eastAsia="fr"/>
              </w:rPr>
              <w:t xml:space="preserve">Le Panneau </w:t>
            </w:r>
          </w:p>
        </w:tc>
        <w:tc>
          <w:tcPr>
            <w:tcW w:w="577" w:type="pct"/>
          </w:tcPr>
          <w:p w:rsidR="009778FB" w:rsidRPr="00A13740" w:rsidRDefault="009778FB" w:rsidP="00F87D7C">
            <w:pPr>
              <w:widowControl w:val="0"/>
              <w:jc w:val="left"/>
              <w:rPr>
                <w:bCs/>
                <w:color w:val="000000" w:themeColor="text1"/>
                <w:sz w:val="21"/>
                <w:szCs w:val="21"/>
                <w:lang w:val="fr-FR" w:eastAsia="en-CA"/>
              </w:rPr>
            </w:pPr>
            <w:r w:rsidRPr="00A13740">
              <w:rPr>
                <w:bCs/>
                <w:color w:val="000000" w:themeColor="text1"/>
                <w:sz w:val="21"/>
                <w:szCs w:val="21"/>
                <w:lang w:val="fr-FR" w:eastAsia="fr"/>
              </w:rPr>
              <w:t>ONUDI</w:t>
            </w:r>
          </w:p>
        </w:tc>
        <w:tc>
          <w:tcPr>
            <w:tcW w:w="709" w:type="pct"/>
            <w:shd w:val="clear" w:color="auto" w:fill="auto"/>
          </w:tcPr>
          <w:p w:rsidR="009778FB" w:rsidRPr="00A13740" w:rsidRDefault="009778FB" w:rsidP="00F87D7C">
            <w:pPr>
              <w:widowControl w:val="0"/>
              <w:jc w:val="left"/>
              <w:rPr>
                <w:bCs/>
                <w:color w:val="000000" w:themeColor="text1"/>
                <w:sz w:val="21"/>
                <w:szCs w:val="21"/>
                <w:lang w:val="fr-FR" w:eastAsia="en-CA"/>
              </w:rPr>
            </w:pPr>
            <w:r w:rsidRPr="00A13740">
              <w:rPr>
                <w:bCs/>
                <w:color w:val="000000" w:themeColor="text1"/>
                <w:sz w:val="21"/>
                <w:szCs w:val="21"/>
                <w:lang w:val="fr-FR" w:eastAsia="fr"/>
              </w:rPr>
              <w:t>HCFC-141b</w:t>
            </w:r>
          </w:p>
        </w:tc>
        <w:tc>
          <w:tcPr>
            <w:tcW w:w="626" w:type="pct"/>
            <w:shd w:val="clear" w:color="auto" w:fill="auto"/>
            <w:tcMar>
              <w:right w:w="173" w:type="dxa"/>
            </w:tcMar>
          </w:tcPr>
          <w:p w:rsidR="009778FB" w:rsidRPr="00A13740" w:rsidRDefault="009778FB" w:rsidP="00F87D7C">
            <w:pPr>
              <w:widowControl w:val="0"/>
              <w:jc w:val="right"/>
              <w:rPr>
                <w:bCs/>
                <w:color w:val="000000" w:themeColor="text1"/>
                <w:sz w:val="21"/>
                <w:szCs w:val="21"/>
                <w:lang w:val="fr-FR" w:eastAsia="en-CA"/>
              </w:rPr>
            </w:pPr>
            <w:r w:rsidRPr="00A13740">
              <w:rPr>
                <w:sz w:val="21"/>
                <w:szCs w:val="21"/>
                <w:lang w:val="fr-FR"/>
              </w:rPr>
              <w:t>14,50</w:t>
            </w:r>
          </w:p>
        </w:tc>
        <w:tc>
          <w:tcPr>
            <w:tcW w:w="635" w:type="pct"/>
            <w:gridSpan w:val="2"/>
            <w:shd w:val="clear" w:color="auto" w:fill="auto"/>
            <w:tcMar>
              <w:left w:w="0" w:type="dxa"/>
              <w:right w:w="173" w:type="dxa"/>
            </w:tcMar>
          </w:tcPr>
          <w:p w:rsidR="009778FB" w:rsidRPr="00A13740" w:rsidRDefault="009778FB" w:rsidP="00F87D7C">
            <w:pPr>
              <w:widowControl w:val="0"/>
              <w:jc w:val="right"/>
              <w:rPr>
                <w:bCs/>
                <w:color w:val="000000" w:themeColor="text1"/>
                <w:sz w:val="21"/>
                <w:szCs w:val="21"/>
                <w:lang w:val="fr-FR" w:eastAsia="en-CA"/>
              </w:rPr>
            </w:pPr>
            <w:r w:rsidRPr="00A13740">
              <w:rPr>
                <w:sz w:val="21"/>
                <w:szCs w:val="21"/>
                <w:lang w:val="fr-FR"/>
              </w:rPr>
              <w:t>1,60</w:t>
            </w:r>
          </w:p>
        </w:tc>
        <w:tc>
          <w:tcPr>
            <w:tcW w:w="626" w:type="pct"/>
            <w:gridSpan w:val="2"/>
            <w:shd w:val="clear" w:color="auto" w:fill="auto"/>
            <w:noWrap/>
            <w:tcMar>
              <w:right w:w="173" w:type="dxa"/>
            </w:tcMar>
          </w:tcPr>
          <w:p w:rsidR="009778FB" w:rsidRPr="00A13740" w:rsidRDefault="009778FB" w:rsidP="00F87D7C">
            <w:pPr>
              <w:widowControl w:val="0"/>
              <w:jc w:val="right"/>
              <w:rPr>
                <w:color w:val="000000" w:themeColor="text1"/>
                <w:sz w:val="21"/>
                <w:szCs w:val="21"/>
                <w:lang w:val="fr-FR" w:eastAsia="en-CA"/>
              </w:rPr>
            </w:pPr>
            <w:r w:rsidRPr="00A13740">
              <w:rPr>
                <w:color w:val="000000" w:themeColor="text1"/>
                <w:sz w:val="21"/>
                <w:szCs w:val="21"/>
                <w:lang w:val="fr-FR" w:eastAsia="fr"/>
              </w:rPr>
              <w:t>498 300</w:t>
            </w:r>
          </w:p>
        </w:tc>
        <w:tc>
          <w:tcPr>
            <w:tcW w:w="623" w:type="pct"/>
            <w:gridSpan w:val="2"/>
            <w:shd w:val="clear" w:color="auto" w:fill="auto"/>
            <w:noWrap/>
            <w:tcMar>
              <w:right w:w="173" w:type="dxa"/>
            </w:tcMar>
          </w:tcPr>
          <w:p w:rsidR="009778FB" w:rsidRPr="00A13740" w:rsidRDefault="009778FB" w:rsidP="00F87D7C">
            <w:pPr>
              <w:widowControl w:val="0"/>
              <w:jc w:val="right"/>
              <w:rPr>
                <w:bCs/>
                <w:color w:val="000000" w:themeColor="text1"/>
                <w:sz w:val="21"/>
                <w:szCs w:val="21"/>
                <w:lang w:val="fr-FR" w:eastAsia="en-CA"/>
              </w:rPr>
            </w:pPr>
            <w:r w:rsidRPr="00A13740">
              <w:rPr>
                <w:bCs/>
                <w:color w:val="000000" w:themeColor="text1"/>
                <w:sz w:val="21"/>
                <w:szCs w:val="21"/>
                <w:lang w:val="fr-FR" w:eastAsia="fr"/>
              </w:rPr>
              <w:t>34,37</w:t>
            </w:r>
          </w:p>
        </w:tc>
      </w:tr>
      <w:tr w:rsidR="009778FB" w:rsidRPr="00A13740" w:rsidTr="00F87D7C">
        <w:trPr>
          <w:tblHeader/>
        </w:trPr>
        <w:tc>
          <w:tcPr>
            <w:tcW w:w="1204" w:type="pct"/>
            <w:shd w:val="clear" w:color="auto" w:fill="auto"/>
          </w:tcPr>
          <w:p w:rsidR="009778FB" w:rsidRPr="00A13740" w:rsidRDefault="009778FB" w:rsidP="00F87D7C">
            <w:pPr>
              <w:widowControl w:val="0"/>
              <w:jc w:val="right"/>
              <w:rPr>
                <w:b/>
                <w:bCs/>
                <w:color w:val="000000" w:themeColor="text1"/>
                <w:sz w:val="21"/>
                <w:szCs w:val="21"/>
                <w:lang w:val="fr-FR" w:eastAsia="en-CA"/>
              </w:rPr>
            </w:pPr>
            <w:r w:rsidRPr="00A13740">
              <w:rPr>
                <w:b/>
                <w:bCs/>
                <w:color w:val="000000" w:themeColor="text1"/>
                <w:sz w:val="21"/>
                <w:szCs w:val="21"/>
                <w:lang w:val="fr-FR" w:eastAsia="fr"/>
              </w:rPr>
              <w:t>Sous-total</w:t>
            </w:r>
          </w:p>
        </w:tc>
        <w:tc>
          <w:tcPr>
            <w:tcW w:w="577" w:type="pct"/>
          </w:tcPr>
          <w:p w:rsidR="009778FB" w:rsidRPr="00A13740" w:rsidRDefault="009778FB" w:rsidP="00F87D7C">
            <w:pPr>
              <w:widowControl w:val="0"/>
              <w:jc w:val="left"/>
              <w:rPr>
                <w:b/>
                <w:bCs/>
                <w:color w:val="000000" w:themeColor="text1"/>
                <w:sz w:val="21"/>
                <w:szCs w:val="21"/>
                <w:lang w:val="fr-FR" w:eastAsia="en-CA"/>
              </w:rPr>
            </w:pPr>
          </w:p>
        </w:tc>
        <w:tc>
          <w:tcPr>
            <w:tcW w:w="709" w:type="pct"/>
            <w:shd w:val="clear" w:color="auto" w:fill="auto"/>
          </w:tcPr>
          <w:p w:rsidR="009778FB" w:rsidRPr="00A13740" w:rsidRDefault="009778FB" w:rsidP="00F87D7C">
            <w:pPr>
              <w:widowControl w:val="0"/>
              <w:jc w:val="left"/>
              <w:rPr>
                <w:b/>
                <w:bCs/>
                <w:color w:val="000000" w:themeColor="text1"/>
                <w:sz w:val="21"/>
                <w:szCs w:val="21"/>
                <w:lang w:val="fr-FR" w:eastAsia="en-CA"/>
              </w:rPr>
            </w:pPr>
          </w:p>
        </w:tc>
        <w:tc>
          <w:tcPr>
            <w:tcW w:w="626" w:type="pct"/>
            <w:shd w:val="clear" w:color="auto" w:fill="auto"/>
            <w:tcMar>
              <w:right w:w="173" w:type="dxa"/>
            </w:tcMar>
          </w:tcPr>
          <w:p w:rsidR="009778FB" w:rsidRPr="00A13740" w:rsidRDefault="009778FB" w:rsidP="00F87D7C">
            <w:pPr>
              <w:widowControl w:val="0"/>
              <w:jc w:val="right"/>
              <w:rPr>
                <w:b/>
                <w:sz w:val="21"/>
                <w:szCs w:val="21"/>
                <w:lang w:val="fr-FR"/>
              </w:rPr>
            </w:pPr>
            <w:r w:rsidRPr="00A13740">
              <w:rPr>
                <w:b/>
                <w:bCs/>
                <w:color w:val="000000" w:themeColor="text1"/>
                <w:sz w:val="21"/>
                <w:szCs w:val="21"/>
                <w:lang w:val="fr-FR" w:eastAsia="fr"/>
              </w:rPr>
              <w:t>67,00</w:t>
            </w:r>
          </w:p>
        </w:tc>
        <w:tc>
          <w:tcPr>
            <w:tcW w:w="635" w:type="pct"/>
            <w:gridSpan w:val="2"/>
            <w:shd w:val="clear" w:color="auto" w:fill="auto"/>
            <w:tcMar>
              <w:left w:w="0" w:type="dxa"/>
              <w:right w:w="173" w:type="dxa"/>
            </w:tcMar>
          </w:tcPr>
          <w:p w:rsidR="009778FB" w:rsidRPr="00A13740" w:rsidRDefault="009778FB" w:rsidP="00F87D7C">
            <w:pPr>
              <w:widowControl w:val="0"/>
              <w:jc w:val="right"/>
              <w:rPr>
                <w:sz w:val="21"/>
                <w:szCs w:val="21"/>
                <w:lang w:val="fr-FR"/>
              </w:rPr>
            </w:pPr>
            <w:r w:rsidRPr="00A13740">
              <w:rPr>
                <w:b/>
                <w:sz w:val="21"/>
                <w:szCs w:val="21"/>
                <w:lang w:val="fr-FR"/>
              </w:rPr>
              <w:t>7,38</w:t>
            </w:r>
          </w:p>
        </w:tc>
        <w:tc>
          <w:tcPr>
            <w:tcW w:w="626" w:type="pct"/>
            <w:gridSpan w:val="2"/>
            <w:shd w:val="clear" w:color="auto" w:fill="auto"/>
            <w:noWrap/>
            <w:tcMar>
              <w:right w:w="173" w:type="dxa"/>
            </w:tcMar>
          </w:tcPr>
          <w:p w:rsidR="009778FB" w:rsidRPr="00A13740" w:rsidRDefault="009778FB" w:rsidP="00F87D7C">
            <w:pPr>
              <w:widowControl w:val="0"/>
              <w:jc w:val="right"/>
              <w:rPr>
                <w:color w:val="000000" w:themeColor="text1"/>
                <w:sz w:val="21"/>
                <w:szCs w:val="21"/>
                <w:lang w:val="fr-FR" w:eastAsia="en-CA"/>
              </w:rPr>
            </w:pPr>
            <w:r w:rsidRPr="00A13740">
              <w:rPr>
                <w:b/>
                <w:color w:val="000000" w:themeColor="text1"/>
                <w:sz w:val="21"/>
                <w:szCs w:val="21"/>
                <w:lang w:val="fr-FR" w:eastAsia="fr"/>
              </w:rPr>
              <w:t>1 205 600</w:t>
            </w:r>
          </w:p>
        </w:tc>
        <w:tc>
          <w:tcPr>
            <w:tcW w:w="623" w:type="pct"/>
            <w:gridSpan w:val="2"/>
            <w:shd w:val="clear" w:color="auto" w:fill="auto"/>
            <w:noWrap/>
            <w:tcMar>
              <w:right w:w="173" w:type="dxa"/>
            </w:tcMar>
          </w:tcPr>
          <w:p w:rsidR="009778FB" w:rsidRPr="00A13740" w:rsidRDefault="009778FB" w:rsidP="00F87D7C">
            <w:pPr>
              <w:widowControl w:val="0"/>
              <w:jc w:val="right"/>
              <w:rPr>
                <w:bCs/>
                <w:color w:val="000000" w:themeColor="text1"/>
                <w:sz w:val="21"/>
                <w:szCs w:val="21"/>
                <w:lang w:val="fr-FR" w:eastAsia="en-CA"/>
              </w:rPr>
            </w:pPr>
            <w:r w:rsidRPr="00A13740">
              <w:rPr>
                <w:b/>
                <w:bCs/>
                <w:color w:val="000000" w:themeColor="text1"/>
                <w:sz w:val="21"/>
                <w:szCs w:val="21"/>
                <w:lang w:val="fr-FR" w:eastAsia="fr"/>
              </w:rPr>
              <w:t>17,99</w:t>
            </w:r>
          </w:p>
        </w:tc>
      </w:tr>
      <w:tr w:rsidR="009778FB" w:rsidRPr="00F36C81" w:rsidTr="00F87D7C">
        <w:trPr>
          <w:tblHeader/>
        </w:trPr>
        <w:tc>
          <w:tcPr>
            <w:tcW w:w="5000" w:type="pct"/>
            <w:gridSpan w:val="10"/>
            <w:tcBorders>
              <w:bottom w:val="single" w:sz="4" w:space="0" w:color="auto"/>
            </w:tcBorders>
            <w:shd w:val="clear" w:color="auto" w:fill="auto"/>
            <w:tcMar>
              <w:right w:w="173" w:type="dxa"/>
            </w:tcMar>
            <w:vAlign w:val="center"/>
          </w:tcPr>
          <w:p w:rsidR="009778FB" w:rsidRPr="00A13740" w:rsidRDefault="009778FB" w:rsidP="00F87D7C">
            <w:pPr>
              <w:widowControl w:val="0"/>
              <w:jc w:val="left"/>
              <w:rPr>
                <w:bCs/>
                <w:color w:val="000000" w:themeColor="text1"/>
                <w:sz w:val="21"/>
                <w:szCs w:val="21"/>
                <w:lang w:val="fr-FR" w:eastAsia="en-CA"/>
              </w:rPr>
            </w:pPr>
            <w:r w:rsidRPr="00A13740">
              <w:rPr>
                <w:b/>
                <w:bCs/>
                <w:color w:val="000000" w:themeColor="text1"/>
                <w:sz w:val="21"/>
                <w:szCs w:val="21"/>
                <w:lang w:val="fr-FR" w:eastAsia="fr"/>
              </w:rPr>
              <w:t>Secteur de l’entretien en réfrigération</w:t>
            </w:r>
          </w:p>
        </w:tc>
      </w:tr>
      <w:tr w:rsidR="009778FB" w:rsidRPr="00A13740" w:rsidTr="00F87D7C">
        <w:trPr>
          <w:tblHeader/>
        </w:trPr>
        <w:tc>
          <w:tcPr>
            <w:tcW w:w="1204" w:type="pct"/>
            <w:tcBorders>
              <w:bottom w:val="single" w:sz="4" w:space="0" w:color="auto"/>
              <w:right w:val="single" w:sz="4" w:space="0" w:color="auto"/>
            </w:tcBorders>
            <w:shd w:val="clear" w:color="auto" w:fill="auto"/>
          </w:tcPr>
          <w:p w:rsidR="009778FB" w:rsidRPr="00A13740" w:rsidRDefault="009778FB" w:rsidP="00F87D7C">
            <w:pPr>
              <w:widowControl w:val="0"/>
              <w:jc w:val="left"/>
              <w:rPr>
                <w:bCs/>
                <w:color w:val="000000" w:themeColor="text1"/>
                <w:sz w:val="21"/>
                <w:szCs w:val="21"/>
                <w:lang w:val="fr-FR" w:eastAsia="en-CA"/>
              </w:rPr>
            </w:pPr>
            <w:r w:rsidRPr="00A13740">
              <w:rPr>
                <w:bCs/>
                <w:color w:val="000000" w:themeColor="text1"/>
                <w:sz w:val="21"/>
                <w:szCs w:val="21"/>
                <w:lang w:val="fr-FR" w:eastAsia="fr"/>
              </w:rPr>
              <w:t>Élimination</w:t>
            </w:r>
            <w:r w:rsidRPr="00A13740">
              <w:rPr>
                <w:bCs/>
                <w:color w:val="000000" w:themeColor="text1"/>
                <w:sz w:val="21"/>
                <w:szCs w:val="21"/>
                <w:lang w:val="fr-FR" w:eastAsia="fr"/>
              </w:rPr>
              <w:noBreakHyphen/>
            </w:r>
          </w:p>
        </w:tc>
        <w:tc>
          <w:tcPr>
            <w:tcW w:w="577" w:type="pct"/>
            <w:tcBorders>
              <w:top w:val="single" w:sz="4" w:space="0" w:color="auto"/>
              <w:bottom w:val="single" w:sz="4" w:space="0" w:color="auto"/>
              <w:right w:val="single" w:sz="4" w:space="0" w:color="auto"/>
            </w:tcBorders>
          </w:tcPr>
          <w:p w:rsidR="009778FB" w:rsidRPr="00A13740" w:rsidRDefault="009778FB" w:rsidP="00F87D7C">
            <w:pPr>
              <w:widowControl w:val="0"/>
              <w:jc w:val="left"/>
              <w:rPr>
                <w:bCs/>
                <w:color w:val="000000" w:themeColor="text1"/>
                <w:sz w:val="21"/>
                <w:szCs w:val="21"/>
                <w:lang w:val="fr-FR" w:eastAsia="en-CA"/>
              </w:rPr>
            </w:pPr>
            <w:r w:rsidRPr="00A13740">
              <w:rPr>
                <w:bCs/>
                <w:color w:val="000000" w:themeColor="text1"/>
                <w:sz w:val="21"/>
                <w:szCs w:val="21"/>
                <w:lang w:val="fr-FR" w:eastAsia="fr"/>
              </w:rPr>
              <w:t>ONUDI</w:t>
            </w:r>
          </w:p>
        </w:tc>
        <w:tc>
          <w:tcPr>
            <w:tcW w:w="709" w:type="pct"/>
            <w:tcBorders>
              <w:top w:val="single" w:sz="4" w:space="0" w:color="auto"/>
              <w:left w:val="single" w:sz="4" w:space="0" w:color="auto"/>
              <w:right w:val="single" w:sz="4" w:space="0" w:color="auto"/>
            </w:tcBorders>
            <w:shd w:val="clear" w:color="auto" w:fill="auto"/>
          </w:tcPr>
          <w:p w:rsidR="009778FB" w:rsidRPr="00A13740" w:rsidRDefault="009778FB" w:rsidP="00F87D7C">
            <w:pPr>
              <w:widowControl w:val="0"/>
              <w:jc w:val="left"/>
              <w:rPr>
                <w:bCs/>
                <w:color w:val="000000" w:themeColor="text1"/>
                <w:sz w:val="21"/>
                <w:szCs w:val="21"/>
                <w:lang w:val="fr-FR" w:eastAsia="en-CA"/>
              </w:rPr>
            </w:pPr>
            <w:r w:rsidRPr="00A13740">
              <w:rPr>
                <w:bCs/>
                <w:color w:val="000000" w:themeColor="text1"/>
                <w:sz w:val="21"/>
                <w:szCs w:val="21"/>
                <w:lang w:val="fr-FR" w:eastAsia="fr"/>
              </w:rPr>
              <w:t>HCFC-22</w:t>
            </w:r>
          </w:p>
        </w:tc>
        <w:tc>
          <w:tcPr>
            <w:tcW w:w="626" w:type="pct"/>
            <w:tcBorders>
              <w:top w:val="single" w:sz="4" w:space="0" w:color="auto"/>
              <w:left w:val="single" w:sz="4" w:space="0" w:color="auto"/>
              <w:bottom w:val="single" w:sz="4" w:space="0" w:color="auto"/>
              <w:right w:val="single" w:sz="4" w:space="0" w:color="auto"/>
            </w:tcBorders>
            <w:shd w:val="clear" w:color="auto" w:fill="auto"/>
            <w:tcMar>
              <w:right w:w="173" w:type="dxa"/>
            </w:tcMar>
          </w:tcPr>
          <w:p w:rsidR="009778FB" w:rsidRPr="00A13740" w:rsidRDefault="009778FB" w:rsidP="00F87D7C">
            <w:pPr>
              <w:widowControl w:val="0"/>
              <w:jc w:val="right"/>
              <w:rPr>
                <w:bCs/>
                <w:color w:val="000000" w:themeColor="text1"/>
                <w:sz w:val="21"/>
                <w:szCs w:val="21"/>
                <w:lang w:val="fr-FR" w:eastAsia="en-CA"/>
              </w:rPr>
            </w:pPr>
            <w:r w:rsidRPr="00A13740">
              <w:rPr>
                <w:color w:val="000000"/>
                <w:sz w:val="21"/>
                <w:szCs w:val="21"/>
                <w:lang w:val="fr-FR"/>
              </w:rPr>
              <w:t>171,18</w:t>
            </w:r>
          </w:p>
        </w:tc>
        <w:tc>
          <w:tcPr>
            <w:tcW w:w="635" w:type="pct"/>
            <w:gridSpan w:val="2"/>
            <w:tcBorders>
              <w:top w:val="single" w:sz="4" w:space="0" w:color="auto"/>
              <w:left w:val="single" w:sz="4" w:space="0" w:color="auto"/>
              <w:bottom w:val="single" w:sz="4" w:space="0" w:color="auto"/>
              <w:right w:val="single" w:sz="4" w:space="0" w:color="auto"/>
            </w:tcBorders>
            <w:shd w:val="clear" w:color="auto" w:fill="auto"/>
            <w:tcMar>
              <w:left w:w="0" w:type="dxa"/>
              <w:right w:w="173" w:type="dxa"/>
            </w:tcMar>
          </w:tcPr>
          <w:p w:rsidR="009778FB" w:rsidRPr="00A13740" w:rsidRDefault="009778FB" w:rsidP="00F87D7C">
            <w:pPr>
              <w:widowControl w:val="0"/>
              <w:jc w:val="right"/>
              <w:rPr>
                <w:bCs/>
                <w:color w:val="000000" w:themeColor="text1"/>
                <w:sz w:val="21"/>
                <w:szCs w:val="21"/>
                <w:lang w:val="fr-FR" w:eastAsia="en-CA"/>
              </w:rPr>
            </w:pPr>
            <w:r w:rsidRPr="00A13740">
              <w:rPr>
                <w:color w:val="000000"/>
                <w:sz w:val="21"/>
                <w:szCs w:val="21"/>
                <w:lang w:val="fr-FR"/>
              </w:rPr>
              <w:t>9,41</w:t>
            </w:r>
          </w:p>
        </w:tc>
        <w:tc>
          <w:tcPr>
            <w:tcW w:w="626" w:type="pct"/>
            <w:gridSpan w:val="2"/>
            <w:tcBorders>
              <w:left w:val="single" w:sz="4" w:space="0" w:color="auto"/>
            </w:tcBorders>
            <w:shd w:val="clear" w:color="auto" w:fill="auto"/>
            <w:noWrap/>
            <w:tcMar>
              <w:right w:w="173" w:type="dxa"/>
            </w:tcMar>
          </w:tcPr>
          <w:p w:rsidR="009778FB" w:rsidRPr="00A13740" w:rsidRDefault="009778FB" w:rsidP="00F87D7C">
            <w:pPr>
              <w:widowControl w:val="0"/>
              <w:jc w:val="right"/>
              <w:rPr>
                <w:color w:val="000000" w:themeColor="text1"/>
                <w:sz w:val="21"/>
                <w:szCs w:val="21"/>
                <w:highlight w:val="yellow"/>
                <w:lang w:val="fr-FR" w:eastAsia="en-CA"/>
              </w:rPr>
            </w:pPr>
            <w:r w:rsidRPr="00A13740">
              <w:rPr>
                <w:color w:val="000000"/>
                <w:sz w:val="21"/>
                <w:szCs w:val="21"/>
                <w:lang w:val="fr-FR"/>
              </w:rPr>
              <w:t>821 640</w:t>
            </w:r>
          </w:p>
        </w:tc>
        <w:tc>
          <w:tcPr>
            <w:tcW w:w="623" w:type="pct"/>
            <w:gridSpan w:val="2"/>
            <w:shd w:val="clear" w:color="auto" w:fill="auto"/>
            <w:noWrap/>
            <w:tcMar>
              <w:right w:w="173" w:type="dxa"/>
            </w:tcMar>
          </w:tcPr>
          <w:p w:rsidR="009778FB" w:rsidRPr="00A13740" w:rsidRDefault="009778FB" w:rsidP="00F87D7C">
            <w:pPr>
              <w:widowControl w:val="0"/>
              <w:jc w:val="right"/>
              <w:rPr>
                <w:bCs/>
                <w:color w:val="000000" w:themeColor="text1"/>
                <w:sz w:val="21"/>
                <w:szCs w:val="21"/>
                <w:lang w:val="fr-FR" w:eastAsia="en-CA"/>
              </w:rPr>
            </w:pPr>
            <w:r w:rsidRPr="00A13740">
              <w:rPr>
                <w:color w:val="000000"/>
                <w:sz w:val="21"/>
                <w:szCs w:val="21"/>
                <w:lang w:val="fr-FR"/>
              </w:rPr>
              <w:t>4,80</w:t>
            </w:r>
          </w:p>
        </w:tc>
      </w:tr>
      <w:tr w:rsidR="009778FB" w:rsidRPr="00A13740" w:rsidTr="00F87D7C">
        <w:trPr>
          <w:tblHeader/>
        </w:trPr>
        <w:tc>
          <w:tcPr>
            <w:tcW w:w="1204" w:type="pct"/>
            <w:tcBorders>
              <w:top w:val="single" w:sz="4" w:space="0" w:color="auto"/>
              <w:bottom w:val="single" w:sz="4" w:space="0" w:color="auto"/>
              <w:right w:val="single" w:sz="4" w:space="0" w:color="auto"/>
            </w:tcBorders>
            <w:shd w:val="clear" w:color="auto" w:fill="auto"/>
          </w:tcPr>
          <w:p w:rsidR="009778FB" w:rsidRPr="00A13740" w:rsidRDefault="009778FB" w:rsidP="00F87D7C">
            <w:pPr>
              <w:widowControl w:val="0"/>
              <w:jc w:val="left"/>
              <w:rPr>
                <w:bCs/>
                <w:color w:val="000000" w:themeColor="text1"/>
                <w:sz w:val="21"/>
                <w:szCs w:val="21"/>
                <w:lang w:val="fr-FR" w:eastAsia="en-CA"/>
              </w:rPr>
            </w:pPr>
            <w:r w:rsidRPr="00A13740">
              <w:rPr>
                <w:bCs/>
                <w:color w:val="000000" w:themeColor="text1"/>
                <w:sz w:val="21"/>
                <w:szCs w:val="21"/>
                <w:lang w:val="fr-FR" w:eastAsia="fr"/>
              </w:rPr>
              <w:t>Élimination financée</w:t>
            </w:r>
          </w:p>
        </w:tc>
        <w:tc>
          <w:tcPr>
            <w:tcW w:w="577" w:type="pct"/>
            <w:tcBorders>
              <w:top w:val="single" w:sz="4" w:space="0" w:color="auto"/>
              <w:bottom w:val="single" w:sz="4" w:space="0" w:color="auto"/>
              <w:right w:val="single" w:sz="4" w:space="0" w:color="auto"/>
            </w:tcBorders>
          </w:tcPr>
          <w:p w:rsidR="009778FB" w:rsidRPr="00A13740" w:rsidRDefault="009778FB" w:rsidP="00F87D7C">
            <w:pPr>
              <w:widowControl w:val="0"/>
              <w:jc w:val="left"/>
              <w:rPr>
                <w:bCs/>
                <w:color w:val="000000" w:themeColor="text1"/>
                <w:sz w:val="21"/>
                <w:szCs w:val="21"/>
                <w:lang w:val="fr-FR" w:eastAsia="en-CA"/>
              </w:rPr>
            </w:pPr>
            <w:r w:rsidRPr="00A13740">
              <w:rPr>
                <w:bCs/>
                <w:color w:val="000000" w:themeColor="text1"/>
                <w:sz w:val="21"/>
                <w:szCs w:val="21"/>
                <w:lang w:val="fr-FR" w:eastAsia="fr"/>
              </w:rPr>
              <w:t>PNUE</w:t>
            </w:r>
          </w:p>
        </w:tc>
        <w:tc>
          <w:tcPr>
            <w:tcW w:w="709" w:type="pct"/>
            <w:tcBorders>
              <w:left w:val="single" w:sz="4" w:space="0" w:color="auto"/>
              <w:bottom w:val="single" w:sz="4" w:space="0" w:color="auto"/>
              <w:right w:val="single" w:sz="4" w:space="0" w:color="auto"/>
            </w:tcBorders>
            <w:shd w:val="clear" w:color="auto" w:fill="auto"/>
          </w:tcPr>
          <w:p w:rsidR="009778FB" w:rsidRPr="00A13740" w:rsidRDefault="009778FB" w:rsidP="00F87D7C">
            <w:pPr>
              <w:widowControl w:val="0"/>
              <w:jc w:val="left"/>
              <w:rPr>
                <w:bCs/>
                <w:color w:val="000000" w:themeColor="text1"/>
                <w:sz w:val="21"/>
                <w:szCs w:val="21"/>
                <w:lang w:val="fr-FR" w:eastAsia="en-CA"/>
              </w:rPr>
            </w:pPr>
            <w:r w:rsidRPr="00A13740">
              <w:rPr>
                <w:bCs/>
                <w:color w:val="000000" w:themeColor="text1"/>
                <w:sz w:val="21"/>
                <w:szCs w:val="21"/>
                <w:lang w:val="fr-FR" w:eastAsia="fr"/>
              </w:rPr>
              <w:t>HCFC-22</w:t>
            </w:r>
          </w:p>
        </w:tc>
        <w:tc>
          <w:tcPr>
            <w:tcW w:w="626" w:type="pct"/>
            <w:tcBorders>
              <w:top w:val="single" w:sz="4" w:space="0" w:color="auto"/>
              <w:left w:val="single" w:sz="4" w:space="0" w:color="auto"/>
              <w:bottom w:val="single" w:sz="4" w:space="0" w:color="auto"/>
              <w:right w:val="single" w:sz="4" w:space="0" w:color="auto"/>
            </w:tcBorders>
            <w:shd w:val="clear" w:color="auto" w:fill="auto"/>
            <w:tcMar>
              <w:right w:w="173" w:type="dxa"/>
            </w:tcMar>
          </w:tcPr>
          <w:p w:rsidR="009778FB" w:rsidRPr="00A13740" w:rsidRDefault="009778FB" w:rsidP="00F87D7C">
            <w:pPr>
              <w:widowControl w:val="0"/>
              <w:jc w:val="right"/>
              <w:rPr>
                <w:bCs/>
                <w:color w:val="000000" w:themeColor="text1"/>
                <w:sz w:val="21"/>
                <w:szCs w:val="21"/>
                <w:lang w:val="fr-FR" w:eastAsia="en-CA"/>
              </w:rPr>
            </w:pPr>
            <w:r w:rsidRPr="00A13740">
              <w:rPr>
                <w:color w:val="000000"/>
                <w:sz w:val="21"/>
                <w:szCs w:val="21"/>
                <w:lang w:val="fr-FR"/>
              </w:rPr>
              <w:t>41,67</w:t>
            </w:r>
          </w:p>
        </w:tc>
        <w:tc>
          <w:tcPr>
            <w:tcW w:w="635" w:type="pct"/>
            <w:gridSpan w:val="2"/>
            <w:tcBorders>
              <w:top w:val="single" w:sz="4" w:space="0" w:color="auto"/>
              <w:left w:val="single" w:sz="4" w:space="0" w:color="auto"/>
              <w:bottom w:val="single" w:sz="4" w:space="0" w:color="auto"/>
              <w:right w:val="single" w:sz="4" w:space="0" w:color="auto"/>
            </w:tcBorders>
            <w:shd w:val="clear" w:color="auto" w:fill="auto"/>
            <w:tcMar>
              <w:left w:w="0" w:type="dxa"/>
              <w:right w:w="173" w:type="dxa"/>
            </w:tcMar>
          </w:tcPr>
          <w:p w:rsidR="009778FB" w:rsidRPr="00A13740" w:rsidRDefault="009778FB" w:rsidP="00F87D7C">
            <w:pPr>
              <w:widowControl w:val="0"/>
              <w:jc w:val="right"/>
              <w:rPr>
                <w:bCs/>
                <w:color w:val="000000" w:themeColor="text1"/>
                <w:sz w:val="21"/>
                <w:szCs w:val="21"/>
                <w:lang w:val="fr-FR" w:eastAsia="en-CA"/>
              </w:rPr>
            </w:pPr>
            <w:r w:rsidRPr="00A13740">
              <w:rPr>
                <w:color w:val="000000"/>
                <w:sz w:val="21"/>
                <w:szCs w:val="21"/>
                <w:lang w:val="fr-FR"/>
              </w:rPr>
              <w:t>2,29</w:t>
            </w:r>
          </w:p>
        </w:tc>
        <w:tc>
          <w:tcPr>
            <w:tcW w:w="626" w:type="pct"/>
            <w:gridSpan w:val="2"/>
            <w:tcBorders>
              <w:left w:val="single" w:sz="4" w:space="0" w:color="auto"/>
            </w:tcBorders>
            <w:shd w:val="clear" w:color="auto" w:fill="auto"/>
            <w:noWrap/>
            <w:tcMar>
              <w:right w:w="173" w:type="dxa"/>
            </w:tcMar>
          </w:tcPr>
          <w:p w:rsidR="009778FB" w:rsidRPr="00A13740" w:rsidRDefault="009778FB" w:rsidP="00F87D7C">
            <w:pPr>
              <w:widowControl w:val="0"/>
              <w:jc w:val="right"/>
              <w:rPr>
                <w:color w:val="000000" w:themeColor="text1"/>
                <w:sz w:val="21"/>
                <w:szCs w:val="21"/>
                <w:lang w:val="fr-FR" w:eastAsia="en-CA"/>
              </w:rPr>
            </w:pPr>
            <w:r w:rsidRPr="00A13740">
              <w:rPr>
                <w:color w:val="000000"/>
                <w:sz w:val="21"/>
                <w:szCs w:val="21"/>
                <w:lang w:val="fr-FR"/>
              </w:rPr>
              <w:t>200 000</w:t>
            </w:r>
          </w:p>
        </w:tc>
        <w:tc>
          <w:tcPr>
            <w:tcW w:w="623" w:type="pct"/>
            <w:gridSpan w:val="2"/>
            <w:shd w:val="clear" w:color="auto" w:fill="auto"/>
            <w:noWrap/>
            <w:tcMar>
              <w:right w:w="173" w:type="dxa"/>
            </w:tcMar>
          </w:tcPr>
          <w:p w:rsidR="009778FB" w:rsidRPr="00A13740" w:rsidRDefault="009778FB" w:rsidP="00F87D7C">
            <w:pPr>
              <w:widowControl w:val="0"/>
              <w:jc w:val="right"/>
              <w:rPr>
                <w:bCs/>
                <w:color w:val="000000" w:themeColor="text1"/>
                <w:sz w:val="21"/>
                <w:szCs w:val="21"/>
                <w:lang w:val="fr-FR" w:eastAsia="en-CA"/>
              </w:rPr>
            </w:pPr>
            <w:r w:rsidRPr="00A13740">
              <w:rPr>
                <w:color w:val="000000"/>
                <w:sz w:val="21"/>
                <w:szCs w:val="21"/>
                <w:lang w:val="fr-FR"/>
              </w:rPr>
              <w:t>4,80</w:t>
            </w:r>
          </w:p>
        </w:tc>
      </w:tr>
      <w:tr w:rsidR="009778FB" w:rsidRPr="00A13740" w:rsidTr="00F87D7C">
        <w:trPr>
          <w:tblHeader/>
        </w:trPr>
        <w:tc>
          <w:tcPr>
            <w:tcW w:w="1204" w:type="pct"/>
            <w:tcBorders>
              <w:top w:val="single" w:sz="4" w:space="0" w:color="auto"/>
              <w:right w:val="single" w:sz="4" w:space="0" w:color="auto"/>
            </w:tcBorders>
            <w:shd w:val="clear" w:color="auto" w:fill="auto"/>
          </w:tcPr>
          <w:p w:rsidR="009778FB" w:rsidRPr="00A13740" w:rsidRDefault="009778FB" w:rsidP="00F87D7C">
            <w:pPr>
              <w:widowControl w:val="0"/>
              <w:jc w:val="left"/>
              <w:rPr>
                <w:bCs/>
                <w:color w:val="000000" w:themeColor="text1"/>
                <w:sz w:val="21"/>
                <w:szCs w:val="21"/>
                <w:lang w:val="fr-FR" w:eastAsia="en-CA"/>
              </w:rPr>
            </w:pPr>
            <w:r w:rsidRPr="00A13740">
              <w:rPr>
                <w:bCs/>
                <w:color w:val="000000" w:themeColor="text1"/>
                <w:sz w:val="21"/>
                <w:szCs w:val="21"/>
                <w:lang w:val="fr-FR" w:eastAsia="fr"/>
              </w:rPr>
              <w:t>Élimination non financée</w:t>
            </w:r>
          </w:p>
        </w:tc>
        <w:tc>
          <w:tcPr>
            <w:tcW w:w="577" w:type="pct"/>
            <w:tcBorders>
              <w:top w:val="single" w:sz="4" w:space="0" w:color="auto"/>
              <w:bottom w:val="single" w:sz="4" w:space="0" w:color="auto"/>
              <w:right w:val="single" w:sz="4" w:space="0" w:color="auto"/>
            </w:tcBorders>
          </w:tcPr>
          <w:p w:rsidR="009778FB" w:rsidRPr="00A13740" w:rsidRDefault="009778FB" w:rsidP="00F87D7C">
            <w:pPr>
              <w:widowControl w:val="0"/>
              <w:jc w:val="left"/>
              <w:rPr>
                <w:bCs/>
                <w:color w:val="000000" w:themeColor="text1"/>
                <w:sz w:val="21"/>
                <w:szCs w:val="21"/>
                <w:lang w:val="fr-FR" w:eastAsia="en-CA"/>
              </w:rPr>
            </w:pPr>
            <w:r w:rsidRPr="00A13740">
              <w:rPr>
                <w:bCs/>
                <w:color w:val="000000" w:themeColor="text1"/>
                <w:sz w:val="21"/>
                <w:szCs w:val="21"/>
                <w:lang w:val="fr-FR" w:eastAsia="fr"/>
              </w:rPr>
              <w:t>ONUDI</w:t>
            </w:r>
          </w:p>
        </w:tc>
        <w:tc>
          <w:tcPr>
            <w:tcW w:w="709" w:type="pct"/>
            <w:tcBorders>
              <w:top w:val="single" w:sz="4" w:space="0" w:color="auto"/>
              <w:left w:val="single" w:sz="4" w:space="0" w:color="auto"/>
              <w:right w:val="single" w:sz="4" w:space="0" w:color="auto"/>
            </w:tcBorders>
            <w:shd w:val="clear" w:color="auto" w:fill="auto"/>
          </w:tcPr>
          <w:p w:rsidR="009778FB" w:rsidRPr="00A13740" w:rsidRDefault="009778FB" w:rsidP="00F87D7C">
            <w:pPr>
              <w:widowControl w:val="0"/>
              <w:jc w:val="left"/>
              <w:rPr>
                <w:bCs/>
                <w:color w:val="000000" w:themeColor="text1"/>
                <w:sz w:val="21"/>
                <w:szCs w:val="21"/>
                <w:lang w:val="fr-FR" w:eastAsia="en-CA"/>
              </w:rPr>
            </w:pPr>
            <w:r w:rsidRPr="00A13740">
              <w:rPr>
                <w:bCs/>
                <w:color w:val="000000" w:themeColor="text1"/>
                <w:sz w:val="21"/>
                <w:szCs w:val="21"/>
                <w:lang w:val="fr-FR" w:eastAsia="fr"/>
              </w:rPr>
              <w:t>HCFC-22</w:t>
            </w:r>
          </w:p>
        </w:tc>
        <w:tc>
          <w:tcPr>
            <w:tcW w:w="626" w:type="pct"/>
            <w:tcBorders>
              <w:top w:val="single" w:sz="4" w:space="0" w:color="auto"/>
              <w:left w:val="single" w:sz="4" w:space="0" w:color="auto"/>
              <w:bottom w:val="single" w:sz="4" w:space="0" w:color="auto"/>
              <w:right w:val="single" w:sz="4" w:space="0" w:color="auto"/>
            </w:tcBorders>
            <w:shd w:val="clear" w:color="auto" w:fill="auto"/>
            <w:tcMar>
              <w:right w:w="173" w:type="dxa"/>
            </w:tcMar>
          </w:tcPr>
          <w:p w:rsidR="009778FB" w:rsidRPr="00A13740" w:rsidRDefault="009778FB" w:rsidP="00F87D7C">
            <w:pPr>
              <w:widowControl w:val="0"/>
              <w:jc w:val="right"/>
              <w:rPr>
                <w:bCs/>
                <w:color w:val="000000" w:themeColor="text1"/>
                <w:sz w:val="21"/>
                <w:szCs w:val="21"/>
                <w:lang w:val="fr-FR" w:eastAsia="en-CA"/>
              </w:rPr>
            </w:pPr>
            <w:r w:rsidRPr="00A13740">
              <w:rPr>
                <w:color w:val="000000"/>
                <w:sz w:val="21"/>
                <w:szCs w:val="21"/>
                <w:lang w:val="fr-FR"/>
              </w:rPr>
              <w:t>76,18</w:t>
            </w:r>
          </w:p>
        </w:tc>
        <w:tc>
          <w:tcPr>
            <w:tcW w:w="635" w:type="pct"/>
            <w:gridSpan w:val="2"/>
            <w:tcBorders>
              <w:top w:val="single" w:sz="4" w:space="0" w:color="auto"/>
              <w:left w:val="single" w:sz="4" w:space="0" w:color="auto"/>
              <w:bottom w:val="single" w:sz="4" w:space="0" w:color="auto"/>
              <w:right w:val="single" w:sz="4" w:space="0" w:color="auto"/>
            </w:tcBorders>
            <w:shd w:val="clear" w:color="auto" w:fill="auto"/>
            <w:tcMar>
              <w:left w:w="0" w:type="dxa"/>
              <w:right w:w="173" w:type="dxa"/>
            </w:tcMar>
          </w:tcPr>
          <w:p w:rsidR="009778FB" w:rsidRPr="00A13740" w:rsidRDefault="009778FB" w:rsidP="00F87D7C">
            <w:pPr>
              <w:widowControl w:val="0"/>
              <w:jc w:val="right"/>
              <w:rPr>
                <w:bCs/>
                <w:color w:val="000000" w:themeColor="text1"/>
                <w:sz w:val="21"/>
                <w:szCs w:val="21"/>
                <w:lang w:val="fr-FR" w:eastAsia="en-CA"/>
              </w:rPr>
            </w:pPr>
            <w:r w:rsidRPr="00A13740">
              <w:rPr>
                <w:color w:val="000000"/>
                <w:sz w:val="21"/>
                <w:szCs w:val="21"/>
                <w:lang w:val="fr-FR"/>
              </w:rPr>
              <w:t>4,19</w:t>
            </w:r>
          </w:p>
        </w:tc>
        <w:tc>
          <w:tcPr>
            <w:tcW w:w="626" w:type="pct"/>
            <w:gridSpan w:val="2"/>
            <w:tcBorders>
              <w:left w:val="single" w:sz="4" w:space="0" w:color="auto"/>
            </w:tcBorders>
            <w:shd w:val="clear" w:color="auto" w:fill="auto"/>
            <w:noWrap/>
            <w:tcMar>
              <w:right w:w="173" w:type="dxa"/>
            </w:tcMar>
          </w:tcPr>
          <w:p w:rsidR="009778FB" w:rsidRPr="00A13740" w:rsidRDefault="009778FB" w:rsidP="00F87D7C">
            <w:pPr>
              <w:widowControl w:val="0"/>
              <w:jc w:val="right"/>
              <w:rPr>
                <w:color w:val="000000" w:themeColor="text1"/>
                <w:sz w:val="21"/>
                <w:szCs w:val="21"/>
                <w:lang w:val="fr-FR" w:eastAsia="en-CA"/>
              </w:rPr>
            </w:pPr>
            <w:r w:rsidRPr="00A13740">
              <w:rPr>
                <w:color w:val="000000"/>
                <w:sz w:val="21"/>
                <w:szCs w:val="21"/>
                <w:lang w:val="fr-FR"/>
              </w:rPr>
              <w:t>0,00</w:t>
            </w:r>
          </w:p>
        </w:tc>
        <w:tc>
          <w:tcPr>
            <w:tcW w:w="623" w:type="pct"/>
            <w:gridSpan w:val="2"/>
            <w:shd w:val="clear" w:color="auto" w:fill="auto"/>
            <w:noWrap/>
            <w:tcMar>
              <w:right w:w="173" w:type="dxa"/>
            </w:tcMar>
          </w:tcPr>
          <w:p w:rsidR="009778FB" w:rsidRPr="00A13740" w:rsidRDefault="009778FB" w:rsidP="00F87D7C">
            <w:pPr>
              <w:widowControl w:val="0"/>
              <w:jc w:val="right"/>
              <w:rPr>
                <w:bCs/>
                <w:color w:val="000000" w:themeColor="text1"/>
                <w:sz w:val="21"/>
                <w:szCs w:val="21"/>
                <w:lang w:val="fr-FR" w:eastAsia="en-CA"/>
              </w:rPr>
            </w:pPr>
            <w:r w:rsidRPr="00A13740">
              <w:rPr>
                <w:bCs/>
                <w:color w:val="000000" w:themeColor="text1"/>
                <w:sz w:val="21"/>
                <w:szCs w:val="21"/>
                <w:lang w:val="fr-FR" w:eastAsia="fr"/>
              </w:rPr>
              <w:t>0,00</w:t>
            </w:r>
          </w:p>
        </w:tc>
      </w:tr>
      <w:tr w:rsidR="009778FB" w:rsidRPr="00A13740" w:rsidTr="00F87D7C">
        <w:trPr>
          <w:tblHeader/>
        </w:trPr>
        <w:tc>
          <w:tcPr>
            <w:tcW w:w="1204" w:type="pct"/>
            <w:tcBorders>
              <w:top w:val="single" w:sz="4" w:space="0" w:color="auto"/>
            </w:tcBorders>
            <w:shd w:val="clear" w:color="auto" w:fill="auto"/>
          </w:tcPr>
          <w:p w:rsidR="009778FB" w:rsidRPr="00A13740" w:rsidRDefault="009778FB" w:rsidP="00F87D7C">
            <w:pPr>
              <w:widowControl w:val="0"/>
              <w:jc w:val="right"/>
              <w:rPr>
                <w:b/>
                <w:bCs/>
                <w:color w:val="000000" w:themeColor="text1"/>
                <w:sz w:val="21"/>
                <w:szCs w:val="21"/>
                <w:lang w:val="fr-FR" w:eastAsia="en-CA"/>
              </w:rPr>
            </w:pPr>
            <w:r w:rsidRPr="00A13740">
              <w:rPr>
                <w:b/>
                <w:bCs/>
                <w:color w:val="000000" w:themeColor="text1"/>
                <w:sz w:val="21"/>
                <w:szCs w:val="21"/>
                <w:lang w:val="fr-FR" w:eastAsia="fr"/>
              </w:rPr>
              <w:t>Sous-total</w:t>
            </w:r>
          </w:p>
        </w:tc>
        <w:tc>
          <w:tcPr>
            <w:tcW w:w="577" w:type="pct"/>
            <w:tcBorders>
              <w:top w:val="single" w:sz="4" w:space="0" w:color="auto"/>
            </w:tcBorders>
          </w:tcPr>
          <w:p w:rsidR="009778FB" w:rsidRPr="00A13740" w:rsidRDefault="009778FB" w:rsidP="00F87D7C">
            <w:pPr>
              <w:widowControl w:val="0"/>
              <w:jc w:val="left"/>
              <w:rPr>
                <w:bCs/>
                <w:color w:val="000000" w:themeColor="text1"/>
                <w:sz w:val="21"/>
                <w:szCs w:val="21"/>
                <w:lang w:val="fr-FR" w:eastAsia="en-CA"/>
              </w:rPr>
            </w:pPr>
          </w:p>
        </w:tc>
        <w:tc>
          <w:tcPr>
            <w:tcW w:w="709" w:type="pct"/>
            <w:tcBorders>
              <w:top w:val="single" w:sz="4" w:space="0" w:color="auto"/>
            </w:tcBorders>
            <w:shd w:val="clear" w:color="auto" w:fill="auto"/>
          </w:tcPr>
          <w:p w:rsidR="009778FB" w:rsidRPr="00A13740" w:rsidRDefault="009778FB" w:rsidP="00F87D7C">
            <w:pPr>
              <w:widowControl w:val="0"/>
              <w:jc w:val="left"/>
              <w:rPr>
                <w:bCs/>
                <w:color w:val="000000" w:themeColor="text1"/>
                <w:sz w:val="21"/>
                <w:szCs w:val="21"/>
                <w:lang w:val="fr-FR" w:eastAsia="en-CA"/>
              </w:rPr>
            </w:pPr>
          </w:p>
        </w:tc>
        <w:tc>
          <w:tcPr>
            <w:tcW w:w="626" w:type="pct"/>
            <w:tcBorders>
              <w:top w:val="single" w:sz="4" w:space="0" w:color="auto"/>
            </w:tcBorders>
            <w:shd w:val="clear" w:color="auto" w:fill="auto"/>
            <w:tcMar>
              <w:right w:w="173" w:type="dxa"/>
            </w:tcMar>
          </w:tcPr>
          <w:p w:rsidR="009778FB" w:rsidRPr="00A13740" w:rsidRDefault="009778FB" w:rsidP="00F87D7C">
            <w:pPr>
              <w:widowControl w:val="0"/>
              <w:jc w:val="right"/>
              <w:rPr>
                <w:bCs/>
                <w:color w:val="000000" w:themeColor="text1"/>
                <w:sz w:val="21"/>
                <w:szCs w:val="21"/>
                <w:lang w:val="fr-FR" w:eastAsia="en-CA"/>
              </w:rPr>
            </w:pPr>
            <w:r w:rsidRPr="00A13740">
              <w:rPr>
                <w:b/>
                <w:bCs/>
                <w:color w:val="000000"/>
                <w:sz w:val="21"/>
                <w:szCs w:val="21"/>
                <w:lang w:val="fr-FR"/>
              </w:rPr>
              <w:t>289,02</w:t>
            </w:r>
          </w:p>
        </w:tc>
        <w:tc>
          <w:tcPr>
            <w:tcW w:w="635" w:type="pct"/>
            <w:gridSpan w:val="2"/>
            <w:tcBorders>
              <w:top w:val="single" w:sz="4" w:space="0" w:color="auto"/>
            </w:tcBorders>
            <w:shd w:val="clear" w:color="auto" w:fill="auto"/>
            <w:tcMar>
              <w:left w:w="0" w:type="dxa"/>
              <w:right w:w="173" w:type="dxa"/>
            </w:tcMar>
          </w:tcPr>
          <w:p w:rsidR="009778FB" w:rsidRPr="00A13740" w:rsidRDefault="009778FB" w:rsidP="00F87D7C">
            <w:pPr>
              <w:widowControl w:val="0"/>
              <w:jc w:val="right"/>
              <w:rPr>
                <w:bCs/>
                <w:color w:val="000000" w:themeColor="text1"/>
                <w:sz w:val="21"/>
                <w:szCs w:val="21"/>
                <w:lang w:val="fr-FR" w:eastAsia="en-CA"/>
              </w:rPr>
            </w:pPr>
            <w:r w:rsidRPr="00A13740">
              <w:rPr>
                <w:b/>
                <w:bCs/>
                <w:color w:val="000000"/>
                <w:sz w:val="21"/>
                <w:szCs w:val="21"/>
                <w:lang w:val="fr-FR"/>
              </w:rPr>
              <w:t>15,90</w:t>
            </w:r>
          </w:p>
        </w:tc>
        <w:tc>
          <w:tcPr>
            <w:tcW w:w="626" w:type="pct"/>
            <w:gridSpan w:val="2"/>
            <w:shd w:val="clear" w:color="auto" w:fill="auto"/>
            <w:noWrap/>
            <w:tcMar>
              <w:right w:w="173" w:type="dxa"/>
            </w:tcMar>
          </w:tcPr>
          <w:p w:rsidR="009778FB" w:rsidRPr="00A13740" w:rsidRDefault="009778FB" w:rsidP="00F87D7C">
            <w:pPr>
              <w:widowControl w:val="0"/>
              <w:jc w:val="right"/>
              <w:rPr>
                <w:color w:val="000000" w:themeColor="text1"/>
                <w:sz w:val="21"/>
                <w:szCs w:val="21"/>
                <w:lang w:val="fr-FR" w:eastAsia="en-CA"/>
              </w:rPr>
            </w:pPr>
            <w:r w:rsidRPr="00A13740">
              <w:rPr>
                <w:b/>
                <w:bCs/>
                <w:color w:val="000000"/>
                <w:sz w:val="21"/>
                <w:szCs w:val="21"/>
                <w:lang w:val="fr-FR"/>
              </w:rPr>
              <w:t>1 021 640</w:t>
            </w:r>
          </w:p>
        </w:tc>
        <w:tc>
          <w:tcPr>
            <w:tcW w:w="623" w:type="pct"/>
            <w:gridSpan w:val="2"/>
            <w:shd w:val="clear" w:color="auto" w:fill="auto"/>
            <w:noWrap/>
            <w:tcMar>
              <w:right w:w="173" w:type="dxa"/>
            </w:tcMar>
          </w:tcPr>
          <w:p w:rsidR="009778FB" w:rsidRPr="00A13740" w:rsidRDefault="009778FB" w:rsidP="00F87D7C">
            <w:pPr>
              <w:widowControl w:val="0"/>
              <w:jc w:val="right"/>
              <w:rPr>
                <w:bCs/>
                <w:color w:val="000000" w:themeColor="text1"/>
                <w:sz w:val="21"/>
                <w:szCs w:val="21"/>
                <w:lang w:val="fr-FR" w:eastAsia="en-CA"/>
              </w:rPr>
            </w:pPr>
            <w:r w:rsidRPr="00A13740">
              <w:rPr>
                <w:b/>
                <w:bCs/>
                <w:color w:val="000000"/>
                <w:sz w:val="21"/>
                <w:szCs w:val="21"/>
                <w:lang w:val="fr-FR"/>
              </w:rPr>
              <w:t>3,53</w:t>
            </w:r>
          </w:p>
        </w:tc>
      </w:tr>
      <w:tr w:rsidR="009778FB" w:rsidRPr="00A13740" w:rsidTr="00F87D7C">
        <w:trPr>
          <w:tblHeader/>
        </w:trPr>
        <w:tc>
          <w:tcPr>
            <w:tcW w:w="1204" w:type="pct"/>
            <w:tcBorders>
              <w:top w:val="single" w:sz="4" w:space="0" w:color="auto"/>
            </w:tcBorders>
            <w:shd w:val="clear" w:color="auto" w:fill="auto"/>
          </w:tcPr>
          <w:p w:rsidR="009778FB" w:rsidRPr="00A13740" w:rsidRDefault="009778FB" w:rsidP="00F87D7C">
            <w:pPr>
              <w:widowControl w:val="0"/>
              <w:jc w:val="left"/>
              <w:rPr>
                <w:bCs/>
                <w:color w:val="000000" w:themeColor="text1"/>
                <w:sz w:val="21"/>
                <w:szCs w:val="21"/>
                <w:lang w:val="fr-FR" w:eastAsia="en-CA"/>
              </w:rPr>
            </w:pPr>
            <w:r w:rsidRPr="00A13740">
              <w:rPr>
                <w:bCs/>
                <w:color w:val="000000" w:themeColor="text1"/>
                <w:sz w:val="21"/>
                <w:szCs w:val="21"/>
                <w:lang w:val="fr-FR" w:eastAsia="fr"/>
              </w:rPr>
              <w:t>UGP</w:t>
            </w:r>
          </w:p>
        </w:tc>
        <w:tc>
          <w:tcPr>
            <w:tcW w:w="577" w:type="pct"/>
            <w:tcBorders>
              <w:top w:val="single" w:sz="4" w:space="0" w:color="auto"/>
            </w:tcBorders>
          </w:tcPr>
          <w:p w:rsidR="009778FB" w:rsidRPr="00A13740" w:rsidRDefault="009778FB" w:rsidP="00F87D7C">
            <w:pPr>
              <w:widowControl w:val="0"/>
              <w:jc w:val="left"/>
              <w:rPr>
                <w:bCs/>
                <w:color w:val="000000" w:themeColor="text1"/>
                <w:sz w:val="21"/>
                <w:szCs w:val="21"/>
                <w:lang w:val="fr-FR" w:eastAsia="en-CA"/>
              </w:rPr>
            </w:pPr>
            <w:r w:rsidRPr="00A13740">
              <w:rPr>
                <w:bCs/>
                <w:color w:val="000000" w:themeColor="text1"/>
                <w:sz w:val="21"/>
                <w:szCs w:val="21"/>
                <w:lang w:val="fr-FR" w:eastAsia="fr"/>
              </w:rPr>
              <w:t>ONUDI</w:t>
            </w:r>
          </w:p>
        </w:tc>
        <w:tc>
          <w:tcPr>
            <w:tcW w:w="709" w:type="pct"/>
            <w:tcBorders>
              <w:top w:val="single" w:sz="4" w:space="0" w:color="auto"/>
            </w:tcBorders>
            <w:shd w:val="clear" w:color="auto" w:fill="auto"/>
          </w:tcPr>
          <w:p w:rsidR="009778FB" w:rsidRPr="00A13740" w:rsidRDefault="009778FB" w:rsidP="00F87D7C">
            <w:pPr>
              <w:widowControl w:val="0"/>
              <w:jc w:val="left"/>
              <w:rPr>
                <w:bCs/>
                <w:color w:val="000000" w:themeColor="text1"/>
                <w:sz w:val="21"/>
                <w:szCs w:val="21"/>
                <w:lang w:val="fr-FR" w:eastAsia="en-CA"/>
              </w:rPr>
            </w:pPr>
            <w:r w:rsidRPr="00A13740">
              <w:rPr>
                <w:bCs/>
                <w:color w:val="000000" w:themeColor="text1"/>
                <w:sz w:val="21"/>
                <w:szCs w:val="21"/>
                <w:lang w:val="fr-FR" w:eastAsia="fr"/>
              </w:rPr>
              <w:t>HCFC-22</w:t>
            </w:r>
          </w:p>
        </w:tc>
        <w:tc>
          <w:tcPr>
            <w:tcW w:w="626" w:type="pct"/>
            <w:tcBorders>
              <w:top w:val="single" w:sz="4" w:space="0" w:color="auto"/>
            </w:tcBorders>
            <w:shd w:val="clear" w:color="auto" w:fill="auto"/>
            <w:tcMar>
              <w:right w:w="173" w:type="dxa"/>
            </w:tcMar>
          </w:tcPr>
          <w:p w:rsidR="009778FB" w:rsidRPr="00A13740" w:rsidRDefault="009778FB" w:rsidP="00F87D7C">
            <w:pPr>
              <w:widowControl w:val="0"/>
              <w:jc w:val="right"/>
              <w:rPr>
                <w:bCs/>
                <w:color w:val="000000" w:themeColor="text1"/>
                <w:sz w:val="21"/>
                <w:szCs w:val="21"/>
                <w:lang w:val="fr-FR" w:eastAsia="en-CA"/>
              </w:rPr>
            </w:pPr>
            <w:r w:rsidRPr="00A13740">
              <w:rPr>
                <w:color w:val="000000"/>
                <w:sz w:val="21"/>
                <w:szCs w:val="21"/>
                <w:lang w:val="fr-FR"/>
              </w:rPr>
              <w:t>17,71</w:t>
            </w:r>
          </w:p>
        </w:tc>
        <w:tc>
          <w:tcPr>
            <w:tcW w:w="635" w:type="pct"/>
            <w:gridSpan w:val="2"/>
            <w:tcBorders>
              <w:top w:val="single" w:sz="4" w:space="0" w:color="auto"/>
            </w:tcBorders>
            <w:shd w:val="clear" w:color="auto" w:fill="auto"/>
            <w:tcMar>
              <w:left w:w="0" w:type="dxa"/>
              <w:right w:w="173" w:type="dxa"/>
            </w:tcMar>
          </w:tcPr>
          <w:p w:rsidR="009778FB" w:rsidRPr="00A13740" w:rsidRDefault="009778FB" w:rsidP="00F87D7C">
            <w:pPr>
              <w:widowControl w:val="0"/>
              <w:jc w:val="right"/>
              <w:rPr>
                <w:bCs/>
                <w:color w:val="000000" w:themeColor="text1"/>
                <w:sz w:val="21"/>
                <w:szCs w:val="21"/>
                <w:lang w:val="fr-FR" w:eastAsia="en-CA"/>
              </w:rPr>
            </w:pPr>
            <w:r w:rsidRPr="00A13740">
              <w:rPr>
                <w:color w:val="000000"/>
                <w:sz w:val="21"/>
                <w:szCs w:val="21"/>
                <w:lang w:val="fr-FR"/>
              </w:rPr>
              <w:t>0,97</w:t>
            </w:r>
          </w:p>
        </w:tc>
        <w:tc>
          <w:tcPr>
            <w:tcW w:w="626" w:type="pct"/>
            <w:gridSpan w:val="2"/>
            <w:shd w:val="clear" w:color="auto" w:fill="auto"/>
            <w:noWrap/>
            <w:tcMar>
              <w:right w:w="173" w:type="dxa"/>
            </w:tcMar>
          </w:tcPr>
          <w:p w:rsidR="009778FB" w:rsidRPr="00A13740" w:rsidRDefault="009778FB" w:rsidP="00F87D7C">
            <w:pPr>
              <w:widowControl w:val="0"/>
              <w:jc w:val="right"/>
              <w:rPr>
                <w:color w:val="000000" w:themeColor="text1"/>
                <w:sz w:val="21"/>
                <w:szCs w:val="21"/>
                <w:lang w:val="fr-FR" w:eastAsia="en-CA"/>
              </w:rPr>
            </w:pPr>
            <w:r w:rsidRPr="00A13740">
              <w:rPr>
                <w:color w:val="000000"/>
                <w:sz w:val="21"/>
                <w:szCs w:val="21"/>
                <w:lang w:val="fr-FR"/>
              </w:rPr>
              <w:t>85 000</w:t>
            </w:r>
          </w:p>
        </w:tc>
        <w:tc>
          <w:tcPr>
            <w:tcW w:w="623" w:type="pct"/>
            <w:gridSpan w:val="2"/>
            <w:shd w:val="clear" w:color="auto" w:fill="auto"/>
            <w:noWrap/>
            <w:tcMar>
              <w:right w:w="173" w:type="dxa"/>
            </w:tcMar>
          </w:tcPr>
          <w:p w:rsidR="009778FB" w:rsidRPr="00A13740" w:rsidRDefault="009778FB" w:rsidP="00F87D7C">
            <w:pPr>
              <w:widowControl w:val="0"/>
              <w:jc w:val="right"/>
              <w:rPr>
                <w:bCs/>
                <w:color w:val="000000" w:themeColor="text1"/>
                <w:sz w:val="21"/>
                <w:szCs w:val="21"/>
                <w:lang w:val="fr-FR" w:eastAsia="en-CA"/>
              </w:rPr>
            </w:pPr>
            <w:r w:rsidRPr="00A13740">
              <w:rPr>
                <w:color w:val="000000"/>
                <w:sz w:val="21"/>
                <w:szCs w:val="21"/>
                <w:lang w:val="fr-FR"/>
              </w:rPr>
              <w:t>4,80</w:t>
            </w:r>
          </w:p>
        </w:tc>
      </w:tr>
      <w:tr w:rsidR="009778FB" w:rsidRPr="00A13740" w:rsidTr="00F87D7C">
        <w:trPr>
          <w:tblHeader/>
        </w:trPr>
        <w:tc>
          <w:tcPr>
            <w:tcW w:w="1204" w:type="pct"/>
            <w:tcBorders>
              <w:top w:val="single" w:sz="4" w:space="0" w:color="auto"/>
            </w:tcBorders>
            <w:shd w:val="clear" w:color="auto" w:fill="auto"/>
          </w:tcPr>
          <w:p w:rsidR="009778FB" w:rsidRPr="00A13740" w:rsidRDefault="009778FB" w:rsidP="00F87D7C">
            <w:pPr>
              <w:widowControl w:val="0"/>
              <w:jc w:val="right"/>
              <w:rPr>
                <w:b/>
                <w:bCs/>
                <w:color w:val="000000" w:themeColor="text1"/>
                <w:sz w:val="21"/>
                <w:szCs w:val="21"/>
                <w:lang w:val="fr-FR" w:eastAsia="en-CA"/>
              </w:rPr>
            </w:pPr>
            <w:r w:rsidRPr="00A13740">
              <w:rPr>
                <w:b/>
                <w:bCs/>
                <w:color w:val="000000" w:themeColor="text1"/>
                <w:sz w:val="21"/>
                <w:szCs w:val="21"/>
                <w:lang w:val="fr-FR" w:eastAsia="fr"/>
              </w:rPr>
              <w:t>Total pour le secteur de l'entretien / UGP</w:t>
            </w:r>
          </w:p>
        </w:tc>
        <w:tc>
          <w:tcPr>
            <w:tcW w:w="577" w:type="pct"/>
            <w:tcBorders>
              <w:top w:val="single" w:sz="4" w:space="0" w:color="auto"/>
            </w:tcBorders>
          </w:tcPr>
          <w:p w:rsidR="009778FB" w:rsidRPr="00A13740" w:rsidRDefault="009778FB" w:rsidP="00F87D7C">
            <w:pPr>
              <w:widowControl w:val="0"/>
              <w:jc w:val="left"/>
              <w:rPr>
                <w:b/>
                <w:bCs/>
                <w:color w:val="000000" w:themeColor="text1"/>
                <w:sz w:val="21"/>
                <w:szCs w:val="21"/>
                <w:lang w:val="fr-FR" w:eastAsia="en-CA"/>
              </w:rPr>
            </w:pPr>
          </w:p>
        </w:tc>
        <w:tc>
          <w:tcPr>
            <w:tcW w:w="709" w:type="pct"/>
            <w:tcBorders>
              <w:top w:val="single" w:sz="4" w:space="0" w:color="auto"/>
            </w:tcBorders>
            <w:shd w:val="clear" w:color="auto" w:fill="auto"/>
          </w:tcPr>
          <w:p w:rsidR="009778FB" w:rsidRPr="00A13740" w:rsidRDefault="009778FB" w:rsidP="00F87D7C">
            <w:pPr>
              <w:widowControl w:val="0"/>
              <w:jc w:val="left"/>
              <w:rPr>
                <w:b/>
                <w:bCs/>
                <w:color w:val="000000" w:themeColor="text1"/>
                <w:sz w:val="21"/>
                <w:szCs w:val="21"/>
                <w:lang w:val="fr-FR" w:eastAsia="en-CA"/>
              </w:rPr>
            </w:pPr>
          </w:p>
        </w:tc>
        <w:tc>
          <w:tcPr>
            <w:tcW w:w="626" w:type="pct"/>
            <w:tcBorders>
              <w:top w:val="single" w:sz="4" w:space="0" w:color="auto"/>
            </w:tcBorders>
            <w:shd w:val="clear" w:color="auto" w:fill="auto"/>
            <w:tcMar>
              <w:right w:w="173" w:type="dxa"/>
            </w:tcMar>
          </w:tcPr>
          <w:p w:rsidR="009778FB" w:rsidRPr="00A13740" w:rsidRDefault="009778FB" w:rsidP="00F87D7C">
            <w:pPr>
              <w:widowControl w:val="0"/>
              <w:jc w:val="right"/>
              <w:rPr>
                <w:b/>
                <w:color w:val="000000"/>
                <w:sz w:val="21"/>
                <w:szCs w:val="21"/>
                <w:lang w:val="fr-FR"/>
              </w:rPr>
            </w:pPr>
            <w:r w:rsidRPr="00A13740">
              <w:rPr>
                <w:b/>
                <w:bCs/>
                <w:color w:val="000000"/>
                <w:sz w:val="21"/>
                <w:szCs w:val="21"/>
                <w:lang w:val="fr-FR"/>
              </w:rPr>
              <w:t>306,73</w:t>
            </w:r>
          </w:p>
        </w:tc>
        <w:tc>
          <w:tcPr>
            <w:tcW w:w="635" w:type="pct"/>
            <w:gridSpan w:val="2"/>
            <w:tcBorders>
              <w:top w:val="single" w:sz="4" w:space="0" w:color="auto"/>
            </w:tcBorders>
            <w:shd w:val="clear" w:color="auto" w:fill="auto"/>
            <w:tcMar>
              <w:left w:w="0" w:type="dxa"/>
              <w:right w:w="173" w:type="dxa"/>
            </w:tcMar>
          </w:tcPr>
          <w:p w:rsidR="009778FB" w:rsidRPr="00A13740" w:rsidRDefault="009778FB" w:rsidP="00F87D7C">
            <w:pPr>
              <w:widowControl w:val="0"/>
              <w:jc w:val="right"/>
              <w:rPr>
                <w:b/>
                <w:color w:val="000000"/>
                <w:sz w:val="21"/>
                <w:szCs w:val="21"/>
                <w:lang w:val="fr-FR"/>
              </w:rPr>
            </w:pPr>
            <w:r w:rsidRPr="00A13740">
              <w:rPr>
                <w:b/>
                <w:bCs/>
                <w:color w:val="000000"/>
                <w:sz w:val="21"/>
                <w:szCs w:val="21"/>
                <w:lang w:val="fr-FR"/>
              </w:rPr>
              <w:t>16,87</w:t>
            </w:r>
          </w:p>
        </w:tc>
        <w:tc>
          <w:tcPr>
            <w:tcW w:w="626" w:type="pct"/>
            <w:gridSpan w:val="2"/>
            <w:shd w:val="clear" w:color="auto" w:fill="auto"/>
            <w:noWrap/>
            <w:tcMar>
              <w:right w:w="173" w:type="dxa"/>
            </w:tcMar>
          </w:tcPr>
          <w:p w:rsidR="009778FB" w:rsidRPr="00A13740" w:rsidRDefault="009778FB" w:rsidP="00F87D7C">
            <w:pPr>
              <w:widowControl w:val="0"/>
              <w:jc w:val="right"/>
              <w:rPr>
                <w:b/>
                <w:color w:val="000000"/>
                <w:sz w:val="21"/>
                <w:szCs w:val="21"/>
                <w:lang w:val="fr-FR"/>
              </w:rPr>
            </w:pPr>
            <w:r w:rsidRPr="00A13740">
              <w:rPr>
                <w:b/>
                <w:bCs/>
                <w:color w:val="000000"/>
                <w:sz w:val="21"/>
                <w:szCs w:val="21"/>
                <w:lang w:val="fr-FR"/>
              </w:rPr>
              <w:t>1 106 640</w:t>
            </w:r>
          </w:p>
        </w:tc>
        <w:tc>
          <w:tcPr>
            <w:tcW w:w="623" w:type="pct"/>
            <w:gridSpan w:val="2"/>
            <w:shd w:val="clear" w:color="auto" w:fill="auto"/>
            <w:noWrap/>
            <w:tcMar>
              <w:right w:w="173" w:type="dxa"/>
            </w:tcMar>
          </w:tcPr>
          <w:p w:rsidR="009778FB" w:rsidRPr="00A13740" w:rsidRDefault="009778FB" w:rsidP="00F87D7C">
            <w:pPr>
              <w:widowControl w:val="0"/>
              <w:jc w:val="right"/>
              <w:rPr>
                <w:b/>
                <w:color w:val="000000"/>
                <w:sz w:val="21"/>
                <w:szCs w:val="21"/>
                <w:lang w:val="fr-FR"/>
              </w:rPr>
            </w:pPr>
            <w:r w:rsidRPr="00A13740">
              <w:rPr>
                <w:b/>
                <w:bCs/>
                <w:color w:val="000000"/>
                <w:sz w:val="21"/>
                <w:szCs w:val="21"/>
                <w:lang w:val="fr-FR"/>
              </w:rPr>
              <w:t>3,61</w:t>
            </w:r>
          </w:p>
        </w:tc>
      </w:tr>
      <w:tr w:rsidR="009778FB" w:rsidRPr="00A13740" w:rsidTr="00F87D7C">
        <w:trPr>
          <w:tblHeader/>
        </w:trPr>
        <w:tc>
          <w:tcPr>
            <w:tcW w:w="1204" w:type="pct"/>
            <w:tcBorders>
              <w:top w:val="single" w:sz="4" w:space="0" w:color="auto"/>
            </w:tcBorders>
            <w:shd w:val="clear" w:color="auto" w:fill="auto"/>
          </w:tcPr>
          <w:p w:rsidR="009778FB" w:rsidRPr="00A13740" w:rsidRDefault="009778FB" w:rsidP="00F87D7C">
            <w:pPr>
              <w:widowControl w:val="0"/>
              <w:jc w:val="left"/>
              <w:rPr>
                <w:b/>
                <w:bCs/>
                <w:color w:val="000000" w:themeColor="text1"/>
                <w:sz w:val="21"/>
                <w:szCs w:val="21"/>
                <w:lang w:val="fr-FR" w:eastAsia="en-CA"/>
              </w:rPr>
            </w:pPr>
            <w:r w:rsidRPr="00A13740">
              <w:rPr>
                <w:b/>
                <w:bCs/>
                <w:color w:val="000000" w:themeColor="text1"/>
                <w:sz w:val="21"/>
                <w:szCs w:val="21"/>
                <w:lang w:val="fr-FR" w:eastAsia="fr"/>
              </w:rPr>
              <w:t xml:space="preserve">Total général </w:t>
            </w:r>
          </w:p>
        </w:tc>
        <w:tc>
          <w:tcPr>
            <w:tcW w:w="577" w:type="pct"/>
            <w:tcBorders>
              <w:top w:val="single" w:sz="4" w:space="0" w:color="auto"/>
            </w:tcBorders>
          </w:tcPr>
          <w:p w:rsidR="009778FB" w:rsidRPr="00A13740" w:rsidRDefault="009778FB" w:rsidP="00F87D7C">
            <w:pPr>
              <w:widowControl w:val="0"/>
              <w:jc w:val="left"/>
              <w:rPr>
                <w:b/>
                <w:bCs/>
                <w:color w:val="000000" w:themeColor="text1"/>
                <w:sz w:val="21"/>
                <w:szCs w:val="21"/>
                <w:lang w:val="fr-FR" w:eastAsia="en-CA"/>
              </w:rPr>
            </w:pPr>
          </w:p>
        </w:tc>
        <w:tc>
          <w:tcPr>
            <w:tcW w:w="709" w:type="pct"/>
            <w:tcBorders>
              <w:top w:val="single" w:sz="4" w:space="0" w:color="auto"/>
            </w:tcBorders>
            <w:shd w:val="clear" w:color="auto" w:fill="auto"/>
          </w:tcPr>
          <w:p w:rsidR="009778FB" w:rsidRPr="00A13740" w:rsidRDefault="009778FB" w:rsidP="00F87D7C">
            <w:pPr>
              <w:widowControl w:val="0"/>
              <w:jc w:val="left"/>
              <w:rPr>
                <w:b/>
                <w:bCs/>
                <w:color w:val="000000" w:themeColor="text1"/>
                <w:sz w:val="21"/>
                <w:szCs w:val="21"/>
                <w:lang w:val="fr-FR" w:eastAsia="en-CA"/>
              </w:rPr>
            </w:pPr>
          </w:p>
        </w:tc>
        <w:tc>
          <w:tcPr>
            <w:tcW w:w="626" w:type="pct"/>
            <w:tcBorders>
              <w:top w:val="single" w:sz="4" w:space="0" w:color="auto"/>
            </w:tcBorders>
            <w:shd w:val="clear" w:color="auto" w:fill="auto"/>
            <w:tcMar>
              <w:right w:w="173" w:type="dxa"/>
            </w:tcMar>
          </w:tcPr>
          <w:p w:rsidR="009778FB" w:rsidRPr="00A13740" w:rsidRDefault="009778FB" w:rsidP="00F87D7C">
            <w:pPr>
              <w:widowControl w:val="0"/>
              <w:jc w:val="right"/>
              <w:rPr>
                <w:b/>
                <w:bCs/>
                <w:color w:val="000000" w:themeColor="text1"/>
                <w:sz w:val="21"/>
                <w:szCs w:val="21"/>
                <w:lang w:val="fr-FR" w:eastAsia="en-CA"/>
              </w:rPr>
            </w:pPr>
            <w:r w:rsidRPr="00A13740">
              <w:rPr>
                <w:b/>
                <w:bCs/>
                <w:color w:val="000000"/>
                <w:sz w:val="21"/>
                <w:szCs w:val="21"/>
                <w:lang w:val="fr-FR"/>
              </w:rPr>
              <w:t>373,73</w:t>
            </w:r>
          </w:p>
        </w:tc>
        <w:tc>
          <w:tcPr>
            <w:tcW w:w="635" w:type="pct"/>
            <w:gridSpan w:val="2"/>
            <w:tcBorders>
              <w:top w:val="single" w:sz="4" w:space="0" w:color="auto"/>
            </w:tcBorders>
            <w:shd w:val="clear" w:color="auto" w:fill="auto"/>
            <w:tcMar>
              <w:left w:w="0" w:type="dxa"/>
              <w:right w:w="173" w:type="dxa"/>
            </w:tcMar>
          </w:tcPr>
          <w:p w:rsidR="009778FB" w:rsidRPr="00A13740" w:rsidRDefault="009778FB" w:rsidP="00F87D7C">
            <w:pPr>
              <w:widowControl w:val="0"/>
              <w:jc w:val="right"/>
              <w:rPr>
                <w:b/>
                <w:bCs/>
                <w:color w:val="000000" w:themeColor="text1"/>
                <w:sz w:val="21"/>
                <w:szCs w:val="21"/>
                <w:lang w:val="fr-FR" w:eastAsia="en-CA"/>
              </w:rPr>
            </w:pPr>
            <w:r w:rsidRPr="00A13740">
              <w:rPr>
                <w:b/>
                <w:bCs/>
                <w:color w:val="000000"/>
                <w:sz w:val="21"/>
                <w:szCs w:val="21"/>
                <w:lang w:val="fr-FR"/>
              </w:rPr>
              <w:t>24,25</w:t>
            </w:r>
          </w:p>
        </w:tc>
        <w:tc>
          <w:tcPr>
            <w:tcW w:w="626" w:type="pct"/>
            <w:gridSpan w:val="2"/>
            <w:shd w:val="clear" w:color="auto" w:fill="auto"/>
            <w:noWrap/>
            <w:tcMar>
              <w:right w:w="173" w:type="dxa"/>
            </w:tcMar>
          </w:tcPr>
          <w:p w:rsidR="009778FB" w:rsidRPr="00A13740" w:rsidRDefault="009778FB" w:rsidP="00F87D7C">
            <w:pPr>
              <w:widowControl w:val="0"/>
              <w:jc w:val="right"/>
              <w:rPr>
                <w:b/>
                <w:color w:val="000000" w:themeColor="text1"/>
                <w:sz w:val="21"/>
                <w:szCs w:val="21"/>
                <w:lang w:val="fr-FR" w:eastAsia="en-CA"/>
              </w:rPr>
            </w:pPr>
            <w:r w:rsidRPr="00A13740">
              <w:rPr>
                <w:b/>
                <w:bCs/>
                <w:color w:val="000000"/>
                <w:sz w:val="21"/>
                <w:szCs w:val="21"/>
                <w:lang w:val="fr-FR"/>
              </w:rPr>
              <w:t>2 312 240</w:t>
            </w:r>
          </w:p>
        </w:tc>
        <w:tc>
          <w:tcPr>
            <w:tcW w:w="623" w:type="pct"/>
            <w:gridSpan w:val="2"/>
            <w:shd w:val="clear" w:color="auto" w:fill="auto"/>
            <w:noWrap/>
            <w:tcMar>
              <w:right w:w="173" w:type="dxa"/>
            </w:tcMar>
          </w:tcPr>
          <w:p w:rsidR="009778FB" w:rsidRPr="00A13740" w:rsidRDefault="009778FB" w:rsidP="00F87D7C">
            <w:pPr>
              <w:widowControl w:val="0"/>
              <w:jc w:val="right"/>
              <w:rPr>
                <w:b/>
                <w:bCs/>
                <w:color w:val="000000" w:themeColor="text1"/>
                <w:sz w:val="21"/>
                <w:szCs w:val="21"/>
                <w:lang w:val="fr-FR" w:eastAsia="en-CA"/>
              </w:rPr>
            </w:pPr>
            <w:r w:rsidRPr="00A13740">
              <w:rPr>
                <w:b/>
                <w:bCs/>
                <w:color w:val="000000"/>
                <w:sz w:val="21"/>
                <w:szCs w:val="21"/>
                <w:lang w:val="fr-FR"/>
              </w:rPr>
              <w:t>6,19</w:t>
            </w:r>
          </w:p>
        </w:tc>
      </w:tr>
    </w:tbl>
    <w:p w:rsidR="00D6530D" w:rsidRDefault="00D6530D" w:rsidP="00D6530D">
      <w:pPr>
        <w:pStyle w:val="StyleHeader4Para4Left0Firstline0"/>
        <w:widowControl/>
        <w:numPr>
          <w:ilvl w:val="0"/>
          <w:numId w:val="0"/>
        </w:numPr>
        <w:jc w:val="center"/>
        <w:rPr>
          <w:b/>
          <w:sz w:val="22"/>
          <w:lang w:val="fr-FR"/>
        </w:rPr>
      </w:pPr>
    </w:p>
    <w:p w:rsidR="00D6530D" w:rsidRPr="00D6530D" w:rsidRDefault="00EC53CE" w:rsidP="00D6530D">
      <w:pPr>
        <w:pStyle w:val="StyleHeader4Para4Left0Firstline0"/>
        <w:keepNext/>
        <w:widowControl/>
        <w:numPr>
          <w:ilvl w:val="0"/>
          <w:numId w:val="0"/>
        </w:numPr>
        <w:jc w:val="center"/>
        <w:rPr>
          <w:b/>
          <w:sz w:val="22"/>
          <w:lang w:val="fr-FR"/>
        </w:rPr>
      </w:pPr>
      <w:r w:rsidRPr="00A13740">
        <w:rPr>
          <w:b/>
          <w:sz w:val="22"/>
          <w:lang w:val="fr-FR"/>
        </w:rPr>
        <w:t>OBSERVATIONS ET RECOMMANDATIONS DU SECRÉTARIAT</w:t>
      </w:r>
    </w:p>
    <w:p w:rsidR="00EC53CE" w:rsidRPr="00A13740" w:rsidRDefault="00EC53CE" w:rsidP="00D6530D">
      <w:pPr>
        <w:keepNext/>
        <w:spacing w:after="240"/>
        <w:rPr>
          <w:lang w:val="fr-FR"/>
        </w:rPr>
      </w:pPr>
      <w:r w:rsidRPr="00A13740">
        <w:rPr>
          <w:b/>
          <w:lang w:val="fr-FR"/>
        </w:rPr>
        <w:t>OBSERVATIONS</w:t>
      </w:r>
    </w:p>
    <w:p w:rsidR="00EC53CE" w:rsidRPr="00A13740" w:rsidRDefault="00EC53CE" w:rsidP="00D6530D">
      <w:pPr>
        <w:pStyle w:val="Heading1"/>
        <w:rPr>
          <w:lang w:val="fr-FR"/>
        </w:rPr>
      </w:pPr>
      <w:r w:rsidRPr="00A13740">
        <w:rPr>
          <w:lang w:val="fr-FR"/>
        </w:rPr>
        <w:t>Le Secrétariat a examiné la phase II du PGEH de la Tunisie en fonction de la mise en œuvre de la phase I du PGEH (soumise à la 84</w:t>
      </w:r>
      <w:r w:rsidRPr="00A13740">
        <w:rPr>
          <w:vertAlign w:val="superscript"/>
          <w:lang w:val="fr-FR"/>
        </w:rPr>
        <w:t>e</w:t>
      </w:r>
      <w:r w:rsidRPr="00A13740">
        <w:rPr>
          <w:lang w:val="fr-FR"/>
        </w:rPr>
        <w:t xml:space="preserve"> réunion), des politiques et lignes directrices du Fonds multilatéral, notamment les critères de financement de l’élimination des HCFC dans le secteur de consommation à la phase II des PGEH (décision 74/50), et du plan d’activités 2019-2021 du Fonds multilatéral.</w:t>
      </w:r>
    </w:p>
    <w:p w:rsidR="00EC53CE" w:rsidRPr="00A13740" w:rsidRDefault="00EC53CE" w:rsidP="00EC53CE">
      <w:pPr>
        <w:spacing w:after="240"/>
        <w:rPr>
          <w:u w:val="single"/>
          <w:lang w:val="fr-FR"/>
        </w:rPr>
      </w:pPr>
      <w:r w:rsidRPr="00A13740">
        <w:rPr>
          <w:u w:val="single"/>
          <w:lang w:val="fr-FR"/>
        </w:rPr>
        <w:t xml:space="preserve">Secteur de fabrication des mousses de polyuréthane </w:t>
      </w:r>
    </w:p>
    <w:p w:rsidR="00EC53CE" w:rsidRPr="00A13740" w:rsidRDefault="00EC53CE" w:rsidP="00EC53CE">
      <w:pPr>
        <w:pStyle w:val="Heading1"/>
        <w:rPr>
          <w:lang w:val="fr-FR"/>
        </w:rPr>
      </w:pPr>
      <w:r w:rsidRPr="00A13740">
        <w:rPr>
          <w:lang w:val="fr-FR"/>
        </w:rPr>
        <w:t xml:space="preserve">Le montant total demandé au titre des surcoûts d'investissement pour la conversion aux hydrocarbures des deux entreprises fabriquant de la mousse de polyuréthane a été estimé à 1 205 600 $ US (707 300 $ US pour GAN et 498 300 $ US pour Le Panneau). Après examen par le Secrétariat des coûts associés au remplacement et/ou à la modernisation du matériel de moussage, de la nécessité d'unités de </w:t>
      </w:r>
      <w:proofErr w:type="spellStart"/>
      <w:r w:rsidRPr="00A13740">
        <w:rPr>
          <w:lang w:val="fr-FR"/>
        </w:rPr>
        <w:t>prémélange</w:t>
      </w:r>
      <w:proofErr w:type="spellEnd"/>
      <w:r w:rsidRPr="00A13740">
        <w:rPr>
          <w:lang w:val="fr-FR"/>
        </w:rPr>
        <w:t>, y compris des réservoirs de polyol et des réservoirs tampons, de la modernisation des presses, des coûts de sécurité connexes et des coûts des essais et analyses, l'ONUDI a ajusté les coûts du projet et les a fixés à 764 500 $ US (soit 451 000 $ US pour GAN et 313 500 $ US pour Le Panneau).</w:t>
      </w:r>
    </w:p>
    <w:p w:rsidR="00EC53CE" w:rsidRPr="00A13740" w:rsidRDefault="00EC53CE" w:rsidP="00EC53CE">
      <w:pPr>
        <w:pStyle w:val="Heading1"/>
        <w:rPr>
          <w:lang w:val="fr-FR"/>
        </w:rPr>
      </w:pPr>
      <w:r w:rsidRPr="00A13740">
        <w:rPr>
          <w:lang w:val="fr-FR"/>
        </w:rPr>
        <w:t xml:space="preserve">Notant que la consommation réelle de HCFC-141b contenue dans les </w:t>
      </w:r>
      <w:proofErr w:type="spellStart"/>
      <w:r w:rsidRPr="00A13740">
        <w:rPr>
          <w:lang w:val="fr-FR"/>
        </w:rPr>
        <w:t>prémélangés</w:t>
      </w:r>
      <w:proofErr w:type="spellEnd"/>
      <w:r w:rsidRPr="00A13740">
        <w:rPr>
          <w:lang w:val="fr-FR"/>
        </w:rPr>
        <w:t xml:space="preserve"> importées par les deux entreprises de production de mousse, soit 7,38 tonnes PAO, était supérieure de 2,36 tonnes PAO à la consommation restante admissible au financement de 5,02 tonnes PAO, le financement admissible pour les deux entreprises a été ajusté à 458 306 $ US, en fonction du seuil le plus sensé économiquement pour la mousse (9,79 $ US / kg pour GAN avec une consommation admissi</w:t>
      </w:r>
      <w:r>
        <w:rPr>
          <w:lang w:val="fr-FR"/>
        </w:rPr>
        <w:t xml:space="preserve">ble de 35,76 </w:t>
      </w:r>
      <w:proofErr w:type="spellStart"/>
      <w:r>
        <w:rPr>
          <w:lang w:val="fr-FR"/>
        </w:rPr>
        <w:t>tm</w:t>
      </w:r>
      <w:proofErr w:type="spellEnd"/>
      <w:r>
        <w:rPr>
          <w:lang w:val="fr-FR"/>
        </w:rPr>
        <w:t xml:space="preserve"> et 10,96 </w:t>
      </w:r>
      <w:r w:rsidRPr="00A13740">
        <w:rPr>
          <w:lang w:val="fr-FR"/>
        </w:rPr>
        <w:t xml:space="preserve">$ US / kg (taux applicables aux petites et moyennes entreprises) pour Le Panneau avec une consommation admissible de 9,88 </w:t>
      </w:r>
      <w:proofErr w:type="spellStart"/>
      <w:r w:rsidRPr="00A13740">
        <w:rPr>
          <w:lang w:val="fr-FR"/>
        </w:rPr>
        <w:t>tm</w:t>
      </w:r>
      <w:proofErr w:type="spellEnd"/>
      <w:r w:rsidRPr="00A13740">
        <w:rPr>
          <w:lang w:val="fr-FR"/>
        </w:rPr>
        <w:t xml:space="preserve">), conformément à la décision 74/50. Les coûts convenus pour le secteur des mousses de polyuréthane sont résumés dans le tableau 5 et présentent un rapport coût-efficacité global de 6,84 US$ / kg, sur la base de l'élimination effective de 67,00 </w:t>
      </w:r>
      <w:proofErr w:type="spellStart"/>
      <w:r w:rsidRPr="00A13740">
        <w:rPr>
          <w:lang w:val="fr-FR"/>
        </w:rPr>
        <w:t>tm</w:t>
      </w:r>
      <w:proofErr w:type="spellEnd"/>
      <w:r w:rsidRPr="00A13740">
        <w:rPr>
          <w:lang w:val="fr-FR"/>
        </w:rPr>
        <w:t xml:space="preserve"> (7,38 tonnes PAO) de HCFC-141b.</w:t>
      </w:r>
    </w:p>
    <w:p w:rsidR="00EC68C0" w:rsidRDefault="00EC68C0" w:rsidP="00EC53CE">
      <w:pPr>
        <w:rPr>
          <w:b/>
          <w:lang w:val="fr-FR"/>
        </w:rPr>
      </w:pPr>
    </w:p>
    <w:p w:rsidR="00EC68C0" w:rsidRDefault="00EC68C0" w:rsidP="00EC53CE">
      <w:pPr>
        <w:rPr>
          <w:b/>
          <w:lang w:val="fr-FR"/>
        </w:rPr>
      </w:pPr>
    </w:p>
    <w:p w:rsidR="00EC68C0" w:rsidRDefault="00EC68C0" w:rsidP="00EC53CE">
      <w:pPr>
        <w:rPr>
          <w:b/>
          <w:lang w:val="fr-FR"/>
        </w:rPr>
      </w:pPr>
    </w:p>
    <w:p w:rsidR="00EC53CE" w:rsidRPr="00A13740" w:rsidRDefault="00EC53CE" w:rsidP="00EC53CE">
      <w:pPr>
        <w:rPr>
          <w:b/>
          <w:lang w:val="fr-FR"/>
        </w:rPr>
      </w:pPr>
      <w:r w:rsidRPr="00A13740">
        <w:rPr>
          <w:b/>
          <w:lang w:val="fr-FR"/>
        </w:rPr>
        <w:lastRenderedPageBreak/>
        <w:t>Tableau 5 - Coût approuvé de la conversion du secteur de la mousse de polyuréthane lors de la phase II du PGEH pour la Tunisie</w:t>
      </w:r>
    </w:p>
    <w:tbl>
      <w:tblPr>
        <w:tblW w:w="5000" w:type="pct"/>
        <w:tblInd w:w="-5" w:type="dxa"/>
        <w:tblLayout w:type="fixed"/>
        <w:tblLook w:val="04A0" w:firstRow="1" w:lastRow="0" w:firstColumn="1" w:lastColumn="0" w:noHBand="0" w:noVBand="1"/>
      </w:tblPr>
      <w:tblGrid>
        <w:gridCol w:w="1390"/>
        <w:gridCol w:w="1311"/>
        <w:gridCol w:w="1313"/>
        <w:gridCol w:w="1313"/>
        <w:gridCol w:w="1313"/>
        <w:gridCol w:w="1554"/>
        <w:gridCol w:w="1156"/>
      </w:tblGrid>
      <w:tr w:rsidR="00EC53CE" w:rsidRPr="00F36C81" w:rsidTr="00BC4CB8">
        <w:tc>
          <w:tcPr>
            <w:tcW w:w="744" w:type="pct"/>
            <w:vMerge w:val="restart"/>
            <w:tcBorders>
              <w:top w:val="single" w:sz="4" w:space="0" w:color="auto"/>
              <w:left w:val="single" w:sz="4" w:space="0" w:color="auto"/>
              <w:right w:val="single" w:sz="4" w:space="0" w:color="auto"/>
            </w:tcBorders>
            <w:shd w:val="clear" w:color="auto" w:fill="auto"/>
            <w:vAlign w:val="center"/>
          </w:tcPr>
          <w:p w:rsidR="00EC53CE" w:rsidRPr="00A13740" w:rsidRDefault="00EC53CE" w:rsidP="00BB7784">
            <w:pPr>
              <w:jc w:val="left"/>
              <w:rPr>
                <w:b/>
                <w:bCs/>
                <w:color w:val="000000"/>
                <w:sz w:val="21"/>
                <w:szCs w:val="21"/>
                <w:lang w:val="fr-FR"/>
              </w:rPr>
            </w:pPr>
            <w:r w:rsidRPr="00A13740">
              <w:rPr>
                <w:b/>
                <w:bCs/>
                <w:color w:val="000000"/>
                <w:sz w:val="21"/>
                <w:szCs w:val="21"/>
                <w:lang w:val="fr-FR"/>
              </w:rPr>
              <w:t>Entreprise</w:t>
            </w:r>
          </w:p>
        </w:tc>
        <w:tc>
          <w:tcPr>
            <w:tcW w:w="2806" w:type="pct"/>
            <w:gridSpan w:val="4"/>
            <w:tcBorders>
              <w:top w:val="single" w:sz="4" w:space="0" w:color="auto"/>
              <w:left w:val="nil"/>
              <w:bottom w:val="single" w:sz="4" w:space="0" w:color="auto"/>
              <w:right w:val="single" w:sz="4" w:space="0" w:color="auto"/>
            </w:tcBorders>
            <w:shd w:val="clear" w:color="auto" w:fill="auto"/>
          </w:tcPr>
          <w:p w:rsidR="00EC53CE" w:rsidRPr="00A13740" w:rsidRDefault="00EC53CE" w:rsidP="00BB7784">
            <w:pPr>
              <w:jc w:val="center"/>
              <w:rPr>
                <w:b/>
                <w:bCs/>
                <w:color w:val="000000"/>
                <w:sz w:val="21"/>
                <w:szCs w:val="21"/>
                <w:lang w:val="fr-FR"/>
              </w:rPr>
            </w:pPr>
            <w:r w:rsidRPr="00A13740">
              <w:rPr>
                <w:b/>
                <w:bCs/>
                <w:color w:val="000000"/>
                <w:sz w:val="21"/>
                <w:szCs w:val="21"/>
                <w:lang w:val="fr-FR"/>
              </w:rPr>
              <w:t xml:space="preserve">Consommation (HCFC-141b dans les polyols </w:t>
            </w:r>
            <w:proofErr w:type="spellStart"/>
            <w:r w:rsidRPr="00A13740">
              <w:rPr>
                <w:b/>
                <w:bCs/>
                <w:color w:val="000000"/>
                <w:sz w:val="21"/>
                <w:szCs w:val="21"/>
                <w:lang w:val="fr-FR"/>
              </w:rPr>
              <w:t>prémélangés</w:t>
            </w:r>
            <w:proofErr w:type="spellEnd"/>
            <w:r w:rsidRPr="00A13740">
              <w:rPr>
                <w:b/>
                <w:bCs/>
                <w:color w:val="000000"/>
                <w:sz w:val="21"/>
                <w:szCs w:val="21"/>
                <w:lang w:val="fr-FR"/>
              </w:rPr>
              <w:t xml:space="preserve"> importés)</w:t>
            </w:r>
          </w:p>
        </w:tc>
        <w:tc>
          <w:tcPr>
            <w:tcW w:w="831" w:type="pct"/>
            <w:vMerge w:val="restart"/>
            <w:tcBorders>
              <w:top w:val="single" w:sz="4" w:space="0" w:color="auto"/>
              <w:left w:val="nil"/>
              <w:right w:val="single" w:sz="4" w:space="0" w:color="auto"/>
            </w:tcBorders>
            <w:shd w:val="clear" w:color="auto" w:fill="auto"/>
            <w:vAlign w:val="center"/>
          </w:tcPr>
          <w:p w:rsidR="00EC53CE" w:rsidRPr="00A13740" w:rsidRDefault="00EC53CE" w:rsidP="00BB7784">
            <w:pPr>
              <w:jc w:val="center"/>
              <w:rPr>
                <w:b/>
                <w:bCs/>
                <w:color w:val="000000"/>
                <w:sz w:val="21"/>
                <w:szCs w:val="21"/>
                <w:lang w:val="fr-FR"/>
              </w:rPr>
            </w:pPr>
            <w:r w:rsidRPr="00A13740">
              <w:rPr>
                <w:b/>
                <w:bCs/>
                <w:color w:val="000000"/>
                <w:sz w:val="21"/>
                <w:szCs w:val="21"/>
                <w:lang w:val="fr-FR"/>
              </w:rPr>
              <w:t>Coût ($ US)</w:t>
            </w:r>
          </w:p>
        </w:tc>
        <w:tc>
          <w:tcPr>
            <w:tcW w:w="618" w:type="pct"/>
            <w:vMerge w:val="restart"/>
            <w:tcBorders>
              <w:top w:val="single" w:sz="4" w:space="0" w:color="auto"/>
              <w:left w:val="nil"/>
              <w:right w:val="single" w:sz="4" w:space="0" w:color="auto"/>
            </w:tcBorders>
            <w:shd w:val="clear" w:color="auto" w:fill="auto"/>
            <w:vAlign w:val="center"/>
          </w:tcPr>
          <w:p w:rsidR="00EC53CE" w:rsidRPr="00A13740" w:rsidRDefault="00EC53CE" w:rsidP="00BB7784">
            <w:pPr>
              <w:jc w:val="center"/>
              <w:rPr>
                <w:b/>
                <w:bCs/>
                <w:color w:val="000000"/>
                <w:sz w:val="21"/>
                <w:szCs w:val="21"/>
                <w:lang w:val="fr-FR"/>
              </w:rPr>
            </w:pPr>
            <w:r w:rsidRPr="00A13740">
              <w:rPr>
                <w:b/>
                <w:bCs/>
                <w:color w:val="000000"/>
                <w:sz w:val="21"/>
                <w:szCs w:val="21"/>
                <w:lang w:val="fr-FR"/>
              </w:rPr>
              <w:t>Rapport coût-efficacité ($ US/kg)</w:t>
            </w:r>
          </w:p>
        </w:tc>
      </w:tr>
      <w:tr w:rsidR="00EC53CE" w:rsidRPr="00A13740" w:rsidTr="00BC4CB8">
        <w:tc>
          <w:tcPr>
            <w:tcW w:w="744" w:type="pct"/>
            <w:vMerge/>
            <w:tcBorders>
              <w:left w:val="single" w:sz="4" w:space="0" w:color="auto"/>
              <w:right w:val="single" w:sz="4" w:space="0" w:color="auto"/>
            </w:tcBorders>
            <w:shd w:val="clear" w:color="auto" w:fill="auto"/>
            <w:vAlign w:val="center"/>
            <w:hideMark/>
          </w:tcPr>
          <w:p w:rsidR="00EC53CE" w:rsidRPr="00A13740" w:rsidRDefault="00EC53CE" w:rsidP="00BB7784">
            <w:pPr>
              <w:jc w:val="left"/>
              <w:rPr>
                <w:b/>
                <w:bCs/>
                <w:color w:val="000000"/>
                <w:sz w:val="21"/>
                <w:szCs w:val="21"/>
                <w:lang w:val="fr-FR"/>
              </w:rPr>
            </w:pPr>
          </w:p>
        </w:tc>
        <w:tc>
          <w:tcPr>
            <w:tcW w:w="1403" w:type="pct"/>
            <w:gridSpan w:val="2"/>
            <w:tcBorders>
              <w:top w:val="single" w:sz="4" w:space="0" w:color="auto"/>
              <w:left w:val="nil"/>
              <w:bottom w:val="single" w:sz="4" w:space="0" w:color="auto"/>
              <w:right w:val="single" w:sz="4" w:space="0" w:color="auto"/>
            </w:tcBorders>
            <w:shd w:val="clear" w:color="auto" w:fill="auto"/>
            <w:hideMark/>
          </w:tcPr>
          <w:p w:rsidR="00EC53CE" w:rsidRPr="00A13740" w:rsidRDefault="00EC53CE" w:rsidP="00BB7784">
            <w:pPr>
              <w:jc w:val="center"/>
              <w:rPr>
                <w:b/>
                <w:bCs/>
                <w:color w:val="000000"/>
                <w:sz w:val="21"/>
                <w:szCs w:val="21"/>
                <w:lang w:val="fr-FR"/>
              </w:rPr>
            </w:pPr>
            <w:r w:rsidRPr="00A13740">
              <w:rPr>
                <w:b/>
                <w:bCs/>
                <w:color w:val="000000"/>
                <w:sz w:val="21"/>
                <w:szCs w:val="21"/>
                <w:lang w:val="fr-FR"/>
              </w:rPr>
              <w:t xml:space="preserve">Réel </w:t>
            </w:r>
          </w:p>
        </w:tc>
        <w:tc>
          <w:tcPr>
            <w:tcW w:w="1403" w:type="pct"/>
            <w:gridSpan w:val="2"/>
            <w:tcBorders>
              <w:top w:val="single" w:sz="4" w:space="0" w:color="auto"/>
              <w:left w:val="nil"/>
              <w:bottom w:val="single" w:sz="4" w:space="0" w:color="auto"/>
              <w:right w:val="single" w:sz="4" w:space="0" w:color="auto"/>
            </w:tcBorders>
            <w:shd w:val="clear" w:color="auto" w:fill="auto"/>
            <w:hideMark/>
          </w:tcPr>
          <w:p w:rsidR="00EC53CE" w:rsidRPr="00A13740" w:rsidRDefault="00EC53CE" w:rsidP="00BB7784">
            <w:pPr>
              <w:jc w:val="center"/>
              <w:rPr>
                <w:b/>
                <w:bCs/>
                <w:color w:val="000000"/>
                <w:sz w:val="21"/>
                <w:szCs w:val="21"/>
                <w:lang w:val="fr-FR"/>
              </w:rPr>
            </w:pPr>
            <w:r w:rsidRPr="00A13740">
              <w:rPr>
                <w:b/>
                <w:bCs/>
                <w:color w:val="000000"/>
                <w:sz w:val="21"/>
                <w:szCs w:val="21"/>
                <w:lang w:val="fr-FR"/>
              </w:rPr>
              <w:t>Admissible au financement</w:t>
            </w:r>
          </w:p>
        </w:tc>
        <w:tc>
          <w:tcPr>
            <w:tcW w:w="831" w:type="pct"/>
            <w:vMerge/>
            <w:tcBorders>
              <w:left w:val="nil"/>
              <w:right w:val="single" w:sz="4" w:space="0" w:color="auto"/>
            </w:tcBorders>
            <w:shd w:val="clear" w:color="auto" w:fill="auto"/>
            <w:vAlign w:val="center"/>
            <w:hideMark/>
          </w:tcPr>
          <w:p w:rsidR="00EC53CE" w:rsidRPr="00A13740" w:rsidRDefault="00EC53CE" w:rsidP="00BB7784">
            <w:pPr>
              <w:jc w:val="center"/>
              <w:rPr>
                <w:b/>
                <w:bCs/>
                <w:color w:val="000000"/>
                <w:sz w:val="21"/>
                <w:szCs w:val="21"/>
                <w:lang w:val="fr-FR"/>
              </w:rPr>
            </w:pPr>
          </w:p>
        </w:tc>
        <w:tc>
          <w:tcPr>
            <w:tcW w:w="618" w:type="pct"/>
            <w:vMerge/>
            <w:tcBorders>
              <w:left w:val="nil"/>
              <w:right w:val="single" w:sz="4" w:space="0" w:color="auto"/>
            </w:tcBorders>
            <w:shd w:val="clear" w:color="auto" w:fill="auto"/>
            <w:vAlign w:val="center"/>
            <w:hideMark/>
          </w:tcPr>
          <w:p w:rsidR="00EC53CE" w:rsidRPr="00A13740" w:rsidRDefault="00EC53CE" w:rsidP="00BB7784">
            <w:pPr>
              <w:jc w:val="center"/>
              <w:rPr>
                <w:b/>
                <w:bCs/>
                <w:color w:val="000000"/>
                <w:sz w:val="21"/>
                <w:szCs w:val="21"/>
                <w:lang w:val="fr-FR"/>
              </w:rPr>
            </w:pPr>
          </w:p>
        </w:tc>
      </w:tr>
      <w:tr w:rsidR="00EC53CE" w:rsidRPr="00A13740" w:rsidTr="00BC4CB8">
        <w:tc>
          <w:tcPr>
            <w:tcW w:w="744" w:type="pct"/>
            <w:vMerge/>
            <w:tcBorders>
              <w:left w:val="single" w:sz="4" w:space="0" w:color="auto"/>
              <w:bottom w:val="single" w:sz="4" w:space="0" w:color="auto"/>
              <w:right w:val="single" w:sz="4" w:space="0" w:color="auto"/>
            </w:tcBorders>
            <w:vAlign w:val="center"/>
            <w:hideMark/>
          </w:tcPr>
          <w:p w:rsidR="00EC53CE" w:rsidRPr="00A13740" w:rsidRDefault="00EC53CE" w:rsidP="00BB7784">
            <w:pPr>
              <w:jc w:val="center"/>
              <w:rPr>
                <w:b/>
                <w:bCs/>
                <w:color w:val="000000"/>
                <w:sz w:val="21"/>
                <w:szCs w:val="21"/>
                <w:lang w:val="fr-FR"/>
              </w:rPr>
            </w:pPr>
          </w:p>
        </w:tc>
        <w:tc>
          <w:tcPr>
            <w:tcW w:w="701" w:type="pct"/>
            <w:tcBorders>
              <w:top w:val="nil"/>
              <w:left w:val="nil"/>
              <w:bottom w:val="single" w:sz="4" w:space="0" w:color="auto"/>
              <w:right w:val="single" w:sz="4" w:space="0" w:color="auto"/>
            </w:tcBorders>
            <w:shd w:val="clear" w:color="auto" w:fill="auto"/>
            <w:vAlign w:val="center"/>
            <w:hideMark/>
          </w:tcPr>
          <w:p w:rsidR="00EC53CE" w:rsidRPr="00A13740" w:rsidRDefault="00EC53CE" w:rsidP="00BB7784">
            <w:pPr>
              <w:jc w:val="center"/>
              <w:rPr>
                <w:b/>
                <w:bCs/>
                <w:color w:val="000000"/>
                <w:sz w:val="21"/>
                <w:szCs w:val="21"/>
                <w:lang w:val="fr-FR"/>
              </w:rPr>
            </w:pPr>
            <w:proofErr w:type="spellStart"/>
            <w:r w:rsidRPr="00A13740">
              <w:rPr>
                <w:b/>
                <w:bCs/>
                <w:color w:val="000000"/>
                <w:sz w:val="21"/>
                <w:szCs w:val="21"/>
                <w:lang w:val="fr-FR"/>
              </w:rPr>
              <w:t>tm</w:t>
            </w:r>
            <w:proofErr w:type="spellEnd"/>
          </w:p>
        </w:tc>
        <w:tc>
          <w:tcPr>
            <w:tcW w:w="702" w:type="pct"/>
            <w:tcBorders>
              <w:top w:val="nil"/>
              <w:left w:val="nil"/>
              <w:bottom w:val="single" w:sz="4" w:space="0" w:color="auto"/>
              <w:right w:val="single" w:sz="4" w:space="0" w:color="auto"/>
            </w:tcBorders>
            <w:shd w:val="clear" w:color="auto" w:fill="auto"/>
            <w:vAlign w:val="center"/>
            <w:hideMark/>
          </w:tcPr>
          <w:p w:rsidR="00EC53CE" w:rsidRPr="00A13740" w:rsidRDefault="00EC53CE" w:rsidP="00BB7784">
            <w:pPr>
              <w:jc w:val="center"/>
              <w:rPr>
                <w:b/>
                <w:bCs/>
                <w:color w:val="000000"/>
                <w:sz w:val="21"/>
                <w:szCs w:val="21"/>
                <w:lang w:val="fr-FR"/>
              </w:rPr>
            </w:pPr>
            <w:r w:rsidRPr="00A13740">
              <w:rPr>
                <w:b/>
                <w:bCs/>
                <w:color w:val="000000"/>
                <w:sz w:val="21"/>
                <w:szCs w:val="21"/>
                <w:lang w:val="fr-FR"/>
              </w:rPr>
              <w:t>Tonnes PAO</w:t>
            </w:r>
          </w:p>
        </w:tc>
        <w:tc>
          <w:tcPr>
            <w:tcW w:w="702" w:type="pct"/>
            <w:tcBorders>
              <w:top w:val="nil"/>
              <w:left w:val="nil"/>
              <w:bottom w:val="single" w:sz="4" w:space="0" w:color="auto"/>
              <w:right w:val="single" w:sz="4" w:space="0" w:color="auto"/>
            </w:tcBorders>
            <w:shd w:val="clear" w:color="auto" w:fill="auto"/>
            <w:vAlign w:val="center"/>
            <w:hideMark/>
          </w:tcPr>
          <w:p w:rsidR="00EC53CE" w:rsidRPr="00A13740" w:rsidRDefault="00EC53CE" w:rsidP="00BB7784">
            <w:pPr>
              <w:jc w:val="center"/>
              <w:rPr>
                <w:b/>
                <w:bCs/>
                <w:color w:val="000000"/>
                <w:sz w:val="21"/>
                <w:szCs w:val="21"/>
                <w:lang w:val="fr-FR"/>
              </w:rPr>
            </w:pPr>
            <w:proofErr w:type="spellStart"/>
            <w:r w:rsidRPr="00A13740">
              <w:rPr>
                <w:b/>
                <w:bCs/>
                <w:color w:val="000000"/>
                <w:sz w:val="21"/>
                <w:szCs w:val="21"/>
                <w:lang w:val="fr-FR"/>
              </w:rPr>
              <w:t>tm</w:t>
            </w:r>
            <w:proofErr w:type="spellEnd"/>
          </w:p>
        </w:tc>
        <w:tc>
          <w:tcPr>
            <w:tcW w:w="702" w:type="pct"/>
            <w:tcBorders>
              <w:top w:val="nil"/>
              <w:left w:val="nil"/>
              <w:bottom w:val="single" w:sz="4" w:space="0" w:color="auto"/>
              <w:right w:val="single" w:sz="4" w:space="0" w:color="auto"/>
            </w:tcBorders>
            <w:shd w:val="clear" w:color="auto" w:fill="auto"/>
            <w:vAlign w:val="center"/>
            <w:hideMark/>
          </w:tcPr>
          <w:p w:rsidR="00EC53CE" w:rsidRPr="00A13740" w:rsidRDefault="00EC53CE" w:rsidP="00BB7784">
            <w:pPr>
              <w:jc w:val="center"/>
              <w:rPr>
                <w:b/>
                <w:bCs/>
                <w:color w:val="000000"/>
                <w:sz w:val="21"/>
                <w:szCs w:val="21"/>
                <w:lang w:val="fr-FR"/>
              </w:rPr>
            </w:pPr>
            <w:r w:rsidRPr="00A13740">
              <w:rPr>
                <w:b/>
                <w:bCs/>
                <w:color w:val="000000"/>
                <w:sz w:val="21"/>
                <w:szCs w:val="21"/>
                <w:lang w:val="fr-FR"/>
              </w:rPr>
              <w:t>Tonnes PAO</w:t>
            </w:r>
          </w:p>
        </w:tc>
        <w:tc>
          <w:tcPr>
            <w:tcW w:w="831" w:type="pct"/>
            <w:vMerge/>
            <w:tcBorders>
              <w:left w:val="nil"/>
              <w:bottom w:val="single" w:sz="4" w:space="0" w:color="auto"/>
              <w:right w:val="single" w:sz="4" w:space="0" w:color="auto"/>
            </w:tcBorders>
            <w:shd w:val="clear" w:color="auto" w:fill="auto"/>
            <w:vAlign w:val="center"/>
            <w:hideMark/>
          </w:tcPr>
          <w:p w:rsidR="00EC53CE" w:rsidRPr="00A13740" w:rsidRDefault="00EC53CE" w:rsidP="00BB7784">
            <w:pPr>
              <w:jc w:val="center"/>
              <w:rPr>
                <w:b/>
                <w:bCs/>
                <w:color w:val="000000"/>
                <w:sz w:val="21"/>
                <w:szCs w:val="21"/>
                <w:lang w:val="fr-FR"/>
              </w:rPr>
            </w:pPr>
          </w:p>
        </w:tc>
        <w:tc>
          <w:tcPr>
            <w:tcW w:w="618" w:type="pct"/>
            <w:vMerge/>
            <w:tcBorders>
              <w:left w:val="nil"/>
              <w:bottom w:val="single" w:sz="4" w:space="0" w:color="auto"/>
              <w:right w:val="single" w:sz="4" w:space="0" w:color="auto"/>
            </w:tcBorders>
            <w:shd w:val="clear" w:color="auto" w:fill="auto"/>
            <w:vAlign w:val="center"/>
            <w:hideMark/>
          </w:tcPr>
          <w:p w:rsidR="00EC53CE" w:rsidRPr="00A13740" w:rsidRDefault="00EC53CE" w:rsidP="00BB7784">
            <w:pPr>
              <w:jc w:val="center"/>
              <w:rPr>
                <w:b/>
                <w:bCs/>
                <w:color w:val="000000"/>
                <w:sz w:val="21"/>
                <w:szCs w:val="21"/>
                <w:lang w:val="fr-FR"/>
              </w:rPr>
            </w:pPr>
          </w:p>
        </w:tc>
      </w:tr>
      <w:tr w:rsidR="00EC53CE" w:rsidRPr="00A13740" w:rsidTr="00BC4CB8">
        <w:tc>
          <w:tcPr>
            <w:tcW w:w="744" w:type="pct"/>
            <w:tcBorders>
              <w:top w:val="nil"/>
              <w:left w:val="single" w:sz="4" w:space="0" w:color="auto"/>
              <w:bottom w:val="single" w:sz="4" w:space="0" w:color="auto"/>
              <w:right w:val="single" w:sz="4" w:space="0" w:color="auto"/>
            </w:tcBorders>
            <w:shd w:val="clear" w:color="auto" w:fill="auto"/>
            <w:noWrap/>
            <w:vAlign w:val="bottom"/>
          </w:tcPr>
          <w:p w:rsidR="00EC53CE" w:rsidRPr="00A13740" w:rsidRDefault="00EC53CE" w:rsidP="00BB7784">
            <w:pPr>
              <w:jc w:val="left"/>
              <w:rPr>
                <w:color w:val="000000"/>
                <w:sz w:val="21"/>
                <w:szCs w:val="21"/>
                <w:lang w:val="fr-FR"/>
              </w:rPr>
            </w:pPr>
            <w:r w:rsidRPr="00A13740">
              <w:rPr>
                <w:color w:val="000000"/>
                <w:sz w:val="21"/>
                <w:szCs w:val="21"/>
                <w:lang w:val="fr-FR"/>
              </w:rPr>
              <w:t>GAN</w:t>
            </w:r>
          </w:p>
        </w:tc>
        <w:tc>
          <w:tcPr>
            <w:tcW w:w="701" w:type="pct"/>
            <w:tcBorders>
              <w:top w:val="nil"/>
              <w:left w:val="nil"/>
              <w:bottom w:val="single" w:sz="4" w:space="0" w:color="auto"/>
              <w:right w:val="single" w:sz="4" w:space="0" w:color="auto"/>
            </w:tcBorders>
            <w:shd w:val="clear" w:color="auto" w:fill="auto"/>
            <w:noWrap/>
          </w:tcPr>
          <w:p w:rsidR="00EC53CE" w:rsidRPr="00A13740" w:rsidRDefault="00EC53CE" w:rsidP="00BB7784">
            <w:pPr>
              <w:jc w:val="right"/>
              <w:rPr>
                <w:color w:val="000000"/>
                <w:sz w:val="21"/>
                <w:szCs w:val="21"/>
                <w:lang w:val="fr-FR"/>
              </w:rPr>
            </w:pPr>
            <w:r w:rsidRPr="00A13740">
              <w:rPr>
                <w:color w:val="000000"/>
                <w:sz w:val="21"/>
                <w:szCs w:val="21"/>
                <w:lang w:val="fr-FR"/>
              </w:rPr>
              <w:t>52,5</w:t>
            </w:r>
          </w:p>
        </w:tc>
        <w:tc>
          <w:tcPr>
            <w:tcW w:w="702" w:type="pct"/>
            <w:tcBorders>
              <w:top w:val="nil"/>
              <w:left w:val="nil"/>
              <w:bottom w:val="single" w:sz="4" w:space="0" w:color="auto"/>
              <w:right w:val="single" w:sz="4" w:space="0" w:color="auto"/>
            </w:tcBorders>
            <w:shd w:val="clear" w:color="auto" w:fill="auto"/>
            <w:noWrap/>
          </w:tcPr>
          <w:p w:rsidR="00EC53CE" w:rsidRPr="00A13740" w:rsidRDefault="00EC53CE" w:rsidP="00BB7784">
            <w:pPr>
              <w:jc w:val="right"/>
              <w:rPr>
                <w:color w:val="000000"/>
                <w:sz w:val="21"/>
                <w:szCs w:val="21"/>
                <w:lang w:val="fr-FR"/>
              </w:rPr>
            </w:pPr>
            <w:r w:rsidRPr="00A13740">
              <w:rPr>
                <w:color w:val="000000"/>
                <w:sz w:val="21"/>
                <w:szCs w:val="21"/>
                <w:lang w:val="fr-FR"/>
              </w:rPr>
              <w:t>5,78</w:t>
            </w:r>
          </w:p>
        </w:tc>
        <w:tc>
          <w:tcPr>
            <w:tcW w:w="702" w:type="pct"/>
            <w:tcBorders>
              <w:top w:val="nil"/>
              <w:left w:val="nil"/>
              <w:bottom w:val="single" w:sz="4" w:space="0" w:color="auto"/>
              <w:right w:val="single" w:sz="4" w:space="0" w:color="auto"/>
            </w:tcBorders>
            <w:shd w:val="clear" w:color="auto" w:fill="auto"/>
            <w:noWrap/>
          </w:tcPr>
          <w:p w:rsidR="00EC53CE" w:rsidRPr="00A13740" w:rsidRDefault="00EC53CE" w:rsidP="00BB7784">
            <w:pPr>
              <w:jc w:val="right"/>
              <w:rPr>
                <w:color w:val="000000"/>
                <w:sz w:val="21"/>
                <w:szCs w:val="21"/>
                <w:lang w:val="fr-FR"/>
              </w:rPr>
            </w:pPr>
            <w:r w:rsidRPr="00A13740">
              <w:rPr>
                <w:color w:val="000000"/>
                <w:sz w:val="21"/>
                <w:szCs w:val="21"/>
                <w:lang w:val="fr-FR"/>
              </w:rPr>
              <w:t>35,76</w:t>
            </w:r>
          </w:p>
        </w:tc>
        <w:tc>
          <w:tcPr>
            <w:tcW w:w="702" w:type="pct"/>
            <w:tcBorders>
              <w:top w:val="nil"/>
              <w:left w:val="nil"/>
              <w:bottom w:val="single" w:sz="4" w:space="0" w:color="auto"/>
              <w:right w:val="single" w:sz="4" w:space="0" w:color="auto"/>
            </w:tcBorders>
            <w:shd w:val="clear" w:color="auto" w:fill="auto"/>
            <w:noWrap/>
          </w:tcPr>
          <w:p w:rsidR="00EC53CE" w:rsidRPr="00A13740" w:rsidRDefault="00EC53CE" w:rsidP="00BB7784">
            <w:pPr>
              <w:jc w:val="right"/>
              <w:rPr>
                <w:color w:val="000000"/>
                <w:sz w:val="21"/>
                <w:szCs w:val="21"/>
                <w:lang w:val="fr-FR"/>
              </w:rPr>
            </w:pPr>
            <w:r w:rsidRPr="00A13740">
              <w:rPr>
                <w:color w:val="000000"/>
                <w:sz w:val="21"/>
                <w:szCs w:val="21"/>
                <w:lang w:val="fr-FR"/>
              </w:rPr>
              <w:t>3,93</w:t>
            </w:r>
          </w:p>
        </w:tc>
        <w:tc>
          <w:tcPr>
            <w:tcW w:w="831" w:type="pct"/>
            <w:tcBorders>
              <w:top w:val="nil"/>
              <w:left w:val="nil"/>
              <w:bottom w:val="single" w:sz="4" w:space="0" w:color="auto"/>
              <w:right w:val="single" w:sz="4" w:space="0" w:color="auto"/>
            </w:tcBorders>
            <w:shd w:val="clear" w:color="auto" w:fill="auto"/>
            <w:noWrap/>
          </w:tcPr>
          <w:p w:rsidR="00EC53CE" w:rsidRPr="00A13740" w:rsidRDefault="00EC53CE" w:rsidP="00BB7784">
            <w:pPr>
              <w:jc w:val="right"/>
              <w:rPr>
                <w:color w:val="000000"/>
                <w:sz w:val="21"/>
                <w:szCs w:val="21"/>
                <w:lang w:val="fr-FR"/>
              </w:rPr>
            </w:pPr>
            <w:r w:rsidRPr="00A13740">
              <w:rPr>
                <w:color w:val="000000"/>
                <w:sz w:val="21"/>
                <w:szCs w:val="21"/>
                <w:lang w:val="fr-FR"/>
              </w:rPr>
              <w:t xml:space="preserve">350 001 </w:t>
            </w:r>
          </w:p>
        </w:tc>
        <w:tc>
          <w:tcPr>
            <w:tcW w:w="618" w:type="pct"/>
            <w:tcBorders>
              <w:top w:val="nil"/>
              <w:left w:val="nil"/>
              <w:bottom w:val="single" w:sz="4" w:space="0" w:color="auto"/>
              <w:right w:val="single" w:sz="4" w:space="0" w:color="auto"/>
            </w:tcBorders>
            <w:shd w:val="clear" w:color="auto" w:fill="auto"/>
          </w:tcPr>
          <w:p w:rsidR="00EC53CE" w:rsidRPr="00A13740" w:rsidRDefault="00EC53CE" w:rsidP="00BB7784">
            <w:pPr>
              <w:jc w:val="right"/>
              <w:rPr>
                <w:color w:val="000000"/>
                <w:sz w:val="21"/>
                <w:szCs w:val="21"/>
                <w:lang w:val="fr-FR"/>
              </w:rPr>
            </w:pPr>
            <w:r w:rsidRPr="00A13740">
              <w:rPr>
                <w:color w:val="000000"/>
                <w:sz w:val="21"/>
                <w:szCs w:val="21"/>
                <w:lang w:val="fr-FR"/>
              </w:rPr>
              <w:t>9,79</w:t>
            </w:r>
          </w:p>
        </w:tc>
      </w:tr>
      <w:tr w:rsidR="00EC53CE" w:rsidRPr="00A13740" w:rsidTr="00BC4CB8">
        <w:tc>
          <w:tcPr>
            <w:tcW w:w="744" w:type="pct"/>
            <w:tcBorders>
              <w:top w:val="nil"/>
              <w:left w:val="single" w:sz="4" w:space="0" w:color="auto"/>
              <w:bottom w:val="single" w:sz="4" w:space="0" w:color="auto"/>
              <w:right w:val="single" w:sz="4" w:space="0" w:color="auto"/>
            </w:tcBorders>
            <w:shd w:val="clear" w:color="auto" w:fill="auto"/>
            <w:noWrap/>
            <w:vAlign w:val="bottom"/>
            <w:hideMark/>
          </w:tcPr>
          <w:p w:rsidR="00EC53CE" w:rsidRPr="00A13740" w:rsidRDefault="00EC53CE" w:rsidP="00BB7784">
            <w:pPr>
              <w:jc w:val="left"/>
              <w:rPr>
                <w:color w:val="000000"/>
                <w:sz w:val="21"/>
                <w:szCs w:val="21"/>
                <w:lang w:val="fr-FR"/>
              </w:rPr>
            </w:pPr>
            <w:r w:rsidRPr="00A13740">
              <w:rPr>
                <w:color w:val="000000"/>
                <w:sz w:val="21"/>
                <w:szCs w:val="21"/>
                <w:lang w:val="fr-FR"/>
              </w:rPr>
              <w:t>Le Panneau</w:t>
            </w:r>
          </w:p>
        </w:tc>
        <w:tc>
          <w:tcPr>
            <w:tcW w:w="701" w:type="pct"/>
            <w:tcBorders>
              <w:top w:val="nil"/>
              <w:left w:val="nil"/>
              <w:bottom w:val="single" w:sz="4" w:space="0" w:color="auto"/>
              <w:right w:val="single" w:sz="4" w:space="0" w:color="auto"/>
            </w:tcBorders>
            <w:shd w:val="clear" w:color="auto" w:fill="auto"/>
            <w:noWrap/>
            <w:hideMark/>
          </w:tcPr>
          <w:p w:rsidR="00EC53CE" w:rsidRPr="00A13740" w:rsidRDefault="00EC53CE" w:rsidP="00BB7784">
            <w:pPr>
              <w:jc w:val="right"/>
              <w:rPr>
                <w:color w:val="000000"/>
                <w:sz w:val="21"/>
                <w:szCs w:val="21"/>
                <w:lang w:val="fr-FR"/>
              </w:rPr>
            </w:pPr>
            <w:r w:rsidRPr="00A13740">
              <w:rPr>
                <w:color w:val="000000"/>
                <w:sz w:val="21"/>
                <w:szCs w:val="21"/>
                <w:lang w:val="fr-FR"/>
              </w:rPr>
              <w:t>14,5</w:t>
            </w:r>
          </w:p>
        </w:tc>
        <w:tc>
          <w:tcPr>
            <w:tcW w:w="702" w:type="pct"/>
            <w:tcBorders>
              <w:top w:val="nil"/>
              <w:left w:val="nil"/>
              <w:bottom w:val="single" w:sz="4" w:space="0" w:color="auto"/>
              <w:right w:val="single" w:sz="4" w:space="0" w:color="auto"/>
            </w:tcBorders>
            <w:shd w:val="clear" w:color="auto" w:fill="auto"/>
            <w:noWrap/>
            <w:hideMark/>
          </w:tcPr>
          <w:p w:rsidR="00EC53CE" w:rsidRPr="00A13740" w:rsidRDefault="00EC53CE" w:rsidP="00BB7784">
            <w:pPr>
              <w:jc w:val="right"/>
              <w:rPr>
                <w:color w:val="000000"/>
                <w:sz w:val="21"/>
                <w:szCs w:val="21"/>
                <w:lang w:val="fr-FR"/>
              </w:rPr>
            </w:pPr>
            <w:r w:rsidRPr="00A13740">
              <w:rPr>
                <w:color w:val="000000"/>
                <w:sz w:val="21"/>
                <w:szCs w:val="21"/>
                <w:lang w:val="fr-FR"/>
              </w:rPr>
              <w:t>1,60</w:t>
            </w:r>
          </w:p>
        </w:tc>
        <w:tc>
          <w:tcPr>
            <w:tcW w:w="702" w:type="pct"/>
            <w:tcBorders>
              <w:top w:val="nil"/>
              <w:left w:val="nil"/>
              <w:bottom w:val="single" w:sz="4" w:space="0" w:color="auto"/>
              <w:right w:val="single" w:sz="4" w:space="0" w:color="auto"/>
            </w:tcBorders>
            <w:shd w:val="clear" w:color="auto" w:fill="auto"/>
            <w:noWrap/>
            <w:hideMark/>
          </w:tcPr>
          <w:p w:rsidR="00EC53CE" w:rsidRPr="00A13740" w:rsidRDefault="00EC53CE" w:rsidP="00BB7784">
            <w:pPr>
              <w:jc w:val="right"/>
              <w:rPr>
                <w:color w:val="000000"/>
                <w:sz w:val="21"/>
                <w:szCs w:val="21"/>
                <w:lang w:val="fr-FR"/>
              </w:rPr>
            </w:pPr>
            <w:r w:rsidRPr="00A13740">
              <w:rPr>
                <w:color w:val="000000"/>
                <w:sz w:val="21"/>
                <w:szCs w:val="21"/>
                <w:lang w:val="fr-FR"/>
              </w:rPr>
              <w:t>9,88</w:t>
            </w:r>
          </w:p>
        </w:tc>
        <w:tc>
          <w:tcPr>
            <w:tcW w:w="702" w:type="pct"/>
            <w:tcBorders>
              <w:top w:val="nil"/>
              <w:left w:val="nil"/>
              <w:bottom w:val="single" w:sz="4" w:space="0" w:color="auto"/>
              <w:right w:val="single" w:sz="4" w:space="0" w:color="auto"/>
            </w:tcBorders>
            <w:shd w:val="clear" w:color="auto" w:fill="auto"/>
            <w:noWrap/>
            <w:hideMark/>
          </w:tcPr>
          <w:p w:rsidR="00EC53CE" w:rsidRPr="00A13740" w:rsidRDefault="00EC53CE" w:rsidP="00BB7784">
            <w:pPr>
              <w:jc w:val="right"/>
              <w:rPr>
                <w:color w:val="000000"/>
                <w:sz w:val="21"/>
                <w:szCs w:val="21"/>
                <w:lang w:val="fr-FR"/>
              </w:rPr>
            </w:pPr>
            <w:r w:rsidRPr="00A13740">
              <w:rPr>
                <w:color w:val="000000"/>
                <w:sz w:val="21"/>
                <w:szCs w:val="21"/>
                <w:lang w:val="fr-FR"/>
              </w:rPr>
              <w:t>1,09</w:t>
            </w:r>
          </w:p>
        </w:tc>
        <w:tc>
          <w:tcPr>
            <w:tcW w:w="831" w:type="pct"/>
            <w:tcBorders>
              <w:top w:val="nil"/>
              <w:left w:val="nil"/>
              <w:bottom w:val="single" w:sz="4" w:space="0" w:color="auto"/>
              <w:right w:val="single" w:sz="4" w:space="0" w:color="auto"/>
            </w:tcBorders>
            <w:shd w:val="clear" w:color="auto" w:fill="auto"/>
            <w:noWrap/>
            <w:hideMark/>
          </w:tcPr>
          <w:p w:rsidR="00EC53CE" w:rsidRPr="00A13740" w:rsidRDefault="00EC53CE" w:rsidP="00BB7784">
            <w:pPr>
              <w:jc w:val="right"/>
              <w:rPr>
                <w:color w:val="000000"/>
                <w:sz w:val="21"/>
                <w:szCs w:val="21"/>
                <w:lang w:val="fr-FR"/>
              </w:rPr>
            </w:pPr>
            <w:r w:rsidRPr="00A13740">
              <w:rPr>
                <w:color w:val="000000"/>
                <w:sz w:val="21"/>
                <w:szCs w:val="21"/>
                <w:lang w:val="fr-FR"/>
              </w:rPr>
              <w:t xml:space="preserve">108 305 </w:t>
            </w:r>
          </w:p>
        </w:tc>
        <w:tc>
          <w:tcPr>
            <w:tcW w:w="618" w:type="pct"/>
            <w:tcBorders>
              <w:top w:val="single" w:sz="4" w:space="0" w:color="auto"/>
              <w:left w:val="nil"/>
              <w:bottom w:val="single" w:sz="4" w:space="0" w:color="auto"/>
              <w:right w:val="single" w:sz="4" w:space="0" w:color="auto"/>
            </w:tcBorders>
            <w:shd w:val="clear" w:color="auto" w:fill="auto"/>
            <w:hideMark/>
          </w:tcPr>
          <w:p w:rsidR="00EC53CE" w:rsidRPr="00A13740" w:rsidRDefault="00EC53CE" w:rsidP="00BB7784">
            <w:pPr>
              <w:jc w:val="right"/>
              <w:rPr>
                <w:color w:val="000000"/>
                <w:sz w:val="21"/>
                <w:szCs w:val="21"/>
                <w:lang w:val="fr-FR"/>
              </w:rPr>
            </w:pPr>
            <w:r w:rsidRPr="00A13740">
              <w:rPr>
                <w:color w:val="000000"/>
                <w:sz w:val="21"/>
                <w:szCs w:val="21"/>
                <w:lang w:val="fr-FR"/>
              </w:rPr>
              <w:t>10,96</w:t>
            </w:r>
          </w:p>
        </w:tc>
      </w:tr>
      <w:tr w:rsidR="00EC53CE" w:rsidRPr="00A13740" w:rsidTr="00BC4CB8">
        <w:tc>
          <w:tcPr>
            <w:tcW w:w="744" w:type="pct"/>
            <w:tcBorders>
              <w:top w:val="nil"/>
              <w:left w:val="single" w:sz="4" w:space="0" w:color="auto"/>
              <w:bottom w:val="single" w:sz="4" w:space="0" w:color="auto"/>
              <w:right w:val="single" w:sz="4" w:space="0" w:color="auto"/>
            </w:tcBorders>
            <w:shd w:val="clear" w:color="auto" w:fill="auto"/>
            <w:noWrap/>
            <w:vAlign w:val="bottom"/>
            <w:hideMark/>
          </w:tcPr>
          <w:p w:rsidR="00EC53CE" w:rsidRPr="00A13740" w:rsidRDefault="00EC53CE" w:rsidP="00BB7784">
            <w:pPr>
              <w:jc w:val="left"/>
              <w:rPr>
                <w:b/>
                <w:color w:val="000000"/>
                <w:sz w:val="21"/>
                <w:szCs w:val="21"/>
                <w:lang w:val="fr-FR"/>
              </w:rPr>
            </w:pPr>
            <w:r w:rsidRPr="00A13740">
              <w:rPr>
                <w:b/>
                <w:color w:val="000000"/>
                <w:sz w:val="21"/>
                <w:szCs w:val="21"/>
                <w:lang w:val="fr-FR"/>
              </w:rPr>
              <w:t>Total</w:t>
            </w:r>
          </w:p>
        </w:tc>
        <w:tc>
          <w:tcPr>
            <w:tcW w:w="701" w:type="pct"/>
            <w:tcBorders>
              <w:top w:val="nil"/>
              <w:left w:val="nil"/>
              <w:bottom w:val="single" w:sz="4" w:space="0" w:color="auto"/>
              <w:right w:val="nil"/>
            </w:tcBorders>
            <w:shd w:val="clear" w:color="auto" w:fill="auto"/>
            <w:noWrap/>
            <w:hideMark/>
          </w:tcPr>
          <w:p w:rsidR="00EC53CE" w:rsidRPr="00A13740" w:rsidRDefault="00EC53CE" w:rsidP="00BB7784">
            <w:pPr>
              <w:jc w:val="right"/>
              <w:rPr>
                <w:b/>
                <w:color w:val="000000"/>
                <w:sz w:val="21"/>
                <w:szCs w:val="21"/>
                <w:lang w:val="fr-FR"/>
              </w:rPr>
            </w:pPr>
            <w:r w:rsidRPr="00A13740">
              <w:rPr>
                <w:b/>
                <w:color w:val="000000"/>
                <w:sz w:val="21"/>
                <w:szCs w:val="21"/>
                <w:lang w:val="fr-FR"/>
              </w:rPr>
              <w:t>67,0</w:t>
            </w:r>
          </w:p>
        </w:tc>
        <w:tc>
          <w:tcPr>
            <w:tcW w:w="702" w:type="pct"/>
            <w:tcBorders>
              <w:top w:val="nil"/>
              <w:left w:val="single" w:sz="4" w:space="0" w:color="auto"/>
              <w:bottom w:val="single" w:sz="4" w:space="0" w:color="auto"/>
              <w:right w:val="single" w:sz="4" w:space="0" w:color="auto"/>
            </w:tcBorders>
            <w:shd w:val="clear" w:color="auto" w:fill="auto"/>
            <w:noWrap/>
            <w:hideMark/>
          </w:tcPr>
          <w:p w:rsidR="00EC53CE" w:rsidRPr="00A13740" w:rsidRDefault="00EC53CE" w:rsidP="00BB7784">
            <w:pPr>
              <w:jc w:val="right"/>
              <w:rPr>
                <w:b/>
                <w:color w:val="000000"/>
                <w:sz w:val="21"/>
                <w:szCs w:val="21"/>
                <w:lang w:val="fr-FR"/>
              </w:rPr>
            </w:pPr>
            <w:r w:rsidRPr="00A13740">
              <w:rPr>
                <w:b/>
                <w:color w:val="000000"/>
                <w:sz w:val="21"/>
                <w:szCs w:val="21"/>
                <w:lang w:val="fr-FR"/>
              </w:rPr>
              <w:t>7,38</w:t>
            </w:r>
          </w:p>
        </w:tc>
        <w:tc>
          <w:tcPr>
            <w:tcW w:w="702" w:type="pct"/>
            <w:tcBorders>
              <w:top w:val="nil"/>
              <w:left w:val="nil"/>
              <w:bottom w:val="single" w:sz="4" w:space="0" w:color="auto"/>
              <w:right w:val="single" w:sz="4" w:space="0" w:color="auto"/>
            </w:tcBorders>
            <w:shd w:val="clear" w:color="auto" w:fill="auto"/>
            <w:noWrap/>
            <w:hideMark/>
          </w:tcPr>
          <w:p w:rsidR="00EC53CE" w:rsidRPr="00A13740" w:rsidRDefault="00EC53CE" w:rsidP="00BB7784">
            <w:pPr>
              <w:jc w:val="right"/>
              <w:rPr>
                <w:b/>
                <w:color w:val="000000"/>
                <w:sz w:val="21"/>
                <w:szCs w:val="21"/>
                <w:lang w:val="fr-FR"/>
              </w:rPr>
            </w:pPr>
            <w:r w:rsidRPr="00A13740">
              <w:rPr>
                <w:b/>
                <w:color w:val="000000"/>
                <w:sz w:val="21"/>
                <w:szCs w:val="21"/>
                <w:lang w:val="fr-FR"/>
              </w:rPr>
              <w:t>45,64</w:t>
            </w:r>
          </w:p>
        </w:tc>
        <w:tc>
          <w:tcPr>
            <w:tcW w:w="702" w:type="pct"/>
            <w:tcBorders>
              <w:top w:val="nil"/>
              <w:left w:val="nil"/>
              <w:bottom w:val="single" w:sz="4" w:space="0" w:color="auto"/>
              <w:right w:val="single" w:sz="4" w:space="0" w:color="auto"/>
            </w:tcBorders>
            <w:shd w:val="clear" w:color="auto" w:fill="auto"/>
            <w:noWrap/>
            <w:hideMark/>
          </w:tcPr>
          <w:p w:rsidR="00EC53CE" w:rsidRPr="00A13740" w:rsidRDefault="00EC53CE" w:rsidP="00BB7784">
            <w:pPr>
              <w:jc w:val="right"/>
              <w:rPr>
                <w:b/>
                <w:color w:val="000000"/>
                <w:sz w:val="21"/>
                <w:szCs w:val="21"/>
                <w:lang w:val="fr-FR"/>
              </w:rPr>
            </w:pPr>
            <w:r w:rsidRPr="00A13740">
              <w:rPr>
                <w:b/>
                <w:color w:val="000000"/>
                <w:sz w:val="21"/>
                <w:szCs w:val="21"/>
                <w:lang w:val="fr-FR"/>
              </w:rPr>
              <w:t>5,02</w:t>
            </w:r>
          </w:p>
        </w:tc>
        <w:tc>
          <w:tcPr>
            <w:tcW w:w="831" w:type="pct"/>
            <w:tcBorders>
              <w:top w:val="nil"/>
              <w:left w:val="nil"/>
              <w:bottom w:val="single" w:sz="4" w:space="0" w:color="auto"/>
              <w:right w:val="single" w:sz="4" w:space="0" w:color="auto"/>
            </w:tcBorders>
            <w:shd w:val="clear" w:color="auto" w:fill="auto"/>
            <w:noWrap/>
            <w:hideMark/>
          </w:tcPr>
          <w:p w:rsidR="00EC53CE" w:rsidRPr="00A13740" w:rsidRDefault="00EC53CE" w:rsidP="00BB7784">
            <w:pPr>
              <w:jc w:val="right"/>
              <w:rPr>
                <w:b/>
                <w:color w:val="000000"/>
                <w:sz w:val="21"/>
                <w:szCs w:val="21"/>
                <w:lang w:val="fr-FR"/>
              </w:rPr>
            </w:pPr>
            <w:r w:rsidRPr="00A13740">
              <w:rPr>
                <w:b/>
                <w:color w:val="000000"/>
                <w:sz w:val="21"/>
                <w:szCs w:val="21"/>
                <w:lang w:val="fr-FR"/>
              </w:rPr>
              <w:t>458 306</w:t>
            </w:r>
          </w:p>
        </w:tc>
        <w:tc>
          <w:tcPr>
            <w:tcW w:w="618" w:type="pct"/>
            <w:tcBorders>
              <w:top w:val="nil"/>
              <w:left w:val="nil"/>
              <w:bottom w:val="single" w:sz="4" w:space="0" w:color="auto"/>
              <w:right w:val="single" w:sz="4" w:space="0" w:color="auto"/>
            </w:tcBorders>
            <w:shd w:val="clear" w:color="auto" w:fill="auto"/>
            <w:noWrap/>
            <w:hideMark/>
          </w:tcPr>
          <w:p w:rsidR="00EC53CE" w:rsidRPr="00A13740" w:rsidRDefault="00EC53CE" w:rsidP="00BB7784">
            <w:pPr>
              <w:jc w:val="right"/>
              <w:rPr>
                <w:b/>
                <w:color w:val="000000"/>
                <w:sz w:val="21"/>
                <w:szCs w:val="21"/>
                <w:lang w:val="fr-FR"/>
              </w:rPr>
            </w:pPr>
            <w:r w:rsidRPr="00A13740">
              <w:rPr>
                <w:b/>
                <w:color w:val="000000"/>
                <w:sz w:val="21"/>
                <w:szCs w:val="21"/>
                <w:lang w:val="fr-FR"/>
              </w:rPr>
              <w:t>10,04</w:t>
            </w:r>
          </w:p>
        </w:tc>
      </w:tr>
    </w:tbl>
    <w:p w:rsidR="00EC53CE" w:rsidRPr="00A13740" w:rsidRDefault="00EC53CE" w:rsidP="00EC53CE">
      <w:pPr>
        <w:rPr>
          <w:lang w:val="fr-FR"/>
        </w:rPr>
      </w:pPr>
    </w:p>
    <w:p w:rsidR="00EC53CE" w:rsidRPr="00A13740" w:rsidRDefault="00EC53CE" w:rsidP="00EC53CE">
      <w:pPr>
        <w:pStyle w:val="Heading1"/>
        <w:keepNext/>
        <w:keepLines/>
        <w:numPr>
          <w:ilvl w:val="0"/>
          <w:numId w:val="0"/>
        </w:numPr>
        <w:rPr>
          <w:i/>
          <w:lang w:val="fr-FR"/>
        </w:rPr>
      </w:pPr>
      <w:r w:rsidRPr="00A13740">
        <w:rPr>
          <w:i/>
          <w:lang w:val="fr-FR"/>
        </w:rPr>
        <w:t>Secteur de l’entretien en réfrigération</w:t>
      </w:r>
    </w:p>
    <w:p w:rsidR="00EC53CE" w:rsidRPr="00A13740" w:rsidRDefault="00EC53CE" w:rsidP="00EC53CE">
      <w:pPr>
        <w:pStyle w:val="Heading1"/>
        <w:keepNext/>
        <w:keepLines/>
        <w:rPr>
          <w:lang w:val="fr-FR"/>
        </w:rPr>
      </w:pPr>
      <w:r w:rsidRPr="00A13740">
        <w:rPr>
          <w:lang w:val="fr-FR"/>
        </w:rPr>
        <w:t xml:space="preserve">Le Secrétariat a discuté de la façon dont les diverses activités du secteur de l’entretien viendront compléter et soutenir les activités qui ont été mises en œuvre à la phase I. L’ONUDI a indiqué que les activités proposées s'appuieront sur celles qui sont mises en œuvre durant la phase I ; la formation des techniciens en entretien appuiera et renforcera le système de certification qui sera mis en œuvre durant la phase II ; la capacité des formateurs à appuyer les centres de formation créés lors de la phase I sera renforcée par la fourniture d'outils de service aux techniciens des ateliers non enregistrés et le renforcement de deux centres de récupération et de recyclage. La formation des agents des douanes et des autres membres des forces de l'ordre continuera à renforcer le suivi et l'application des réglementations en matière de SAO et sera appuyée par la fourniture d'identifiants des réfrigérants aux postes de douane. </w:t>
      </w:r>
    </w:p>
    <w:p w:rsidR="00EC53CE" w:rsidRPr="00A13740" w:rsidRDefault="00EC53CE" w:rsidP="00EC53CE">
      <w:pPr>
        <w:pStyle w:val="Heading1"/>
        <w:rPr>
          <w:lang w:val="fr-FR"/>
        </w:rPr>
      </w:pPr>
      <w:r w:rsidRPr="00A13740">
        <w:rPr>
          <w:lang w:val="fr-FR"/>
        </w:rPr>
        <w:t>Le Gouvernement est conscient des décisions 72/17 et 73/34 et ne favorise ni n'encourage le rééquipement des équipements de climatisation à base de HCFC avec des réfrigérants inflammables ; toutefois, la formation des techniciens comprendra des aspects liés à la manipulation et à la gestion en toute sécurité des réfrigérants inflammables, de sorte que les techniciens soient déjà formés lorsque des équipements à base de réfrigérants inflammables seront importés en Tunisie.</w:t>
      </w:r>
    </w:p>
    <w:p w:rsidR="00EC53CE" w:rsidRPr="00A13740" w:rsidRDefault="00EC53CE" w:rsidP="00EC53CE">
      <w:pPr>
        <w:pStyle w:val="Heading1"/>
        <w:rPr>
          <w:lang w:val="fr-FR"/>
        </w:rPr>
      </w:pPr>
      <w:r w:rsidRPr="00A13740">
        <w:rPr>
          <w:lang w:val="fr-FR"/>
        </w:rPr>
        <w:t xml:space="preserve">Le Secrétariat considère que l'approche présentée pour le secteur de l'entretien des installations frigorifiques répond aux priorités identifiées lors de la phase II et permettrait l'élimination durable du HCFC-22. Sur la base d'une consommation financée de 230,55 </w:t>
      </w:r>
      <w:proofErr w:type="spellStart"/>
      <w:r w:rsidRPr="00A13740">
        <w:rPr>
          <w:lang w:val="fr-FR"/>
        </w:rPr>
        <w:t>tm</w:t>
      </w:r>
      <w:proofErr w:type="spellEnd"/>
      <w:r w:rsidRPr="00A13740">
        <w:rPr>
          <w:lang w:val="fr-FR"/>
        </w:rPr>
        <w:t xml:space="preserve"> (12,68 tonnes PAO) de HCFC-22 à éliminer dans le service après-vente, le financement total a été fixé à 1 106 640 $ US, soit 4,80 $ US / kg.</w:t>
      </w:r>
    </w:p>
    <w:p w:rsidR="00EC53CE" w:rsidRPr="00A13740" w:rsidRDefault="00EC53CE" w:rsidP="00EC53CE">
      <w:pPr>
        <w:pStyle w:val="Heading1"/>
        <w:numPr>
          <w:ilvl w:val="0"/>
          <w:numId w:val="0"/>
        </w:numPr>
        <w:rPr>
          <w:i/>
          <w:lang w:val="fr-FR"/>
        </w:rPr>
      </w:pPr>
      <w:r w:rsidRPr="00A13740">
        <w:rPr>
          <w:i/>
          <w:lang w:val="fr-FR"/>
        </w:rPr>
        <w:t>Unité de mise en œuvre et de suivi du projet (UGP)</w:t>
      </w:r>
    </w:p>
    <w:p w:rsidR="00EC53CE" w:rsidRPr="00A13740" w:rsidRDefault="00EC53CE" w:rsidP="00EC53CE">
      <w:pPr>
        <w:pStyle w:val="Heading1"/>
        <w:widowControl w:val="0"/>
        <w:rPr>
          <w:u w:val="single"/>
          <w:lang w:val="fr-FR"/>
        </w:rPr>
      </w:pPr>
      <w:r w:rsidRPr="00A13740">
        <w:rPr>
          <w:lang w:val="fr-FR"/>
        </w:rPr>
        <w:t>Le Secrétariat a noté que le financement des activités de l'UGP serait mis en œuvre sur une période de cinq ans et comprendrait des activités de gestion de projet, de suivi et de vérification. Compte tenu de cela, les fonds de l'UGP ont été fixés à 85 000 $ US, avec l’élimination correspondante de</w:t>
      </w:r>
      <w:r>
        <w:rPr>
          <w:lang w:val="fr-FR"/>
        </w:rPr>
        <w:t xml:space="preserve"> HCFC</w:t>
      </w:r>
      <w:r>
        <w:rPr>
          <w:lang w:val="fr-FR"/>
        </w:rPr>
        <w:noBreakHyphen/>
      </w:r>
      <w:r w:rsidRPr="00A13740">
        <w:rPr>
          <w:lang w:val="fr-FR"/>
        </w:rPr>
        <w:t>22 étant de 0,97 tonne PAO.</w:t>
      </w:r>
    </w:p>
    <w:p w:rsidR="00EC53CE" w:rsidRPr="00A13740" w:rsidRDefault="00EC53CE" w:rsidP="00EC53CE">
      <w:pPr>
        <w:pStyle w:val="Heading1"/>
        <w:widowControl w:val="0"/>
        <w:numPr>
          <w:ilvl w:val="0"/>
          <w:numId w:val="0"/>
        </w:numPr>
        <w:rPr>
          <w:lang w:val="fr-FR"/>
        </w:rPr>
      </w:pPr>
      <w:r w:rsidRPr="00A13740">
        <w:rPr>
          <w:u w:val="single"/>
          <w:lang w:val="fr-FR"/>
        </w:rPr>
        <w:t>Coûts convenus pour la phase II du PGEH</w:t>
      </w:r>
    </w:p>
    <w:p w:rsidR="00EC53CE" w:rsidRPr="00A13740" w:rsidRDefault="00EC53CE" w:rsidP="00EC53CE">
      <w:pPr>
        <w:pStyle w:val="Heading1"/>
        <w:widowControl w:val="0"/>
        <w:rPr>
          <w:lang w:val="fr-FR"/>
        </w:rPr>
      </w:pPr>
      <w:r w:rsidRPr="00A13740">
        <w:rPr>
          <w:lang w:val="fr-FR"/>
        </w:rPr>
        <w:t>Sur la base de ce qui précède, les coûts totaux pour la phase II ont été fixés à 1 564 946 $ US pour l'élimination totale réelle de 24,25 tonnes PAO (7,38 tonnes PAO de HCFC-141b et 16,87 tonnes PAO de HCFC-22), comme indiqué dans le tableau 7. Le rapport coût-efficacité du projet est de 4,19 $ US / kg.</w:t>
      </w:r>
    </w:p>
    <w:p w:rsidR="00E928D9" w:rsidRDefault="00E928D9">
      <w:pPr>
        <w:jc w:val="left"/>
        <w:rPr>
          <w:b/>
          <w:lang w:val="fr-FR"/>
        </w:rPr>
      </w:pPr>
      <w:r>
        <w:rPr>
          <w:b/>
          <w:lang w:val="fr-FR"/>
        </w:rPr>
        <w:br w:type="page"/>
      </w:r>
    </w:p>
    <w:p w:rsidR="00EC53CE" w:rsidRDefault="00EC53CE" w:rsidP="00F36C81">
      <w:pPr>
        <w:widowControl w:val="0"/>
        <w:rPr>
          <w:b/>
          <w:lang w:val="fr-FR"/>
        </w:rPr>
      </w:pPr>
      <w:r w:rsidRPr="00A13740">
        <w:rPr>
          <w:b/>
          <w:lang w:val="fr-FR"/>
        </w:rPr>
        <w:lastRenderedPageBreak/>
        <w:t>Tableau </w:t>
      </w:r>
      <w:r w:rsidR="00F36C81">
        <w:rPr>
          <w:b/>
          <w:lang w:val="fr-FR"/>
        </w:rPr>
        <w:t>6</w:t>
      </w:r>
      <w:r w:rsidRPr="00A13740">
        <w:rPr>
          <w:b/>
          <w:lang w:val="fr-FR"/>
        </w:rPr>
        <w:t xml:space="preserve"> - </w:t>
      </w:r>
      <w:r w:rsidRPr="00A13740">
        <w:rPr>
          <w:lang w:val="fr-FR"/>
        </w:rPr>
        <w:t xml:space="preserve"> </w:t>
      </w:r>
      <w:r w:rsidRPr="00A13740">
        <w:rPr>
          <w:b/>
          <w:lang w:val="fr-FR"/>
        </w:rPr>
        <w:t>Coûts approuvés pour la phase II du PGEH pour la Tunisie</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1"/>
        <w:gridCol w:w="1079"/>
        <w:gridCol w:w="1326"/>
        <w:gridCol w:w="1171"/>
        <w:gridCol w:w="9"/>
        <w:gridCol w:w="1178"/>
        <w:gridCol w:w="1165"/>
        <w:gridCol w:w="6"/>
        <w:gridCol w:w="1159"/>
        <w:gridCol w:w="6"/>
      </w:tblGrid>
      <w:tr w:rsidR="00BC4CB8" w:rsidRPr="00F36C81" w:rsidTr="00BC4CB8">
        <w:trPr>
          <w:gridAfter w:val="1"/>
          <w:wAfter w:w="3" w:type="pct"/>
          <w:tblHeader/>
        </w:trPr>
        <w:tc>
          <w:tcPr>
            <w:tcW w:w="1204" w:type="pct"/>
            <w:vMerge w:val="restart"/>
            <w:shd w:val="clear" w:color="auto" w:fill="auto"/>
            <w:vAlign w:val="center"/>
          </w:tcPr>
          <w:p w:rsidR="00BC4CB8" w:rsidRPr="00A13740" w:rsidRDefault="00BC4CB8" w:rsidP="006E6B8F">
            <w:pPr>
              <w:jc w:val="left"/>
              <w:rPr>
                <w:b/>
                <w:bCs/>
                <w:color w:val="000000" w:themeColor="text1"/>
                <w:sz w:val="21"/>
                <w:szCs w:val="21"/>
                <w:lang w:val="fr-FR" w:eastAsia="en-CA"/>
              </w:rPr>
            </w:pPr>
            <w:r w:rsidRPr="00A13740">
              <w:rPr>
                <w:b/>
                <w:bCs/>
                <w:color w:val="000000" w:themeColor="text1"/>
                <w:sz w:val="21"/>
                <w:szCs w:val="21"/>
                <w:lang w:val="fr-FR" w:eastAsia="fr"/>
              </w:rPr>
              <w:t>Secteur/composant</w:t>
            </w:r>
          </w:p>
        </w:tc>
        <w:tc>
          <w:tcPr>
            <w:tcW w:w="577" w:type="pct"/>
            <w:vMerge w:val="restart"/>
            <w:vAlign w:val="center"/>
          </w:tcPr>
          <w:p w:rsidR="00BC4CB8" w:rsidRPr="00A13740" w:rsidRDefault="00BC4CB8" w:rsidP="006E6B8F">
            <w:pPr>
              <w:jc w:val="left"/>
              <w:rPr>
                <w:b/>
                <w:bCs/>
                <w:color w:val="000000" w:themeColor="text1"/>
                <w:sz w:val="21"/>
                <w:szCs w:val="21"/>
                <w:lang w:val="fr-FR" w:eastAsia="en-CA"/>
              </w:rPr>
            </w:pPr>
            <w:r w:rsidRPr="00A13740">
              <w:rPr>
                <w:b/>
                <w:bCs/>
                <w:color w:val="000000" w:themeColor="text1"/>
                <w:sz w:val="21"/>
                <w:szCs w:val="21"/>
                <w:lang w:val="fr-FR" w:eastAsia="fr"/>
              </w:rPr>
              <w:t>Agence</w:t>
            </w:r>
          </w:p>
        </w:tc>
        <w:tc>
          <w:tcPr>
            <w:tcW w:w="709" w:type="pct"/>
            <w:vMerge w:val="restart"/>
            <w:shd w:val="clear" w:color="auto" w:fill="auto"/>
            <w:vAlign w:val="center"/>
          </w:tcPr>
          <w:p w:rsidR="00BC4CB8" w:rsidRPr="00A13740" w:rsidRDefault="00BC4CB8" w:rsidP="006E6B8F">
            <w:pPr>
              <w:jc w:val="left"/>
              <w:rPr>
                <w:b/>
                <w:bCs/>
                <w:color w:val="000000" w:themeColor="text1"/>
                <w:sz w:val="21"/>
                <w:szCs w:val="21"/>
                <w:lang w:val="fr-FR" w:eastAsia="en-CA"/>
              </w:rPr>
            </w:pPr>
            <w:r w:rsidRPr="00A13740">
              <w:rPr>
                <w:b/>
                <w:bCs/>
                <w:color w:val="000000" w:themeColor="text1"/>
                <w:sz w:val="21"/>
                <w:szCs w:val="21"/>
                <w:lang w:val="fr-FR" w:eastAsia="fr"/>
              </w:rPr>
              <w:t>Substance</w:t>
            </w:r>
          </w:p>
        </w:tc>
        <w:tc>
          <w:tcPr>
            <w:tcW w:w="1261" w:type="pct"/>
            <w:gridSpan w:val="3"/>
            <w:shd w:val="clear" w:color="auto" w:fill="auto"/>
            <w:vAlign w:val="center"/>
          </w:tcPr>
          <w:p w:rsidR="00BC4CB8" w:rsidRPr="00A13740" w:rsidRDefault="00BC4CB8" w:rsidP="006E6B8F">
            <w:pPr>
              <w:jc w:val="center"/>
              <w:rPr>
                <w:b/>
                <w:bCs/>
                <w:color w:val="000000" w:themeColor="text1"/>
                <w:sz w:val="21"/>
                <w:szCs w:val="21"/>
                <w:lang w:val="fr-FR" w:eastAsia="en-CA"/>
              </w:rPr>
            </w:pPr>
            <w:r w:rsidRPr="00A13740">
              <w:rPr>
                <w:b/>
                <w:bCs/>
                <w:color w:val="000000" w:themeColor="text1"/>
                <w:sz w:val="21"/>
                <w:szCs w:val="21"/>
                <w:lang w:val="fr-FR" w:eastAsia="fr"/>
              </w:rPr>
              <w:t>Élimination des HCFC</w:t>
            </w:r>
          </w:p>
        </w:tc>
        <w:tc>
          <w:tcPr>
            <w:tcW w:w="623" w:type="pct"/>
            <w:vMerge w:val="restart"/>
            <w:shd w:val="clear" w:color="auto" w:fill="auto"/>
            <w:vAlign w:val="center"/>
          </w:tcPr>
          <w:p w:rsidR="00BC4CB8" w:rsidRPr="00A13740" w:rsidRDefault="00BC4CB8" w:rsidP="006E6B8F">
            <w:pPr>
              <w:jc w:val="center"/>
              <w:rPr>
                <w:b/>
                <w:bCs/>
                <w:color w:val="000000" w:themeColor="text1"/>
                <w:sz w:val="21"/>
                <w:szCs w:val="21"/>
                <w:lang w:val="fr-FR" w:eastAsia="en-CA"/>
              </w:rPr>
            </w:pPr>
            <w:r w:rsidRPr="00A13740">
              <w:rPr>
                <w:b/>
                <w:bCs/>
                <w:color w:val="000000" w:themeColor="text1"/>
                <w:sz w:val="21"/>
                <w:szCs w:val="21"/>
                <w:lang w:val="fr-FR" w:eastAsia="fr"/>
              </w:rPr>
              <w:t>Coût ($ US)</w:t>
            </w:r>
          </w:p>
        </w:tc>
        <w:tc>
          <w:tcPr>
            <w:tcW w:w="623" w:type="pct"/>
            <w:gridSpan w:val="2"/>
            <w:vMerge w:val="restart"/>
            <w:shd w:val="clear" w:color="auto" w:fill="auto"/>
            <w:vAlign w:val="center"/>
          </w:tcPr>
          <w:p w:rsidR="00BC4CB8" w:rsidRPr="00A13740" w:rsidRDefault="00BC4CB8" w:rsidP="006E6B8F">
            <w:pPr>
              <w:jc w:val="center"/>
              <w:rPr>
                <w:b/>
                <w:bCs/>
                <w:color w:val="000000" w:themeColor="text1"/>
                <w:sz w:val="21"/>
                <w:szCs w:val="21"/>
                <w:lang w:val="fr-FR" w:eastAsia="en-CA"/>
              </w:rPr>
            </w:pPr>
            <w:r w:rsidRPr="00A13740">
              <w:rPr>
                <w:b/>
                <w:bCs/>
                <w:color w:val="000000" w:themeColor="text1"/>
                <w:sz w:val="21"/>
                <w:szCs w:val="21"/>
                <w:lang w:val="fr-FR" w:eastAsia="fr"/>
              </w:rPr>
              <w:t>Rapport coût-efficacité ($ US/kg)</w:t>
            </w:r>
          </w:p>
        </w:tc>
      </w:tr>
      <w:tr w:rsidR="00BC4CB8" w:rsidRPr="00A13740" w:rsidTr="00BC4CB8">
        <w:trPr>
          <w:gridAfter w:val="1"/>
          <w:wAfter w:w="3" w:type="pct"/>
          <w:tblHeader/>
        </w:trPr>
        <w:tc>
          <w:tcPr>
            <w:tcW w:w="1204" w:type="pct"/>
            <w:vMerge/>
            <w:shd w:val="clear" w:color="auto" w:fill="auto"/>
            <w:vAlign w:val="center"/>
            <w:hideMark/>
          </w:tcPr>
          <w:p w:rsidR="00BC4CB8" w:rsidRPr="00A13740" w:rsidRDefault="00BC4CB8" w:rsidP="006E6B8F">
            <w:pPr>
              <w:jc w:val="left"/>
              <w:rPr>
                <w:b/>
                <w:bCs/>
                <w:color w:val="000000" w:themeColor="text1"/>
                <w:sz w:val="21"/>
                <w:szCs w:val="21"/>
                <w:lang w:val="fr-FR" w:eastAsia="en-CA"/>
              </w:rPr>
            </w:pPr>
          </w:p>
        </w:tc>
        <w:tc>
          <w:tcPr>
            <w:tcW w:w="577" w:type="pct"/>
            <w:vMerge/>
            <w:vAlign w:val="center"/>
          </w:tcPr>
          <w:p w:rsidR="00BC4CB8" w:rsidRPr="00A13740" w:rsidRDefault="00BC4CB8" w:rsidP="006E6B8F">
            <w:pPr>
              <w:jc w:val="left"/>
              <w:rPr>
                <w:b/>
                <w:bCs/>
                <w:color w:val="000000" w:themeColor="text1"/>
                <w:sz w:val="21"/>
                <w:szCs w:val="21"/>
                <w:lang w:val="fr-FR" w:eastAsia="en-CA"/>
              </w:rPr>
            </w:pPr>
          </w:p>
        </w:tc>
        <w:tc>
          <w:tcPr>
            <w:tcW w:w="709" w:type="pct"/>
            <w:vMerge/>
            <w:shd w:val="clear" w:color="auto" w:fill="auto"/>
            <w:vAlign w:val="center"/>
            <w:hideMark/>
          </w:tcPr>
          <w:p w:rsidR="00BC4CB8" w:rsidRPr="00A13740" w:rsidRDefault="00BC4CB8" w:rsidP="006E6B8F">
            <w:pPr>
              <w:jc w:val="left"/>
              <w:rPr>
                <w:b/>
                <w:bCs/>
                <w:color w:val="000000" w:themeColor="text1"/>
                <w:sz w:val="21"/>
                <w:szCs w:val="21"/>
                <w:lang w:val="fr-FR" w:eastAsia="en-CA"/>
              </w:rPr>
            </w:pPr>
          </w:p>
        </w:tc>
        <w:tc>
          <w:tcPr>
            <w:tcW w:w="631" w:type="pct"/>
            <w:gridSpan w:val="2"/>
            <w:shd w:val="clear" w:color="auto" w:fill="auto"/>
            <w:vAlign w:val="center"/>
            <w:hideMark/>
          </w:tcPr>
          <w:p w:rsidR="00BC4CB8" w:rsidRPr="00A13740" w:rsidRDefault="00BC4CB8" w:rsidP="006E6B8F">
            <w:pPr>
              <w:jc w:val="left"/>
              <w:rPr>
                <w:b/>
                <w:bCs/>
                <w:color w:val="000000" w:themeColor="text1"/>
                <w:sz w:val="21"/>
                <w:szCs w:val="21"/>
                <w:lang w:val="fr-FR" w:eastAsia="en-CA"/>
              </w:rPr>
            </w:pPr>
            <w:proofErr w:type="spellStart"/>
            <w:r w:rsidRPr="00A13740">
              <w:rPr>
                <w:b/>
                <w:bCs/>
                <w:color w:val="000000" w:themeColor="text1"/>
                <w:sz w:val="21"/>
                <w:szCs w:val="21"/>
                <w:lang w:val="fr-FR" w:eastAsia="fr"/>
              </w:rPr>
              <w:t>tm</w:t>
            </w:r>
            <w:proofErr w:type="spellEnd"/>
          </w:p>
        </w:tc>
        <w:tc>
          <w:tcPr>
            <w:tcW w:w="630" w:type="pct"/>
            <w:shd w:val="clear" w:color="auto" w:fill="auto"/>
            <w:tcMar>
              <w:left w:w="0" w:type="dxa"/>
              <w:right w:w="0" w:type="dxa"/>
            </w:tcMar>
            <w:vAlign w:val="center"/>
            <w:hideMark/>
          </w:tcPr>
          <w:p w:rsidR="00BC4CB8" w:rsidRPr="00A13740" w:rsidRDefault="00BC4CB8" w:rsidP="006E6B8F">
            <w:pPr>
              <w:jc w:val="left"/>
              <w:rPr>
                <w:b/>
                <w:bCs/>
                <w:color w:val="000000" w:themeColor="text1"/>
                <w:sz w:val="21"/>
                <w:szCs w:val="21"/>
                <w:lang w:val="fr-FR" w:eastAsia="en-CA"/>
              </w:rPr>
            </w:pPr>
            <w:r w:rsidRPr="00A13740">
              <w:rPr>
                <w:b/>
                <w:bCs/>
                <w:color w:val="000000" w:themeColor="text1"/>
                <w:sz w:val="21"/>
                <w:szCs w:val="21"/>
                <w:lang w:val="fr-FR" w:eastAsia="fr"/>
              </w:rPr>
              <w:t>Tonnes PAO</w:t>
            </w:r>
          </w:p>
        </w:tc>
        <w:tc>
          <w:tcPr>
            <w:tcW w:w="623" w:type="pct"/>
            <w:vMerge/>
            <w:shd w:val="clear" w:color="auto" w:fill="auto"/>
            <w:noWrap/>
            <w:vAlign w:val="center"/>
            <w:hideMark/>
          </w:tcPr>
          <w:p w:rsidR="00BC4CB8" w:rsidRPr="00A13740" w:rsidRDefault="00BC4CB8" w:rsidP="006E6B8F">
            <w:pPr>
              <w:jc w:val="left"/>
              <w:rPr>
                <w:color w:val="000000" w:themeColor="text1"/>
                <w:sz w:val="21"/>
                <w:szCs w:val="21"/>
                <w:lang w:val="fr-FR" w:eastAsia="en-CA"/>
              </w:rPr>
            </w:pPr>
          </w:p>
        </w:tc>
        <w:tc>
          <w:tcPr>
            <w:tcW w:w="623" w:type="pct"/>
            <w:gridSpan w:val="2"/>
            <w:vMerge/>
            <w:shd w:val="clear" w:color="auto" w:fill="auto"/>
            <w:noWrap/>
            <w:vAlign w:val="center"/>
            <w:hideMark/>
          </w:tcPr>
          <w:p w:rsidR="00BC4CB8" w:rsidRPr="00A13740" w:rsidRDefault="00BC4CB8" w:rsidP="006E6B8F">
            <w:pPr>
              <w:jc w:val="left"/>
              <w:rPr>
                <w:b/>
                <w:bCs/>
                <w:color w:val="000000" w:themeColor="text1"/>
                <w:sz w:val="21"/>
                <w:szCs w:val="21"/>
                <w:lang w:val="fr-FR" w:eastAsia="en-CA"/>
              </w:rPr>
            </w:pPr>
          </w:p>
        </w:tc>
      </w:tr>
      <w:tr w:rsidR="00BC4CB8" w:rsidRPr="00A13740" w:rsidTr="00BC4CB8">
        <w:trPr>
          <w:tblHeader/>
        </w:trPr>
        <w:tc>
          <w:tcPr>
            <w:tcW w:w="5000" w:type="pct"/>
            <w:gridSpan w:val="10"/>
            <w:shd w:val="clear" w:color="auto" w:fill="auto"/>
            <w:vAlign w:val="center"/>
          </w:tcPr>
          <w:p w:rsidR="00BC4CB8" w:rsidRPr="00A13740" w:rsidRDefault="00BC4CB8" w:rsidP="006E6B8F">
            <w:pPr>
              <w:jc w:val="left"/>
              <w:rPr>
                <w:bCs/>
                <w:color w:val="000000" w:themeColor="text1"/>
                <w:sz w:val="21"/>
                <w:szCs w:val="21"/>
                <w:lang w:val="fr-FR" w:eastAsia="en-CA"/>
              </w:rPr>
            </w:pPr>
            <w:r w:rsidRPr="00A13740">
              <w:rPr>
                <w:b/>
                <w:bCs/>
                <w:color w:val="000000" w:themeColor="text1"/>
                <w:sz w:val="21"/>
                <w:szCs w:val="21"/>
                <w:lang w:val="fr-FR" w:eastAsia="fr"/>
              </w:rPr>
              <w:t>Secteur de la mousse</w:t>
            </w:r>
          </w:p>
        </w:tc>
      </w:tr>
      <w:tr w:rsidR="00BC4CB8" w:rsidRPr="00A13740" w:rsidTr="00BC4CB8">
        <w:trPr>
          <w:tblHeader/>
        </w:trPr>
        <w:tc>
          <w:tcPr>
            <w:tcW w:w="1204" w:type="pct"/>
            <w:tcBorders>
              <w:bottom w:val="single" w:sz="4" w:space="0" w:color="auto"/>
            </w:tcBorders>
            <w:shd w:val="clear" w:color="auto" w:fill="auto"/>
            <w:vAlign w:val="center"/>
          </w:tcPr>
          <w:p w:rsidR="00BC4CB8" w:rsidRPr="00A13740" w:rsidRDefault="00BC4CB8" w:rsidP="006E6B8F">
            <w:pPr>
              <w:widowControl w:val="0"/>
              <w:jc w:val="left"/>
              <w:rPr>
                <w:bCs/>
                <w:color w:val="000000" w:themeColor="text1"/>
                <w:sz w:val="21"/>
                <w:szCs w:val="21"/>
                <w:lang w:val="fr-FR" w:eastAsia="en-CA"/>
              </w:rPr>
            </w:pPr>
            <w:r w:rsidRPr="00A13740">
              <w:rPr>
                <w:sz w:val="21"/>
                <w:szCs w:val="21"/>
                <w:lang w:val="fr-FR"/>
              </w:rPr>
              <w:t>GAN*</w:t>
            </w:r>
          </w:p>
        </w:tc>
        <w:tc>
          <w:tcPr>
            <w:tcW w:w="577" w:type="pct"/>
            <w:tcBorders>
              <w:bottom w:val="single" w:sz="4" w:space="0" w:color="auto"/>
            </w:tcBorders>
            <w:vAlign w:val="center"/>
          </w:tcPr>
          <w:p w:rsidR="00BC4CB8" w:rsidRPr="00A13740" w:rsidRDefault="00BC4CB8" w:rsidP="006E6B8F">
            <w:pPr>
              <w:widowControl w:val="0"/>
              <w:jc w:val="left"/>
              <w:rPr>
                <w:bCs/>
                <w:color w:val="000000" w:themeColor="text1"/>
                <w:sz w:val="21"/>
                <w:szCs w:val="21"/>
                <w:lang w:val="fr-FR" w:eastAsia="en-CA"/>
              </w:rPr>
            </w:pPr>
            <w:r w:rsidRPr="00A13740">
              <w:rPr>
                <w:sz w:val="21"/>
                <w:szCs w:val="21"/>
                <w:lang w:val="fr-FR"/>
              </w:rPr>
              <w:t>ONUDI</w:t>
            </w:r>
          </w:p>
        </w:tc>
        <w:tc>
          <w:tcPr>
            <w:tcW w:w="709" w:type="pct"/>
            <w:tcBorders>
              <w:bottom w:val="single" w:sz="4" w:space="0" w:color="auto"/>
            </w:tcBorders>
            <w:shd w:val="clear" w:color="auto" w:fill="auto"/>
            <w:vAlign w:val="center"/>
          </w:tcPr>
          <w:p w:rsidR="00BC4CB8" w:rsidRPr="00A13740" w:rsidRDefault="00BC4CB8" w:rsidP="006E6B8F">
            <w:pPr>
              <w:widowControl w:val="0"/>
              <w:jc w:val="left"/>
              <w:rPr>
                <w:bCs/>
                <w:color w:val="000000" w:themeColor="text1"/>
                <w:sz w:val="21"/>
                <w:szCs w:val="21"/>
                <w:lang w:val="fr-FR" w:eastAsia="en-CA"/>
              </w:rPr>
            </w:pPr>
            <w:r w:rsidRPr="00A13740">
              <w:rPr>
                <w:sz w:val="21"/>
                <w:szCs w:val="21"/>
                <w:lang w:val="fr-FR"/>
              </w:rPr>
              <w:t>HCFC-141b</w:t>
            </w:r>
          </w:p>
        </w:tc>
        <w:tc>
          <w:tcPr>
            <w:tcW w:w="626" w:type="pct"/>
            <w:tcBorders>
              <w:bottom w:val="single" w:sz="4" w:space="0" w:color="auto"/>
            </w:tcBorders>
            <w:shd w:val="clear" w:color="auto" w:fill="auto"/>
            <w:tcMar>
              <w:right w:w="216" w:type="dxa"/>
            </w:tcMar>
          </w:tcPr>
          <w:p w:rsidR="00BC4CB8" w:rsidRPr="00A13740" w:rsidRDefault="00BC4CB8" w:rsidP="006E6B8F">
            <w:pPr>
              <w:widowControl w:val="0"/>
              <w:jc w:val="right"/>
              <w:rPr>
                <w:sz w:val="21"/>
                <w:szCs w:val="21"/>
                <w:lang w:val="fr-FR"/>
              </w:rPr>
            </w:pPr>
            <w:r w:rsidRPr="00A13740">
              <w:rPr>
                <w:sz w:val="21"/>
                <w:szCs w:val="21"/>
                <w:lang w:val="fr-FR"/>
              </w:rPr>
              <w:t>52,50</w:t>
            </w:r>
          </w:p>
        </w:tc>
        <w:tc>
          <w:tcPr>
            <w:tcW w:w="635" w:type="pct"/>
            <w:gridSpan w:val="2"/>
            <w:tcBorders>
              <w:bottom w:val="single" w:sz="4" w:space="0" w:color="auto"/>
            </w:tcBorders>
            <w:shd w:val="clear" w:color="auto" w:fill="auto"/>
            <w:tcMar>
              <w:left w:w="0" w:type="dxa"/>
              <w:right w:w="216" w:type="dxa"/>
            </w:tcMar>
          </w:tcPr>
          <w:p w:rsidR="00BC4CB8" w:rsidRPr="00A13740" w:rsidRDefault="00BC4CB8" w:rsidP="006E6B8F">
            <w:pPr>
              <w:widowControl w:val="0"/>
              <w:jc w:val="right"/>
              <w:rPr>
                <w:sz w:val="21"/>
                <w:szCs w:val="21"/>
                <w:lang w:val="fr-FR"/>
              </w:rPr>
            </w:pPr>
            <w:r w:rsidRPr="00A13740">
              <w:rPr>
                <w:sz w:val="21"/>
                <w:szCs w:val="21"/>
                <w:lang w:val="fr-FR"/>
              </w:rPr>
              <w:t>5,78</w:t>
            </w:r>
          </w:p>
        </w:tc>
        <w:tc>
          <w:tcPr>
            <w:tcW w:w="626" w:type="pct"/>
            <w:gridSpan w:val="2"/>
            <w:shd w:val="clear" w:color="auto" w:fill="auto"/>
            <w:noWrap/>
            <w:tcMar>
              <w:right w:w="216" w:type="dxa"/>
            </w:tcMar>
          </w:tcPr>
          <w:p w:rsidR="00BC4CB8" w:rsidRPr="00A13740" w:rsidRDefault="00BC4CB8" w:rsidP="006E6B8F">
            <w:pPr>
              <w:widowControl w:val="0"/>
              <w:jc w:val="right"/>
              <w:rPr>
                <w:color w:val="000000" w:themeColor="text1"/>
                <w:sz w:val="21"/>
                <w:szCs w:val="21"/>
                <w:lang w:val="fr-FR" w:eastAsia="en-CA"/>
              </w:rPr>
            </w:pPr>
            <w:r w:rsidRPr="00A13740">
              <w:rPr>
                <w:sz w:val="21"/>
                <w:szCs w:val="21"/>
                <w:lang w:val="fr-FR"/>
              </w:rPr>
              <w:t>350 001</w:t>
            </w:r>
          </w:p>
        </w:tc>
        <w:tc>
          <w:tcPr>
            <w:tcW w:w="623" w:type="pct"/>
            <w:gridSpan w:val="2"/>
            <w:shd w:val="clear" w:color="auto" w:fill="auto"/>
            <w:noWrap/>
            <w:tcMar>
              <w:right w:w="216" w:type="dxa"/>
            </w:tcMar>
          </w:tcPr>
          <w:p w:rsidR="00BC4CB8" w:rsidRPr="00A13740" w:rsidRDefault="00BC4CB8" w:rsidP="006E6B8F">
            <w:pPr>
              <w:widowControl w:val="0"/>
              <w:jc w:val="right"/>
              <w:rPr>
                <w:bCs/>
                <w:color w:val="000000" w:themeColor="text1"/>
                <w:sz w:val="21"/>
                <w:szCs w:val="21"/>
                <w:lang w:val="fr-FR" w:eastAsia="en-CA"/>
              </w:rPr>
            </w:pPr>
            <w:r w:rsidRPr="00A13740">
              <w:rPr>
                <w:sz w:val="21"/>
                <w:szCs w:val="21"/>
                <w:lang w:val="fr-FR"/>
              </w:rPr>
              <w:t>6,67</w:t>
            </w:r>
          </w:p>
        </w:tc>
      </w:tr>
      <w:tr w:rsidR="00BC4CB8" w:rsidRPr="00A13740" w:rsidTr="00BC4CB8">
        <w:trPr>
          <w:tblHeader/>
        </w:trPr>
        <w:tc>
          <w:tcPr>
            <w:tcW w:w="1204" w:type="pct"/>
            <w:shd w:val="clear" w:color="auto" w:fill="auto"/>
            <w:vAlign w:val="center"/>
          </w:tcPr>
          <w:p w:rsidR="00BC4CB8" w:rsidRPr="00A13740" w:rsidRDefault="00BC4CB8" w:rsidP="006E6B8F">
            <w:pPr>
              <w:widowControl w:val="0"/>
              <w:jc w:val="left"/>
              <w:rPr>
                <w:bCs/>
                <w:color w:val="000000" w:themeColor="text1"/>
                <w:sz w:val="21"/>
                <w:szCs w:val="21"/>
                <w:lang w:val="fr-FR" w:eastAsia="en-CA"/>
              </w:rPr>
            </w:pPr>
            <w:r w:rsidRPr="00A13740">
              <w:rPr>
                <w:sz w:val="21"/>
                <w:szCs w:val="21"/>
                <w:lang w:val="fr-FR"/>
              </w:rPr>
              <w:t>Le Panneau**</w:t>
            </w:r>
          </w:p>
        </w:tc>
        <w:tc>
          <w:tcPr>
            <w:tcW w:w="577" w:type="pct"/>
            <w:vAlign w:val="center"/>
          </w:tcPr>
          <w:p w:rsidR="00BC4CB8" w:rsidRPr="00A13740" w:rsidRDefault="00BC4CB8" w:rsidP="006E6B8F">
            <w:pPr>
              <w:widowControl w:val="0"/>
              <w:jc w:val="left"/>
              <w:rPr>
                <w:bCs/>
                <w:color w:val="000000" w:themeColor="text1"/>
                <w:sz w:val="21"/>
                <w:szCs w:val="21"/>
                <w:lang w:val="fr-FR" w:eastAsia="en-CA"/>
              </w:rPr>
            </w:pPr>
            <w:r w:rsidRPr="00A13740">
              <w:rPr>
                <w:sz w:val="21"/>
                <w:szCs w:val="21"/>
                <w:lang w:val="fr-FR"/>
              </w:rPr>
              <w:t>ONUDI</w:t>
            </w:r>
          </w:p>
        </w:tc>
        <w:tc>
          <w:tcPr>
            <w:tcW w:w="709" w:type="pct"/>
            <w:shd w:val="clear" w:color="auto" w:fill="auto"/>
            <w:vAlign w:val="center"/>
          </w:tcPr>
          <w:p w:rsidR="00BC4CB8" w:rsidRPr="00A13740" w:rsidRDefault="00BC4CB8" w:rsidP="006E6B8F">
            <w:pPr>
              <w:widowControl w:val="0"/>
              <w:jc w:val="left"/>
              <w:rPr>
                <w:bCs/>
                <w:color w:val="000000" w:themeColor="text1"/>
                <w:sz w:val="21"/>
                <w:szCs w:val="21"/>
                <w:lang w:val="fr-FR" w:eastAsia="en-CA"/>
              </w:rPr>
            </w:pPr>
            <w:r w:rsidRPr="00A13740">
              <w:rPr>
                <w:sz w:val="21"/>
                <w:szCs w:val="21"/>
                <w:lang w:val="fr-FR"/>
              </w:rPr>
              <w:t>HCFC-141b</w:t>
            </w:r>
          </w:p>
        </w:tc>
        <w:tc>
          <w:tcPr>
            <w:tcW w:w="626" w:type="pct"/>
            <w:shd w:val="clear" w:color="auto" w:fill="auto"/>
            <w:tcMar>
              <w:right w:w="216" w:type="dxa"/>
            </w:tcMar>
          </w:tcPr>
          <w:p w:rsidR="00BC4CB8" w:rsidRPr="00A13740" w:rsidRDefault="00BC4CB8" w:rsidP="006E6B8F">
            <w:pPr>
              <w:widowControl w:val="0"/>
              <w:jc w:val="right"/>
              <w:rPr>
                <w:bCs/>
                <w:color w:val="000000" w:themeColor="text1"/>
                <w:sz w:val="21"/>
                <w:szCs w:val="21"/>
                <w:lang w:val="fr-FR" w:eastAsia="en-CA"/>
              </w:rPr>
            </w:pPr>
            <w:r w:rsidRPr="00A13740">
              <w:rPr>
                <w:sz w:val="21"/>
                <w:szCs w:val="21"/>
                <w:lang w:val="fr-FR"/>
              </w:rPr>
              <w:t>14,50</w:t>
            </w:r>
          </w:p>
        </w:tc>
        <w:tc>
          <w:tcPr>
            <w:tcW w:w="635" w:type="pct"/>
            <w:gridSpan w:val="2"/>
            <w:shd w:val="clear" w:color="auto" w:fill="auto"/>
            <w:tcMar>
              <w:left w:w="0" w:type="dxa"/>
              <w:right w:w="216" w:type="dxa"/>
            </w:tcMar>
          </w:tcPr>
          <w:p w:rsidR="00BC4CB8" w:rsidRPr="00A13740" w:rsidRDefault="00BC4CB8" w:rsidP="006E6B8F">
            <w:pPr>
              <w:widowControl w:val="0"/>
              <w:jc w:val="right"/>
              <w:rPr>
                <w:bCs/>
                <w:color w:val="000000" w:themeColor="text1"/>
                <w:sz w:val="21"/>
                <w:szCs w:val="21"/>
                <w:lang w:val="fr-FR" w:eastAsia="en-CA"/>
              </w:rPr>
            </w:pPr>
            <w:r w:rsidRPr="00A13740">
              <w:rPr>
                <w:sz w:val="21"/>
                <w:szCs w:val="21"/>
                <w:lang w:val="fr-FR"/>
              </w:rPr>
              <w:t>1,60</w:t>
            </w:r>
          </w:p>
        </w:tc>
        <w:tc>
          <w:tcPr>
            <w:tcW w:w="626" w:type="pct"/>
            <w:gridSpan w:val="2"/>
            <w:shd w:val="clear" w:color="auto" w:fill="auto"/>
            <w:noWrap/>
            <w:tcMar>
              <w:right w:w="216" w:type="dxa"/>
            </w:tcMar>
          </w:tcPr>
          <w:p w:rsidR="00BC4CB8" w:rsidRPr="00A13740" w:rsidRDefault="00BC4CB8" w:rsidP="006E6B8F">
            <w:pPr>
              <w:widowControl w:val="0"/>
              <w:jc w:val="right"/>
              <w:rPr>
                <w:color w:val="000000" w:themeColor="text1"/>
                <w:sz w:val="21"/>
                <w:szCs w:val="21"/>
                <w:lang w:val="fr-FR" w:eastAsia="en-CA"/>
              </w:rPr>
            </w:pPr>
            <w:r w:rsidRPr="00A13740">
              <w:rPr>
                <w:sz w:val="21"/>
                <w:szCs w:val="21"/>
                <w:lang w:val="fr-FR"/>
              </w:rPr>
              <w:t>108 305</w:t>
            </w:r>
          </w:p>
        </w:tc>
        <w:tc>
          <w:tcPr>
            <w:tcW w:w="623" w:type="pct"/>
            <w:gridSpan w:val="2"/>
            <w:shd w:val="clear" w:color="auto" w:fill="auto"/>
            <w:noWrap/>
            <w:tcMar>
              <w:right w:w="216" w:type="dxa"/>
            </w:tcMar>
          </w:tcPr>
          <w:p w:rsidR="00BC4CB8" w:rsidRPr="00A13740" w:rsidRDefault="00BC4CB8" w:rsidP="006E6B8F">
            <w:pPr>
              <w:widowControl w:val="0"/>
              <w:jc w:val="right"/>
              <w:rPr>
                <w:bCs/>
                <w:color w:val="000000" w:themeColor="text1"/>
                <w:sz w:val="21"/>
                <w:szCs w:val="21"/>
                <w:lang w:val="fr-FR" w:eastAsia="en-CA"/>
              </w:rPr>
            </w:pPr>
            <w:r w:rsidRPr="00A13740">
              <w:rPr>
                <w:sz w:val="21"/>
                <w:szCs w:val="21"/>
                <w:lang w:val="fr-FR"/>
              </w:rPr>
              <w:t>7,47</w:t>
            </w:r>
          </w:p>
        </w:tc>
      </w:tr>
      <w:tr w:rsidR="00BC4CB8" w:rsidRPr="00A13740" w:rsidTr="00BC4CB8">
        <w:trPr>
          <w:tblHeader/>
        </w:trPr>
        <w:tc>
          <w:tcPr>
            <w:tcW w:w="1204" w:type="pct"/>
            <w:shd w:val="clear" w:color="auto" w:fill="auto"/>
            <w:vAlign w:val="center"/>
          </w:tcPr>
          <w:p w:rsidR="00BC4CB8" w:rsidRPr="00A13740" w:rsidRDefault="00BC4CB8" w:rsidP="006E6B8F">
            <w:pPr>
              <w:widowControl w:val="0"/>
              <w:jc w:val="right"/>
              <w:rPr>
                <w:b/>
                <w:bCs/>
                <w:color w:val="000000" w:themeColor="text1"/>
                <w:sz w:val="21"/>
                <w:szCs w:val="21"/>
                <w:lang w:val="fr-FR" w:eastAsia="en-CA"/>
              </w:rPr>
            </w:pPr>
            <w:r w:rsidRPr="00A13740">
              <w:rPr>
                <w:b/>
                <w:sz w:val="21"/>
                <w:szCs w:val="21"/>
                <w:lang w:val="fr-FR"/>
              </w:rPr>
              <w:t xml:space="preserve">Sous-total </w:t>
            </w:r>
          </w:p>
        </w:tc>
        <w:tc>
          <w:tcPr>
            <w:tcW w:w="577" w:type="pct"/>
            <w:vAlign w:val="center"/>
          </w:tcPr>
          <w:p w:rsidR="00BC4CB8" w:rsidRPr="00A13740" w:rsidRDefault="00BC4CB8" w:rsidP="006E6B8F">
            <w:pPr>
              <w:widowControl w:val="0"/>
              <w:jc w:val="left"/>
              <w:rPr>
                <w:b/>
                <w:bCs/>
                <w:color w:val="000000" w:themeColor="text1"/>
                <w:sz w:val="21"/>
                <w:szCs w:val="21"/>
                <w:lang w:val="fr-FR" w:eastAsia="en-CA"/>
              </w:rPr>
            </w:pPr>
          </w:p>
        </w:tc>
        <w:tc>
          <w:tcPr>
            <w:tcW w:w="709" w:type="pct"/>
            <w:shd w:val="clear" w:color="auto" w:fill="auto"/>
            <w:vAlign w:val="center"/>
          </w:tcPr>
          <w:p w:rsidR="00BC4CB8" w:rsidRPr="00A13740" w:rsidRDefault="00BC4CB8" w:rsidP="006E6B8F">
            <w:pPr>
              <w:widowControl w:val="0"/>
              <w:jc w:val="left"/>
              <w:rPr>
                <w:b/>
                <w:bCs/>
                <w:color w:val="000000" w:themeColor="text1"/>
                <w:sz w:val="21"/>
                <w:szCs w:val="21"/>
                <w:lang w:val="fr-FR" w:eastAsia="en-CA"/>
              </w:rPr>
            </w:pPr>
          </w:p>
        </w:tc>
        <w:tc>
          <w:tcPr>
            <w:tcW w:w="626" w:type="pct"/>
            <w:shd w:val="clear" w:color="auto" w:fill="auto"/>
            <w:tcMar>
              <w:right w:w="216" w:type="dxa"/>
            </w:tcMar>
          </w:tcPr>
          <w:p w:rsidR="00BC4CB8" w:rsidRPr="00A13740" w:rsidRDefault="00BC4CB8" w:rsidP="006E6B8F">
            <w:pPr>
              <w:widowControl w:val="0"/>
              <w:jc w:val="right"/>
              <w:rPr>
                <w:b/>
                <w:sz w:val="21"/>
                <w:szCs w:val="21"/>
                <w:lang w:val="fr-FR"/>
              </w:rPr>
            </w:pPr>
            <w:r w:rsidRPr="00A13740">
              <w:rPr>
                <w:b/>
                <w:sz w:val="21"/>
                <w:szCs w:val="21"/>
                <w:lang w:val="fr-FR"/>
              </w:rPr>
              <w:t>67,00</w:t>
            </w:r>
          </w:p>
        </w:tc>
        <w:tc>
          <w:tcPr>
            <w:tcW w:w="635" w:type="pct"/>
            <w:gridSpan w:val="2"/>
            <w:shd w:val="clear" w:color="auto" w:fill="auto"/>
            <w:tcMar>
              <w:left w:w="0" w:type="dxa"/>
              <w:right w:w="216" w:type="dxa"/>
            </w:tcMar>
          </w:tcPr>
          <w:p w:rsidR="00BC4CB8" w:rsidRPr="00A13740" w:rsidRDefault="00BC4CB8" w:rsidP="006E6B8F">
            <w:pPr>
              <w:widowControl w:val="0"/>
              <w:jc w:val="right"/>
              <w:rPr>
                <w:b/>
                <w:sz w:val="21"/>
                <w:szCs w:val="21"/>
                <w:lang w:val="fr-FR"/>
              </w:rPr>
            </w:pPr>
            <w:r w:rsidRPr="00A13740">
              <w:rPr>
                <w:b/>
                <w:sz w:val="21"/>
                <w:szCs w:val="21"/>
                <w:lang w:val="fr-FR"/>
              </w:rPr>
              <w:t>7,38</w:t>
            </w:r>
          </w:p>
        </w:tc>
        <w:tc>
          <w:tcPr>
            <w:tcW w:w="626" w:type="pct"/>
            <w:gridSpan w:val="2"/>
            <w:shd w:val="clear" w:color="auto" w:fill="auto"/>
            <w:noWrap/>
            <w:tcMar>
              <w:right w:w="216" w:type="dxa"/>
            </w:tcMar>
          </w:tcPr>
          <w:p w:rsidR="00BC4CB8" w:rsidRPr="00A13740" w:rsidRDefault="00BC4CB8" w:rsidP="006E6B8F">
            <w:pPr>
              <w:widowControl w:val="0"/>
              <w:jc w:val="right"/>
              <w:rPr>
                <w:b/>
                <w:color w:val="000000" w:themeColor="text1"/>
                <w:sz w:val="21"/>
                <w:szCs w:val="21"/>
                <w:lang w:val="fr-FR" w:eastAsia="en-CA"/>
              </w:rPr>
            </w:pPr>
            <w:r w:rsidRPr="00A13740">
              <w:rPr>
                <w:b/>
                <w:sz w:val="21"/>
                <w:szCs w:val="21"/>
                <w:lang w:val="fr-FR"/>
              </w:rPr>
              <w:t>458 306</w:t>
            </w:r>
          </w:p>
        </w:tc>
        <w:tc>
          <w:tcPr>
            <w:tcW w:w="623" w:type="pct"/>
            <w:gridSpan w:val="2"/>
            <w:shd w:val="clear" w:color="auto" w:fill="auto"/>
            <w:noWrap/>
            <w:tcMar>
              <w:right w:w="216" w:type="dxa"/>
            </w:tcMar>
          </w:tcPr>
          <w:p w:rsidR="00BC4CB8" w:rsidRPr="00A13740" w:rsidRDefault="00BC4CB8" w:rsidP="006E6B8F">
            <w:pPr>
              <w:widowControl w:val="0"/>
              <w:jc w:val="right"/>
              <w:rPr>
                <w:b/>
                <w:bCs/>
                <w:color w:val="000000" w:themeColor="text1"/>
                <w:sz w:val="21"/>
                <w:szCs w:val="21"/>
                <w:lang w:val="fr-FR" w:eastAsia="en-CA"/>
              </w:rPr>
            </w:pPr>
            <w:r w:rsidRPr="00A13740">
              <w:rPr>
                <w:b/>
                <w:sz w:val="21"/>
                <w:szCs w:val="21"/>
                <w:lang w:val="fr-FR"/>
              </w:rPr>
              <w:t>6,84</w:t>
            </w:r>
          </w:p>
        </w:tc>
      </w:tr>
      <w:tr w:rsidR="00BC4CB8" w:rsidRPr="00F36C81" w:rsidTr="00BC4CB8">
        <w:trPr>
          <w:tblHeader/>
        </w:trPr>
        <w:tc>
          <w:tcPr>
            <w:tcW w:w="5000" w:type="pct"/>
            <w:gridSpan w:val="10"/>
            <w:tcBorders>
              <w:bottom w:val="single" w:sz="4" w:space="0" w:color="auto"/>
            </w:tcBorders>
            <w:shd w:val="clear" w:color="auto" w:fill="auto"/>
            <w:tcMar>
              <w:right w:w="216" w:type="dxa"/>
            </w:tcMar>
            <w:vAlign w:val="center"/>
          </w:tcPr>
          <w:p w:rsidR="00BC4CB8" w:rsidRPr="00A13740" w:rsidRDefault="00BC4CB8" w:rsidP="006E6B8F">
            <w:pPr>
              <w:widowControl w:val="0"/>
              <w:jc w:val="left"/>
              <w:rPr>
                <w:bCs/>
                <w:color w:val="000000" w:themeColor="text1"/>
                <w:sz w:val="21"/>
                <w:szCs w:val="21"/>
                <w:lang w:val="fr-FR" w:eastAsia="en-CA"/>
              </w:rPr>
            </w:pPr>
            <w:r w:rsidRPr="00A13740">
              <w:rPr>
                <w:b/>
                <w:bCs/>
                <w:color w:val="000000" w:themeColor="text1"/>
                <w:sz w:val="21"/>
                <w:szCs w:val="21"/>
                <w:lang w:val="fr-FR" w:eastAsia="fr"/>
              </w:rPr>
              <w:t>Secteur de l’entretien en réfrigération</w:t>
            </w:r>
          </w:p>
        </w:tc>
      </w:tr>
      <w:tr w:rsidR="00BC4CB8" w:rsidRPr="00A13740" w:rsidTr="00BC4CB8">
        <w:trPr>
          <w:tblHeader/>
        </w:trPr>
        <w:tc>
          <w:tcPr>
            <w:tcW w:w="1204" w:type="pct"/>
            <w:tcBorders>
              <w:bottom w:val="single" w:sz="4" w:space="0" w:color="auto"/>
              <w:right w:val="single" w:sz="4" w:space="0" w:color="auto"/>
            </w:tcBorders>
            <w:shd w:val="clear" w:color="auto" w:fill="auto"/>
            <w:vAlign w:val="center"/>
          </w:tcPr>
          <w:p w:rsidR="00BC4CB8" w:rsidRPr="00A13740" w:rsidRDefault="00BC4CB8" w:rsidP="006E6B8F">
            <w:pPr>
              <w:widowControl w:val="0"/>
              <w:jc w:val="left"/>
              <w:rPr>
                <w:bCs/>
                <w:color w:val="000000" w:themeColor="text1"/>
                <w:sz w:val="21"/>
                <w:szCs w:val="21"/>
                <w:lang w:val="fr-FR" w:eastAsia="en-CA"/>
              </w:rPr>
            </w:pPr>
            <w:r w:rsidRPr="00A13740">
              <w:rPr>
                <w:bCs/>
                <w:color w:val="000000" w:themeColor="text1"/>
                <w:sz w:val="21"/>
                <w:szCs w:val="21"/>
                <w:lang w:val="fr-FR" w:eastAsia="fr"/>
              </w:rPr>
              <w:t>Élimination</w:t>
            </w:r>
            <w:r w:rsidRPr="00A13740">
              <w:rPr>
                <w:bCs/>
                <w:color w:val="000000" w:themeColor="text1"/>
                <w:sz w:val="21"/>
                <w:szCs w:val="21"/>
                <w:lang w:val="fr-FR" w:eastAsia="fr"/>
              </w:rPr>
              <w:noBreakHyphen/>
            </w:r>
          </w:p>
        </w:tc>
        <w:tc>
          <w:tcPr>
            <w:tcW w:w="577" w:type="pct"/>
            <w:tcBorders>
              <w:top w:val="single" w:sz="4" w:space="0" w:color="auto"/>
              <w:bottom w:val="single" w:sz="4" w:space="0" w:color="auto"/>
              <w:right w:val="single" w:sz="4" w:space="0" w:color="auto"/>
            </w:tcBorders>
            <w:vAlign w:val="center"/>
          </w:tcPr>
          <w:p w:rsidR="00BC4CB8" w:rsidRPr="00A13740" w:rsidRDefault="00BC4CB8" w:rsidP="006E6B8F">
            <w:pPr>
              <w:widowControl w:val="0"/>
              <w:jc w:val="left"/>
              <w:rPr>
                <w:bCs/>
                <w:color w:val="000000" w:themeColor="text1"/>
                <w:sz w:val="21"/>
                <w:szCs w:val="21"/>
                <w:lang w:val="fr-FR" w:eastAsia="en-CA"/>
              </w:rPr>
            </w:pPr>
            <w:r w:rsidRPr="00A13740">
              <w:rPr>
                <w:bCs/>
                <w:color w:val="000000" w:themeColor="text1"/>
                <w:sz w:val="21"/>
                <w:szCs w:val="21"/>
                <w:lang w:val="fr-FR" w:eastAsia="fr"/>
              </w:rPr>
              <w:t>ONUDI</w:t>
            </w:r>
          </w:p>
        </w:tc>
        <w:tc>
          <w:tcPr>
            <w:tcW w:w="709" w:type="pct"/>
            <w:tcBorders>
              <w:top w:val="single" w:sz="4" w:space="0" w:color="auto"/>
              <w:left w:val="single" w:sz="4" w:space="0" w:color="auto"/>
              <w:right w:val="single" w:sz="4" w:space="0" w:color="auto"/>
            </w:tcBorders>
            <w:shd w:val="clear" w:color="auto" w:fill="auto"/>
            <w:vAlign w:val="center"/>
          </w:tcPr>
          <w:p w:rsidR="00BC4CB8" w:rsidRPr="00A13740" w:rsidRDefault="00BC4CB8" w:rsidP="006E6B8F">
            <w:pPr>
              <w:widowControl w:val="0"/>
              <w:jc w:val="left"/>
              <w:rPr>
                <w:bCs/>
                <w:color w:val="000000" w:themeColor="text1"/>
                <w:sz w:val="21"/>
                <w:szCs w:val="21"/>
                <w:lang w:val="fr-FR" w:eastAsia="en-CA"/>
              </w:rPr>
            </w:pPr>
            <w:r w:rsidRPr="00A13740">
              <w:rPr>
                <w:bCs/>
                <w:color w:val="000000" w:themeColor="text1"/>
                <w:sz w:val="21"/>
                <w:szCs w:val="21"/>
                <w:lang w:val="fr-FR" w:eastAsia="fr"/>
              </w:rPr>
              <w:t>HCFC-22</w:t>
            </w:r>
          </w:p>
        </w:tc>
        <w:tc>
          <w:tcPr>
            <w:tcW w:w="626" w:type="pct"/>
            <w:tcBorders>
              <w:top w:val="single" w:sz="4" w:space="0" w:color="auto"/>
              <w:left w:val="single" w:sz="4" w:space="0" w:color="auto"/>
              <w:bottom w:val="single" w:sz="4" w:space="0" w:color="auto"/>
              <w:right w:val="single" w:sz="4" w:space="0" w:color="auto"/>
            </w:tcBorders>
            <w:shd w:val="clear" w:color="auto" w:fill="auto"/>
            <w:tcMar>
              <w:right w:w="216" w:type="dxa"/>
            </w:tcMar>
          </w:tcPr>
          <w:p w:rsidR="00BC4CB8" w:rsidRPr="00A13740" w:rsidRDefault="00BC4CB8" w:rsidP="006E6B8F">
            <w:pPr>
              <w:widowControl w:val="0"/>
              <w:jc w:val="right"/>
              <w:rPr>
                <w:bCs/>
                <w:color w:val="000000" w:themeColor="text1"/>
                <w:sz w:val="21"/>
                <w:szCs w:val="21"/>
                <w:lang w:val="fr-FR" w:eastAsia="en-CA"/>
              </w:rPr>
            </w:pPr>
            <w:r w:rsidRPr="00A13740">
              <w:rPr>
                <w:color w:val="000000"/>
                <w:sz w:val="21"/>
                <w:szCs w:val="21"/>
                <w:lang w:val="fr-FR"/>
              </w:rPr>
              <w:t>171,18</w:t>
            </w:r>
          </w:p>
        </w:tc>
        <w:tc>
          <w:tcPr>
            <w:tcW w:w="635" w:type="pct"/>
            <w:gridSpan w:val="2"/>
            <w:tcBorders>
              <w:top w:val="single" w:sz="4" w:space="0" w:color="auto"/>
              <w:left w:val="single" w:sz="4" w:space="0" w:color="auto"/>
              <w:bottom w:val="single" w:sz="4" w:space="0" w:color="auto"/>
              <w:right w:val="single" w:sz="4" w:space="0" w:color="auto"/>
            </w:tcBorders>
            <w:shd w:val="clear" w:color="auto" w:fill="auto"/>
            <w:tcMar>
              <w:left w:w="0" w:type="dxa"/>
              <w:right w:w="216" w:type="dxa"/>
            </w:tcMar>
          </w:tcPr>
          <w:p w:rsidR="00BC4CB8" w:rsidRPr="00A13740" w:rsidRDefault="00BC4CB8" w:rsidP="006E6B8F">
            <w:pPr>
              <w:widowControl w:val="0"/>
              <w:jc w:val="right"/>
              <w:rPr>
                <w:bCs/>
                <w:color w:val="000000" w:themeColor="text1"/>
                <w:sz w:val="21"/>
                <w:szCs w:val="21"/>
                <w:lang w:val="fr-FR" w:eastAsia="en-CA"/>
              </w:rPr>
            </w:pPr>
            <w:r w:rsidRPr="00A13740">
              <w:rPr>
                <w:color w:val="000000"/>
                <w:sz w:val="21"/>
                <w:szCs w:val="21"/>
                <w:lang w:val="fr-FR"/>
              </w:rPr>
              <w:t>9,41</w:t>
            </w:r>
          </w:p>
        </w:tc>
        <w:tc>
          <w:tcPr>
            <w:tcW w:w="626" w:type="pct"/>
            <w:gridSpan w:val="2"/>
            <w:tcBorders>
              <w:left w:val="single" w:sz="4" w:space="0" w:color="auto"/>
            </w:tcBorders>
            <w:shd w:val="clear" w:color="auto" w:fill="auto"/>
            <w:noWrap/>
            <w:tcMar>
              <w:right w:w="216" w:type="dxa"/>
            </w:tcMar>
          </w:tcPr>
          <w:p w:rsidR="00BC4CB8" w:rsidRPr="00A13740" w:rsidRDefault="00BC4CB8" w:rsidP="006E6B8F">
            <w:pPr>
              <w:widowControl w:val="0"/>
              <w:jc w:val="right"/>
              <w:rPr>
                <w:color w:val="000000" w:themeColor="text1"/>
                <w:sz w:val="21"/>
                <w:szCs w:val="21"/>
                <w:highlight w:val="yellow"/>
                <w:lang w:val="fr-FR" w:eastAsia="en-CA"/>
              </w:rPr>
            </w:pPr>
            <w:r w:rsidRPr="00A13740">
              <w:rPr>
                <w:color w:val="000000"/>
                <w:sz w:val="21"/>
                <w:szCs w:val="21"/>
                <w:lang w:val="fr-FR"/>
              </w:rPr>
              <w:t>821 640</w:t>
            </w:r>
          </w:p>
        </w:tc>
        <w:tc>
          <w:tcPr>
            <w:tcW w:w="623" w:type="pct"/>
            <w:gridSpan w:val="2"/>
            <w:shd w:val="clear" w:color="auto" w:fill="auto"/>
            <w:noWrap/>
            <w:tcMar>
              <w:right w:w="216" w:type="dxa"/>
            </w:tcMar>
          </w:tcPr>
          <w:p w:rsidR="00BC4CB8" w:rsidRPr="00A13740" w:rsidRDefault="00BC4CB8" w:rsidP="006E6B8F">
            <w:pPr>
              <w:widowControl w:val="0"/>
              <w:jc w:val="right"/>
              <w:rPr>
                <w:bCs/>
                <w:color w:val="000000" w:themeColor="text1"/>
                <w:sz w:val="21"/>
                <w:szCs w:val="21"/>
                <w:lang w:val="fr-FR" w:eastAsia="en-CA"/>
              </w:rPr>
            </w:pPr>
            <w:r w:rsidRPr="00A13740">
              <w:rPr>
                <w:color w:val="000000"/>
                <w:sz w:val="21"/>
                <w:szCs w:val="21"/>
                <w:lang w:val="fr-FR"/>
              </w:rPr>
              <w:t>4,80</w:t>
            </w:r>
          </w:p>
        </w:tc>
      </w:tr>
      <w:tr w:rsidR="00BC4CB8" w:rsidRPr="00A13740" w:rsidTr="00BC4CB8">
        <w:trPr>
          <w:tblHeader/>
        </w:trPr>
        <w:tc>
          <w:tcPr>
            <w:tcW w:w="1204" w:type="pct"/>
            <w:tcBorders>
              <w:top w:val="single" w:sz="4" w:space="0" w:color="auto"/>
              <w:bottom w:val="single" w:sz="4" w:space="0" w:color="auto"/>
              <w:right w:val="single" w:sz="4" w:space="0" w:color="auto"/>
            </w:tcBorders>
            <w:shd w:val="clear" w:color="auto" w:fill="auto"/>
            <w:vAlign w:val="center"/>
          </w:tcPr>
          <w:p w:rsidR="00BC4CB8" w:rsidRPr="00A13740" w:rsidRDefault="00BC4CB8" w:rsidP="006E6B8F">
            <w:pPr>
              <w:widowControl w:val="0"/>
              <w:jc w:val="left"/>
              <w:rPr>
                <w:bCs/>
                <w:color w:val="000000" w:themeColor="text1"/>
                <w:sz w:val="21"/>
                <w:szCs w:val="21"/>
                <w:lang w:val="fr-FR" w:eastAsia="en-CA"/>
              </w:rPr>
            </w:pPr>
            <w:r w:rsidRPr="00A13740">
              <w:rPr>
                <w:bCs/>
                <w:color w:val="000000" w:themeColor="text1"/>
                <w:sz w:val="21"/>
                <w:szCs w:val="21"/>
                <w:lang w:val="fr-FR" w:eastAsia="fr"/>
              </w:rPr>
              <w:t>Élimination financée</w:t>
            </w:r>
          </w:p>
        </w:tc>
        <w:tc>
          <w:tcPr>
            <w:tcW w:w="577" w:type="pct"/>
            <w:tcBorders>
              <w:top w:val="single" w:sz="4" w:space="0" w:color="auto"/>
              <w:bottom w:val="single" w:sz="4" w:space="0" w:color="auto"/>
              <w:right w:val="single" w:sz="4" w:space="0" w:color="auto"/>
            </w:tcBorders>
            <w:vAlign w:val="center"/>
          </w:tcPr>
          <w:p w:rsidR="00BC4CB8" w:rsidRPr="00A13740" w:rsidRDefault="00BC4CB8" w:rsidP="006E6B8F">
            <w:pPr>
              <w:widowControl w:val="0"/>
              <w:jc w:val="left"/>
              <w:rPr>
                <w:bCs/>
                <w:color w:val="000000" w:themeColor="text1"/>
                <w:sz w:val="21"/>
                <w:szCs w:val="21"/>
                <w:lang w:val="fr-FR" w:eastAsia="en-CA"/>
              </w:rPr>
            </w:pPr>
            <w:r w:rsidRPr="00A13740">
              <w:rPr>
                <w:bCs/>
                <w:color w:val="000000" w:themeColor="text1"/>
                <w:sz w:val="21"/>
                <w:szCs w:val="21"/>
                <w:lang w:val="fr-FR" w:eastAsia="fr"/>
              </w:rPr>
              <w:t>PNUE</w:t>
            </w:r>
          </w:p>
        </w:tc>
        <w:tc>
          <w:tcPr>
            <w:tcW w:w="709" w:type="pct"/>
            <w:tcBorders>
              <w:left w:val="single" w:sz="4" w:space="0" w:color="auto"/>
              <w:bottom w:val="single" w:sz="4" w:space="0" w:color="auto"/>
              <w:right w:val="single" w:sz="4" w:space="0" w:color="auto"/>
            </w:tcBorders>
            <w:shd w:val="clear" w:color="auto" w:fill="auto"/>
            <w:vAlign w:val="center"/>
          </w:tcPr>
          <w:p w:rsidR="00BC4CB8" w:rsidRPr="00A13740" w:rsidRDefault="00BC4CB8" w:rsidP="006E6B8F">
            <w:pPr>
              <w:widowControl w:val="0"/>
              <w:jc w:val="left"/>
              <w:rPr>
                <w:bCs/>
                <w:color w:val="000000" w:themeColor="text1"/>
                <w:sz w:val="21"/>
                <w:szCs w:val="21"/>
                <w:lang w:val="fr-FR" w:eastAsia="en-CA"/>
              </w:rPr>
            </w:pPr>
            <w:r w:rsidRPr="00A13740">
              <w:rPr>
                <w:bCs/>
                <w:color w:val="000000" w:themeColor="text1"/>
                <w:sz w:val="21"/>
                <w:szCs w:val="21"/>
                <w:lang w:val="fr-FR" w:eastAsia="fr"/>
              </w:rPr>
              <w:t>HCFC-22</w:t>
            </w:r>
          </w:p>
        </w:tc>
        <w:tc>
          <w:tcPr>
            <w:tcW w:w="626" w:type="pct"/>
            <w:tcBorders>
              <w:top w:val="single" w:sz="4" w:space="0" w:color="auto"/>
              <w:left w:val="single" w:sz="4" w:space="0" w:color="auto"/>
              <w:bottom w:val="single" w:sz="4" w:space="0" w:color="auto"/>
              <w:right w:val="single" w:sz="4" w:space="0" w:color="auto"/>
            </w:tcBorders>
            <w:shd w:val="clear" w:color="auto" w:fill="auto"/>
            <w:tcMar>
              <w:right w:w="216" w:type="dxa"/>
            </w:tcMar>
          </w:tcPr>
          <w:p w:rsidR="00BC4CB8" w:rsidRPr="00A13740" w:rsidRDefault="00BC4CB8" w:rsidP="006E6B8F">
            <w:pPr>
              <w:widowControl w:val="0"/>
              <w:jc w:val="right"/>
              <w:rPr>
                <w:bCs/>
                <w:color w:val="000000" w:themeColor="text1"/>
                <w:sz w:val="21"/>
                <w:szCs w:val="21"/>
                <w:lang w:val="fr-FR" w:eastAsia="en-CA"/>
              </w:rPr>
            </w:pPr>
            <w:r w:rsidRPr="00A13740">
              <w:rPr>
                <w:color w:val="000000"/>
                <w:sz w:val="21"/>
                <w:szCs w:val="21"/>
                <w:lang w:val="fr-FR"/>
              </w:rPr>
              <w:t>41,67</w:t>
            </w:r>
          </w:p>
        </w:tc>
        <w:tc>
          <w:tcPr>
            <w:tcW w:w="635" w:type="pct"/>
            <w:gridSpan w:val="2"/>
            <w:tcBorders>
              <w:top w:val="single" w:sz="4" w:space="0" w:color="auto"/>
              <w:left w:val="single" w:sz="4" w:space="0" w:color="auto"/>
              <w:bottom w:val="single" w:sz="4" w:space="0" w:color="auto"/>
              <w:right w:val="single" w:sz="4" w:space="0" w:color="auto"/>
            </w:tcBorders>
            <w:shd w:val="clear" w:color="auto" w:fill="auto"/>
            <w:tcMar>
              <w:left w:w="0" w:type="dxa"/>
              <w:right w:w="216" w:type="dxa"/>
            </w:tcMar>
          </w:tcPr>
          <w:p w:rsidR="00BC4CB8" w:rsidRPr="00A13740" w:rsidRDefault="00BC4CB8" w:rsidP="006E6B8F">
            <w:pPr>
              <w:widowControl w:val="0"/>
              <w:jc w:val="right"/>
              <w:rPr>
                <w:bCs/>
                <w:color w:val="000000" w:themeColor="text1"/>
                <w:sz w:val="21"/>
                <w:szCs w:val="21"/>
                <w:lang w:val="fr-FR" w:eastAsia="en-CA"/>
              </w:rPr>
            </w:pPr>
            <w:r w:rsidRPr="00A13740">
              <w:rPr>
                <w:color w:val="000000"/>
                <w:sz w:val="21"/>
                <w:szCs w:val="21"/>
                <w:lang w:val="fr-FR"/>
              </w:rPr>
              <w:t>2,29</w:t>
            </w:r>
          </w:p>
        </w:tc>
        <w:tc>
          <w:tcPr>
            <w:tcW w:w="626" w:type="pct"/>
            <w:gridSpan w:val="2"/>
            <w:tcBorders>
              <w:left w:val="single" w:sz="4" w:space="0" w:color="auto"/>
            </w:tcBorders>
            <w:shd w:val="clear" w:color="auto" w:fill="auto"/>
            <w:noWrap/>
            <w:tcMar>
              <w:right w:w="216" w:type="dxa"/>
            </w:tcMar>
          </w:tcPr>
          <w:p w:rsidR="00BC4CB8" w:rsidRPr="00A13740" w:rsidRDefault="00BC4CB8" w:rsidP="006E6B8F">
            <w:pPr>
              <w:widowControl w:val="0"/>
              <w:jc w:val="right"/>
              <w:rPr>
                <w:color w:val="000000" w:themeColor="text1"/>
                <w:sz w:val="21"/>
                <w:szCs w:val="21"/>
                <w:lang w:val="fr-FR" w:eastAsia="en-CA"/>
              </w:rPr>
            </w:pPr>
            <w:r w:rsidRPr="00A13740">
              <w:rPr>
                <w:color w:val="000000"/>
                <w:sz w:val="21"/>
                <w:szCs w:val="21"/>
                <w:lang w:val="fr-FR"/>
              </w:rPr>
              <w:t>200 000</w:t>
            </w:r>
          </w:p>
        </w:tc>
        <w:tc>
          <w:tcPr>
            <w:tcW w:w="623" w:type="pct"/>
            <w:gridSpan w:val="2"/>
            <w:shd w:val="clear" w:color="auto" w:fill="auto"/>
            <w:noWrap/>
            <w:tcMar>
              <w:right w:w="216" w:type="dxa"/>
            </w:tcMar>
          </w:tcPr>
          <w:p w:rsidR="00BC4CB8" w:rsidRPr="00A13740" w:rsidRDefault="00BC4CB8" w:rsidP="006E6B8F">
            <w:pPr>
              <w:widowControl w:val="0"/>
              <w:jc w:val="right"/>
              <w:rPr>
                <w:bCs/>
                <w:color w:val="000000" w:themeColor="text1"/>
                <w:sz w:val="21"/>
                <w:szCs w:val="21"/>
                <w:lang w:val="fr-FR" w:eastAsia="en-CA"/>
              </w:rPr>
            </w:pPr>
            <w:r w:rsidRPr="00A13740">
              <w:rPr>
                <w:color w:val="000000"/>
                <w:sz w:val="21"/>
                <w:szCs w:val="21"/>
                <w:lang w:val="fr-FR"/>
              </w:rPr>
              <w:t>4,80</w:t>
            </w:r>
          </w:p>
        </w:tc>
      </w:tr>
      <w:tr w:rsidR="00BC4CB8" w:rsidRPr="00A13740" w:rsidTr="00BC4CB8">
        <w:trPr>
          <w:tblHeader/>
        </w:trPr>
        <w:tc>
          <w:tcPr>
            <w:tcW w:w="1204" w:type="pct"/>
            <w:tcBorders>
              <w:top w:val="single" w:sz="4" w:space="0" w:color="auto"/>
              <w:right w:val="single" w:sz="4" w:space="0" w:color="auto"/>
            </w:tcBorders>
            <w:shd w:val="clear" w:color="auto" w:fill="auto"/>
            <w:vAlign w:val="center"/>
          </w:tcPr>
          <w:p w:rsidR="00BC4CB8" w:rsidRPr="00A13740" w:rsidRDefault="00BC4CB8" w:rsidP="006E6B8F">
            <w:pPr>
              <w:widowControl w:val="0"/>
              <w:jc w:val="left"/>
              <w:rPr>
                <w:bCs/>
                <w:color w:val="000000" w:themeColor="text1"/>
                <w:sz w:val="21"/>
                <w:szCs w:val="21"/>
                <w:lang w:val="fr-FR" w:eastAsia="en-CA"/>
              </w:rPr>
            </w:pPr>
            <w:r w:rsidRPr="00A13740">
              <w:rPr>
                <w:bCs/>
                <w:color w:val="000000" w:themeColor="text1"/>
                <w:sz w:val="21"/>
                <w:szCs w:val="21"/>
                <w:lang w:val="fr-FR" w:eastAsia="fr"/>
              </w:rPr>
              <w:t>Élimination non financée</w:t>
            </w:r>
          </w:p>
        </w:tc>
        <w:tc>
          <w:tcPr>
            <w:tcW w:w="577" w:type="pct"/>
            <w:tcBorders>
              <w:top w:val="single" w:sz="4" w:space="0" w:color="auto"/>
              <w:bottom w:val="single" w:sz="4" w:space="0" w:color="auto"/>
              <w:right w:val="single" w:sz="4" w:space="0" w:color="auto"/>
            </w:tcBorders>
            <w:vAlign w:val="center"/>
          </w:tcPr>
          <w:p w:rsidR="00BC4CB8" w:rsidRPr="00A13740" w:rsidRDefault="00BC4CB8" w:rsidP="006E6B8F">
            <w:pPr>
              <w:widowControl w:val="0"/>
              <w:jc w:val="left"/>
              <w:rPr>
                <w:bCs/>
                <w:color w:val="000000" w:themeColor="text1"/>
                <w:sz w:val="21"/>
                <w:szCs w:val="21"/>
                <w:lang w:val="fr-FR" w:eastAsia="en-CA"/>
              </w:rPr>
            </w:pPr>
            <w:r w:rsidRPr="00A13740">
              <w:rPr>
                <w:bCs/>
                <w:color w:val="000000" w:themeColor="text1"/>
                <w:sz w:val="21"/>
                <w:szCs w:val="21"/>
                <w:lang w:val="fr-FR" w:eastAsia="fr"/>
              </w:rPr>
              <w:t>ONUDI</w:t>
            </w:r>
          </w:p>
        </w:tc>
        <w:tc>
          <w:tcPr>
            <w:tcW w:w="709" w:type="pct"/>
            <w:tcBorders>
              <w:top w:val="single" w:sz="4" w:space="0" w:color="auto"/>
              <w:left w:val="single" w:sz="4" w:space="0" w:color="auto"/>
              <w:right w:val="single" w:sz="4" w:space="0" w:color="auto"/>
            </w:tcBorders>
            <w:shd w:val="clear" w:color="auto" w:fill="auto"/>
            <w:vAlign w:val="center"/>
          </w:tcPr>
          <w:p w:rsidR="00BC4CB8" w:rsidRPr="00A13740" w:rsidRDefault="00BC4CB8" w:rsidP="006E6B8F">
            <w:pPr>
              <w:widowControl w:val="0"/>
              <w:jc w:val="left"/>
              <w:rPr>
                <w:bCs/>
                <w:color w:val="000000" w:themeColor="text1"/>
                <w:sz w:val="21"/>
                <w:szCs w:val="21"/>
                <w:lang w:val="fr-FR" w:eastAsia="en-CA"/>
              </w:rPr>
            </w:pPr>
            <w:r w:rsidRPr="00A13740">
              <w:rPr>
                <w:bCs/>
                <w:color w:val="000000" w:themeColor="text1"/>
                <w:sz w:val="21"/>
                <w:szCs w:val="21"/>
                <w:lang w:val="fr-FR" w:eastAsia="fr"/>
              </w:rPr>
              <w:t>HCFC-22</w:t>
            </w:r>
          </w:p>
        </w:tc>
        <w:tc>
          <w:tcPr>
            <w:tcW w:w="626" w:type="pct"/>
            <w:tcBorders>
              <w:top w:val="single" w:sz="4" w:space="0" w:color="auto"/>
              <w:left w:val="single" w:sz="4" w:space="0" w:color="auto"/>
              <w:bottom w:val="single" w:sz="4" w:space="0" w:color="auto"/>
              <w:right w:val="single" w:sz="4" w:space="0" w:color="auto"/>
            </w:tcBorders>
            <w:shd w:val="clear" w:color="auto" w:fill="auto"/>
            <w:tcMar>
              <w:right w:w="216" w:type="dxa"/>
            </w:tcMar>
          </w:tcPr>
          <w:p w:rsidR="00BC4CB8" w:rsidRPr="00A13740" w:rsidRDefault="00BC4CB8" w:rsidP="006E6B8F">
            <w:pPr>
              <w:widowControl w:val="0"/>
              <w:jc w:val="right"/>
              <w:rPr>
                <w:bCs/>
                <w:color w:val="000000" w:themeColor="text1"/>
                <w:sz w:val="21"/>
                <w:szCs w:val="21"/>
                <w:lang w:val="fr-FR" w:eastAsia="en-CA"/>
              </w:rPr>
            </w:pPr>
            <w:r w:rsidRPr="00A13740">
              <w:rPr>
                <w:color w:val="000000"/>
                <w:sz w:val="21"/>
                <w:szCs w:val="21"/>
                <w:lang w:val="fr-FR"/>
              </w:rPr>
              <w:t>76,18</w:t>
            </w:r>
          </w:p>
        </w:tc>
        <w:tc>
          <w:tcPr>
            <w:tcW w:w="635" w:type="pct"/>
            <w:gridSpan w:val="2"/>
            <w:tcBorders>
              <w:top w:val="single" w:sz="4" w:space="0" w:color="auto"/>
              <w:left w:val="single" w:sz="4" w:space="0" w:color="auto"/>
              <w:bottom w:val="single" w:sz="4" w:space="0" w:color="auto"/>
              <w:right w:val="single" w:sz="4" w:space="0" w:color="auto"/>
            </w:tcBorders>
            <w:shd w:val="clear" w:color="auto" w:fill="auto"/>
            <w:tcMar>
              <w:left w:w="0" w:type="dxa"/>
              <w:right w:w="216" w:type="dxa"/>
            </w:tcMar>
          </w:tcPr>
          <w:p w:rsidR="00BC4CB8" w:rsidRPr="00A13740" w:rsidRDefault="00BC4CB8" w:rsidP="006E6B8F">
            <w:pPr>
              <w:widowControl w:val="0"/>
              <w:jc w:val="right"/>
              <w:rPr>
                <w:bCs/>
                <w:color w:val="000000" w:themeColor="text1"/>
                <w:sz w:val="21"/>
                <w:szCs w:val="21"/>
                <w:lang w:val="fr-FR" w:eastAsia="en-CA"/>
              </w:rPr>
            </w:pPr>
            <w:r w:rsidRPr="00A13740">
              <w:rPr>
                <w:color w:val="000000"/>
                <w:sz w:val="21"/>
                <w:szCs w:val="21"/>
                <w:lang w:val="fr-FR"/>
              </w:rPr>
              <w:t>4,19</w:t>
            </w:r>
          </w:p>
        </w:tc>
        <w:tc>
          <w:tcPr>
            <w:tcW w:w="626" w:type="pct"/>
            <w:gridSpan w:val="2"/>
            <w:tcBorders>
              <w:left w:val="single" w:sz="4" w:space="0" w:color="auto"/>
            </w:tcBorders>
            <w:shd w:val="clear" w:color="auto" w:fill="auto"/>
            <w:noWrap/>
            <w:tcMar>
              <w:right w:w="216" w:type="dxa"/>
            </w:tcMar>
          </w:tcPr>
          <w:p w:rsidR="00BC4CB8" w:rsidRPr="00A13740" w:rsidRDefault="00BC4CB8" w:rsidP="006E6B8F">
            <w:pPr>
              <w:widowControl w:val="0"/>
              <w:jc w:val="right"/>
              <w:rPr>
                <w:color w:val="000000" w:themeColor="text1"/>
                <w:sz w:val="21"/>
                <w:szCs w:val="21"/>
                <w:lang w:val="fr-FR" w:eastAsia="en-CA"/>
              </w:rPr>
            </w:pPr>
            <w:r w:rsidRPr="00A13740">
              <w:rPr>
                <w:color w:val="000000"/>
                <w:sz w:val="21"/>
                <w:szCs w:val="21"/>
                <w:lang w:val="fr-FR"/>
              </w:rPr>
              <w:t>-</w:t>
            </w:r>
          </w:p>
        </w:tc>
        <w:tc>
          <w:tcPr>
            <w:tcW w:w="623" w:type="pct"/>
            <w:gridSpan w:val="2"/>
            <w:shd w:val="clear" w:color="auto" w:fill="auto"/>
            <w:noWrap/>
            <w:tcMar>
              <w:right w:w="216" w:type="dxa"/>
            </w:tcMar>
          </w:tcPr>
          <w:p w:rsidR="00BC4CB8" w:rsidRPr="00A13740" w:rsidRDefault="00BC4CB8" w:rsidP="006E6B8F">
            <w:pPr>
              <w:widowControl w:val="0"/>
              <w:jc w:val="right"/>
              <w:rPr>
                <w:bCs/>
                <w:color w:val="000000" w:themeColor="text1"/>
                <w:sz w:val="21"/>
                <w:szCs w:val="21"/>
                <w:lang w:val="fr-FR" w:eastAsia="en-CA"/>
              </w:rPr>
            </w:pPr>
            <w:r w:rsidRPr="00A13740">
              <w:rPr>
                <w:color w:val="000000"/>
                <w:sz w:val="21"/>
                <w:szCs w:val="21"/>
                <w:lang w:val="fr-FR"/>
              </w:rPr>
              <w:t>-</w:t>
            </w:r>
          </w:p>
        </w:tc>
      </w:tr>
      <w:tr w:rsidR="00BC4CB8" w:rsidRPr="00A13740" w:rsidTr="00BC4CB8">
        <w:trPr>
          <w:tblHeader/>
        </w:trPr>
        <w:tc>
          <w:tcPr>
            <w:tcW w:w="1204" w:type="pct"/>
            <w:tcBorders>
              <w:top w:val="single" w:sz="4" w:space="0" w:color="auto"/>
            </w:tcBorders>
            <w:shd w:val="clear" w:color="auto" w:fill="auto"/>
            <w:vAlign w:val="center"/>
          </w:tcPr>
          <w:p w:rsidR="00BC4CB8" w:rsidRPr="00A13740" w:rsidRDefault="00BC4CB8" w:rsidP="006E6B8F">
            <w:pPr>
              <w:widowControl w:val="0"/>
              <w:jc w:val="right"/>
              <w:rPr>
                <w:b/>
                <w:bCs/>
                <w:color w:val="000000" w:themeColor="text1"/>
                <w:sz w:val="21"/>
                <w:szCs w:val="21"/>
                <w:lang w:val="fr-FR" w:eastAsia="en-CA"/>
              </w:rPr>
            </w:pPr>
            <w:r w:rsidRPr="00A13740">
              <w:rPr>
                <w:b/>
                <w:bCs/>
                <w:color w:val="000000" w:themeColor="text1"/>
                <w:sz w:val="21"/>
                <w:szCs w:val="21"/>
                <w:lang w:val="fr-FR" w:eastAsia="fr"/>
              </w:rPr>
              <w:t>Sous-total</w:t>
            </w:r>
          </w:p>
        </w:tc>
        <w:tc>
          <w:tcPr>
            <w:tcW w:w="577" w:type="pct"/>
            <w:tcBorders>
              <w:top w:val="single" w:sz="4" w:space="0" w:color="auto"/>
            </w:tcBorders>
            <w:vAlign w:val="center"/>
          </w:tcPr>
          <w:p w:rsidR="00BC4CB8" w:rsidRPr="00A13740" w:rsidRDefault="00BC4CB8" w:rsidP="006E6B8F">
            <w:pPr>
              <w:widowControl w:val="0"/>
              <w:jc w:val="left"/>
              <w:rPr>
                <w:bCs/>
                <w:color w:val="000000" w:themeColor="text1"/>
                <w:sz w:val="21"/>
                <w:szCs w:val="21"/>
                <w:lang w:val="fr-FR" w:eastAsia="en-CA"/>
              </w:rPr>
            </w:pPr>
          </w:p>
        </w:tc>
        <w:tc>
          <w:tcPr>
            <w:tcW w:w="709" w:type="pct"/>
            <w:tcBorders>
              <w:top w:val="single" w:sz="4" w:space="0" w:color="auto"/>
            </w:tcBorders>
            <w:shd w:val="clear" w:color="auto" w:fill="auto"/>
            <w:vAlign w:val="center"/>
          </w:tcPr>
          <w:p w:rsidR="00BC4CB8" w:rsidRPr="00A13740" w:rsidRDefault="00BC4CB8" w:rsidP="006E6B8F">
            <w:pPr>
              <w:widowControl w:val="0"/>
              <w:jc w:val="left"/>
              <w:rPr>
                <w:bCs/>
                <w:color w:val="000000" w:themeColor="text1"/>
                <w:sz w:val="21"/>
                <w:szCs w:val="21"/>
                <w:lang w:val="fr-FR" w:eastAsia="en-CA"/>
              </w:rPr>
            </w:pPr>
          </w:p>
        </w:tc>
        <w:tc>
          <w:tcPr>
            <w:tcW w:w="626" w:type="pct"/>
            <w:tcBorders>
              <w:top w:val="single" w:sz="4" w:space="0" w:color="auto"/>
            </w:tcBorders>
            <w:shd w:val="clear" w:color="auto" w:fill="auto"/>
            <w:tcMar>
              <w:right w:w="216" w:type="dxa"/>
            </w:tcMar>
          </w:tcPr>
          <w:p w:rsidR="00BC4CB8" w:rsidRPr="00A13740" w:rsidRDefault="00BC4CB8" w:rsidP="006E6B8F">
            <w:pPr>
              <w:widowControl w:val="0"/>
              <w:jc w:val="right"/>
              <w:rPr>
                <w:b/>
                <w:bCs/>
                <w:color w:val="000000" w:themeColor="text1"/>
                <w:sz w:val="21"/>
                <w:szCs w:val="21"/>
                <w:lang w:val="fr-FR" w:eastAsia="en-CA"/>
              </w:rPr>
            </w:pPr>
            <w:r w:rsidRPr="00A13740">
              <w:rPr>
                <w:b/>
                <w:bCs/>
                <w:color w:val="000000"/>
                <w:sz w:val="21"/>
                <w:szCs w:val="21"/>
                <w:lang w:val="fr-FR"/>
              </w:rPr>
              <w:t>289,02</w:t>
            </w:r>
          </w:p>
        </w:tc>
        <w:tc>
          <w:tcPr>
            <w:tcW w:w="635" w:type="pct"/>
            <w:gridSpan w:val="2"/>
            <w:tcBorders>
              <w:top w:val="single" w:sz="4" w:space="0" w:color="auto"/>
            </w:tcBorders>
            <w:shd w:val="clear" w:color="auto" w:fill="auto"/>
            <w:tcMar>
              <w:left w:w="0" w:type="dxa"/>
              <w:right w:w="216" w:type="dxa"/>
            </w:tcMar>
          </w:tcPr>
          <w:p w:rsidR="00BC4CB8" w:rsidRPr="00A13740" w:rsidRDefault="00BC4CB8" w:rsidP="006E6B8F">
            <w:pPr>
              <w:widowControl w:val="0"/>
              <w:jc w:val="right"/>
              <w:rPr>
                <w:b/>
                <w:bCs/>
                <w:color w:val="000000" w:themeColor="text1"/>
                <w:sz w:val="21"/>
                <w:szCs w:val="21"/>
                <w:lang w:val="fr-FR" w:eastAsia="en-CA"/>
              </w:rPr>
            </w:pPr>
            <w:r w:rsidRPr="00A13740">
              <w:rPr>
                <w:b/>
                <w:bCs/>
                <w:color w:val="000000"/>
                <w:sz w:val="21"/>
                <w:szCs w:val="21"/>
                <w:lang w:val="fr-FR"/>
              </w:rPr>
              <w:t>15,90</w:t>
            </w:r>
          </w:p>
        </w:tc>
        <w:tc>
          <w:tcPr>
            <w:tcW w:w="626" w:type="pct"/>
            <w:gridSpan w:val="2"/>
            <w:shd w:val="clear" w:color="auto" w:fill="auto"/>
            <w:noWrap/>
            <w:tcMar>
              <w:right w:w="216" w:type="dxa"/>
            </w:tcMar>
          </w:tcPr>
          <w:p w:rsidR="00BC4CB8" w:rsidRPr="00A13740" w:rsidRDefault="00BC4CB8" w:rsidP="006E6B8F">
            <w:pPr>
              <w:widowControl w:val="0"/>
              <w:jc w:val="right"/>
              <w:rPr>
                <w:b/>
                <w:color w:val="000000" w:themeColor="text1"/>
                <w:sz w:val="21"/>
                <w:szCs w:val="21"/>
                <w:lang w:val="fr-FR" w:eastAsia="en-CA"/>
              </w:rPr>
            </w:pPr>
            <w:r w:rsidRPr="00A13740">
              <w:rPr>
                <w:b/>
                <w:bCs/>
                <w:color w:val="000000"/>
                <w:sz w:val="21"/>
                <w:szCs w:val="21"/>
                <w:lang w:val="fr-FR"/>
              </w:rPr>
              <w:t>1 021 640</w:t>
            </w:r>
          </w:p>
        </w:tc>
        <w:tc>
          <w:tcPr>
            <w:tcW w:w="623" w:type="pct"/>
            <w:gridSpan w:val="2"/>
            <w:shd w:val="clear" w:color="auto" w:fill="auto"/>
            <w:noWrap/>
            <w:tcMar>
              <w:right w:w="216" w:type="dxa"/>
            </w:tcMar>
          </w:tcPr>
          <w:p w:rsidR="00BC4CB8" w:rsidRPr="00A13740" w:rsidRDefault="00BC4CB8" w:rsidP="006E6B8F">
            <w:pPr>
              <w:widowControl w:val="0"/>
              <w:jc w:val="right"/>
              <w:rPr>
                <w:b/>
                <w:bCs/>
                <w:color w:val="000000" w:themeColor="text1"/>
                <w:sz w:val="21"/>
                <w:szCs w:val="21"/>
                <w:lang w:val="fr-FR" w:eastAsia="en-CA"/>
              </w:rPr>
            </w:pPr>
            <w:r w:rsidRPr="00A13740">
              <w:rPr>
                <w:b/>
                <w:bCs/>
                <w:color w:val="000000"/>
                <w:sz w:val="21"/>
                <w:szCs w:val="21"/>
                <w:lang w:val="fr-FR"/>
              </w:rPr>
              <w:t>3,53</w:t>
            </w:r>
          </w:p>
        </w:tc>
      </w:tr>
      <w:tr w:rsidR="00BC4CB8" w:rsidRPr="00A13740" w:rsidTr="00BC4CB8">
        <w:trPr>
          <w:tblHeader/>
        </w:trPr>
        <w:tc>
          <w:tcPr>
            <w:tcW w:w="1204" w:type="pct"/>
            <w:tcBorders>
              <w:top w:val="single" w:sz="4" w:space="0" w:color="auto"/>
            </w:tcBorders>
            <w:shd w:val="clear" w:color="auto" w:fill="auto"/>
            <w:vAlign w:val="center"/>
          </w:tcPr>
          <w:p w:rsidR="00BC4CB8" w:rsidRPr="00A13740" w:rsidRDefault="00BC4CB8" w:rsidP="006E6B8F">
            <w:pPr>
              <w:widowControl w:val="0"/>
              <w:jc w:val="left"/>
              <w:rPr>
                <w:bCs/>
                <w:color w:val="000000" w:themeColor="text1"/>
                <w:sz w:val="21"/>
                <w:szCs w:val="21"/>
                <w:lang w:val="fr-FR" w:eastAsia="en-CA"/>
              </w:rPr>
            </w:pPr>
            <w:r w:rsidRPr="00A13740">
              <w:rPr>
                <w:bCs/>
                <w:color w:val="000000" w:themeColor="text1"/>
                <w:sz w:val="21"/>
                <w:szCs w:val="21"/>
                <w:lang w:val="fr-FR" w:eastAsia="fr"/>
              </w:rPr>
              <w:t xml:space="preserve">Gestion de projet </w:t>
            </w:r>
          </w:p>
        </w:tc>
        <w:tc>
          <w:tcPr>
            <w:tcW w:w="577" w:type="pct"/>
            <w:tcBorders>
              <w:top w:val="single" w:sz="4" w:space="0" w:color="auto"/>
            </w:tcBorders>
            <w:vAlign w:val="center"/>
          </w:tcPr>
          <w:p w:rsidR="00BC4CB8" w:rsidRPr="00A13740" w:rsidRDefault="00BC4CB8" w:rsidP="006E6B8F">
            <w:pPr>
              <w:widowControl w:val="0"/>
              <w:jc w:val="left"/>
              <w:rPr>
                <w:bCs/>
                <w:color w:val="000000" w:themeColor="text1"/>
                <w:sz w:val="21"/>
                <w:szCs w:val="21"/>
                <w:lang w:val="fr-FR" w:eastAsia="en-CA"/>
              </w:rPr>
            </w:pPr>
            <w:r w:rsidRPr="00A13740">
              <w:rPr>
                <w:bCs/>
                <w:color w:val="000000" w:themeColor="text1"/>
                <w:sz w:val="21"/>
                <w:szCs w:val="21"/>
                <w:lang w:val="fr-FR" w:eastAsia="fr"/>
              </w:rPr>
              <w:t>ONUDI</w:t>
            </w:r>
          </w:p>
        </w:tc>
        <w:tc>
          <w:tcPr>
            <w:tcW w:w="709" w:type="pct"/>
            <w:tcBorders>
              <w:top w:val="single" w:sz="4" w:space="0" w:color="auto"/>
            </w:tcBorders>
            <w:shd w:val="clear" w:color="auto" w:fill="auto"/>
            <w:vAlign w:val="center"/>
          </w:tcPr>
          <w:p w:rsidR="00BC4CB8" w:rsidRPr="00A13740" w:rsidRDefault="00BC4CB8" w:rsidP="006E6B8F">
            <w:pPr>
              <w:widowControl w:val="0"/>
              <w:jc w:val="left"/>
              <w:rPr>
                <w:bCs/>
                <w:color w:val="000000" w:themeColor="text1"/>
                <w:sz w:val="21"/>
                <w:szCs w:val="21"/>
                <w:lang w:val="fr-FR" w:eastAsia="en-CA"/>
              </w:rPr>
            </w:pPr>
            <w:r w:rsidRPr="00A13740">
              <w:rPr>
                <w:bCs/>
                <w:color w:val="000000" w:themeColor="text1"/>
                <w:sz w:val="21"/>
                <w:szCs w:val="21"/>
                <w:lang w:val="fr-FR" w:eastAsia="fr"/>
              </w:rPr>
              <w:t>HCFC-22</w:t>
            </w:r>
          </w:p>
        </w:tc>
        <w:tc>
          <w:tcPr>
            <w:tcW w:w="626" w:type="pct"/>
            <w:tcBorders>
              <w:top w:val="single" w:sz="4" w:space="0" w:color="auto"/>
            </w:tcBorders>
            <w:shd w:val="clear" w:color="auto" w:fill="auto"/>
            <w:tcMar>
              <w:right w:w="216" w:type="dxa"/>
            </w:tcMar>
          </w:tcPr>
          <w:p w:rsidR="00BC4CB8" w:rsidRPr="00A13740" w:rsidRDefault="00BC4CB8" w:rsidP="006E6B8F">
            <w:pPr>
              <w:widowControl w:val="0"/>
              <w:jc w:val="right"/>
              <w:rPr>
                <w:bCs/>
                <w:color w:val="000000" w:themeColor="text1"/>
                <w:sz w:val="21"/>
                <w:szCs w:val="21"/>
                <w:lang w:val="fr-FR" w:eastAsia="en-CA"/>
              </w:rPr>
            </w:pPr>
            <w:r w:rsidRPr="00A13740">
              <w:rPr>
                <w:color w:val="000000"/>
                <w:sz w:val="21"/>
                <w:szCs w:val="21"/>
                <w:lang w:val="fr-FR"/>
              </w:rPr>
              <w:t>17,71</w:t>
            </w:r>
          </w:p>
        </w:tc>
        <w:tc>
          <w:tcPr>
            <w:tcW w:w="635" w:type="pct"/>
            <w:gridSpan w:val="2"/>
            <w:tcBorders>
              <w:top w:val="single" w:sz="4" w:space="0" w:color="auto"/>
            </w:tcBorders>
            <w:shd w:val="clear" w:color="auto" w:fill="auto"/>
            <w:tcMar>
              <w:left w:w="0" w:type="dxa"/>
              <w:right w:w="216" w:type="dxa"/>
            </w:tcMar>
          </w:tcPr>
          <w:p w:rsidR="00BC4CB8" w:rsidRPr="00A13740" w:rsidRDefault="00BC4CB8" w:rsidP="006E6B8F">
            <w:pPr>
              <w:widowControl w:val="0"/>
              <w:jc w:val="right"/>
              <w:rPr>
                <w:bCs/>
                <w:color w:val="000000" w:themeColor="text1"/>
                <w:sz w:val="21"/>
                <w:szCs w:val="21"/>
                <w:lang w:val="fr-FR" w:eastAsia="en-CA"/>
              </w:rPr>
            </w:pPr>
            <w:r w:rsidRPr="00A13740">
              <w:rPr>
                <w:color w:val="000000"/>
                <w:sz w:val="21"/>
                <w:szCs w:val="21"/>
                <w:lang w:val="fr-FR"/>
              </w:rPr>
              <w:t>0,97</w:t>
            </w:r>
          </w:p>
        </w:tc>
        <w:tc>
          <w:tcPr>
            <w:tcW w:w="626" w:type="pct"/>
            <w:gridSpan w:val="2"/>
            <w:shd w:val="clear" w:color="auto" w:fill="auto"/>
            <w:noWrap/>
            <w:tcMar>
              <w:right w:w="216" w:type="dxa"/>
            </w:tcMar>
          </w:tcPr>
          <w:p w:rsidR="00BC4CB8" w:rsidRPr="00A13740" w:rsidRDefault="00BC4CB8" w:rsidP="006E6B8F">
            <w:pPr>
              <w:widowControl w:val="0"/>
              <w:jc w:val="right"/>
              <w:rPr>
                <w:color w:val="000000" w:themeColor="text1"/>
                <w:sz w:val="21"/>
                <w:szCs w:val="21"/>
                <w:lang w:val="fr-FR" w:eastAsia="en-CA"/>
              </w:rPr>
            </w:pPr>
            <w:r w:rsidRPr="00A13740">
              <w:rPr>
                <w:color w:val="000000"/>
                <w:sz w:val="21"/>
                <w:szCs w:val="21"/>
                <w:lang w:val="fr-FR"/>
              </w:rPr>
              <w:t>85 000</w:t>
            </w:r>
          </w:p>
        </w:tc>
        <w:tc>
          <w:tcPr>
            <w:tcW w:w="623" w:type="pct"/>
            <w:gridSpan w:val="2"/>
            <w:shd w:val="clear" w:color="auto" w:fill="auto"/>
            <w:noWrap/>
            <w:tcMar>
              <w:right w:w="216" w:type="dxa"/>
            </w:tcMar>
          </w:tcPr>
          <w:p w:rsidR="00BC4CB8" w:rsidRPr="00A13740" w:rsidRDefault="00BC4CB8" w:rsidP="006E6B8F">
            <w:pPr>
              <w:widowControl w:val="0"/>
              <w:jc w:val="right"/>
              <w:rPr>
                <w:bCs/>
                <w:color w:val="000000" w:themeColor="text1"/>
                <w:sz w:val="21"/>
                <w:szCs w:val="21"/>
                <w:lang w:val="fr-FR" w:eastAsia="en-CA"/>
              </w:rPr>
            </w:pPr>
            <w:r w:rsidRPr="00A13740">
              <w:rPr>
                <w:color w:val="000000"/>
                <w:sz w:val="21"/>
                <w:szCs w:val="21"/>
                <w:lang w:val="fr-FR"/>
              </w:rPr>
              <w:t>4,80</w:t>
            </w:r>
          </w:p>
        </w:tc>
      </w:tr>
      <w:tr w:rsidR="00BC4CB8" w:rsidRPr="00A13740" w:rsidTr="00BC4CB8">
        <w:trPr>
          <w:tblHeader/>
        </w:trPr>
        <w:tc>
          <w:tcPr>
            <w:tcW w:w="1204" w:type="pct"/>
            <w:tcBorders>
              <w:top w:val="single" w:sz="4" w:space="0" w:color="auto"/>
            </w:tcBorders>
            <w:shd w:val="clear" w:color="auto" w:fill="auto"/>
            <w:vAlign w:val="center"/>
          </w:tcPr>
          <w:p w:rsidR="00BC4CB8" w:rsidRPr="00A13740" w:rsidRDefault="00BC4CB8" w:rsidP="006E6B8F">
            <w:pPr>
              <w:widowControl w:val="0"/>
              <w:jc w:val="right"/>
              <w:rPr>
                <w:b/>
                <w:bCs/>
                <w:color w:val="000000" w:themeColor="text1"/>
                <w:sz w:val="21"/>
                <w:szCs w:val="21"/>
                <w:lang w:val="fr-FR" w:eastAsia="en-CA"/>
              </w:rPr>
            </w:pPr>
            <w:r w:rsidRPr="00A13740">
              <w:rPr>
                <w:sz w:val="21"/>
                <w:szCs w:val="21"/>
                <w:lang w:val="fr-FR"/>
              </w:rPr>
              <w:t xml:space="preserve">Total pour le secteur de l'entretien / UGP </w:t>
            </w:r>
          </w:p>
        </w:tc>
        <w:tc>
          <w:tcPr>
            <w:tcW w:w="577" w:type="pct"/>
            <w:tcBorders>
              <w:top w:val="single" w:sz="4" w:space="0" w:color="auto"/>
            </w:tcBorders>
            <w:vAlign w:val="center"/>
          </w:tcPr>
          <w:p w:rsidR="00BC4CB8" w:rsidRPr="00A13740" w:rsidRDefault="00BC4CB8" w:rsidP="006E6B8F">
            <w:pPr>
              <w:widowControl w:val="0"/>
              <w:jc w:val="left"/>
              <w:rPr>
                <w:b/>
                <w:bCs/>
                <w:color w:val="000000" w:themeColor="text1"/>
                <w:sz w:val="21"/>
                <w:szCs w:val="21"/>
                <w:lang w:val="fr-FR" w:eastAsia="en-CA"/>
              </w:rPr>
            </w:pPr>
          </w:p>
        </w:tc>
        <w:tc>
          <w:tcPr>
            <w:tcW w:w="709" w:type="pct"/>
            <w:tcBorders>
              <w:top w:val="single" w:sz="4" w:space="0" w:color="auto"/>
            </w:tcBorders>
            <w:shd w:val="clear" w:color="auto" w:fill="auto"/>
            <w:vAlign w:val="center"/>
          </w:tcPr>
          <w:p w:rsidR="00BC4CB8" w:rsidRPr="00A13740" w:rsidRDefault="00BC4CB8" w:rsidP="006E6B8F">
            <w:pPr>
              <w:widowControl w:val="0"/>
              <w:jc w:val="left"/>
              <w:rPr>
                <w:b/>
                <w:bCs/>
                <w:color w:val="000000" w:themeColor="text1"/>
                <w:sz w:val="21"/>
                <w:szCs w:val="21"/>
                <w:lang w:val="fr-FR" w:eastAsia="en-CA"/>
              </w:rPr>
            </w:pPr>
          </w:p>
        </w:tc>
        <w:tc>
          <w:tcPr>
            <w:tcW w:w="626" w:type="pct"/>
            <w:tcBorders>
              <w:top w:val="single" w:sz="4" w:space="0" w:color="auto"/>
            </w:tcBorders>
            <w:shd w:val="clear" w:color="auto" w:fill="auto"/>
            <w:tcMar>
              <w:right w:w="216" w:type="dxa"/>
            </w:tcMar>
          </w:tcPr>
          <w:p w:rsidR="00BC4CB8" w:rsidRPr="00A13740" w:rsidRDefault="00BC4CB8" w:rsidP="006E6B8F">
            <w:pPr>
              <w:widowControl w:val="0"/>
              <w:jc w:val="right"/>
              <w:rPr>
                <w:b/>
                <w:color w:val="000000"/>
                <w:sz w:val="21"/>
                <w:szCs w:val="21"/>
                <w:lang w:val="fr-FR"/>
              </w:rPr>
            </w:pPr>
            <w:r w:rsidRPr="00A13740">
              <w:rPr>
                <w:b/>
                <w:bCs/>
                <w:color w:val="000000"/>
                <w:sz w:val="21"/>
                <w:szCs w:val="21"/>
                <w:lang w:val="fr-FR"/>
              </w:rPr>
              <w:t>306,73</w:t>
            </w:r>
          </w:p>
        </w:tc>
        <w:tc>
          <w:tcPr>
            <w:tcW w:w="635" w:type="pct"/>
            <w:gridSpan w:val="2"/>
            <w:tcBorders>
              <w:top w:val="single" w:sz="4" w:space="0" w:color="auto"/>
            </w:tcBorders>
            <w:shd w:val="clear" w:color="auto" w:fill="auto"/>
            <w:tcMar>
              <w:left w:w="0" w:type="dxa"/>
              <w:right w:w="216" w:type="dxa"/>
            </w:tcMar>
          </w:tcPr>
          <w:p w:rsidR="00BC4CB8" w:rsidRPr="00A13740" w:rsidRDefault="00BC4CB8" w:rsidP="006E6B8F">
            <w:pPr>
              <w:widowControl w:val="0"/>
              <w:jc w:val="right"/>
              <w:rPr>
                <w:b/>
                <w:color w:val="000000"/>
                <w:sz w:val="21"/>
                <w:szCs w:val="21"/>
                <w:lang w:val="fr-FR"/>
              </w:rPr>
            </w:pPr>
            <w:r w:rsidRPr="00A13740">
              <w:rPr>
                <w:b/>
                <w:bCs/>
                <w:color w:val="000000"/>
                <w:sz w:val="21"/>
                <w:szCs w:val="21"/>
                <w:lang w:val="fr-FR"/>
              </w:rPr>
              <w:t>16,87</w:t>
            </w:r>
          </w:p>
        </w:tc>
        <w:tc>
          <w:tcPr>
            <w:tcW w:w="626" w:type="pct"/>
            <w:gridSpan w:val="2"/>
            <w:shd w:val="clear" w:color="auto" w:fill="auto"/>
            <w:noWrap/>
            <w:tcMar>
              <w:right w:w="216" w:type="dxa"/>
            </w:tcMar>
          </w:tcPr>
          <w:p w:rsidR="00BC4CB8" w:rsidRPr="00A13740" w:rsidRDefault="00BC4CB8" w:rsidP="006E6B8F">
            <w:pPr>
              <w:widowControl w:val="0"/>
              <w:jc w:val="right"/>
              <w:rPr>
                <w:b/>
                <w:color w:val="000000"/>
                <w:sz w:val="21"/>
                <w:szCs w:val="21"/>
                <w:lang w:val="fr-FR"/>
              </w:rPr>
            </w:pPr>
            <w:r w:rsidRPr="00A13740">
              <w:rPr>
                <w:b/>
                <w:bCs/>
                <w:color w:val="000000"/>
                <w:sz w:val="21"/>
                <w:szCs w:val="21"/>
                <w:lang w:val="fr-FR"/>
              </w:rPr>
              <w:t>1 106 640</w:t>
            </w:r>
          </w:p>
        </w:tc>
        <w:tc>
          <w:tcPr>
            <w:tcW w:w="623" w:type="pct"/>
            <w:gridSpan w:val="2"/>
            <w:shd w:val="clear" w:color="auto" w:fill="auto"/>
            <w:noWrap/>
            <w:tcMar>
              <w:right w:w="216" w:type="dxa"/>
            </w:tcMar>
          </w:tcPr>
          <w:p w:rsidR="00BC4CB8" w:rsidRPr="00A13740" w:rsidRDefault="00BC4CB8" w:rsidP="006E6B8F">
            <w:pPr>
              <w:widowControl w:val="0"/>
              <w:jc w:val="right"/>
              <w:rPr>
                <w:b/>
                <w:color w:val="000000"/>
                <w:sz w:val="21"/>
                <w:szCs w:val="21"/>
                <w:lang w:val="fr-FR"/>
              </w:rPr>
            </w:pPr>
            <w:r w:rsidRPr="00A13740">
              <w:rPr>
                <w:b/>
                <w:bCs/>
                <w:color w:val="000000"/>
                <w:sz w:val="21"/>
                <w:szCs w:val="21"/>
                <w:lang w:val="fr-FR"/>
              </w:rPr>
              <w:t>3,61</w:t>
            </w:r>
          </w:p>
        </w:tc>
      </w:tr>
      <w:tr w:rsidR="00BC4CB8" w:rsidRPr="00A13740" w:rsidTr="00BC4CB8">
        <w:trPr>
          <w:tblHeader/>
        </w:trPr>
        <w:tc>
          <w:tcPr>
            <w:tcW w:w="1204" w:type="pct"/>
            <w:tcBorders>
              <w:top w:val="single" w:sz="4" w:space="0" w:color="auto"/>
            </w:tcBorders>
            <w:shd w:val="clear" w:color="auto" w:fill="auto"/>
            <w:vAlign w:val="center"/>
          </w:tcPr>
          <w:p w:rsidR="00BC4CB8" w:rsidRPr="00A13740" w:rsidRDefault="00BC4CB8" w:rsidP="006E6B8F">
            <w:pPr>
              <w:widowControl w:val="0"/>
              <w:jc w:val="left"/>
              <w:rPr>
                <w:b/>
                <w:bCs/>
                <w:color w:val="000000" w:themeColor="text1"/>
                <w:sz w:val="21"/>
                <w:szCs w:val="21"/>
                <w:lang w:val="fr-FR" w:eastAsia="en-CA"/>
              </w:rPr>
            </w:pPr>
            <w:r w:rsidRPr="00A13740">
              <w:rPr>
                <w:b/>
                <w:sz w:val="21"/>
                <w:szCs w:val="21"/>
                <w:lang w:val="fr-FR"/>
              </w:rPr>
              <w:t xml:space="preserve">Total général </w:t>
            </w:r>
          </w:p>
        </w:tc>
        <w:tc>
          <w:tcPr>
            <w:tcW w:w="577" w:type="pct"/>
            <w:tcBorders>
              <w:top w:val="single" w:sz="4" w:space="0" w:color="auto"/>
            </w:tcBorders>
            <w:vAlign w:val="center"/>
          </w:tcPr>
          <w:p w:rsidR="00BC4CB8" w:rsidRPr="00A13740" w:rsidRDefault="00BC4CB8" w:rsidP="006E6B8F">
            <w:pPr>
              <w:widowControl w:val="0"/>
              <w:jc w:val="left"/>
              <w:rPr>
                <w:b/>
                <w:bCs/>
                <w:color w:val="000000" w:themeColor="text1"/>
                <w:sz w:val="21"/>
                <w:szCs w:val="21"/>
                <w:lang w:val="fr-FR" w:eastAsia="en-CA"/>
              </w:rPr>
            </w:pPr>
          </w:p>
        </w:tc>
        <w:tc>
          <w:tcPr>
            <w:tcW w:w="709" w:type="pct"/>
            <w:tcBorders>
              <w:top w:val="single" w:sz="4" w:space="0" w:color="auto"/>
            </w:tcBorders>
            <w:shd w:val="clear" w:color="auto" w:fill="auto"/>
            <w:vAlign w:val="center"/>
          </w:tcPr>
          <w:p w:rsidR="00BC4CB8" w:rsidRPr="00A13740" w:rsidRDefault="00BC4CB8" w:rsidP="006E6B8F">
            <w:pPr>
              <w:widowControl w:val="0"/>
              <w:jc w:val="left"/>
              <w:rPr>
                <w:b/>
                <w:bCs/>
                <w:color w:val="000000" w:themeColor="text1"/>
                <w:sz w:val="21"/>
                <w:szCs w:val="21"/>
                <w:lang w:val="fr-FR" w:eastAsia="en-CA"/>
              </w:rPr>
            </w:pPr>
          </w:p>
        </w:tc>
        <w:tc>
          <w:tcPr>
            <w:tcW w:w="626" w:type="pct"/>
            <w:tcBorders>
              <w:top w:val="single" w:sz="4" w:space="0" w:color="auto"/>
            </w:tcBorders>
            <w:shd w:val="clear" w:color="auto" w:fill="auto"/>
            <w:tcMar>
              <w:right w:w="216" w:type="dxa"/>
            </w:tcMar>
          </w:tcPr>
          <w:p w:rsidR="00BC4CB8" w:rsidRPr="00A13740" w:rsidRDefault="00BC4CB8" w:rsidP="006E6B8F">
            <w:pPr>
              <w:widowControl w:val="0"/>
              <w:jc w:val="right"/>
              <w:rPr>
                <w:b/>
                <w:bCs/>
                <w:color w:val="000000" w:themeColor="text1"/>
                <w:sz w:val="21"/>
                <w:szCs w:val="21"/>
                <w:lang w:val="fr-FR" w:eastAsia="en-CA"/>
              </w:rPr>
            </w:pPr>
            <w:r w:rsidRPr="00A13740">
              <w:rPr>
                <w:b/>
                <w:bCs/>
                <w:color w:val="000000"/>
                <w:sz w:val="21"/>
                <w:szCs w:val="21"/>
                <w:lang w:val="fr-FR"/>
              </w:rPr>
              <w:t>373,73</w:t>
            </w:r>
          </w:p>
        </w:tc>
        <w:tc>
          <w:tcPr>
            <w:tcW w:w="635" w:type="pct"/>
            <w:gridSpan w:val="2"/>
            <w:tcBorders>
              <w:top w:val="single" w:sz="4" w:space="0" w:color="auto"/>
            </w:tcBorders>
            <w:shd w:val="clear" w:color="auto" w:fill="auto"/>
            <w:tcMar>
              <w:left w:w="0" w:type="dxa"/>
              <w:right w:w="216" w:type="dxa"/>
            </w:tcMar>
          </w:tcPr>
          <w:p w:rsidR="00BC4CB8" w:rsidRPr="00A13740" w:rsidRDefault="00BC4CB8" w:rsidP="006E6B8F">
            <w:pPr>
              <w:widowControl w:val="0"/>
              <w:jc w:val="right"/>
              <w:rPr>
                <w:b/>
                <w:bCs/>
                <w:color w:val="000000" w:themeColor="text1"/>
                <w:sz w:val="21"/>
                <w:szCs w:val="21"/>
                <w:lang w:val="fr-FR" w:eastAsia="en-CA"/>
              </w:rPr>
            </w:pPr>
            <w:r w:rsidRPr="00A13740">
              <w:rPr>
                <w:b/>
                <w:bCs/>
                <w:color w:val="000000"/>
                <w:sz w:val="21"/>
                <w:szCs w:val="21"/>
                <w:lang w:val="fr-FR"/>
              </w:rPr>
              <w:t>24,25</w:t>
            </w:r>
          </w:p>
        </w:tc>
        <w:tc>
          <w:tcPr>
            <w:tcW w:w="626" w:type="pct"/>
            <w:gridSpan w:val="2"/>
            <w:shd w:val="clear" w:color="auto" w:fill="auto"/>
            <w:noWrap/>
            <w:tcMar>
              <w:right w:w="216" w:type="dxa"/>
            </w:tcMar>
          </w:tcPr>
          <w:p w:rsidR="00BC4CB8" w:rsidRPr="00A13740" w:rsidRDefault="00BC4CB8" w:rsidP="006E6B8F">
            <w:pPr>
              <w:widowControl w:val="0"/>
              <w:jc w:val="right"/>
              <w:rPr>
                <w:b/>
                <w:color w:val="000000" w:themeColor="text1"/>
                <w:sz w:val="21"/>
                <w:szCs w:val="21"/>
                <w:lang w:val="fr-FR" w:eastAsia="en-CA"/>
              </w:rPr>
            </w:pPr>
            <w:r w:rsidRPr="00A13740">
              <w:rPr>
                <w:b/>
                <w:bCs/>
                <w:color w:val="000000"/>
                <w:sz w:val="21"/>
                <w:szCs w:val="21"/>
                <w:lang w:val="fr-FR"/>
              </w:rPr>
              <w:t>1 564 946</w:t>
            </w:r>
          </w:p>
        </w:tc>
        <w:tc>
          <w:tcPr>
            <w:tcW w:w="623" w:type="pct"/>
            <w:gridSpan w:val="2"/>
            <w:shd w:val="clear" w:color="auto" w:fill="auto"/>
            <w:noWrap/>
            <w:tcMar>
              <w:right w:w="216" w:type="dxa"/>
            </w:tcMar>
          </w:tcPr>
          <w:p w:rsidR="00BC4CB8" w:rsidRPr="00A13740" w:rsidRDefault="00BC4CB8" w:rsidP="006E6B8F">
            <w:pPr>
              <w:widowControl w:val="0"/>
              <w:jc w:val="right"/>
              <w:rPr>
                <w:b/>
                <w:bCs/>
                <w:color w:val="000000" w:themeColor="text1"/>
                <w:sz w:val="21"/>
                <w:szCs w:val="21"/>
                <w:lang w:val="fr-FR" w:eastAsia="en-CA"/>
              </w:rPr>
            </w:pPr>
            <w:r w:rsidRPr="00A13740">
              <w:rPr>
                <w:b/>
                <w:bCs/>
                <w:color w:val="000000"/>
                <w:sz w:val="21"/>
                <w:szCs w:val="21"/>
                <w:lang w:val="fr-FR"/>
              </w:rPr>
              <w:t>4,19</w:t>
            </w:r>
          </w:p>
        </w:tc>
      </w:tr>
    </w:tbl>
    <w:p w:rsidR="00EC53CE" w:rsidRPr="00A13740" w:rsidRDefault="00EC53CE" w:rsidP="00EC53CE">
      <w:pPr>
        <w:widowControl w:val="0"/>
        <w:rPr>
          <w:sz w:val="20"/>
          <w:szCs w:val="20"/>
          <w:lang w:val="fr-FR"/>
        </w:rPr>
      </w:pPr>
      <w:r w:rsidRPr="00A13740">
        <w:rPr>
          <w:sz w:val="20"/>
          <w:szCs w:val="20"/>
          <w:lang w:val="fr-FR"/>
        </w:rPr>
        <w:t xml:space="preserve">(*) Financement calculé sur la base d'une consommation admissible au financement de 35,76 </w:t>
      </w:r>
      <w:proofErr w:type="spellStart"/>
      <w:r w:rsidRPr="00A13740">
        <w:rPr>
          <w:sz w:val="20"/>
          <w:szCs w:val="20"/>
          <w:lang w:val="fr-FR"/>
        </w:rPr>
        <w:t>tm</w:t>
      </w:r>
      <w:proofErr w:type="spellEnd"/>
      <w:r w:rsidRPr="00A13740">
        <w:rPr>
          <w:sz w:val="20"/>
          <w:szCs w:val="20"/>
          <w:lang w:val="fr-FR"/>
        </w:rPr>
        <w:t xml:space="preserve"> (3,93 tonnes PAO) ; rapport coût-efficacité basé sur la consommation totale à éliminer.</w:t>
      </w:r>
    </w:p>
    <w:p w:rsidR="00EC53CE" w:rsidRPr="00A13740" w:rsidRDefault="00EC53CE" w:rsidP="00EC53CE">
      <w:pPr>
        <w:widowControl w:val="0"/>
        <w:rPr>
          <w:sz w:val="20"/>
          <w:szCs w:val="20"/>
          <w:lang w:val="fr-FR"/>
        </w:rPr>
      </w:pPr>
      <w:r w:rsidRPr="00A13740">
        <w:rPr>
          <w:sz w:val="20"/>
          <w:szCs w:val="20"/>
          <w:lang w:val="fr-FR"/>
        </w:rPr>
        <w:t xml:space="preserve">(**) Financement calculé sur la base d'une consommation admissible au financement de 9,88 </w:t>
      </w:r>
      <w:proofErr w:type="spellStart"/>
      <w:r w:rsidRPr="00A13740">
        <w:rPr>
          <w:sz w:val="20"/>
          <w:szCs w:val="20"/>
          <w:lang w:val="fr-FR"/>
        </w:rPr>
        <w:t>tm</w:t>
      </w:r>
      <w:proofErr w:type="spellEnd"/>
      <w:r w:rsidRPr="00A13740">
        <w:rPr>
          <w:sz w:val="20"/>
          <w:szCs w:val="20"/>
          <w:lang w:val="fr-FR"/>
        </w:rPr>
        <w:t xml:space="preserve"> (1,09 t PAO) ; rapport coût-efficacité basé sur la consommation totale à éliminer. </w:t>
      </w:r>
    </w:p>
    <w:p w:rsidR="00EC53CE" w:rsidRPr="00A13740" w:rsidRDefault="00EC53CE" w:rsidP="00EC53CE">
      <w:pPr>
        <w:widowControl w:val="0"/>
        <w:rPr>
          <w:lang w:val="fr-FR"/>
        </w:rPr>
      </w:pPr>
    </w:p>
    <w:p w:rsidR="00EC53CE" w:rsidRPr="00A13740" w:rsidRDefault="00EC53CE" w:rsidP="00EC53CE">
      <w:pPr>
        <w:pStyle w:val="Heading1"/>
        <w:widowControl w:val="0"/>
        <w:rPr>
          <w:u w:val="single"/>
          <w:lang w:val="fr-FR"/>
        </w:rPr>
      </w:pPr>
      <w:r w:rsidRPr="00A13740">
        <w:rPr>
          <w:lang w:val="fr-FR"/>
        </w:rPr>
        <w:t xml:space="preserve">Le financement convenu pour la première tranche de la phase II, d'un montant de 934 306 $ US, coûts d'appui d'agence en sus, sera mis en œuvre de janvier 2020 à décembre 2021 et servira à lancer les projets d'investissement dans le secteur des mousses de polyuréthane. </w:t>
      </w:r>
    </w:p>
    <w:p w:rsidR="00EC53CE" w:rsidRPr="00A13740" w:rsidRDefault="00EC53CE" w:rsidP="00EC53CE">
      <w:pPr>
        <w:pStyle w:val="Heading1"/>
        <w:numPr>
          <w:ilvl w:val="0"/>
          <w:numId w:val="0"/>
        </w:numPr>
        <w:rPr>
          <w:u w:val="single"/>
          <w:lang w:val="fr-FR"/>
        </w:rPr>
      </w:pPr>
      <w:r w:rsidRPr="00A13740">
        <w:rPr>
          <w:u w:val="single"/>
          <w:lang w:val="fr-FR"/>
        </w:rPr>
        <w:t>Impact sur le climat</w:t>
      </w:r>
    </w:p>
    <w:p w:rsidR="00EC53CE" w:rsidRPr="00A13740" w:rsidRDefault="00EC53CE" w:rsidP="00EC53CE">
      <w:pPr>
        <w:pStyle w:val="Heading1"/>
        <w:rPr>
          <w:lang w:val="fr-FR"/>
        </w:rPr>
      </w:pPr>
      <w:r w:rsidRPr="00A13740">
        <w:rPr>
          <w:lang w:val="fr-FR"/>
        </w:rPr>
        <w:t>La conversion des deux entreprises de fabrication de mousse de polyuréthane en Tunisie permettrait d'éviter l'émission dans l'atmosphère de quelque 48 575 tonnes d'équivalent CO</w:t>
      </w:r>
      <w:r w:rsidRPr="00A13740">
        <w:rPr>
          <w:vertAlign w:val="subscript"/>
          <w:lang w:val="fr-FR"/>
        </w:rPr>
        <w:t xml:space="preserve">2 </w:t>
      </w:r>
      <w:r w:rsidRPr="00A13740">
        <w:rPr>
          <w:lang w:val="fr-FR"/>
        </w:rPr>
        <w:t xml:space="preserve">par an, comme le montre le tableau </w:t>
      </w:r>
      <w:r>
        <w:rPr>
          <w:lang w:val="fr-FR"/>
        </w:rPr>
        <w:t>8</w:t>
      </w:r>
      <w:r w:rsidRPr="00A13740">
        <w:rPr>
          <w:lang w:val="fr-FR"/>
        </w:rPr>
        <w:t>.</w:t>
      </w:r>
    </w:p>
    <w:p w:rsidR="00EC53CE" w:rsidRPr="00A13740" w:rsidRDefault="00EC53CE" w:rsidP="00EC53CE">
      <w:pPr>
        <w:pStyle w:val="Heading1"/>
        <w:numPr>
          <w:ilvl w:val="0"/>
          <w:numId w:val="0"/>
        </w:numPr>
        <w:spacing w:after="0"/>
        <w:rPr>
          <w:b/>
          <w:lang w:val="fr-FR"/>
        </w:rPr>
      </w:pPr>
      <w:r w:rsidRPr="00A13740">
        <w:rPr>
          <w:b/>
          <w:lang w:val="fr-FR"/>
        </w:rPr>
        <w:t xml:space="preserve">Tableau </w:t>
      </w:r>
      <w:r w:rsidR="00F36C81">
        <w:rPr>
          <w:b/>
          <w:lang w:val="fr-FR"/>
        </w:rPr>
        <w:t>7</w:t>
      </w:r>
      <w:bookmarkStart w:id="0" w:name="_GoBack"/>
      <w:bookmarkEnd w:id="0"/>
      <w:r w:rsidRPr="00A13740">
        <w:rPr>
          <w:b/>
          <w:lang w:val="fr-FR"/>
        </w:rPr>
        <w:t>. Conséquences sur le climat des projets de mousse PU</w:t>
      </w:r>
    </w:p>
    <w:tbl>
      <w:tblPr>
        <w:tblW w:w="5061"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5"/>
        <w:gridCol w:w="2163"/>
        <w:gridCol w:w="2163"/>
        <w:gridCol w:w="2163"/>
      </w:tblGrid>
      <w:tr w:rsidR="00EC53CE" w:rsidRPr="00A13740" w:rsidTr="00B4173B">
        <w:tc>
          <w:tcPr>
            <w:tcW w:w="1571" w:type="pct"/>
            <w:shd w:val="clear" w:color="auto" w:fill="auto"/>
            <w:noWrap/>
            <w:vAlign w:val="center"/>
            <w:hideMark/>
          </w:tcPr>
          <w:p w:rsidR="00EC53CE" w:rsidRPr="00A13740" w:rsidRDefault="00EC53CE" w:rsidP="00BB7784">
            <w:pPr>
              <w:jc w:val="left"/>
              <w:rPr>
                <w:b/>
                <w:bCs/>
                <w:sz w:val="21"/>
                <w:szCs w:val="21"/>
                <w:lang w:val="fr-FR"/>
              </w:rPr>
            </w:pPr>
            <w:r w:rsidRPr="00A13740">
              <w:rPr>
                <w:b/>
                <w:bCs/>
                <w:sz w:val="21"/>
                <w:szCs w:val="21"/>
                <w:lang w:val="fr-FR"/>
              </w:rPr>
              <w:t>Substance</w:t>
            </w:r>
          </w:p>
        </w:tc>
        <w:tc>
          <w:tcPr>
            <w:tcW w:w="1143" w:type="pct"/>
            <w:shd w:val="clear" w:color="auto" w:fill="auto"/>
            <w:vAlign w:val="center"/>
            <w:hideMark/>
          </w:tcPr>
          <w:p w:rsidR="00EC53CE" w:rsidRPr="00A13740" w:rsidRDefault="00EC53CE" w:rsidP="00BB7784">
            <w:pPr>
              <w:jc w:val="center"/>
              <w:rPr>
                <w:b/>
                <w:bCs/>
                <w:sz w:val="21"/>
                <w:szCs w:val="21"/>
                <w:lang w:val="fr-FR"/>
              </w:rPr>
            </w:pPr>
            <w:r w:rsidRPr="00A13740">
              <w:rPr>
                <w:b/>
                <w:bCs/>
                <w:sz w:val="21"/>
                <w:szCs w:val="21"/>
                <w:lang w:val="fr-FR"/>
              </w:rPr>
              <w:t>PRG</w:t>
            </w:r>
          </w:p>
        </w:tc>
        <w:tc>
          <w:tcPr>
            <w:tcW w:w="1143" w:type="pct"/>
            <w:shd w:val="clear" w:color="auto" w:fill="auto"/>
            <w:noWrap/>
            <w:vAlign w:val="center"/>
            <w:hideMark/>
          </w:tcPr>
          <w:p w:rsidR="00EC53CE" w:rsidRPr="00A13740" w:rsidRDefault="00EC53CE" w:rsidP="00BB7784">
            <w:pPr>
              <w:jc w:val="center"/>
              <w:rPr>
                <w:b/>
                <w:bCs/>
                <w:sz w:val="21"/>
                <w:szCs w:val="21"/>
                <w:lang w:val="fr-FR"/>
              </w:rPr>
            </w:pPr>
            <w:r w:rsidRPr="00A13740">
              <w:rPr>
                <w:b/>
                <w:bCs/>
                <w:sz w:val="21"/>
                <w:szCs w:val="21"/>
                <w:lang w:val="fr-FR"/>
              </w:rPr>
              <w:t>Tonnes/année</w:t>
            </w:r>
          </w:p>
        </w:tc>
        <w:tc>
          <w:tcPr>
            <w:tcW w:w="1143" w:type="pct"/>
            <w:shd w:val="clear" w:color="auto" w:fill="auto"/>
            <w:noWrap/>
            <w:vAlign w:val="center"/>
            <w:hideMark/>
          </w:tcPr>
          <w:p w:rsidR="00EC53CE" w:rsidRPr="00A13740" w:rsidRDefault="00EC53CE" w:rsidP="00BB7784">
            <w:pPr>
              <w:jc w:val="center"/>
              <w:rPr>
                <w:b/>
                <w:sz w:val="21"/>
                <w:szCs w:val="21"/>
                <w:lang w:val="fr-FR"/>
              </w:rPr>
            </w:pPr>
            <w:r w:rsidRPr="00A13740">
              <w:rPr>
                <w:b/>
                <w:sz w:val="21"/>
                <w:szCs w:val="21"/>
                <w:lang w:val="fr-FR"/>
              </w:rPr>
              <w:t>éq-CO</w:t>
            </w:r>
            <w:r w:rsidRPr="00A13740">
              <w:rPr>
                <w:b/>
                <w:bCs/>
                <w:sz w:val="21"/>
                <w:szCs w:val="21"/>
                <w:vertAlign w:val="subscript"/>
                <w:lang w:val="fr-FR"/>
              </w:rPr>
              <w:t>2</w:t>
            </w:r>
            <w:r w:rsidRPr="00A13740">
              <w:rPr>
                <w:b/>
                <w:bCs/>
                <w:sz w:val="21"/>
                <w:szCs w:val="21"/>
                <w:lang w:val="fr-FR"/>
              </w:rPr>
              <w:t xml:space="preserve"> (tonnes/an)</w:t>
            </w:r>
          </w:p>
        </w:tc>
      </w:tr>
      <w:tr w:rsidR="00EC53CE" w:rsidRPr="00A13740" w:rsidTr="00B4173B">
        <w:tc>
          <w:tcPr>
            <w:tcW w:w="1571" w:type="pct"/>
            <w:shd w:val="clear" w:color="auto" w:fill="auto"/>
            <w:noWrap/>
            <w:vAlign w:val="center"/>
            <w:hideMark/>
          </w:tcPr>
          <w:p w:rsidR="00EC53CE" w:rsidRPr="00A13740" w:rsidRDefault="00EC53CE" w:rsidP="00BB7784">
            <w:pPr>
              <w:rPr>
                <w:b/>
                <w:bCs/>
                <w:color w:val="000000"/>
                <w:sz w:val="21"/>
                <w:szCs w:val="21"/>
                <w:lang w:val="fr-FR"/>
              </w:rPr>
            </w:pPr>
            <w:r w:rsidRPr="00A13740">
              <w:rPr>
                <w:b/>
                <w:bCs/>
                <w:color w:val="000000"/>
                <w:sz w:val="21"/>
                <w:szCs w:val="21"/>
                <w:lang w:val="fr-FR"/>
              </w:rPr>
              <w:t>Avant conversion</w:t>
            </w:r>
          </w:p>
        </w:tc>
        <w:tc>
          <w:tcPr>
            <w:tcW w:w="1143" w:type="pct"/>
            <w:shd w:val="clear" w:color="auto" w:fill="auto"/>
            <w:tcMar>
              <w:left w:w="115" w:type="dxa"/>
              <w:right w:w="288" w:type="dxa"/>
            </w:tcMar>
            <w:vAlign w:val="center"/>
            <w:hideMark/>
          </w:tcPr>
          <w:p w:rsidR="00EC53CE" w:rsidRPr="00A13740" w:rsidRDefault="00EC53CE" w:rsidP="00BB7784">
            <w:pPr>
              <w:jc w:val="right"/>
              <w:rPr>
                <w:b/>
                <w:bCs/>
                <w:color w:val="000000"/>
                <w:sz w:val="21"/>
                <w:szCs w:val="21"/>
                <w:lang w:val="fr-FR"/>
              </w:rPr>
            </w:pPr>
            <w:r w:rsidRPr="00A13740">
              <w:rPr>
                <w:b/>
                <w:bCs/>
                <w:color w:val="000000"/>
                <w:sz w:val="21"/>
                <w:szCs w:val="21"/>
                <w:lang w:val="fr-FR"/>
              </w:rPr>
              <w:t> </w:t>
            </w:r>
          </w:p>
        </w:tc>
        <w:tc>
          <w:tcPr>
            <w:tcW w:w="1143" w:type="pct"/>
            <w:shd w:val="clear" w:color="auto" w:fill="auto"/>
            <w:noWrap/>
            <w:tcMar>
              <w:left w:w="115" w:type="dxa"/>
              <w:right w:w="288" w:type="dxa"/>
            </w:tcMar>
            <w:vAlign w:val="center"/>
            <w:hideMark/>
          </w:tcPr>
          <w:p w:rsidR="00EC53CE" w:rsidRPr="00A13740" w:rsidRDefault="00EC53CE" w:rsidP="00BB7784">
            <w:pPr>
              <w:jc w:val="right"/>
              <w:rPr>
                <w:b/>
                <w:bCs/>
                <w:color w:val="000000"/>
                <w:sz w:val="21"/>
                <w:szCs w:val="21"/>
                <w:lang w:val="fr-FR"/>
              </w:rPr>
            </w:pPr>
            <w:r w:rsidRPr="00A13740">
              <w:rPr>
                <w:b/>
                <w:bCs/>
                <w:color w:val="000000"/>
                <w:sz w:val="21"/>
                <w:szCs w:val="21"/>
                <w:lang w:val="fr-FR"/>
              </w:rPr>
              <w:t> </w:t>
            </w:r>
          </w:p>
        </w:tc>
        <w:tc>
          <w:tcPr>
            <w:tcW w:w="1143" w:type="pct"/>
            <w:shd w:val="clear" w:color="auto" w:fill="auto"/>
            <w:tcMar>
              <w:left w:w="115" w:type="dxa"/>
              <w:right w:w="288" w:type="dxa"/>
            </w:tcMar>
            <w:vAlign w:val="center"/>
            <w:hideMark/>
          </w:tcPr>
          <w:p w:rsidR="00EC53CE" w:rsidRPr="00A13740" w:rsidRDefault="00EC53CE" w:rsidP="00BB7784">
            <w:pPr>
              <w:jc w:val="right"/>
              <w:rPr>
                <w:b/>
                <w:bCs/>
                <w:color w:val="000000"/>
                <w:sz w:val="21"/>
                <w:szCs w:val="21"/>
                <w:lang w:val="fr-FR"/>
              </w:rPr>
            </w:pPr>
            <w:r w:rsidRPr="00A13740">
              <w:rPr>
                <w:b/>
                <w:bCs/>
                <w:color w:val="000000"/>
                <w:sz w:val="21"/>
                <w:szCs w:val="21"/>
                <w:lang w:val="fr-FR"/>
              </w:rPr>
              <w:t> </w:t>
            </w:r>
          </w:p>
        </w:tc>
      </w:tr>
      <w:tr w:rsidR="00EC53CE" w:rsidRPr="00A13740" w:rsidTr="00B4173B">
        <w:tc>
          <w:tcPr>
            <w:tcW w:w="1571" w:type="pct"/>
            <w:shd w:val="clear" w:color="auto" w:fill="auto"/>
            <w:noWrap/>
            <w:vAlign w:val="center"/>
            <w:hideMark/>
          </w:tcPr>
          <w:p w:rsidR="00EC53CE" w:rsidRPr="00A13740" w:rsidRDefault="00EC53CE" w:rsidP="00BB7784">
            <w:pPr>
              <w:rPr>
                <w:color w:val="000000"/>
                <w:sz w:val="21"/>
                <w:szCs w:val="21"/>
                <w:lang w:val="fr-FR"/>
              </w:rPr>
            </w:pPr>
            <w:r w:rsidRPr="00A13740">
              <w:rPr>
                <w:color w:val="000000"/>
                <w:sz w:val="21"/>
                <w:szCs w:val="21"/>
                <w:lang w:val="fr-FR"/>
              </w:rPr>
              <w:t>HCFC-141b</w:t>
            </w:r>
          </w:p>
        </w:tc>
        <w:tc>
          <w:tcPr>
            <w:tcW w:w="1143" w:type="pct"/>
            <w:shd w:val="clear" w:color="auto" w:fill="auto"/>
            <w:tcMar>
              <w:left w:w="115" w:type="dxa"/>
              <w:right w:w="288" w:type="dxa"/>
            </w:tcMar>
            <w:vAlign w:val="center"/>
            <w:hideMark/>
          </w:tcPr>
          <w:p w:rsidR="00EC53CE" w:rsidRPr="00A13740" w:rsidRDefault="00EC53CE" w:rsidP="00BB7784">
            <w:pPr>
              <w:jc w:val="right"/>
              <w:rPr>
                <w:color w:val="000000"/>
                <w:sz w:val="21"/>
                <w:szCs w:val="21"/>
                <w:lang w:val="fr-FR"/>
              </w:rPr>
            </w:pPr>
            <w:r w:rsidRPr="00A13740">
              <w:rPr>
                <w:color w:val="000000"/>
                <w:sz w:val="21"/>
                <w:szCs w:val="21"/>
                <w:lang w:val="fr-FR"/>
              </w:rPr>
              <w:t>725</w:t>
            </w:r>
          </w:p>
        </w:tc>
        <w:tc>
          <w:tcPr>
            <w:tcW w:w="1143" w:type="pct"/>
            <w:shd w:val="clear" w:color="auto" w:fill="auto"/>
            <w:noWrap/>
            <w:tcMar>
              <w:left w:w="115" w:type="dxa"/>
              <w:right w:w="288" w:type="dxa"/>
            </w:tcMar>
            <w:vAlign w:val="center"/>
            <w:hideMark/>
          </w:tcPr>
          <w:p w:rsidR="00EC53CE" w:rsidRPr="00A13740" w:rsidRDefault="00EC53CE" w:rsidP="00BB7784">
            <w:pPr>
              <w:jc w:val="right"/>
              <w:rPr>
                <w:color w:val="000000"/>
                <w:sz w:val="21"/>
                <w:szCs w:val="21"/>
                <w:lang w:val="fr-FR"/>
              </w:rPr>
            </w:pPr>
            <w:r w:rsidRPr="00A13740">
              <w:rPr>
                <w:color w:val="000000"/>
                <w:sz w:val="21"/>
                <w:szCs w:val="21"/>
                <w:lang w:val="fr-FR"/>
              </w:rPr>
              <w:t>67</w:t>
            </w:r>
          </w:p>
        </w:tc>
        <w:tc>
          <w:tcPr>
            <w:tcW w:w="1143" w:type="pct"/>
            <w:shd w:val="clear" w:color="auto" w:fill="auto"/>
            <w:tcMar>
              <w:left w:w="115" w:type="dxa"/>
              <w:right w:w="288" w:type="dxa"/>
            </w:tcMar>
            <w:vAlign w:val="center"/>
            <w:hideMark/>
          </w:tcPr>
          <w:p w:rsidR="00EC53CE" w:rsidRPr="00A13740" w:rsidRDefault="00EC53CE" w:rsidP="00BB7784">
            <w:pPr>
              <w:jc w:val="right"/>
              <w:rPr>
                <w:color w:val="000000"/>
                <w:sz w:val="21"/>
                <w:szCs w:val="21"/>
                <w:lang w:val="fr-FR"/>
              </w:rPr>
            </w:pPr>
            <w:r w:rsidRPr="00A13740">
              <w:rPr>
                <w:color w:val="000000"/>
                <w:sz w:val="21"/>
                <w:szCs w:val="21"/>
                <w:lang w:val="fr-FR"/>
              </w:rPr>
              <w:t>48 575</w:t>
            </w:r>
          </w:p>
        </w:tc>
      </w:tr>
      <w:tr w:rsidR="00EC53CE" w:rsidRPr="00A13740" w:rsidTr="00B4173B">
        <w:tc>
          <w:tcPr>
            <w:tcW w:w="1571" w:type="pct"/>
            <w:shd w:val="clear" w:color="auto" w:fill="auto"/>
            <w:noWrap/>
            <w:vAlign w:val="center"/>
            <w:hideMark/>
          </w:tcPr>
          <w:p w:rsidR="00EC53CE" w:rsidRPr="00A13740" w:rsidRDefault="00EC53CE" w:rsidP="00BB7784">
            <w:pPr>
              <w:rPr>
                <w:b/>
                <w:bCs/>
                <w:color w:val="000000"/>
                <w:sz w:val="21"/>
                <w:szCs w:val="21"/>
                <w:lang w:val="fr-FR"/>
              </w:rPr>
            </w:pPr>
            <w:r w:rsidRPr="00A13740">
              <w:rPr>
                <w:b/>
                <w:bCs/>
                <w:color w:val="000000"/>
                <w:sz w:val="21"/>
                <w:szCs w:val="21"/>
                <w:lang w:val="fr-FR"/>
              </w:rPr>
              <w:t>Après conversion</w:t>
            </w:r>
          </w:p>
        </w:tc>
        <w:tc>
          <w:tcPr>
            <w:tcW w:w="1143" w:type="pct"/>
            <w:shd w:val="clear" w:color="auto" w:fill="auto"/>
            <w:tcMar>
              <w:left w:w="115" w:type="dxa"/>
              <w:right w:w="288" w:type="dxa"/>
            </w:tcMar>
            <w:vAlign w:val="center"/>
            <w:hideMark/>
          </w:tcPr>
          <w:p w:rsidR="00EC53CE" w:rsidRPr="00A13740" w:rsidRDefault="00EC53CE" w:rsidP="00BB7784">
            <w:pPr>
              <w:jc w:val="right"/>
              <w:rPr>
                <w:b/>
                <w:bCs/>
                <w:color w:val="000000"/>
                <w:sz w:val="21"/>
                <w:szCs w:val="21"/>
                <w:lang w:val="fr-FR"/>
              </w:rPr>
            </w:pPr>
            <w:r w:rsidRPr="00A13740">
              <w:rPr>
                <w:b/>
                <w:bCs/>
                <w:color w:val="000000"/>
                <w:sz w:val="21"/>
                <w:szCs w:val="21"/>
                <w:lang w:val="fr-FR"/>
              </w:rPr>
              <w:t> </w:t>
            </w:r>
          </w:p>
        </w:tc>
        <w:tc>
          <w:tcPr>
            <w:tcW w:w="1143" w:type="pct"/>
            <w:shd w:val="clear" w:color="auto" w:fill="auto"/>
            <w:noWrap/>
            <w:tcMar>
              <w:left w:w="115" w:type="dxa"/>
              <w:right w:w="288" w:type="dxa"/>
            </w:tcMar>
            <w:vAlign w:val="center"/>
            <w:hideMark/>
          </w:tcPr>
          <w:p w:rsidR="00EC53CE" w:rsidRPr="00A13740" w:rsidRDefault="00EC53CE" w:rsidP="00BB7784">
            <w:pPr>
              <w:jc w:val="right"/>
              <w:rPr>
                <w:b/>
                <w:bCs/>
                <w:color w:val="000000"/>
                <w:sz w:val="21"/>
                <w:szCs w:val="21"/>
                <w:lang w:val="fr-FR"/>
              </w:rPr>
            </w:pPr>
            <w:r w:rsidRPr="00A13740">
              <w:rPr>
                <w:b/>
                <w:bCs/>
                <w:color w:val="000000"/>
                <w:sz w:val="21"/>
                <w:szCs w:val="21"/>
                <w:lang w:val="fr-FR"/>
              </w:rPr>
              <w:t> </w:t>
            </w:r>
          </w:p>
        </w:tc>
        <w:tc>
          <w:tcPr>
            <w:tcW w:w="1143" w:type="pct"/>
            <w:shd w:val="clear" w:color="auto" w:fill="auto"/>
            <w:tcMar>
              <w:left w:w="115" w:type="dxa"/>
              <w:right w:w="288" w:type="dxa"/>
            </w:tcMar>
            <w:vAlign w:val="center"/>
            <w:hideMark/>
          </w:tcPr>
          <w:p w:rsidR="00EC53CE" w:rsidRPr="00A13740" w:rsidRDefault="00EC53CE" w:rsidP="00BB7784">
            <w:pPr>
              <w:jc w:val="right"/>
              <w:rPr>
                <w:b/>
                <w:bCs/>
                <w:color w:val="000000"/>
                <w:sz w:val="21"/>
                <w:szCs w:val="21"/>
                <w:lang w:val="fr-FR"/>
              </w:rPr>
            </w:pPr>
            <w:r w:rsidRPr="00A13740">
              <w:rPr>
                <w:b/>
                <w:bCs/>
                <w:color w:val="000000"/>
                <w:sz w:val="21"/>
                <w:szCs w:val="21"/>
                <w:lang w:val="fr-FR"/>
              </w:rPr>
              <w:t> </w:t>
            </w:r>
          </w:p>
        </w:tc>
      </w:tr>
      <w:tr w:rsidR="00EC53CE" w:rsidRPr="00A13740" w:rsidTr="00B4173B">
        <w:tc>
          <w:tcPr>
            <w:tcW w:w="1571" w:type="pct"/>
            <w:shd w:val="clear" w:color="auto" w:fill="auto"/>
            <w:noWrap/>
            <w:vAlign w:val="center"/>
          </w:tcPr>
          <w:p w:rsidR="00EC53CE" w:rsidRPr="00A13740" w:rsidRDefault="00EC53CE" w:rsidP="00BB7784">
            <w:pPr>
              <w:rPr>
                <w:color w:val="000000"/>
                <w:sz w:val="21"/>
                <w:szCs w:val="21"/>
                <w:lang w:val="fr-FR"/>
              </w:rPr>
            </w:pPr>
            <w:r w:rsidRPr="00A13740">
              <w:rPr>
                <w:color w:val="000000"/>
                <w:sz w:val="21"/>
                <w:szCs w:val="21"/>
                <w:lang w:val="fr-FR"/>
              </w:rPr>
              <w:t>Agent moussant à faible PRG</w:t>
            </w:r>
          </w:p>
        </w:tc>
        <w:tc>
          <w:tcPr>
            <w:tcW w:w="1143" w:type="pct"/>
            <w:shd w:val="clear" w:color="auto" w:fill="auto"/>
            <w:tcMar>
              <w:left w:w="115" w:type="dxa"/>
              <w:right w:w="288" w:type="dxa"/>
            </w:tcMar>
            <w:vAlign w:val="bottom"/>
          </w:tcPr>
          <w:p w:rsidR="00EC53CE" w:rsidRPr="00A13740" w:rsidRDefault="00EC53CE" w:rsidP="00BB7784">
            <w:pPr>
              <w:jc w:val="right"/>
              <w:rPr>
                <w:color w:val="000000"/>
                <w:sz w:val="21"/>
                <w:szCs w:val="21"/>
                <w:lang w:val="fr-FR"/>
              </w:rPr>
            </w:pPr>
            <w:r w:rsidRPr="00A13740">
              <w:rPr>
                <w:color w:val="000000"/>
                <w:sz w:val="21"/>
                <w:szCs w:val="21"/>
                <w:lang w:val="fr-FR"/>
              </w:rPr>
              <w:t>~0</w:t>
            </w:r>
          </w:p>
        </w:tc>
        <w:tc>
          <w:tcPr>
            <w:tcW w:w="1143" w:type="pct"/>
            <w:shd w:val="clear" w:color="auto" w:fill="auto"/>
            <w:noWrap/>
            <w:tcMar>
              <w:left w:w="115" w:type="dxa"/>
              <w:right w:w="288" w:type="dxa"/>
            </w:tcMar>
            <w:vAlign w:val="bottom"/>
          </w:tcPr>
          <w:p w:rsidR="00EC53CE" w:rsidRPr="00A13740" w:rsidRDefault="00EC53CE" w:rsidP="00BB7784">
            <w:pPr>
              <w:jc w:val="right"/>
              <w:rPr>
                <w:color w:val="000000"/>
                <w:sz w:val="21"/>
                <w:szCs w:val="21"/>
                <w:lang w:val="fr-FR"/>
              </w:rPr>
            </w:pPr>
            <w:r w:rsidRPr="00A13740">
              <w:rPr>
                <w:color w:val="000000"/>
                <w:sz w:val="21"/>
                <w:szCs w:val="21"/>
                <w:lang w:val="fr-FR"/>
              </w:rPr>
              <w:t>0,00</w:t>
            </w:r>
          </w:p>
        </w:tc>
        <w:tc>
          <w:tcPr>
            <w:tcW w:w="1143" w:type="pct"/>
            <w:shd w:val="clear" w:color="auto" w:fill="auto"/>
            <w:tcMar>
              <w:left w:w="115" w:type="dxa"/>
              <w:right w:w="288" w:type="dxa"/>
            </w:tcMar>
            <w:vAlign w:val="center"/>
          </w:tcPr>
          <w:p w:rsidR="00EC53CE" w:rsidRPr="00A13740" w:rsidRDefault="00EC53CE" w:rsidP="00BB7784">
            <w:pPr>
              <w:jc w:val="right"/>
              <w:rPr>
                <w:color w:val="000000"/>
                <w:sz w:val="21"/>
                <w:szCs w:val="21"/>
                <w:lang w:val="fr-FR"/>
              </w:rPr>
            </w:pPr>
            <w:r w:rsidRPr="00A13740">
              <w:rPr>
                <w:color w:val="000000"/>
                <w:sz w:val="21"/>
                <w:szCs w:val="21"/>
                <w:lang w:val="fr-FR"/>
              </w:rPr>
              <w:t>0,00</w:t>
            </w:r>
          </w:p>
        </w:tc>
      </w:tr>
      <w:tr w:rsidR="00EC53CE" w:rsidRPr="00A13740" w:rsidTr="00B4173B">
        <w:trPr>
          <w:trHeight w:val="47"/>
        </w:trPr>
        <w:tc>
          <w:tcPr>
            <w:tcW w:w="1571" w:type="pct"/>
            <w:shd w:val="clear" w:color="auto" w:fill="auto"/>
            <w:noWrap/>
            <w:vAlign w:val="center"/>
            <w:hideMark/>
          </w:tcPr>
          <w:p w:rsidR="00EC53CE" w:rsidRPr="00A13740" w:rsidRDefault="00EC53CE" w:rsidP="00BB7784">
            <w:pPr>
              <w:rPr>
                <w:b/>
                <w:bCs/>
                <w:color w:val="000000"/>
                <w:sz w:val="21"/>
                <w:szCs w:val="21"/>
                <w:lang w:val="fr-FR"/>
              </w:rPr>
            </w:pPr>
            <w:r w:rsidRPr="00A13740">
              <w:rPr>
                <w:b/>
                <w:bCs/>
                <w:color w:val="000000"/>
                <w:sz w:val="21"/>
                <w:szCs w:val="21"/>
                <w:lang w:val="fr-FR"/>
              </w:rPr>
              <w:t>Conséquences</w:t>
            </w:r>
          </w:p>
        </w:tc>
        <w:tc>
          <w:tcPr>
            <w:tcW w:w="1143" w:type="pct"/>
            <w:shd w:val="clear" w:color="auto" w:fill="auto"/>
            <w:tcMar>
              <w:left w:w="115" w:type="dxa"/>
              <w:right w:w="288" w:type="dxa"/>
            </w:tcMar>
            <w:vAlign w:val="center"/>
            <w:hideMark/>
          </w:tcPr>
          <w:p w:rsidR="00EC53CE" w:rsidRPr="00A13740" w:rsidRDefault="00EC53CE" w:rsidP="00BB7784">
            <w:pPr>
              <w:jc w:val="right"/>
              <w:rPr>
                <w:b/>
                <w:bCs/>
                <w:color w:val="000000"/>
                <w:sz w:val="21"/>
                <w:szCs w:val="21"/>
                <w:lang w:val="fr-FR"/>
              </w:rPr>
            </w:pPr>
            <w:r w:rsidRPr="00A13740">
              <w:rPr>
                <w:b/>
                <w:bCs/>
                <w:color w:val="000000"/>
                <w:sz w:val="21"/>
                <w:szCs w:val="21"/>
                <w:lang w:val="fr-FR"/>
              </w:rPr>
              <w:t> </w:t>
            </w:r>
          </w:p>
        </w:tc>
        <w:tc>
          <w:tcPr>
            <w:tcW w:w="1143" w:type="pct"/>
            <w:shd w:val="clear" w:color="auto" w:fill="auto"/>
            <w:noWrap/>
            <w:tcMar>
              <w:left w:w="115" w:type="dxa"/>
              <w:right w:w="288" w:type="dxa"/>
            </w:tcMar>
            <w:vAlign w:val="center"/>
            <w:hideMark/>
          </w:tcPr>
          <w:p w:rsidR="00EC53CE" w:rsidRPr="00A13740" w:rsidRDefault="00EC53CE" w:rsidP="00BB7784">
            <w:pPr>
              <w:jc w:val="right"/>
              <w:rPr>
                <w:b/>
                <w:bCs/>
                <w:color w:val="000000"/>
                <w:sz w:val="21"/>
                <w:szCs w:val="21"/>
                <w:lang w:val="fr-FR"/>
              </w:rPr>
            </w:pPr>
            <w:r w:rsidRPr="00A13740">
              <w:rPr>
                <w:b/>
                <w:bCs/>
                <w:color w:val="000000"/>
                <w:sz w:val="21"/>
                <w:szCs w:val="21"/>
                <w:lang w:val="fr-FR"/>
              </w:rPr>
              <w:t> </w:t>
            </w:r>
          </w:p>
        </w:tc>
        <w:tc>
          <w:tcPr>
            <w:tcW w:w="1143" w:type="pct"/>
            <w:shd w:val="clear" w:color="auto" w:fill="auto"/>
            <w:tcMar>
              <w:left w:w="115" w:type="dxa"/>
              <w:right w:w="288" w:type="dxa"/>
            </w:tcMar>
            <w:vAlign w:val="center"/>
            <w:hideMark/>
          </w:tcPr>
          <w:p w:rsidR="00EC53CE" w:rsidRPr="00A13740" w:rsidRDefault="00EC53CE" w:rsidP="00BB7784">
            <w:pPr>
              <w:jc w:val="right"/>
              <w:rPr>
                <w:b/>
                <w:bCs/>
                <w:color w:val="000000"/>
                <w:sz w:val="21"/>
                <w:szCs w:val="21"/>
                <w:lang w:val="fr-FR"/>
              </w:rPr>
            </w:pPr>
            <w:r w:rsidRPr="00A13740">
              <w:rPr>
                <w:b/>
                <w:bCs/>
                <w:color w:val="000000"/>
                <w:sz w:val="21"/>
                <w:szCs w:val="21"/>
                <w:lang w:val="fr-FR"/>
              </w:rPr>
              <w:t>(48 575)</w:t>
            </w:r>
          </w:p>
        </w:tc>
      </w:tr>
    </w:tbl>
    <w:p w:rsidR="00EC53CE" w:rsidRPr="00A13740" w:rsidRDefault="00EC53CE" w:rsidP="00EC53CE">
      <w:pPr>
        <w:spacing w:after="240"/>
        <w:rPr>
          <w:sz w:val="21"/>
          <w:szCs w:val="21"/>
          <w:lang w:val="fr-FR"/>
        </w:rPr>
      </w:pPr>
    </w:p>
    <w:p w:rsidR="00EC53CE" w:rsidRPr="00A13740" w:rsidRDefault="00EC53CE" w:rsidP="00EC53CE">
      <w:pPr>
        <w:pStyle w:val="Heading1"/>
        <w:widowControl w:val="0"/>
        <w:rPr>
          <w:lang w:val="fr-FR"/>
        </w:rPr>
      </w:pPr>
      <w:r w:rsidRPr="00A13740">
        <w:rPr>
          <w:lang w:val="fr-FR"/>
        </w:rPr>
        <w:t>En outre, les activités proposées dans le secteur de l'entretien, qui comprennent une formation aux bonnes pratiques, la récupération et le recyclage, ainsi qu'un programme de sensibilisation, permettraient de réduire la quantité de HCFC-22 utilisée pour l'entretien des équipements</w:t>
      </w:r>
      <w:r w:rsidRPr="00A13740">
        <w:rPr>
          <w:lang w:val="fr-FR"/>
        </w:rPr>
        <w:br/>
        <w:t xml:space="preserve"> de réfrigération. Chaque kilogramme de HCFC-22 non émis en raison de meilleures pratiques de réfrigération permet d'économiser environ 1,80 tonne d'équivalent-CO</w:t>
      </w:r>
      <w:r w:rsidRPr="00A13740">
        <w:rPr>
          <w:vertAlign w:val="subscript"/>
          <w:lang w:val="fr-FR"/>
        </w:rPr>
        <w:t>2</w:t>
      </w:r>
      <w:r w:rsidRPr="00A13740">
        <w:rPr>
          <w:lang w:val="fr-FR"/>
        </w:rPr>
        <w:t>.</w:t>
      </w:r>
    </w:p>
    <w:p w:rsidR="00EC53CE" w:rsidRPr="00A13740" w:rsidRDefault="00EC53CE" w:rsidP="00EC53CE">
      <w:pPr>
        <w:keepNext/>
        <w:spacing w:after="240"/>
        <w:rPr>
          <w:b/>
          <w:lang w:val="fr-FR"/>
        </w:rPr>
      </w:pPr>
      <w:r w:rsidRPr="00A13740">
        <w:rPr>
          <w:b/>
          <w:lang w:val="fr-FR"/>
        </w:rPr>
        <w:lastRenderedPageBreak/>
        <w:t>Cofinancement</w:t>
      </w:r>
    </w:p>
    <w:p w:rsidR="00EC53CE" w:rsidRPr="00A13740" w:rsidRDefault="00EC53CE" w:rsidP="00EC53CE">
      <w:pPr>
        <w:pStyle w:val="Heading1"/>
        <w:keepNext/>
        <w:rPr>
          <w:lang w:val="fr-FR"/>
        </w:rPr>
      </w:pPr>
      <w:r w:rsidRPr="00A13740">
        <w:rPr>
          <w:lang w:val="fr-FR"/>
        </w:rPr>
        <w:t xml:space="preserve">Les entreprises bénéficiaires, GAN et Le Panneau, cofinanceront l'élimination du HCFC-141b dans les polyols </w:t>
      </w:r>
      <w:proofErr w:type="spellStart"/>
      <w:r w:rsidRPr="00A13740">
        <w:rPr>
          <w:lang w:val="fr-FR"/>
        </w:rPr>
        <w:t>prémélangés</w:t>
      </w:r>
      <w:proofErr w:type="spellEnd"/>
      <w:r w:rsidRPr="00A13740">
        <w:rPr>
          <w:lang w:val="fr-FR"/>
        </w:rPr>
        <w:t xml:space="preserve"> importés non éligibles au financement pour un coût estimé à 306 194 $ US.</w:t>
      </w:r>
    </w:p>
    <w:p w:rsidR="00EC53CE" w:rsidRPr="00A13740" w:rsidRDefault="00EC53CE" w:rsidP="00EC53CE">
      <w:pPr>
        <w:widowControl w:val="0"/>
        <w:spacing w:after="240"/>
        <w:rPr>
          <w:b/>
          <w:lang w:val="fr-FR"/>
        </w:rPr>
      </w:pPr>
      <w:r w:rsidRPr="00A13740">
        <w:rPr>
          <w:b/>
          <w:lang w:val="fr-FR"/>
        </w:rPr>
        <w:t xml:space="preserve">Plan d’activités du Fonds multilatéral pour la période 2019-2021 </w:t>
      </w:r>
    </w:p>
    <w:p w:rsidR="00EC53CE" w:rsidRPr="00A13740" w:rsidRDefault="00EC53CE" w:rsidP="00EC53CE">
      <w:pPr>
        <w:pStyle w:val="Heading1"/>
        <w:widowControl w:val="0"/>
        <w:rPr>
          <w:lang w:val="fr-FR"/>
        </w:rPr>
      </w:pPr>
      <w:r w:rsidRPr="00A13740">
        <w:rPr>
          <w:lang w:val="fr-FR"/>
        </w:rPr>
        <w:t xml:space="preserve">Le </w:t>
      </w:r>
      <w:r>
        <w:rPr>
          <w:lang w:val="fr-FR"/>
        </w:rPr>
        <w:t>UNIDO</w:t>
      </w:r>
      <w:r w:rsidRPr="00A13740">
        <w:rPr>
          <w:lang w:val="fr-FR"/>
        </w:rPr>
        <w:t xml:space="preserve"> et le PNUE demandent 1 564 946 $ US, plus les coûts d’appui d’agence, pour la mise en œuvre de la phase II du PGEH. Le montant total demandé, y compris les coûts d'appui, s'élève à 1 004 267 $ US pour la période 2019-2021, soit 563 759 $ US de plus que le montant indiqué dans le plan d'affaires pour cette même période.</w:t>
      </w:r>
    </w:p>
    <w:p w:rsidR="00EC53CE" w:rsidRPr="00A13740" w:rsidRDefault="00EC53CE" w:rsidP="00EC53CE">
      <w:pPr>
        <w:widowControl w:val="0"/>
        <w:spacing w:after="240"/>
        <w:rPr>
          <w:b/>
          <w:lang w:val="fr-FR"/>
        </w:rPr>
      </w:pPr>
      <w:r w:rsidRPr="00A13740">
        <w:rPr>
          <w:b/>
          <w:lang w:val="fr-FR"/>
        </w:rPr>
        <w:t>Projet d’accord</w:t>
      </w:r>
    </w:p>
    <w:p w:rsidR="00EC53CE" w:rsidRPr="00A13740" w:rsidRDefault="00EC53CE" w:rsidP="00EC53CE">
      <w:pPr>
        <w:pStyle w:val="Heading1"/>
        <w:widowControl w:val="0"/>
        <w:rPr>
          <w:lang w:val="fr-FR"/>
        </w:rPr>
      </w:pPr>
      <w:r w:rsidRPr="00A13740">
        <w:rPr>
          <w:lang w:val="fr-FR"/>
        </w:rPr>
        <w:t>Un projet d’accord entre le Gouvernement de la Tunisie et le Comi</w:t>
      </w:r>
      <w:r>
        <w:rPr>
          <w:lang w:val="fr-FR"/>
        </w:rPr>
        <w:t xml:space="preserve">té exécutif pour l’élimination </w:t>
      </w:r>
      <w:r w:rsidRPr="00A13740">
        <w:rPr>
          <w:lang w:val="fr-FR"/>
        </w:rPr>
        <w:t>des HCFC dans la phase II du PGEH se trouve en Annexe I du présent document.</w:t>
      </w:r>
    </w:p>
    <w:p w:rsidR="00EC53CE" w:rsidRPr="00A13740" w:rsidRDefault="00EC53CE" w:rsidP="00EC53CE">
      <w:pPr>
        <w:widowControl w:val="0"/>
        <w:spacing w:after="240"/>
        <w:rPr>
          <w:b/>
          <w:lang w:val="fr-FR"/>
        </w:rPr>
      </w:pPr>
      <w:r w:rsidRPr="00A13740">
        <w:rPr>
          <w:b/>
          <w:lang w:val="fr-FR"/>
        </w:rPr>
        <w:t>RECOMMANDATION</w:t>
      </w:r>
    </w:p>
    <w:p w:rsidR="00EC53CE" w:rsidRPr="00A13740" w:rsidRDefault="00EC53CE" w:rsidP="00EC53CE">
      <w:pPr>
        <w:pStyle w:val="Heading1"/>
        <w:widowControl w:val="0"/>
        <w:rPr>
          <w:lang w:val="fr-FR"/>
        </w:rPr>
      </w:pPr>
      <w:r w:rsidRPr="00A13740">
        <w:rPr>
          <w:lang w:val="fr-FR"/>
        </w:rPr>
        <w:t>Le Comité exécutif pourrait envisager :</w:t>
      </w:r>
    </w:p>
    <w:p w:rsidR="00EC53CE" w:rsidRPr="00A13740" w:rsidRDefault="00AB3A5E" w:rsidP="00EC53CE">
      <w:pPr>
        <w:pStyle w:val="Heading2"/>
        <w:numPr>
          <w:ilvl w:val="1"/>
          <w:numId w:val="1"/>
        </w:numPr>
        <w:rPr>
          <w:lang w:val="fr-FR"/>
        </w:rPr>
      </w:pPr>
      <w:r>
        <w:rPr>
          <w:lang w:val="fr-FR"/>
        </w:rPr>
        <w:t>D</w:t>
      </w:r>
      <w:r w:rsidR="00EC53CE" w:rsidRPr="00A13740">
        <w:rPr>
          <w:lang w:val="fr-FR"/>
        </w:rPr>
        <w:t>’approuver, en principe, la phase II du plan de gestion de l'élimination des HCFC (PGEH) pour la Tunisie pour la période 2020-2025 afin de réduire la consommation de HCFC de 67,5 % par rapport au niveau de référence, pour un montant total de 1 686 492 $ US, soit 1 364 946 $ US coûts d'appui d'agence en sus à hauteur de 95 546 $ US pour l'ONUDI et 200 000 $ US coûts d'appui d'agence en sus à hauteur de 26 000 $ US pour le PNUE ;</w:t>
      </w:r>
    </w:p>
    <w:p w:rsidR="00EC53CE" w:rsidRPr="00A13740" w:rsidRDefault="00AB3A5E" w:rsidP="00EC53CE">
      <w:pPr>
        <w:pStyle w:val="Heading2"/>
        <w:numPr>
          <w:ilvl w:val="1"/>
          <w:numId w:val="1"/>
        </w:numPr>
        <w:rPr>
          <w:lang w:val="fr-FR"/>
        </w:rPr>
      </w:pPr>
      <w:r>
        <w:rPr>
          <w:lang w:val="fr-FR"/>
        </w:rPr>
        <w:t>D</w:t>
      </w:r>
      <w:r w:rsidR="00EC53CE" w:rsidRPr="00A13740">
        <w:rPr>
          <w:lang w:val="fr-FR"/>
        </w:rPr>
        <w:t xml:space="preserve">e prendre note de l'engagement pris par le Gouvernement tunisien d'interdire les importations de HCFC-141b pur et contenu dans des polyols </w:t>
      </w:r>
      <w:proofErr w:type="spellStart"/>
      <w:r w:rsidR="00EC53CE" w:rsidRPr="00A13740">
        <w:rPr>
          <w:lang w:val="fr-FR"/>
        </w:rPr>
        <w:t>prémélangés</w:t>
      </w:r>
      <w:proofErr w:type="spellEnd"/>
      <w:r w:rsidR="00EC53CE" w:rsidRPr="00A13740">
        <w:rPr>
          <w:lang w:val="fr-FR"/>
        </w:rPr>
        <w:t xml:space="preserve"> importés, une fois la conversion des entreprises achevée, et au plus tard le 1er janvier 2023 ;</w:t>
      </w:r>
    </w:p>
    <w:p w:rsidR="00EC53CE" w:rsidRPr="00A13740" w:rsidRDefault="00AB3A5E" w:rsidP="00EC53CE">
      <w:pPr>
        <w:pStyle w:val="Heading2"/>
        <w:numPr>
          <w:ilvl w:val="1"/>
          <w:numId w:val="1"/>
        </w:numPr>
        <w:rPr>
          <w:lang w:val="fr-FR"/>
        </w:rPr>
      </w:pPr>
      <w:r>
        <w:rPr>
          <w:lang w:val="fr-FR"/>
        </w:rPr>
        <w:t>D</w:t>
      </w:r>
      <w:r w:rsidR="00EC53CE" w:rsidRPr="00A13740">
        <w:rPr>
          <w:lang w:val="fr-FR"/>
        </w:rPr>
        <w:t>e déduire 22,22 tonnes PAO de HCFC de la consommation restante de HCFC admissible au financement ;</w:t>
      </w:r>
    </w:p>
    <w:p w:rsidR="00EC53CE" w:rsidRPr="00A13740" w:rsidRDefault="00AB3A5E" w:rsidP="00EC53CE">
      <w:pPr>
        <w:pStyle w:val="Heading2"/>
        <w:keepNext/>
        <w:widowControl/>
        <w:numPr>
          <w:ilvl w:val="1"/>
          <w:numId w:val="1"/>
        </w:numPr>
        <w:rPr>
          <w:lang w:val="fr-FR"/>
        </w:rPr>
      </w:pPr>
      <w:r>
        <w:rPr>
          <w:lang w:val="fr-FR"/>
        </w:rPr>
        <w:t>D</w:t>
      </w:r>
      <w:r w:rsidR="00EC53CE" w:rsidRPr="00A13740">
        <w:rPr>
          <w:lang w:val="fr-FR"/>
        </w:rPr>
        <w:t xml:space="preserve">’approuver le projet d'Accord entre le Gouvernement tunisien et le Comité exécutif pour la réduction de la consommation des HCFC, conformément à la phase II du PGEH, figurant à l'Annexe I du présent document ; </w:t>
      </w:r>
    </w:p>
    <w:p w:rsidR="00EC53CE" w:rsidRPr="00A13740" w:rsidRDefault="00AB3A5E" w:rsidP="00F40703">
      <w:pPr>
        <w:pStyle w:val="Heading2"/>
        <w:numPr>
          <w:ilvl w:val="1"/>
          <w:numId w:val="1"/>
        </w:numPr>
        <w:rPr>
          <w:lang w:val="fr-FR"/>
        </w:rPr>
      </w:pPr>
      <w:r>
        <w:rPr>
          <w:lang w:val="fr-FR"/>
        </w:rPr>
        <w:t>D</w:t>
      </w:r>
      <w:r w:rsidR="00EC53CE" w:rsidRPr="00A13740">
        <w:rPr>
          <w:lang w:val="fr-FR"/>
        </w:rPr>
        <w:t>’approuver la première tranche de la phase II du HPMP pour la Tunisie et les plans de mise en œuvre de la tranche correspondante, d'un montant total de 1 004 267 $ US, soit 858 306 $ US coûts d'appui d'agence en sus à hauteur de 60 081 $ US pour l’ONUDI et 76</w:t>
      </w:r>
      <w:r w:rsidR="00F40703">
        <w:rPr>
          <w:lang w:val="fr-FR"/>
        </w:rPr>
        <w:t> </w:t>
      </w:r>
      <w:r w:rsidR="00EC53CE" w:rsidRPr="00A13740">
        <w:rPr>
          <w:lang w:val="fr-FR"/>
        </w:rPr>
        <w:t>000 $ US coûts d'appui d'agence en sus à hauteur de 9 880 $ US pour le PNUE.</w:t>
      </w:r>
    </w:p>
    <w:p w:rsidR="00B4173B" w:rsidRDefault="00B4173B">
      <w:pPr>
        <w:pStyle w:val="Heading3"/>
        <w:numPr>
          <w:ilvl w:val="0"/>
          <w:numId w:val="0"/>
        </w:numPr>
        <w:spacing w:after="0"/>
        <w:rPr>
          <w:lang w:val="fr-FR"/>
        </w:rPr>
      </w:pPr>
    </w:p>
    <w:p w:rsidR="00B4173B" w:rsidRDefault="00B4173B" w:rsidP="00B4173B">
      <w:pPr>
        <w:rPr>
          <w:lang w:val="fr-FR"/>
        </w:rPr>
      </w:pPr>
      <w:r>
        <w:rPr>
          <w:lang w:val="fr-FR"/>
        </w:rPr>
        <w:br w:type="page"/>
      </w:r>
    </w:p>
    <w:p w:rsidR="00B4173B" w:rsidRPr="00B4173B" w:rsidRDefault="00B4173B" w:rsidP="00B4173B">
      <w:pPr>
        <w:rPr>
          <w:lang w:val="fr-FR"/>
        </w:rPr>
        <w:sectPr w:rsidR="00B4173B" w:rsidRPr="00B4173B" w:rsidSect="00EC53CE">
          <w:headerReference w:type="even" r:id="rId10"/>
          <w:headerReference w:type="default" r:id="rId11"/>
          <w:footerReference w:type="even" r:id="rId12"/>
          <w:footerReference w:type="default" r:id="rId13"/>
          <w:headerReference w:type="first" r:id="rId14"/>
          <w:footerReference w:type="first" r:id="rId15"/>
          <w:pgSz w:w="12240" w:h="15840" w:code="1"/>
          <w:pgMar w:top="720" w:right="1440" w:bottom="864" w:left="1440" w:header="720" w:footer="475" w:gutter="0"/>
          <w:cols w:space="720"/>
          <w:titlePg/>
        </w:sectPr>
      </w:pPr>
    </w:p>
    <w:p w:rsidR="00B4173B" w:rsidRPr="00B4173B" w:rsidRDefault="00B4173B" w:rsidP="00B4173B">
      <w:pPr>
        <w:spacing w:after="240"/>
        <w:jc w:val="center"/>
        <w:rPr>
          <w:b/>
          <w:lang w:val="fr"/>
        </w:rPr>
      </w:pPr>
      <w:r w:rsidRPr="00B4173B">
        <w:rPr>
          <w:b/>
          <w:lang w:val="fr"/>
        </w:rPr>
        <w:lastRenderedPageBreak/>
        <w:t>Annexe I</w:t>
      </w:r>
    </w:p>
    <w:p w:rsidR="00B4173B" w:rsidRPr="00B4173B" w:rsidRDefault="00B4173B" w:rsidP="00B4173B">
      <w:pPr>
        <w:spacing w:after="240"/>
        <w:jc w:val="center"/>
        <w:rPr>
          <w:b/>
          <w:lang w:val="fr-FR"/>
        </w:rPr>
      </w:pPr>
      <w:r w:rsidRPr="00B4173B">
        <w:rPr>
          <w:b/>
          <w:lang w:val="fr"/>
        </w:rPr>
        <w:t>PROJET D’ACCORD ENTRE LE GOUVERNEMENT DE LA TUNISIE ET LE COMITE EXÉCUTIF DU FONDS MULTILATÉRAL POUR LA RÉDUCTION DE LA CONSOMMATION DES HYDROFLUOROCARBURES CONFORMÉMENT À LA DEUXIÈME PHASE DU PLAN DE GESTION DE L'ÉLIMINATION DES HCFC</w:t>
      </w:r>
    </w:p>
    <w:p w:rsidR="00B4173B" w:rsidRPr="00B4173B" w:rsidRDefault="00B4173B" w:rsidP="00B4173B">
      <w:pPr>
        <w:spacing w:after="240"/>
        <w:rPr>
          <w:b/>
        </w:rPr>
      </w:pPr>
      <w:r w:rsidRPr="00B4173B">
        <w:rPr>
          <w:b/>
        </w:rPr>
        <w:t>Objet</w:t>
      </w:r>
    </w:p>
    <w:p w:rsidR="00B4173B" w:rsidRPr="00B4173B" w:rsidRDefault="00B4173B" w:rsidP="00B4173B">
      <w:pPr>
        <w:numPr>
          <w:ilvl w:val="0"/>
          <w:numId w:val="26"/>
        </w:numPr>
        <w:spacing w:after="240"/>
        <w:outlineLvl w:val="0"/>
        <w:rPr>
          <w:lang w:val="fr-FR"/>
        </w:rPr>
      </w:pPr>
      <w:r w:rsidRPr="00B4173B">
        <w:rPr>
          <w:lang w:val="fr"/>
        </w:rPr>
        <w:t>Le présent Accord représente l’entente conclue entre le gouvernement de la Tunisie (le « Pays ») et le Comité exécutif concernant la réduction de l’usage réglementé des substances appauvrissant la couche d’ozone (SAO) indiquées à l’appendice 1-A (les « Substances ») à un niveau durable de 12,88 tonnes PAO d’ici au 1</w:t>
      </w:r>
      <w:r w:rsidRPr="00B4173B">
        <w:rPr>
          <w:vertAlign w:val="superscript"/>
          <w:lang w:val="fr"/>
        </w:rPr>
        <w:t>er</w:t>
      </w:r>
      <w:r w:rsidRPr="00B4173B">
        <w:rPr>
          <w:lang w:val="fr"/>
        </w:rPr>
        <w:t> janvier 2025, conformément au calendrier de réduction du Protocole de Montréal.</w:t>
      </w:r>
    </w:p>
    <w:p w:rsidR="00B4173B" w:rsidRPr="00B4173B" w:rsidRDefault="00B4173B" w:rsidP="00B4173B">
      <w:pPr>
        <w:numPr>
          <w:ilvl w:val="0"/>
          <w:numId w:val="1"/>
        </w:numPr>
        <w:spacing w:after="240"/>
        <w:outlineLvl w:val="0"/>
        <w:rPr>
          <w:lang w:val="fr-FR"/>
        </w:rPr>
      </w:pPr>
      <w:r w:rsidRPr="00B4173B">
        <w:rPr>
          <w:lang w:val="fr"/>
        </w:rPr>
        <w:t>Le Pays convient de respecter les limites de consommation annuelle des Substances définies à la ligne 1.2 de l’Appendice 2</w:t>
      </w:r>
      <w:r w:rsidRPr="00B4173B">
        <w:rPr>
          <w:lang w:val="fr"/>
        </w:rPr>
        <w:noBreakHyphen/>
        <w:t>A (« Objectifs et financement ») du présent Accord, ainsi que les limites de consommation annuelle précisées dans l’Appendice 1-A pour toutes les Substances. Le Pays consent, en acceptant le présent Accord et lorsque le Comité exécutif s’acquitte de ses obligations de financement décrites au paragraphe 3, à renoncer à toute demande ou allocation de fonds supplémentaires du Fonds multilatéral pour toute consommation de Substances dépassant le niveau indiqué à la ligne 1.2 de l’Appendice 2-A, constituant la phase finale de réduction en vertu du présent Accord pour toutes les Substances spécifiées à l’Appendice 1-A, et pour toute consommation de chacune des Substances dépassant le niveau défini aux lignes 4.1.3, 4.2.3 et 4.3.3 (consommation restante admissible).</w:t>
      </w:r>
    </w:p>
    <w:p w:rsidR="00B4173B" w:rsidRPr="00B4173B" w:rsidRDefault="00B4173B" w:rsidP="00B4173B">
      <w:pPr>
        <w:numPr>
          <w:ilvl w:val="0"/>
          <w:numId w:val="1"/>
        </w:numPr>
        <w:spacing w:after="240"/>
        <w:outlineLvl w:val="0"/>
        <w:rPr>
          <w:lang w:val="fr-FR"/>
        </w:rPr>
      </w:pPr>
      <w:r w:rsidRPr="00B4173B">
        <w:rPr>
          <w:lang w:val="fr"/>
        </w:rPr>
        <w:t>Si le Pays se conforme aux obligations définies dans le présent Accord, le Comité exécutif convient en principe de lui accorder le financement indiqué à la ligne 3.1 de l’Appendice 2-A. Le Comité exécutif accordera, en principe, ce financement lors de ses réunions spécifiées à l’Appendice 3-A (« Calendrier de financement approuvé »)</w:t>
      </w:r>
    </w:p>
    <w:p w:rsidR="00B4173B" w:rsidRPr="00B4173B" w:rsidRDefault="00B4173B" w:rsidP="00B4173B">
      <w:pPr>
        <w:numPr>
          <w:ilvl w:val="0"/>
          <w:numId w:val="1"/>
        </w:numPr>
        <w:spacing w:after="240"/>
        <w:outlineLvl w:val="0"/>
        <w:rPr>
          <w:lang w:val="fr-FR"/>
        </w:rPr>
      </w:pPr>
      <w:r w:rsidRPr="00B4173B">
        <w:rPr>
          <w:lang w:val="fr"/>
        </w:rPr>
        <w:t>Le Pays accepte de mettre en œuvre cet Accord conformément à la phase II du plan de gestion de l’élimination des HCFC (PGEH) approuvé (« le Plan »). Conformément au paragraphe 5 (b) du présent Accord, le Pays acceptera une vérification indépendante du respect des limites de consommation annuelle des Substances, tel qu’elles figurent à la ligne 1.2 de l’Appendice 2-A du présent Accord. La vérification mentionnée ci-dessus sera commandée par l’Agence bilatérale ou l’Agence d’exécution concernée.</w:t>
      </w:r>
    </w:p>
    <w:p w:rsidR="00B4173B" w:rsidRPr="00B4173B" w:rsidRDefault="00B4173B" w:rsidP="00B4173B">
      <w:pPr>
        <w:keepNext/>
        <w:keepLines/>
        <w:spacing w:after="240"/>
        <w:rPr>
          <w:b/>
        </w:rPr>
      </w:pPr>
      <w:r w:rsidRPr="00B4173B">
        <w:rPr>
          <w:b/>
        </w:rPr>
        <w:t xml:space="preserve">Conditions du </w:t>
      </w:r>
      <w:proofErr w:type="spellStart"/>
      <w:r w:rsidRPr="00B4173B">
        <w:rPr>
          <w:b/>
        </w:rPr>
        <w:t>décaissement</w:t>
      </w:r>
      <w:proofErr w:type="spellEnd"/>
      <w:r w:rsidRPr="00B4173B">
        <w:rPr>
          <w:b/>
        </w:rPr>
        <w:t xml:space="preserve"> du </w:t>
      </w:r>
      <w:proofErr w:type="spellStart"/>
      <w:r w:rsidRPr="00B4173B">
        <w:rPr>
          <w:b/>
        </w:rPr>
        <w:t>financement</w:t>
      </w:r>
      <w:proofErr w:type="spellEnd"/>
    </w:p>
    <w:p w:rsidR="00B4173B" w:rsidRPr="00B4173B" w:rsidRDefault="00B4173B" w:rsidP="00B4173B">
      <w:pPr>
        <w:numPr>
          <w:ilvl w:val="0"/>
          <w:numId w:val="1"/>
        </w:numPr>
        <w:spacing w:after="240"/>
        <w:outlineLvl w:val="0"/>
        <w:rPr>
          <w:lang w:val="fr-FR"/>
        </w:rPr>
      </w:pPr>
      <w:r w:rsidRPr="00B4173B">
        <w:rPr>
          <w:lang w:val="fr"/>
        </w:rPr>
        <w:t>Le Comité exécutif n’accordera le financement prévu au calendrier de financement approuvé que si le Pays satisfait aux conditions suivantes au moins 8 semaines avant la réunion du Comité exécutif indiquée dans le calendrier de financement approuvé :</w:t>
      </w:r>
    </w:p>
    <w:p w:rsidR="00B4173B" w:rsidRPr="00B4173B" w:rsidRDefault="00B4173B" w:rsidP="00B4173B">
      <w:pPr>
        <w:numPr>
          <w:ilvl w:val="1"/>
          <w:numId w:val="1"/>
        </w:numPr>
        <w:tabs>
          <w:tab w:val="num" w:pos="-720"/>
        </w:tabs>
        <w:spacing w:after="240"/>
        <w:outlineLvl w:val="1"/>
        <w:rPr>
          <w:lang w:val="fr-FR"/>
        </w:rPr>
      </w:pPr>
      <w:r w:rsidRPr="00B4173B">
        <w:rPr>
          <w:lang w:val="fr"/>
        </w:rPr>
        <w:t>Le Pays a respecté les objectifs fixés à la ligne 1.2 de l’Appendice 2-A pour toutes les années concernées. Les années concernées sont toutes celles qui se sont écoulées depuis l’année d’approbation du présent Accord. Les années ne faisant l’objet d’aucune obligation de communication des données relatives au programme de pays à la date de la réunion du Comité à laquelle la demande de financement est soumise, font exception ;</w:t>
      </w:r>
    </w:p>
    <w:p w:rsidR="00B4173B" w:rsidRPr="00B4173B" w:rsidRDefault="00B4173B" w:rsidP="00B4173B">
      <w:pPr>
        <w:numPr>
          <w:ilvl w:val="1"/>
          <w:numId w:val="1"/>
        </w:numPr>
        <w:tabs>
          <w:tab w:val="num" w:pos="-720"/>
        </w:tabs>
        <w:spacing w:after="240"/>
        <w:outlineLvl w:val="1"/>
        <w:rPr>
          <w:lang w:val="fr-FR"/>
        </w:rPr>
      </w:pPr>
      <w:r w:rsidRPr="00B4173B">
        <w:rPr>
          <w:lang w:val="fr"/>
        </w:rPr>
        <w:t>Le respect de ces objectifs a été vérifié de manière indépendante, pour toutes les années concernées, à moins que le Comité exécutif n’ait décidé que cette vérification n’était pas nécessaire ;</w:t>
      </w:r>
    </w:p>
    <w:p w:rsidR="00B4173B" w:rsidRPr="00B4173B" w:rsidRDefault="00B4173B" w:rsidP="00B4173B">
      <w:pPr>
        <w:numPr>
          <w:ilvl w:val="1"/>
          <w:numId w:val="1"/>
        </w:numPr>
        <w:tabs>
          <w:tab w:val="num" w:pos="-720"/>
        </w:tabs>
        <w:spacing w:after="240"/>
        <w:outlineLvl w:val="1"/>
        <w:rPr>
          <w:lang w:val="fr-FR"/>
        </w:rPr>
      </w:pPr>
      <w:r w:rsidRPr="00B4173B">
        <w:rPr>
          <w:lang w:val="fr"/>
        </w:rPr>
        <w:t xml:space="preserve">Le Pays a soumis un rapport de mise en œuvre de la tranche sous la forme décrite à l’Appendice 4-A (« Format de rapports et de plans de mise en œuvre de la tranche ») pour </w:t>
      </w:r>
      <w:r w:rsidRPr="00B4173B">
        <w:rPr>
          <w:lang w:val="fr"/>
        </w:rPr>
        <w:lastRenderedPageBreak/>
        <w:t>chaque année civile précédente indiquant qu’il avait achevé une part importante de la mise en œuvre des activités amorcées lors de tranches précédentes approuvées et que le taux de décaissement du financement disponible associé à la tranche précédente approuvée était de plus de 20 pour cent ; et</w:t>
      </w:r>
    </w:p>
    <w:p w:rsidR="00B4173B" w:rsidRPr="00B4173B" w:rsidRDefault="00B4173B" w:rsidP="00B4173B">
      <w:pPr>
        <w:numPr>
          <w:ilvl w:val="1"/>
          <w:numId w:val="1"/>
        </w:numPr>
        <w:tabs>
          <w:tab w:val="num" w:pos="-720"/>
        </w:tabs>
        <w:spacing w:after="240"/>
        <w:outlineLvl w:val="1"/>
        <w:rPr>
          <w:lang w:val="fr-FR"/>
        </w:rPr>
      </w:pPr>
      <w:r w:rsidRPr="00B4173B">
        <w:rPr>
          <w:lang w:val="fr"/>
        </w:rPr>
        <w:t>Le Pays a soumis un plan de mise en œuvre de la tranche sous la forme indiquée à l’Appendice 4-A, pour chaque année civile, y compris l’année au cours de laquelle le calendrier de financement prévoit la soumission de la tranche suivante, ou, dans le cas de la tranche finale, jusqu’à l’achèvement de toutes les activités prévues.</w:t>
      </w:r>
    </w:p>
    <w:p w:rsidR="00B4173B" w:rsidRPr="00B4173B" w:rsidRDefault="00B4173B" w:rsidP="00B4173B">
      <w:pPr>
        <w:keepNext/>
        <w:spacing w:after="240"/>
        <w:rPr>
          <w:b/>
        </w:rPr>
      </w:pPr>
      <w:proofErr w:type="spellStart"/>
      <w:r w:rsidRPr="00B4173B">
        <w:rPr>
          <w:b/>
        </w:rPr>
        <w:t>Suivi</w:t>
      </w:r>
      <w:proofErr w:type="spellEnd"/>
    </w:p>
    <w:p w:rsidR="00B4173B" w:rsidRPr="00B4173B" w:rsidRDefault="00B4173B" w:rsidP="00B4173B">
      <w:pPr>
        <w:keepNext/>
        <w:numPr>
          <w:ilvl w:val="0"/>
          <w:numId w:val="1"/>
        </w:numPr>
        <w:spacing w:after="240"/>
        <w:outlineLvl w:val="0"/>
        <w:rPr>
          <w:lang w:val="fr-FR"/>
        </w:rPr>
      </w:pPr>
      <w:r w:rsidRPr="00B4173B">
        <w:rPr>
          <w:lang w:val="fr"/>
        </w:rPr>
        <w:t>Le Pays veillera à effectuer un suivi rigoureux de ses activités dans le cadre du présent Accord. Les institutions indiquées à l’Appendice 5-A (« Institutions de surveillance et leur rôle ») assureront la surveillance et présenteront des rapports sur la mise en œuvre des activités des plans annuels de mise en œuvre de tranche précédents, conformément à leurs rôles et responsabilités définis dans le même appendice.</w:t>
      </w:r>
    </w:p>
    <w:p w:rsidR="00B4173B" w:rsidRPr="00B4173B" w:rsidRDefault="00B4173B" w:rsidP="00B4173B">
      <w:pPr>
        <w:spacing w:after="240"/>
        <w:rPr>
          <w:b/>
          <w:lang w:val="fr-FR"/>
        </w:rPr>
      </w:pPr>
      <w:r w:rsidRPr="00B4173B">
        <w:rPr>
          <w:b/>
          <w:lang w:val="fr"/>
        </w:rPr>
        <w:t>Marge de manœuvre dans la réaffectation des fonds</w:t>
      </w:r>
    </w:p>
    <w:p w:rsidR="00B4173B" w:rsidRPr="00B4173B" w:rsidRDefault="00B4173B" w:rsidP="00B4173B">
      <w:pPr>
        <w:numPr>
          <w:ilvl w:val="0"/>
          <w:numId w:val="1"/>
        </w:numPr>
        <w:spacing w:after="240"/>
        <w:outlineLvl w:val="0"/>
        <w:rPr>
          <w:lang w:val="fr-FR"/>
        </w:rPr>
      </w:pPr>
      <w:r w:rsidRPr="00B4173B">
        <w:rPr>
          <w:lang w:val="fr"/>
        </w:rPr>
        <w:t>Le Comité exécutif accepte que le Pays bénéficie d’une certaine marge de manœuvre lui permettant de réaffecter une partie ou l’ensemble des fonds approuvés, en fonction de l’évolution de la situation, afin d’assurer que la réduction de la consommation et l’élimination des Substances précisées à l’Appendice 1-A s’effectue le mieux possible :</w:t>
      </w:r>
    </w:p>
    <w:p w:rsidR="00B4173B" w:rsidRPr="00B4173B" w:rsidRDefault="00B4173B" w:rsidP="00B4173B">
      <w:pPr>
        <w:widowControl w:val="0"/>
        <w:numPr>
          <w:ilvl w:val="1"/>
          <w:numId w:val="1"/>
        </w:numPr>
        <w:tabs>
          <w:tab w:val="num" w:pos="-720"/>
        </w:tabs>
        <w:spacing w:after="240"/>
        <w:outlineLvl w:val="1"/>
      </w:pPr>
      <w:r w:rsidRPr="00B4173B">
        <w:rPr>
          <w:lang w:val="fr"/>
        </w:rPr>
        <w:t>Les réaffectations classées comme changements importants doivent être documentées à l’avance, dans le plan de mise en œuvre de la tranche, tel que prévu au paragraphe 5 d) ci</w:t>
      </w:r>
      <w:r w:rsidRPr="00B4173B">
        <w:rPr>
          <w:lang w:val="fr"/>
        </w:rPr>
        <w:noBreakHyphen/>
        <w:t>dessus, ou dans une révision d’un plan de mise en œuvre de la tranche existant à remettre huit semaines avant toute réunion du Comité exécutif, pour approbation. Une réaffectation est dite importante lorsqu’elle vise :</w:t>
      </w:r>
    </w:p>
    <w:p w:rsidR="00B4173B" w:rsidRPr="00B4173B" w:rsidRDefault="00B4173B" w:rsidP="00B4173B">
      <w:pPr>
        <w:widowControl w:val="0"/>
        <w:numPr>
          <w:ilvl w:val="2"/>
          <w:numId w:val="1"/>
        </w:numPr>
        <w:spacing w:after="240"/>
        <w:outlineLvl w:val="2"/>
        <w:rPr>
          <w:lang w:val="fr-FR"/>
        </w:rPr>
      </w:pPr>
      <w:r w:rsidRPr="00B4173B">
        <w:rPr>
          <w:lang w:val="fr"/>
        </w:rPr>
        <w:t xml:space="preserve">Des enjeux qui pourraient concerner les règles et politiques du Fonds multilatéral ; </w:t>
      </w:r>
    </w:p>
    <w:p w:rsidR="00B4173B" w:rsidRPr="00B4173B" w:rsidRDefault="00B4173B" w:rsidP="00B4173B">
      <w:pPr>
        <w:widowControl w:val="0"/>
        <w:numPr>
          <w:ilvl w:val="2"/>
          <w:numId w:val="1"/>
        </w:numPr>
        <w:spacing w:after="240"/>
        <w:outlineLvl w:val="2"/>
        <w:rPr>
          <w:lang w:val="fr-FR"/>
        </w:rPr>
      </w:pPr>
      <w:r w:rsidRPr="00B4173B">
        <w:rPr>
          <w:lang w:val="fr"/>
        </w:rPr>
        <w:t xml:space="preserve">Des changements qui pourraient modifier une clause quelconque du présent Accord ; </w:t>
      </w:r>
    </w:p>
    <w:p w:rsidR="00B4173B" w:rsidRPr="00B4173B" w:rsidRDefault="00B4173B" w:rsidP="00B4173B">
      <w:pPr>
        <w:widowControl w:val="0"/>
        <w:numPr>
          <w:ilvl w:val="2"/>
          <w:numId w:val="1"/>
        </w:numPr>
        <w:spacing w:after="240"/>
        <w:outlineLvl w:val="2"/>
        <w:rPr>
          <w:lang w:val="fr-FR"/>
        </w:rPr>
      </w:pPr>
      <w:r w:rsidRPr="00B4173B">
        <w:rPr>
          <w:lang w:val="fr"/>
        </w:rPr>
        <w:t>Des changements dans les montants annuels de financement alloués aux agences bilatérales ou d’exécution prises individuellement, pour les différentes tranches ;</w:t>
      </w:r>
    </w:p>
    <w:p w:rsidR="00B4173B" w:rsidRPr="00B4173B" w:rsidRDefault="00B4173B" w:rsidP="00B4173B">
      <w:pPr>
        <w:widowControl w:val="0"/>
        <w:numPr>
          <w:ilvl w:val="2"/>
          <w:numId w:val="1"/>
        </w:numPr>
        <w:spacing w:after="240"/>
        <w:outlineLvl w:val="2"/>
        <w:rPr>
          <w:lang w:val="fr-FR"/>
        </w:rPr>
      </w:pPr>
      <w:r w:rsidRPr="00B4173B">
        <w:rPr>
          <w:lang w:val="fr"/>
        </w:rPr>
        <w:t xml:space="preserve">Le financement d’activités qui ne sont pas incluses dans le plan actuel approuvé de mise en œuvre de la tranche, ou bien le retrait d’une activité du plan de mise en œuvre de la tranche, représentant un coût supérieur à 30 pour cent du coût total de la dernière tranche approuvée ; </w:t>
      </w:r>
    </w:p>
    <w:p w:rsidR="00B4173B" w:rsidRPr="00B4173B" w:rsidRDefault="00B4173B" w:rsidP="00B4173B">
      <w:pPr>
        <w:keepNext/>
        <w:numPr>
          <w:ilvl w:val="2"/>
          <w:numId w:val="1"/>
        </w:numPr>
        <w:spacing w:after="240"/>
        <w:outlineLvl w:val="2"/>
        <w:rPr>
          <w:lang w:val="fr-FR"/>
        </w:rPr>
      </w:pPr>
      <w:r w:rsidRPr="00B4173B">
        <w:rPr>
          <w:lang w:val="fr"/>
        </w:rPr>
        <w:t xml:space="preserve">Les changements de technologie de remplacement, étant entendu que toute proposition relative à une telle demande précisera les coûts différentiels connexes, les conséquences possibles sur le climat et la différence en tonnes PAO à éliminer, s’il y a lieu, et confirmera que le pays reconnaît que les économies possibles de </w:t>
      </w:r>
      <w:r w:rsidRPr="00B4173B">
        <w:rPr>
          <w:lang w:val="fr"/>
        </w:rPr>
        <w:lastRenderedPageBreak/>
        <w:t>coûts différentiels liées au changement de technologie réduiraient en conséquence le financement global prévu à cet Accord ;</w:t>
      </w:r>
    </w:p>
    <w:p w:rsidR="00B4173B" w:rsidRPr="00B4173B" w:rsidRDefault="00B4173B" w:rsidP="00B4173B">
      <w:pPr>
        <w:keepNext/>
        <w:keepLines/>
        <w:numPr>
          <w:ilvl w:val="1"/>
          <w:numId w:val="1"/>
        </w:numPr>
        <w:tabs>
          <w:tab w:val="num" w:pos="-720"/>
        </w:tabs>
        <w:spacing w:after="240"/>
        <w:outlineLvl w:val="1"/>
        <w:rPr>
          <w:lang w:val="fr-FR"/>
        </w:rPr>
      </w:pPr>
      <w:r w:rsidRPr="00B4173B">
        <w:rPr>
          <w:lang w:val="fr"/>
        </w:rPr>
        <w:t xml:space="preserve">Les réaffectations qui ne sont pas classées comme changements importants peuvent être intégrées au plan approuvé de mise en œuvre de la tranche, en cours de mise en œuvre à ce moment-là, et communiquées au Comité exécutif dans le rapport suivant de mise en œuvre de la tranche ; </w:t>
      </w:r>
    </w:p>
    <w:p w:rsidR="00B4173B" w:rsidRPr="00B4173B" w:rsidRDefault="00B4173B" w:rsidP="00B4173B">
      <w:pPr>
        <w:widowControl w:val="0"/>
        <w:numPr>
          <w:ilvl w:val="1"/>
          <w:numId w:val="1"/>
        </w:numPr>
        <w:tabs>
          <w:tab w:val="num" w:pos="-720"/>
        </w:tabs>
        <w:spacing w:after="240"/>
        <w:outlineLvl w:val="1"/>
        <w:rPr>
          <w:lang w:val="fr-FR"/>
        </w:rPr>
      </w:pPr>
      <w:r w:rsidRPr="00B4173B">
        <w:rPr>
          <w:lang w:val="fr"/>
        </w:rPr>
        <w:t>Aucune entreprise à reconvertir à une technologie sans HCFC visée par le plan et déclarée non admissible en vertu des politiques du Fonds multilatéral (soit parce qu’elle appartient à des intérêts étrangers soit parce qu’elle a commencé ses activités après la date limite du 21 septembre 2007) ne recevra d’assistance financière. Cette information sera communiquée dans le cadre du plan annuel de mise en œuvre de la tranche ;</w:t>
      </w:r>
    </w:p>
    <w:p w:rsidR="00B4173B" w:rsidRPr="00B4173B" w:rsidRDefault="00B4173B" w:rsidP="00B4173B">
      <w:pPr>
        <w:widowControl w:val="0"/>
        <w:numPr>
          <w:ilvl w:val="1"/>
          <w:numId w:val="1"/>
        </w:numPr>
        <w:tabs>
          <w:tab w:val="num" w:pos="-720"/>
        </w:tabs>
        <w:spacing w:after="240"/>
        <w:outlineLvl w:val="1"/>
        <w:rPr>
          <w:lang w:val="fr-FR"/>
        </w:rPr>
      </w:pPr>
      <w:r w:rsidRPr="00B4173B">
        <w:rPr>
          <w:lang w:val="fr"/>
        </w:rPr>
        <w:t xml:space="preserve">Le pays s’engage à envisager d’avoir recours à des formules </w:t>
      </w:r>
      <w:proofErr w:type="spellStart"/>
      <w:r w:rsidRPr="00B4173B">
        <w:rPr>
          <w:lang w:val="fr"/>
        </w:rPr>
        <w:t>prémélangées</w:t>
      </w:r>
      <w:proofErr w:type="spellEnd"/>
      <w:r w:rsidRPr="00B4173B">
        <w:rPr>
          <w:lang w:val="fr"/>
        </w:rPr>
        <w:t xml:space="preserve"> contenant des agents de gonflage à faible potentiel de réchauffement de la planète plutôt que des formules mélangées par les entreprises mêmes, pour les entreprises de mousse couvertes en vertu du Plan, si cela est techniquement viable, économiquement faisable et acceptable pour ces entreprises ;</w:t>
      </w:r>
    </w:p>
    <w:p w:rsidR="00B4173B" w:rsidRPr="00B4173B" w:rsidRDefault="00B4173B" w:rsidP="00B4173B">
      <w:pPr>
        <w:widowControl w:val="0"/>
        <w:numPr>
          <w:ilvl w:val="1"/>
          <w:numId w:val="1"/>
        </w:numPr>
        <w:tabs>
          <w:tab w:val="num" w:pos="-720"/>
        </w:tabs>
        <w:spacing w:after="240"/>
        <w:outlineLvl w:val="1"/>
        <w:rPr>
          <w:lang w:val="fr-FR"/>
        </w:rPr>
      </w:pPr>
      <w:r w:rsidRPr="00B4173B">
        <w:rPr>
          <w:lang w:val="fr"/>
        </w:rPr>
        <w:t>Tous les fonds restants détenus par les agences bilatérales ou d’exécution ou le Pays en vertu du Plan seront restitués au Fonds multilatéral lors de l’achèvement de la dernière tranche prévue dans le cadre du présent Accord.</w:t>
      </w:r>
    </w:p>
    <w:p w:rsidR="00B4173B" w:rsidRPr="00B4173B" w:rsidRDefault="00B4173B" w:rsidP="00B4173B">
      <w:pPr>
        <w:spacing w:after="240"/>
        <w:rPr>
          <w:b/>
          <w:lang w:val="fr-FR"/>
        </w:rPr>
      </w:pPr>
      <w:r w:rsidRPr="00B4173B">
        <w:rPr>
          <w:b/>
          <w:lang w:val="fr"/>
        </w:rPr>
        <w:t>Considérations se rapportant au secteur de l’entretien des équipements de réfrigération</w:t>
      </w:r>
    </w:p>
    <w:p w:rsidR="00B4173B" w:rsidRPr="00B4173B" w:rsidRDefault="00B4173B" w:rsidP="00B4173B">
      <w:pPr>
        <w:numPr>
          <w:ilvl w:val="0"/>
          <w:numId w:val="1"/>
        </w:numPr>
        <w:spacing w:after="240"/>
        <w:outlineLvl w:val="0"/>
        <w:rPr>
          <w:lang w:val="fr-FR"/>
        </w:rPr>
      </w:pPr>
      <w:r w:rsidRPr="00B4173B">
        <w:rPr>
          <w:lang w:val="fr"/>
        </w:rPr>
        <w:t>La réalisation des activités dans le sous-secteur de l’entretien des équipements de réfrigération fera l’objet d’une attention particulière, notamment sur les points suivants :</w:t>
      </w:r>
    </w:p>
    <w:p w:rsidR="00B4173B" w:rsidRPr="00B4173B" w:rsidRDefault="00B4173B" w:rsidP="00B4173B">
      <w:pPr>
        <w:widowControl w:val="0"/>
        <w:numPr>
          <w:ilvl w:val="1"/>
          <w:numId w:val="1"/>
        </w:numPr>
        <w:tabs>
          <w:tab w:val="num" w:pos="-720"/>
        </w:tabs>
        <w:spacing w:after="240"/>
        <w:outlineLvl w:val="1"/>
        <w:rPr>
          <w:lang w:val="fr-FR"/>
        </w:rPr>
      </w:pPr>
      <w:r w:rsidRPr="00B4173B">
        <w:rPr>
          <w:lang w:val="fr"/>
        </w:rPr>
        <w:t xml:space="preserve">Le Pays utilisera la marge de manœuvre offerte en vertu du présent Accord pour répondre aux besoins spécifiques qui pourraient survenir lors de la mise en œuvre du projet ; </w:t>
      </w:r>
    </w:p>
    <w:p w:rsidR="00B4173B" w:rsidRPr="00B4173B" w:rsidRDefault="00B4173B" w:rsidP="00B4173B">
      <w:pPr>
        <w:widowControl w:val="0"/>
        <w:numPr>
          <w:ilvl w:val="1"/>
          <w:numId w:val="1"/>
        </w:numPr>
        <w:tabs>
          <w:tab w:val="num" w:pos="-720"/>
        </w:tabs>
        <w:spacing w:after="240"/>
        <w:outlineLvl w:val="1"/>
        <w:rPr>
          <w:lang w:val="fr-FR"/>
        </w:rPr>
      </w:pPr>
      <w:r w:rsidRPr="00B4173B">
        <w:rPr>
          <w:lang w:val="fr"/>
        </w:rPr>
        <w:t>Le Pays et les agences bilatérales ou d’exécution concernées tiendront compte des décisions pertinentes relatives au secteur de l’entretien des équipements de réfrigération pendant la mise en œuvre du Plan.</w:t>
      </w:r>
    </w:p>
    <w:p w:rsidR="00B4173B" w:rsidRPr="00B4173B" w:rsidRDefault="00B4173B" w:rsidP="00B4173B">
      <w:pPr>
        <w:spacing w:after="240"/>
        <w:rPr>
          <w:b/>
        </w:rPr>
      </w:pPr>
      <w:proofErr w:type="spellStart"/>
      <w:r w:rsidRPr="00B4173B">
        <w:rPr>
          <w:b/>
        </w:rPr>
        <w:t>Agences</w:t>
      </w:r>
      <w:proofErr w:type="spellEnd"/>
      <w:r w:rsidRPr="00B4173B">
        <w:rPr>
          <w:b/>
        </w:rPr>
        <w:t xml:space="preserve"> </w:t>
      </w:r>
      <w:proofErr w:type="spellStart"/>
      <w:r w:rsidRPr="00B4173B">
        <w:rPr>
          <w:b/>
        </w:rPr>
        <w:t>bilatérales</w:t>
      </w:r>
      <w:proofErr w:type="spellEnd"/>
      <w:r w:rsidRPr="00B4173B">
        <w:rPr>
          <w:b/>
        </w:rPr>
        <w:t xml:space="preserve"> et </w:t>
      </w:r>
      <w:proofErr w:type="spellStart"/>
      <w:r w:rsidRPr="00B4173B">
        <w:rPr>
          <w:b/>
        </w:rPr>
        <w:t>d’exécution</w:t>
      </w:r>
      <w:proofErr w:type="spellEnd"/>
    </w:p>
    <w:p w:rsidR="00B4173B" w:rsidRPr="00B4173B" w:rsidRDefault="00B4173B" w:rsidP="00B4173B">
      <w:pPr>
        <w:numPr>
          <w:ilvl w:val="0"/>
          <w:numId w:val="1"/>
        </w:numPr>
        <w:spacing w:after="240"/>
        <w:outlineLvl w:val="0"/>
        <w:rPr>
          <w:lang w:val="fr-FR"/>
        </w:rPr>
      </w:pPr>
      <w:r w:rsidRPr="00B4173B">
        <w:rPr>
          <w:lang w:val="fr"/>
        </w:rPr>
        <w:t xml:space="preserve">Le pays accepte d'assumer la responsabilité générale de la gestion et de la mise en œuvre du présent accord et de toutes les activités entreprises par lui ou en son nom pour remplir les obligations découlant du présent accord. L'ONUDI a accepté d’être l’agence d’exécution principale (« l’Agence principale ») et le PNUE a accepté d’être l’agence d’exécution coopérante, sous la supervision de l’Agence principale, dans le cadre des activités </w:t>
      </w:r>
      <w:proofErr w:type="gramStart"/>
      <w:r w:rsidRPr="00B4173B">
        <w:rPr>
          <w:lang w:val="fr"/>
        </w:rPr>
        <w:t>du pays prévues</w:t>
      </w:r>
      <w:proofErr w:type="gramEnd"/>
      <w:r w:rsidRPr="00B4173B">
        <w:rPr>
          <w:lang w:val="fr"/>
        </w:rPr>
        <w:t xml:space="preserve"> par le présent Accord. Le Pays accepte les évaluations périodiques qui pourront être effectuées dans le cadre des programmes de travail de suivi et d’évaluation du Fonds multilatéral ou au titre du programme d’évaluation de l’Agence principale et/ou de l’Agence de coopération parties au présent Accord.</w:t>
      </w:r>
    </w:p>
    <w:p w:rsidR="00B4173B" w:rsidRPr="00B4173B" w:rsidRDefault="00B4173B" w:rsidP="00B4173B">
      <w:pPr>
        <w:numPr>
          <w:ilvl w:val="0"/>
          <w:numId w:val="1"/>
        </w:numPr>
        <w:spacing w:after="240"/>
        <w:outlineLvl w:val="0"/>
        <w:rPr>
          <w:lang w:val="fr-FR"/>
        </w:rPr>
      </w:pPr>
      <w:r w:rsidRPr="00B4173B">
        <w:rPr>
          <w:lang w:val="fr"/>
        </w:rPr>
        <w:t xml:space="preserve">L’Agence d’exécution principale sera responsable de la coordination de la planification, de la mise en œuvre et des rapports pour toutes les activités prévues dans le cadre du présent Accord, notamment mais pas exclusivement la vérification indépendante indiquée au </w:t>
      </w:r>
      <w:r w:rsidRPr="00B4173B">
        <w:rPr>
          <w:lang w:val="fr"/>
        </w:rPr>
        <w:noBreakHyphen/>
        <w:t xml:space="preserve">paragraphe 5 b). L’Agence de coopération appuiera l’Agence principale en mettant en œuvre le Plan, sous la coordination générale de l’Agence principale. Les rôles de l’Agence principale et de l’Agence de coopération sont indiqués respectivement à </w:t>
      </w:r>
      <w:r w:rsidRPr="00B4173B">
        <w:rPr>
          <w:lang w:val="fr"/>
        </w:rPr>
        <w:lastRenderedPageBreak/>
        <w:t>l’Appendice 6-A et à l’Appendice 6-B. Le Comité exécutif accepte, en principe, de fournir à l’Agence principale et à l’Agence de coopération les montants indiqués aux lignes 2.2 et 2.4 de l’Appendice 2-</w:t>
      </w:r>
      <w:r w:rsidRPr="00B4173B">
        <w:rPr>
          <w:lang w:val="fr"/>
        </w:rPr>
        <w:noBreakHyphen/>
        <w:t>A.</w:t>
      </w:r>
    </w:p>
    <w:p w:rsidR="00B4173B" w:rsidRPr="00B4173B" w:rsidRDefault="00B4173B" w:rsidP="00B4173B">
      <w:pPr>
        <w:keepNext/>
        <w:spacing w:after="240"/>
        <w:rPr>
          <w:b/>
        </w:rPr>
      </w:pPr>
      <w:r w:rsidRPr="00B4173B">
        <w:rPr>
          <w:b/>
        </w:rPr>
        <w:t xml:space="preserve">Non-respect de </w:t>
      </w:r>
      <w:proofErr w:type="spellStart"/>
      <w:r w:rsidRPr="00B4173B">
        <w:rPr>
          <w:b/>
        </w:rPr>
        <w:t>l’Accord</w:t>
      </w:r>
      <w:proofErr w:type="spellEnd"/>
    </w:p>
    <w:p w:rsidR="00B4173B" w:rsidRPr="00B4173B" w:rsidRDefault="00B4173B" w:rsidP="00B4173B">
      <w:pPr>
        <w:keepNext/>
        <w:numPr>
          <w:ilvl w:val="0"/>
          <w:numId w:val="1"/>
        </w:numPr>
        <w:spacing w:after="240"/>
        <w:outlineLvl w:val="0"/>
        <w:rPr>
          <w:lang w:val="fr-FR"/>
        </w:rPr>
      </w:pPr>
      <w:r w:rsidRPr="00B4173B">
        <w:rPr>
          <w:lang w:val="fr"/>
        </w:rPr>
        <w:t xml:space="preserve">Si, pour quelque raison que ce soit, le Pays ne respecte pas les Objectifs d’élimination des Substances indiquées à la ligne 1.2. </w:t>
      </w:r>
      <w:proofErr w:type="gramStart"/>
      <w:r w:rsidRPr="00B4173B">
        <w:rPr>
          <w:lang w:val="fr"/>
        </w:rPr>
        <w:t>de</w:t>
      </w:r>
      <w:proofErr w:type="gramEnd"/>
      <w:r w:rsidRPr="00B4173B">
        <w:rPr>
          <w:lang w:val="fr"/>
        </w:rPr>
        <w:t xml:space="preserve"> l’Appendice 2-A ou bien ne se conforme pas au présent Accord, il accepte alors de ne plus être en droit de prétendre au financement conformément au calendrier de financement approuvé. Il appartient au Comité exécutif de rétablir ce financement, conformément à un calendrier de financement révisé établi par ses soins, une fois que le Pays aura prouvé qu’il a respecté toutes les obligations qu’il aurait dû satisfaire avant la réception de la prochaine tranche de financement conformément au calendrier de financement approuvé. Le Pays convient que le Comité exécutif peut déduire du montant du financement le montant indiqué à l’Appendice 7-A (« Réductions du financement en cas de non-conformité ») pour chaque kilogramme PAO dont la consommation n’aura pas été réduite au cours d’une même année. Le Comité exécutif étudiera chaque cas spécifique de non-conformité du Pays au présent Accord et prendra des décisions en conséquence. Une fois les décisions prises, le cas spécifique de non-respect du présent Accord n’empêchera pas le versement des fonds destinés aux tranches futures indiquées au paragraphe 5 ci-dessus.</w:t>
      </w:r>
    </w:p>
    <w:p w:rsidR="00B4173B" w:rsidRPr="00B4173B" w:rsidRDefault="00B4173B" w:rsidP="00B4173B">
      <w:pPr>
        <w:numPr>
          <w:ilvl w:val="0"/>
          <w:numId w:val="1"/>
        </w:numPr>
        <w:spacing w:after="240"/>
        <w:outlineLvl w:val="0"/>
        <w:rPr>
          <w:lang w:val="fr-FR"/>
        </w:rPr>
      </w:pPr>
      <w:r w:rsidRPr="00B4173B">
        <w:rPr>
          <w:lang w:val="fr"/>
        </w:rPr>
        <w:t>Le financement du présent Accord ne sera pas modifié sur la base de toute décision future du Comité exécutif qui pourrait avoir une incidence sur le financement de tout autre projet de consommation sectorielle ou sur toute autre activité connexe dans le Pays.</w:t>
      </w:r>
    </w:p>
    <w:p w:rsidR="00B4173B" w:rsidRPr="00B4173B" w:rsidRDefault="00B4173B" w:rsidP="00B4173B">
      <w:pPr>
        <w:numPr>
          <w:ilvl w:val="0"/>
          <w:numId w:val="1"/>
        </w:numPr>
        <w:spacing w:after="240"/>
        <w:outlineLvl w:val="0"/>
        <w:rPr>
          <w:lang w:val="fr-FR"/>
        </w:rPr>
      </w:pPr>
      <w:r w:rsidRPr="00B4173B">
        <w:rPr>
          <w:lang w:val="fr"/>
        </w:rPr>
        <w:t>Le Pays se conformera à toute demande raisonnable du Comité exécutif, de l’Agence principale et de l’Agence de coopération en vue de faciliter la mise en œuvre du présent Accord. En particulier, il permettra à l’Agence principale et à l’Agence de coopération d’accéder aux renseignements nécessaires pour vérifier la conformité avec le présent Accord.</w:t>
      </w:r>
    </w:p>
    <w:p w:rsidR="00B4173B" w:rsidRPr="00B4173B" w:rsidRDefault="00B4173B" w:rsidP="00B4173B">
      <w:pPr>
        <w:spacing w:after="240"/>
        <w:rPr>
          <w:b/>
        </w:rPr>
      </w:pPr>
      <w:r w:rsidRPr="00B4173B">
        <w:rPr>
          <w:b/>
        </w:rPr>
        <w:t xml:space="preserve">Date </w:t>
      </w:r>
      <w:proofErr w:type="spellStart"/>
      <w:r w:rsidRPr="00B4173B">
        <w:rPr>
          <w:b/>
        </w:rPr>
        <w:t>d'achèvement</w:t>
      </w:r>
      <w:proofErr w:type="spellEnd"/>
    </w:p>
    <w:p w:rsidR="00B4173B" w:rsidRPr="00B4173B" w:rsidRDefault="00B4173B" w:rsidP="00B4173B">
      <w:pPr>
        <w:numPr>
          <w:ilvl w:val="0"/>
          <w:numId w:val="1"/>
        </w:numPr>
        <w:spacing w:after="240"/>
        <w:outlineLvl w:val="0"/>
        <w:rPr>
          <w:lang w:val="fr-FR"/>
        </w:rPr>
      </w:pPr>
      <w:r w:rsidRPr="00B4173B">
        <w:rPr>
          <w:lang w:val="fr"/>
        </w:rPr>
        <w:t>L’achèvement du Plan et de l’Accord s’y rapportant aura lieu à la fin de l’année qui suit la dernière année pour laquelle la consommation totale maximum autorisée est spécifiée dans l’Appendice 2-A. Si des activités qui étaient prévues dans le plan de mise en œuvre de la tranche et dans ses révisions conformément aux paragraphes 5 d) et 7 se trouvaient encore en souffrance à ce moment-là, l’achèvement du Plan serait reporté à la fin de l’année suivant la mise en œuvre des activités restantes. Les exigences de remise de rapport selon les paragraphes 1a), 1b), 1d) et 1e) de l’Appendice 4-A continueront jusqu’à la date d’achèvement du Plan à moins d’indication contraire de la part du Comité exécutif.</w:t>
      </w:r>
    </w:p>
    <w:p w:rsidR="00B4173B" w:rsidRPr="00B4173B" w:rsidRDefault="00B4173B" w:rsidP="00B4173B">
      <w:pPr>
        <w:keepNext/>
        <w:spacing w:after="240"/>
        <w:rPr>
          <w:b/>
        </w:rPr>
      </w:pPr>
      <w:proofErr w:type="spellStart"/>
      <w:r w:rsidRPr="00B4173B">
        <w:rPr>
          <w:b/>
        </w:rPr>
        <w:t>Validité</w:t>
      </w:r>
      <w:proofErr w:type="spellEnd"/>
    </w:p>
    <w:p w:rsidR="00B4173B" w:rsidRPr="00B4173B" w:rsidRDefault="00B4173B" w:rsidP="00B4173B">
      <w:pPr>
        <w:numPr>
          <w:ilvl w:val="0"/>
          <w:numId w:val="1"/>
        </w:numPr>
        <w:spacing w:after="240"/>
        <w:outlineLvl w:val="0"/>
        <w:rPr>
          <w:lang w:val="fr-FR"/>
        </w:rPr>
      </w:pPr>
      <w:r w:rsidRPr="00B4173B">
        <w:rPr>
          <w:lang w:val="fr"/>
        </w:rPr>
        <w:t>Toutes les conditions définies dans le présent Accord seront mises en œuvre uniquement dans le contexte du Protocole de Montréal et comme le stipule le présent Accord. Sauf indication contraire, la signification de tous les termes utilisés dans le présent Accord est celle qui leur est attribuée dans le Protocole de Montréal.</w:t>
      </w:r>
    </w:p>
    <w:p w:rsidR="00B4173B" w:rsidRPr="00B4173B" w:rsidRDefault="00B4173B" w:rsidP="00B4173B">
      <w:pPr>
        <w:numPr>
          <w:ilvl w:val="0"/>
          <w:numId w:val="1"/>
        </w:numPr>
        <w:spacing w:after="240"/>
        <w:outlineLvl w:val="0"/>
        <w:rPr>
          <w:lang w:val="fr-FR"/>
        </w:rPr>
      </w:pPr>
      <w:r w:rsidRPr="00B4173B">
        <w:rPr>
          <w:lang w:val="fr"/>
        </w:rPr>
        <w:t>Ce présent Accord ne peut être modifié ou résilié que par un commun accord, consigné par écrit, du Pays et du Comité exécutif du Fonds multilatéral.</w:t>
      </w:r>
    </w:p>
    <w:p w:rsidR="0025325D" w:rsidRPr="0025325D" w:rsidRDefault="0025325D">
      <w:pPr>
        <w:jc w:val="left"/>
        <w:rPr>
          <w:b/>
          <w:lang w:val="fr-FR"/>
        </w:rPr>
      </w:pPr>
      <w:r w:rsidRPr="0025325D">
        <w:rPr>
          <w:b/>
          <w:lang w:val="fr-FR"/>
        </w:rPr>
        <w:br w:type="page"/>
      </w:r>
    </w:p>
    <w:p w:rsidR="00B4173B" w:rsidRPr="00B4173B" w:rsidRDefault="00B4173B" w:rsidP="0025325D">
      <w:pPr>
        <w:keepNext/>
        <w:outlineLvl w:val="0"/>
        <w:rPr>
          <w:b/>
        </w:rPr>
      </w:pPr>
      <w:r w:rsidRPr="00B4173B">
        <w:rPr>
          <w:b/>
        </w:rPr>
        <w:lastRenderedPageBreak/>
        <w:t>APPENDICES</w:t>
      </w:r>
    </w:p>
    <w:p w:rsidR="00B4173B" w:rsidRPr="00B4173B" w:rsidRDefault="00B4173B" w:rsidP="0025325D">
      <w:pPr>
        <w:keepNext/>
        <w:outlineLvl w:val="0"/>
        <w:rPr>
          <w:b/>
        </w:rPr>
      </w:pPr>
      <w:r w:rsidRPr="00B4173B">
        <w:rPr>
          <w:b/>
        </w:rPr>
        <w:t>APPENDICE 1-A: LES SUBSTANCES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5"/>
        <w:gridCol w:w="864"/>
        <w:gridCol w:w="872"/>
        <w:gridCol w:w="4759"/>
      </w:tblGrid>
      <w:tr w:rsidR="00B4173B" w:rsidRPr="00F36C81" w:rsidTr="006E6B8F">
        <w:tc>
          <w:tcPr>
            <w:tcW w:w="1528" w:type="pct"/>
            <w:shd w:val="clear" w:color="auto" w:fill="auto"/>
            <w:vAlign w:val="center"/>
            <w:hideMark/>
          </w:tcPr>
          <w:p w:rsidR="00B4173B" w:rsidRPr="00B4173B" w:rsidRDefault="00B4173B" w:rsidP="00B4173B">
            <w:pPr>
              <w:rPr>
                <w:b/>
                <w:sz w:val="20"/>
                <w:szCs w:val="20"/>
                <w:lang w:eastAsia="en-CA"/>
              </w:rPr>
            </w:pPr>
            <w:r w:rsidRPr="00B4173B">
              <w:rPr>
                <w:b/>
                <w:sz w:val="20"/>
                <w:szCs w:val="20"/>
                <w:lang w:eastAsia="fr"/>
              </w:rPr>
              <w:t>Substance</w:t>
            </w:r>
          </w:p>
        </w:tc>
        <w:tc>
          <w:tcPr>
            <w:tcW w:w="463" w:type="pct"/>
            <w:shd w:val="clear" w:color="auto" w:fill="auto"/>
            <w:vAlign w:val="center"/>
            <w:hideMark/>
          </w:tcPr>
          <w:p w:rsidR="00B4173B" w:rsidRPr="00B4173B" w:rsidRDefault="00B4173B" w:rsidP="00B4173B">
            <w:pPr>
              <w:rPr>
                <w:b/>
                <w:sz w:val="20"/>
                <w:szCs w:val="20"/>
                <w:lang w:eastAsia="en-CA"/>
              </w:rPr>
            </w:pPr>
            <w:r w:rsidRPr="00B4173B">
              <w:rPr>
                <w:b/>
                <w:sz w:val="20"/>
                <w:szCs w:val="20"/>
                <w:lang w:eastAsia="fr"/>
              </w:rPr>
              <w:t>Annexe</w:t>
            </w:r>
          </w:p>
        </w:tc>
        <w:tc>
          <w:tcPr>
            <w:tcW w:w="463" w:type="pct"/>
            <w:shd w:val="clear" w:color="auto" w:fill="auto"/>
            <w:vAlign w:val="center"/>
            <w:hideMark/>
          </w:tcPr>
          <w:p w:rsidR="00B4173B" w:rsidRPr="00B4173B" w:rsidRDefault="00B4173B" w:rsidP="00B4173B">
            <w:pPr>
              <w:rPr>
                <w:b/>
                <w:sz w:val="20"/>
                <w:szCs w:val="20"/>
                <w:lang w:eastAsia="en-CA"/>
              </w:rPr>
            </w:pPr>
            <w:proofErr w:type="spellStart"/>
            <w:r w:rsidRPr="00B4173B">
              <w:rPr>
                <w:b/>
                <w:sz w:val="20"/>
                <w:szCs w:val="20"/>
                <w:lang w:eastAsia="fr"/>
              </w:rPr>
              <w:t>Groupe</w:t>
            </w:r>
            <w:proofErr w:type="spellEnd"/>
          </w:p>
        </w:tc>
        <w:tc>
          <w:tcPr>
            <w:tcW w:w="2546" w:type="pct"/>
            <w:shd w:val="clear" w:color="auto" w:fill="auto"/>
            <w:vAlign w:val="center"/>
            <w:hideMark/>
          </w:tcPr>
          <w:p w:rsidR="00B4173B" w:rsidRPr="00B4173B" w:rsidRDefault="00B4173B" w:rsidP="00B4173B">
            <w:pPr>
              <w:rPr>
                <w:b/>
                <w:sz w:val="20"/>
                <w:szCs w:val="20"/>
                <w:lang w:val="fr-FR" w:eastAsia="en-CA"/>
              </w:rPr>
            </w:pPr>
            <w:r w:rsidRPr="00B4173B">
              <w:rPr>
                <w:b/>
                <w:sz w:val="20"/>
                <w:szCs w:val="20"/>
                <w:lang w:val="fr-FR" w:eastAsia="fr"/>
              </w:rPr>
              <w:t>Point de départ des réductions globales de consommation (tonnes PAO)</w:t>
            </w:r>
          </w:p>
        </w:tc>
      </w:tr>
      <w:tr w:rsidR="00B4173B" w:rsidRPr="00B4173B" w:rsidTr="006E6B8F">
        <w:trPr>
          <w:trHeight w:val="270"/>
        </w:trPr>
        <w:tc>
          <w:tcPr>
            <w:tcW w:w="1528" w:type="pct"/>
            <w:shd w:val="clear" w:color="auto" w:fill="auto"/>
            <w:hideMark/>
          </w:tcPr>
          <w:p w:rsidR="00B4173B" w:rsidRPr="00B4173B" w:rsidRDefault="00B4173B" w:rsidP="00B4173B">
            <w:pPr>
              <w:rPr>
                <w:sz w:val="20"/>
                <w:szCs w:val="20"/>
                <w:lang w:eastAsia="en-CA"/>
              </w:rPr>
            </w:pPr>
            <w:r w:rsidRPr="00B4173B">
              <w:rPr>
                <w:sz w:val="20"/>
                <w:szCs w:val="20"/>
                <w:lang w:eastAsia="fr"/>
              </w:rPr>
              <w:t>HCFC-22</w:t>
            </w:r>
          </w:p>
        </w:tc>
        <w:tc>
          <w:tcPr>
            <w:tcW w:w="463" w:type="pct"/>
            <w:shd w:val="clear" w:color="auto" w:fill="auto"/>
            <w:hideMark/>
          </w:tcPr>
          <w:p w:rsidR="00B4173B" w:rsidRPr="00B4173B" w:rsidRDefault="00B4173B" w:rsidP="00B4173B">
            <w:pPr>
              <w:jc w:val="center"/>
              <w:rPr>
                <w:sz w:val="20"/>
                <w:szCs w:val="20"/>
                <w:lang w:eastAsia="en-CA"/>
              </w:rPr>
            </w:pPr>
            <w:r w:rsidRPr="00B4173B">
              <w:rPr>
                <w:sz w:val="20"/>
                <w:szCs w:val="20"/>
                <w:lang w:eastAsia="fr"/>
              </w:rPr>
              <w:t>C</w:t>
            </w:r>
          </w:p>
        </w:tc>
        <w:tc>
          <w:tcPr>
            <w:tcW w:w="463" w:type="pct"/>
            <w:shd w:val="clear" w:color="auto" w:fill="auto"/>
            <w:hideMark/>
          </w:tcPr>
          <w:p w:rsidR="00B4173B" w:rsidRPr="00B4173B" w:rsidRDefault="00B4173B" w:rsidP="00B4173B">
            <w:pPr>
              <w:jc w:val="center"/>
              <w:rPr>
                <w:sz w:val="20"/>
                <w:szCs w:val="20"/>
                <w:lang w:eastAsia="en-CA"/>
              </w:rPr>
            </w:pPr>
            <w:r w:rsidRPr="00B4173B">
              <w:rPr>
                <w:sz w:val="20"/>
                <w:szCs w:val="20"/>
                <w:lang w:eastAsia="fr"/>
              </w:rPr>
              <w:t>I</w:t>
            </w:r>
          </w:p>
        </w:tc>
        <w:tc>
          <w:tcPr>
            <w:tcW w:w="2546" w:type="pct"/>
            <w:shd w:val="clear" w:color="auto" w:fill="auto"/>
            <w:hideMark/>
          </w:tcPr>
          <w:p w:rsidR="00B4173B" w:rsidRPr="00B4173B" w:rsidRDefault="00B4173B" w:rsidP="00B4173B">
            <w:pPr>
              <w:jc w:val="right"/>
              <w:rPr>
                <w:color w:val="000000"/>
                <w:sz w:val="20"/>
                <w:szCs w:val="20"/>
                <w:lang w:eastAsia="en-CA"/>
              </w:rPr>
            </w:pPr>
            <w:r w:rsidRPr="00B4173B">
              <w:rPr>
                <w:color w:val="000000"/>
                <w:sz w:val="20"/>
                <w:szCs w:val="20"/>
                <w:lang w:eastAsia="fr"/>
              </w:rPr>
              <w:t>39,01</w:t>
            </w:r>
          </w:p>
        </w:tc>
      </w:tr>
      <w:tr w:rsidR="00B4173B" w:rsidRPr="00B4173B" w:rsidTr="006E6B8F">
        <w:trPr>
          <w:trHeight w:val="270"/>
        </w:trPr>
        <w:tc>
          <w:tcPr>
            <w:tcW w:w="1528" w:type="pct"/>
            <w:shd w:val="clear" w:color="auto" w:fill="auto"/>
            <w:hideMark/>
          </w:tcPr>
          <w:p w:rsidR="00B4173B" w:rsidRPr="00B4173B" w:rsidRDefault="00B4173B" w:rsidP="00B4173B">
            <w:pPr>
              <w:rPr>
                <w:color w:val="000000"/>
                <w:sz w:val="20"/>
                <w:szCs w:val="20"/>
                <w:lang w:eastAsia="en-CA"/>
              </w:rPr>
            </w:pPr>
            <w:r w:rsidRPr="00B4173B">
              <w:rPr>
                <w:color w:val="000000"/>
                <w:sz w:val="20"/>
                <w:szCs w:val="20"/>
                <w:lang w:eastAsia="fr"/>
              </w:rPr>
              <w:t xml:space="preserve">HCFC-141b </w:t>
            </w:r>
          </w:p>
        </w:tc>
        <w:tc>
          <w:tcPr>
            <w:tcW w:w="463" w:type="pct"/>
            <w:shd w:val="clear" w:color="auto" w:fill="auto"/>
            <w:hideMark/>
          </w:tcPr>
          <w:p w:rsidR="00B4173B" w:rsidRPr="00B4173B" w:rsidRDefault="00B4173B" w:rsidP="00B4173B">
            <w:pPr>
              <w:jc w:val="center"/>
              <w:rPr>
                <w:color w:val="000000"/>
                <w:sz w:val="20"/>
                <w:szCs w:val="20"/>
                <w:lang w:eastAsia="en-CA"/>
              </w:rPr>
            </w:pPr>
            <w:r w:rsidRPr="00B4173B">
              <w:rPr>
                <w:color w:val="000000"/>
                <w:sz w:val="20"/>
                <w:szCs w:val="20"/>
                <w:lang w:eastAsia="fr"/>
              </w:rPr>
              <w:t>C</w:t>
            </w:r>
          </w:p>
        </w:tc>
        <w:tc>
          <w:tcPr>
            <w:tcW w:w="463" w:type="pct"/>
            <w:shd w:val="clear" w:color="auto" w:fill="auto"/>
            <w:hideMark/>
          </w:tcPr>
          <w:p w:rsidR="00B4173B" w:rsidRPr="00B4173B" w:rsidRDefault="00B4173B" w:rsidP="00B4173B">
            <w:pPr>
              <w:jc w:val="center"/>
              <w:rPr>
                <w:color w:val="000000"/>
                <w:sz w:val="20"/>
                <w:szCs w:val="20"/>
                <w:lang w:eastAsia="en-CA"/>
              </w:rPr>
            </w:pPr>
            <w:r w:rsidRPr="00B4173B">
              <w:rPr>
                <w:color w:val="000000"/>
                <w:sz w:val="20"/>
                <w:szCs w:val="20"/>
                <w:lang w:eastAsia="fr"/>
              </w:rPr>
              <w:t>I</w:t>
            </w:r>
          </w:p>
        </w:tc>
        <w:tc>
          <w:tcPr>
            <w:tcW w:w="2546" w:type="pct"/>
            <w:shd w:val="clear" w:color="auto" w:fill="auto"/>
            <w:hideMark/>
          </w:tcPr>
          <w:p w:rsidR="00B4173B" w:rsidRPr="00B4173B" w:rsidRDefault="00B4173B" w:rsidP="00B4173B">
            <w:pPr>
              <w:jc w:val="right"/>
              <w:rPr>
                <w:color w:val="000000"/>
                <w:sz w:val="20"/>
                <w:szCs w:val="20"/>
                <w:lang w:eastAsia="en-CA"/>
              </w:rPr>
            </w:pPr>
            <w:r w:rsidRPr="00B4173B">
              <w:rPr>
                <w:color w:val="000000"/>
                <w:sz w:val="20"/>
                <w:szCs w:val="20"/>
                <w:lang w:eastAsia="fr"/>
              </w:rPr>
              <w:t>1,61</w:t>
            </w:r>
          </w:p>
        </w:tc>
      </w:tr>
      <w:tr w:rsidR="00B4173B" w:rsidRPr="00B4173B" w:rsidTr="006E6B8F">
        <w:trPr>
          <w:trHeight w:val="270"/>
        </w:trPr>
        <w:tc>
          <w:tcPr>
            <w:tcW w:w="1528" w:type="pct"/>
            <w:shd w:val="clear" w:color="auto" w:fill="auto"/>
            <w:hideMark/>
          </w:tcPr>
          <w:p w:rsidR="00B4173B" w:rsidRPr="00B4173B" w:rsidRDefault="00B4173B" w:rsidP="00B4173B">
            <w:pPr>
              <w:rPr>
                <w:color w:val="000000"/>
                <w:sz w:val="20"/>
                <w:szCs w:val="20"/>
                <w:lang w:eastAsia="en-CA"/>
              </w:rPr>
            </w:pPr>
            <w:r w:rsidRPr="00B4173B">
              <w:rPr>
                <w:color w:val="000000"/>
                <w:sz w:val="20"/>
                <w:szCs w:val="20"/>
                <w:lang w:eastAsia="fr"/>
              </w:rPr>
              <w:t xml:space="preserve">HCFC-142b </w:t>
            </w:r>
          </w:p>
        </w:tc>
        <w:tc>
          <w:tcPr>
            <w:tcW w:w="463" w:type="pct"/>
            <w:shd w:val="clear" w:color="auto" w:fill="auto"/>
            <w:hideMark/>
          </w:tcPr>
          <w:p w:rsidR="00B4173B" w:rsidRPr="00B4173B" w:rsidRDefault="00B4173B" w:rsidP="00B4173B">
            <w:pPr>
              <w:jc w:val="center"/>
              <w:rPr>
                <w:color w:val="000000"/>
                <w:sz w:val="20"/>
                <w:szCs w:val="20"/>
                <w:lang w:eastAsia="en-CA"/>
              </w:rPr>
            </w:pPr>
            <w:r w:rsidRPr="00B4173B">
              <w:rPr>
                <w:color w:val="000000"/>
                <w:sz w:val="20"/>
                <w:szCs w:val="20"/>
                <w:lang w:eastAsia="fr"/>
              </w:rPr>
              <w:t>C</w:t>
            </w:r>
          </w:p>
        </w:tc>
        <w:tc>
          <w:tcPr>
            <w:tcW w:w="463" w:type="pct"/>
            <w:shd w:val="clear" w:color="auto" w:fill="auto"/>
            <w:hideMark/>
          </w:tcPr>
          <w:p w:rsidR="00B4173B" w:rsidRPr="00B4173B" w:rsidRDefault="00B4173B" w:rsidP="00B4173B">
            <w:pPr>
              <w:jc w:val="center"/>
              <w:rPr>
                <w:color w:val="000000"/>
                <w:sz w:val="20"/>
                <w:szCs w:val="20"/>
                <w:lang w:eastAsia="en-CA"/>
              </w:rPr>
            </w:pPr>
            <w:r w:rsidRPr="00B4173B">
              <w:rPr>
                <w:color w:val="000000"/>
                <w:sz w:val="20"/>
                <w:szCs w:val="20"/>
                <w:lang w:eastAsia="fr"/>
              </w:rPr>
              <w:t>I</w:t>
            </w:r>
          </w:p>
        </w:tc>
        <w:tc>
          <w:tcPr>
            <w:tcW w:w="2546" w:type="pct"/>
            <w:shd w:val="clear" w:color="auto" w:fill="auto"/>
            <w:hideMark/>
          </w:tcPr>
          <w:p w:rsidR="00B4173B" w:rsidRPr="00B4173B" w:rsidRDefault="00B4173B" w:rsidP="00B4173B">
            <w:pPr>
              <w:jc w:val="right"/>
              <w:rPr>
                <w:color w:val="000000"/>
                <w:sz w:val="20"/>
                <w:szCs w:val="20"/>
                <w:lang w:eastAsia="en-CA"/>
              </w:rPr>
            </w:pPr>
            <w:r w:rsidRPr="00B4173B">
              <w:rPr>
                <w:color w:val="000000"/>
                <w:sz w:val="20"/>
                <w:szCs w:val="20"/>
                <w:lang w:eastAsia="fr"/>
              </w:rPr>
              <w:t>0,04</w:t>
            </w:r>
          </w:p>
        </w:tc>
      </w:tr>
      <w:tr w:rsidR="00B4173B" w:rsidRPr="00B4173B" w:rsidTr="006E6B8F">
        <w:trPr>
          <w:trHeight w:val="270"/>
        </w:trPr>
        <w:tc>
          <w:tcPr>
            <w:tcW w:w="1528" w:type="pct"/>
            <w:shd w:val="clear" w:color="auto" w:fill="auto"/>
            <w:hideMark/>
          </w:tcPr>
          <w:p w:rsidR="00B4173B" w:rsidRPr="00B4173B" w:rsidRDefault="00B4173B" w:rsidP="00B4173B">
            <w:pPr>
              <w:rPr>
                <w:color w:val="000000"/>
                <w:sz w:val="20"/>
                <w:szCs w:val="20"/>
                <w:lang w:eastAsia="en-CA"/>
              </w:rPr>
            </w:pPr>
            <w:r w:rsidRPr="00B4173B">
              <w:rPr>
                <w:color w:val="000000"/>
                <w:sz w:val="20"/>
                <w:szCs w:val="20"/>
                <w:lang w:eastAsia="fr"/>
              </w:rPr>
              <w:t>Sous-total</w:t>
            </w:r>
          </w:p>
        </w:tc>
        <w:tc>
          <w:tcPr>
            <w:tcW w:w="463" w:type="pct"/>
            <w:shd w:val="clear" w:color="auto" w:fill="auto"/>
            <w:hideMark/>
          </w:tcPr>
          <w:p w:rsidR="00B4173B" w:rsidRPr="00B4173B" w:rsidRDefault="00B4173B" w:rsidP="00B4173B">
            <w:pPr>
              <w:jc w:val="center"/>
              <w:rPr>
                <w:color w:val="000000"/>
                <w:sz w:val="20"/>
                <w:szCs w:val="20"/>
                <w:lang w:eastAsia="en-CA"/>
              </w:rPr>
            </w:pPr>
          </w:p>
        </w:tc>
        <w:tc>
          <w:tcPr>
            <w:tcW w:w="463" w:type="pct"/>
            <w:shd w:val="clear" w:color="auto" w:fill="auto"/>
            <w:hideMark/>
          </w:tcPr>
          <w:p w:rsidR="00B4173B" w:rsidRPr="00B4173B" w:rsidRDefault="00B4173B" w:rsidP="00B4173B">
            <w:pPr>
              <w:jc w:val="center"/>
              <w:rPr>
                <w:color w:val="000000"/>
                <w:sz w:val="20"/>
                <w:szCs w:val="20"/>
                <w:lang w:eastAsia="en-CA"/>
              </w:rPr>
            </w:pPr>
          </w:p>
        </w:tc>
        <w:tc>
          <w:tcPr>
            <w:tcW w:w="2546" w:type="pct"/>
            <w:shd w:val="clear" w:color="auto" w:fill="auto"/>
            <w:hideMark/>
          </w:tcPr>
          <w:p w:rsidR="00B4173B" w:rsidRPr="00B4173B" w:rsidRDefault="00B4173B" w:rsidP="00B4173B">
            <w:pPr>
              <w:jc w:val="right"/>
              <w:rPr>
                <w:color w:val="000000"/>
                <w:sz w:val="20"/>
                <w:szCs w:val="20"/>
                <w:lang w:eastAsia="en-CA"/>
              </w:rPr>
            </w:pPr>
            <w:r w:rsidRPr="00B4173B">
              <w:rPr>
                <w:color w:val="000000"/>
                <w:sz w:val="20"/>
                <w:szCs w:val="20"/>
                <w:lang w:eastAsia="fr"/>
              </w:rPr>
              <w:t>40,70</w:t>
            </w:r>
          </w:p>
        </w:tc>
      </w:tr>
      <w:tr w:rsidR="00B4173B" w:rsidRPr="00B4173B" w:rsidTr="006E6B8F">
        <w:trPr>
          <w:trHeight w:val="525"/>
        </w:trPr>
        <w:tc>
          <w:tcPr>
            <w:tcW w:w="1528" w:type="pct"/>
            <w:shd w:val="clear" w:color="auto" w:fill="auto"/>
            <w:hideMark/>
          </w:tcPr>
          <w:p w:rsidR="00B4173B" w:rsidRPr="00B4173B" w:rsidRDefault="00B4173B" w:rsidP="00B4173B">
            <w:pPr>
              <w:rPr>
                <w:color w:val="000000"/>
                <w:sz w:val="20"/>
                <w:szCs w:val="20"/>
                <w:lang w:val="fr-FR" w:eastAsia="en-CA"/>
              </w:rPr>
            </w:pPr>
            <w:r w:rsidRPr="00B4173B">
              <w:rPr>
                <w:color w:val="000000"/>
                <w:sz w:val="20"/>
                <w:szCs w:val="20"/>
                <w:lang w:val="fr-FR" w:eastAsia="fr"/>
              </w:rPr>
              <w:t xml:space="preserve">HCFC-141b contenu dans les polyols </w:t>
            </w:r>
            <w:r w:rsidRPr="00B4173B">
              <w:rPr>
                <w:color w:val="000000"/>
                <w:sz w:val="20"/>
                <w:szCs w:val="20"/>
                <w:lang w:val="fr-FR" w:eastAsia="fr"/>
              </w:rPr>
              <w:noBreakHyphen/>
            </w:r>
            <w:proofErr w:type="spellStart"/>
            <w:r w:rsidRPr="00B4173B">
              <w:rPr>
                <w:color w:val="000000"/>
                <w:sz w:val="20"/>
                <w:szCs w:val="20"/>
                <w:lang w:val="fr-FR" w:eastAsia="fr"/>
              </w:rPr>
              <w:t>prémélangés</w:t>
            </w:r>
            <w:proofErr w:type="spellEnd"/>
            <w:r w:rsidRPr="00B4173B">
              <w:rPr>
                <w:color w:val="000000"/>
                <w:sz w:val="20"/>
                <w:szCs w:val="20"/>
                <w:lang w:val="fr-FR" w:eastAsia="fr"/>
              </w:rPr>
              <w:t xml:space="preserve"> importés.</w:t>
            </w:r>
          </w:p>
        </w:tc>
        <w:tc>
          <w:tcPr>
            <w:tcW w:w="463" w:type="pct"/>
            <w:shd w:val="clear" w:color="auto" w:fill="auto"/>
            <w:hideMark/>
          </w:tcPr>
          <w:p w:rsidR="00B4173B" w:rsidRPr="00B4173B" w:rsidRDefault="00B4173B" w:rsidP="00B4173B">
            <w:pPr>
              <w:jc w:val="center"/>
              <w:rPr>
                <w:color w:val="000000"/>
                <w:sz w:val="20"/>
                <w:szCs w:val="20"/>
                <w:lang w:eastAsia="en-CA"/>
              </w:rPr>
            </w:pPr>
            <w:r w:rsidRPr="00B4173B">
              <w:rPr>
                <w:color w:val="000000"/>
                <w:sz w:val="20"/>
                <w:szCs w:val="20"/>
                <w:lang w:eastAsia="fr"/>
              </w:rPr>
              <w:t>C</w:t>
            </w:r>
          </w:p>
        </w:tc>
        <w:tc>
          <w:tcPr>
            <w:tcW w:w="463" w:type="pct"/>
            <w:shd w:val="clear" w:color="auto" w:fill="auto"/>
            <w:hideMark/>
          </w:tcPr>
          <w:p w:rsidR="00B4173B" w:rsidRPr="00B4173B" w:rsidRDefault="00B4173B" w:rsidP="00B4173B">
            <w:pPr>
              <w:jc w:val="center"/>
              <w:rPr>
                <w:color w:val="000000"/>
                <w:sz w:val="20"/>
                <w:szCs w:val="20"/>
                <w:lang w:eastAsia="en-CA"/>
              </w:rPr>
            </w:pPr>
            <w:r w:rsidRPr="00B4173B">
              <w:rPr>
                <w:color w:val="000000"/>
                <w:sz w:val="20"/>
                <w:szCs w:val="20"/>
                <w:lang w:eastAsia="fr"/>
              </w:rPr>
              <w:t>I</w:t>
            </w:r>
          </w:p>
        </w:tc>
        <w:tc>
          <w:tcPr>
            <w:tcW w:w="2546" w:type="pct"/>
            <w:shd w:val="clear" w:color="auto" w:fill="auto"/>
            <w:hideMark/>
          </w:tcPr>
          <w:p w:rsidR="00B4173B" w:rsidRPr="00B4173B" w:rsidRDefault="00B4173B" w:rsidP="00B4173B">
            <w:pPr>
              <w:jc w:val="right"/>
              <w:rPr>
                <w:color w:val="000000"/>
                <w:sz w:val="20"/>
                <w:szCs w:val="20"/>
                <w:lang w:eastAsia="en-CA"/>
              </w:rPr>
            </w:pPr>
            <w:r w:rsidRPr="00B4173B">
              <w:rPr>
                <w:color w:val="000000"/>
                <w:sz w:val="20"/>
                <w:szCs w:val="20"/>
                <w:lang w:eastAsia="fr"/>
              </w:rPr>
              <w:t>5,02</w:t>
            </w:r>
          </w:p>
        </w:tc>
      </w:tr>
      <w:tr w:rsidR="00B4173B" w:rsidRPr="00B4173B" w:rsidTr="006E6B8F">
        <w:trPr>
          <w:trHeight w:val="270"/>
        </w:trPr>
        <w:tc>
          <w:tcPr>
            <w:tcW w:w="1528" w:type="pct"/>
            <w:shd w:val="clear" w:color="auto" w:fill="auto"/>
            <w:hideMark/>
          </w:tcPr>
          <w:p w:rsidR="00B4173B" w:rsidRPr="00B4173B" w:rsidRDefault="00B4173B" w:rsidP="00B4173B">
            <w:pPr>
              <w:rPr>
                <w:color w:val="000000"/>
                <w:sz w:val="20"/>
                <w:szCs w:val="20"/>
                <w:lang w:eastAsia="en-CA"/>
              </w:rPr>
            </w:pPr>
            <w:r w:rsidRPr="00B4173B">
              <w:rPr>
                <w:color w:val="000000"/>
                <w:sz w:val="20"/>
                <w:szCs w:val="20"/>
                <w:lang w:eastAsia="fr"/>
              </w:rPr>
              <w:t>Total</w:t>
            </w:r>
          </w:p>
        </w:tc>
        <w:tc>
          <w:tcPr>
            <w:tcW w:w="463" w:type="pct"/>
            <w:shd w:val="clear" w:color="auto" w:fill="auto"/>
            <w:hideMark/>
          </w:tcPr>
          <w:p w:rsidR="00B4173B" w:rsidRPr="00B4173B" w:rsidRDefault="00B4173B" w:rsidP="00B4173B">
            <w:pPr>
              <w:jc w:val="center"/>
              <w:rPr>
                <w:color w:val="000000"/>
                <w:sz w:val="20"/>
                <w:szCs w:val="20"/>
                <w:lang w:eastAsia="en-CA"/>
              </w:rPr>
            </w:pPr>
          </w:p>
        </w:tc>
        <w:tc>
          <w:tcPr>
            <w:tcW w:w="463" w:type="pct"/>
            <w:shd w:val="clear" w:color="auto" w:fill="auto"/>
            <w:hideMark/>
          </w:tcPr>
          <w:p w:rsidR="00B4173B" w:rsidRPr="00B4173B" w:rsidRDefault="00B4173B" w:rsidP="00B4173B">
            <w:pPr>
              <w:jc w:val="center"/>
              <w:rPr>
                <w:color w:val="000000"/>
                <w:sz w:val="20"/>
                <w:szCs w:val="20"/>
                <w:lang w:eastAsia="en-CA"/>
              </w:rPr>
            </w:pPr>
          </w:p>
        </w:tc>
        <w:tc>
          <w:tcPr>
            <w:tcW w:w="2546" w:type="pct"/>
            <w:shd w:val="clear" w:color="auto" w:fill="auto"/>
            <w:hideMark/>
          </w:tcPr>
          <w:p w:rsidR="00B4173B" w:rsidRPr="00B4173B" w:rsidRDefault="00B4173B" w:rsidP="00B4173B">
            <w:pPr>
              <w:jc w:val="right"/>
              <w:rPr>
                <w:color w:val="000000"/>
                <w:sz w:val="20"/>
                <w:szCs w:val="20"/>
                <w:lang w:eastAsia="en-CA"/>
              </w:rPr>
            </w:pPr>
            <w:r w:rsidRPr="00B4173B">
              <w:rPr>
                <w:color w:val="000000"/>
                <w:sz w:val="20"/>
                <w:szCs w:val="20"/>
                <w:lang w:eastAsia="fr"/>
              </w:rPr>
              <w:t>45,68</w:t>
            </w:r>
          </w:p>
        </w:tc>
      </w:tr>
    </w:tbl>
    <w:p w:rsidR="0025325D" w:rsidRDefault="0025325D" w:rsidP="00B4173B">
      <w:pPr>
        <w:keepNext/>
        <w:outlineLvl w:val="0"/>
        <w:rPr>
          <w:b/>
          <w:sz w:val="20"/>
          <w:szCs w:val="20"/>
          <w:lang w:val="fr"/>
        </w:rPr>
      </w:pPr>
    </w:p>
    <w:p w:rsidR="00B4173B" w:rsidRPr="00B4173B" w:rsidRDefault="00B4173B" w:rsidP="00B4173B">
      <w:pPr>
        <w:keepNext/>
        <w:outlineLvl w:val="0"/>
        <w:rPr>
          <w:b/>
          <w:sz w:val="20"/>
          <w:szCs w:val="20"/>
          <w:lang w:val="fr-FR"/>
        </w:rPr>
      </w:pPr>
      <w:r w:rsidRPr="00B4173B">
        <w:rPr>
          <w:b/>
          <w:sz w:val="20"/>
          <w:szCs w:val="20"/>
          <w:lang w:val="fr"/>
        </w:rPr>
        <w:t>APPENDICE 2-A : LES OBJECTIFS ET LE FINANCEMENT</w:t>
      </w:r>
    </w:p>
    <w:tbl>
      <w:tblPr>
        <w:tblW w:w="10514" w:type="dxa"/>
        <w:jc w:val="center"/>
        <w:tblLayout w:type="fixed"/>
        <w:tblLook w:val="04A0" w:firstRow="1" w:lastRow="0" w:firstColumn="1" w:lastColumn="0" w:noHBand="0" w:noVBand="1"/>
      </w:tblPr>
      <w:tblGrid>
        <w:gridCol w:w="846"/>
        <w:gridCol w:w="2671"/>
        <w:gridCol w:w="1016"/>
        <w:gridCol w:w="854"/>
        <w:gridCol w:w="851"/>
        <w:gridCol w:w="992"/>
        <w:gridCol w:w="682"/>
        <w:gridCol w:w="666"/>
        <w:gridCol w:w="920"/>
        <w:gridCol w:w="1016"/>
      </w:tblGrid>
      <w:tr w:rsidR="00B4173B" w:rsidRPr="00B4173B" w:rsidTr="0025325D">
        <w:trPr>
          <w:cantSplit/>
          <w:trHeight w:val="98"/>
          <w:tblHeader/>
          <w:jc w:val="center"/>
        </w:trPr>
        <w:tc>
          <w:tcPr>
            <w:tcW w:w="846" w:type="dxa"/>
            <w:tcBorders>
              <w:top w:val="single" w:sz="4" w:space="0" w:color="auto"/>
              <w:left w:val="single" w:sz="4" w:space="0" w:color="auto"/>
              <w:bottom w:val="single" w:sz="4" w:space="0" w:color="auto"/>
              <w:right w:val="single" w:sz="4" w:space="0" w:color="auto"/>
            </w:tcBorders>
            <w:shd w:val="clear" w:color="auto" w:fill="auto"/>
            <w:hideMark/>
          </w:tcPr>
          <w:p w:rsidR="00B4173B" w:rsidRPr="00B4173B" w:rsidRDefault="00B4173B" w:rsidP="00B4173B">
            <w:pPr>
              <w:keepNext/>
              <w:rPr>
                <w:b/>
                <w:bCs/>
                <w:color w:val="000000"/>
                <w:sz w:val="18"/>
                <w:szCs w:val="18"/>
                <w:lang w:eastAsia="en-CA"/>
              </w:rPr>
            </w:pPr>
            <w:proofErr w:type="spellStart"/>
            <w:r w:rsidRPr="00B4173B">
              <w:rPr>
                <w:b/>
                <w:bCs/>
                <w:color w:val="000000"/>
                <w:sz w:val="18"/>
                <w:szCs w:val="18"/>
                <w:lang w:eastAsia="fr"/>
              </w:rPr>
              <w:t>Rangée</w:t>
            </w:r>
            <w:proofErr w:type="spellEnd"/>
          </w:p>
        </w:tc>
        <w:tc>
          <w:tcPr>
            <w:tcW w:w="2671" w:type="dxa"/>
            <w:tcBorders>
              <w:top w:val="single" w:sz="4" w:space="0" w:color="auto"/>
              <w:left w:val="nil"/>
              <w:bottom w:val="single" w:sz="4" w:space="0" w:color="auto"/>
              <w:right w:val="single" w:sz="4" w:space="0" w:color="auto"/>
            </w:tcBorders>
            <w:shd w:val="clear" w:color="auto" w:fill="auto"/>
            <w:hideMark/>
          </w:tcPr>
          <w:p w:rsidR="00B4173B" w:rsidRPr="00B4173B" w:rsidRDefault="00B4173B" w:rsidP="00B4173B">
            <w:pPr>
              <w:keepNext/>
              <w:rPr>
                <w:b/>
                <w:bCs/>
                <w:color w:val="000000"/>
                <w:sz w:val="18"/>
                <w:szCs w:val="18"/>
                <w:lang w:eastAsia="en-CA"/>
              </w:rPr>
            </w:pPr>
            <w:proofErr w:type="spellStart"/>
            <w:r w:rsidRPr="00B4173B">
              <w:rPr>
                <w:b/>
                <w:bCs/>
                <w:color w:val="000000"/>
                <w:sz w:val="18"/>
                <w:szCs w:val="18"/>
                <w:lang w:eastAsia="fr"/>
              </w:rPr>
              <w:t>Détails</w:t>
            </w:r>
            <w:proofErr w:type="spellEnd"/>
          </w:p>
        </w:tc>
        <w:tc>
          <w:tcPr>
            <w:tcW w:w="1016" w:type="dxa"/>
            <w:tcBorders>
              <w:top w:val="single" w:sz="4" w:space="0" w:color="auto"/>
              <w:left w:val="nil"/>
              <w:bottom w:val="single" w:sz="4" w:space="0" w:color="auto"/>
              <w:right w:val="single" w:sz="4" w:space="0" w:color="auto"/>
            </w:tcBorders>
          </w:tcPr>
          <w:p w:rsidR="00B4173B" w:rsidRPr="00B4173B" w:rsidRDefault="00B4173B" w:rsidP="00B4173B">
            <w:pPr>
              <w:keepNext/>
              <w:jc w:val="center"/>
              <w:rPr>
                <w:b/>
                <w:bCs/>
                <w:color w:val="000000"/>
                <w:sz w:val="18"/>
                <w:szCs w:val="18"/>
                <w:lang w:eastAsia="en-CA"/>
              </w:rPr>
            </w:pPr>
            <w:r w:rsidRPr="00B4173B">
              <w:rPr>
                <w:b/>
                <w:bCs/>
                <w:color w:val="000000"/>
                <w:sz w:val="18"/>
                <w:szCs w:val="18"/>
                <w:lang w:eastAsia="fr"/>
              </w:rPr>
              <w:t>2019</w:t>
            </w:r>
          </w:p>
        </w:tc>
        <w:tc>
          <w:tcPr>
            <w:tcW w:w="854" w:type="dxa"/>
            <w:tcBorders>
              <w:top w:val="single" w:sz="4" w:space="0" w:color="auto"/>
              <w:left w:val="single" w:sz="4" w:space="0" w:color="auto"/>
              <w:bottom w:val="single" w:sz="4" w:space="0" w:color="auto"/>
              <w:right w:val="single" w:sz="4" w:space="0" w:color="auto"/>
            </w:tcBorders>
            <w:shd w:val="clear" w:color="auto" w:fill="auto"/>
            <w:hideMark/>
          </w:tcPr>
          <w:p w:rsidR="00B4173B" w:rsidRPr="00B4173B" w:rsidRDefault="00B4173B" w:rsidP="00B4173B">
            <w:pPr>
              <w:keepNext/>
              <w:jc w:val="center"/>
              <w:rPr>
                <w:b/>
                <w:bCs/>
                <w:color w:val="000000"/>
                <w:sz w:val="18"/>
                <w:szCs w:val="18"/>
                <w:lang w:eastAsia="en-CA"/>
              </w:rPr>
            </w:pPr>
            <w:r w:rsidRPr="00B4173B">
              <w:rPr>
                <w:b/>
                <w:bCs/>
                <w:color w:val="000000"/>
                <w:sz w:val="18"/>
                <w:szCs w:val="18"/>
                <w:lang w:eastAsia="fr"/>
              </w:rPr>
              <w:t>2020</w:t>
            </w:r>
          </w:p>
        </w:tc>
        <w:tc>
          <w:tcPr>
            <w:tcW w:w="851" w:type="dxa"/>
            <w:tcBorders>
              <w:top w:val="single" w:sz="4" w:space="0" w:color="auto"/>
              <w:left w:val="nil"/>
              <w:bottom w:val="single" w:sz="4" w:space="0" w:color="auto"/>
              <w:right w:val="single" w:sz="4" w:space="0" w:color="auto"/>
            </w:tcBorders>
            <w:shd w:val="clear" w:color="auto" w:fill="auto"/>
            <w:hideMark/>
          </w:tcPr>
          <w:p w:rsidR="00B4173B" w:rsidRPr="00B4173B" w:rsidRDefault="00B4173B" w:rsidP="00B4173B">
            <w:pPr>
              <w:keepNext/>
              <w:jc w:val="center"/>
              <w:rPr>
                <w:b/>
                <w:bCs/>
                <w:color w:val="000000"/>
                <w:sz w:val="18"/>
                <w:szCs w:val="18"/>
                <w:lang w:eastAsia="en-CA"/>
              </w:rPr>
            </w:pPr>
            <w:r w:rsidRPr="00B4173B">
              <w:rPr>
                <w:b/>
                <w:bCs/>
                <w:color w:val="000000"/>
                <w:sz w:val="18"/>
                <w:szCs w:val="18"/>
                <w:lang w:eastAsia="fr"/>
              </w:rPr>
              <w:t>2021</w:t>
            </w:r>
          </w:p>
        </w:tc>
        <w:tc>
          <w:tcPr>
            <w:tcW w:w="992" w:type="dxa"/>
            <w:tcBorders>
              <w:top w:val="single" w:sz="4" w:space="0" w:color="auto"/>
              <w:left w:val="nil"/>
              <w:bottom w:val="single" w:sz="4" w:space="0" w:color="auto"/>
              <w:right w:val="single" w:sz="4" w:space="0" w:color="auto"/>
            </w:tcBorders>
            <w:shd w:val="clear" w:color="auto" w:fill="auto"/>
            <w:hideMark/>
          </w:tcPr>
          <w:p w:rsidR="00B4173B" w:rsidRPr="00B4173B" w:rsidRDefault="00B4173B" w:rsidP="00B4173B">
            <w:pPr>
              <w:keepNext/>
              <w:jc w:val="center"/>
              <w:rPr>
                <w:b/>
                <w:bCs/>
                <w:color w:val="000000"/>
                <w:sz w:val="18"/>
                <w:szCs w:val="18"/>
                <w:lang w:eastAsia="en-CA"/>
              </w:rPr>
            </w:pPr>
            <w:r w:rsidRPr="00B4173B">
              <w:rPr>
                <w:b/>
                <w:bCs/>
                <w:color w:val="000000"/>
                <w:sz w:val="18"/>
                <w:szCs w:val="18"/>
                <w:lang w:eastAsia="fr"/>
              </w:rPr>
              <w:t>2022</w:t>
            </w:r>
          </w:p>
        </w:tc>
        <w:tc>
          <w:tcPr>
            <w:tcW w:w="682" w:type="dxa"/>
            <w:tcBorders>
              <w:top w:val="single" w:sz="4" w:space="0" w:color="auto"/>
              <w:left w:val="nil"/>
              <w:bottom w:val="single" w:sz="4" w:space="0" w:color="auto"/>
              <w:right w:val="single" w:sz="4" w:space="0" w:color="auto"/>
            </w:tcBorders>
            <w:shd w:val="clear" w:color="auto" w:fill="auto"/>
            <w:hideMark/>
          </w:tcPr>
          <w:p w:rsidR="00B4173B" w:rsidRPr="00B4173B" w:rsidRDefault="00B4173B" w:rsidP="00B4173B">
            <w:pPr>
              <w:keepNext/>
              <w:jc w:val="center"/>
              <w:rPr>
                <w:b/>
                <w:bCs/>
                <w:color w:val="000000"/>
                <w:sz w:val="18"/>
                <w:szCs w:val="18"/>
                <w:lang w:eastAsia="en-CA"/>
              </w:rPr>
            </w:pPr>
            <w:r w:rsidRPr="00B4173B">
              <w:rPr>
                <w:b/>
                <w:bCs/>
                <w:color w:val="000000"/>
                <w:sz w:val="18"/>
                <w:szCs w:val="18"/>
                <w:lang w:eastAsia="fr"/>
              </w:rPr>
              <w:t>2023</w:t>
            </w:r>
          </w:p>
        </w:tc>
        <w:tc>
          <w:tcPr>
            <w:tcW w:w="666" w:type="dxa"/>
            <w:tcBorders>
              <w:top w:val="single" w:sz="4" w:space="0" w:color="auto"/>
              <w:left w:val="nil"/>
              <w:bottom w:val="single" w:sz="4" w:space="0" w:color="auto"/>
              <w:right w:val="single" w:sz="4" w:space="0" w:color="auto"/>
            </w:tcBorders>
            <w:shd w:val="clear" w:color="auto" w:fill="auto"/>
            <w:hideMark/>
          </w:tcPr>
          <w:p w:rsidR="00B4173B" w:rsidRPr="00B4173B" w:rsidRDefault="00B4173B" w:rsidP="00B4173B">
            <w:pPr>
              <w:keepNext/>
              <w:jc w:val="center"/>
              <w:rPr>
                <w:b/>
                <w:bCs/>
                <w:color w:val="000000"/>
                <w:sz w:val="18"/>
                <w:szCs w:val="18"/>
                <w:lang w:eastAsia="en-CA"/>
              </w:rPr>
            </w:pPr>
            <w:r w:rsidRPr="00B4173B">
              <w:rPr>
                <w:b/>
                <w:bCs/>
                <w:color w:val="000000"/>
                <w:sz w:val="18"/>
                <w:szCs w:val="18"/>
                <w:lang w:eastAsia="fr"/>
              </w:rPr>
              <w:t>2024</w:t>
            </w:r>
          </w:p>
        </w:tc>
        <w:tc>
          <w:tcPr>
            <w:tcW w:w="920" w:type="dxa"/>
            <w:tcBorders>
              <w:top w:val="single" w:sz="4" w:space="0" w:color="auto"/>
              <w:left w:val="nil"/>
              <w:bottom w:val="single" w:sz="4" w:space="0" w:color="auto"/>
              <w:right w:val="single" w:sz="4" w:space="0" w:color="auto"/>
            </w:tcBorders>
            <w:shd w:val="clear" w:color="auto" w:fill="auto"/>
          </w:tcPr>
          <w:p w:rsidR="00B4173B" w:rsidRPr="00B4173B" w:rsidRDefault="00B4173B" w:rsidP="00B4173B">
            <w:pPr>
              <w:keepNext/>
              <w:jc w:val="center"/>
              <w:rPr>
                <w:b/>
                <w:bCs/>
                <w:color w:val="000000"/>
                <w:sz w:val="18"/>
                <w:szCs w:val="18"/>
                <w:lang w:eastAsia="en-CA"/>
              </w:rPr>
            </w:pPr>
            <w:r w:rsidRPr="00B4173B">
              <w:rPr>
                <w:b/>
                <w:bCs/>
                <w:color w:val="000000"/>
                <w:sz w:val="18"/>
                <w:szCs w:val="18"/>
                <w:lang w:eastAsia="fr"/>
              </w:rPr>
              <w:t>2025</w:t>
            </w:r>
          </w:p>
        </w:tc>
        <w:tc>
          <w:tcPr>
            <w:tcW w:w="1016" w:type="dxa"/>
            <w:tcBorders>
              <w:top w:val="single" w:sz="4" w:space="0" w:color="auto"/>
              <w:left w:val="single" w:sz="4" w:space="0" w:color="auto"/>
              <w:bottom w:val="single" w:sz="4" w:space="0" w:color="auto"/>
              <w:right w:val="single" w:sz="4" w:space="0" w:color="auto"/>
            </w:tcBorders>
            <w:shd w:val="clear" w:color="auto" w:fill="auto"/>
            <w:hideMark/>
          </w:tcPr>
          <w:p w:rsidR="00B4173B" w:rsidRPr="00B4173B" w:rsidRDefault="00B4173B" w:rsidP="00B4173B">
            <w:pPr>
              <w:keepNext/>
              <w:jc w:val="center"/>
              <w:rPr>
                <w:b/>
                <w:bCs/>
                <w:color w:val="000000"/>
                <w:sz w:val="18"/>
                <w:szCs w:val="18"/>
                <w:lang w:eastAsia="en-CA"/>
              </w:rPr>
            </w:pPr>
            <w:r w:rsidRPr="00B4173B">
              <w:rPr>
                <w:b/>
                <w:bCs/>
                <w:color w:val="000000"/>
                <w:sz w:val="18"/>
                <w:szCs w:val="18"/>
                <w:lang w:eastAsia="fr"/>
              </w:rPr>
              <w:t>Total</w:t>
            </w:r>
          </w:p>
        </w:tc>
      </w:tr>
      <w:tr w:rsidR="00B4173B" w:rsidRPr="00B4173B" w:rsidTr="0025325D">
        <w:trPr>
          <w:trHeight w:val="408"/>
          <w:jc w:val="center"/>
        </w:trPr>
        <w:tc>
          <w:tcPr>
            <w:tcW w:w="846" w:type="dxa"/>
            <w:tcBorders>
              <w:top w:val="nil"/>
              <w:left w:val="single" w:sz="4" w:space="0" w:color="auto"/>
              <w:bottom w:val="single" w:sz="4" w:space="0" w:color="auto"/>
              <w:right w:val="single" w:sz="4" w:space="0" w:color="auto"/>
            </w:tcBorders>
            <w:shd w:val="clear" w:color="auto" w:fill="auto"/>
            <w:hideMark/>
          </w:tcPr>
          <w:p w:rsidR="00B4173B" w:rsidRPr="00B4173B" w:rsidRDefault="00B4173B" w:rsidP="00B4173B">
            <w:pPr>
              <w:keepNext/>
              <w:rPr>
                <w:color w:val="000000"/>
                <w:sz w:val="20"/>
                <w:szCs w:val="20"/>
                <w:lang w:eastAsia="en-CA"/>
              </w:rPr>
            </w:pPr>
            <w:r w:rsidRPr="00B4173B">
              <w:rPr>
                <w:color w:val="000000"/>
                <w:sz w:val="20"/>
                <w:szCs w:val="20"/>
                <w:lang w:eastAsia="fr"/>
              </w:rPr>
              <w:t>1.1</w:t>
            </w:r>
          </w:p>
        </w:tc>
        <w:tc>
          <w:tcPr>
            <w:tcW w:w="2671" w:type="dxa"/>
            <w:tcBorders>
              <w:top w:val="nil"/>
              <w:left w:val="nil"/>
              <w:bottom w:val="single" w:sz="4" w:space="0" w:color="auto"/>
              <w:right w:val="single" w:sz="4" w:space="0" w:color="auto"/>
            </w:tcBorders>
            <w:shd w:val="clear" w:color="auto" w:fill="auto"/>
            <w:hideMark/>
          </w:tcPr>
          <w:p w:rsidR="00B4173B" w:rsidRPr="00B4173B" w:rsidRDefault="00B4173B" w:rsidP="00B4173B">
            <w:pPr>
              <w:keepNext/>
              <w:rPr>
                <w:color w:val="000000"/>
                <w:sz w:val="20"/>
                <w:szCs w:val="20"/>
                <w:lang w:val="fr-FR" w:eastAsia="en-CA"/>
              </w:rPr>
            </w:pPr>
            <w:r w:rsidRPr="00B4173B">
              <w:rPr>
                <w:color w:val="000000"/>
                <w:sz w:val="20"/>
                <w:szCs w:val="20"/>
                <w:lang w:val="fr" w:eastAsia="fr"/>
              </w:rPr>
              <w:t>Calendrier de réduction des substances du groupe I de l’annexe C du Protocole de Montréal (tonnes PAO)</w:t>
            </w:r>
          </w:p>
        </w:tc>
        <w:tc>
          <w:tcPr>
            <w:tcW w:w="1016" w:type="dxa"/>
            <w:tcBorders>
              <w:top w:val="nil"/>
              <w:left w:val="nil"/>
              <w:bottom w:val="single" w:sz="4" w:space="0" w:color="auto"/>
              <w:right w:val="single" w:sz="4" w:space="0" w:color="auto"/>
            </w:tcBorders>
          </w:tcPr>
          <w:p w:rsidR="00B4173B" w:rsidRPr="00B4173B" w:rsidRDefault="00B4173B" w:rsidP="00B4173B">
            <w:pPr>
              <w:keepNext/>
              <w:jc w:val="right"/>
              <w:rPr>
                <w:color w:val="000000"/>
                <w:sz w:val="20"/>
                <w:szCs w:val="20"/>
                <w:lang w:val="en-US" w:eastAsia="en-CA"/>
              </w:rPr>
            </w:pPr>
            <w:r w:rsidRPr="00B4173B">
              <w:rPr>
                <w:color w:val="000000"/>
                <w:sz w:val="20"/>
                <w:szCs w:val="20"/>
                <w:lang w:val="fr" w:eastAsia="fr"/>
              </w:rPr>
              <w:t>36,63</w:t>
            </w:r>
          </w:p>
        </w:tc>
        <w:tc>
          <w:tcPr>
            <w:tcW w:w="854" w:type="dxa"/>
            <w:tcBorders>
              <w:top w:val="single" w:sz="4" w:space="0" w:color="auto"/>
              <w:left w:val="single" w:sz="4" w:space="0" w:color="auto"/>
              <w:bottom w:val="single" w:sz="4" w:space="0" w:color="auto"/>
              <w:right w:val="single" w:sz="4" w:space="0" w:color="auto"/>
            </w:tcBorders>
            <w:shd w:val="clear" w:color="auto" w:fill="auto"/>
          </w:tcPr>
          <w:p w:rsidR="00B4173B" w:rsidRPr="00B4173B" w:rsidRDefault="00B4173B" w:rsidP="00B4173B">
            <w:pPr>
              <w:keepNext/>
              <w:jc w:val="right"/>
              <w:rPr>
                <w:color w:val="000000"/>
                <w:sz w:val="20"/>
                <w:szCs w:val="20"/>
                <w:lang w:val="en-US" w:eastAsia="en-CA"/>
              </w:rPr>
            </w:pPr>
            <w:r w:rsidRPr="00B4173B">
              <w:rPr>
                <w:color w:val="000000"/>
                <w:sz w:val="20"/>
                <w:szCs w:val="20"/>
                <w:lang w:val="fr" w:eastAsia="fr"/>
              </w:rPr>
              <w:t>26,46</w:t>
            </w:r>
          </w:p>
        </w:tc>
        <w:tc>
          <w:tcPr>
            <w:tcW w:w="851" w:type="dxa"/>
            <w:tcBorders>
              <w:top w:val="nil"/>
              <w:left w:val="nil"/>
              <w:bottom w:val="single" w:sz="4" w:space="0" w:color="auto"/>
              <w:right w:val="single" w:sz="4" w:space="0" w:color="auto"/>
            </w:tcBorders>
            <w:shd w:val="clear" w:color="auto" w:fill="auto"/>
          </w:tcPr>
          <w:p w:rsidR="00B4173B" w:rsidRPr="00B4173B" w:rsidRDefault="00B4173B" w:rsidP="00B4173B">
            <w:pPr>
              <w:keepNext/>
              <w:jc w:val="right"/>
              <w:rPr>
                <w:color w:val="000000"/>
                <w:sz w:val="20"/>
                <w:szCs w:val="20"/>
                <w:lang w:val="en-US" w:eastAsia="en-CA"/>
              </w:rPr>
            </w:pPr>
            <w:r w:rsidRPr="00B4173B">
              <w:rPr>
                <w:color w:val="000000"/>
                <w:sz w:val="20"/>
                <w:szCs w:val="20"/>
                <w:lang w:val="fr" w:eastAsia="fr"/>
              </w:rPr>
              <w:t>26,46</w:t>
            </w:r>
          </w:p>
        </w:tc>
        <w:tc>
          <w:tcPr>
            <w:tcW w:w="992" w:type="dxa"/>
            <w:tcBorders>
              <w:top w:val="nil"/>
              <w:left w:val="nil"/>
              <w:bottom w:val="single" w:sz="4" w:space="0" w:color="auto"/>
              <w:right w:val="single" w:sz="4" w:space="0" w:color="auto"/>
            </w:tcBorders>
            <w:shd w:val="clear" w:color="auto" w:fill="auto"/>
          </w:tcPr>
          <w:p w:rsidR="00B4173B" w:rsidRPr="00B4173B" w:rsidRDefault="00B4173B" w:rsidP="00B4173B">
            <w:pPr>
              <w:keepNext/>
              <w:jc w:val="right"/>
              <w:rPr>
                <w:color w:val="000000"/>
                <w:sz w:val="20"/>
                <w:szCs w:val="20"/>
                <w:lang w:val="en-US" w:eastAsia="en-CA"/>
              </w:rPr>
            </w:pPr>
            <w:r w:rsidRPr="00B4173B">
              <w:rPr>
                <w:color w:val="000000"/>
                <w:sz w:val="20"/>
                <w:szCs w:val="20"/>
                <w:lang w:val="fr" w:eastAsia="fr"/>
              </w:rPr>
              <w:t>26,46</w:t>
            </w:r>
          </w:p>
        </w:tc>
        <w:tc>
          <w:tcPr>
            <w:tcW w:w="682" w:type="dxa"/>
            <w:tcBorders>
              <w:top w:val="nil"/>
              <w:left w:val="nil"/>
              <w:bottom w:val="single" w:sz="4" w:space="0" w:color="auto"/>
              <w:right w:val="single" w:sz="4" w:space="0" w:color="auto"/>
            </w:tcBorders>
            <w:shd w:val="clear" w:color="auto" w:fill="auto"/>
          </w:tcPr>
          <w:p w:rsidR="00B4173B" w:rsidRPr="00B4173B" w:rsidRDefault="00B4173B" w:rsidP="00B4173B">
            <w:pPr>
              <w:keepNext/>
              <w:jc w:val="right"/>
              <w:rPr>
                <w:color w:val="000000"/>
                <w:sz w:val="20"/>
                <w:szCs w:val="20"/>
                <w:lang w:val="en-US" w:eastAsia="en-CA"/>
              </w:rPr>
            </w:pPr>
            <w:r w:rsidRPr="00B4173B">
              <w:rPr>
                <w:color w:val="000000"/>
                <w:sz w:val="20"/>
                <w:szCs w:val="20"/>
                <w:lang w:val="fr" w:eastAsia="fr"/>
              </w:rPr>
              <w:t>26,46</w:t>
            </w:r>
          </w:p>
        </w:tc>
        <w:tc>
          <w:tcPr>
            <w:tcW w:w="666" w:type="dxa"/>
            <w:tcBorders>
              <w:top w:val="nil"/>
              <w:left w:val="nil"/>
              <w:bottom w:val="single" w:sz="4" w:space="0" w:color="auto"/>
              <w:right w:val="single" w:sz="4" w:space="0" w:color="auto"/>
            </w:tcBorders>
            <w:shd w:val="clear" w:color="auto" w:fill="auto"/>
          </w:tcPr>
          <w:p w:rsidR="00B4173B" w:rsidRPr="00B4173B" w:rsidRDefault="00B4173B" w:rsidP="00B4173B">
            <w:pPr>
              <w:keepNext/>
              <w:jc w:val="right"/>
              <w:rPr>
                <w:color w:val="000000"/>
                <w:sz w:val="20"/>
                <w:szCs w:val="20"/>
                <w:lang w:val="en-US" w:eastAsia="en-CA"/>
              </w:rPr>
            </w:pPr>
            <w:r w:rsidRPr="00B4173B">
              <w:rPr>
                <w:color w:val="000000"/>
                <w:sz w:val="20"/>
                <w:szCs w:val="20"/>
                <w:lang w:val="fr" w:eastAsia="fr"/>
              </w:rPr>
              <w:t>26,46</w:t>
            </w:r>
          </w:p>
        </w:tc>
        <w:tc>
          <w:tcPr>
            <w:tcW w:w="920" w:type="dxa"/>
            <w:tcBorders>
              <w:top w:val="single" w:sz="4" w:space="0" w:color="auto"/>
              <w:left w:val="nil"/>
              <w:bottom w:val="single" w:sz="4" w:space="0" w:color="auto"/>
              <w:right w:val="single" w:sz="4" w:space="0" w:color="auto"/>
            </w:tcBorders>
            <w:shd w:val="clear" w:color="auto" w:fill="auto"/>
          </w:tcPr>
          <w:p w:rsidR="00B4173B" w:rsidRPr="00B4173B" w:rsidRDefault="00B4173B" w:rsidP="00B4173B">
            <w:pPr>
              <w:keepNext/>
              <w:jc w:val="right"/>
              <w:rPr>
                <w:color w:val="000000"/>
                <w:sz w:val="20"/>
                <w:szCs w:val="20"/>
                <w:lang w:val="en-US" w:eastAsia="en-CA"/>
              </w:rPr>
            </w:pPr>
            <w:r w:rsidRPr="00B4173B">
              <w:rPr>
                <w:color w:val="000000"/>
                <w:sz w:val="20"/>
                <w:szCs w:val="20"/>
                <w:lang w:val="fr" w:eastAsia="fr"/>
              </w:rPr>
              <w:t>13,19</w:t>
            </w:r>
          </w:p>
        </w:tc>
        <w:tc>
          <w:tcPr>
            <w:tcW w:w="1016" w:type="dxa"/>
            <w:tcBorders>
              <w:top w:val="nil"/>
              <w:left w:val="single" w:sz="4" w:space="0" w:color="auto"/>
              <w:bottom w:val="single" w:sz="4" w:space="0" w:color="auto"/>
              <w:right w:val="single" w:sz="4" w:space="0" w:color="auto"/>
            </w:tcBorders>
            <w:shd w:val="clear" w:color="auto" w:fill="auto"/>
          </w:tcPr>
          <w:p w:rsidR="00B4173B" w:rsidRPr="00B4173B" w:rsidRDefault="00B4173B" w:rsidP="00B4173B">
            <w:pPr>
              <w:keepNext/>
              <w:jc w:val="right"/>
              <w:rPr>
                <w:color w:val="000000"/>
                <w:sz w:val="20"/>
                <w:szCs w:val="20"/>
                <w:lang w:val="en-US" w:eastAsia="en-CA"/>
              </w:rPr>
            </w:pPr>
            <w:proofErr w:type="spellStart"/>
            <w:r w:rsidRPr="00B4173B">
              <w:rPr>
                <w:color w:val="000000"/>
                <w:sz w:val="20"/>
                <w:szCs w:val="20"/>
                <w:lang w:val="fr" w:eastAsia="fr"/>
              </w:rPr>
              <w:t>s.o</w:t>
            </w:r>
            <w:proofErr w:type="spellEnd"/>
            <w:r w:rsidRPr="00B4173B">
              <w:rPr>
                <w:color w:val="000000"/>
                <w:sz w:val="20"/>
                <w:szCs w:val="20"/>
                <w:lang w:val="fr" w:eastAsia="fr"/>
              </w:rPr>
              <w:t>.</w:t>
            </w:r>
          </w:p>
        </w:tc>
      </w:tr>
      <w:tr w:rsidR="00B4173B" w:rsidRPr="00B4173B" w:rsidTr="0025325D">
        <w:trPr>
          <w:trHeight w:val="408"/>
          <w:jc w:val="center"/>
        </w:trPr>
        <w:tc>
          <w:tcPr>
            <w:tcW w:w="846" w:type="dxa"/>
            <w:tcBorders>
              <w:top w:val="nil"/>
              <w:left w:val="single" w:sz="4" w:space="0" w:color="auto"/>
              <w:bottom w:val="single" w:sz="4" w:space="0" w:color="auto"/>
              <w:right w:val="single" w:sz="4" w:space="0" w:color="auto"/>
            </w:tcBorders>
            <w:shd w:val="clear" w:color="auto" w:fill="auto"/>
            <w:hideMark/>
          </w:tcPr>
          <w:p w:rsidR="00B4173B" w:rsidRPr="00B4173B" w:rsidRDefault="00B4173B" w:rsidP="00B4173B">
            <w:pPr>
              <w:keepNext/>
              <w:rPr>
                <w:color w:val="000000"/>
                <w:sz w:val="20"/>
                <w:szCs w:val="20"/>
                <w:lang w:eastAsia="en-CA"/>
              </w:rPr>
            </w:pPr>
            <w:r w:rsidRPr="00B4173B">
              <w:rPr>
                <w:color w:val="000000"/>
                <w:sz w:val="20"/>
                <w:szCs w:val="20"/>
                <w:lang w:eastAsia="fr"/>
              </w:rPr>
              <w:t>1.2</w:t>
            </w:r>
          </w:p>
        </w:tc>
        <w:tc>
          <w:tcPr>
            <w:tcW w:w="2671" w:type="dxa"/>
            <w:tcBorders>
              <w:top w:val="nil"/>
              <w:left w:val="nil"/>
              <w:bottom w:val="single" w:sz="4" w:space="0" w:color="auto"/>
              <w:right w:val="single" w:sz="4" w:space="0" w:color="auto"/>
            </w:tcBorders>
            <w:shd w:val="clear" w:color="auto" w:fill="auto"/>
            <w:hideMark/>
          </w:tcPr>
          <w:p w:rsidR="00B4173B" w:rsidRPr="00B4173B" w:rsidRDefault="00B4173B" w:rsidP="00B4173B">
            <w:pPr>
              <w:keepNext/>
              <w:rPr>
                <w:color w:val="000000"/>
                <w:sz w:val="20"/>
                <w:szCs w:val="20"/>
                <w:lang w:val="fr-FR" w:eastAsia="en-CA"/>
              </w:rPr>
            </w:pPr>
            <w:r w:rsidRPr="00B4173B">
              <w:rPr>
                <w:color w:val="000000"/>
                <w:sz w:val="20"/>
                <w:szCs w:val="20"/>
                <w:lang w:val="fr" w:eastAsia="fr"/>
              </w:rPr>
              <w:t>Consommation totale maximum autorisée des substances du groupe I de l’annexe C (tonnes PAO)</w:t>
            </w:r>
          </w:p>
        </w:tc>
        <w:tc>
          <w:tcPr>
            <w:tcW w:w="1016" w:type="dxa"/>
            <w:tcBorders>
              <w:top w:val="nil"/>
              <w:left w:val="nil"/>
              <w:bottom w:val="single" w:sz="4" w:space="0" w:color="auto"/>
              <w:right w:val="single" w:sz="4" w:space="0" w:color="auto"/>
            </w:tcBorders>
          </w:tcPr>
          <w:p w:rsidR="00B4173B" w:rsidRPr="00B4173B" w:rsidRDefault="00B4173B" w:rsidP="00B4173B">
            <w:pPr>
              <w:keepNext/>
              <w:jc w:val="right"/>
              <w:rPr>
                <w:color w:val="000000"/>
                <w:sz w:val="20"/>
                <w:szCs w:val="20"/>
                <w:lang w:val="en-US" w:eastAsia="en-CA"/>
              </w:rPr>
            </w:pPr>
            <w:r w:rsidRPr="00B4173B">
              <w:rPr>
                <w:color w:val="000000"/>
                <w:sz w:val="20"/>
                <w:szCs w:val="20"/>
                <w:lang w:val="fr" w:eastAsia="fr"/>
              </w:rPr>
              <w:t>34,60</w:t>
            </w:r>
          </w:p>
        </w:tc>
        <w:tc>
          <w:tcPr>
            <w:tcW w:w="854" w:type="dxa"/>
            <w:tcBorders>
              <w:top w:val="single" w:sz="4" w:space="0" w:color="auto"/>
              <w:left w:val="single" w:sz="4" w:space="0" w:color="auto"/>
              <w:bottom w:val="single" w:sz="4" w:space="0" w:color="auto"/>
              <w:right w:val="single" w:sz="4" w:space="0" w:color="auto"/>
            </w:tcBorders>
            <w:shd w:val="clear" w:color="auto" w:fill="auto"/>
          </w:tcPr>
          <w:p w:rsidR="00B4173B" w:rsidRPr="00B4173B" w:rsidRDefault="00B4173B" w:rsidP="00B4173B">
            <w:pPr>
              <w:keepNext/>
              <w:jc w:val="right"/>
              <w:rPr>
                <w:color w:val="000000"/>
                <w:sz w:val="20"/>
                <w:szCs w:val="20"/>
                <w:lang w:val="en-US" w:eastAsia="en-CA"/>
              </w:rPr>
            </w:pPr>
            <w:r w:rsidRPr="00B4173B">
              <w:rPr>
                <w:color w:val="000000"/>
                <w:sz w:val="20"/>
                <w:szCs w:val="20"/>
                <w:lang w:val="fr" w:eastAsia="fr"/>
              </w:rPr>
              <w:t>25,91</w:t>
            </w:r>
          </w:p>
        </w:tc>
        <w:tc>
          <w:tcPr>
            <w:tcW w:w="851" w:type="dxa"/>
            <w:tcBorders>
              <w:top w:val="nil"/>
              <w:left w:val="nil"/>
              <w:bottom w:val="single" w:sz="4" w:space="0" w:color="auto"/>
              <w:right w:val="single" w:sz="4" w:space="0" w:color="auto"/>
            </w:tcBorders>
            <w:shd w:val="clear" w:color="auto" w:fill="auto"/>
          </w:tcPr>
          <w:p w:rsidR="00B4173B" w:rsidRPr="00B4173B" w:rsidRDefault="00B4173B" w:rsidP="00B4173B">
            <w:pPr>
              <w:keepNext/>
              <w:jc w:val="right"/>
              <w:rPr>
                <w:color w:val="000000"/>
                <w:sz w:val="20"/>
                <w:szCs w:val="20"/>
                <w:lang w:val="en-US" w:eastAsia="en-CA"/>
              </w:rPr>
            </w:pPr>
            <w:r w:rsidRPr="00B4173B">
              <w:rPr>
                <w:color w:val="000000"/>
                <w:sz w:val="20"/>
                <w:szCs w:val="20"/>
                <w:lang w:val="fr" w:eastAsia="fr"/>
              </w:rPr>
              <w:t>25,91</w:t>
            </w:r>
          </w:p>
        </w:tc>
        <w:tc>
          <w:tcPr>
            <w:tcW w:w="992" w:type="dxa"/>
            <w:tcBorders>
              <w:top w:val="nil"/>
              <w:left w:val="nil"/>
              <w:bottom w:val="single" w:sz="4" w:space="0" w:color="auto"/>
              <w:right w:val="single" w:sz="4" w:space="0" w:color="auto"/>
            </w:tcBorders>
            <w:shd w:val="clear" w:color="auto" w:fill="auto"/>
          </w:tcPr>
          <w:p w:rsidR="00B4173B" w:rsidRPr="00B4173B" w:rsidRDefault="00B4173B" w:rsidP="00B4173B">
            <w:pPr>
              <w:keepNext/>
              <w:jc w:val="right"/>
              <w:rPr>
                <w:color w:val="000000"/>
                <w:sz w:val="20"/>
                <w:szCs w:val="20"/>
                <w:lang w:val="en-US" w:eastAsia="en-CA"/>
              </w:rPr>
            </w:pPr>
            <w:r w:rsidRPr="00B4173B">
              <w:rPr>
                <w:color w:val="000000"/>
                <w:sz w:val="20"/>
                <w:szCs w:val="20"/>
                <w:lang w:val="fr" w:eastAsia="fr"/>
              </w:rPr>
              <w:t>25,91</w:t>
            </w:r>
          </w:p>
        </w:tc>
        <w:tc>
          <w:tcPr>
            <w:tcW w:w="682" w:type="dxa"/>
            <w:tcBorders>
              <w:top w:val="nil"/>
              <w:left w:val="nil"/>
              <w:bottom w:val="single" w:sz="4" w:space="0" w:color="auto"/>
              <w:right w:val="single" w:sz="4" w:space="0" w:color="auto"/>
            </w:tcBorders>
            <w:shd w:val="clear" w:color="auto" w:fill="auto"/>
          </w:tcPr>
          <w:p w:rsidR="00B4173B" w:rsidRPr="00B4173B" w:rsidRDefault="00B4173B" w:rsidP="00B4173B">
            <w:pPr>
              <w:keepNext/>
              <w:jc w:val="right"/>
              <w:rPr>
                <w:color w:val="000000"/>
                <w:sz w:val="20"/>
                <w:szCs w:val="20"/>
                <w:lang w:val="en-US" w:eastAsia="en-CA"/>
              </w:rPr>
            </w:pPr>
            <w:r w:rsidRPr="00B4173B">
              <w:rPr>
                <w:color w:val="000000"/>
                <w:sz w:val="20"/>
                <w:szCs w:val="20"/>
                <w:lang w:val="fr" w:eastAsia="fr"/>
              </w:rPr>
              <w:t>25,91</w:t>
            </w:r>
          </w:p>
        </w:tc>
        <w:tc>
          <w:tcPr>
            <w:tcW w:w="666" w:type="dxa"/>
            <w:tcBorders>
              <w:top w:val="nil"/>
              <w:left w:val="nil"/>
              <w:bottom w:val="single" w:sz="4" w:space="0" w:color="auto"/>
              <w:right w:val="single" w:sz="4" w:space="0" w:color="auto"/>
            </w:tcBorders>
            <w:shd w:val="clear" w:color="auto" w:fill="auto"/>
          </w:tcPr>
          <w:p w:rsidR="00B4173B" w:rsidRPr="00B4173B" w:rsidRDefault="00B4173B" w:rsidP="00B4173B">
            <w:pPr>
              <w:keepNext/>
              <w:jc w:val="right"/>
              <w:rPr>
                <w:color w:val="000000"/>
                <w:sz w:val="20"/>
                <w:szCs w:val="20"/>
                <w:lang w:val="en-US" w:eastAsia="en-CA"/>
              </w:rPr>
            </w:pPr>
            <w:r w:rsidRPr="00B4173B">
              <w:rPr>
                <w:color w:val="000000"/>
                <w:sz w:val="20"/>
                <w:szCs w:val="20"/>
                <w:lang w:val="fr" w:eastAsia="fr"/>
              </w:rPr>
              <w:t>25,91</w:t>
            </w:r>
          </w:p>
        </w:tc>
        <w:tc>
          <w:tcPr>
            <w:tcW w:w="920" w:type="dxa"/>
            <w:tcBorders>
              <w:top w:val="single" w:sz="4" w:space="0" w:color="auto"/>
              <w:left w:val="nil"/>
              <w:bottom w:val="single" w:sz="4" w:space="0" w:color="auto"/>
              <w:right w:val="single" w:sz="4" w:space="0" w:color="auto"/>
            </w:tcBorders>
            <w:shd w:val="clear" w:color="auto" w:fill="auto"/>
          </w:tcPr>
          <w:p w:rsidR="00B4173B" w:rsidRPr="00B4173B" w:rsidRDefault="00B4173B" w:rsidP="00B4173B">
            <w:pPr>
              <w:keepNext/>
              <w:jc w:val="right"/>
              <w:rPr>
                <w:color w:val="000000"/>
                <w:sz w:val="20"/>
                <w:szCs w:val="20"/>
                <w:lang w:val="en-US" w:eastAsia="en-CA"/>
              </w:rPr>
            </w:pPr>
            <w:r w:rsidRPr="00B4173B">
              <w:rPr>
                <w:color w:val="000000"/>
                <w:sz w:val="20"/>
                <w:szCs w:val="20"/>
                <w:lang w:val="fr" w:eastAsia="fr"/>
              </w:rPr>
              <w:t>12,88</w:t>
            </w:r>
          </w:p>
        </w:tc>
        <w:tc>
          <w:tcPr>
            <w:tcW w:w="1016" w:type="dxa"/>
            <w:tcBorders>
              <w:top w:val="nil"/>
              <w:left w:val="single" w:sz="4" w:space="0" w:color="auto"/>
              <w:bottom w:val="single" w:sz="4" w:space="0" w:color="auto"/>
              <w:right w:val="single" w:sz="4" w:space="0" w:color="auto"/>
            </w:tcBorders>
            <w:shd w:val="clear" w:color="auto" w:fill="auto"/>
          </w:tcPr>
          <w:p w:rsidR="00B4173B" w:rsidRPr="00B4173B" w:rsidRDefault="00B4173B" w:rsidP="00B4173B">
            <w:pPr>
              <w:keepNext/>
              <w:jc w:val="right"/>
              <w:rPr>
                <w:color w:val="000000"/>
                <w:sz w:val="20"/>
                <w:szCs w:val="20"/>
                <w:lang w:val="en-US" w:eastAsia="en-CA"/>
              </w:rPr>
            </w:pPr>
            <w:proofErr w:type="spellStart"/>
            <w:r w:rsidRPr="00B4173B">
              <w:rPr>
                <w:color w:val="000000"/>
                <w:sz w:val="20"/>
                <w:szCs w:val="20"/>
                <w:lang w:val="fr" w:eastAsia="fr"/>
              </w:rPr>
              <w:t>s.o</w:t>
            </w:r>
            <w:proofErr w:type="spellEnd"/>
            <w:r w:rsidRPr="00B4173B">
              <w:rPr>
                <w:color w:val="000000"/>
                <w:sz w:val="20"/>
                <w:szCs w:val="20"/>
                <w:lang w:val="fr" w:eastAsia="fr"/>
              </w:rPr>
              <w:t>.</w:t>
            </w:r>
          </w:p>
        </w:tc>
      </w:tr>
      <w:tr w:rsidR="00B4173B" w:rsidRPr="00B4173B" w:rsidTr="0025325D">
        <w:trPr>
          <w:trHeight w:val="116"/>
          <w:jc w:val="center"/>
        </w:trPr>
        <w:tc>
          <w:tcPr>
            <w:tcW w:w="846" w:type="dxa"/>
            <w:tcBorders>
              <w:top w:val="nil"/>
              <w:left w:val="single" w:sz="4" w:space="0" w:color="auto"/>
              <w:bottom w:val="single" w:sz="4" w:space="0" w:color="auto"/>
              <w:right w:val="single" w:sz="4" w:space="0" w:color="auto"/>
            </w:tcBorders>
            <w:shd w:val="clear" w:color="auto" w:fill="auto"/>
            <w:hideMark/>
          </w:tcPr>
          <w:p w:rsidR="00B4173B" w:rsidRPr="00B4173B" w:rsidRDefault="00B4173B" w:rsidP="00B4173B">
            <w:pPr>
              <w:widowControl w:val="0"/>
              <w:rPr>
                <w:color w:val="000000"/>
                <w:sz w:val="20"/>
                <w:szCs w:val="20"/>
                <w:lang w:eastAsia="en-CA"/>
              </w:rPr>
            </w:pPr>
            <w:r w:rsidRPr="00B4173B">
              <w:rPr>
                <w:color w:val="000000"/>
                <w:sz w:val="20"/>
                <w:szCs w:val="20"/>
                <w:lang w:eastAsia="fr"/>
              </w:rPr>
              <w:t>2.1</w:t>
            </w:r>
          </w:p>
        </w:tc>
        <w:tc>
          <w:tcPr>
            <w:tcW w:w="2671" w:type="dxa"/>
            <w:tcBorders>
              <w:top w:val="nil"/>
              <w:left w:val="nil"/>
              <w:bottom w:val="single" w:sz="4" w:space="0" w:color="auto"/>
              <w:right w:val="single" w:sz="4" w:space="0" w:color="auto"/>
            </w:tcBorders>
            <w:shd w:val="clear" w:color="auto" w:fill="auto"/>
            <w:hideMark/>
          </w:tcPr>
          <w:p w:rsidR="00B4173B" w:rsidRPr="00B4173B" w:rsidRDefault="00B4173B" w:rsidP="00B4173B">
            <w:pPr>
              <w:widowControl w:val="0"/>
              <w:rPr>
                <w:color w:val="000000"/>
                <w:sz w:val="20"/>
                <w:szCs w:val="20"/>
                <w:lang w:val="fr-FR" w:eastAsia="en-CA"/>
              </w:rPr>
            </w:pPr>
            <w:r w:rsidRPr="00B4173B">
              <w:rPr>
                <w:color w:val="000000"/>
                <w:sz w:val="20"/>
                <w:szCs w:val="20"/>
                <w:lang w:val="fr" w:eastAsia="fr"/>
              </w:rPr>
              <w:t>Financement convenu pour l’agence principale (ONUDI) ($US)</w:t>
            </w:r>
          </w:p>
        </w:tc>
        <w:tc>
          <w:tcPr>
            <w:tcW w:w="1016" w:type="dxa"/>
            <w:tcBorders>
              <w:top w:val="nil"/>
              <w:left w:val="nil"/>
              <w:bottom w:val="single" w:sz="4" w:space="0" w:color="auto"/>
              <w:right w:val="single" w:sz="4" w:space="0" w:color="auto"/>
            </w:tcBorders>
          </w:tcPr>
          <w:p w:rsidR="00B4173B" w:rsidRPr="00B4173B" w:rsidRDefault="00B4173B" w:rsidP="00B4173B">
            <w:pPr>
              <w:widowControl w:val="0"/>
              <w:jc w:val="right"/>
              <w:rPr>
                <w:color w:val="000000"/>
                <w:sz w:val="20"/>
                <w:szCs w:val="20"/>
                <w:lang w:val="en-US" w:eastAsia="en-CA"/>
              </w:rPr>
            </w:pPr>
            <w:r w:rsidRPr="00B4173B">
              <w:rPr>
                <w:color w:val="000000"/>
                <w:sz w:val="20"/>
                <w:szCs w:val="20"/>
                <w:lang w:val="fr" w:eastAsia="fr"/>
              </w:rPr>
              <w:t>858 306</w:t>
            </w:r>
          </w:p>
        </w:tc>
        <w:tc>
          <w:tcPr>
            <w:tcW w:w="854" w:type="dxa"/>
            <w:tcBorders>
              <w:top w:val="single" w:sz="4" w:space="0" w:color="auto"/>
              <w:left w:val="single" w:sz="4" w:space="0" w:color="auto"/>
              <w:bottom w:val="single" w:sz="4" w:space="0" w:color="auto"/>
              <w:right w:val="single" w:sz="4" w:space="0" w:color="auto"/>
            </w:tcBorders>
            <w:shd w:val="clear" w:color="auto" w:fill="auto"/>
          </w:tcPr>
          <w:p w:rsidR="00B4173B" w:rsidRPr="00B4173B" w:rsidRDefault="00B4173B" w:rsidP="00B4173B">
            <w:pPr>
              <w:widowControl w:val="0"/>
              <w:jc w:val="right"/>
              <w:rPr>
                <w:color w:val="000000"/>
                <w:sz w:val="20"/>
                <w:szCs w:val="20"/>
                <w:lang w:val="en-US" w:eastAsia="en-CA"/>
              </w:rPr>
            </w:pPr>
            <w:r w:rsidRPr="00B4173B">
              <w:rPr>
                <w:color w:val="000000"/>
                <w:sz w:val="20"/>
                <w:szCs w:val="20"/>
                <w:lang w:val="fr" w:eastAsia="fr"/>
              </w:rPr>
              <w:t>0</w:t>
            </w:r>
          </w:p>
        </w:tc>
        <w:tc>
          <w:tcPr>
            <w:tcW w:w="851" w:type="dxa"/>
            <w:tcBorders>
              <w:top w:val="nil"/>
              <w:left w:val="nil"/>
              <w:bottom w:val="single" w:sz="4" w:space="0" w:color="auto"/>
              <w:right w:val="single" w:sz="4" w:space="0" w:color="auto"/>
            </w:tcBorders>
            <w:shd w:val="clear" w:color="auto" w:fill="auto"/>
          </w:tcPr>
          <w:p w:rsidR="00B4173B" w:rsidRPr="00B4173B" w:rsidRDefault="00B4173B" w:rsidP="00B4173B">
            <w:pPr>
              <w:widowControl w:val="0"/>
              <w:jc w:val="right"/>
              <w:rPr>
                <w:color w:val="000000"/>
                <w:sz w:val="20"/>
                <w:szCs w:val="20"/>
                <w:lang w:val="en-US" w:eastAsia="en-CA"/>
              </w:rPr>
            </w:pPr>
            <w:r w:rsidRPr="00B4173B">
              <w:rPr>
                <w:color w:val="000000"/>
                <w:sz w:val="20"/>
                <w:szCs w:val="20"/>
                <w:lang w:val="fr" w:eastAsia="fr"/>
              </w:rPr>
              <w:t>0</w:t>
            </w:r>
          </w:p>
        </w:tc>
        <w:tc>
          <w:tcPr>
            <w:tcW w:w="992" w:type="dxa"/>
            <w:tcBorders>
              <w:top w:val="nil"/>
              <w:left w:val="nil"/>
              <w:bottom w:val="single" w:sz="4" w:space="0" w:color="auto"/>
              <w:right w:val="single" w:sz="4" w:space="0" w:color="auto"/>
            </w:tcBorders>
            <w:shd w:val="clear" w:color="auto" w:fill="auto"/>
          </w:tcPr>
          <w:p w:rsidR="00B4173B" w:rsidRPr="00B4173B" w:rsidRDefault="00B4173B" w:rsidP="00B4173B">
            <w:pPr>
              <w:widowControl w:val="0"/>
              <w:jc w:val="right"/>
              <w:rPr>
                <w:color w:val="000000"/>
                <w:sz w:val="20"/>
                <w:szCs w:val="20"/>
                <w:lang w:val="en-US" w:eastAsia="en-CA"/>
              </w:rPr>
            </w:pPr>
            <w:r w:rsidRPr="00B4173B">
              <w:rPr>
                <w:color w:val="000000"/>
                <w:sz w:val="20"/>
                <w:szCs w:val="20"/>
                <w:lang w:val="fr" w:eastAsia="fr"/>
              </w:rPr>
              <w:t>386 640</w:t>
            </w:r>
          </w:p>
        </w:tc>
        <w:tc>
          <w:tcPr>
            <w:tcW w:w="682" w:type="dxa"/>
            <w:tcBorders>
              <w:top w:val="nil"/>
              <w:left w:val="nil"/>
              <w:bottom w:val="single" w:sz="4" w:space="0" w:color="auto"/>
              <w:right w:val="single" w:sz="4" w:space="0" w:color="auto"/>
            </w:tcBorders>
            <w:shd w:val="clear" w:color="auto" w:fill="auto"/>
          </w:tcPr>
          <w:p w:rsidR="00B4173B" w:rsidRPr="00B4173B" w:rsidRDefault="00B4173B" w:rsidP="00B4173B">
            <w:pPr>
              <w:widowControl w:val="0"/>
              <w:jc w:val="right"/>
              <w:rPr>
                <w:color w:val="000000"/>
                <w:sz w:val="20"/>
                <w:szCs w:val="20"/>
                <w:lang w:val="en-US" w:eastAsia="en-CA"/>
              </w:rPr>
            </w:pPr>
            <w:r w:rsidRPr="00B4173B">
              <w:rPr>
                <w:color w:val="000000"/>
                <w:sz w:val="20"/>
                <w:szCs w:val="20"/>
                <w:lang w:val="fr" w:eastAsia="fr"/>
              </w:rPr>
              <w:t>0</w:t>
            </w:r>
          </w:p>
        </w:tc>
        <w:tc>
          <w:tcPr>
            <w:tcW w:w="666" w:type="dxa"/>
            <w:tcBorders>
              <w:top w:val="nil"/>
              <w:left w:val="nil"/>
              <w:bottom w:val="single" w:sz="4" w:space="0" w:color="auto"/>
              <w:right w:val="single" w:sz="4" w:space="0" w:color="auto"/>
            </w:tcBorders>
            <w:shd w:val="clear" w:color="auto" w:fill="auto"/>
          </w:tcPr>
          <w:p w:rsidR="00B4173B" w:rsidRPr="00B4173B" w:rsidRDefault="00B4173B" w:rsidP="00B4173B">
            <w:pPr>
              <w:widowControl w:val="0"/>
              <w:jc w:val="right"/>
              <w:rPr>
                <w:color w:val="000000"/>
                <w:sz w:val="20"/>
                <w:szCs w:val="20"/>
                <w:lang w:val="en-US" w:eastAsia="en-CA"/>
              </w:rPr>
            </w:pPr>
            <w:r w:rsidRPr="00B4173B">
              <w:rPr>
                <w:color w:val="000000"/>
                <w:sz w:val="20"/>
                <w:szCs w:val="20"/>
                <w:lang w:val="fr" w:eastAsia="fr"/>
              </w:rPr>
              <w:t>0</w:t>
            </w:r>
          </w:p>
        </w:tc>
        <w:tc>
          <w:tcPr>
            <w:tcW w:w="920" w:type="dxa"/>
            <w:tcBorders>
              <w:top w:val="single" w:sz="4" w:space="0" w:color="auto"/>
              <w:left w:val="nil"/>
              <w:bottom w:val="single" w:sz="4" w:space="0" w:color="auto"/>
              <w:right w:val="single" w:sz="4" w:space="0" w:color="auto"/>
            </w:tcBorders>
            <w:shd w:val="clear" w:color="auto" w:fill="auto"/>
          </w:tcPr>
          <w:p w:rsidR="00B4173B" w:rsidRPr="00B4173B" w:rsidRDefault="00B4173B" w:rsidP="00B4173B">
            <w:pPr>
              <w:widowControl w:val="0"/>
              <w:jc w:val="right"/>
              <w:rPr>
                <w:color w:val="000000"/>
                <w:sz w:val="20"/>
                <w:szCs w:val="20"/>
                <w:lang w:val="en-US" w:eastAsia="en-CA"/>
              </w:rPr>
            </w:pPr>
            <w:r w:rsidRPr="00B4173B">
              <w:rPr>
                <w:color w:val="000000"/>
                <w:sz w:val="20"/>
                <w:szCs w:val="20"/>
                <w:lang w:val="fr" w:eastAsia="fr"/>
              </w:rPr>
              <w:t>120 000</w:t>
            </w:r>
          </w:p>
        </w:tc>
        <w:tc>
          <w:tcPr>
            <w:tcW w:w="1016" w:type="dxa"/>
            <w:tcBorders>
              <w:top w:val="nil"/>
              <w:left w:val="single" w:sz="4" w:space="0" w:color="auto"/>
              <w:bottom w:val="single" w:sz="4" w:space="0" w:color="auto"/>
              <w:right w:val="single" w:sz="4" w:space="0" w:color="auto"/>
            </w:tcBorders>
            <w:shd w:val="clear" w:color="auto" w:fill="auto"/>
          </w:tcPr>
          <w:p w:rsidR="00B4173B" w:rsidRPr="00B4173B" w:rsidRDefault="00B4173B" w:rsidP="00B4173B">
            <w:pPr>
              <w:widowControl w:val="0"/>
              <w:jc w:val="right"/>
              <w:rPr>
                <w:color w:val="000000"/>
                <w:sz w:val="20"/>
                <w:szCs w:val="20"/>
                <w:lang w:val="en-US" w:eastAsia="en-CA"/>
              </w:rPr>
            </w:pPr>
            <w:r w:rsidRPr="00B4173B">
              <w:rPr>
                <w:color w:val="000000"/>
                <w:sz w:val="20"/>
                <w:szCs w:val="20"/>
                <w:lang w:val="fr" w:eastAsia="fr"/>
              </w:rPr>
              <w:t>1 364 946</w:t>
            </w:r>
          </w:p>
        </w:tc>
      </w:tr>
      <w:tr w:rsidR="00B4173B" w:rsidRPr="00B4173B" w:rsidTr="0025325D">
        <w:trPr>
          <w:trHeight w:val="56"/>
          <w:jc w:val="center"/>
        </w:trPr>
        <w:tc>
          <w:tcPr>
            <w:tcW w:w="846" w:type="dxa"/>
            <w:tcBorders>
              <w:top w:val="nil"/>
              <w:left w:val="single" w:sz="4" w:space="0" w:color="auto"/>
              <w:bottom w:val="single" w:sz="4" w:space="0" w:color="auto"/>
              <w:right w:val="single" w:sz="4" w:space="0" w:color="auto"/>
            </w:tcBorders>
            <w:shd w:val="clear" w:color="auto" w:fill="auto"/>
            <w:hideMark/>
          </w:tcPr>
          <w:p w:rsidR="00B4173B" w:rsidRPr="00B4173B" w:rsidRDefault="00B4173B" w:rsidP="00B4173B">
            <w:pPr>
              <w:widowControl w:val="0"/>
              <w:rPr>
                <w:color w:val="000000"/>
                <w:sz w:val="20"/>
                <w:szCs w:val="20"/>
                <w:lang w:eastAsia="en-CA"/>
              </w:rPr>
            </w:pPr>
            <w:r w:rsidRPr="00B4173B">
              <w:rPr>
                <w:color w:val="000000"/>
                <w:sz w:val="20"/>
                <w:szCs w:val="20"/>
                <w:lang w:eastAsia="fr"/>
              </w:rPr>
              <w:t>2.2</w:t>
            </w:r>
          </w:p>
        </w:tc>
        <w:tc>
          <w:tcPr>
            <w:tcW w:w="2671" w:type="dxa"/>
            <w:tcBorders>
              <w:top w:val="nil"/>
              <w:left w:val="nil"/>
              <w:bottom w:val="single" w:sz="4" w:space="0" w:color="auto"/>
              <w:right w:val="single" w:sz="4" w:space="0" w:color="auto"/>
            </w:tcBorders>
            <w:shd w:val="clear" w:color="auto" w:fill="auto"/>
            <w:hideMark/>
          </w:tcPr>
          <w:p w:rsidR="00B4173B" w:rsidRPr="00B4173B" w:rsidRDefault="00B4173B" w:rsidP="00B4173B">
            <w:pPr>
              <w:widowControl w:val="0"/>
              <w:rPr>
                <w:color w:val="000000"/>
                <w:sz w:val="20"/>
                <w:szCs w:val="20"/>
                <w:lang w:val="fr-FR" w:eastAsia="en-CA"/>
              </w:rPr>
            </w:pPr>
            <w:r w:rsidRPr="00B4173B">
              <w:rPr>
                <w:color w:val="000000"/>
                <w:sz w:val="20"/>
                <w:szCs w:val="20"/>
                <w:lang w:val="fr" w:eastAsia="fr"/>
              </w:rPr>
              <w:t>Coûts d’appui pour l’agence d’exécution principale ($ US)</w:t>
            </w:r>
          </w:p>
        </w:tc>
        <w:tc>
          <w:tcPr>
            <w:tcW w:w="1016" w:type="dxa"/>
            <w:tcBorders>
              <w:top w:val="nil"/>
              <w:left w:val="nil"/>
              <w:bottom w:val="single" w:sz="4" w:space="0" w:color="auto"/>
              <w:right w:val="single" w:sz="4" w:space="0" w:color="auto"/>
            </w:tcBorders>
          </w:tcPr>
          <w:p w:rsidR="00B4173B" w:rsidRPr="00B4173B" w:rsidRDefault="00B4173B" w:rsidP="00B4173B">
            <w:pPr>
              <w:widowControl w:val="0"/>
              <w:jc w:val="right"/>
              <w:rPr>
                <w:color w:val="000000"/>
                <w:sz w:val="20"/>
                <w:szCs w:val="20"/>
                <w:lang w:val="en-US" w:eastAsia="en-CA"/>
              </w:rPr>
            </w:pPr>
            <w:r w:rsidRPr="00B4173B">
              <w:rPr>
                <w:color w:val="000000"/>
                <w:sz w:val="20"/>
                <w:szCs w:val="20"/>
                <w:lang w:val="fr" w:eastAsia="fr"/>
              </w:rPr>
              <w:t>60 081</w:t>
            </w:r>
          </w:p>
        </w:tc>
        <w:tc>
          <w:tcPr>
            <w:tcW w:w="854" w:type="dxa"/>
            <w:tcBorders>
              <w:top w:val="single" w:sz="4" w:space="0" w:color="auto"/>
              <w:left w:val="single" w:sz="4" w:space="0" w:color="auto"/>
              <w:bottom w:val="single" w:sz="4" w:space="0" w:color="auto"/>
              <w:right w:val="single" w:sz="4" w:space="0" w:color="auto"/>
            </w:tcBorders>
            <w:shd w:val="clear" w:color="auto" w:fill="auto"/>
          </w:tcPr>
          <w:p w:rsidR="00B4173B" w:rsidRPr="00B4173B" w:rsidRDefault="00B4173B" w:rsidP="00B4173B">
            <w:pPr>
              <w:jc w:val="right"/>
              <w:rPr>
                <w:sz w:val="20"/>
                <w:szCs w:val="20"/>
              </w:rPr>
            </w:pPr>
            <w:r w:rsidRPr="00B4173B">
              <w:rPr>
                <w:sz w:val="20"/>
                <w:szCs w:val="20"/>
              </w:rPr>
              <w:t>0</w:t>
            </w:r>
          </w:p>
        </w:tc>
        <w:tc>
          <w:tcPr>
            <w:tcW w:w="851" w:type="dxa"/>
            <w:tcBorders>
              <w:top w:val="nil"/>
              <w:left w:val="nil"/>
              <w:bottom w:val="single" w:sz="4" w:space="0" w:color="auto"/>
              <w:right w:val="single" w:sz="4" w:space="0" w:color="auto"/>
            </w:tcBorders>
            <w:shd w:val="clear" w:color="auto" w:fill="auto"/>
          </w:tcPr>
          <w:p w:rsidR="00B4173B" w:rsidRPr="00B4173B" w:rsidRDefault="00B4173B" w:rsidP="00B4173B">
            <w:pPr>
              <w:jc w:val="right"/>
              <w:rPr>
                <w:sz w:val="20"/>
                <w:szCs w:val="20"/>
              </w:rPr>
            </w:pPr>
            <w:r w:rsidRPr="00B4173B">
              <w:rPr>
                <w:sz w:val="20"/>
                <w:szCs w:val="20"/>
              </w:rPr>
              <w:t>0</w:t>
            </w:r>
          </w:p>
        </w:tc>
        <w:tc>
          <w:tcPr>
            <w:tcW w:w="992" w:type="dxa"/>
            <w:tcBorders>
              <w:top w:val="nil"/>
              <w:left w:val="nil"/>
              <w:bottom w:val="single" w:sz="4" w:space="0" w:color="auto"/>
              <w:right w:val="single" w:sz="4" w:space="0" w:color="auto"/>
            </w:tcBorders>
            <w:shd w:val="clear" w:color="auto" w:fill="auto"/>
          </w:tcPr>
          <w:p w:rsidR="00B4173B" w:rsidRPr="00B4173B" w:rsidRDefault="00B4173B" w:rsidP="00B4173B">
            <w:pPr>
              <w:widowControl w:val="0"/>
              <w:jc w:val="right"/>
              <w:rPr>
                <w:color w:val="000000"/>
                <w:sz w:val="20"/>
                <w:szCs w:val="20"/>
                <w:lang w:val="en-US" w:eastAsia="en-CA"/>
              </w:rPr>
            </w:pPr>
            <w:r w:rsidRPr="00B4173B">
              <w:rPr>
                <w:color w:val="000000"/>
                <w:sz w:val="20"/>
                <w:szCs w:val="20"/>
                <w:lang w:val="fr" w:eastAsia="fr"/>
              </w:rPr>
              <w:t>27 065</w:t>
            </w:r>
          </w:p>
        </w:tc>
        <w:tc>
          <w:tcPr>
            <w:tcW w:w="682" w:type="dxa"/>
            <w:tcBorders>
              <w:top w:val="nil"/>
              <w:left w:val="nil"/>
              <w:bottom w:val="single" w:sz="4" w:space="0" w:color="auto"/>
              <w:right w:val="single" w:sz="4" w:space="0" w:color="auto"/>
            </w:tcBorders>
            <w:shd w:val="clear" w:color="auto" w:fill="auto"/>
          </w:tcPr>
          <w:p w:rsidR="00B4173B" w:rsidRPr="00B4173B" w:rsidRDefault="00B4173B" w:rsidP="00B4173B">
            <w:pPr>
              <w:jc w:val="right"/>
              <w:rPr>
                <w:sz w:val="20"/>
                <w:szCs w:val="20"/>
              </w:rPr>
            </w:pPr>
            <w:r w:rsidRPr="00B4173B">
              <w:rPr>
                <w:sz w:val="20"/>
                <w:szCs w:val="20"/>
              </w:rPr>
              <w:t>0</w:t>
            </w:r>
          </w:p>
        </w:tc>
        <w:tc>
          <w:tcPr>
            <w:tcW w:w="666" w:type="dxa"/>
            <w:tcBorders>
              <w:top w:val="nil"/>
              <w:left w:val="nil"/>
              <w:bottom w:val="single" w:sz="4" w:space="0" w:color="auto"/>
              <w:right w:val="single" w:sz="4" w:space="0" w:color="auto"/>
            </w:tcBorders>
            <w:shd w:val="clear" w:color="auto" w:fill="auto"/>
          </w:tcPr>
          <w:p w:rsidR="00B4173B" w:rsidRPr="00B4173B" w:rsidRDefault="00B4173B" w:rsidP="00B4173B">
            <w:pPr>
              <w:jc w:val="right"/>
              <w:rPr>
                <w:sz w:val="20"/>
                <w:szCs w:val="20"/>
              </w:rPr>
            </w:pPr>
            <w:r w:rsidRPr="00B4173B">
              <w:rPr>
                <w:sz w:val="20"/>
                <w:szCs w:val="20"/>
              </w:rPr>
              <w:t>0</w:t>
            </w:r>
          </w:p>
        </w:tc>
        <w:tc>
          <w:tcPr>
            <w:tcW w:w="920" w:type="dxa"/>
            <w:tcBorders>
              <w:top w:val="single" w:sz="4" w:space="0" w:color="auto"/>
              <w:left w:val="nil"/>
              <w:bottom w:val="single" w:sz="4" w:space="0" w:color="auto"/>
              <w:right w:val="single" w:sz="4" w:space="0" w:color="auto"/>
            </w:tcBorders>
            <w:shd w:val="clear" w:color="auto" w:fill="auto"/>
          </w:tcPr>
          <w:p w:rsidR="00B4173B" w:rsidRPr="00B4173B" w:rsidRDefault="00B4173B" w:rsidP="00B4173B">
            <w:pPr>
              <w:widowControl w:val="0"/>
              <w:jc w:val="right"/>
              <w:rPr>
                <w:color w:val="000000"/>
                <w:sz w:val="20"/>
                <w:szCs w:val="20"/>
                <w:lang w:val="en-US" w:eastAsia="en-CA"/>
              </w:rPr>
            </w:pPr>
            <w:r w:rsidRPr="00B4173B">
              <w:rPr>
                <w:color w:val="000000"/>
                <w:sz w:val="20"/>
                <w:szCs w:val="20"/>
                <w:lang w:val="fr" w:eastAsia="fr"/>
              </w:rPr>
              <w:t>8 400</w:t>
            </w:r>
          </w:p>
        </w:tc>
        <w:tc>
          <w:tcPr>
            <w:tcW w:w="1016" w:type="dxa"/>
            <w:tcBorders>
              <w:top w:val="nil"/>
              <w:left w:val="single" w:sz="4" w:space="0" w:color="auto"/>
              <w:bottom w:val="single" w:sz="4" w:space="0" w:color="auto"/>
              <w:right w:val="single" w:sz="4" w:space="0" w:color="auto"/>
            </w:tcBorders>
            <w:shd w:val="clear" w:color="auto" w:fill="auto"/>
          </w:tcPr>
          <w:p w:rsidR="00B4173B" w:rsidRPr="00B4173B" w:rsidRDefault="00B4173B" w:rsidP="00B4173B">
            <w:pPr>
              <w:widowControl w:val="0"/>
              <w:jc w:val="right"/>
              <w:rPr>
                <w:color w:val="000000"/>
                <w:sz w:val="20"/>
                <w:szCs w:val="20"/>
                <w:lang w:val="en-US" w:eastAsia="en-CA"/>
              </w:rPr>
            </w:pPr>
            <w:r w:rsidRPr="00B4173B">
              <w:rPr>
                <w:color w:val="000000"/>
                <w:sz w:val="20"/>
                <w:szCs w:val="20"/>
                <w:lang w:val="fr" w:eastAsia="fr"/>
              </w:rPr>
              <w:t>95 546</w:t>
            </w:r>
          </w:p>
        </w:tc>
      </w:tr>
      <w:tr w:rsidR="00B4173B" w:rsidRPr="00B4173B" w:rsidTr="0025325D">
        <w:trPr>
          <w:trHeight w:val="161"/>
          <w:jc w:val="center"/>
        </w:trPr>
        <w:tc>
          <w:tcPr>
            <w:tcW w:w="846" w:type="dxa"/>
            <w:tcBorders>
              <w:top w:val="nil"/>
              <w:left w:val="single" w:sz="4" w:space="0" w:color="auto"/>
              <w:bottom w:val="single" w:sz="4" w:space="0" w:color="auto"/>
              <w:right w:val="single" w:sz="4" w:space="0" w:color="auto"/>
            </w:tcBorders>
            <w:shd w:val="clear" w:color="auto" w:fill="auto"/>
            <w:hideMark/>
          </w:tcPr>
          <w:p w:rsidR="00B4173B" w:rsidRPr="00B4173B" w:rsidRDefault="00B4173B" w:rsidP="00B4173B">
            <w:pPr>
              <w:widowControl w:val="0"/>
              <w:rPr>
                <w:color w:val="000000"/>
                <w:sz w:val="20"/>
                <w:szCs w:val="20"/>
                <w:lang w:eastAsia="en-CA"/>
              </w:rPr>
            </w:pPr>
            <w:r w:rsidRPr="00B4173B">
              <w:rPr>
                <w:color w:val="000000"/>
                <w:sz w:val="20"/>
                <w:szCs w:val="20"/>
                <w:lang w:eastAsia="fr"/>
              </w:rPr>
              <w:t>2.3</w:t>
            </w:r>
          </w:p>
        </w:tc>
        <w:tc>
          <w:tcPr>
            <w:tcW w:w="2671" w:type="dxa"/>
            <w:tcBorders>
              <w:top w:val="nil"/>
              <w:left w:val="nil"/>
              <w:bottom w:val="single" w:sz="4" w:space="0" w:color="auto"/>
              <w:right w:val="single" w:sz="4" w:space="0" w:color="auto"/>
            </w:tcBorders>
            <w:shd w:val="clear" w:color="auto" w:fill="auto"/>
            <w:hideMark/>
          </w:tcPr>
          <w:p w:rsidR="00B4173B" w:rsidRPr="00B4173B" w:rsidRDefault="00B4173B" w:rsidP="00B4173B">
            <w:pPr>
              <w:widowControl w:val="0"/>
              <w:rPr>
                <w:color w:val="000000"/>
                <w:sz w:val="20"/>
                <w:szCs w:val="20"/>
                <w:lang w:val="fr-FR" w:eastAsia="en-CA"/>
              </w:rPr>
            </w:pPr>
            <w:r w:rsidRPr="00B4173B">
              <w:rPr>
                <w:color w:val="000000"/>
                <w:sz w:val="20"/>
                <w:szCs w:val="20"/>
                <w:lang w:val="fr" w:eastAsia="fr"/>
              </w:rPr>
              <w:t>Financement convenu pour l’agence coopérative (PNUE) ($US)</w:t>
            </w:r>
          </w:p>
        </w:tc>
        <w:tc>
          <w:tcPr>
            <w:tcW w:w="1016" w:type="dxa"/>
            <w:tcBorders>
              <w:top w:val="nil"/>
              <w:left w:val="nil"/>
              <w:bottom w:val="single" w:sz="4" w:space="0" w:color="auto"/>
              <w:right w:val="single" w:sz="4" w:space="0" w:color="auto"/>
            </w:tcBorders>
          </w:tcPr>
          <w:p w:rsidR="00B4173B" w:rsidRPr="00B4173B" w:rsidRDefault="00B4173B" w:rsidP="00B4173B">
            <w:pPr>
              <w:widowControl w:val="0"/>
              <w:jc w:val="right"/>
              <w:rPr>
                <w:color w:val="000000"/>
                <w:sz w:val="20"/>
                <w:szCs w:val="20"/>
                <w:lang w:val="en-US" w:eastAsia="en-CA"/>
              </w:rPr>
            </w:pPr>
            <w:r w:rsidRPr="00B4173B">
              <w:rPr>
                <w:color w:val="000000"/>
                <w:sz w:val="20"/>
                <w:szCs w:val="20"/>
                <w:lang w:val="fr" w:eastAsia="fr"/>
              </w:rPr>
              <w:t>76 000</w:t>
            </w:r>
          </w:p>
        </w:tc>
        <w:tc>
          <w:tcPr>
            <w:tcW w:w="854" w:type="dxa"/>
            <w:tcBorders>
              <w:top w:val="single" w:sz="4" w:space="0" w:color="auto"/>
              <w:left w:val="single" w:sz="4" w:space="0" w:color="auto"/>
              <w:bottom w:val="single" w:sz="4" w:space="0" w:color="auto"/>
              <w:right w:val="single" w:sz="4" w:space="0" w:color="auto"/>
            </w:tcBorders>
            <w:shd w:val="clear" w:color="auto" w:fill="auto"/>
          </w:tcPr>
          <w:p w:rsidR="00B4173B" w:rsidRPr="00B4173B" w:rsidRDefault="00B4173B" w:rsidP="00B4173B">
            <w:pPr>
              <w:jc w:val="right"/>
              <w:rPr>
                <w:sz w:val="20"/>
                <w:szCs w:val="20"/>
              </w:rPr>
            </w:pPr>
            <w:r w:rsidRPr="00B4173B">
              <w:rPr>
                <w:sz w:val="20"/>
                <w:szCs w:val="20"/>
              </w:rPr>
              <w:t>0</w:t>
            </w:r>
          </w:p>
        </w:tc>
        <w:tc>
          <w:tcPr>
            <w:tcW w:w="851" w:type="dxa"/>
            <w:tcBorders>
              <w:top w:val="nil"/>
              <w:left w:val="nil"/>
              <w:bottom w:val="single" w:sz="4" w:space="0" w:color="auto"/>
              <w:right w:val="single" w:sz="4" w:space="0" w:color="auto"/>
            </w:tcBorders>
            <w:shd w:val="clear" w:color="auto" w:fill="auto"/>
          </w:tcPr>
          <w:p w:rsidR="00B4173B" w:rsidRPr="00B4173B" w:rsidRDefault="00B4173B" w:rsidP="00B4173B">
            <w:pPr>
              <w:jc w:val="right"/>
              <w:rPr>
                <w:sz w:val="20"/>
                <w:szCs w:val="20"/>
              </w:rPr>
            </w:pPr>
            <w:r w:rsidRPr="00B4173B">
              <w:rPr>
                <w:sz w:val="20"/>
                <w:szCs w:val="20"/>
              </w:rPr>
              <w:t>0</w:t>
            </w:r>
          </w:p>
        </w:tc>
        <w:tc>
          <w:tcPr>
            <w:tcW w:w="992" w:type="dxa"/>
            <w:tcBorders>
              <w:top w:val="nil"/>
              <w:left w:val="nil"/>
              <w:bottom w:val="single" w:sz="4" w:space="0" w:color="auto"/>
              <w:right w:val="single" w:sz="4" w:space="0" w:color="auto"/>
            </w:tcBorders>
            <w:shd w:val="clear" w:color="auto" w:fill="auto"/>
          </w:tcPr>
          <w:p w:rsidR="00B4173B" w:rsidRPr="00B4173B" w:rsidRDefault="00B4173B" w:rsidP="00B4173B">
            <w:pPr>
              <w:widowControl w:val="0"/>
              <w:jc w:val="right"/>
              <w:rPr>
                <w:color w:val="000000"/>
                <w:sz w:val="20"/>
                <w:szCs w:val="20"/>
                <w:lang w:val="en-US" w:eastAsia="en-CA"/>
              </w:rPr>
            </w:pPr>
            <w:r w:rsidRPr="00B4173B">
              <w:rPr>
                <w:color w:val="000000"/>
                <w:sz w:val="20"/>
                <w:szCs w:val="20"/>
                <w:lang w:val="fr" w:eastAsia="fr"/>
              </w:rPr>
              <w:t>100 000</w:t>
            </w:r>
          </w:p>
        </w:tc>
        <w:tc>
          <w:tcPr>
            <w:tcW w:w="682" w:type="dxa"/>
            <w:tcBorders>
              <w:top w:val="nil"/>
              <w:left w:val="nil"/>
              <w:bottom w:val="single" w:sz="4" w:space="0" w:color="auto"/>
              <w:right w:val="single" w:sz="4" w:space="0" w:color="auto"/>
            </w:tcBorders>
            <w:shd w:val="clear" w:color="auto" w:fill="auto"/>
          </w:tcPr>
          <w:p w:rsidR="00B4173B" w:rsidRPr="00B4173B" w:rsidRDefault="00B4173B" w:rsidP="00B4173B">
            <w:pPr>
              <w:jc w:val="right"/>
              <w:rPr>
                <w:sz w:val="20"/>
                <w:szCs w:val="20"/>
              </w:rPr>
            </w:pPr>
            <w:r w:rsidRPr="00B4173B">
              <w:rPr>
                <w:sz w:val="20"/>
                <w:szCs w:val="20"/>
              </w:rPr>
              <w:t>0</w:t>
            </w:r>
          </w:p>
        </w:tc>
        <w:tc>
          <w:tcPr>
            <w:tcW w:w="666" w:type="dxa"/>
            <w:tcBorders>
              <w:top w:val="nil"/>
              <w:left w:val="nil"/>
              <w:bottom w:val="single" w:sz="4" w:space="0" w:color="auto"/>
              <w:right w:val="single" w:sz="4" w:space="0" w:color="auto"/>
            </w:tcBorders>
            <w:shd w:val="clear" w:color="auto" w:fill="auto"/>
          </w:tcPr>
          <w:p w:rsidR="00B4173B" w:rsidRPr="00B4173B" w:rsidRDefault="00B4173B" w:rsidP="00B4173B">
            <w:pPr>
              <w:jc w:val="right"/>
              <w:rPr>
                <w:sz w:val="20"/>
                <w:szCs w:val="20"/>
              </w:rPr>
            </w:pPr>
            <w:r w:rsidRPr="00B4173B">
              <w:rPr>
                <w:sz w:val="20"/>
                <w:szCs w:val="20"/>
              </w:rPr>
              <w:t>0</w:t>
            </w:r>
          </w:p>
        </w:tc>
        <w:tc>
          <w:tcPr>
            <w:tcW w:w="920" w:type="dxa"/>
            <w:tcBorders>
              <w:top w:val="single" w:sz="4" w:space="0" w:color="auto"/>
              <w:left w:val="nil"/>
              <w:bottom w:val="single" w:sz="4" w:space="0" w:color="auto"/>
              <w:right w:val="single" w:sz="4" w:space="0" w:color="auto"/>
            </w:tcBorders>
            <w:shd w:val="clear" w:color="auto" w:fill="auto"/>
          </w:tcPr>
          <w:p w:rsidR="00B4173B" w:rsidRPr="00B4173B" w:rsidRDefault="00B4173B" w:rsidP="00B4173B">
            <w:pPr>
              <w:widowControl w:val="0"/>
              <w:jc w:val="right"/>
              <w:rPr>
                <w:color w:val="000000"/>
                <w:sz w:val="20"/>
                <w:szCs w:val="20"/>
                <w:lang w:val="en-US" w:eastAsia="en-CA"/>
              </w:rPr>
            </w:pPr>
            <w:r w:rsidRPr="00B4173B">
              <w:rPr>
                <w:color w:val="000000"/>
                <w:sz w:val="20"/>
                <w:szCs w:val="20"/>
                <w:lang w:val="fr" w:eastAsia="fr"/>
              </w:rPr>
              <w:t>24 000</w:t>
            </w:r>
          </w:p>
        </w:tc>
        <w:tc>
          <w:tcPr>
            <w:tcW w:w="1016" w:type="dxa"/>
            <w:tcBorders>
              <w:top w:val="nil"/>
              <w:left w:val="single" w:sz="4" w:space="0" w:color="auto"/>
              <w:bottom w:val="single" w:sz="4" w:space="0" w:color="auto"/>
              <w:right w:val="single" w:sz="4" w:space="0" w:color="auto"/>
            </w:tcBorders>
            <w:shd w:val="clear" w:color="auto" w:fill="auto"/>
          </w:tcPr>
          <w:p w:rsidR="00B4173B" w:rsidRPr="00B4173B" w:rsidRDefault="00B4173B" w:rsidP="00B4173B">
            <w:pPr>
              <w:widowControl w:val="0"/>
              <w:jc w:val="right"/>
              <w:rPr>
                <w:color w:val="000000"/>
                <w:sz w:val="20"/>
                <w:szCs w:val="20"/>
                <w:lang w:val="en-US" w:eastAsia="en-CA"/>
              </w:rPr>
            </w:pPr>
            <w:r w:rsidRPr="00B4173B">
              <w:rPr>
                <w:color w:val="000000"/>
                <w:sz w:val="20"/>
                <w:szCs w:val="20"/>
                <w:lang w:val="fr" w:eastAsia="fr"/>
              </w:rPr>
              <w:t>200 000</w:t>
            </w:r>
          </w:p>
        </w:tc>
      </w:tr>
      <w:tr w:rsidR="00B4173B" w:rsidRPr="00B4173B" w:rsidTr="0025325D">
        <w:trPr>
          <w:trHeight w:val="60"/>
          <w:jc w:val="center"/>
        </w:trPr>
        <w:tc>
          <w:tcPr>
            <w:tcW w:w="846" w:type="dxa"/>
            <w:tcBorders>
              <w:top w:val="nil"/>
              <w:left w:val="single" w:sz="4" w:space="0" w:color="auto"/>
              <w:bottom w:val="single" w:sz="4" w:space="0" w:color="auto"/>
              <w:right w:val="single" w:sz="4" w:space="0" w:color="auto"/>
            </w:tcBorders>
            <w:shd w:val="clear" w:color="auto" w:fill="auto"/>
            <w:hideMark/>
          </w:tcPr>
          <w:p w:rsidR="00B4173B" w:rsidRPr="00B4173B" w:rsidRDefault="00B4173B" w:rsidP="00B4173B">
            <w:pPr>
              <w:widowControl w:val="0"/>
              <w:rPr>
                <w:color w:val="000000"/>
                <w:sz w:val="20"/>
                <w:szCs w:val="20"/>
                <w:lang w:eastAsia="en-CA"/>
              </w:rPr>
            </w:pPr>
            <w:r w:rsidRPr="00B4173B">
              <w:rPr>
                <w:color w:val="000000"/>
                <w:sz w:val="20"/>
                <w:szCs w:val="20"/>
                <w:lang w:eastAsia="fr"/>
              </w:rPr>
              <w:t>2.4</w:t>
            </w:r>
          </w:p>
        </w:tc>
        <w:tc>
          <w:tcPr>
            <w:tcW w:w="2671" w:type="dxa"/>
            <w:tcBorders>
              <w:top w:val="nil"/>
              <w:left w:val="nil"/>
              <w:bottom w:val="single" w:sz="4" w:space="0" w:color="auto"/>
              <w:right w:val="single" w:sz="4" w:space="0" w:color="auto"/>
            </w:tcBorders>
            <w:shd w:val="clear" w:color="auto" w:fill="auto"/>
            <w:hideMark/>
          </w:tcPr>
          <w:p w:rsidR="00B4173B" w:rsidRPr="00B4173B" w:rsidRDefault="00B4173B" w:rsidP="00B4173B">
            <w:pPr>
              <w:widowControl w:val="0"/>
              <w:rPr>
                <w:color w:val="000000"/>
                <w:sz w:val="20"/>
                <w:szCs w:val="20"/>
                <w:lang w:val="fr-FR" w:eastAsia="en-CA"/>
              </w:rPr>
            </w:pPr>
            <w:r w:rsidRPr="00B4173B">
              <w:rPr>
                <w:color w:val="000000"/>
                <w:sz w:val="20"/>
                <w:szCs w:val="20"/>
                <w:lang w:val="fr" w:eastAsia="fr"/>
              </w:rPr>
              <w:t>Coût d’appui pour l’Agence de coopération ($US)</w:t>
            </w:r>
          </w:p>
        </w:tc>
        <w:tc>
          <w:tcPr>
            <w:tcW w:w="1016" w:type="dxa"/>
            <w:tcBorders>
              <w:top w:val="nil"/>
              <w:left w:val="nil"/>
              <w:bottom w:val="single" w:sz="4" w:space="0" w:color="auto"/>
              <w:right w:val="single" w:sz="4" w:space="0" w:color="auto"/>
            </w:tcBorders>
          </w:tcPr>
          <w:p w:rsidR="00B4173B" w:rsidRPr="00B4173B" w:rsidRDefault="00B4173B" w:rsidP="00B4173B">
            <w:pPr>
              <w:widowControl w:val="0"/>
              <w:jc w:val="right"/>
              <w:rPr>
                <w:color w:val="000000"/>
                <w:sz w:val="20"/>
                <w:szCs w:val="20"/>
                <w:lang w:val="en-US" w:eastAsia="en-CA"/>
              </w:rPr>
            </w:pPr>
            <w:r w:rsidRPr="00B4173B">
              <w:rPr>
                <w:color w:val="000000"/>
                <w:sz w:val="20"/>
                <w:szCs w:val="20"/>
                <w:lang w:val="fr" w:eastAsia="fr"/>
              </w:rPr>
              <w:t>9 880</w:t>
            </w:r>
          </w:p>
        </w:tc>
        <w:tc>
          <w:tcPr>
            <w:tcW w:w="854" w:type="dxa"/>
            <w:tcBorders>
              <w:top w:val="single" w:sz="4" w:space="0" w:color="auto"/>
              <w:left w:val="single" w:sz="4" w:space="0" w:color="auto"/>
              <w:bottom w:val="single" w:sz="4" w:space="0" w:color="auto"/>
              <w:right w:val="single" w:sz="4" w:space="0" w:color="auto"/>
            </w:tcBorders>
            <w:shd w:val="clear" w:color="auto" w:fill="auto"/>
          </w:tcPr>
          <w:p w:rsidR="00B4173B" w:rsidRPr="00B4173B" w:rsidRDefault="00B4173B" w:rsidP="00B4173B">
            <w:pPr>
              <w:jc w:val="right"/>
              <w:rPr>
                <w:sz w:val="20"/>
                <w:szCs w:val="20"/>
              </w:rPr>
            </w:pPr>
            <w:r w:rsidRPr="00B4173B">
              <w:rPr>
                <w:sz w:val="20"/>
                <w:szCs w:val="20"/>
              </w:rPr>
              <w:t>0</w:t>
            </w:r>
          </w:p>
        </w:tc>
        <w:tc>
          <w:tcPr>
            <w:tcW w:w="851" w:type="dxa"/>
            <w:tcBorders>
              <w:top w:val="nil"/>
              <w:left w:val="nil"/>
              <w:bottom w:val="single" w:sz="4" w:space="0" w:color="auto"/>
              <w:right w:val="single" w:sz="4" w:space="0" w:color="auto"/>
            </w:tcBorders>
            <w:shd w:val="clear" w:color="auto" w:fill="auto"/>
          </w:tcPr>
          <w:p w:rsidR="00B4173B" w:rsidRPr="00B4173B" w:rsidRDefault="00B4173B" w:rsidP="00B4173B">
            <w:pPr>
              <w:jc w:val="right"/>
              <w:rPr>
                <w:sz w:val="20"/>
                <w:szCs w:val="20"/>
              </w:rPr>
            </w:pPr>
            <w:r w:rsidRPr="00B4173B">
              <w:rPr>
                <w:sz w:val="20"/>
                <w:szCs w:val="20"/>
              </w:rPr>
              <w:t>0</w:t>
            </w:r>
          </w:p>
        </w:tc>
        <w:tc>
          <w:tcPr>
            <w:tcW w:w="992" w:type="dxa"/>
            <w:tcBorders>
              <w:top w:val="nil"/>
              <w:left w:val="nil"/>
              <w:bottom w:val="single" w:sz="4" w:space="0" w:color="auto"/>
              <w:right w:val="single" w:sz="4" w:space="0" w:color="auto"/>
            </w:tcBorders>
            <w:shd w:val="clear" w:color="auto" w:fill="auto"/>
          </w:tcPr>
          <w:p w:rsidR="00B4173B" w:rsidRPr="00B4173B" w:rsidRDefault="00B4173B" w:rsidP="00B4173B">
            <w:pPr>
              <w:widowControl w:val="0"/>
              <w:jc w:val="right"/>
              <w:rPr>
                <w:color w:val="000000"/>
                <w:sz w:val="20"/>
                <w:szCs w:val="20"/>
                <w:lang w:val="en-US" w:eastAsia="en-CA"/>
              </w:rPr>
            </w:pPr>
            <w:r w:rsidRPr="00B4173B">
              <w:rPr>
                <w:color w:val="000000"/>
                <w:sz w:val="20"/>
                <w:szCs w:val="20"/>
                <w:lang w:val="fr" w:eastAsia="fr"/>
              </w:rPr>
              <w:t>13 000</w:t>
            </w:r>
          </w:p>
        </w:tc>
        <w:tc>
          <w:tcPr>
            <w:tcW w:w="682" w:type="dxa"/>
            <w:tcBorders>
              <w:top w:val="nil"/>
              <w:left w:val="nil"/>
              <w:bottom w:val="single" w:sz="4" w:space="0" w:color="auto"/>
              <w:right w:val="single" w:sz="4" w:space="0" w:color="auto"/>
            </w:tcBorders>
            <w:shd w:val="clear" w:color="auto" w:fill="auto"/>
          </w:tcPr>
          <w:p w:rsidR="00B4173B" w:rsidRPr="00B4173B" w:rsidRDefault="00B4173B" w:rsidP="00B4173B">
            <w:pPr>
              <w:jc w:val="right"/>
              <w:rPr>
                <w:sz w:val="20"/>
                <w:szCs w:val="20"/>
              </w:rPr>
            </w:pPr>
            <w:r w:rsidRPr="00B4173B">
              <w:rPr>
                <w:sz w:val="20"/>
                <w:szCs w:val="20"/>
              </w:rPr>
              <w:t>0</w:t>
            </w:r>
          </w:p>
        </w:tc>
        <w:tc>
          <w:tcPr>
            <w:tcW w:w="666" w:type="dxa"/>
            <w:tcBorders>
              <w:top w:val="nil"/>
              <w:left w:val="nil"/>
              <w:bottom w:val="single" w:sz="4" w:space="0" w:color="auto"/>
              <w:right w:val="single" w:sz="4" w:space="0" w:color="auto"/>
            </w:tcBorders>
            <w:shd w:val="clear" w:color="auto" w:fill="auto"/>
          </w:tcPr>
          <w:p w:rsidR="00B4173B" w:rsidRPr="00B4173B" w:rsidRDefault="00B4173B" w:rsidP="00B4173B">
            <w:pPr>
              <w:jc w:val="right"/>
              <w:rPr>
                <w:sz w:val="20"/>
                <w:szCs w:val="20"/>
              </w:rPr>
            </w:pPr>
            <w:r w:rsidRPr="00B4173B">
              <w:rPr>
                <w:sz w:val="20"/>
                <w:szCs w:val="20"/>
              </w:rPr>
              <w:t>0</w:t>
            </w:r>
          </w:p>
        </w:tc>
        <w:tc>
          <w:tcPr>
            <w:tcW w:w="920" w:type="dxa"/>
            <w:tcBorders>
              <w:top w:val="single" w:sz="4" w:space="0" w:color="auto"/>
              <w:left w:val="nil"/>
              <w:bottom w:val="single" w:sz="4" w:space="0" w:color="auto"/>
              <w:right w:val="single" w:sz="4" w:space="0" w:color="auto"/>
            </w:tcBorders>
            <w:shd w:val="clear" w:color="auto" w:fill="auto"/>
          </w:tcPr>
          <w:p w:rsidR="00B4173B" w:rsidRPr="00B4173B" w:rsidRDefault="00B4173B" w:rsidP="00B4173B">
            <w:pPr>
              <w:widowControl w:val="0"/>
              <w:jc w:val="right"/>
              <w:rPr>
                <w:color w:val="000000"/>
                <w:sz w:val="20"/>
                <w:szCs w:val="20"/>
                <w:lang w:val="en-US" w:eastAsia="en-CA"/>
              </w:rPr>
            </w:pPr>
            <w:r w:rsidRPr="00B4173B">
              <w:rPr>
                <w:color w:val="000000"/>
                <w:sz w:val="20"/>
                <w:szCs w:val="20"/>
                <w:lang w:val="fr" w:eastAsia="fr"/>
              </w:rPr>
              <w:t>3 120</w:t>
            </w:r>
          </w:p>
        </w:tc>
        <w:tc>
          <w:tcPr>
            <w:tcW w:w="1016" w:type="dxa"/>
            <w:tcBorders>
              <w:top w:val="nil"/>
              <w:left w:val="single" w:sz="4" w:space="0" w:color="auto"/>
              <w:bottom w:val="single" w:sz="4" w:space="0" w:color="auto"/>
              <w:right w:val="single" w:sz="4" w:space="0" w:color="auto"/>
            </w:tcBorders>
            <w:shd w:val="clear" w:color="auto" w:fill="auto"/>
          </w:tcPr>
          <w:p w:rsidR="00B4173B" w:rsidRPr="00B4173B" w:rsidRDefault="00B4173B" w:rsidP="00B4173B">
            <w:pPr>
              <w:widowControl w:val="0"/>
              <w:jc w:val="right"/>
              <w:rPr>
                <w:color w:val="000000"/>
                <w:sz w:val="20"/>
                <w:szCs w:val="20"/>
                <w:lang w:val="en-US" w:eastAsia="en-CA"/>
              </w:rPr>
            </w:pPr>
            <w:r w:rsidRPr="00B4173B">
              <w:rPr>
                <w:color w:val="000000"/>
                <w:sz w:val="20"/>
                <w:szCs w:val="20"/>
                <w:lang w:val="fr" w:eastAsia="fr"/>
              </w:rPr>
              <w:t>26 000</w:t>
            </w:r>
          </w:p>
        </w:tc>
      </w:tr>
      <w:tr w:rsidR="00B4173B" w:rsidRPr="00B4173B" w:rsidTr="0025325D">
        <w:trPr>
          <w:trHeight w:val="62"/>
          <w:jc w:val="center"/>
        </w:trPr>
        <w:tc>
          <w:tcPr>
            <w:tcW w:w="846" w:type="dxa"/>
            <w:tcBorders>
              <w:top w:val="nil"/>
              <w:left w:val="single" w:sz="4" w:space="0" w:color="auto"/>
              <w:bottom w:val="single" w:sz="4" w:space="0" w:color="auto"/>
              <w:right w:val="single" w:sz="4" w:space="0" w:color="auto"/>
            </w:tcBorders>
            <w:shd w:val="clear" w:color="auto" w:fill="auto"/>
            <w:hideMark/>
          </w:tcPr>
          <w:p w:rsidR="00B4173B" w:rsidRPr="00B4173B" w:rsidRDefault="00B4173B" w:rsidP="00B4173B">
            <w:pPr>
              <w:widowControl w:val="0"/>
              <w:rPr>
                <w:color w:val="000000"/>
                <w:sz w:val="20"/>
                <w:szCs w:val="20"/>
                <w:lang w:eastAsia="en-CA"/>
              </w:rPr>
            </w:pPr>
            <w:r w:rsidRPr="00B4173B">
              <w:rPr>
                <w:color w:val="000000"/>
                <w:sz w:val="20"/>
                <w:szCs w:val="20"/>
                <w:lang w:eastAsia="fr"/>
              </w:rPr>
              <w:t>3.1</w:t>
            </w:r>
          </w:p>
        </w:tc>
        <w:tc>
          <w:tcPr>
            <w:tcW w:w="2671" w:type="dxa"/>
            <w:tcBorders>
              <w:top w:val="nil"/>
              <w:left w:val="nil"/>
              <w:bottom w:val="single" w:sz="4" w:space="0" w:color="auto"/>
              <w:right w:val="single" w:sz="4" w:space="0" w:color="auto"/>
            </w:tcBorders>
            <w:shd w:val="clear" w:color="auto" w:fill="auto"/>
            <w:hideMark/>
          </w:tcPr>
          <w:p w:rsidR="00B4173B" w:rsidRPr="00B4173B" w:rsidRDefault="00B4173B" w:rsidP="00B4173B">
            <w:pPr>
              <w:widowControl w:val="0"/>
              <w:rPr>
                <w:color w:val="000000"/>
                <w:sz w:val="20"/>
                <w:szCs w:val="20"/>
                <w:lang w:val="fr-FR" w:eastAsia="en-CA"/>
              </w:rPr>
            </w:pPr>
            <w:r w:rsidRPr="00B4173B">
              <w:rPr>
                <w:color w:val="000000"/>
                <w:sz w:val="20"/>
                <w:szCs w:val="20"/>
                <w:lang w:val="fr-FR" w:eastAsia="fr"/>
              </w:rPr>
              <w:t>Total du financement convenu ($ US)</w:t>
            </w:r>
          </w:p>
        </w:tc>
        <w:tc>
          <w:tcPr>
            <w:tcW w:w="1016" w:type="dxa"/>
            <w:tcBorders>
              <w:top w:val="nil"/>
              <w:left w:val="nil"/>
              <w:bottom w:val="single" w:sz="4" w:space="0" w:color="auto"/>
              <w:right w:val="single" w:sz="4" w:space="0" w:color="auto"/>
            </w:tcBorders>
          </w:tcPr>
          <w:p w:rsidR="00B4173B" w:rsidRPr="00B4173B" w:rsidRDefault="00B4173B" w:rsidP="00B4173B">
            <w:pPr>
              <w:widowControl w:val="0"/>
              <w:jc w:val="right"/>
              <w:rPr>
                <w:color w:val="000000"/>
                <w:sz w:val="20"/>
                <w:szCs w:val="20"/>
                <w:lang w:eastAsia="en-CA"/>
              </w:rPr>
            </w:pPr>
            <w:r w:rsidRPr="00B4173B">
              <w:rPr>
                <w:color w:val="000000"/>
                <w:sz w:val="20"/>
                <w:szCs w:val="20"/>
                <w:lang w:eastAsia="fr"/>
              </w:rPr>
              <w:t>934 306</w:t>
            </w:r>
          </w:p>
        </w:tc>
        <w:tc>
          <w:tcPr>
            <w:tcW w:w="854" w:type="dxa"/>
            <w:tcBorders>
              <w:top w:val="single" w:sz="4" w:space="0" w:color="auto"/>
              <w:left w:val="single" w:sz="4" w:space="0" w:color="auto"/>
              <w:bottom w:val="single" w:sz="4" w:space="0" w:color="auto"/>
              <w:right w:val="single" w:sz="4" w:space="0" w:color="auto"/>
            </w:tcBorders>
            <w:shd w:val="clear" w:color="auto" w:fill="auto"/>
          </w:tcPr>
          <w:p w:rsidR="00B4173B" w:rsidRPr="00B4173B" w:rsidRDefault="00B4173B" w:rsidP="00B4173B">
            <w:pPr>
              <w:jc w:val="right"/>
              <w:rPr>
                <w:sz w:val="20"/>
                <w:szCs w:val="20"/>
              </w:rPr>
            </w:pPr>
            <w:r w:rsidRPr="00B4173B">
              <w:rPr>
                <w:sz w:val="20"/>
                <w:szCs w:val="20"/>
              </w:rPr>
              <w:t>0</w:t>
            </w:r>
          </w:p>
        </w:tc>
        <w:tc>
          <w:tcPr>
            <w:tcW w:w="851" w:type="dxa"/>
            <w:tcBorders>
              <w:top w:val="nil"/>
              <w:left w:val="nil"/>
              <w:bottom w:val="single" w:sz="4" w:space="0" w:color="auto"/>
              <w:right w:val="single" w:sz="4" w:space="0" w:color="auto"/>
            </w:tcBorders>
            <w:shd w:val="clear" w:color="auto" w:fill="auto"/>
          </w:tcPr>
          <w:p w:rsidR="00B4173B" w:rsidRPr="00B4173B" w:rsidRDefault="00B4173B" w:rsidP="00B4173B">
            <w:pPr>
              <w:jc w:val="right"/>
              <w:rPr>
                <w:sz w:val="20"/>
                <w:szCs w:val="20"/>
              </w:rPr>
            </w:pPr>
            <w:r w:rsidRPr="00B4173B">
              <w:rPr>
                <w:sz w:val="20"/>
                <w:szCs w:val="20"/>
              </w:rPr>
              <w:t>0</w:t>
            </w:r>
          </w:p>
        </w:tc>
        <w:tc>
          <w:tcPr>
            <w:tcW w:w="992" w:type="dxa"/>
            <w:tcBorders>
              <w:top w:val="nil"/>
              <w:left w:val="nil"/>
              <w:bottom w:val="single" w:sz="4" w:space="0" w:color="auto"/>
              <w:right w:val="single" w:sz="4" w:space="0" w:color="auto"/>
            </w:tcBorders>
            <w:shd w:val="clear" w:color="auto" w:fill="auto"/>
          </w:tcPr>
          <w:p w:rsidR="00B4173B" w:rsidRPr="00B4173B" w:rsidRDefault="00B4173B" w:rsidP="00B4173B">
            <w:pPr>
              <w:widowControl w:val="0"/>
              <w:jc w:val="right"/>
              <w:rPr>
                <w:color w:val="000000"/>
                <w:sz w:val="20"/>
                <w:szCs w:val="20"/>
                <w:lang w:eastAsia="en-CA"/>
              </w:rPr>
            </w:pPr>
            <w:r w:rsidRPr="00B4173B">
              <w:rPr>
                <w:color w:val="000000"/>
                <w:sz w:val="20"/>
                <w:szCs w:val="20"/>
                <w:lang w:eastAsia="fr"/>
              </w:rPr>
              <w:t>486 640</w:t>
            </w:r>
          </w:p>
        </w:tc>
        <w:tc>
          <w:tcPr>
            <w:tcW w:w="682" w:type="dxa"/>
            <w:tcBorders>
              <w:top w:val="nil"/>
              <w:left w:val="nil"/>
              <w:bottom w:val="single" w:sz="4" w:space="0" w:color="auto"/>
              <w:right w:val="single" w:sz="4" w:space="0" w:color="auto"/>
            </w:tcBorders>
            <w:shd w:val="clear" w:color="auto" w:fill="auto"/>
          </w:tcPr>
          <w:p w:rsidR="00B4173B" w:rsidRPr="00B4173B" w:rsidRDefault="00B4173B" w:rsidP="00B4173B">
            <w:pPr>
              <w:jc w:val="right"/>
              <w:rPr>
                <w:sz w:val="20"/>
                <w:szCs w:val="20"/>
              </w:rPr>
            </w:pPr>
            <w:r w:rsidRPr="00B4173B">
              <w:rPr>
                <w:sz w:val="20"/>
                <w:szCs w:val="20"/>
              </w:rPr>
              <w:t>0</w:t>
            </w:r>
          </w:p>
        </w:tc>
        <w:tc>
          <w:tcPr>
            <w:tcW w:w="666" w:type="dxa"/>
            <w:tcBorders>
              <w:top w:val="nil"/>
              <w:left w:val="nil"/>
              <w:bottom w:val="single" w:sz="4" w:space="0" w:color="auto"/>
              <w:right w:val="single" w:sz="4" w:space="0" w:color="auto"/>
            </w:tcBorders>
            <w:shd w:val="clear" w:color="auto" w:fill="auto"/>
          </w:tcPr>
          <w:p w:rsidR="00B4173B" w:rsidRPr="00B4173B" w:rsidRDefault="00B4173B" w:rsidP="00B4173B">
            <w:pPr>
              <w:jc w:val="right"/>
              <w:rPr>
                <w:sz w:val="20"/>
                <w:szCs w:val="20"/>
              </w:rPr>
            </w:pPr>
            <w:r w:rsidRPr="00B4173B">
              <w:rPr>
                <w:sz w:val="20"/>
                <w:szCs w:val="20"/>
              </w:rPr>
              <w:t>0</w:t>
            </w:r>
          </w:p>
        </w:tc>
        <w:tc>
          <w:tcPr>
            <w:tcW w:w="920" w:type="dxa"/>
            <w:tcBorders>
              <w:top w:val="single" w:sz="4" w:space="0" w:color="auto"/>
              <w:left w:val="nil"/>
              <w:bottom w:val="single" w:sz="4" w:space="0" w:color="auto"/>
              <w:right w:val="single" w:sz="4" w:space="0" w:color="auto"/>
            </w:tcBorders>
            <w:shd w:val="clear" w:color="auto" w:fill="auto"/>
          </w:tcPr>
          <w:p w:rsidR="00B4173B" w:rsidRPr="00B4173B" w:rsidRDefault="00B4173B" w:rsidP="00B4173B">
            <w:pPr>
              <w:widowControl w:val="0"/>
              <w:jc w:val="right"/>
              <w:rPr>
                <w:color w:val="000000"/>
                <w:sz w:val="20"/>
                <w:szCs w:val="20"/>
                <w:lang w:eastAsia="en-CA"/>
              </w:rPr>
            </w:pPr>
            <w:r w:rsidRPr="00B4173B">
              <w:rPr>
                <w:color w:val="000000"/>
                <w:sz w:val="20"/>
                <w:szCs w:val="20"/>
                <w:lang w:eastAsia="fr"/>
              </w:rPr>
              <w:t>144 000</w:t>
            </w:r>
          </w:p>
        </w:tc>
        <w:tc>
          <w:tcPr>
            <w:tcW w:w="1016" w:type="dxa"/>
            <w:tcBorders>
              <w:top w:val="nil"/>
              <w:left w:val="single" w:sz="4" w:space="0" w:color="auto"/>
              <w:bottom w:val="single" w:sz="4" w:space="0" w:color="auto"/>
              <w:right w:val="single" w:sz="4" w:space="0" w:color="auto"/>
            </w:tcBorders>
            <w:shd w:val="clear" w:color="auto" w:fill="auto"/>
          </w:tcPr>
          <w:p w:rsidR="00B4173B" w:rsidRPr="00B4173B" w:rsidRDefault="00B4173B" w:rsidP="00B4173B">
            <w:pPr>
              <w:widowControl w:val="0"/>
              <w:jc w:val="right"/>
              <w:rPr>
                <w:color w:val="000000"/>
                <w:sz w:val="20"/>
                <w:szCs w:val="20"/>
                <w:lang w:eastAsia="en-CA"/>
              </w:rPr>
            </w:pPr>
            <w:r w:rsidRPr="00B4173B">
              <w:rPr>
                <w:color w:val="000000"/>
                <w:sz w:val="20"/>
                <w:szCs w:val="20"/>
                <w:lang w:eastAsia="fr"/>
              </w:rPr>
              <w:t>1 564 946</w:t>
            </w:r>
          </w:p>
        </w:tc>
      </w:tr>
      <w:tr w:rsidR="00B4173B" w:rsidRPr="00B4173B" w:rsidTr="0025325D">
        <w:trPr>
          <w:trHeight w:val="62"/>
          <w:jc w:val="center"/>
        </w:trPr>
        <w:tc>
          <w:tcPr>
            <w:tcW w:w="846" w:type="dxa"/>
            <w:tcBorders>
              <w:top w:val="nil"/>
              <w:left w:val="single" w:sz="4" w:space="0" w:color="auto"/>
              <w:bottom w:val="single" w:sz="4" w:space="0" w:color="auto"/>
              <w:right w:val="single" w:sz="4" w:space="0" w:color="auto"/>
            </w:tcBorders>
            <w:shd w:val="clear" w:color="auto" w:fill="auto"/>
            <w:hideMark/>
          </w:tcPr>
          <w:p w:rsidR="00B4173B" w:rsidRPr="00B4173B" w:rsidRDefault="00B4173B" w:rsidP="00B4173B">
            <w:pPr>
              <w:widowControl w:val="0"/>
              <w:rPr>
                <w:color w:val="000000"/>
                <w:sz w:val="20"/>
                <w:szCs w:val="20"/>
                <w:lang w:eastAsia="en-CA"/>
              </w:rPr>
            </w:pPr>
            <w:r w:rsidRPr="00B4173B">
              <w:rPr>
                <w:color w:val="000000"/>
                <w:sz w:val="20"/>
                <w:szCs w:val="20"/>
                <w:lang w:eastAsia="fr"/>
              </w:rPr>
              <w:t>3.2</w:t>
            </w:r>
          </w:p>
        </w:tc>
        <w:tc>
          <w:tcPr>
            <w:tcW w:w="2671" w:type="dxa"/>
            <w:tcBorders>
              <w:top w:val="nil"/>
              <w:left w:val="nil"/>
              <w:bottom w:val="single" w:sz="4" w:space="0" w:color="auto"/>
              <w:right w:val="single" w:sz="4" w:space="0" w:color="auto"/>
            </w:tcBorders>
            <w:shd w:val="clear" w:color="auto" w:fill="auto"/>
            <w:hideMark/>
          </w:tcPr>
          <w:p w:rsidR="00B4173B" w:rsidRPr="00B4173B" w:rsidRDefault="00B4173B" w:rsidP="00B4173B">
            <w:pPr>
              <w:widowControl w:val="0"/>
              <w:rPr>
                <w:color w:val="000000"/>
                <w:sz w:val="20"/>
                <w:szCs w:val="20"/>
                <w:lang w:val="fr-FR" w:eastAsia="en-CA"/>
              </w:rPr>
            </w:pPr>
            <w:r w:rsidRPr="00B4173B">
              <w:rPr>
                <w:color w:val="000000"/>
                <w:sz w:val="20"/>
                <w:szCs w:val="20"/>
                <w:lang w:val="fr-FR" w:eastAsia="fr"/>
              </w:rPr>
              <w:t>Total des coûts d’appui ($ US)</w:t>
            </w:r>
          </w:p>
        </w:tc>
        <w:tc>
          <w:tcPr>
            <w:tcW w:w="1016" w:type="dxa"/>
            <w:tcBorders>
              <w:top w:val="nil"/>
              <w:left w:val="nil"/>
              <w:bottom w:val="single" w:sz="4" w:space="0" w:color="auto"/>
              <w:right w:val="single" w:sz="4" w:space="0" w:color="auto"/>
            </w:tcBorders>
          </w:tcPr>
          <w:p w:rsidR="00B4173B" w:rsidRPr="00B4173B" w:rsidRDefault="00B4173B" w:rsidP="00B4173B">
            <w:pPr>
              <w:widowControl w:val="0"/>
              <w:jc w:val="right"/>
              <w:rPr>
                <w:color w:val="000000"/>
                <w:sz w:val="20"/>
                <w:szCs w:val="20"/>
                <w:lang w:eastAsia="en-CA"/>
              </w:rPr>
            </w:pPr>
            <w:r w:rsidRPr="00B4173B">
              <w:rPr>
                <w:color w:val="000000"/>
                <w:sz w:val="20"/>
                <w:szCs w:val="20"/>
                <w:lang w:eastAsia="fr"/>
              </w:rPr>
              <w:t>69 961</w:t>
            </w:r>
          </w:p>
        </w:tc>
        <w:tc>
          <w:tcPr>
            <w:tcW w:w="854" w:type="dxa"/>
            <w:tcBorders>
              <w:top w:val="single" w:sz="4" w:space="0" w:color="auto"/>
              <w:left w:val="single" w:sz="4" w:space="0" w:color="auto"/>
              <w:bottom w:val="single" w:sz="4" w:space="0" w:color="auto"/>
              <w:right w:val="single" w:sz="4" w:space="0" w:color="auto"/>
            </w:tcBorders>
            <w:shd w:val="clear" w:color="auto" w:fill="auto"/>
          </w:tcPr>
          <w:p w:rsidR="00B4173B" w:rsidRPr="00B4173B" w:rsidRDefault="00B4173B" w:rsidP="00B4173B">
            <w:pPr>
              <w:jc w:val="right"/>
              <w:rPr>
                <w:sz w:val="20"/>
                <w:szCs w:val="20"/>
              </w:rPr>
            </w:pPr>
            <w:r w:rsidRPr="00B4173B">
              <w:rPr>
                <w:sz w:val="20"/>
                <w:szCs w:val="20"/>
              </w:rPr>
              <w:t>0</w:t>
            </w:r>
          </w:p>
        </w:tc>
        <w:tc>
          <w:tcPr>
            <w:tcW w:w="851" w:type="dxa"/>
            <w:tcBorders>
              <w:top w:val="nil"/>
              <w:left w:val="nil"/>
              <w:bottom w:val="single" w:sz="4" w:space="0" w:color="auto"/>
              <w:right w:val="single" w:sz="4" w:space="0" w:color="auto"/>
            </w:tcBorders>
            <w:shd w:val="clear" w:color="auto" w:fill="auto"/>
          </w:tcPr>
          <w:p w:rsidR="00B4173B" w:rsidRPr="00B4173B" w:rsidRDefault="00B4173B" w:rsidP="00B4173B">
            <w:pPr>
              <w:jc w:val="right"/>
              <w:rPr>
                <w:sz w:val="20"/>
                <w:szCs w:val="20"/>
              </w:rPr>
            </w:pPr>
            <w:r w:rsidRPr="00B4173B">
              <w:rPr>
                <w:sz w:val="20"/>
                <w:szCs w:val="20"/>
              </w:rPr>
              <w:t>0</w:t>
            </w:r>
          </w:p>
        </w:tc>
        <w:tc>
          <w:tcPr>
            <w:tcW w:w="992" w:type="dxa"/>
            <w:tcBorders>
              <w:top w:val="nil"/>
              <w:left w:val="nil"/>
              <w:bottom w:val="single" w:sz="4" w:space="0" w:color="auto"/>
              <w:right w:val="single" w:sz="4" w:space="0" w:color="auto"/>
            </w:tcBorders>
            <w:shd w:val="clear" w:color="auto" w:fill="auto"/>
          </w:tcPr>
          <w:p w:rsidR="00B4173B" w:rsidRPr="00B4173B" w:rsidRDefault="00B4173B" w:rsidP="00B4173B">
            <w:pPr>
              <w:widowControl w:val="0"/>
              <w:jc w:val="right"/>
              <w:rPr>
                <w:color w:val="000000"/>
                <w:sz w:val="20"/>
                <w:szCs w:val="20"/>
                <w:lang w:eastAsia="en-CA"/>
              </w:rPr>
            </w:pPr>
            <w:r w:rsidRPr="00B4173B">
              <w:rPr>
                <w:color w:val="000000"/>
                <w:sz w:val="20"/>
                <w:szCs w:val="20"/>
                <w:lang w:eastAsia="fr"/>
              </w:rPr>
              <w:t>40 065</w:t>
            </w:r>
          </w:p>
        </w:tc>
        <w:tc>
          <w:tcPr>
            <w:tcW w:w="682" w:type="dxa"/>
            <w:tcBorders>
              <w:top w:val="nil"/>
              <w:left w:val="nil"/>
              <w:bottom w:val="single" w:sz="4" w:space="0" w:color="auto"/>
              <w:right w:val="single" w:sz="4" w:space="0" w:color="auto"/>
            </w:tcBorders>
            <w:shd w:val="clear" w:color="auto" w:fill="auto"/>
          </w:tcPr>
          <w:p w:rsidR="00B4173B" w:rsidRPr="00B4173B" w:rsidRDefault="00B4173B" w:rsidP="00B4173B">
            <w:pPr>
              <w:jc w:val="right"/>
              <w:rPr>
                <w:sz w:val="20"/>
                <w:szCs w:val="20"/>
              </w:rPr>
            </w:pPr>
            <w:r w:rsidRPr="00B4173B">
              <w:rPr>
                <w:sz w:val="20"/>
                <w:szCs w:val="20"/>
              </w:rPr>
              <w:t>0</w:t>
            </w:r>
          </w:p>
        </w:tc>
        <w:tc>
          <w:tcPr>
            <w:tcW w:w="666" w:type="dxa"/>
            <w:tcBorders>
              <w:top w:val="nil"/>
              <w:left w:val="nil"/>
              <w:bottom w:val="single" w:sz="4" w:space="0" w:color="auto"/>
              <w:right w:val="single" w:sz="4" w:space="0" w:color="auto"/>
            </w:tcBorders>
            <w:shd w:val="clear" w:color="auto" w:fill="auto"/>
          </w:tcPr>
          <w:p w:rsidR="00B4173B" w:rsidRPr="00B4173B" w:rsidRDefault="00B4173B" w:rsidP="00B4173B">
            <w:pPr>
              <w:jc w:val="right"/>
              <w:rPr>
                <w:sz w:val="20"/>
                <w:szCs w:val="20"/>
              </w:rPr>
            </w:pPr>
            <w:r w:rsidRPr="00B4173B">
              <w:rPr>
                <w:sz w:val="20"/>
                <w:szCs w:val="20"/>
              </w:rPr>
              <w:t>0</w:t>
            </w:r>
          </w:p>
        </w:tc>
        <w:tc>
          <w:tcPr>
            <w:tcW w:w="920" w:type="dxa"/>
            <w:tcBorders>
              <w:top w:val="single" w:sz="4" w:space="0" w:color="auto"/>
              <w:left w:val="nil"/>
              <w:bottom w:val="single" w:sz="4" w:space="0" w:color="auto"/>
              <w:right w:val="single" w:sz="4" w:space="0" w:color="auto"/>
            </w:tcBorders>
            <w:shd w:val="clear" w:color="auto" w:fill="auto"/>
          </w:tcPr>
          <w:p w:rsidR="00B4173B" w:rsidRPr="00B4173B" w:rsidRDefault="00B4173B" w:rsidP="00B4173B">
            <w:pPr>
              <w:widowControl w:val="0"/>
              <w:jc w:val="right"/>
              <w:rPr>
                <w:color w:val="000000"/>
                <w:sz w:val="20"/>
                <w:szCs w:val="20"/>
                <w:lang w:eastAsia="en-CA"/>
              </w:rPr>
            </w:pPr>
            <w:r w:rsidRPr="00B4173B">
              <w:rPr>
                <w:color w:val="000000"/>
                <w:sz w:val="20"/>
                <w:szCs w:val="20"/>
                <w:lang w:eastAsia="fr"/>
              </w:rPr>
              <w:t>11 520</w:t>
            </w:r>
          </w:p>
        </w:tc>
        <w:tc>
          <w:tcPr>
            <w:tcW w:w="1016" w:type="dxa"/>
            <w:tcBorders>
              <w:top w:val="nil"/>
              <w:left w:val="single" w:sz="4" w:space="0" w:color="auto"/>
              <w:bottom w:val="single" w:sz="4" w:space="0" w:color="auto"/>
              <w:right w:val="single" w:sz="4" w:space="0" w:color="auto"/>
            </w:tcBorders>
            <w:shd w:val="clear" w:color="auto" w:fill="auto"/>
          </w:tcPr>
          <w:p w:rsidR="00B4173B" w:rsidRPr="00B4173B" w:rsidRDefault="00B4173B" w:rsidP="00B4173B">
            <w:pPr>
              <w:widowControl w:val="0"/>
              <w:jc w:val="right"/>
              <w:rPr>
                <w:color w:val="000000"/>
                <w:sz w:val="20"/>
                <w:szCs w:val="20"/>
                <w:lang w:eastAsia="en-CA"/>
              </w:rPr>
            </w:pPr>
            <w:r w:rsidRPr="00B4173B">
              <w:rPr>
                <w:color w:val="000000"/>
                <w:sz w:val="20"/>
                <w:szCs w:val="20"/>
                <w:lang w:eastAsia="fr"/>
              </w:rPr>
              <w:t>121 546</w:t>
            </w:r>
          </w:p>
        </w:tc>
      </w:tr>
      <w:tr w:rsidR="00B4173B" w:rsidRPr="00B4173B" w:rsidTr="0025325D">
        <w:trPr>
          <w:trHeight w:val="53"/>
          <w:jc w:val="center"/>
        </w:trPr>
        <w:tc>
          <w:tcPr>
            <w:tcW w:w="846" w:type="dxa"/>
            <w:tcBorders>
              <w:top w:val="single" w:sz="4" w:space="0" w:color="auto"/>
              <w:left w:val="single" w:sz="4" w:space="0" w:color="auto"/>
              <w:bottom w:val="single" w:sz="4" w:space="0" w:color="auto"/>
              <w:right w:val="single" w:sz="4" w:space="0" w:color="auto"/>
            </w:tcBorders>
            <w:shd w:val="clear" w:color="auto" w:fill="auto"/>
            <w:hideMark/>
          </w:tcPr>
          <w:p w:rsidR="00B4173B" w:rsidRPr="00B4173B" w:rsidRDefault="00B4173B" w:rsidP="00B4173B">
            <w:pPr>
              <w:widowControl w:val="0"/>
              <w:rPr>
                <w:color w:val="000000"/>
                <w:sz w:val="20"/>
                <w:szCs w:val="20"/>
                <w:lang w:eastAsia="en-CA"/>
              </w:rPr>
            </w:pPr>
            <w:r w:rsidRPr="00B4173B">
              <w:rPr>
                <w:color w:val="000000"/>
                <w:sz w:val="20"/>
                <w:szCs w:val="20"/>
                <w:lang w:eastAsia="fr"/>
              </w:rPr>
              <w:t>3.3</w:t>
            </w:r>
          </w:p>
        </w:tc>
        <w:tc>
          <w:tcPr>
            <w:tcW w:w="2671" w:type="dxa"/>
            <w:tcBorders>
              <w:top w:val="single" w:sz="4" w:space="0" w:color="auto"/>
              <w:left w:val="single" w:sz="4" w:space="0" w:color="auto"/>
              <w:bottom w:val="single" w:sz="4" w:space="0" w:color="auto"/>
              <w:right w:val="single" w:sz="4" w:space="0" w:color="auto"/>
            </w:tcBorders>
            <w:shd w:val="clear" w:color="auto" w:fill="auto"/>
            <w:hideMark/>
          </w:tcPr>
          <w:p w:rsidR="00B4173B" w:rsidRPr="00B4173B" w:rsidRDefault="00B4173B" w:rsidP="00B4173B">
            <w:pPr>
              <w:widowControl w:val="0"/>
              <w:rPr>
                <w:color w:val="000000"/>
                <w:sz w:val="20"/>
                <w:szCs w:val="20"/>
                <w:lang w:val="fr-FR" w:eastAsia="en-CA"/>
              </w:rPr>
            </w:pPr>
            <w:r w:rsidRPr="00B4173B">
              <w:rPr>
                <w:color w:val="000000"/>
                <w:sz w:val="20"/>
                <w:szCs w:val="20"/>
                <w:lang w:val="fr-FR" w:eastAsia="fr"/>
              </w:rPr>
              <w:t>Total des coûts convenus ($ US)</w:t>
            </w:r>
          </w:p>
        </w:tc>
        <w:tc>
          <w:tcPr>
            <w:tcW w:w="1016" w:type="dxa"/>
            <w:tcBorders>
              <w:top w:val="single" w:sz="4" w:space="0" w:color="auto"/>
              <w:left w:val="single" w:sz="4" w:space="0" w:color="auto"/>
              <w:bottom w:val="single" w:sz="4" w:space="0" w:color="auto"/>
              <w:right w:val="single" w:sz="4" w:space="0" w:color="auto"/>
            </w:tcBorders>
          </w:tcPr>
          <w:p w:rsidR="00B4173B" w:rsidRPr="00B4173B" w:rsidRDefault="00B4173B" w:rsidP="00B4173B">
            <w:pPr>
              <w:widowControl w:val="0"/>
              <w:jc w:val="right"/>
              <w:rPr>
                <w:color w:val="000000"/>
                <w:sz w:val="20"/>
                <w:szCs w:val="20"/>
                <w:lang w:eastAsia="en-CA"/>
              </w:rPr>
            </w:pPr>
            <w:r w:rsidRPr="00B4173B">
              <w:rPr>
                <w:color w:val="000000"/>
                <w:sz w:val="20"/>
                <w:szCs w:val="20"/>
                <w:lang w:eastAsia="fr"/>
              </w:rPr>
              <w:t>1 004 267</w:t>
            </w:r>
          </w:p>
        </w:tc>
        <w:tc>
          <w:tcPr>
            <w:tcW w:w="854" w:type="dxa"/>
            <w:tcBorders>
              <w:top w:val="single" w:sz="4" w:space="0" w:color="auto"/>
              <w:left w:val="single" w:sz="4" w:space="0" w:color="auto"/>
              <w:bottom w:val="single" w:sz="4" w:space="0" w:color="auto"/>
              <w:right w:val="single" w:sz="4" w:space="0" w:color="auto"/>
            </w:tcBorders>
            <w:shd w:val="clear" w:color="auto" w:fill="auto"/>
          </w:tcPr>
          <w:p w:rsidR="00B4173B" w:rsidRPr="00B4173B" w:rsidRDefault="00B4173B" w:rsidP="00B4173B">
            <w:pPr>
              <w:jc w:val="right"/>
              <w:rPr>
                <w:sz w:val="20"/>
                <w:szCs w:val="20"/>
              </w:rPr>
            </w:pPr>
            <w:r w:rsidRPr="00B4173B">
              <w:rPr>
                <w:sz w:val="20"/>
                <w:szCs w:val="20"/>
              </w:rPr>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4173B" w:rsidRPr="00B4173B" w:rsidRDefault="00B4173B" w:rsidP="00B4173B">
            <w:pPr>
              <w:jc w:val="right"/>
              <w:rPr>
                <w:sz w:val="20"/>
                <w:szCs w:val="20"/>
              </w:rPr>
            </w:pPr>
            <w:r w:rsidRPr="00B4173B">
              <w:rPr>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4173B" w:rsidRPr="00B4173B" w:rsidRDefault="00B4173B" w:rsidP="00B4173B">
            <w:pPr>
              <w:widowControl w:val="0"/>
              <w:jc w:val="right"/>
              <w:rPr>
                <w:color w:val="000000"/>
                <w:sz w:val="20"/>
                <w:szCs w:val="20"/>
                <w:lang w:eastAsia="en-CA"/>
              </w:rPr>
            </w:pPr>
            <w:r w:rsidRPr="00B4173B">
              <w:rPr>
                <w:color w:val="000000"/>
                <w:sz w:val="20"/>
                <w:szCs w:val="20"/>
                <w:lang w:eastAsia="fr"/>
              </w:rPr>
              <w:t>526 705</w:t>
            </w:r>
          </w:p>
        </w:tc>
        <w:tc>
          <w:tcPr>
            <w:tcW w:w="682" w:type="dxa"/>
            <w:tcBorders>
              <w:top w:val="single" w:sz="4" w:space="0" w:color="auto"/>
              <w:left w:val="single" w:sz="4" w:space="0" w:color="auto"/>
              <w:bottom w:val="single" w:sz="4" w:space="0" w:color="auto"/>
              <w:right w:val="single" w:sz="4" w:space="0" w:color="auto"/>
            </w:tcBorders>
            <w:shd w:val="clear" w:color="auto" w:fill="auto"/>
          </w:tcPr>
          <w:p w:rsidR="00B4173B" w:rsidRPr="00B4173B" w:rsidRDefault="00B4173B" w:rsidP="00B4173B">
            <w:pPr>
              <w:jc w:val="right"/>
              <w:rPr>
                <w:sz w:val="20"/>
                <w:szCs w:val="20"/>
              </w:rPr>
            </w:pPr>
            <w:r w:rsidRPr="00B4173B">
              <w:rPr>
                <w:sz w:val="20"/>
                <w:szCs w:val="20"/>
              </w:rPr>
              <w:t>0</w:t>
            </w:r>
          </w:p>
        </w:tc>
        <w:tc>
          <w:tcPr>
            <w:tcW w:w="666" w:type="dxa"/>
            <w:tcBorders>
              <w:top w:val="single" w:sz="4" w:space="0" w:color="auto"/>
              <w:left w:val="single" w:sz="4" w:space="0" w:color="auto"/>
              <w:bottom w:val="single" w:sz="4" w:space="0" w:color="auto"/>
              <w:right w:val="single" w:sz="4" w:space="0" w:color="auto"/>
            </w:tcBorders>
            <w:shd w:val="clear" w:color="auto" w:fill="auto"/>
          </w:tcPr>
          <w:p w:rsidR="00B4173B" w:rsidRPr="00B4173B" w:rsidRDefault="00B4173B" w:rsidP="00B4173B">
            <w:pPr>
              <w:jc w:val="right"/>
              <w:rPr>
                <w:sz w:val="20"/>
                <w:szCs w:val="20"/>
              </w:rPr>
            </w:pPr>
            <w:r w:rsidRPr="00B4173B">
              <w:rPr>
                <w:sz w:val="20"/>
                <w:szCs w:val="20"/>
              </w:rPr>
              <w:t>0</w:t>
            </w:r>
          </w:p>
        </w:tc>
        <w:tc>
          <w:tcPr>
            <w:tcW w:w="920" w:type="dxa"/>
            <w:tcBorders>
              <w:top w:val="single" w:sz="4" w:space="0" w:color="auto"/>
              <w:left w:val="single" w:sz="4" w:space="0" w:color="auto"/>
              <w:bottom w:val="single" w:sz="4" w:space="0" w:color="auto"/>
              <w:right w:val="single" w:sz="4" w:space="0" w:color="auto"/>
            </w:tcBorders>
            <w:shd w:val="clear" w:color="auto" w:fill="auto"/>
          </w:tcPr>
          <w:p w:rsidR="00B4173B" w:rsidRPr="00B4173B" w:rsidRDefault="00B4173B" w:rsidP="00B4173B">
            <w:pPr>
              <w:widowControl w:val="0"/>
              <w:jc w:val="right"/>
              <w:rPr>
                <w:color w:val="000000"/>
                <w:sz w:val="20"/>
                <w:szCs w:val="20"/>
                <w:lang w:eastAsia="en-CA"/>
              </w:rPr>
            </w:pPr>
            <w:r w:rsidRPr="00B4173B">
              <w:rPr>
                <w:color w:val="000000"/>
                <w:sz w:val="20"/>
                <w:szCs w:val="20"/>
                <w:lang w:eastAsia="fr"/>
              </w:rPr>
              <w:t>155 520</w:t>
            </w:r>
          </w:p>
        </w:tc>
        <w:tc>
          <w:tcPr>
            <w:tcW w:w="1016" w:type="dxa"/>
            <w:tcBorders>
              <w:top w:val="single" w:sz="4" w:space="0" w:color="auto"/>
              <w:left w:val="single" w:sz="4" w:space="0" w:color="auto"/>
              <w:bottom w:val="single" w:sz="4" w:space="0" w:color="auto"/>
              <w:right w:val="single" w:sz="4" w:space="0" w:color="auto"/>
            </w:tcBorders>
            <w:shd w:val="clear" w:color="auto" w:fill="auto"/>
          </w:tcPr>
          <w:p w:rsidR="00B4173B" w:rsidRPr="00B4173B" w:rsidRDefault="00B4173B" w:rsidP="00B4173B">
            <w:pPr>
              <w:widowControl w:val="0"/>
              <w:jc w:val="right"/>
              <w:rPr>
                <w:color w:val="000000"/>
                <w:sz w:val="20"/>
                <w:szCs w:val="20"/>
                <w:lang w:eastAsia="en-CA"/>
              </w:rPr>
            </w:pPr>
            <w:r w:rsidRPr="00B4173B">
              <w:rPr>
                <w:color w:val="000000"/>
                <w:sz w:val="20"/>
                <w:szCs w:val="20"/>
                <w:lang w:eastAsia="fr"/>
              </w:rPr>
              <w:t>1 686 492</w:t>
            </w:r>
          </w:p>
        </w:tc>
      </w:tr>
      <w:tr w:rsidR="00B4173B" w:rsidRPr="00B4173B" w:rsidTr="0025325D">
        <w:trPr>
          <w:trHeight w:val="53"/>
          <w:jc w:val="center"/>
        </w:trPr>
        <w:tc>
          <w:tcPr>
            <w:tcW w:w="846" w:type="dxa"/>
            <w:tcBorders>
              <w:top w:val="single" w:sz="4" w:space="0" w:color="auto"/>
              <w:left w:val="single" w:sz="4" w:space="0" w:color="auto"/>
              <w:bottom w:val="single" w:sz="4" w:space="0" w:color="auto"/>
              <w:right w:val="single" w:sz="4" w:space="0" w:color="auto"/>
            </w:tcBorders>
            <w:shd w:val="clear" w:color="auto" w:fill="auto"/>
          </w:tcPr>
          <w:p w:rsidR="00B4173B" w:rsidRPr="00B4173B" w:rsidRDefault="00B4173B" w:rsidP="00B4173B">
            <w:pPr>
              <w:rPr>
                <w:sz w:val="20"/>
                <w:szCs w:val="20"/>
                <w:lang w:val="en-CA" w:eastAsia="en-CA"/>
              </w:rPr>
            </w:pPr>
            <w:r w:rsidRPr="00B4173B">
              <w:rPr>
                <w:sz w:val="20"/>
                <w:szCs w:val="20"/>
                <w:lang w:eastAsia="fr"/>
              </w:rPr>
              <w:t>4.1.1</w:t>
            </w:r>
          </w:p>
        </w:tc>
        <w:tc>
          <w:tcPr>
            <w:tcW w:w="8652" w:type="dxa"/>
            <w:gridSpan w:val="8"/>
            <w:tcBorders>
              <w:top w:val="single" w:sz="4" w:space="0" w:color="auto"/>
              <w:left w:val="nil"/>
              <w:bottom w:val="single" w:sz="4" w:space="0" w:color="auto"/>
              <w:right w:val="single" w:sz="4" w:space="0" w:color="auto"/>
            </w:tcBorders>
            <w:shd w:val="clear" w:color="auto" w:fill="auto"/>
          </w:tcPr>
          <w:p w:rsidR="00B4173B" w:rsidRPr="00B4173B" w:rsidRDefault="00B4173B" w:rsidP="00B4173B">
            <w:pPr>
              <w:rPr>
                <w:sz w:val="20"/>
                <w:szCs w:val="20"/>
                <w:lang w:val="fr-FR" w:eastAsia="en-CA"/>
              </w:rPr>
            </w:pPr>
            <w:r w:rsidRPr="00B4173B">
              <w:rPr>
                <w:sz w:val="20"/>
                <w:szCs w:val="20"/>
                <w:lang w:val="fr-FR" w:eastAsia="fr"/>
              </w:rPr>
              <w:t>Élimination totale de HCFC-22 convenue aux termes du présent accord (tonnes PAO)</w:t>
            </w:r>
          </w:p>
        </w:tc>
        <w:tc>
          <w:tcPr>
            <w:tcW w:w="1016" w:type="dxa"/>
            <w:tcBorders>
              <w:top w:val="single" w:sz="4" w:space="0" w:color="auto"/>
              <w:left w:val="single" w:sz="4" w:space="0" w:color="auto"/>
              <w:bottom w:val="single" w:sz="4" w:space="0" w:color="auto"/>
              <w:right w:val="single" w:sz="4" w:space="0" w:color="auto"/>
            </w:tcBorders>
            <w:shd w:val="clear" w:color="auto" w:fill="auto"/>
          </w:tcPr>
          <w:p w:rsidR="00B4173B" w:rsidRPr="00B4173B" w:rsidRDefault="00B4173B" w:rsidP="00B4173B">
            <w:pPr>
              <w:jc w:val="right"/>
              <w:rPr>
                <w:sz w:val="20"/>
                <w:szCs w:val="20"/>
                <w:lang w:val="en-CA" w:eastAsia="en-CA"/>
              </w:rPr>
            </w:pPr>
            <w:r w:rsidRPr="00B4173B">
              <w:rPr>
                <w:sz w:val="20"/>
                <w:szCs w:val="20"/>
                <w:lang w:val="fr" w:eastAsia="fr"/>
              </w:rPr>
              <w:t>16,87</w:t>
            </w:r>
          </w:p>
        </w:tc>
      </w:tr>
      <w:tr w:rsidR="00B4173B" w:rsidRPr="00B4173B" w:rsidTr="0025325D">
        <w:trPr>
          <w:trHeight w:val="53"/>
          <w:jc w:val="center"/>
        </w:trPr>
        <w:tc>
          <w:tcPr>
            <w:tcW w:w="846" w:type="dxa"/>
            <w:tcBorders>
              <w:top w:val="single" w:sz="4" w:space="0" w:color="auto"/>
              <w:left w:val="single" w:sz="4" w:space="0" w:color="auto"/>
              <w:bottom w:val="single" w:sz="4" w:space="0" w:color="auto"/>
              <w:right w:val="single" w:sz="4" w:space="0" w:color="auto"/>
            </w:tcBorders>
            <w:shd w:val="clear" w:color="auto" w:fill="auto"/>
          </w:tcPr>
          <w:p w:rsidR="00B4173B" w:rsidRPr="00B4173B" w:rsidRDefault="00B4173B" w:rsidP="00B4173B">
            <w:pPr>
              <w:rPr>
                <w:sz w:val="20"/>
                <w:szCs w:val="20"/>
                <w:lang w:val="en-CA" w:eastAsia="en-CA"/>
              </w:rPr>
            </w:pPr>
            <w:r w:rsidRPr="00B4173B">
              <w:rPr>
                <w:sz w:val="20"/>
                <w:szCs w:val="20"/>
                <w:lang w:eastAsia="fr"/>
              </w:rPr>
              <w:t>4.1.2</w:t>
            </w:r>
          </w:p>
        </w:tc>
        <w:tc>
          <w:tcPr>
            <w:tcW w:w="8652" w:type="dxa"/>
            <w:gridSpan w:val="8"/>
            <w:tcBorders>
              <w:top w:val="single" w:sz="4" w:space="0" w:color="auto"/>
              <w:left w:val="nil"/>
              <w:bottom w:val="single" w:sz="4" w:space="0" w:color="auto"/>
              <w:right w:val="single" w:sz="4" w:space="0" w:color="auto"/>
            </w:tcBorders>
            <w:shd w:val="clear" w:color="auto" w:fill="auto"/>
          </w:tcPr>
          <w:p w:rsidR="00B4173B" w:rsidRPr="00B4173B" w:rsidRDefault="00B4173B" w:rsidP="00B4173B">
            <w:pPr>
              <w:rPr>
                <w:sz w:val="20"/>
                <w:szCs w:val="20"/>
                <w:lang w:val="fr-FR" w:eastAsia="en-CA"/>
              </w:rPr>
            </w:pPr>
            <w:r w:rsidRPr="00B4173B">
              <w:rPr>
                <w:sz w:val="20"/>
                <w:szCs w:val="20"/>
                <w:lang w:val="fr-FR" w:eastAsia="fr"/>
              </w:rPr>
              <w:t>Élimination de HCFC-22 à réaliser dans le cadre de projets approuvés antérieurement (tonnes PAO)</w:t>
            </w:r>
          </w:p>
        </w:tc>
        <w:tc>
          <w:tcPr>
            <w:tcW w:w="1016" w:type="dxa"/>
            <w:tcBorders>
              <w:top w:val="single" w:sz="4" w:space="0" w:color="auto"/>
              <w:left w:val="single" w:sz="4" w:space="0" w:color="auto"/>
              <w:bottom w:val="single" w:sz="4" w:space="0" w:color="auto"/>
              <w:right w:val="single" w:sz="4" w:space="0" w:color="auto"/>
            </w:tcBorders>
            <w:shd w:val="clear" w:color="auto" w:fill="auto"/>
          </w:tcPr>
          <w:p w:rsidR="00B4173B" w:rsidRPr="00B4173B" w:rsidRDefault="00B4173B" w:rsidP="00B4173B">
            <w:pPr>
              <w:jc w:val="right"/>
              <w:rPr>
                <w:sz w:val="20"/>
                <w:szCs w:val="20"/>
                <w:lang w:val="en-CA" w:eastAsia="en-CA"/>
              </w:rPr>
            </w:pPr>
            <w:r w:rsidRPr="00B4173B">
              <w:rPr>
                <w:sz w:val="20"/>
                <w:szCs w:val="20"/>
                <w:lang w:val="fr" w:eastAsia="fr"/>
              </w:rPr>
              <w:t>9,26</w:t>
            </w:r>
          </w:p>
        </w:tc>
      </w:tr>
      <w:tr w:rsidR="00B4173B" w:rsidRPr="00B4173B" w:rsidTr="0025325D">
        <w:trPr>
          <w:trHeight w:val="53"/>
          <w:jc w:val="center"/>
        </w:trPr>
        <w:tc>
          <w:tcPr>
            <w:tcW w:w="846" w:type="dxa"/>
            <w:tcBorders>
              <w:top w:val="nil"/>
              <w:left w:val="single" w:sz="4" w:space="0" w:color="auto"/>
              <w:bottom w:val="single" w:sz="4" w:space="0" w:color="auto"/>
              <w:right w:val="single" w:sz="4" w:space="0" w:color="auto"/>
            </w:tcBorders>
            <w:shd w:val="clear" w:color="auto" w:fill="auto"/>
          </w:tcPr>
          <w:p w:rsidR="00B4173B" w:rsidRPr="00B4173B" w:rsidRDefault="00B4173B" w:rsidP="00B4173B">
            <w:pPr>
              <w:rPr>
                <w:sz w:val="20"/>
                <w:szCs w:val="20"/>
                <w:lang w:val="en-CA" w:eastAsia="en-CA"/>
              </w:rPr>
            </w:pPr>
            <w:r w:rsidRPr="00B4173B">
              <w:rPr>
                <w:sz w:val="20"/>
                <w:szCs w:val="20"/>
                <w:lang w:eastAsia="fr"/>
              </w:rPr>
              <w:t>4.1.3</w:t>
            </w:r>
          </w:p>
        </w:tc>
        <w:tc>
          <w:tcPr>
            <w:tcW w:w="8652" w:type="dxa"/>
            <w:gridSpan w:val="8"/>
            <w:tcBorders>
              <w:top w:val="single" w:sz="4" w:space="0" w:color="auto"/>
              <w:left w:val="nil"/>
              <w:bottom w:val="single" w:sz="4" w:space="0" w:color="auto"/>
              <w:right w:val="single" w:sz="4" w:space="0" w:color="auto"/>
            </w:tcBorders>
            <w:shd w:val="clear" w:color="auto" w:fill="auto"/>
          </w:tcPr>
          <w:p w:rsidR="00B4173B" w:rsidRPr="00B4173B" w:rsidRDefault="00B4173B" w:rsidP="00B4173B">
            <w:pPr>
              <w:rPr>
                <w:sz w:val="20"/>
                <w:szCs w:val="20"/>
                <w:lang w:val="fr-FR" w:eastAsia="en-CA"/>
              </w:rPr>
            </w:pPr>
            <w:r w:rsidRPr="00B4173B">
              <w:rPr>
                <w:sz w:val="20"/>
                <w:szCs w:val="20"/>
                <w:lang w:val="fr-FR" w:eastAsia="fr"/>
              </w:rPr>
              <w:t>Consommation restante admissible de HCFC-22 (tonnes PAO)</w:t>
            </w:r>
          </w:p>
        </w:tc>
        <w:tc>
          <w:tcPr>
            <w:tcW w:w="1016" w:type="dxa"/>
            <w:tcBorders>
              <w:top w:val="single" w:sz="4" w:space="0" w:color="auto"/>
              <w:left w:val="single" w:sz="4" w:space="0" w:color="auto"/>
              <w:bottom w:val="single" w:sz="4" w:space="0" w:color="auto"/>
              <w:right w:val="single" w:sz="4" w:space="0" w:color="auto"/>
            </w:tcBorders>
            <w:shd w:val="clear" w:color="auto" w:fill="auto"/>
          </w:tcPr>
          <w:p w:rsidR="00B4173B" w:rsidRPr="00B4173B" w:rsidRDefault="00B4173B" w:rsidP="00B4173B">
            <w:pPr>
              <w:jc w:val="right"/>
              <w:rPr>
                <w:sz w:val="20"/>
                <w:szCs w:val="20"/>
                <w:lang w:val="en-CA" w:eastAsia="en-CA"/>
              </w:rPr>
            </w:pPr>
            <w:r w:rsidRPr="00B4173B">
              <w:rPr>
                <w:sz w:val="20"/>
                <w:szCs w:val="20"/>
                <w:lang w:val="fr" w:eastAsia="fr"/>
              </w:rPr>
              <w:t>12,88</w:t>
            </w:r>
          </w:p>
        </w:tc>
      </w:tr>
      <w:tr w:rsidR="00B4173B" w:rsidRPr="00B4173B" w:rsidTr="0025325D">
        <w:trPr>
          <w:trHeight w:val="53"/>
          <w:jc w:val="center"/>
        </w:trPr>
        <w:tc>
          <w:tcPr>
            <w:tcW w:w="846" w:type="dxa"/>
            <w:tcBorders>
              <w:top w:val="nil"/>
              <w:left w:val="single" w:sz="4" w:space="0" w:color="auto"/>
              <w:bottom w:val="single" w:sz="4" w:space="0" w:color="auto"/>
              <w:right w:val="single" w:sz="4" w:space="0" w:color="auto"/>
            </w:tcBorders>
            <w:shd w:val="clear" w:color="auto" w:fill="auto"/>
          </w:tcPr>
          <w:p w:rsidR="00B4173B" w:rsidRPr="00B4173B" w:rsidRDefault="00B4173B" w:rsidP="00B4173B">
            <w:pPr>
              <w:rPr>
                <w:sz w:val="20"/>
                <w:szCs w:val="20"/>
                <w:lang w:val="en-CA" w:eastAsia="en-CA"/>
              </w:rPr>
            </w:pPr>
            <w:r w:rsidRPr="00B4173B">
              <w:rPr>
                <w:sz w:val="20"/>
                <w:szCs w:val="20"/>
                <w:lang w:eastAsia="fr"/>
              </w:rPr>
              <w:t>4.2.1</w:t>
            </w:r>
          </w:p>
        </w:tc>
        <w:tc>
          <w:tcPr>
            <w:tcW w:w="8652" w:type="dxa"/>
            <w:gridSpan w:val="8"/>
            <w:tcBorders>
              <w:top w:val="single" w:sz="4" w:space="0" w:color="auto"/>
              <w:left w:val="nil"/>
              <w:bottom w:val="single" w:sz="4" w:space="0" w:color="auto"/>
              <w:right w:val="single" w:sz="4" w:space="0" w:color="auto"/>
            </w:tcBorders>
            <w:shd w:val="clear" w:color="auto" w:fill="auto"/>
          </w:tcPr>
          <w:p w:rsidR="00B4173B" w:rsidRPr="00B4173B" w:rsidRDefault="00B4173B" w:rsidP="00B4173B">
            <w:pPr>
              <w:rPr>
                <w:sz w:val="20"/>
                <w:szCs w:val="20"/>
                <w:lang w:val="fr-FR" w:eastAsia="en-CA"/>
              </w:rPr>
            </w:pPr>
            <w:r w:rsidRPr="00B4173B">
              <w:rPr>
                <w:sz w:val="20"/>
                <w:szCs w:val="20"/>
                <w:lang w:val="fr-FR" w:eastAsia="fr"/>
              </w:rPr>
              <w:t>Élimination totale de HCFC-141b convenue aux termes du présent accord (tonnes PAO)</w:t>
            </w:r>
          </w:p>
        </w:tc>
        <w:tc>
          <w:tcPr>
            <w:tcW w:w="1016" w:type="dxa"/>
            <w:tcBorders>
              <w:top w:val="single" w:sz="4" w:space="0" w:color="auto"/>
              <w:left w:val="single" w:sz="4" w:space="0" w:color="auto"/>
              <w:bottom w:val="single" w:sz="4" w:space="0" w:color="auto"/>
              <w:right w:val="single" w:sz="4" w:space="0" w:color="auto"/>
            </w:tcBorders>
            <w:shd w:val="clear" w:color="auto" w:fill="auto"/>
          </w:tcPr>
          <w:p w:rsidR="00B4173B" w:rsidRPr="00B4173B" w:rsidRDefault="00B4173B" w:rsidP="00B4173B">
            <w:pPr>
              <w:jc w:val="right"/>
              <w:rPr>
                <w:sz w:val="20"/>
                <w:szCs w:val="20"/>
              </w:rPr>
            </w:pPr>
            <w:r w:rsidRPr="00B4173B">
              <w:rPr>
                <w:sz w:val="20"/>
                <w:szCs w:val="20"/>
              </w:rPr>
              <w:t>0</w:t>
            </w:r>
          </w:p>
        </w:tc>
      </w:tr>
      <w:tr w:rsidR="00B4173B" w:rsidRPr="00B4173B" w:rsidTr="0025325D">
        <w:trPr>
          <w:trHeight w:val="53"/>
          <w:jc w:val="center"/>
        </w:trPr>
        <w:tc>
          <w:tcPr>
            <w:tcW w:w="846" w:type="dxa"/>
            <w:tcBorders>
              <w:top w:val="nil"/>
              <w:left w:val="single" w:sz="4" w:space="0" w:color="auto"/>
              <w:bottom w:val="single" w:sz="4" w:space="0" w:color="auto"/>
              <w:right w:val="single" w:sz="4" w:space="0" w:color="auto"/>
            </w:tcBorders>
            <w:shd w:val="clear" w:color="auto" w:fill="auto"/>
          </w:tcPr>
          <w:p w:rsidR="00B4173B" w:rsidRPr="00B4173B" w:rsidRDefault="00B4173B" w:rsidP="00B4173B">
            <w:pPr>
              <w:rPr>
                <w:sz w:val="20"/>
                <w:szCs w:val="20"/>
                <w:lang w:val="en-CA" w:eastAsia="en-CA"/>
              </w:rPr>
            </w:pPr>
            <w:r w:rsidRPr="00B4173B">
              <w:rPr>
                <w:sz w:val="20"/>
                <w:szCs w:val="20"/>
                <w:lang w:eastAsia="fr"/>
              </w:rPr>
              <w:t>4.2.2</w:t>
            </w:r>
          </w:p>
        </w:tc>
        <w:tc>
          <w:tcPr>
            <w:tcW w:w="8652" w:type="dxa"/>
            <w:gridSpan w:val="8"/>
            <w:tcBorders>
              <w:top w:val="single" w:sz="4" w:space="0" w:color="auto"/>
              <w:left w:val="nil"/>
              <w:bottom w:val="single" w:sz="4" w:space="0" w:color="auto"/>
              <w:right w:val="single" w:sz="4" w:space="0" w:color="auto"/>
            </w:tcBorders>
            <w:shd w:val="clear" w:color="auto" w:fill="auto"/>
          </w:tcPr>
          <w:p w:rsidR="00B4173B" w:rsidRPr="00B4173B" w:rsidRDefault="00B4173B" w:rsidP="00B4173B">
            <w:pPr>
              <w:rPr>
                <w:sz w:val="20"/>
                <w:szCs w:val="20"/>
                <w:lang w:val="fr-FR" w:eastAsia="en-CA"/>
              </w:rPr>
            </w:pPr>
            <w:r w:rsidRPr="00B4173B">
              <w:rPr>
                <w:sz w:val="20"/>
                <w:szCs w:val="20"/>
                <w:lang w:val="fr-FR" w:eastAsia="fr"/>
              </w:rPr>
              <w:t>Élimination de HCFC-141b à réaliser dans le cadre de projets approuvés précédemment (tonnes PAO)</w:t>
            </w:r>
          </w:p>
        </w:tc>
        <w:tc>
          <w:tcPr>
            <w:tcW w:w="1016" w:type="dxa"/>
            <w:tcBorders>
              <w:top w:val="single" w:sz="4" w:space="0" w:color="auto"/>
              <w:left w:val="single" w:sz="4" w:space="0" w:color="auto"/>
              <w:bottom w:val="single" w:sz="4" w:space="0" w:color="auto"/>
              <w:right w:val="single" w:sz="4" w:space="0" w:color="auto"/>
            </w:tcBorders>
            <w:shd w:val="clear" w:color="auto" w:fill="auto"/>
          </w:tcPr>
          <w:p w:rsidR="00B4173B" w:rsidRPr="00B4173B" w:rsidRDefault="00B4173B" w:rsidP="00B4173B">
            <w:pPr>
              <w:jc w:val="right"/>
              <w:rPr>
                <w:sz w:val="20"/>
                <w:szCs w:val="20"/>
              </w:rPr>
            </w:pPr>
            <w:r w:rsidRPr="00B4173B">
              <w:rPr>
                <w:sz w:val="20"/>
                <w:szCs w:val="20"/>
              </w:rPr>
              <w:t>1,34</w:t>
            </w:r>
          </w:p>
        </w:tc>
      </w:tr>
      <w:tr w:rsidR="00B4173B" w:rsidRPr="00B4173B" w:rsidTr="0025325D">
        <w:trPr>
          <w:trHeight w:val="53"/>
          <w:jc w:val="center"/>
        </w:trPr>
        <w:tc>
          <w:tcPr>
            <w:tcW w:w="846" w:type="dxa"/>
            <w:tcBorders>
              <w:top w:val="nil"/>
              <w:left w:val="single" w:sz="4" w:space="0" w:color="auto"/>
              <w:bottom w:val="single" w:sz="4" w:space="0" w:color="auto"/>
              <w:right w:val="single" w:sz="4" w:space="0" w:color="auto"/>
            </w:tcBorders>
            <w:shd w:val="clear" w:color="auto" w:fill="auto"/>
          </w:tcPr>
          <w:p w:rsidR="00B4173B" w:rsidRPr="00B4173B" w:rsidRDefault="00B4173B" w:rsidP="00B4173B">
            <w:pPr>
              <w:rPr>
                <w:sz w:val="20"/>
                <w:szCs w:val="20"/>
                <w:lang w:val="en-CA" w:eastAsia="en-CA"/>
              </w:rPr>
            </w:pPr>
            <w:r w:rsidRPr="00B4173B">
              <w:rPr>
                <w:sz w:val="20"/>
                <w:szCs w:val="20"/>
                <w:lang w:eastAsia="fr"/>
              </w:rPr>
              <w:t>4.2.3</w:t>
            </w:r>
          </w:p>
        </w:tc>
        <w:tc>
          <w:tcPr>
            <w:tcW w:w="8652" w:type="dxa"/>
            <w:gridSpan w:val="8"/>
            <w:tcBorders>
              <w:top w:val="single" w:sz="4" w:space="0" w:color="auto"/>
              <w:left w:val="nil"/>
              <w:bottom w:val="single" w:sz="4" w:space="0" w:color="auto"/>
              <w:right w:val="single" w:sz="4" w:space="0" w:color="auto"/>
            </w:tcBorders>
            <w:shd w:val="clear" w:color="auto" w:fill="auto"/>
          </w:tcPr>
          <w:p w:rsidR="00B4173B" w:rsidRPr="00B4173B" w:rsidRDefault="00B4173B" w:rsidP="00B4173B">
            <w:pPr>
              <w:rPr>
                <w:sz w:val="20"/>
                <w:szCs w:val="20"/>
                <w:lang w:val="fr-FR" w:eastAsia="en-CA"/>
              </w:rPr>
            </w:pPr>
            <w:r w:rsidRPr="00B4173B">
              <w:rPr>
                <w:sz w:val="20"/>
                <w:szCs w:val="20"/>
                <w:lang w:val="fr-FR" w:eastAsia="fr"/>
              </w:rPr>
              <w:t>Consommation restante admissible de HCFC-141b (tonnes PAO)</w:t>
            </w:r>
          </w:p>
        </w:tc>
        <w:tc>
          <w:tcPr>
            <w:tcW w:w="1016" w:type="dxa"/>
            <w:tcBorders>
              <w:top w:val="single" w:sz="4" w:space="0" w:color="auto"/>
              <w:left w:val="single" w:sz="4" w:space="0" w:color="auto"/>
              <w:bottom w:val="single" w:sz="4" w:space="0" w:color="auto"/>
              <w:right w:val="single" w:sz="4" w:space="0" w:color="auto"/>
            </w:tcBorders>
            <w:shd w:val="clear" w:color="auto" w:fill="auto"/>
          </w:tcPr>
          <w:p w:rsidR="00B4173B" w:rsidRPr="00B4173B" w:rsidRDefault="00B4173B" w:rsidP="00B4173B">
            <w:pPr>
              <w:jc w:val="right"/>
              <w:rPr>
                <w:sz w:val="20"/>
                <w:szCs w:val="20"/>
              </w:rPr>
            </w:pPr>
            <w:r w:rsidRPr="00B4173B">
              <w:rPr>
                <w:sz w:val="20"/>
                <w:szCs w:val="20"/>
              </w:rPr>
              <w:t>0,27**</w:t>
            </w:r>
          </w:p>
        </w:tc>
      </w:tr>
      <w:tr w:rsidR="00B4173B" w:rsidRPr="00B4173B" w:rsidTr="0025325D">
        <w:trPr>
          <w:trHeight w:val="53"/>
          <w:jc w:val="center"/>
        </w:trPr>
        <w:tc>
          <w:tcPr>
            <w:tcW w:w="846" w:type="dxa"/>
            <w:tcBorders>
              <w:top w:val="nil"/>
              <w:left w:val="single" w:sz="4" w:space="0" w:color="auto"/>
              <w:bottom w:val="single" w:sz="4" w:space="0" w:color="auto"/>
              <w:right w:val="single" w:sz="4" w:space="0" w:color="auto"/>
            </w:tcBorders>
            <w:shd w:val="clear" w:color="auto" w:fill="auto"/>
          </w:tcPr>
          <w:p w:rsidR="00B4173B" w:rsidRPr="00B4173B" w:rsidRDefault="00B4173B" w:rsidP="00B4173B">
            <w:pPr>
              <w:rPr>
                <w:sz w:val="20"/>
                <w:szCs w:val="20"/>
                <w:lang w:val="en-CA" w:eastAsia="en-CA"/>
              </w:rPr>
            </w:pPr>
            <w:r w:rsidRPr="00B4173B">
              <w:rPr>
                <w:sz w:val="20"/>
                <w:szCs w:val="20"/>
                <w:lang w:eastAsia="fr"/>
              </w:rPr>
              <w:t>4.3.1</w:t>
            </w:r>
          </w:p>
        </w:tc>
        <w:tc>
          <w:tcPr>
            <w:tcW w:w="8652" w:type="dxa"/>
            <w:gridSpan w:val="8"/>
            <w:tcBorders>
              <w:top w:val="single" w:sz="4" w:space="0" w:color="auto"/>
              <w:left w:val="nil"/>
              <w:bottom w:val="single" w:sz="4" w:space="0" w:color="auto"/>
              <w:right w:val="single" w:sz="4" w:space="0" w:color="auto"/>
            </w:tcBorders>
            <w:shd w:val="clear" w:color="auto" w:fill="auto"/>
          </w:tcPr>
          <w:p w:rsidR="00B4173B" w:rsidRPr="00B4173B" w:rsidRDefault="00B4173B" w:rsidP="00B4173B">
            <w:pPr>
              <w:rPr>
                <w:sz w:val="20"/>
                <w:szCs w:val="20"/>
                <w:lang w:val="fr-FR" w:eastAsia="en-CA"/>
              </w:rPr>
            </w:pPr>
            <w:r w:rsidRPr="00B4173B">
              <w:rPr>
                <w:sz w:val="20"/>
                <w:szCs w:val="20"/>
                <w:lang w:val="fr-FR" w:eastAsia="fr"/>
              </w:rPr>
              <w:t>Élimination totale de HCFC-142b convenue aux termes du présent Accord (tonnes PAO)</w:t>
            </w:r>
          </w:p>
        </w:tc>
        <w:tc>
          <w:tcPr>
            <w:tcW w:w="1016" w:type="dxa"/>
            <w:tcBorders>
              <w:top w:val="single" w:sz="4" w:space="0" w:color="auto"/>
              <w:left w:val="single" w:sz="4" w:space="0" w:color="auto"/>
              <w:bottom w:val="single" w:sz="4" w:space="0" w:color="auto"/>
              <w:right w:val="single" w:sz="4" w:space="0" w:color="auto"/>
            </w:tcBorders>
            <w:shd w:val="clear" w:color="auto" w:fill="auto"/>
          </w:tcPr>
          <w:p w:rsidR="00B4173B" w:rsidRPr="00B4173B" w:rsidRDefault="00B4173B" w:rsidP="00B4173B">
            <w:pPr>
              <w:jc w:val="right"/>
              <w:rPr>
                <w:sz w:val="20"/>
                <w:szCs w:val="20"/>
                <w:lang w:val="en-CA" w:eastAsia="en-CA"/>
              </w:rPr>
            </w:pPr>
            <w:r w:rsidRPr="00B4173B">
              <w:rPr>
                <w:sz w:val="20"/>
                <w:szCs w:val="20"/>
                <w:lang w:val="fr" w:eastAsia="fr"/>
              </w:rPr>
              <w:t>0</w:t>
            </w:r>
          </w:p>
        </w:tc>
      </w:tr>
      <w:tr w:rsidR="00B4173B" w:rsidRPr="00B4173B" w:rsidTr="0025325D">
        <w:trPr>
          <w:trHeight w:val="53"/>
          <w:jc w:val="center"/>
        </w:trPr>
        <w:tc>
          <w:tcPr>
            <w:tcW w:w="846" w:type="dxa"/>
            <w:tcBorders>
              <w:top w:val="nil"/>
              <w:left w:val="single" w:sz="4" w:space="0" w:color="auto"/>
              <w:bottom w:val="single" w:sz="4" w:space="0" w:color="auto"/>
              <w:right w:val="single" w:sz="4" w:space="0" w:color="auto"/>
            </w:tcBorders>
            <w:shd w:val="clear" w:color="auto" w:fill="auto"/>
          </w:tcPr>
          <w:p w:rsidR="00B4173B" w:rsidRPr="00B4173B" w:rsidRDefault="00B4173B" w:rsidP="00B4173B">
            <w:pPr>
              <w:rPr>
                <w:sz w:val="20"/>
                <w:szCs w:val="20"/>
                <w:lang w:val="en-CA" w:eastAsia="en-CA"/>
              </w:rPr>
            </w:pPr>
            <w:r w:rsidRPr="00B4173B">
              <w:rPr>
                <w:sz w:val="20"/>
                <w:szCs w:val="20"/>
                <w:lang w:eastAsia="fr"/>
              </w:rPr>
              <w:t>4.3.2</w:t>
            </w:r>
          </w:p>
        </w:tc>
        <w:tc>
          <w:tcPr>
            <w:tcW w:w="8652" w:type="dxa"/>
            <w:gridSpan w:val="8"/>
            <w:tcBorders>
              <w:top w:val="single" w:sz="4" w:space="0" w:color="auto"/>
              <w:left w:val="nil"/>
              <w:bottom w:val="single" w:sz="4" w:space="0" w:color="auto"/>
              <w:right w:val="single" w:sz="4" w:space="0" w:color="auto"/>
            </w:tcBorders>
            <w:shd w:val="clear" w:color="auto" w:fill="auto"/>
          </w:tcPr>
          <w:p w:rsidR="00B4173B" w:rsidRPr="00B4173B" w:rsidRDefault="00B4173B" w:rsidP="00B4173B">
            <w:pPr>
              <w:rPr>
                <w:sz w:val="20"/>
                <w:szCs w:val="20"/>
                <w:lang w:val="fr-FR" w:eastAsia="en-CA"/>
              </w:rPr>
            </w:pPr>
            <w:r w:rsidRPr="00B4173B">
              <w:rPr>
                <w:sz w:val="20"/>
                <w:szCs w:val="20"/>
                <w:lang w:val="fr-FR" w:eastAsia="fr"/>
              </w:rPr>
              <w:t>Élimination de HCFC-142b à réaliser dans le cadre de projets approuvés antérieurement (tonnes PAO)</w:t>
            </w:r>
          </w:p>
        </w:tc>
        <w:tc>
          <w:tcPr>
            <w:tcW w:w="1016" w:type="dxa"/>
            <w:tcBorders>
              <w:top w:val="single" w:sz="4" w:space="0" w:color="auto"/>
              <w:left w:val="single" w:sz="4" w:space="0" w:color="auto"/>
              <w:bottom w:val="single" w:sz="4" w:space="0" w:color="auto"/>
              <w:right w:val="single" w:sz="4" w:space="0" w:color="auto"/>
            </w:tcBorders>
            <w:shd w:val="clear" w:color="auto" w:fill="auto"/>
          </w:tcPr>
          <w:p w:rsidR="00B4173B" w:rsidRPr="00B4173B" w:rsidRDefault="00B4173B" w:rsidP="00B4173B">
            <w:pPr>
              <w:jc w:val="right"/>
              <w:rPr>
                <w:sz w:val="20"/>
                <w:szCs w:val="20"/>
                <w:lang w:val="en-CA" w:eastAsia="en-CA"/>
              </w:rPr>
            </w:pPr>
            <w:r w:rsidRPr="00B4173B">
              <w:rPr>
                <w:sz w:val="20"/>
                <w:szCs w:val="20"/>
                <w:lang w:val="fr" w:eastAsia="fr"/>
              </w:rPr>
              <w:t>0</w:t>
            </w:r>
          </w:p>
        </w:tc>
      </w:tr>
      <w:tr w:rsidR="00B4173B" w:rsidRPr="00B4173B" w:rsidTr="0025325D">
        <w:trPr>
          <w:trHeight w:val="53"/>
          <w:jc w:val="center"/>
        </w:trPr>
        <w:tc>
          <w:tcPr>
            <w:tcW w:w="846" w:type="dxa"/>
            <w:tcBorders>
              <w:top w:val="nil"/>
              <w:left w:val="single" w:sz="4" w:space="0" w:color="auto"/>
              <w:bottom w:val="single" w:sz="4" w:space="0" w:color="auto"/>
              <w:right w:val="single" w:sz="4" w:space="0" w:color="auto"/>
            </w:tcBorders>
            <w:shd w:val="clear" w:color="auto" w:fill="auto"/>
          </w:tcPr>
          <w:p w:rsidR="00B4173B" w:rsidRPr="00B4173B" w:rsidRDefault="00B4173B" w:rsidP="00B4173B">
            <w:pPr>
              <w:rPr>
                <w:sz w:val="20"/>
                <w:szCs w:val="20"/>
                <w:lang w:val="en-CA" w:eastAsia="en-CA"/>
              </w:rPr>
            </w:pPr>
            <w:r w:rsidRPr="00B4173B">
              <w:rPr>
                <w:sz w:val="20"/>
                <w:szCs w:val="20"/>
                <w:lang w:eastAsia="fr"/>
              </w:rPr>
              <w:t>4.3.3</w:t>
            </w:r>
          </w:p>
        </w:tc>
        <w:tc>
          <w:tcPr>
            <w:tcW w:w="8652" w:type="dxa"/>
            <w:gridSpan w:val="8"/>
            <w:tcBorders>
              <w:top w:val="single" w:sz="4" w:space="0" w:color="auto"/>
              <w:left w:val="nil"/>
              <w:bottom w:val="single" w:sz="4" w:space="0" w:color="auto"/>
              <w:right w:val="single" w:sz="4" w:space="0" w:color="auto"/>
            </w:tcBorders>
            <w:shd w:val="clear" w:color="auto" w:fill="auto"/>
          </w:tcPr>
          <w:p w:rsidR="00B4173B" w:rsidRPr="00B4173B" w:rsidRDefault="00B4173B" w:rsidP="00B4173B">
            <w:pPr>
              <w:rPr>
                <w:sz w:val="20"/>
                <w:szCs w:val="20"/>
                <w:lang w:val="fr-FR" w:eastAsia="en-CA"/>
              </w:rPr>
            </w:pPr>
            <w:r w:rsidRPr="00B4173B">
              <w:rPr>
                <w:sz w:val="20"/>
                <w:szCs w:val="20"/>
                <w:lang w:val="fr-FR" w:eastAsia="fr"/>
              </w:rPr>
              <w:t>Consommation restante admissible de HCFC-142b (tonnes PAO)</w:t>
            </w:r>
          </w:p>
        </w:tc>
        <w:tc>
          <w:tcPr>
            <w:tcW w:w="1016" w:type="dxa"/>
            <w:tcBorders>
              <w:top w:val="single" w:sz="4" w:space="0" w:color="auto"/>
              <w:left w:val="single" w:sz="4" w:space="0" w:color="auto"/>
              <w:bottom w:val="single" w:sz="4" w:space="0" w:color="auto"/>
              <w:right w:val="single" w:sz="4" w:space="0" w:color="auto"/>
            </w:tcBorders>
            <w:shd w:val="clear" w:color="auto" w:fill="auto"/>
          </w:tcPr>
          <w:p w:rsidR="00B4173B" w:rsidRPr="00B4173B" w:rsidRDefault="00B4173B" w:rsidP="00B4173B">
            <w:pPr>
              <w:jc w:val="right"/>
              <w:rPr>
                <w:sz w:val="20"/>
                <w:szCs w:val="20"/>
                <w:lang w:val="en-CA" w:eastAsia="en-CA"/>
              </w:rPr>
            </w:pPr>
            <w:r w:rsidRPr="00B4173B">
              <w:rPr>
                <w:sz w:val="20"/>
                <w:szCs w:val="20"/>
                <w:lang w:val="fr" w:eastAsia="fr"/>
              </w:rPr>
              <w:t>0,04**</w:t>
            </w:r>
          </w:p>
        </w:tc>
      </w:tr>
      <w:tr w:rsidR="00B4173B" w:rsidRPr="00B4173B" w:rsidTr="0025325D">
        <w:trPr>
          <w:trHeight w:val="53"/>
          <w:jc w:val="center"/>
        </w:trPr>
        <w:tc>
          <w:tcPr>
            <w:tcW w:w="846" w:type="dxa"/>
            <w:tcBorders>
              <w:top w:val="nil"/>
              <w:left w:val="single" w:sz="4" w:space="0" w:color="auto"/>
              <w:bottom w:val="single" w:sz="4" w:space="0" w:color="auto"/>
              <w:right w:val="single" w:sz="4" w:space="0" w:color="auto"/>
            </w:tcBorders>
            <w:shd w:val="clear" w:color="auto" w:fill="auto"/>
          </w:tcPr>
          <w:p w:rsidR="00B4173B" w:rsidRPr="00B4173B" w:rsidRDefault="00B4173B" w:rsidP="00B4173B">
            <w:pPr>
              <w:rPr>
                <w:sz w:val="20"/>
                <w:szCs w:val="20"/>
                <w:lang w:val="en-CA" w:eastAsia="en-CA"/>
              </w:rPr>
            </w:pPr>
            <w:r w:rsidRPr="00B4173B">
              <w:rPr>
                <w:sz w:val="20"/>
                <w:szCs w:val="20"/>
                <w:lang w:eastAsia="fr"/>
              </w:rPr>
              <w:t>4.4.1</w:t>
            </w:r>
          </w:p>
        </w:tc>
        <w:tc>
          <w:tcPr>
            <w:tcW w:w="8652" w:type="dxa"/>
            <w:gridSpan w:val="8"/>
            <w:tcBorders>
              <w:top w:val="single" w:sz="4" w:space="0" w:color="auto"/>
              <w:left w:val="nil"/>
              <w:bottom w:val="single" w:sz="4" w:space="0" w:color="auto"/>
              <w:right w:val="single" w:sz="4" w:space="0" w:color="auto"/>
            </w:tcBorders>
            <w:shd w:val="clear" w:color="auto" w:fill="auto"/>
          </w:tcPr>
          <w:p w:rsidR="00B4173B" w:rsidRPr="00B4173B" w:rsidRDefault="00B4173B" w:rsidP="00B4173B">
            <w:pPr>
              <w:rPr>
                <w:sz w:val="20"/>
                <w:szCs w:val="20"/>
                <w:lang w:val="fr-FR" w:eastAsia="en-CA"/>
              </w:rPr>
            </w:pPr>
            <w:r w:rsidRPr="00B4173B">
              <w:rPr>
                <w:sz w:val="20"/>
                <w:szCs w:val="20"/>
                <w:lang w:val="fr-FR" w:eastAsia="fr"/>
              </w:rPr>
              <w:t xml:space="preserve">Élimination totale du HCFC-141b contenu dans les polyols </w:t>
            </w:r>
            <w:proofErr w:type="spellStart"/>
            <w:r w:rsidRPr="00B4173B">
              <w:rPr>
                <w:sz w:val="20"/>
                <w:szCs w:val="20"/>
                <w:lang w:val="fr-FR" w:eastAsia="fr"/>
              </w:rPr>
              <w:t>prémélangés</w:t>
            </w:r>
            <w:proofErr w:type="spellEnd"/>
            <w:r w:rsidRPr="00B4173B">
              <w:rPr>
                <w:sz w:val="20"/>
                <w:szCs w:val="20"/>
                <w:lang w:val="fr-FR" w:eastAsia="fr"/>
              </w:rPr>
              <w:t xml:space="preserve"> importés convenue en vertu du présent Accord (tonnes PAO)</w:t>
            </w:r>
          </w:p>
        </w:tc>
        <w:tc>
          <w:tcPr>
            <w:tcW w:w="1016" w:type="dxa"/>
            <w:tcBorders>
              <w:top w:val="single" w:sz="4" w:space="0" w:color="auto"/>
              <w:left w:val="single" w:sz="4" w:space="0" w:color="auto"/>
              <w:bottom w:val="single" w:sz="4" w:space="0" w:color="auto"/>
              <w:right w:val="single" w:sz="4" w:space="0" w:color="auto"/>
            </w:tcBorders>
            <w:shd w:val="clear" w:color="auto" w:fill="auto"/>
          </w:tcPr>
          <w:p w:rsidR="00B4173B" w:rsidRPr="00B4173B" w:rsidRDefault="00B4173B" w:rsidP="00B4173B">
            <w:pPr>
              <w:jc w:val="right"/>
              <w:rPr>
                <w:sz w:val="20"/>
                <w:szCs w:val="20"/>
                <w:lang w:val="en-CA" w:eastAsia="en-CA"/>
              </w:rPr>
            </w:pPr>
            <w:r w:rsidRPr="00B4173B">
              <w:rPr>
                <w:sz w:val="20"/>
                <w:szCs w:val="20"/>
                <w:lang w:val="fr" w:eastAsia="fr"/>
              </w:rPr>
              <w:t>5,02</w:t>
            </w:r>
          </w:p>
        </w:tc>
      </w:tr>
      <w:tr w:rsidR="00B4173B" w:rsidRPr="00B4173B" w:rsidTr="0025325D">
        <w:trPr>
          <w:trHeight w:val="53"/>
          <w:jc w:val="center"/>
        </w:trPr>
        <w:tc>
          <w:tcPr>
            <w:tcW w:w="846" w:type="dxa"/>
            <w:tcBorders>
              <w:top w:val="nil"/>
              <w:left w:val="single" w:sz="4" w:space="0" w:color="auto"/>
              <w:bottom w:val="single" w:sz="4" w:space="0" w:color="auto"/>
              <w:right w:val="single" w:sz="4" w:space="0" w:color="auto"/>
            </w:tcBorders>
            <w:shd w:val="clear" w:color="auto" w:fill="auto"/>
          </w:tcPr>
          <w:p w:rsidR="00B4173B" w:rsidRPr="00B4173B" w:rsidRDefault="00B4173B" w:rsidP="00B4173B">
            <w:pPr>
              <w:rPr>
                <w:sz w:val="20"/>
                <w:szCs w:val="20"/>
                <w:lang w:val="en-CA" w:eastAsia="en-CA"/>
              </w:rPr>
            </w:pPr>
            <w:r w:rsidRPr="00B4173B">
              <w:rPr>
                <w:sz w:val="20"/>
                <w:szCs w:val="20"/>
                <w:lang w:eastAsia="fr"/>
              </w:rPr>
              <w:t>4.4.2</w:t>
            </w:r>
          </w:p>
        </w:tc>
        <w:tc>
          <w:tcPr>
            <w:tcW w:w="8652" w:type="dxa"/>
            <w:gridSpan w:val="8"/>
            <w:tcBorders>
              <w:top w:val="nil"/>
              <w:left w:val="nil"/>
              <w:bottom w:val="single" w:sz="4" w:space="0" w:color="auto"/>
              <w:right w:val="single" w:sz="4" w:space="0" w:color="auto"/>
            </w:tcBorders>
            <w:shd w:val="clear" w:color="auto" w:fill="auto"/>
          </w:tcPr>
          <w:p w:rsidR="00B4173B" w:rsidRPr="00B4173B" w:rsidRDefault="00B4173B" w:rsidP="00B4173B">
            <w:pPr>
              <w:rPr>
                <w:sz w:val="20"/>
                <w:szCs w:val="20"/>
                <w:lang w:val="fr-FR" w:eastAsia="en-CA"/>
              </w:rPr>
            </w:pPr>
            <w:r w:rsidRPr="00B4173B">
              <w:rPr>
                <w:sz w:val="20"/>
                <w:szCs w:val="20"/>
                <w:lang w:val="fr-FR" w:eastAsia="fr"/>
              </w:rPr>
              <w:t xml:space="preserve">Élimination de HCFC-141b contenu dans les polyols </w:t>
            </w:r>
            <w:proofErr w:type="spellStart"/>
            <w:r w:rsidRPr="00B4173B">
              <w:rPr>
                <w:sz w:val="20"/>
                <w:szCs w:val="20"/>
                <w:lang w:val="fr-FR" w:eastAsia="fr"/>
              </w:rPr>
              <w:t>prémélangés</w:t>
            </w:r>
            <w:proofErr w:type="spellEnd"/>
            <w:r w:rsidRPr="00B4173B">
              <w:rPr>
                <w:sz w:val="20"/>
                <w:szCs w:val="20"/>
                <w:lang w:val="fr-FR" w:eastAsia="fr"/>
              </w:rPr>
              <w:t xml:space="preserve"> importés à réaliser dans le cadre de projets approuvés antérieurement (tonnes PAO)</w:t>
            </w:r>
          </w:p>
        </w:tc>
        <w:tc>
          <w:tcPr>
            <w:tcW w:w="1016" w:type="dxa"/>
            <w:tcBorders>
              <w:top w:val="nil"/>
              <w:left w:val="single" w:sz="4" w:space="0" w:color="auto"/>
              <w:bottom w:val="single" w:sz="4" w:space="0" w:color="auto"/>
              <w:right w:val="single" w:sz="4" w:space="0" w:color="auto"/>
            </w:tcBorders>
            <w:shd w:val="clear" w:color="auto" w:fill="auto"/>
          </w:tcPr>
          <w:p w:rsidR="00B4173B" w:rsidRPr="00B4173B" w:rsidRDefault="00B4173B" w:rsidP="00B4173B">
            <w:pPr>
              <w:jc w:val="right"/>
              <w:rPr>
                <w:sz w:val="20"/>
                <w:szCs w:val="20"/>
                <w:lang w:val="en-CA" w:eastAsia="en-CA"/>
              </w:rPr>
            </w:pPr>
            <w:r w:rsidRPr="00B4173B">
              <w:rPr>
                <w:sz w:val="20"/>
                <w:szCs w:val="20"/>
                <w:lang w:val="fr" w:eastAsia="fr"/>
              </w:rPr>
              <w:t>0</w:t>
            </w:r>
          </w:p>
        </w:tc>
      </w:tr>
      <w:tr w:rsidR="00B4173B" w:rsidRPr="00B4173B" w:rsidTr="0025325D">
        <w:trPr>
          <w:trHeight w:val="53"/>
          <w:jc w:val="center"/>
        </w:trPr>
        <w:tc>
          <w:tcPr>
            <w:tcW w:w="846" w:type="dxa"/>
            <w:tcBorders>
              <w:top w:val="nil"/>
              <w:left w:val="single" w:sz="4" w:space="0" w:color="auto"/>
              <w:bottom w:val="single" w:sz="4" w:space="0" w:color="auto"/>
              <w:right w:val="single" w:sz="4" w:space="0" w:color="auto"/>
            </w:tcBorders>
            <w:shd w:val="clear" w:color="auto" w:fill="auto"/>
          </w:tcPr>
          <w:p w:rsidR="00B4173B" w:rsidRPr="00B4173B" w:rsidRDefault="00B4173B" w:rsidP="00B4173B">
            <w:pPr>
              <w:rPr>
                <w:sz w:val="20"/>
                <w:szCs w:val="20"/>
                <w:lang w:val="en-CA" w:eastAsia="en-CA"/>
              </w:rPr>
            </w:pPr>
            <w:r w:rsidRPr="00B4173B">
              <w:rPr>
                <w:sz w:val="20"/>
                <w:szCs w:val="20"/>
                <w:lang w:eastAsia="fr"/>
              </w:rPr>
              <w:t>4.4.3</w:t>
            </w:r>
          </w:p>
        </w:tc>
        <w:tc>
          <w:tcPr>
            <w:tcW w:w="8652" w:type="dxa"/>
            <w:gridSpan w:val="8"/>
            <w:tcBorders>
              <w:top w:val="nil"/>
              <w:left w:val="nil"/>
              <w:bottom w:val="single" w:sz="4" w:space="0" w:color="auto"/>
              <w:right w:val="single" w:sz="4" w:space="0" w:color="auto"/>
            </w:tcBorders>
            <w:shd w:val="clear" w:color="auto" w:fill="auto"/>
          </w:tcPr>
          <w:p w:rsidR="00B4173B" w:rsidRPr="00B4173B" w:rsidRDefault="00B4173B" w:rsidP="00B4173B">
            <w:pPr>
              <w:rPr>
                <w:sz w:val="20"/>
                <w:szCs w:val="20"/>
                <w:lang w:val="fr-FR" w:eastAsia="en-CA"/>
              </w:rPr>
            </w:pPr>
            <w:r w:rsidRPr="00B4173B">
              <w:rPr>
                <w:sz w:val="20"/>
                <w:szCs w:val="20"/>
                <w:lang w:val="fr-FR" w:eastAsia="fr"/>
              </w:rPr>
              <w:t xml:space="preserve">Consommation restante admissible de HCFC-141b contenu dans les polyols </w:t>
            </w:r>
            <w:proofErr w:type="spellStart"/>
            <w:r w:rsidRPr="00B4173B">
              <w:rPr>
                <w:sz w:val="20"/>
                <w:szCs w:val="20"/>
                <w:lang w:val="fr-FR" w:eastAsia="fr"/>
              </w:rPr>
              <w:t>prémélangés</w:t>
            </w:r>
            <w:proofErr w:type="spellEnd"/>
            <w:r w:rsidRPr="00B4173B">
              <w:rPr>
                <w:sz w:val="20"/>
                <w:szCs w:val="20"/>
                <w:lang w:val="fr-FR" w:eastAsia="fr"/>
              </w:rPr>
              <w:t xml:space="preserve"> importés (tonnes PAO)</w:t>
            </w:r>
          </w:p>
        </w:tc>
        <w:tc>
          <w:tcPr>
            <w:tcW w:w="1016" w:type="dxa"/>
            <w:tcBorders>
              <w:top w:val="nil"/>
              <w:left w:val="single" w:sz="4" w:space="0" w:color="auto"/>
              <w:bottom w:val="single" w:sz="4" w:space="0" w:color="auto"/>
              <w:right w:val="single" w:sz="4" w:space="0" w:color="auto"/>
            </w:tcBorders>
            <w:shd w:val="clear" w:color="auto" w:fill="auto"/>
          </w:tcPr>
          <w:p w:rsidR="00B4173B" w:rsidRPr="00B4173B" w:rsidRDefault="00B4173B" w:rsidP="00B4173B">
            <w:pPr>
              <w:jc w:val="right"/>
              <w:rPr>
                <w:sz w:val="20"/>
                <w:szCs w:val="20"/>
                <w:lang w:val="en-CA" w:eastAsia="en-CA"/>
              </w:rPr>
            </w:pPr>
            <w:r w:rsidRPr="00B4173B">
              <w:rPr>
                <w:sz w:val="20"/>
                <w:szCs w:val="20"/>
                <w:lang w:val="fr" w:eastAsia="fr"/>
              </w:rPr>
              <w:t>0</w:t>
            </w:r>
          </w:p>
        </w:tc>
      </w:tr>
    </w:tbl>
    <w:p w:rsidR="00B4173B" w:rsidRPr="00B4173B" w:rsidRDefault="00B4173B" w:rsidP="00B4173B">
      <w:pPr>
        <w:outlineLvl w:val="0"/>
        <w:rPr>
          <w:sz w:val="20"/>
          <w:szCs w:val="20"/>
          <w:lang w:val="fr-FR"/>
        </w:rPr>
      </w:pPr>
      <w:r w:rsidRPr="00B4173B">
        <w:rPr>
          <w:sz w:val="20"/>
          <w:szCs w:val="20"/>
          <w:lang w:val="fr"/>
        </w:rPr>
        <w:t>*La date d’achèvement de la phase I du PGEH, en vertu de l'accord portant sur cette phase, est le 31 décembre 2020.</w:t>
      </w:r>
    </w:p>
    <w:p w:rsidR="00B4173B" w:rsidRPr="00B4173B" w:rsidRDefault="00B4173B" w:rsidP="00B4173B">
      <w:pPr>
        <w:rPr>
          <w:sz w:val="20"/>
          <w:szCs w:val="20"/>
          <w:lang w:val="fr-FR"/>
        </w:rPr>
      </w:pPr>
      <w:r w:rsidRPr="00B4173B">
        <w:rPr>
          <w:sz w:val="20"/>
          <w:szCs w:val="20"/>
          <w:lang w:val="fr"/>
        </w:rPr>
        <w:t>**La consommation restante éligible au financement est nulle puisqu'il n'y a plus de consommation dans le pays.</w:t>
      </w:r>
    </w:p>
    <w:p w:rsidR="00B4173B" w:rsidRPr="00B4173B" w:rsidRDefault="00B4173B" w:rsidP="00B4173B">
      <w:pPr>
        <w:rPr>
          <w:lang w:val="fr-FR"/>
        </w:rPr>
      </w:pPr>
    </w:p>
    <w:p w:rsidR="00B4173B" w:rsidRPr="00B4173B" w:rsidRDefault="00B4173B" w:rsidP="00B4173B">
      <w:pPr>
        <w:keepNext/>
        <w:keepLines/>
        <w:spacing w:after="240"/>
        <w:rPr>
          <w:b/>
          <w:lang w:val="fr-FR"/>
        </w:rPr>
      </w:pPr>
      <w:r w:rsidRPr="00B4173B">
        <w:rPr>
          <w:b/>
          <w:lang w:val="fr-FR"/>
        </w:rPr>
        <w:lastRenderedPageBreak/>
        <w:t>APPENDICE 3-</w:t>
      </w:r>
      <w:proofErr w:type="gramStart"/>
      <w:r w:rsidRPr="00B4173B">
        <w:rPr>
          <w:b/>
          <w:lang w:val="fr-FR"/>
        </w:rPr>
        <w:t>A:</w:t>
      </w:r>
      <w:proofErr w:type="gramEnd"/>
      <w:r w:rsidRPr="00B4173B">
        <w:rPr>
          <w:b/>
          <w:lang w:val="fr-FR"/>
        </w:rPr>
        <w:t xml:space="preserve"> CALENDRIER DE FINANCEMENT APPROUVÉ</w:t>
      </w:r>
    </w:p>
    <w:p w:rsidR="00B4173B" w:rsidRPr="00B4173B" w:rsidRDefault="00B4173B" w:rsidP="00B4173B">
      <w:pPr>
        <w:keepNext/>
        <w:keepLines/>
        <w:numPr>
          <w:ilvl w:val="0"/>
          <w:numId w:val="39"/>
        </w:numPr>
        <w:spacing w:after="240"/>
        <w:outlineLvl w:val="0"/>
        <w:rPr>
          <w:lang w:val="fr-FR"/>
        </w:rPr>
      </w:pPr>
      <w:r w:rsidRPr="00B4173B">
        <w:rPr>
          <w:lang w:val="fr"/>
        </w:rPr>
        <w:t>Le financement des futures tranches sera examiné pour approbation lors de la deuxième réunion de l’année spécifiée à l’Appendice 2-A.</w:t>
      </w:r>
    </w:p>
    <w:p w:rsidR="00B4173B" w:rsidRPr="00B4173B" w:rsidRDefault="00B4173B" w:rsidP="00B4173B">
      <w:pPr>
        <w:keepNext/>
        <w:spacing w:after="240"/>
        <w:rPr>
          <w:b/>
          <w:lang w:val="fr-FR"/>
        </w:rPr>
      </w:pPr>
      <w:r w:rsidRPr="00B4173B">
        <w:rPr>
          <w:b/>
          <w:lang w:val="fr"/>
        </w:rPr>
        <w:t>APPENDICE 4-A : FORMAT DES RAPPORTS ET DES PLANS DE MISE EN ŒUVRE DE LA TRANCHE</w:t>
      </w:r>
    </w:p>
    <w:p w:rsidR="00B4173B" w:rsidRPr="00B4173B" w:rsidRDefault="00B4173B" w:rsidP="00B4173B">
      <w:pPr>
        <w:numPr>
          <w:ilvl w:val="0"/>
          <w:numId w:val="40"/>
        </w:numPr>
        <w:spacing w:after="240"/>
        <w:outlineLvl w:val="0"/>
        <w:rPr>
          <w:lang w:val="fr-FR"/>
        </w:rPr>
      </w:pPr>
      <w:r w:rsidRPr="00B4173B">
        <w:rPr>
          <w:lang w:val="fr"/>
        </w:rPr>
        <w:t>La présentation du rapport et des plans de mise en œuvre pour chaque demande de tranche comprendra cinq parties :</w:t>
      </w:r>
    </w:p>
    <w:p w:rsidR="00B4173B" w:rsidRPr="00B4173B" w:rsidRDefault="00B4173B" w:rsidP="00B4173B">
      <w:pPr>
        <w:keepNext/>
        <w:numPr>
          <w:ilvl w:val="1"/>
          <w:numId w:val="1"/>
        </w:numPr>
        <w:tabs>
          <w:tab w:val="num" w:pos="-720"/>
        </w:tabs>
        <w:spacing w:after="240"/>
        <w:outlineLvl w:val="1"/>
        <w:rPr>
          <w:lang w:val="fr-FR"/>
        </w:rPr>
      </w:pPr>
      <w:r w:rsidRPr="00B4173B">
        <w:rPr>
          <w:lang w:val="fr"/>
        </w:rPr>
        <w:t xml:space="preserve">Un rapport narratif, avec des données fournies par tranche, décrivant les progrès réalisés depuis le précédent rapport, reflétant la situation du Pays en matière d’élimination des Substances, la façon dont les différentes activités y contribuent et comment elles sont reliées entre elles. Le rapport inclura les quantités de SAO éliminées en tant que résultat direct de la mise en œuvre des activités, par substance, et la technologie de remplacement utilisée et l’introduction correspondante des produits de remplacement, afin de permettre au Secrétariat de fournir au Comité exécutif les informations se rapportant aux changements intervenus dans les émissions importantes sur le plan climatique. Ce rapport doit aussi mettre en lumière les réussites, les expériences et les défis correspondant aux différentes activités incluses dans le Plan, reflétant tout changement de situation intervenu dans le Pays et fournissant d’autres informations utiles. Le rapport doit également éclairer et justifier tout changement par rapport au(x) plan(s) de la tranche soumis précédemment, tels que des retards, l’utilisation de la marge de manœuvre pour la réaffectation des fonds durant la mise en œuvre d’une tranche, tel qu’indiqué au paragraphe 7 du présent Accord, ou autres changements ; </w:t>
      </w:r>
    </w:p>
    <w:p w:rsidR="00B4173B" w:rsidRPr="00B4173B" w:rsidRDefault="00B4173B" w:rsidP="00B4173B">
      <w:pPr>
        <w:widowControl w:val="0"/>
        <w:numPr>
          <w:ilvl w:val="1"/>
          <w:numId w:val="1"/>
        </w:numPr>
        <w:tabs>
          <w:tab w:val="num" w:pos="-720"/>
        </w:tabs>
        <w:spacing w:after="240"/>
        <w:outlineLvl w:val="1"/>
        <w:rPr>
          <w:lang w:val="fr-FR"/>
        </w:rPr>
      </w:pPr>
      <w:r w:rsidRPr="00B4173B">
        <w:rPr>
          <w:lang w:val="fr"/>
        </w:rPr>
        <w:t>Un rapport de vérification indépendant des résultats du Plan et de la consommation des Substances, conformément au paragraphe 5 b) de l’Accord. À moins que le Comité exécutif n’en ait décidé autrement, cette vérification doit accompagner chaque demande de tranche et fournir une vérification de la consommation pour toutes les années concernées spécifiées au paragraphe 5 a) de l’Accord pour lesquelles un rapport de vérification n’a pas encore été accepté par le Comité ;</w:t>
      </w:r>
    </w:p>
    <w:p w:rsidR="00B4173B" w:rsidRPr="00B4173B" w:rsidRDefault="00B4173B" w:rsidP="00B4173B">
      <w:pPr>
        <w:widowControl w:val="0"/>
        <w:numPr>
          <w:ilvl w:val="1"/>
          <w:numId w:val="1"/>
        </w:numPr>
        <w:tabs>
          <w:tab w:val="num" w:pos="-720"/>
        </w:tabs>
        <w:spacing w:after="240"/>
        <w:outlineLvl w:val="1"/>
        <w:rPr>
          <w:lang w:val="fr-FR"/>
        </w:rPr>
      </w:pPr>
      <w:r w:rsidRPr="00B4173B">
        <w:rPr>
          <w:lang w:val="fr"/>
        </w:rPr>
        <w:t>Une description écrite des activités à entreprendre au cours de la période correspondant à la demande de tranche, soulignant les étapes clés de la mise en œuvre, le moment de l’achèvement et l’interdépendance des activités, et tenant en compte des expériences acquises et des progrès réalisés lors de la mise en œuvre des tranches précédentes ; les données du plan seront fournies par année civile. La description doit aussi faire mention du Plan d’ensemble et des progrès réalisés ainsi que des changements éventuels prévus pour le Plan d’ensemble. Elle doit également spécifier et expliquer en détail toutes révisions apportées au plan d’ensemble ayant été jugées nécessaires. Elle doit également spécifier et expliquer en détail toutes révisions apportées au plan d’ensemble ayant été jugées nécessaires.</w:t>
      </w:r>
    </w:p>
    <w:p w:rsidR="00B4173B" w:rsidRPr="00B4173B" w:rsidRDefault="00B4173B" w:rsidP="00B4173B">
      <w:pPr>
        <w:widowControl w:val="0"/>
        <w:numPr>
          <w:ilvl w:val="1"/>
          <w:numId w:val="1"/>
        </w:numPr>
        <w:tabs>
          <w:tab w:val="num" w:pos="-720"/>
        </w:tabs>
        <w:spacing w:after="240"/>
        <w:outlineLvl w:val="1"/>
        <w:rPr>
          <w:lang w:val="fr-FR"/>
        </w:rPr>
      </w:pPr>
      <w:r w:rsidRPr="00B4173B">
        <w:rPr>
          <w:lang w:val="fr"/>
        </w:rPr>
        <w:t xml:space="preserve">Une série d’informations quantitatives pour tous les rapports et plans de la mise en œuvre de la tranche, présentées dans une base de données communiquées en ligne ; </w:t>
      </w:r>
    </w:p>
    <w:p w:rsidR="00B4173B" w:rsidRPr="00B4173B" w:rsidRDefault="00B4173B" w:rsidP="00B4173B">
      <w:pPr>
        <w:widowControl w:val="0"/>
        <w:numPr>
          <w:ilvl w:val="1"/>
          <w:numId w:val="1"/>
        </w:numPr>
        <w:tabs>
          <w:tab w:val="num" w:pos="-720"/>
        </w:tabs>
        <w:spacing w:after="240"/>
        <w:outlineLvl w:val="1"/>
        <w:rPr>
          <w:lang w:val="fr-FR"/>
        </w:rPr>
      </w:pPr>
      <w:r w:rsidRPr="00B4173B">
        <w:rPr>
          <w:lang w:val="fr"/>
        </w:rPr>
        <w:t>Une synthèse comprenant environ cinq paragraphes, résumant les informations des paragraphes 1 a) à 1 d) ci-dessus.</w:t>
      </w:r>
    </w:p>
    <w:p w:rsidR="00B4173B" w:rsidRPr="00B4173B" w:rsidRDefault="00B4173B" w:rsidP="00B4173B">
      <w:pPr>
        <w:numPr>
          <w:ilvl w:val="0"/>
          <w:numId w:val="1"/>
        </w:numPr>
        <w:spacing w:after="240"/>
        <w:outlineLvl w:val="0"/>
        <w:rPr>
          <w:lang w:val="fr-FR"/>
        </w:rPr>
      </w:pPr>
      <w:r w:rsidRPr="00B4173B">
        <w:rPr>
          <w:lang w:val="fr"/>
        </w:rPr>
        <w:lastRenderedPageBreak/>
        <w:t>Si deux phases du PGEH sont mises en œuvre en parallèle au cours d’une année donnée, les considérations ci-dessous doivent entrer en ligne de compte dans la préparation des rapports et des plans de la mise en œuvre de la tranche :</w:t>
      </w:r>
    </w:p>
    <w:p w:rsidR="00B4173B" w:rsidRPr="00B4173B" w:rsidRDefault="00B4173B" w:rsidP="00B4173B">
      <w:pPr>
        <w:numPr>
          <w:ilvl w:val="1"/>
          <w:numId w:val="1"/>
        </w:numPr>
        <w:tabs>
          <w:tab w:val="num" w:pos="-720"/>
        </w:tabs>
        <w:spacing w:after="240"/>
        <w:outlineLvl w:val="1"/>
        <w:rPr>
          <w:lang w:val="fr-FR"/>
        </w:rPr>
      </w:pPr>
      <w:r w:rsidRPr="00B4173B">
        <w:rPr>
          <w:lang w:val="fr"/>
        </w:rPr>
        <w:t xml:space="preserve">Les rapports et les plans de mise en œuvre de la tranche dont il est question dans le présent Accord ne porteront que sur les activités et les montants prévus dans cet Accord ; </w:t>
      </w:r>
    </w:p>
    <w:p w:rsidR="00B4173B" w:rsidRPr="00B4173B" w:rsidRDefault="00B4173B" w:rsidP="00B4173B">
      <w:pPr>
        <w:keepNext/>
        <w:keepLines/>
        <w:numPr>
          <w:ilvl w:val="1"/>
          <w:numId w:val="1"/>
        </w:numPr>
        <w:tabs>
          <w:tab w:val="num" w:pos="-720"/>
        </w:tabs>
        <w:spacing w:after="240"/>
        <w:outlineLvl w:val="1"/>
        <w:rPr>
          <w:lang w:val="fr-FR"/>
        </w:rPr>
      </w:pPr>
      <w:r w:rsidRPr="00B4173B">
        <w:rPr>
          <w:lang w:val="fr"/>
        </w:rPr>
        <w:t>Si les phases mises en œuvre présentent des objectifs de consommation de HCFC différents au titre de l’Appendice 2-A de chaque Accord d’une même année, l’objectif de consommation le plus bas servira de référence aux fins de conformité à ces Accords et de base pour la vérification indépendante.</w:t>
      </w:r>
    </w:p>
    <w:p w:rsidR="00B4173B" w:rsidRPr="00B4173B" w:rsidRDefault="00B4173B" w:rsidP="00B4173B">
      <w:pPr>
        <w:keepNext/>
        <w:spacing w:after="240"/>
        <w:rPr>
          <w:b/>
          <w:lang w:val="fr-FR"/>
        </w:rPr>
      </w:pPr>
      <w:r w:rsidRPr="00B4173B">
        <w:rPr>
          <w:b/>
          <w:lang w:val="fr"/>
        </w:rPr>
        <w:t xml:space="preserve">APPENDICE 5-A : INSTITUTIONS DE SUIVI ET LEUR RÔLE </w:t>
      </w:r>
    </w:p>
    <w:p w:rsidR="00B4173B" w:rsidRPr="00C138C4" w:rsidRDefault="00B4173B" w:rsidP="00C138C4">
      <w:pPr>
        <w:pStyle w:val="Heading1"/>
        <w:numPr>
          <w:ilvl w:val="0"/>
          <w:numId w:val="43"/>
        </w:numPr>
        <w:rPr>
          <w:lang w:val="fr-FR"/>
        </w:rPr>
      </w:pPr>
      <w:r w:rsidRPr="00C138C4">
        <w:rPr>
          <w:lang w:val="fr-FR"/>
        </w:rPr>
        <w:t xml:space="preserve">L’Unité nationale de l'ozone (UNO) surveillera l'efficacité de la mise en œuvre des différentes composantes du PGEH, y compris le respect des niveaux d'élimination et l'impact de toutes les activités par rapport aux objectifs et buts fixés. </w:t>
      </w:r>
    </w:p>
    <w:p w:rsidR="00B4173B" w:rsidRPr="00B4173B" w:rsidRDefault="00B4173B" w:rsidP="00B4173B">
      <w:pPr>
        <w:numPr>
          <w:ilvl w:val="0"/>
          <w:numId w:val="1"/>
        </w:numPr>
        <w:spacing w:after="240"/>
        <w:outlineLvl w:val="0"/>
        <w:rPr>
          <w:lang w:val="fr-FR"/>
        </w:rPr>
      </w:pPr>
      <w:r w:rsidRPr="00B4173B">
        <w:rPr>
          <w:lang w:val="fr-FR"/>
        </w:rPr>
        <w:t xml:space="preserve">La Commission nationale pour la protection de la couche d'ozone, en étroite coopération et coordination avec l'UNO et l'appui de l'agence principale, </w:t>
      </w:r>
      <w:r w:rsidRPr="00B4173B">
        <w:rPr>
          <w:lang w:val="fr-FR"/>
        </w:rPr>
        <w:noBreakHyphen/>
        <w:t xml:space="preserve">jouera un rôle clé dans le suivi de la mise en œuvre du PGEH en créant et en gérant une base de données de surveillance complète pour la mise en œuvre de toutes les activités menées au titre du PGEH. L’UNO effectuera la surveillance, les rapports et la tenue </w:t>
      </w:r>
      <w:proofErr w:type="gramStart"/>
      <w:r w:rsidRPr="00B4173B">
        <w:rPr>
          <w:lang w:val="fr-FR"/>
        </w:rPr>
        <w:t>des registres sur</w:t>
      </w:r>
      <w:proofErr w:type="gramEnd"/>
      <w:r w:rsidRPr="00B4173B">
        <w:rPr>
          <w:lang w:val="fr-FR"/>
        </w:rPr>
        <w:t xml:space="preserve"> :</w:t>
      </w:r>
    </w:p>
    <w:p w:rsidR="00B4173B" w:rsidRPr="00B4173B" w:rsidRDefault="005443CB" w:rsidP="00B4173B">
      <w:pPr>
        <w:widowControl w:val="0"/>
        <w:numPr>
          <w:ilvl w:val="1"/>
          <w:numId w:val="1"/>
        </w:numPr>
        <w:spacing w:after="240"/>
        <w:outlineLvl w:val="1"/>
        <w:rPr>
          <w:lang w:val="fr-FR"/>
        </w:rPr>
      </w:pPr>
      <w:r>
        <w:rPr>
          <w:lang w:val="fr-FR"/>
        </w:rPr>
        <w:t>L</w:t>
      </w:r>
      <w:r w:rsidR="00B4173B" w:rsidRPr="00B4173B">
        <w:rPr>
          <w:lang w:val="fr-FR"/>
        </w:rPr>
        <w:t>es importations et exportations de SAO, notamment en récoltant des données auprès des importateurs locaux ;</w:t>
      </w:r>
    </w:p>
    <w:p w:rsidR="00B4173B" w:rsidRPr="00B4173B" w:rsidRDefault="005443CB" w:rsidP="00B4173B">
      <w:pPr>
        <w:widowControl w:val="0"/>
        <w:numPr>
          <w:ilvl w:val="1"/>
          <w:numId w:val="1"/>
        </w:numPr>
        <w:spacing w:after="240"/>
        <w:outlineLvl w:val="1"/>
        <w:rPr>
          <w:lang w:val="fr-FR"/>
        </w:rPr>
      </w:pPr>
      <w:r>
        <w:rPr>
          <w:lang w:val="fr-FR"/>
        </w:rPr>
        <w:t>L</w:t>
      </w:r>
      <w:r w:rsidR="00B4173B" w:rsidRPr="00B4173B">
        <w:rPr>
          <w:lang w:val="fr-FR"/>
        </w:rPr>
        <w:t>'emploi de SAO dans les différents secteurs, notamment en récoltant des données auprès des fabricants et grâce aux enquêtes menées par l’unité de gestion de projet ;</w:t>
      </w:r>
    </w:p>
    <w:p w:rsidR="00B4173B" w:rsidRPr="00B4173B" w:rsidRDefault="005443CB" w:rsidP="00B4173B">
      <w:pPr>
        <w:widowControl w:val="0"/>
        <w:numPr>
          <w:ilvl w:val="1"/>
          <w:numId w:val="1"/>
        </w:numPr>
        <w:spacing w:after="240"/>
        <w:outlineLvl w:val="1"/>
        <w:rPr>
          <w:lang w:val="fr-FR"/>
        </w:rPr>
      </w:pPr>
      <w:r>
        <w:rPr>
          <w:lang w:val="fr-FR"/>
        </w:rPr>
        <w:t>L</w:t>
      </w:r>
      <w:r w:rsidR="00B4173B" w:rsidRPr="00B4173B">
        <w:rPr>
          <w:lang w:val="fr-FR"/>
        </w:rPr>
        <w:t>a quantité de SAO récupérées, recyclées et indésirables ;</w:t>
      </w:r>
    </w:p>
    <w:p w:rsidR="00B4173B" w:rsidRPr="00B4173B" w:rsidRDefault="005443CB" w:rsidP="00B4173B">
      <w:pPr>
        <w:widowControl w:val="0"/>
        <w:numPr>
          <w:ilvl w:val="1"/>
          <w:numId w:val="1"/>
        </w:numPr>
        <w:spacing w:after="240"/>
        <w:outlineLvl w:val="1"/>
        <w:rPr>
          <w:lang w:val="fr-FR"/>
        </w:rPr>
      </w:pPr>
      <w:r>
        <w:rPr>
          <w:lang w:val="fr-FR"/>
        </w:rPr>
        <w:t>L</w:t>
      </w:r>
      <w:r w:rsidR="00B4173B" w:rsidRPr="00B4173B">
        <w:rPr>
          <w:lang w:val="fr-FR"/>
        </w:rPr>
        <w:t>a mise à jour régulière des livrables du projet selon les étapes convenues ;</w:t>
      </w:r>
    </w:p>
    <w:p w:rsidR="00B4173B" w:rsidRPr="00B4173B" w:rsidRDefault="005443CB" w:rsidP="00B4173B">
      <w:pPr>
        <w:widowControl w:val="0"/>
        <w:numPr>
          <w:ilvl w:val="1"/>
          <w:numId w:val="1"/>
        </w:numPr>
        <w:spacing w:after="240"/>
        <w:outlineLvl w:val="1"/>
        <w:rPr>
          <w:lang w:val="fr-FR"/>
        </w:rPr>
      </w:pPr>
      <w:r>
        <w:rPr>
          <w:lang w:val="fr-FR"/>
        </w:rPr>
        <w:t>L</w:t>
      </w:r>
      <w:r w:rsidR="00B4173B" w:rsidRPr="00B4173B">
        <w:rPr>
          <w:lang w:val="fr-FR"/>
        </w:rPr>
        <w:t>es plans, les rapports d'étape et les rapports d'achèvement des composantes et des projets ;</w:t>
      </w:r>
      <w:r>
        <w:rPr>
          <w:lang w:val="fr-FR"/>
        </w:rPr>
        <w:t xml:space="preserve"> et</w:t>
      </w:r>
    </w:p>
    <w:p w:rsidR="00B4173B" w:rsidRPr="00B4173B" w:rsidRDefault="00B4173B" w:rsidP="00B4173B">
      <w:pPr>
        <w:widowControl w:val="0"/>
        <w:numPr>
          <w:ilvl w:val="1"/>
          <w:numId w:val="1"/>
        </w:numPr>
        <w:spacing w:after="240"/>
        <w:outlineLvl w:val="1"/>
        <w:rPr>
          <w:lang w:val="fr-FR"/>
        </w:rPr>
      </w:pPr>
      <w:r w:rsidRPr="00B4173B">
        <w:rPr>
          <w:lang w:val="fr-FR"/>
        </w:rPr>
        <w:t>Les informations sur les équipements à base de SAO, les réserves de SAO et l'état de leur fonctionnement et de leur mise hors service.</w:t>
      </w:r>
    </w:p>
    <w:p w:rsidR="00B4173B" w:rsidRPr="00B4173B" w:rsidRDefault="00B4173B" w:rsidP="00B4173B">
      <w:pPr>
        <w:numPr>
          <w:ilvl w:val="0"/>
          <w:numId w:val="1"/>
        </w:numPr>
        <w:spacing w:after="240"/>
        <w:outlineLvl w:val="0"/>
        <w:rPr>
          <w:lang w:val="fr-FR"/>
        </w:rPr>
      </w:pPr>
      <w:r w:rsidRPr="00B4173B">
        <w:rPr>
          <w:lang w:val="fr-FR"/>
        </w:rPr>
        <w:t>L'agence d'exécution principale, en coopération avec l'UNO, élaborera un cahier des charges détaillé concernant la base de données de suivi et engagera en conséquence un fournisseur technique capable de la mettre au point. Le fonctionnement et la gestion de la base de données seront assurés par l’intermédiaire d’un consultant qui assumera les fonctions d’administrateur de la base de données et de coordonnateur de la surveillance pour le PGEH du pays.</w:t>
      </w:r>
    </w:p>
    <w:p w:rsidR="00B4173B" w:rsidRPr="00B4173B" w:rsidRDefault="00B4173B" w:rsidP="00B4173B">
      <w:pPr>
        <w:numPr>
          <w:ilvl w:val="0"/>
          <w:numId w:val="1"/>
        </w:numPr>
        <w:spacing w:after="240"/>
        <w:outlineLvl w:val="0"/>
        <w:rPr>
          <w:lang w:val="fr-FR"/>
        </w:rPr>
      </w:pPr>
      <w:r w:rsidRPr="00B4173B">
        <w:rPr>
          <w:lang w:val="fr-FR"/>
        </w:rPr>
        <w:t>La vérification couvrira, en plus d’autres tâches, les rapports générés concernant les progrès accomplis dans la mise en œuvre du PGEH.</w:t>
      </w:r>
    </w:p>
    <w:p w:rsidR="0025325D" w:rsidRDefault="0025325D">
      <w:pPr>
        <w:jc w:val="left"/>
        <w:rPr>
          <w:b/>
          <w:lang w:val="fr"/>
        </w:rPr>
      </w:pPr>
      <w:r>
        <w:rPr>
          <w:b/>
          <w:lang w:val="fr"/>
        </w:rPr>
        <w:br w:type="page"/>
      </w:r>
    </w:p>
    <w:p w:rsidR="00B4173B" w:rsidRPr="00B4173B" w:rsidRDefault="00B4173B" w:rsidP="00B4173B">
      <w:pPr>
        <w:spacing w:after="240"/>
        <w:rPr>
          <w:b/>
          <w:lang w:val="fr-FR"/>
        </w:rPr>
      </w:pPr>
      <w:r w:rsidRPr="00B4173B">
        <w:rPr>
          <w:b/>
          <w:lang w:val="fr"/>
        </w:rPr>
        <w:lastRenderedPageBreak/>
        <w:t xml:space="preserve">APPENDICE 6-A : RÔLE DE L’AGENCE D’EXÉCUTION PRINCIPALE </w:t>
      </w:r>
    </w:p>
    <w:p w:rsidR="00B4173B" w:rsidRPr="00C138C4" w:rsidRDefault="00B4173B" w:rsidP="00C138C4">
      <w:pPr>
        <w:pStyle w:val="Heading1"/>
        <w:numPr>
          <w:ilvl w:val="0"/>
          <w:numId w:val="44"/>
        </w:numPr>
        <w:rPr>
          <w:lang w:val="fr-FR"/>
        </w:rPr>
      </w:pPr>
      <w:r w:rsidRPr="00C138C4">
        <w:rPr>
          <w:lang w:val="fr"/>
        </w:rPr>
        <w:t>L’Agence d’exécution principale est responsable d’une série d’activités qui comprennent au moins les activités suivantes :</w:t>
      </w:r>
    </w:p>
    <w:p w:rsidR="00B4173B" w:rsidRPr="00B4173B" w:rsidRDefault="00B4173B" w:rsidP="00B4173B">
      <w:pPr>
        <w:widowControl w:val="0"/>
        <w:numPr>
          <w:ilvl w:val="1"/>
          <w:numId w:val="1"/>
        </w:numPr>
        <w:tabs>
          <w:tab w:val="num" w:pos="-720"/>
        </w:tabs>
        <w:spacing w:after="240"/>
        <w:outlineLvl w:val="1"/>
        <w:rPr>
          <w:lang w:val="fr-FR"/>
        </w:rPr>
      </w:pPr>
      <w:r w:rsidRPr="00B4173B">
        <w:rPr>
          <w:lang w:val="fr"/>
        </w:rPr>
        <w:t>S’assurer du rendement et de la vérification financière conformément au présent Accord et à ses procédures internes et exigences spécifiques définies dans le PGEH du Pays ;</w:t>
      </w:r>
    </w:p>
    <w:p w:rsidR="00B4173B" w:rsidRPr="00B4173B" w:rsidRDefault="00B4173B" w:rsidP="00B4173B">
      <w:pPr>
        <w:widowControl w:val="0"/>
        <w:numPr>
          <w:ilvl w:val="1"/>
          <w:numId w:val="1"/>
        </w:numPr>
        <w:tabs>
          <w:tab w:val="num" w:pos="-720"/>
        </w:tabs>
        <w:spacing w:after="240"/>
        <w:outlineLvl w:val="1"/>
        <w:rPr>
          <w:lang w:val="fr-FR"/>
        </w:rPr>
      </w:pPr>
      <w:r w:rsidRPr="00B4173B">
        <w:rPr>
          <w:lang w:val="fr"/>
        </w:rPr>
        <w:t>Aider le Pays à préparer les rapports et les plans de mise en œuvre de la tranche, conformément à l’Appendice 4-A ;</w:t>
      </w:r>
    </w:p>
    <w:p w:rsidR="00B4173B" w:rsidRPr="00B4173B" w:rsidRDefault="00B4173B" w:rsidP="00B4173B">
      <w:pPr>
        <w:widowControl w:val="0"/>
        <w:numPr>
          <w:ilvl w:val="1"/>
          <w:numId w:val="1"/>
        </w:numPr>
        <w:tabs>
          <w:tab w:val="num" w:pos="-720"/>
        </w:tabs>
        <w:spacing w:after="240"/>
        <w:outlineLvl w:val="1"/>
        <w:rPr>
          <w:lang w:val="fr-FR"/>
        </w:rPr>
      </w:pPr>
      <w:r w:rsidRPr="00B4173B">
        <w:rPr>
          <w:lang w:val="fr"/>
        </w:rPr>
        <w:t>Remettre au Comité exécutif un rapport de vérification indépendante confirmant que les Objectifs ont été atteints et que les activités liées à la tranche ont été réalisées conformément au plan de mise en œuvre de la tranche, conformément à l’Appendice 4-A ;</w:t>
      </w:r>
    </w:p>
    <w:p w:rsidR="00B4173B" w:rsidRPr="00B4173B" w:rsidRDefault="00B4173B" w:rsidP="00B4173B">
      <w:pPr>
        <w:widowControl w:val="0"/>
        <w:numPr>
          <w:ilvl w:val="1"/>
          <w:numId w:val="1"/>
        </w:numPr>
        <w:tabs>
          <w:tab w:val="num" w:pos="-720"/>
        </w:tabs>
        <w:spacing w:after="240"/>
        <w:outlineLvl w:val="1"/>
        <w:rPr>
          <w:lang w:val="fr-FR"/>
        </w:rPr>
      </w:pPr>
      <w:r w:rsidRPr="00B4173B">
        <w:rPr>
          <w:lang w:val="fr"/>
        </w:rPr>
        <w:t>Veiller à ce que les expériences et progrès transparaissent dans les mises à jour du Plan d’ensemble et les plans de mise en œuvre de la future tranche, conformément aux paragraphes 1 c) et 1 d) de l’Appendice 4-</w:t>
      </w:r>
      <w:proofErr w:type="gramStart"/>
      <w:r w:rsidRPr="00B4173B">
        <w:rPr>
          <w:lang w:val="fr"/>
        </w:rPr>
        <w:t>A;</w:t>
      </w:r>
      <w:proofErr w:type="gramEnd"/>
    </w:p>
    <w:p w:rsidR="00B4173B" w:rsidRPr="00B4173B" w:rsidRDefault="00B4173B" w:rsidP="00B4173B">
      <w:pPr>
        <w:widowControl w:val="0"/>
        <w:numPr>
          <w:ilvl w:val="1"/>
          <w:numId w:val="1"/>
        </w:numPr>
        <w:tabs>
          <w:tab w:val="num" w:pos="-720"/>
        </w:tabs>
        <w:spacing w:after="240"/>
        <w:outlineLvl w:val="1"/>
        <w:rPr>
          <w:lang w:val="fr-FR"/>
        </w:rPr>
      </w:pPr>
      <w:r w:rsidRPr="00B4173B">
        <w:rPr>
          <w:lang w:val="fr"/>
        </w:rPr>
        <w:t>Satisfaire aux exigences de rapport relatives aux rapports et aux plans de mise en œuvre de la tranche, et au Plan d’ensemble selon les spécifications de l’Appendice 4-A pour présentation au Comité exécutif, et sans oublier les activités mises en œuvre par l’Agence de coopération ;</w:t>
      </w:r>
    </w:p>
    <w:p w:rsidR="00B4173B" w:rsidRPr="00B4173B" w:rsidRDefault="00B4173B" w:rsidP="00B4173B">
      <w:pPr>
        <w:widowControl w:val="0"/>
        <w:numPr>
          <w:ilvl w:val="1"/>
          <w:numId w:val="1"/>
        </w:numPr>
        <w:tabs>
          <w:tab w:val="num" w:pos="-720"/>
        </w:tabs>
        <w:spacing w:after="240"/>
        <w:outlineLvl w:val="1"/>
        <w:rPr>
          <w:lang w:val="fr-FR"/>
        </w:rPr>
      </w:pPr>
      <w:r w:rsidRPr="00B4173B">
        <w:rPr>
          <w:lang w:val="fr"/>
        </w:rPr>
        <w:t>Si la dernière tranche de financement est demandée une ou plusieurs années avant la dernière année pour laquelle un objectif de consommation avait été fixé, les rapports annuels sur la mise en œuvre de la tranche et, s’il y a lieu, les rapports de vérification portant sur la phase actuelle du Plan devront être soumis jusqu’à ce que toutes les activités prévues soient achevées et les objectifs de consommation de HCFC atteints ;</w:t>
      </w:r>
    </w:p>
    <w:p w:rsidR="00B4173B" w:rsidRPr="00B4173B" w:rsidRDefault="00B4173B" w:rsidP="00B4173B">
      <w:pPr>
        <w:widowControl w:val="0"/>
        <w:numPr>
          <w:ilvl w:val="1"/>
          <w:numId w:val="1"/>
        </w:numPr>
        <w:tabs>
          <w:tab w:val="num" w:pos="-720"/>
        </w:tabs>
        <w:spacing w:after="240"/>
        <w:outlineLvl w:val="1"/>
        <w:rPr>
          <w:lang w:val="fr-FR"/>
        </w:rPr>
      </w:pPr>
      <w:r w:rsidRPr="00B4173B">
        <w:rPr>
          <w:lang w:val="fr"/>
        </w:rPr>
        <w:t>Veiller à ce que des experts techniques indépendants et qualifiés réalisent les examens techniques ;</w:t>
      </w:r>
    </w:p>
    <w:p w:rsidR="00B4173B" w:rsidRPr="00B4173B" w:rsidRDefault="00B4173B" w:rsidP="00B4173B">
      <w:pPr>
        <w:widowControl w:val="0"/>
        <w:numPr>
          <w:ilvl w:val="1"/>
          <w:numId w:val="1"/>
        </w:numPr>
        <w:tabs>
          <w:tab w:val="num" w:pos="-720"/>
        </w:tabs>
        <w:spacing w:after="240"/>
        <w:outlineLvl w:val="1"/>
        <w:rPr>
          <w:lang w:val="fr-FR"/>
        </w:rPr>
      </w:pPr>
      <w:r w:rsidRPr="00B4173B">
        <w:rPr>
          <w:lang w:val="fr"/>
        </w:rPr>
        <w:t>Exécuter les missions de supervision requises ;</w:t>
      </w:r>
    </w:p>
    <w:p w:rsidR="00B4173B" w:rsidRPr="00B4173B" w:rsidRDefault="00B4173B" w:rsidP="00B4173B">
      <w:pPr>
        <w:widowControl w:val="0"/>
        <w:numPr>
          <w:ilvl w:val="1"/>
          <w:numId w:val="1"/>
        </w:numPr>
        <w:tabs>
          <w:tab w:val="num" w:pos="-720"/>
        </w:tabs>
        <w:spacing w:after="240"/>
        <w:outlineLvl w:val="1"/>
        <w:rPr>
          <w:lang w:val="fr-FR"/>
        </w:rPr>
      </w:pPr>
      <w:r w:rsidRPr="00B4173B">
        <w:rPr>
          <w:lang w:val="fr"/>
        </w:rPr>
        <w:t>S’assurer qu’il existe un mécanisme opérationnel permettant la mise en œuvre efficace et transparente du plan de mise en œuvre de la tranche et la communication de données correctes ;</w:t>
      </w:r>
    </w:p>
    <w:p w:rsidR="00B4173B" w:rsidRPr="00B4173B" w:rsidRDefault="00B4173B" w:rsidP="00B4173B">
      <w:pPr>
        <w:numPr>
          <w:ilvl w:val="1"/>
          <w:numId w:val="1"/>
        </w:numPr>
        <w:tabs>
          <w:tab w:val="num" w:pos="-720"/>
        </w:tabs>
        <w:spacing w:after="240"/>
        <w:outlineLvl w:val="1"/>
        <w:rPr>
          <w:lang w:val="fr-FR"/>
        </w:rPr>
      </w:pPr>
      <w:r w:rsidRPr="00B4173B">
        <w:rPr>
          <w:lang w:val="fr"/>
        </w:rPr>
        <w:t>Coordonner les activités de l’Agence de coopération et assurer une séquence appropriée des activités ;</w:t>
      </w:r>
    </w:p>
    <w:p w:rsidR="00B4173B" w:rsidRPr="00B4173B" w:rsidRDefault="00B4173B" w:rsidP="00B4173B">
      <w:pPr>
        <w:keepNext/>
        <w:numPr>
          <w:ilvl w:val="1"/>
          <w:numId w:val="1"/>
        </w:numPr>
        <w:tabs>
          <w:tab w:val="num" w:pos="-720"/>
        </w:tabs>
        <w:spacing w:after="240"/>
        <w:outlineLvl w:val="1"/>
        <w:rPr>
          <w:lang w:val="fr-FR"/>
        </w:rPr>
      </w:pPr>
      <w:r w:rsidRPr="00B4173B">
        <w:rPr>
          <w:lang w:val="fr"/>
        </w:rPr>
        <w:t xml:space="preserve">En cas de réduction du soutien financier pour non-respect des objectifs conformément au paragraphe 11 de l’Accord, déterminer, en consultation avec le Pays et l’Agence de coopération, la répartition des réductions entre les différents postes budgétaires et le financement de l’Agence d’exécution et l’Agence de coopération ; </w:t>
      </w:r>
    </w:p>
    <w:p w:rsidR="00B4173B" w:rsidRPr="00B4173B" w:rsidRDefault="00B4173B" w:rsidP="00B4173B">
      <w:pPr>
        <w:widowControl w:val="0"/>
        <w:numPr>
          <w:ilvl w:val="1"/>
          <w:numId w:val="1"/>
        </w:numPr>
        <w:tabs>
          <w:tab w:val="num" w:pos="-720"/>
        </w:tabs>
        <w:spacing w:after="240"/>
        <w:outlineLvl w:val="1"/>
        <w:rPr>
          <w:lang w:val="fr-FR"/>
        </w:rPr>
      </w:pPr>
      <w:r w:rsidRPr="00B4173B">
        <w:rPr>
          <w:lang w:val="fr"/>
        </w:rPr>
        <w:t xml:space="preserve">Veiller à ce que les versements effectués au Pays reposent sur l’utilisation des indicateurs ; </w:t>
      </w:r>
    </w:p>
    <w:p w:rsidR="00B4173B" w:rsidRPr="00B4173B" w:rsidRDefault="00B4173B" w:rsidP="00B4173B">
      <w:pPr>
        <w:widowControl w:val="0"/>
        <w:numPr>
          <w:ilvl w:val="1"/>
          <w:numId w:val="1"/>
        </w:numPr>
        <w:tabs>
          <w:tab w:val="num" w:pos="-720"/>
        </w:tabs>
        <w:spacing w:after="240"/>
        <w:outlineLvl w:val="1"/>
        <w:rPr>
          <w:lang w:val="fr-FR"/>
        </w:rPr>
      </w:pPr>
      <w:r w:rsidRPr="00B4173B">
        <w:rPr>
          <w:lang w:val="fr"/>
        </w:rPr>
        <w:t xml:space="preserve">Fournir si nécessaire une assistance en matière de politiques publiques, de gestion et de soutien technique ; </w:t>
      </w:r>
    </w:p>
    <w:p w:rsidR="00B4173B" w:rsidRPr="00B4173B" w:rsidRDefault="00B4173B" w:rsidP="00B4173B">
      <w:pPr>
        <w:keepNext/>
        <w:numPr>
          <w:ilvl w:val="1"/>
          <w:numId w:val="1"/>
        </w:numPr>
        <w:tabs>
          <w:tab w:val="num" w:pos="-720"/>
        </w:tabs>
        <w:spacing w:after="240"/>
        <w:outlineLvl w:val="1"/>
        <w:rPr>
          <w:lang w:val="fr-FR"/>
        </w:rPr>
      </w:pPr>
      <w:r w:rsidRPr="00B4173B">
        <w:rPr>
          <w:lang w:val="fr"/>
        </w:rPr>
        <w:lastRenderedPageBreak/>
        <w:t>Parvenir à un consensus avec l'Agence d’exécution coopérante sur les dispositions à prendre en matière de planification, de coordination et d'établissement de rapports pour faciliter la mise en œuvre du Plan ; et</w:t>
      </w:r>
    </w:p>
    <w:p w:rsidR="00B4173B" w:rsidRPr="00B4173B" w:rsidRDefault="00B4173B" w:rsidP="00B4173B">
      <w:pPr>
        <w:keepNext/>
        <w:numPr>
          <w:ilvl w:val="1"/>
          <w:numId w:val="1"/>
        </w:numPr>
        <w:tabs>
          <w:tab w:val="num" w:pos="-720"/>
        </w:tabs>
        <w:spacing w:after="240"/>
        <w:outlineLvl w:val="1"/>
        <w:rPr>
          <w:lang w:val="fr-FR"/>
        </w:rPr>
      </w:pPr>
      <w:r w:rsidRPr="00B4173B">
        <w:rPr>
          <w:lang w:val="fr"/>
        </w:rPr>
        <w:t>Décaisser dans les délais prévus les fonds destinés au Pays ou aux entreprises participantes pour permettre la réalisation des activités reliées au projet.</w:t>
      </w:r>
    </w:p>
    <w:p w:rsidR="00B4173B" w:rsidRPr="00B4173B" w:rsidRDefault="00B4173B" w:rsidP="00B4173B">
      <w:pPr>
        <w:numPr>
          <w:ilvl w:val="0"/>
          <w:numId w:val="1"/>
        </w:numPr>
        <w:spacing w:after="240"/>
        <w:outlineLvl w:val="0"/>
        <w:rPr>
          <w:lang w:val="fr-FR"/>
        </w:rPr>
      </w:pPr>
      <w:r w:rsidRPr="00B4173B">
        <w:rPr>
          <w:lang w:val="fr"/>
        </w:rPr>
        <w:t>Après avoir consulté le Pays et pris en considération les points de vue exprimés, l’Agence d’exécution principale sélectionnera et chargera une organisation indépendante de réaliser la vérification des résultats du PGEH et de la consommation des Substances mentionnées à l’Appendice 1-A, conformément au paragraphe 5 b) de l’Accord et du paragraphe 1 b) de l’Appendice 4-A.</w:t>
      </w:r>
    </w:p>
    <w:p w:rsidR="00B4173B" w:rsidRPr="00B4173B" w:rsidRDefault="00B4173B" w:rsidP="00B4173B">
      <w:pPr>
        <w:keepNext/>
        <w:keepLines/>
        <w:widowControl w:val="0"/>
        <w:spacing w:after="240"/>
        <w:rPr>
          <w:b/>
          <w:lang w:val="fr-FR"/>
        </w:rPr>
      </w:pPr>
      <w:r w:rsidRPr="00B4173B">
        <w:rPr>
          <w:b/>
          <w:lang w:val="fr-FR"/>
        </w:rPr>
        <w:t>APPENDICE 6-B : RÔLE DE L'AGENCE DE COOPÉRATION (PNUE)</w:t>
      </w:r>
    </w:p>
    <w:p w:rsidR="00B4173B" w:rsidRPr="00B4173B" w:rsidRDefault="00B4173B" w:rsidP="00B4173B">
      <w:pPr>
        <w:numPr>
          <w:ilvl w:val="0"/>
          <w:numId w:val="35"/>
        </w:numPr>
        <w:spacing w:after="240"/>
        <w:outlineLvl w:val="0"/>
        <w:rPr>
          <w:lang w:val="fr-FR"/>
        </w:rPr>
      </w:pPr>
      <w:r w:rsidRPr="00B4173B">
        <w:rPr>
          <w:lang w:val="fr-FR"/>
        </w:rPr>
        <w:t xml:space="preserve">L’Agence de coopération sera responsable d’activités diverses. Celles-ci sont spécifiées dans le Plan général et comprennent au moins les activités suivantes : </w:t>
      </w:r>
    </w:p>
    <w:p w:rsidR="00B4173B" w:rsidRPr="00B4173B" w:rsidRDefault="00B4173B" w:rsidP="00B4173B">
      <w:pPr>
        <w:widowControl w:val="0"/>
        <w:numPr>
          <w:ilvl w:val="1"/>
          <w:numId w:val="35"/>
        </w:numPr>
        <w:spacing w:after="240"/>
        <w:outlineLvl w:val="1"/>
        <w:rPr>
          <w:lang w:val="fr-FR"/>
        </w:rPr>
      </w:pPr>
      <w:r w:rsidRPr="00B4173B">
        <w:rPr>
          <w:lang w:val="fr-FR"/>
        </w:rPr>
        <w:t xml:space="preserve">Apporter si nécessaire une aide à l’élaboration des politiques ; </w:t>
      </w:r>
    </w:p>
    <w:p w:rsidR="00B4173B" w:rsidRPr="00B4173B" w:rsidRDefault="00B4173B" w:rsidP="00B4173B">
      <w:pPr>
        <w:widowControl w:val="0"/>
        <w:numPr>
          <w:ilvl w:val="1"/>
          <w:numId w:val="35"/>
        </w:numPr>
        <w:spacing w:after="240"/>
        <w:outlineLvl w:val="1"/>
        <w:rPr>
          <w:lang w:val="fr-FR"/>
        </w:rPr>
      </w:pPr>
      <w:r w:rsidRPr="00B4173B">
        <w:rPr>
          <w:lang w:val="fr-FR"/>
        </w:rPr>
        <w:t>Aider le Pays à mettre en œuvre et à évaluer les activités financées par l’Agence de coopération, et en faire part à l’Agence principale afin que les activités se suivent de manière coordonnée ;</w:t>
      </w:r>
    </w:p>
    <w:p w:rsidR="00B4173B" w:rsidRPr="00B4173B" w:rsidRDefault="00B4173B" w:rsidP="00B4173B">
      <w:pPr>
        <w:widowControl w:val="0"/>
        <w:numPr>
          <w:ilvl w:val="1"/>
          <w:numId w:val="35"/>
        </w:numPr>
        <w:spacing w:after="240"/>
        <w:outlineLvl w:val="1"/>
        <w:rPr>
          <w:lang w:val="fr-FR"/>
        </w:rPr>
      </w:pPr>
      <w:r w:rsidRPr="00B4173B">
        <w:rPr>
          <w:lang w:val="fr-FR"/>
        </w:rPr>
        <w:t>Remettre des rapports sur ces activités à l’Agence d’exécution principale aux fins d’inclusion dans les rapports consolidés, conformément à l’Appendice 4-A.</w:t>
      </w:r>
    </w:p>
    <w:p w:rsidR="00B4173B" w:rsidRPr="00B4173B" w:rsidRDefault="00B4173B" w:rsidP="00B4173B">
      <w:pPr>
        <w:numPr>
          <w:ilvl w:val="0"/>
          <w:numId w:val="37"/>
        </w:numPr>
        <w:spacing w:after="240"/>
        <w:outlineLvl w:val="0"/>
        <w:rPr>
          <w:lang w:val="fr-FR"/>
        </w:rPr>
      </w:pPr>
      <w:r w:rsidRPr="00B4173B">
        <w:rPr>
          <w:lang w:val="fr-FR"/>
        </w:rPr>
        <w:t xml:space="preserve">L’Agence de coopération aidera l’Agence principale à entreprendre les activités suivantes, dont cette dernière est </w:t>
      </w:r>
      <w:proofErr w:type="gramStart"/>
      <w:r w:rsidRPr="00B4173B">
        <w:rPr>
          <w:lang w:val="fr-FR"/>
        </w:rPr>
        <w:t>responsable:</w:t>
      </w:r>
      <w:proofErr w:type="gramEnd"/>
      <w:r w:rsidRPr="00B4173B">
        <w:rPr>
          <w:lang w:val="fr-FR"/>
        </w:rPr>
        <w:t xml:space="preserve"> </w:t>
      </w:r>
    </w:p>
    <w:p w:rsidR="00B4173B" w:rsidRPr="00B4173B" w:rsidRDefault="00B4173B" w:rsidP="00B4173B">
      <w:pPr>
        <w:widowControl w:val="0"/>
        <w:numPr>
          <w:ilvl w:val="1"/>
          <w:numId w:val="37"/>
        </w:numPr>
        <w:spacing w:after="240"/>
        <w:outlineLvl w:val="1"/>
        <w:rPr>
          <w:lang w:val="fr-FR"/>
        </w:rPr>
      </w:pPr>
      <w:r w:rsidRPr="00B4173B">
        <w:rPr>
          <w:lang w:val="fr-FR"/>
        </w:rPr>
        <w:t>S’assurer du rendement et de la vérification financière conformément au présent Accord et à ses procédures internes et exigences spécifiques définies dans le PGEH du Pays ;</w:t>
      </w:r>
    </w:p>
    <w:p w:rsidR="00B4173B" w:rsidRPr="00B4173B" w:rsidRDefault="00B4173B" w:rsidP="00B4173B">
      <w:pPr>
        <w:keepNext/>
        <w:numPr>
          <w:ilvl w:val="1"/>
          <w:numId w:val="37"/>
        </w:numPr>
        <w:spacing w:after="240"/>
        <w:outlineLvl w:val="1"/>
        <w:rPr>
          <w:lang w:val="fr-FR"/>
        </w:rPr>
      </w:pPr>
      <w:r w:rsidRPr="00B4173B">
        <w:rPr>
          <w:lang w:val="fr-FR"/>
        </w:rPr>
        <w:t>Aider le Pays à élaborer les plans de mise en œuvre et les rapports subséquents, conformément à l’Appendice 4-A ;</w:t>
      </w:r>
    </w:p>
    <w:p w:rsidR="00B4173B" w:rsidRPr="00B4173B" w:rsidRDefault="00B4173B" w:rsidP="00B4173B">
      <w:pPr>
        <w:widowControl w:val="0"/>
        <w:numPr>
          <w:ilvl w:val="1"/>
          <w:numId w:val="37"/>
        </w:numPr>
        <w:spacing w:after="240"/>
        <w:outlineLvl w:val="1"/>
        <w:rPr>
          <w:lang w:val="fr-FR"/>
        </w:rPr>
      </w:pPr>
      <w:r w:rsidRPr="00B4173B">
        <w:rPr>
          <w:lang w:val="fr-FR"/>
        </w:rPr>
        <w:t>Veiller à ce que les expériences et les progrès réalisés soient reflétés dans les mises à jour du plan général et dans les futurs plans annuels de mise en œuvre, conformément aux alinéas 1(c) et 1(d) de l'annexe 4-A ;</w:t>
      </w:r>
    </w:p>
    <w:p w:rsidR="00B4173B" w:rsidRPr="00B4173B" w:rsidRDefault="00B4173B" w:rsidP="00B4173B">
      <w:pPr>
        <w:widowControl w:val="0"/>
        <w:numPr>
          <w:ilvl w:val="1"/>
          <w:numId w:val="37"/>
        </w:numPr>
        <w:spacing w:after="240"/>
        <w:outlineLvl w:val="1"/>
        <w:rPr>
          <w:lang w:val="fr-FR"/>
        </w:rPr>
      </w:pPr>
      <w:r w:rsidRPr="00B4173B">
        <w:rPr>
          <w:lang w:val="fr-FR"/>
        </w:rPr>
        <w:t>Exécuter les missions de supervision requises ;</w:t>
      </w:r>
    </w:p>
    <w:p w:rsidR="00B4173B" w:rsidRPr="00B4173B" w:rsidRDefault="00B4173B" w:rsidP="00B4173B">
      <w:pPr>
        <w:widowControl w:val="0"/>
        <w:numPr>
          <w:ilvl w:val="1"/>
          <w:numId w:val="37"/>
        </w:numPr>
        <w:spacing w:after="240"/>
        <w:outlineLvl w:val="1"/>
        <w:rPr>
          <w:lang w:val="fr-FR"/>
        </w:rPr>
      </w:pPr>
      <w:r w:rsidRPr="00B4173B">
        <w:rPr>
          <w:lang w:val="fr-FR"/>
        </w:rPr>
        <w:t>S’assurer qu’il existe un mécanisme opérationnel permettant la mise en œuvre efficace et transparente du plan de mise en œuvre et la communication de données correctes ;</w:t>
      </w:r>
    </w:p>
    <w:p w:rsidR="00B4173B" w:rsidRPr="00B4173B" w:rsidRDefault="00B4173B" w:rsidP="00B4173B">
      <w:pPr>
        <w:widowControl w:val="0"/>
        <w:numPr>
          <w:ilvl w:val="1"/>
          <w:numId w:val="37"/>
        </w:numPr>
        <w:spacing w:after="240"/>
        <w:outlineLvl w:val="1"/>
        <w:rPr>
          <w:lang w:val="fr-FR"/>
        </w:rPr>
      </w:pPr>
      <w:r w:rsidRPr="00B4173B">
        <w:rPr>
          <w:lang w:val="fr-FR"/>
        </w:rPr>
        <w:t>En cas de réduction du soutien financier pour non-respect des Objectifs, en application du paragraphe 11 de l’Accord, déterminer, en consultation avec le Pays et l’Agence d'exécution principale, la répartition des réductions entre les différents postes budgétaires et le financement de chaque Agence d’exécution concernée ;</w:t>
      </w:r>
    </w:p>
    <w:p w:rsidR="00B4173B" w:rsidRPr="00B4173B" w:rsidRDefault="00B4173B" w:rsidP="00B4173B">
      <w:pPr>
        <w:widowControl w:val="0"/>
        <w:numPr>
          <w:ilvl w:val="1"/>
          <w:numId w:val="37"/>
        </w:numPr>
        <w:spacing w:after="240"/>
        <w:outlineLvl w:val="1"/>
        <w:rPr>
          <w:lang w:val="fr-FR"/>
        </w:rPr>
      </w:pPr>
      <w:r w:rsidRPr="00B4173B">
        <w:rPr>
          <w:lang w:val="fr-FR"/>
        </w:rPr>
        <w:t>Veiller à ce que les versements effectués au Pays reposent sur l’utilisation des indicateurs.</w:t>
      </w:r>
    </w:p>
    <w:p w:rsidR="00B4173B" w:rsidRPr="00B4173B" w:rsidRDefault="00B4173B" w:rsidP="00B4173B">
      <w:pPr>
        <w:keepNext/>
        <w:keepLines/>
        <w:spacing w:after="240"/>
        <w:rPr>
          <w:b/>
          <w:lang w:val="fr-FR"/>
        </w:rPr>
      </w:pPr>
      <w:r w:rsidRPr="00B4173B">
        <w:rPr>
          <w:b/>
          <w:lang w:val="fr"/>
        </w:rPr>
        <w:lastRenderedPageBreak/>
        <w:t>APPENDICE 7-A : RÉDUCTIONS DU FINANCEMENT EN CAS DE NON-CONFORMITÉ</w:t>
      </w:r>
    </w:p>
    <w:p w:rsidR="00B4173B" w:rsidRPr="00C138C4" w:rsidRDefault="00B4173B" w:rsidP="00C138C4">
      <w:pPr>
        <w:pStyle w:val="ListParagraph"/>
        <w:keepNext/>
        <w:keepLines/>
        <w:numPr>
          <w:ilvl w:val="0"/>
          <w:numId w:val="45"/>
        </w:numPr>
        <w:spacing w:after="240"/>
        <w:ind w:left="0" w:firstLine="0"/>
        <w:outlineLvl w:val="0"/>
        <w:rPr>
          <w:lang w:val="fr-FR"/>
        </w:rPr>
      </w:pPr>
      <w:r w:rsidRPr="00C138C4">
        <w:rPr>
          <w:lang w:val="fr-FR"/>
        </w:rPr>
        <w:t xml:space="preserve">Conformément au paragraphe 11 de l’Accord, il pourra être déduit du financement accordé un montant de 129 $ US par kg PAO de consommation dépassant la quantité précisée à la ligne 1.2 de l’Appendice 2-A pour chaque année de non-conformité à l’objectif précisé </w:t>
      </w:r>
      <w:r w:rsidR="00C138C4">
        <w:rPr>
          <w:lang w:val="fr-FR"/>
        </w:rPr>
        <w:t>à la ligne 1.2 de l’Appendice 2</w:t>
      </w:r>
      <w:r w:rsidR="00C138C4">
        <w:rPr>
          <w:lang w:val="fr-FR"/>
        </w:rPr>
        <w:noBreakHyphen/>
      </w:r>
      <w:r w:rsidRPr="00C138C4">
        <w:rPr>
          <w:lang w:val="fr-FR"/>
        </w:rPr>
        <w:t>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1"/>
        <w:gridCol w:w="1872"/>
        <w:gridCol w:w="1872"/>
        <w:gridCol w:w="1872"/>
        <w:gridCol w:w="1873"/>
      </w:tblGrid>
      <w:tr w:rsidR="00515935" w:rsidRPr="00F36C81" w:rsidTr="00C23D32">
        <w:tc>
          <w:tcPr>
            <w:tcW w:w="1915" w:type="dxa"/>
          </w:tcPr>
          <w:p w:rsidR="00515935" w:rsidRPr="00F36C81" w:rsidRDefault="00515935" w:rsidP="00515935">
            <w:pPr>
              <w:ind w:left="360"/>
              <w:rPr>
                <w:lang w:val="fr-FR"/>
              </w:rPr>
            </w:pPr>
          </w:p>
        </w:tc>
        <w:tc>
          <w:tcPr>
            <w:tcW w:w="1915" w:type="dxa"/>
          </w:tcPr>
          <w:p w:rsidR="00515935" w:rsidRPr="00F36C81" w:rsidRDefault="00515935" w:rsidP="00C23D32">
            <w:pPr>
              <w:rPr>
                <w:lang w:val="fr-FR"/>
              </w:rPr>
            </w:pPr>
          </w:p>
        </w:tc>
        <w:tc>
          <w:tcPr>
            <w:tcW w:w="1915" w:type="dxa"/>
            <w:tcBorders>
              <w:bottom w:val="single" w:sz="4" w:space="0" w:color="auto"/>
            </w:tcBorders>
          </w:tcPr>
          <w:p w:rsidR="00515935" w:rsidRPr="00F36C81" w:rsidRDefault="00515935" w:rsidP="00C23D32">
            <w:pPr>
              <w:rPr>
                <w:lang w:val="fr-FR"/>
              </w:rPr>
            </w:pPr>
          </w:p>
        </w:tc>
        <w:tc>
          <w:tcPr>
            <w:tcW w:w="1915" w:type="dxa"/>
          </w:tcPr>
          <w:p w:rsidR="00515935" w:rsidRPr="00F36C81" w:rsidRDefault="00515935" w:rsidP="00C23D32">
            <w:pPr>
              <w:rPr>
                <w:lang w:val="fr-FR"/>
              </w:rPr>
            </w:pPr>
          </w:p>
        </w:tc>
        <w:tc>
          <w:tcPr>
            <w:tcW w:w="1916" w:type="dxa"/>
          </w:tcPr>
          <w:p w:rsidR="00515935" w:rsidRPr="00F36C81" w:rsidRDefault="00515935" w:rsidP="00C23D32">
            <w:pPr>
              <w:rPr>
                <w:lang w:val="fr-FR"/>
              </w:rPr>
            </w:pPr>
          </w:p>
        </w:tc>
      </w:tr>
    </w:tbl>
    <w:p w:rsidR="00515935" w:rsidRPr="00E250AF" w:rsidRDefault="00515935" w:rsidP="00515935">
      <w:pPr>
        <w:rPr>
          <w:lang w:val="fr-CA"/>
        </w:rPr>
      </w:pPr>
    </w:p>
    <w:p w:rsidR="00515935" w:rsidRPr="00F36C81" w:rsidRDefault="00515935" w:rsidP="00515935">
      <w:pPr>
        <w:tabs>
          <w:tab w:val="left" w:pos="1302"/>
        </w:tabs>
        <w:rPr>
          <w:lang w:val="fr-FR"/>
        </w:rPr>
      </w:pPr>
      <w:r w:rsidRPr="00F36C81">
        <w:rPr>
          <w:lang w:val="fr-FR"/>
        </w:rPr>
        <w:tab/>
      </w:r>
    </w:p>
    <w:p w:rsidR="00441083" w:rsidRDefault="00441083">
      <w:pPr>
        <w:pStyle w:val="Heading3"/>
        <w:numPr>
          <w:ilvl w:val="0"/>
          <w:numId w:val="0"/>
        </w:numPr>
        <w:spacing w:after="0"/>
        <w:rPr>
          <w:lang w:val="fr-FR"/>
        </w:rPr>
      </w:pPr>
    </w:p>
    <w:sectPr w:rsidR="00441083" w:rsidSect="00B4173B">
      <w:headerReference w:type="even" r:id="rId16"/>
      <w:headerReference w:type="default" r:id="rId17"/>
      <w:footerReference w:type="even" r:id="rId18"/>
      <w:footerReference w:type="default" r:id="rId19"/>
      <w:headerReference w:type="first" r:id="rId20"/>
      <w:footerReference w:type="first" r:id="rId21"/>
      <w:pgSz w:w="12240" w:h="15840" w:code="1"/>
      <w:pgMar w:top="720" w:right="1440" w:bottom="864" w:left="1440"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23E0" w:rsidRDefault="002223E0">
      <w:r>
        <w:separator/>
      </w:r>
    </w:p>
  </w:endnote>
  <w:endnote w:type="continuationSeparator" w:id="0">
    <w:p w:rsidR="002223E0" w:rsidRDefault="002223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charset w:val="00"/>
    <w:family w:val="swiss"/>
    <w:pitch w:val="variable"/>
    <w:sig w:usb0="00000007" w:usb1="00000000" w:usb2="00000000" w:usb3="00000000" w:csb0="00000093" w:csb1="00000000"/>
  </w:font>
  <w:font w:name="Univers Bold">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6583134"/>
      <w:docPartObj>
        <w:docPartGallery w:val="Page Numbers (Bottom of Page)"/>
        <w:docPartUnique/>
      </w:docPartObj>
    </w:sdtPr>
    <w:sdtEndPr>
      <w:rPr>
        <w:noProof/>
      </w:rPr>
    </w:sdtEndPr>
    <w:sdtContent>
      <w:p w:rsidR="0012077D" w:rsidRDefault="0012077D" w:rsidP="0012077D">
        <w:pPr>
          <w:pStyle w:val="Footer"/>
          <w:jc w:val="center"/>
        </w:pPr>
        <w:r>
          <w:fldChar w:fldCharType="begin"/>
        </w:r>
        <w:r>
          <w:instrText xml:space="preserve"> PAGE   \* MERGEFORMAT </w:instrText>
        </w:r>
        <w:r>
          <w:fldChar w:fldCharType="separate"/>
        </w:r>
        <w:r w:rsidR="00F36C81">
          <w:rPr>
            <w:noProof/>
          </w:rPr>
          <w:t>18</w:t>
        </w:r>
        <w:r>
          <w:rPr>
            <w:noProof/>
          </w:rP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6340477"/>
      <w:docPartObj>
        <w:docPartGallery w:val="Page Numbers (Bottom of Page)"/>
        <w:docPartUnique/>
      </w:docPartObj>
    </w:sdtPr>
    <w:sdtEndPr>
      <w:rPr>
        <w:noProof/>
      </w:rPr>
    </w:sdtEndPr>
    <w:sdtContent>
      <w:p w:rsidR="0012077D" w:rsidRDefault="0012077D" w:rsidP="0012077D">
        <w:pPr>
          <w:pStyle w:val="Footer"/>
          <w:jc w:val="center"/>
        </w:pPr>
        <w:r>
          <w:fldChar w:fldCharType="begin"/>
        </w:r>
        <w:r>
          <w:instrText xml:space="preserve"> PAGE   \* MERGEFORMAT </w:instrText>
        </w:r>
        <w:r>
          <w:fldChar w:fldCharType="separate"/>
        </w:r>
        <w:r w:rsidR="00F36C81">
          <w:rPr>
            <w:noProof/>
          </w:rPr>
          <w:t>17</w:t>
        </w:r>
        <w:r>
          <w:rPr>
            <w:noProof/>
          </w:rPr>
          <w:fldChar w:fldCharType="end"/>
        </w: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23E0" w:rsidRDefault="0012077D" w:rsidP="0012077D">
    <w:pPr>
      <w:pBdr>
        <w:top w:val="single" w:sz="4" w:space="1" w:color="auto"/>
        <w:left w:val="single" w:sz="4" w:space="4" w:color="auto"/>
        <w:bottom w:val="single" w:sz="4" w:space="1" w:color="auto"/>
        <w:right w:val="single" w:sz="4" w:space="4" w:color="auto"/>
      </w:pBdr>
      <w:jc w:val="center"/>
      <w:rPr>
        <w:sz w:val="18"/>
        <w:szCs w:val="18"/>
        <w:lang w:val="fr-FR"/>
      </w:rPr>
    </w:pPr>
    <w:r w:rsidRPr="0012077D">
      <w:rPr>
        <w:sz w:val="18"/>
        <w:szCs w:val="18"/>
        <w:lang w:val="fr-FR"/>
      </w:rPr>
      <w:t xml:space="preserve"> Les documents de </w:t>
    </w:r>
    <w:proofErr w:type="spellStart"/>
    <w:r w:rsidRPr="0012077D">
      <w:rPr>
        <w:sz w:val="18"/>
        <w:szCs w:val="18"/>
        <w:lang w:val="fr-FR"/>
      </w:rPr>
      <w:t>présession</w:t>
    </w:r>
    <w:proofErr w:type="spellEnd"/>
    <w:r w:rsidRPr="0012077D">
      <w:rPr>
        <w:sz w:val="18"/>
        <w:szCs w:val="18"/>
        <w:lang w:val="fr-FR"/>
      </w:rPr>
      <w:t xml:space="preserve"> du Comité exécutif du Fonds multilatéral aux fins d’application du Protocole de Montréal sont présentés sous réserve des décisions pouvant être prises par le Comité exécutif après leur publication.</w:t>
    </w:r>
  </w:p>
  <w:p w:rsidR="0012077D" w:rsidRPr="0012077D" w:rsidRDefault="0012077D" w:rsidP="0012077D">
    <w:pPr>
      <w:pBdr>
        <w:top w:val="single" w:sz="4" w:space="1" w:color="auto"/>
        <w:left w:val="single" w:sz="4" w:space="4" w:color="auto"/>
        <w:bottom w:val="single" w:sz="4" w:space="1" w:color="auto"/>
        <w:right w:val="single" w:sz="4" w:space="4" w:color="auto"/>
      </w:pBdr>
      <w:jc w:val="center"/>
      <w:rPr>
        <w:sz w:val="18"/>
        <w:szCs w:val="18"/>
        <w:lang w:val="fr-FR"/>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1385370"/>
      <w:docPartObj>
        <w:docPartGallery w:val="Page Numbers (Bottom of Page)"/>
        <w:docPartUnique/>
      </w:docPartObj>
    </w:sdtPr>
    <w:sdtEndPr>
      <w:rPr>
        <w:noProof/>
      </w:rPr>
    </w:sdtEndPr>
    <w:sdtContent>
      <w:p w:rsidR="00B4173B" w:rsidRDefault="00B4173B" w:rsidP="0012077D">
        <w:pPr>
          <w:pStyle w:val="Footer"/>
          <w:jc w:val="center"/>
        </w:pPr>
        <w:r>
          <w:fldChar w:fldCharType="begin"/>
        </w:r>
        <w:r>
          <w:instrText xml:space="preserve"> PAGE   \* MERGEFORMAT </w:instrText>
        </w:r>
        <w:r>
          <w:fldChar w:fldCharType="separate"/>
        </w:r>
        <w:r w:rsidR="00F36C81">
          <w:rPr>
            <w:noProof/>
          </w:rPr>
          <w:t>6</w:t>
        </w:r>
        <w:r>
          <w:rPr>
            <w:noProof/>
          </w:rPr>
          <w:fldChar w:fldCharType="end"/>
        </w:r>
      </w:p>
    </w:sdtContent>
  </w:sdt>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8650240"/>
      <w:docPartObj>
        <w:docPartGallery w:val="Page Numbers (Bottom of Page)"/>
        <w:docPartUnique/>
      </w:docPartObj>
    </w:sdtPr>
    <w:sdtEndPr>
      <w:rPr>
        <w:noProof/>
      </w:rPr>
    </w:sdtEndPr>
    <w:sdtContent>
      <w:p w:rsidR="00B4173B" w:rsidRDefault="00B4173B" w:rsidP="0012077D">
        <w:pPr>
          <w:pStyle w:val="Footer"/>
          <w:jc w:val="center"/>
        </w:pPr>
        <w:r>
          <w:fldChar w:fldCharType="begin"/>
        </w:r>
        <w:r>
          <w:instrText xml:space="preserve"> PAGE   \* MERGEFORMAT </w:instrText>
        </w:r>
        <w:r>
          <w:fldChar w:fldCharType="separate"/>
        </w:r>
        <w:r w:rsidR="00F36C81">
          <w:rPr>
            <w:noProof/>
          </w:rPr>
          <w:t>5</w:t>
        </w:r>
        <w:r>
          <w:rPr>
            <w:noProof/>
          </w:rPr>
          <w:fldChar w:fldCharType="end"/>
        </w:r>
      </w:p>
    </w:sdtContent>
  </w:sdt>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1888386"/>
      <w:docPartObj>
        <w:docPartGallery w:val="Page Numbers (Bottom of Page)"/>
        <w:docPartUnique/>
      </w:docPartObj>
    </w:sdtPr>
    <w:sdtEndPr>
      <w:rPr>
        <w:noProof/>
      </w:rPr>
    </w:sdtEndPr>
    <w:sdtContent>
      <w:p w:rsidR="00B4173B" w:rsidRPr="00B4173B" w:rsidRDefault="00B4173B" w:rsidP="00B4173B">
        <w:pPr>
          <w:pStyle w:val="Footer"/>
          <w:jc w:val="center"/>
        </w:pPr>
        <w:r>
          <w:fldChar w:fldCharType="begin"/>
        </w:r>
        <w:r>
          <w:instrText xml:space="preserve"> PAGE   \* MERGEFORMAT </w:instrText>
        </w:r>
        <w:r>
          <w:fldChar w:fldCharType="separate"/>
        </w:r>
        <w:r w:rsidR="00F36C81">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23E0" w:rsidRDefault="002223E0">
      <w:r>
        <w:separator/>
      </w:r>
    </w:p>
  </w:footnote>
  <w:footnote w:type="continuationSeparator" w:id="0">
    <w:p w:rsidR="002223E0" w:rsidRDefault="002223E0">
      <w:r>
        <w:continuationSeparator/>
      </w:r>
    </w:p>
  </w:footnote>
  <w:footnote w:id="1">
    <w:p w:rsidR="0012077D" w:rsidRPr="00515935" w:rsidRDefault="0012077D">
      <w:pPr>
        <w:pStyle w:val="FootnoteText"/>
        <w:rPr>
          <w:lang w:val="fr-FR"/>
        </w:rPr>
      </w:pPr>
      <w:r>
        <w:rPr>
          <w:rStyle w:val="FootnoteReference"/>
        </w:rPr>
        <w:footnoteRef/>
      </w:r>
      <w:r w:rsidRPr="00515935">
        <w:rPr>
          <w:lang w:val="fr-FR"/>
        </w:rPr>
        <w:t xml:space="preserve"> UNEP/OzL.Pro/ExCom/84/4</w:t>
      </w:r>
    </w:p>
  </w:footnote>
  <w:footnote w:id="2">
    <w:p w:rsidR="0012077D" w:rsidRPr="00BE27C5" w:rsidRDefault="0012077D">
      <w:pPr>
        <w:pStyle w:val="FootnoteText"/>
        <w:rPr>
          <w:lang w:val="fr-FR"/>
        </w:rPr>
      </w:pPr>
      <w:r>
        <w:rPr>
          <w:rStyle w:val="FootnoteReference"/>
        </w:rPr>
        <w:footnoteRef/>
      </w:r>
      <w:r w:rsidRPr="00BE27C5">
        <w:rPr>
          <w:lang w:val="fr-FR"/>
        </w:rPr>
        <w:t xml:space="preserve"> </w:t>
      </w:r>
      <w:r w:rsidR="00BE27C5" w:rsidRPr="00566A25">
        <w:rPr>
          <w:lang w:val="fr-FR"/>
        </w:rPr>
        <w:t>Conformément à la lettre adressée le 7 octobre 2019 par le Ministère tunisien des affaires locales et de l'environnement à l'ONUDI</w:t>
      </w:r>
    </w:p>
  </w:footnote>
  <w:footnote w:id="3">
    <w:p w:rsidR="00D6530D" w:rsidRPr="00B7383F" w:rsidRDefault="00D6530D">
      <w:pPr>
        <w:pStyle w:val="FootnoteText"/>
        <w:rPr>
          <w:lang w:val="fr-FR"/>
        </w:rPr>
      </w:pPr>
      <w:r>
        <w:rPr>
          <w:rStyle w:val="FootnoteReference"/>
        </w:rPr>
        <w:footnoteRef/>
      </w:r>
      <w:r w:rsidRPr="00B7383F">
        <w:rPr>
          <w:lang w:val="fr-FR"/>
        </w:rPr>
        <w:t xml:space="preserve"> </w:t>
      </w:r>
      <w:r w:rsidR="00B7383F" w:rsidRPr="00566A25">
        <w:rPr>
          <w:lang w:val="fr-FR"/>
        </w:rPr>
        <w:t>Conformément à la lettre adressée le 22 août 2019 par le Ministère tunisien des affaires locales et de l'environnement à l'ONUDI.</w:t>
      </w:r>
    </w:p>
  </w:footnote>
  <w:footnote w:id="4">
    <w:p w:rsidR="00D6530D" w:rsidRPr="00B7383F" w:rsidRDefault="00D6530D">
      <w:pPr>
        <w:pStyle w:val="FootnoteText"/>
        <w:rPr>
          <w:lang w:val="fr-FR"/>
        </w:rPr>
      </w:pPr>
      <w:r>
        <w:rPr>
          <w:rStyle w:val="FootnoteReference"/>
        </w:rPr>
        <w:footnoteRef/>
      </w:r>
      <w:r w:rsidRPr="00B7383F">
        <w:rPr>
          <w:lang w:val="fr-FR"/>
        </w:rPr>
        <w:t xml:space="preserve"> </w:t>
      </w:r>
      <w:r w:rsidR="00B7383F" w:rsidRPr="00566A25">
        <w:rPr>
          <w:lang w:val="fr-FR"/>
        </w:rPr>
        <w:t xml:space="preserve">21,89 tonnes PAO de HCFC sont admissibles au financement, y compris 5,02 tonnes PAO de HCFC-141b dans des polyols </w:t>
      </w:r>
      <w:proofErr w:type="spellStart"/>
      <w:r w:rsidR="00B7383F" w:rsidRPr="00566A25">
        <w:rPr>
          <w:lang w:val="fr-FR"/>
        </w:rPr>
        <w:t>prémélangés</w:t>
      </w:r>
      <w:proofErr w:type="spellEnd"/>
      <w:r w:rsidR="00B7383F" w:rsidRPr="00566A25">
        <w:rPr>
          <w:lang w:val="fr-FR"/>
        </w:rPr>
        <w:t xml:space="preserve"> importés.</w:t>
      </w:r>
    </w:p>
  </w:footnote>
  <w:footnote w:id="5">
    <w:p w:rsidR="00D6530D" w:rsidRPr="009778FB" w:rsidRDefault="00D6530D">
      <w:pPr>
        <w:pStyle w:val="FootnoteText"/>
        <w:rPr>
          <w:lang w:val="fr-FR"/>
        </w:rPr>
      </w:pPr>
      <w:r>
        <w:rPr>
          <w:rStyle w:val="FootnoteReference"/>
        </w:rPr>
        <w:footnoteRef/>
      </w:r>
      <w:r w:rsidRPr="009778FB">
        <w:rPr>
          <w:lang w:val="fr-FR"/>
        </w:rPr>
        <w:t xml:space="preserve"> </w:t>
      </w:r>
      <w:r w:rsidR="009778FB" w:rsidRPr="00566A25">
        <w:rPr>
          <w:lang w:val="fr-FR"/>
        </w:rPr>
        <w:t xml:space="preserve">La proposition de projet éliminerait complètement l'utilisation du HCFC-141b dans les systèmes de polyols </w:t>
      </w:r>
      <w:proofErr w:type="spellStart"/>
      <w:r w:rsidR="009778FB" w:rsidRPr="00566A25">
        <w:rPr>
          <w:lang w:val="fr-FR"/>
        </w:rPr>
        <w:t>prémélangés</w:t>
      </w:r>
      <w:proofErr w:type="spellEnd"/>
      <w:r w:rsidR="009778FB" w:rsidRPr="00566A25">
        <w:rPr>
          <w:lang w:val="fr-FR"/>
        </w:rPr>
        <w:t xml:space="preserve"> importés et comprendrait un engagement du pays à mettre en place, d'ici à ce que la conversion de la dernière usine de fabrication de mousse soit terminée en faveur d'une technologie de remplacement sans HCFC, un règlement ou une politique interdisant l'importation ou l'utilisation des systèmes de polyols </w:t>
      </w:r>
      <w:proofErr w:type="spellStart"/>
      <w:r w:rsidR="009778FB" w:rsidRPr="00566A25">
        <w:rPr>
          <w:lang w:val="fr-FR"/>
        </w:rPr>
        <w:t>prémélangés</w:t>
      </w:r>
      <w:proofErr w:type="spellEnd"/>
      <w:r w:rsidR="009778FB" w:rsidRPr="00566A25">
        <w:rPr>
          <w:lang w:val="fr-FR"/>
        </w:rPr>
        <w:t xml:space="preserve"> contenant du HCFC-141b.</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75E0" w:rsidRDefault="00E928D9">
    <w:r>
      <w:fldChar w:fldCharType="begin"/>
    </w:r>
    <w:r>
      <w:instrText xml:space="preserve"> DOCPROPERTY "Document number"  \* MERGEFORMAT </w:instrText>
    </w:r>
    <w:r>
      <w:fldChar w:fldCharType="separate"/>
    </w:r>
    <w:r w:rsidR="0012077D">
      <w:t>UNEP/</w:t>
    </w:r>
    <w:proofErr w:type="spellStart"/>
    <w:r w:rsidR="0012077D">
      <w:t>OzL.Pro</w:t>
    </w:r>
    <w:proofErr w:type="spellEnd"/>
    <w:r w:rsidR="0012077D">
      <w:t>/</w:t>
    </w:r>
    <w:proofErr w:type="spellStart"/>
    <w:r w:rsidR="0012077D">
      <w:t>ExCom</w:t>
    </w:r>
    <w:proofErr w:type="spellEnd"/>
    <w:r w:rsidR="0012077D">
      <w:t>/84/60</w:t>
    </w:r>
    <w:r>
      <w:fldChar w:fldCharType="end"/>
    </w:r>
  </w:p>
  <w:p w:rsidR="003F75E0" w:rsidRDefault="003F75E0"/>
  <w:p w:rsidR="003F75E0" w:rsidRDefault="003F75E0"/>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75E0" w:rsidRDefault="00E928D9">
    <w:pPr>
      <w:jc w:val="right"/>
    </w:pPr>
    <w:r>
      <w:fldChar w:fldCharType="begin"/>
    </w:r>
    <w:r>
      <w:instrText xml:space="preserve"> DOCPROPERTY "Document number"  \* MERGEFORMAT </w:instrText>
    </w:r>
    <w:r>
      <w:fldChar w:fldCharType="separate"/>
    </w:r>
    <w:r w:rsidR="0012077D">
      <w:t>UNEP/</w:t>
    </w:r>
    <w:proofErr w:type="spellStart"/>
    <w:r w:rsidR="0012077D">
      <w:t>OzL.Pro</w:t>
    </w:r>
    <w:proofErr w:type="spellEnd"/>
    <w:r w:rsidR="0012077D">
      <w:t>/</w:t>
    </w:r>
    <w:proofErr w:type="spellStart"/>
    <w:r w:rsidR="0012077D">
      <w:t>ExCom</w:t>
    </w:r>
    <w:proofErr w:type="spellEnd"/>
    <w:r w:rsidR="0012077D">
      <w:t>/84/60</w:t>
    </w:r>
    <w:r>
      <w:fldChar w:fldCharType="end"/>
    </w:r>
  </w:p>
  <w:p w:rsidR="003F75E0" w:rsidRDefault="003F75E0"/>
  <w:p w:rsidR="003F75E0" w:rsidRDefault="003F75E0">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23E0" w:rsidRDefault="002223E0">
    <w:pPr>
      <w:pStyle w:val="Header"/>
      <w:jc w:val="right"/>
    </w:pPr>
  </w:p>
  <w:p w:rsidR="003F75E0" w:rsidRDefault="003F75E0">
    <w:pPr>
      <w:pStyle w:val="Header"/>
      <w:jc w:val="right"/>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173B" w:rsidRDefault="00E928D9">
    <w:r>
      <w:fldChar w:fldCharType="begin"/>
    </w:r>
    <w:r>
      <w:instrText xml:space="preserve"> DOCPROPERTY "Document number"  \* MERGEFORMAT </w:instrText>
    </w:r>
    <w:r>
      <w:fldChar w:fldCharType="separate"/>
    </w:r>
    <w:r w:rsidR="00B4173B">
      <w:t>UNEP/</w:t>
    </w:r>
    <w:proofErr w:type="spellStart"/>
    <w:r w:rsidR="00B4173B">
      <w:t>OzL.Pro</w:t>
    </w:r>
    <w:proofErr w:type="spellEnd"/>
    <w:r w:rsidR="00B4173B">
      <w:t>/</w:t>
    </w:r>
    <w:proofErr w:type="spellStart"/>
    <w:r w:rsidR="00B4173B">
      <w:t>ExCom</w:t>
    </w:r>
    <w:proofErr w:type="spellEnd"/>
    <w:r w:rsidR="00B4173B">
      <w:t>/84/60</w:t>
    </w:r>
    <w:r>
      <w:fldChar w:fldCharType="end"/>
    </w:r>
  </w:p>
  <w:p w:rsidR="00B4173B" w:rsidRDefault="00B4173B" w:rsidP="0025325D">
    <w:r>
      <w:t>Annexe I</w:t>
    </w:r>
  </w:p>
  <w:p w:rsidR="00C138C4" w:rsidRDefault="00C138C4"/>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173B" w:rsidRDefault="00E928D9">
    <w:pPr>
      <w:jc w:val="right"/>
    </w:pPr>
    <w:r>
      <w:fldChar w:fldCharType="begin"/>
    </w:r>
    <w:r>
      <w:instrText xml:space="preserve"> DOCPROPERTY "Document number"  \* MERGEFORMAT </w:instrText>
    </w:r>
    <w:r>
      <w:fldChar w:fldCharType="separate"/>
    </w:r>
    <w:r w:rsidR="00B4173B">
      <w:t>UNEP/</w:t>
    </w:r>
    <w:proofErr w:type="spellStart"/>
    <w:r w:rsidR="00B4173B">
      <w:t>OzL.Pro</w:t>
    </w:r>
    <w:proofErr w:type="spellEnd"/>
    <w:r w:rsidR="00B4173B">
      <w:t>/</w:t>
    </w:r>
    <w:proofErr w:type="spellStart"/>
    <w:r w:rsidR="00B4173B">
      <w:t>ExCom</w:t>
    </w:r>
    <w:proofErr w:type="spellEnd"/>
    <w:r w:rsidR="00B4173B">
      <w:t>/84/60</w:t>
    </w:r>
    <w:r>
      <w:fldChar w:fldCharType="end"/>
    </w:r>
  </w:p>
  <w:p w:rsidR="00B4173B" w:rsidRDefault="00B4173B" w:rsidP="00B4173B">
    <w:pPr>
      <w:jc w:val="right"/>
    </w:pPr>
    <w:r>
      <w:t>Annexe I</w:t>
    </w:r>
  </w:p>
  <w:p w:rsidR="00C138C4" w:rsidRDefault="00C138C4">
    <w:pPr>
      <w:pStyle w:val="Heade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173B" w:rsidRDefault="00E928D9" w:rsidP="00B4173B">
    <w:pPr>
      <w:jc w:val="right"/>
    </w:pPr>
    <w:r>
      <w:fldChar w:fldCharType="begin"/>
    </w:r>
    <w:r>
      <w:instrText xml:space="preserve"> DOCPROPERTY "Document number"  \* MERGEFORMAT </w:instrText>
    </w:r>
    <w:r>
      <w:fldChar w:fldCharType="separate"/>
    </w:r>
    <w:r w:rsidR="00B4173B">
      <w:t>UNEP/</w:t>
    </w:r>
    <w:proofErr w:type="spellStart"/>
    <w:r w:rsidR="00B4173B">
      <w:t>OzL.Pro</w:t>
    </w:r>
    <w:proofErr w:type="spellEnd"/>
    <w:r w:rsidR="00B4173B">
      <w:t>/</w:t>
    </w:r>
    <w:proofErr w:type="spellStart"/>
    <w:r w:rsidR="00B4173B">
      <w:t>ExCom</w:t>
    </w:r>
    <w:proofErr w:type="spellEnd"/>
    <w:r w:rsidR="00B4173B">
      <w:t>/84/60</w:t>
    </w:r>
    <w:r>
      <w:fldChar w:fldCharType="end"/>
    </w:r>
  </w:p>
  <w:p w:rsidR="00B4173B" w:rsidRDefault="00B4173B">
    <w:pPr>
      <w:pStyle w:val="Header"/>
      <w:jc w:val="right"/>
    </w:pPr>
    <w:r>
      <w:t>Annexe I</w:t>
    </w:r>
  </w:p>
  <w:p w:rsidR="00B4173B" w:rsidRDefault="00B4173B">
    <w:pPr>
      <w:pStyle w:val="Heade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4761E4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5B627A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C923A9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532B57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27AF7F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CB6EE0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DEEBB7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5C453D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DD8EA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AF256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A26805D0"/>
    <w:lvl w:ilvl="0">
      <w:start w:val="1"/>
      <w:numFmt w:val="decimal"/>
      <w:pStyle w:val="Heading1"/>
      <w:lvlText w:val="%1."/>
      <w:lvlJc w:val="left"/>
      <w:pPr>
        <w:tabs>
          <w:tab w:val="num" w:pos="0"/>
        </w:tabs>
        <w:ind w:left="0" w:firstLine="0"/>
      </w:pPr>
    </w:lvl>
    <w:lvl w:ilvl="1">
      <w:start w:val="1"/>
      <w:numFmt w:val="lowerLetter"/>
      <w:pStyle w:val="Heading2"/>
      <w:lvlText w:val="(%2)"/>
      <w:lvlJc w:val="left"/>
      <w:pPr>
        <w:tabs>
          <w:tab w:val="num" w:pos="0"/>
        </w:tabs>
        <w:ind w:left="1440" w:hanging="720"/>
      </w:pPr>
    </w:lvl>
    <w:lvl w:ilvl="2">
      <w:start w:val="1"/>
      <w:numFmt w:val="lowerRoman"/>
      <w:pStyle w:val="Heading3"/>
      <w:lvlText w:val="(%3)"/>
      <w:lvlJc w:val="left"/>
      <w:pPr>
        <w:tabs>
          <w:tab w:val="num" w:pos="0"/>
        </w:tabs>
        <w:ind w:left="2160" w:hanging="720"/>
      </w:pPr>
    </w:lvl>
    <w:lvl w:ilvl="3">
      <w:start w:val="1"/>
      <w:numFmt w:val="lowerLetter"/>
      <w:pStyle w:val="Heading4"/>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pStyle w:val="Heading6"/>
      <w:lvlText w:val="(%6)"/>
      <w:lvlJc w:val="left"/>
      <w:pPr>
        <w:tabs>
          <w:tab w:val="num" w:pos="0"/>
        </w:tabs>
        <w:ind w:left="4291" w:hanging="720"/>
      </w:pPr>
    </w:lvl>
    <w:lvl w:ilvl="6">
      <w:start w:val="1"/>
      <w:numFmt w:val="lowerRoman"/>
      <w:pStyle w:val="Heading7"/>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pStyle w:val="Heading9"/>
      <w:lvlText w:val="(%9)"/>
      <w:lvlJc w:val="left"/>
      <w:pPr>
        <w:tabs>
          <w:tab w:val="num" w:pos="0"/>
        </w:tabs>
        <w:ind w:left="6408" w:hanging="706"/>
      </w:pPr>
    </w:lvl>
  </w:abstractNum>
  <w:abstractNum w:abstractNumId="11" w15:restartNumberingAfterBreak="0">
    <w:nsid w:val="05E00F85"/>
    <w:multiLevelType w:val="hybridMultilevel"/>
    <w:tmpl w:val="0262CC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086C386A"/>
    <w:multiLevelType w:val="hybridMultilevel"/>
    <w:tmpl w:val="25E4E3B8"/>
    <w:lvl w:ilvl="0" w:tplc="10090001">
      <w:start w:val="13"/>
      <w:numFmt w:val="bullet"/>
      <w:lvlText w:val=""/>
      <w:lvlJc w:val="left"/>
      <w:pPr>
        <w:ind w:left="720" w:hanging="360"/>
      </w:pPr>
      <w:rPr>
        <w:rFonts w:ascii="Symbol" w:eastAsia="Times New Roman"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0E8824A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17A837CD"/>
    <w:multiLevelType w:val="hybridMultilevel"/>
    <w:tmpl w:val="EA74127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22EC7907"/>
    <w:multiLevelType w:val="hybridMultilevel"/>
    <w:tmpl w:val="DFDC774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2BC6015C"/>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326050D8"/>
    <w:multiLevelType w:val="hybridMultilevel"/>
    <w:tmpl w:val="74DA6DBE"/>
    <w:lvl w:ilvl="0" w:tplc="47005CA4">
      <w:start w:val="1"/>
      <w:numFmt w:val="lowerRoman"/>
      <w:pStyle w:val="Heading5"/>
      <w:lvlText w:val="%1."/>
      <w:lvlJc w:val="right"/>
      <w:pPr>
        <w:ind w:left="3583" w:hanging="360"/>
      </w:pPr>
    </w:lvl>
    <w:lvl w:ilvl="1" w:tplc="10090019" w:tentative="1">
      <w:start w:val="1"/>
      <w:numFmt w:val="lowerLetter"/>
      <w:lvlText w:val="%2."/>
      <w:lvlJc w:val="left"/>
      <w:pPr>
        <w:ind w:left="4303" w:hanging="360"/>
      </w:pPr>
    </w:lvl>
    <w:lvl w:ilvl="2" w:tplc="1009001B" w:tentative="1">
      <w:start w:val="1"/>
      <w:numFmt w:val="lowerRoman"/>
      <w:lvlText w:val="%3."/>
      <w:lvlJc w:val="right"/>
      <w:pPr>
        <w:ind w:left="5023" w:hanging="180"/>
      </w:pPr>
    </w:lvl>
    <w:lvl w:ilvl="3" w:tplc="1009000F" w:tentative="1">
      <w:start w:val="1"/>
      <w:numFmt w:val="decimal"/>
      <w:lvlText w:val="%4."/>
      <w:lvlJc w:val="left"/>
      <w:pPr>
        <w:ind w:left="5743" w:hanging="360"/>
      </w:pPr>
    </w:lvl>
    <w:lvl w:ilvl="4" w:tplc="10090019" w:tentative="1">
      <w:start w:val="1"/>
      <w:numFmt w:val="lowerLetter"/>
      <w:lvlText w:val="%5."/>
      <w:lvlJc w:val="left"/>
      <w:pPr>
        <w:ind w:left="6463" w:hanging="360"/>
      </w:pPr>
    </w:lvl>
    <w:lvl w:ilvl="5" w:tplc="1009001B" w:tentative="1">
      <w:start w:val="1"/>
      <w:numFmt w:val="lowerRoman"/>
      <w:lvlText w:val="%6."/>
      <w:lvlJc w:val="right"/>
      <w:pPr>
        <w:ind w:left="7183" w:hanging="180"/>
      </w:pPr>
    </w:lvl>
    <w:lvl w:ilvl="6" w:tplc="1009000F" w:tentative="1">
      <w:start w:val="1"/>
      <w:numFmt w:val="decimal"/>
      <w:lvlText w:val="%7."/>
      <w:lvlJc w:val="left"/>
      <w:pPr>
        <w:ind w:left="7903" w:hanging="360"/>
      </w:pPr>
    </w:lvl>
    <w:lvl w:ilvl="7" w:tplc="10090019" w:tentative="1">
      <w:start w:val="1"/>
      <w:numFmt w:val="lowerLetter"/>
      <w:lvlText w:val="%8."/>
      <w:lvlJc w:val="left"/>
      <w:pPr>
        <w:ind w:left="8623" w:hanging="360"/>
      </w:pPr>
    </w:lvl>
    <w:lvl w:ilvl="8" w:tplc="1009001B" w:tentative="1">
      <w:start w:val="1"/>
      <w:numFmt w:val="lowerRoman"/>
      <w:lvlText w:val="%9."/>
      <w:lvlJc w:val="right"/>
      <w:pPr>
        <w:ind w:left="9343" w:hanging="180"/>
      </w:pPr>
    </w:lvl>
  </w:abstractNum>
  <w:abstractNum w:abstractNumId="18" w15:restartNumberingAfterBreak="0">
    <w:nsid w:val="4E892E7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51324495"/>
    <w:multiLevelType w:val="hybridMultilevel"/>
    <w:tmpl w:val="060EA3B8"/>
    <w:lvl w:ilvl="0" w:tplc="0C0C000F">
      <w:start w:val="1"/>
      <w:numFmt w:val="decimal"/>
      <w:lvlText w:val="%1."/>
      <w:lvlJc w:val="left"/>
      <w:pPr>
        <w:ind w:left="720" w:hanging="360"/>
      </w:pPr>
      <w:rPr>
        <w:rFonts w:hint="default"/>
      </w:rPr>
    </w:lvl>
    <w:lvl w:ilvl="1" w:tplc="56AA184C">
      <w:start w:val="1"/>
      <w:numFmt w:val="lowerLetter"/>
      <w:lvlText w:val="%2)"/>
      <w:lvlJc w:val="left"/>
      <w:pPr>
        <w:ind w:left="1440" w:hanging="360"/>
      </w:pPr>
      <w:rPr>
        <w:rFonts w:ascii="Times New Roman" w:eastAsia="Times New Roman" w:hAnsi="Times New Roman" w:cs="Times New Roman"/>
      </w:rPr>
    </w:lvl>
    <w:lvl w:ilvl="2" w:tplc="0C0C001B">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0" w15:restartNumberingAfterBreak="0">
    <w:nsid w:val="51C54623"/>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15:restartNumberingAfterBreak="0">
    <w:nsid w:val="55D755E2"/>
    <w:multiLevelType w:val="multilevel"/>
    <w:tmpl w:val="9072F3F8"/>
    <w:lvl w:ilvl="0">
      <w:start w:val="1"/>
      <w:numFmt w:val="decimal"/>
      <w:lvlText w:val="%1."/>
      <w:lvlJc w:val="left"/>
      <w:pPr>
        <w:tabs>
          <w:tab w:val="num" w:pos="0"/>
        </w:tabs>
        <w:ind w:left="0" w:firstLine="0"/>
      </w:pPr>
      <w:rPr>
        <w:rFonts w:ascii="Times New Roman" w:eastAsia="Times New Roman" w:hAnsi="Times New Roman" w:cs="Times New Roman"/>
        <w:i w:val="0"/>
      </w:rPr>
    </w:lvl>
    <w:lvl w:ilvl="1">
      <w:start w:val="1"/>
      <w:numFmt w:val="lowerLetter"/>
      <w:lvlText w:val="(%2)"/>
      <w:lvlJc w:val="left"/>
      <w:pPr>
        <w:tabs>
          <w:tab w:val="num" w:pos="0"/>
        </w:tabs>
        <w:ind w:left="1440" w:hanging="720"/>
      </w:pPr>
    </w:lvl>
    <w:lvl w:ilvl="2">
      <w:start w:val="1"/>
      <w:numFmt w:val="lowerRoman"/>
      <w:lvlText w:val="(%3)"/>
      <w:lvlJc w:val="left"/>
      <w:pPr>
        <w:tabs>
          <w:tab w:val="num" w:pos="0"/>
        </w:tabs>
        <w:ind w:left="2160" w:hanging="720"/>
      </w:pPr>
    </w:lvl>
    <w:lvl w:ilvl="3">
      <w:start w:val="1"/>
      <w:numFmt w:val="lowerLetter"/>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lvlText w:val="(%6)"/>
      <w:lvlJc w:val="left"/>
      <w:pPr>
        <w:tabs>
          <w:tab w:val="num" w:pos="0"/>
        </w:tabs>
        <w:ind w:left="4291" w:hanging="720"/>
      </w:pPr>
    </w:lvl>
    <w:lvl w:ilvl="6">
      <w:start w:val="1"/>
      <w:numFmt w:val="lowerRoman"/>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lvlText w:val="(%9)"/>
      <w:lvlJc w:val="left"/>
      <w:pPr>
        <w:tabs>
          <w:tab w:val="num" w:pos="0"/>
        </w:tabs>
        <w:ind w:left="6408" w:hanging="706"/>
      </w:pPr>
    </w:lvl>
  </w:abstractNum>
  <w:abstractNum w:abstractNumId="22" w15:restartNumberingAfterBreak="0">
    <w:nsid w:val="59CC2FA7"/>
    <w:multiLevelType w:val="multilevel"/>
    <w:tmpl w:val="0C5466D0"/>
    <w:lvl w:ilvl="0">
      <w:start w:val="2"/>
      <w:numFmt w:val="decimal"/>
      <w:lvlText w:val="%1."/>
      <w:lvlJc w:val="left"/>
      <w:pPr>
        <w:tabs>
          <w:tab w:val="num" w:pos="0"/>
        </w:tabs>
        <w:ind w:left="0" w:firstLine="0"/>
      </w:pPr>
      <w:rPr>
        <w:rFonts w:hint="default"/>
      </w:rPr>
    </w:lvl>
    <w:lvl w:ilvl="1">
      <w:start w:val="1"/>
      <w:numFmt w:val="lowerLetter"/>
      <w:lvlText w:val="(%2)"/>
      <w:lvlJc w:val="left"/>
      <w:pPr>
        <w:tabs>
          <w:tab w:val="num" w:pos="0"/>
        </w:tabs>
        <w:ind w:left="1440" w:hanging="720"/>
      </w:pPr>
      <w:rPr>
        <w:rFonts w:hint="default"/>
      </w:rPr>
    </w:lvl>
    <w:lvl w:ilvl="2">
      <w:start w:val="1"/>
      <w:numFmt w:val="lowerRoman"/>
      <w:lvlText w:val="(%3)"/>
      <w:lvlJc w:val="left"/>
      <w:pPr>
        <w:tabs>
          <w:tab w:val="num" w:pos="0"/>
        </w:tabs>
        <w:ind w:left="2160" w:hanging="720"/>
      </w:pPr>
      <w:rPr>
        <w:rFonts w:hint="default"/>
      </w:rPr>
    </w:lvl>
    <w:lvl w:ilvl="3">
      <w:start w:val="1"/>
      <w:numFmt w:val="lowerLetter"/>
      <w:lvlText w:val="%4)"/>
      <w:lvlJc w:val="left"/>
      <w:pPr>
        <w:tabs>
          <w:tab w:val="num" w:pos="-90"/>
        </w:tabs>
        <w:ind w:left="2776" w:hanging="706"/>
      </w:pPr>
      <w:rPr>
        <w:rFonts w:hint="default"/>
        <w:b w:val="0"/>
        <w:i w:val="0"/>
      </w:rPr>
    </w:lvl>
    <w:lvl w:ilvl="4">
      <w:start w:val="1"/>
      <w:numFmt w:val="decimal"/>
      <w:lvlText w:val="(%5)"/>
      <w:lvlJc w:val="left"/>
      <w:pPr>
        <w:tabs>
          <w:tab w:val="num" w:pos="0"/>
        </w:tabs>
        <w:ind w:left="3571" w:hanging="705"/>
      </w:pPr>
      <w:rPr>
        <w:rFonts w:hint="default"/>
      </w:rPr>
    </w:lvl>
    <w:lvl w:ilvl="5">
      <w:start w:val="1"/>
      <w:numFmt w:val="lowerLetter"/>
      <w:lvlText w:val="(%6)"/>
      <w:lvlJc w:val="left"/>
      <w:pPr>
        <w:tabs>
          <w:tab w:val="num" w:pos="0"/>
        </w:tabs>
        <w:ind w:left="4291" w:hanging="720"/>
      </w:pPr>
      <w:rPr>
        <w:rFonts w:hint="default"/>
      </w:rPr>
    </w:lvl>
    <w:lvl w:ilvl="6">
      <w:start w:val="1"/>
      <w:numFmt w:val="lowerRoman"/>
      <w:lvlText w:val="(%7)"/>
      <w:lvlJc w:val="left"/>
      <w:pPr>
        <w:tabs>
          <w:tab w:val="num" w:pos="0"/>
        </w:tabs>
        <w:ind w:left="4997" w:hanging="706"/>
      </w:pPr>
      <w:rPr>
        <w:rFonts w:hint="default"/>
      </w:rPr>
    </w:lvl>
    <w:lvl w:ilvl="7">
      <w:start w:val="1"/>
      <w:numFmt w:val="lowerLetter"/>
      <w:lvlText w:val="(%8)"/>
      <w:lvlJc w:val="left"/>
      <w:pPr>
        <w:tabs>
          <w:tab w:val="num" w:pos="0"/>
        </w:tabs>
        <w:ind w:left="5702" w:hanging="705"/>
      </w:pPr>
      <w:rPr>
        <w:rFonts w:hint="default"/>
      </w:rPr>
    </w:lvl>
    <w:lvl w:ilvl="8">
      <w:start w:val="1"/>
      <w:numFmt w:val="lowerRoman"/>
      <w:lvlText w:val="(%9)"/>
      <w:lvlJc w:val="left"/>
      <w:pPr>
        <w:tabs>
          <w:tab w:val="num" w:pos="0"/>
        </w:tabs>
        <w:ind w:left="6408" w:hanging="706"/>
      </w:pPr>
      <w:rPr>
        <w:rFonts w:hint="default"/>
      </w:rPr>
    </w:lvl>
  </w:abstractNum>
  <w:abstractNum w:abstractNumId="23" w15:restartNumberingAfterBreak="0">
    <w:nsid w:val="5FD4054B"/>
    <w:multiLevelType w:val="hybridMultilevel"/>
    <w:tmpl w:val="6A8885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75952A51"/>
    <w:multiLevelType w:val="multilevel"/>
    <w:tmpl w:val="78969168"/>
    <w:lvl w:ilvl="0">
      <w:start w:val="2"/>
      <w:numFmt w:val="decimal"/>
      <w:lvlText w:val="%1."/>
      <w:lvlJc w:val="left"/>
      <w:pPr>
        <w:tabs>
          <w:tab w:val="num" w:pos="0"/>
        </w:tabs>
        <w:ind w:left="0" w:firstLine="0"/>
      </w:pPr>
      <w:rPr>
        <w:rFonts w:hint="default"/>
      </w:rPr>
    </w:lvl>
    <w:lvl w:ilvl="1">
      <w:start w:val="1"/>
      <w:numFmt w:val="lowerLetter"/>
      <w:lvlText w:val="(%2)"/>
      <w:lvlJc w:val="left"/>
      <w:pPr>
        <w:tabs>
          <w:tab w:val="num" w:pos="0"/>
        </w:tabs>
        <w:ind w:left="1440" w:hanging="720"/>
      </w:pPr>
      <w:rPr>
        <w:rFonts w:hint="default"/>
      </w:rPr>
    </w:lvl>
    <w:lvl w:ilvl="2">
      <w:start w:val="1"/>
      <w:numFmt w:val="lowerRoman"/>
      <w:lvlText w:val="(%3)"/>
      <w:lvlJc w:val="left"/>
      <w:pPr>
        <w:tabs>
          <w:tab w:val="num" w:pos="0"/>
        </w:tabs>
        <w:ind w:left="2160" w:hanging="720"/>
      </w:pPr>
      <w:rPr>
        <w:rFonts w:hint="default"/>
      </w:rPr>
    </w:lvl>
    <w:lvl w:ilvl="3">
      <w:start w:val="1"/>
      <w:numFmt w:val="lowerLetter"/>
      <w:lvlText w:val="%4)"/>
      <w:lvlJc w:val="left"/>
      <w:pPr>
        <w:tabs>
          <w:tab w:val="num" w:pos="-90"/>
        </w:tabs>
        <w:ind w:left="2776" w:hanging="706"/>
      </w:pPr>
      <w:rPr>
        <w:rFonts w:hint="default"/>
        <w:b w:val="0"/>
        <w:i w:val="0"/>
      </w:rPr>
    </w:lvl>
    <w:lvl w:ilvl="4">
      <w:start w:val="1"/>
      <w:numFmt w:val="decimal"/>
      <w:lvlText w:val="(%5)"/>
      <w:lvlJc w:val="left"/>
      <w:pPr>
        <w:tabs>
          <w:tab w:val="num" w:pos="0"/>
        </w:tabs>
        <w:ind w:left="3571" w:hanging="705"/>
      </w:pPr>
      <w:rPr>
        <w:rFonts w:hint="default"/>
      </w:rPr>
    </w:lvl>
    <w:lvl w:ilvl="5">
      <w:start w:val="1"/>
      <w:numFmt w:val="lowerLetter"/>
      <w:lvlText w:val="(%6)"/>
      <w:lvlJc w:val="left"/>
      <w:pPr>
        <w:tabs>
          <w:tab w:val="num" w:pos="0"/>
        </w:tabs>
        <w:ind w:left="4291" w:hanging="720"/>
      </w:pPr>
      <w:rPr>
        <w:rFonts w:hint="default"/>
      </w:rPr>
    </w:lvl>
    <w:lvl w:ilvl="6">
      <w:start w:val="1"/>
      <w:numFmt w:val="lowerRoman"/>
      <w:lvlText w:val="(%7)"/>
      <w:lvlJc w:val="left"/>
      <w:pPr>
        <w:tabs>
          <w:tab w:val="num" w:pos="0"/>
        </w:tabs>
        <w:ind w:left="4997" w:hanging="706"/>
      </w:pPr>
      <w:rPr>
        <w:rFonts w:hint="default"/>
      </w:rPr>
    </w:lvl>
    <w:lvl w:ilvl="7">
      <w:start w:val="1"/>
      <w:numFmt w:val="lowerLetter"/>
      <w:lvlText w:val="(%8)"/>
      <w:lvlJc w:val="left"/>
      <w:pPr>
        <w:tabs>
          <w:tab w:val="num" w:pos="0"/>
        </w:tabs>
        <w:ind w:left="5702" w:hanging="705"/>
      </w:pPr>
      <w:rPr>
        <w:rFonts w:hint="default"/>
      </w:rPr>
    </w:lvl>
    <w:lvl w:ilvl="8">
      <w:start w:val="1"/>
      <w:numFmt w:val="lowerRoman"/>
      <w:lvlText w:val="(%9)"/>
      <w:lvlJc w:val="left"/>
      <w:pPr>
        <w:tabs>
          <w:tab w:val="num" w:pos="0"/>
        </w:tabs>
        <w:ind w:left="6408" w:hanging="706"/>
      </w:pPr>
      <w:rPr>
        <w:rFonts w:hint="default"/>
      </w:rPr>
    </w:lvl>
  </w:abstractNum>
  <w:abstractNum w:abstractNumId="25" w15:restartNumberingAfterBreak="0">
    <w:nsid w:val="78971786"/>
    <w:multiLevelType w:val="multilevel"/>
    <w:tmpl w:val="A90E1666"/>
    <w:lvl w:ilvl="0">
      <w:start w:val="1"/>
      <w:numFmt w:val="decimal"/>
      <w:lvlText w:val="%1."/>
      <w:lvlJc w:val="left"/>
      <w:pPr>
        <w:tabs>
          <w:tab w:val="num" w:pos="0"/>
        </w:tabs>
        <w:ind w:left="0" w:firstLine="0"/>
      </w:pPr>
      <w:rPr>
        <w:rFonts w:hint="default"/>
      </w:rPr>
    </w:lvl>
    <w:lvl w:ilvl="1">
      <w:start w:val="1"/>
      <w:numFmt w:val="lowerLetter"/>
      <w:lvlText w:val="(%2)"/>
      <w:lvlJc w:val="left"/>
      <w:pPr>
        <w:tabs>
          <w:tab w:val="num" w:pos="0"/>
        </w:tabs>
        <w:ind w:left="1440" w:hanging="720"/>
      </w:pPr>
      <w:rPr>
        <w:rFonts w:hint="default"/>
      </w:rPr>
    </w:lvl>
    <w:lvl w:ilvl="2">
      <w:start w:val="1"/>
      <w:numFmt w:val="lowerRoman"/>
      <w:lvlText w:val="(%3)"/>
      <w:lvlJc w:val="left"/>
      <w:pPr>
        <w:tabs>
          <w:tab w:val="num" w:pos="0"/>
        </w:tabs>
        <w:ind w:left="2160" w:hanging="720"/>
      </w:pPr>
      <w:rPr>
        <w:rFonts w:hint="default"/>
      </w:rPr>
    </w:lvl>
    <w:lvl w:ilvl="3">
      <w:start w:val="1"/>
      <w:numFmt w:val="lowerLetter"/>
      <w:lvlText w:val="%4)"/>
      <w:lvlJc w:val="left"/>
      <w:pPr>
        <w:tabs>
          <w:tab w:val="num" w:pos="-90"/>
        </w:tabs>
        <w:ind w:left="2776" w:hanging="706"/>
      </w:pPr>
      <w:rPr>
        <w:rFonts w:hint="default"/>
        <w:b w:val="0"/>
        <w:i w:val="0"/>
      </w:rPr>
    </w:lvl>
    <w:lvl w:ilvl="4">
      <w:start w:val="1"/>
      <w:numFmt w:val="decimal"/>
      <w:lvlText w:val="(%5)"/>
      <w:lvlJc w:val="left"/>
      <w:pPr>
        <w:tabs>
          <w:tab w:val="num" w:pos="0"/>
        </w:tabs>
        <w:ind w:left="3571" w:hanging="705"/>
      </w:pPr>
      <w:rPr>
        <w:rFonts w:hint="default"/>
      </w:rPr>
    </w:lvl>
    <w:lvl w:ilvl="5">
      <w:start w:val="1"/>
      <w:numFmt w:val="lowerLetter"/>
      <w:lvlText w:val="(%6)"/>
      <w:lvlJc w:val="left"/>
      <w:pPr>
        <w:tabs>
          <w:tab w:val="num" w:pos="0"/>
        </w:tabs>
        <w:ind w:left="4291" w:hanging="720"/>
      </w:pPr>
      <w:rPr>
        <w:rFonts w:hint="default"/>
      </w:rPr>
    </w:lvl>
    <w:lvl w:ilvl="6">
      <w:start w:val="1"/>
      <w:numFmt w:val="lowerRoman"/>
      <w:lvlText w:val="(%7)"/>
      <w:lvlJc w:val="left"/>
      <w:pPr>
        <w:tabs>
          <w:tab w:val="num" w:pos="0"/>
        </w:tabs>
        <w:ind w:left="4997" w:hanging="706"/>
      </w:pPr>
      <w:rPr>
        <w:rFonts w:hint="default"/>
      </w:rPr>
    </w:lvl>
    <w:lvl w:ilvl="7">
      <w:start w:val="1"/>
      <w:numFmt w:val="lowerLetter"/>
      <w:lvlText w:val="(%8)"/>
      <w:lvlJc w:val="left"/>
      <w:pPr>
        <w:tabs>
          <w:tab w:val="num" w:pos="0"/>
        </w:tabs>
        <w:ind w:left="5702" w:hanging="705"/>
      </w:pPr>
      <w:rPr>
        <w:rFonts w:hint="default"/>
      </w:rPr>
    </w:lvl>
    <w:lvl w:ilvl="8">
      <w:start w:val="1"/>
      <w:numFmt w:val="lowerRoman"/>
      <w:lvlText w:val="(%9)"/>
      <w:lvlJc w:val="left"/>
      <w:pPr>
        <w:tabs>
          <w:tab w:val="num" w:pos="0"/>
        </w:tabs>
        <w:ind w:left="6408" w:hanging="706"/>
      </w:pPr>
      <w:rPr>
        <w:rFonts w:hint="default"/>
      </w:rPr>
    </w:lvl>
  </w:abstractNum>
  <w:abstractNum w:abstractNumId="26" w15:restartNumberingAfterBreak="0">
    <w:nsid w:val="7C6215D4"/>
    <w:multiLevelType w:val="multilevel"/>
    <w:tmpl w:val="6534FE9A"/>
    <w:lvl w:ilvl="0">
      <w:start w:val="1"/>
      <w:numFmt w:val="decimal"/>
      <w:lvlText w:val="%1."/>
      <w:lvlJc w:val="left"/>
      <w:pPr>
        <w:tabs>
          <w:tab w:val="num" w:pos="0"/>
        </w:tabs>
        <w:ind w:left="0" w:firstLine="0"/>
      </w:pPr>
      <w:rPr>
        <w:rFonts w:hint="default"/>
      </w:rPr>
    </w:lvl>
    <w:lvl w:ilvl="1">
      <w:start w:val="1"/>
      <w:numFmt w:val="lowerLetter"/>
      <w:lvlText w:val="(%2)"/>
      <w:lvlJc w:val="left"/>
      <w:pPr>
        <w:tabs>
          <w:tab w:val="num" w:pos="0"/>
        </w:tabs>
        <w:ind w:left="1440" w:hanging="720"/>
      </w:pPr>
      <w:rPr>
        <w:rFonts w:hint="default"/>
      </w:rPr>
    </w:lvl>
    <w:lvl w:ilvl="2">
      <w:start w:val="1"/>
      <w:numFmt w:val="lowerRoman"/>
      <w:lvlText w:val="(%3)"/>
      <w:lvlJc w:val="left"/>
      <w:pPr>
        <w:tabs>
          <w:tab w:val="num" w:pos="0"/>
        </w:tabs>
        <w:ind w:left="2160" w:hanging="720"/>
      </w:pPr>
      <w:rPr>
        <w:rFonts w:hint="default"/>
      </w:rPr>
    </w:lvl>
    <w:lvl w:ilvl="3">
      <w:start w:val="1"/>
      <w:numFmt w:val="lowerLetter"/>
      <w:lvlText w:val="%4)"/>
      <w:lvlJc w:val="left"/>
      <w:pPr>
        <w:tabs>
          <w:tab w:val="num" w:pos="-90"/>
        </w:tabs>
        <w:ind w:left="2776" w:hanging="706"/>
      </w:pPr>
      <w:rPr>
        <w:rFonts w:hint="default"/>
        <w:b w:val="0"/>
        <w:i w:val="0"/>
      </w:rPr>
    </w:lvl>
    <w:lvl w:ilvl="4">
      <w:start w:val="1"/>
      <w:numFmt w:val="decimal"/>
      <w:lvlText w:val="(%5)"/>
      <w:lvlJc w:val="left"/>
      <w:pPr>
        <w:tabs>
          <w:tab w:val="num" w:pos="0"/>
        </w:tabs>
        <w:ind w:left="3571" w:hanging="705"/>
      </w:pPr>
      <w:rPr>
        <w:rFonts w:hint="default"/>
      </w:rPr>
    </w:lvl>
    <w:lvl w:ilvl="5">
      <w:start w:val="1"/>
      <w:numFmt w:val="lowerLetter"/>
      <w:lvlText w:val="(%6)"/>
      <w:lvlJc w:val="left"/>
      <w:pPr>
        <w:tabs>
          <w:tab w:val="num" w:pos="0"/>
        </w:tabs>
        <w:ind w:left="4291" w:hanging="720"/>
      </w:pPr>
      <w:rPr>
        <w:rFonts w:hint="default"/>
      </w:rPr>
    </w:lvl>
    <w:lvl w:ilvl="6">
      <w:start w:val="1"/>
      <w:numFmt w:val="lowerRoman"/>
      <w:lvlText w:val="(%7)"/>
      <w:lvlJc w:val="left"/>
      <w:pPr>
        <w:tabs>
          <w:tab w:val="num" w:pos="0"/>
        </w:tabs>
        <w:ind w:left="4997" w:hanging="706"/>
      </w:pPr>
      <w:rPr>
        <w:rFonts w:hint="default"/>
      </w:rPr>
    </w:lvl>
    <w:lvl w:ilvl="7">
      <w:start w:val="1"/>
      <w:numFmt w:val="lowerLetter"/>
      <w:lvlText w:val="(%8)"/>
      <w:lvlJc w:val="left"/>
      <w:pPr>
        <w:tabs>
          <w:tab w:val="num" w:pos="0"/>
        </w:tabs>
        <w:ind w:left="5702" w:hanging="705"/>
      </w:pPr>
      <w:rPr>
        <w:rFonts w:hint="default"/>
      </w:rPr>
    </w:lvl>
    <w:lvl w:ilvl="8">
      <w:start w:val="1"/>
      <w:numFmt w:val="lowerRoman"/>
      <w:lvlText w:val="(%9)"/>
      <w:lvlJc w:val="left"/>
      <w:pPr>
        <w:tabs>
          <w:tab w:val="num" w:pos="0"/>
        </w:tabs>
        <w:ind w:left="6408" w:hanging="706"/>
      </w:pPr>
      <w:rPr>
        <w:rFonts w:hint="default"/>
      </w:rPr>
    </w:lvl>
  </w:abstractNum>
  <w:abstractNum w:abstractNumId="27" w15:restartNumberingAfterBreak="0">
    <w:nsid w:val="7E100F2A"/>
    <w:multiLevelType w:val="hybridMultilevel"/>
    <w:tmpl w:val="BD0C0614"/>
    <w:lvl w:ilvl="0" w:tplc="10C23008">
      <w:start w:val="1"/>
      <w:numFmt w:val="lowerLetter"/>
      <w:pStyle w:val="Header4"/>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num w:numId="1">
    <w:abstractNumId w:val="10"/>
  </w:num>
  <w:num w:numId="2">
    <w:abstractNumId w:val="10"/>
  </w:num>
  <w:num w:numId="3">
    <w:abstractNumId w:val="10"/>
  </w:num>
  <w:num w:numId="4">
    <w:abstractNumId w:val="10"/>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6"/>
  </w:num>
  <w:num w:numId="17">
    <w:abstractNumId w:val="18"/>
  </w:num>
  <w:num w:numId="18">
    <w:abstractNumId w:val="20"/>
  </w:num>
  <w:num w:numId="19">
    <w:abstractNumId w:val="27"/>
  </w:num>
  <w:num w:numId="20">
    <w:abstractNumId w:val="17"/>
  </w:num>
  <w:num w:numId="21">
    <w:abstractNumId w:val="11"/>
  </w:num>
  <w:num w:numId="22">
    <w:abstractNumId w:val="14"/>
  </w:num>
  <w:num w:numId="23">
    <w:abstractNumId w:val="23"/>
  </w:num>
  <w:num w:numId="24">
    <w:abstractNumId w:val="19"/>
  </w:num>
  <w:num w:numId="25">
    <w:abstractNumId w:val="13"/>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6"/>
  </w:num>
  <w:num w:numId="35">
    <w:abstractNumId w:val="25"/>
  </w:num>
  <w:num w:numId="36">
    <w:abstractNumId w:val="24"/>
  </w:num>
  <w:num w:numId="37">
    <w:abstractNumId w:val="22"/>
  </w:num>
  <w:num w:numId="38">
    <w:abstractNumId w:val="12"/>
  </w:num>
  <w:num w:numId="39">
    <w:abstractNumId w:val="10"/>
    <w:lvlOverride w:ilvl="0">
      <w:startOverride w:val="1"/>
    </w:lvlOverride>
  </w:num>
  <w:num w:numId="40">
    <w:abstractNumId w:val="21"/>
  </w:num>
  <w:num w:numId="41">
    <w:abstractNumId w:val="10"/>
    <w:lvlOverride w:ilvl="0">
      <w:startOverride w:val="1"/>
    </w:lvlOverride>
  </w:num>
  <w:num w:numId="42">
    <w:abstractNumId w:val="10"/>
    <w:lvlOverride w:ilvl="0">
      <w:startOverride w:val="1"/>
    </w:lvlOverride>
  </w:num>
  <w:num w:numId="4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7"/>
  <w:embedSystemFonts/>
  <w:proofState w:spelling="clean" w:grammar="clean"/>
  <w:stylePaneFormatFilter w:val="0701" w:allStyles="1"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stylePaneSortMethod w:val="0000"/>
  <w:styleLockTheme/>
  <w:styleLockQFSet/>
  <w:defaultTabStop w:val="720"/>
  <w:hyphenationZone w:val="425"/>
  <w:evenAndOddHeaders/>
  <w:displayHorizontalDrawingGridEvery w:val="0"/>
  <w:displayVerticalDrawingGridEvery w:val="0"/>
  <w:doNotUseMarginsForDrawingGridOrigin/>
  <w:noPunctuationKerning/>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585"/>
    <w:rsid w:val="0000619F"/>
    <w:rsid w:val="00043873"/>
    <w:rsid w:val="00071525"/>
    <w:rsid w:val="00087334"/>
    <w:rsid w:val="000A3237"/>
    <w:rsid w:val="000A6394"/>
    <w:rsid w:val="000F6C8E"/>
    <w:rsid w:val="000F735C"/>
    <w:rsid w:val="0012077D"/>
    <w:rsid w:val="00126D66"/>
    <w:rsid w:val="00132585"/>
    <w:rsid w:val="001633B6"/>
    <w:rsid w:val="001B21FE"/>
    <w:rsid w:val="001C3D0C"/>
    <w:rsid w:val="001D4CE7"/>
    <w:rsid w:val="00207BD6"/>
    <w:rsid w:val="00214AE2"/>
    <w:rsid w:val="002223E0"/>
    <w:rsid w:val="0025325D"/>
    <w:rsid w:val="00265AF0"/>
    <w:rsid w:val="002A3044"/>
    <w:rsid w:val="002F0B57"/>
    <w:rsid w:val="00302610"/>
    <w:rsid w:val="003221FA"/>
    <w:rsid w:val="003309EF"/>
    <w:rsid w:val="00383687"/>
    <w:rsid w:val="003951F6"/>
    <w:rsid w:val="003A0CA4"/>
    <w:rsid w:val="003A68EF"/>
    <w:rsid w:val="003B3770"/>
    <w:rsid w:val="003E6212"/>
    <w:rsid w:val="003E7291"/>
    <w:rsid w:val="003F0522"/>
    <w:rsid w:val="003F3C57"/>
    <w:rsid w:val="003F75E0"/>
    <w:rsid w:val="00414964"/>
    <w:rsid w:val="004219F6"/>
    <w:rsid w:val="00441083"/>
    <w:rsid w:val="00466402"/>
    <w:rsid w:val="00470CFA"/>
    <w:rsid w:val="004C2C87"/>
    <w:rsid w:val="004E3A36"/>
    <w:rsid w:val="00506CFA"/>
    <w:rsid w:val="00515935"/>
    <w:rsid w:val="005443CB"/>
    <w:rsid w:val="005618DB"/>
    <w:rsid w:val="00575E4B"/>
    <w:rsid w:val="00596724"/>
    <w:rsid w:val="005B3CAD"/>
    <w:rsid w:val="005B3D4E"/>
    <w:rsid w:val="005C2391"/>
    <w:rsid w:val="005C278F"/>
    <w:rsid w:val="00605093"/>
    <w:rsid w:val="006370B0"/>
    <w:rsid w:val="00670E69"/>
    <w:rsid w:val="006D70AF"/>
    <w:rsid w:val="006E3553"/>
    <w:rsid w:val="007034FA"/>
    <w:rsid w:val="00707CBC"/>
    <w:rsid w:val="0073730C"/>
    <w:rsid w:val="007451CB"/>
    <w:rsid w:val="0075750B"/>
    <w:rsid w:val="00767CC7"/>
    <w:rsid w:val="007817E8"/>
    <w:rsid w:val="007A4785"/>
    <w:rsid w:val="007E5361"/>
    <w:rsid w:val="00815061"/>
    <w:rsid w:val="00872338"/>
    <w:rsid w:val="0087490D"/>
    <w:rsid w:val="008C3588"/>
    <w:rsid w:val="008C6382"/>
    <w:rsid w:val="008D13D8"/>
    <w:rsid w:val="008D642F"/>
    <w:rsid w:val="008D74CA"/>
    <w:rsid w:val="0091161A"/>
    <w:rsid w:val="00921101"/>
    <w:rsid w:val="00921805"/>
    <w:rsid w:val="009509CB"/>
    <w:rsid w:val="00972E99"/>
    <w:rsid w:val="00975B72"/>
    <w:rsid w:val="009778FB"/>
    <w:rsid w:val="009A5180"/>
    <w:rsid w:val="009A7F5A"/>
    <w:rsid w:val="00A3314D"/>
    <w:rsid w:val="00A62D4F"/>
    <w:rsid w:val="00AB3A5E"/>
    <w:rsid w:val="00AC013C"/>
    <w:rsid w:val="00AD1FB3"/>
    <w:rsid w:val="00AE63D8"/>
    <w:rsid w:val="00AF2F7F"/>
    <w:rsid w:val="00B10892"/>
    <w:rsid w:val="00B243D5"/>
    <w:rsid w:val="00B4173B"/>
    <w:rsid w:val="00B521E7"/>
    <w:rsid w:val="00B664CA"/>
    <w:rsid w:val="00B7383F"/>
    <w:rsid w:val="00B811F2"/>
    <w:rsid w:val="00B97130"/>
    <w:rsid w:val="00BA2CA6"/>
    <w:rsid w:val="00BB3715"/>
    <w:rsid w:val="00BB7784"/>
    <w:rsid w:val="00BC3C7D"/>
    <w:rsid w:val="00BC4CB8"/>
    <w:rsid w:val="00BE27C5"/>
    <w:rsid w:val="00C138C4"/>
    <w:rsid w:val="00C15A00"/>
    <w:rsid w:val="00C1642D"/>
    <w:rsid w:val="00C4612E"/>
    <w:rsid w:val="00C6443E"/>
    <w:rsid w:val="00C70435"/>
    <w:rsid w:val="00C76F74"/>
    <w:rsid w:val="00CA11B3"/>
    <w:rsid w:val="00CA5CC7"/>
    <w:rsid w:val="00CA64F7"/>
    <w:rsid w:val="00CB3F61"/>
    <w:rsid w:val="00CC6228"/>
    <w:rsid w:val="00CE4A30"/>
    <w:rsid w:val="00D36DB5"/>
    <w:rsid w:val="00D4564D"/>
    <w:rsid w:val="00D6530D"/>
    <w:rsid w:val="00D7654A"/>
    <w:rsid w:val="00D900FC"/>
    <w:rsid w:val="00DB4E64"/>
    <w:rsid w:val="00DD3433"/>
    <w:rsid w:val="00DF2916"/>
    <w:rsid w:val="00E17F71"/>
    <w:rsid w:val="00E26188"/>
    <w:rsid w:val="00E34727"/>
    <w:rsid w:val="00E348C6"/>
    <w:rsid w:val="00E54871"/>
    <w:rsid w:val="00E60D9C"/>
    <w:rsid w:val="00E758AE"/>
    <w:rsid w:val="00E75B70"/>
    <w:rsid w:val="00E91B40"/>
    <w:rsid w:val="00E928D9"/>
    <w:rsid w:val="00EB2067"/>
    <w:rsid w:val="00EC53CE"/>
    <w:rsid w:val="00EC68C0"/>
    <w:rsid w:val="00EE6A44"/>
    <w:rsid w:val="00F36C81"/>
    <w:rsid w:val="00F37A42"/>
    <w:rsid w:val="00F40703"/>
    <w:rsid w:val="00F557F5"/>
    <w:rsid w:val="00FC0D87"/>
    <w:rsid w:val="00FC5578"/>
    <w:rsid w:val="00FD22FE"/>
    <w:rsid w:val="00FD7E11"/>
    <w:rsid w:val="00FE431D"/>
    <w:rsid w:val="00FF3CF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14:docId w14:val="5C08AEEE"/>
  <w15:docId w15:val="{A4D8D1DE-A04D-49E9-A0DC-A060AEF0C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5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sz w:val="22"/>
      <w:szCs w:val="22"/>
      <w:lang w:val="en-GB"/>
    </w:rPr>
  </w:style>
  <w:style w:type="paragraph" w:styleId="Heading1">
    <w:name w:val="heading 1"/>
    <w:aliases w:val="Para (1),Heading 1 Char,Heading 1 Char3 Char,Heading 1 Char Char1 Char,Heading 1 Char1 Char Char1 Char,Heading 1 Char Char Char Char1 Char1,Para (1) Char Char Char Char1 Char,Heading 1 Char3 Char Char Char Char1 Char,Heading 1 Char3,Título 11"/>
    <w:basedOn w:val="Normal"/>
    <w:next w:val="Normal"/>
    <w:link w:val="Heading1Char1"/>
    <w:qFormat/>
    <w:pPr>
      <w:numPr>
        <w:numId w:val="1"/>
      </w:numPr>
      <w:spacing w:after="240"/>
      <w:outlineLvl w:val="0"/>
    </w:pPr>
  </w:style>
  <w:style w:type="paragraph" w:styleId="Heading2">
    <w:name w:val="heading 2"/>
    <w:aliases w:val="SubPara (a),Heading 2 Char3,Heading 2 Char Char2,Heading 2 Char1 Char Char1,SubPara (a) Char Char Char1,Heading 2 Char Char Char Char1,Heading 2 Char1 Char Char Char Char1,SubPara (a) Char1 Char Char Char Char1,Heading 2 Char2,Heading 2 Char1"/>
    <w:basedOn w:val="Normal"/>
    <w:next w:val="Normal"/>
    <w:link w:val="Heading2Char"/>
    <w:qFormat/>
    <w:pPr>
      <w:widowControl w:val="0"/>
      <w:numPr>
        <w:ilvl w:val="1"/>
        <w:numId w:val="2"/>
      </w:numPr>
      <w:spacing w:after="240"/>
      <w:outlineLvl w:val="1"/>
    </w:pPr>
  </w:style>
  <w:style w:type="paragraph" w:styleId="Heading3">
    <w:name w:val="heading 3"/>
    <w:aliases w:val="Char,Heading 3 Char,Char Char,Heading 3 Char1,Heading 3 Char Char,Char Char Char,Char Char1,Heading 3 Char1 Char,Heading 3 Char Char Char,Char Char Char Char,Char Char1 Char,Heading 3 Char2,Char Char2,Char Char Char1,Heading 3 Char Char1 Char"/>
    <w:basedOn w:val="Normal"/>
    <w:next w:val="Normal"/>
    <w:qFormat/>
    <w:pPr>
      <w:widowControl w:val="0"/>
      <w:numPr>
        <w:ilvl w:val="2"/>
        <w:numId w:val="3"/>
      </w:numPr>
      <w:spacing w:after="240"/>
      <w:outlineLvl w:val="2"/>
    </w:pPr>
  </w:style>
  <w:style w:type="paragraph" w:styleId="Heading4">
    <w:name w:val="heading 4"/>
    <w:aliases w:val="Heading 11,para 4,Título 41,heading 4,Heading 41"/>
    <w:basedOn w:val="Normal"/>
    <w:next w:val="Heading9"/>
    <w:qFormat/>
    <w:pPr>
      <w:keepNext/>
      <w:numPr>
        <w:ilvl w:val="3"/>
        <w:numId w:val="4"/>
      </w:numPr>
      <w:spacing w:before="240" w:after="60"/>
      <w:outlineLvl w:val="3"/>
    </w:pPr>
  </w:style>
  <w:style w:type="paragraph" w:styleId="Heading5">
    <w:name w:val="heading 5"/>
    <w:basedOn w:val="Normal"/>
    <w:next w:val="Normal"/>
    <w:qFormat/>
    <w:pPr>
      <w:keepNext/>
      <w:numPr>
        <w:numId w:val="20"/>
      </w:numPr>
      <w:spacing w:after="240"/>
      <w:ind w:left="3600" w:hanging="720"/>
      <w:outlineLvl w:val="4"/>
    </w:pPr>
  </w:style>
  <w:style w:type="paragraph" w:styleId="Heading6">
    <w:name w:val="heading 6"/>
    <w:basedOn w:val="Normal"/>
    <w:next w:val="Normal"/>
    <w:qFormat/>
    <w:pPr>
      <w:numPr>
        <w:ilvl w:val="5"/>
        <w:numId w:val="1"/>
      </w:numPr>
      <w:spacing w:before="240" w:after="60"/>
      <w:outlineLvl w:val="5"/>
    </w:pPr>
    <w:rPr>
      <w:rFonts w:ascii="Arial" w:hAnsi="Arial"/>
      <w:i/>
    </w:r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outlineLvl w:val="7"/>
    </w:pPr>
    <w:rPr>
      <w:b/>
    </w:rPr>
  </w:style>
  <w:style w:type="paragraph" w:styleId="Heading9">
    <w:name w:val="heading 9"/>
    <w:basedOn w:val="Normal"/>
    <w:next w:val="Normal"/>
    <w:qFormat/>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pPr>
      <w:numPr>
        <w:numId w:val="16"/>
      </w:numPr>
    </w:pPr>
  </w:style>
  <w:style w:type="paragraph" w:styleId="Header">
    <w:name w:val="header"/>
    <w:basedOn w:val="Normal"/>
    <w:link w:val="HeaderChar"/>
    <w:uiPriority w:val="99"/>
    <w:pPr>
      <w:tabs>
        <w:tab w:val="center" w:pos="4320"/>
        <w:tab w:val="right" w:pos="8640"/>
      </w:tabs>
    </w:pPr>
  </w:style>
  <w:style w:type="paragraph" w:customStyle="1" w:styleId="sub-title">
    <w:name w:val="sub-title"/>
    <w:pPr>
      <w:jc w:val="both"/>
      <w:outlineLvl w:val="0"/>
    </w:pPr>
    <w:rPr>
      <w:b/>
      <w:noProof/>
      <w:sz w:val="22"/>
      <w:szCs w:val="22"/>
    </w:rPr>
  </w:style>
  <w:style w:type="paragraph" w:customStyle="1" w:styleId="Title1">
    <w:name w:val="Title1"/>
    <w:pPr>
      <w:jc w:val="center"/>
      <w:outlineLvl w:val="0"/>
    </w:pPr>
    <w:rPr>
      <w:b/>
      <w:caps/>
      <w:sz w:val="22"/>
      <w:szCs w:val="22"/>
      <w:lang w:val="en-GB"/>
    </w:rPr>
  </w:style>
  <w:style w:type="paragraph" w:customStyle="1" w:styleId="Decision">
    <w:name w:val="Decision"/>
    <w:basedOn w:val="Normal"/>
    <w:pPr>
      <w:keepLines/>
      <w:jc w:val="right"/>
    </w:pPr>
    <w:rPr>
      <w:b/>
    </w:rPr>
  </w:style>
  <w:style w:type="paragraph" w:customStyle="1" w:styleId="0Heading0">
    <w:name w:val="0 Heading 0"/>
    <w:rPr>
      <w:sz w:val="22"/>
      <w:szCs w:val="22"/>
      <w:lang w:val="en-GB"/>
    </w:rPr>
  </w:style>
  <w:style w:type="paragraph" w:styleId="Footer">
    <w:name w:val="footer"/>
    <w:basedOn w:val="Normal"/>
    <w:link w:val="FooterChar"/>
    <w:uiPriority w:val="99"/>
    <w:pPr>
      <w:tabs>
        <w:tab w:val="center" w:pos="4320"/>
        <w:tab w:val="right" w:pos="8640"/>
      </w:tabs>
    </w:pPr>
  </w:style>
  <w:style w:type="numbering" w:styleId="1ai">
    <w:name w:val="Outline List 1"/>
    <w:basedOn w:val="NoList"/>
    <w:semiHidden/>
    <w:pPr>
      <w:numPr>
        <w:numId w:val="17"/>
      </w:numPr>
    </w:pPr>
  </w:style>
  <w:style w:type="numbering" w:styleId="ArticleSection">
    <w:name w:val="Outline List 3"/>
    <w:basedOn w:val="NoList"/>
    <w:semiHidden/>
    <w:pPr>
      <w:numPr>
        <w:numId w:val="18"/>
      </w:numPr>
    </w:pPr>
  </w:style>
  <w:style w:type="paragraph" w:styleId="BlockText">
    <w:name w:val="Block Text"/>
    <w:basedOn w:val="Normal"/>
    <w:semiHidden/>
    <w:pPr>
      <w:spacing w:after="120"/>
      <w:ind w:left="1440" w:right="1440"/>
    </w:pPr>
  </w:style>
  <w:style w:type="paragraph" w:styleId="BodyText3">
    <w:name w:val="Body Text 3"/>
    <w:basedOn w:val="Normal"/>
    <w:semiHidden/>
    <w:pPr>
      <w:spacing w:after="120"/>
    </w:pPr>
    <w:rPr>
      <w:sz w:val="16"/>
      <w:szCs w:val="16"/>
    </w:rPr>
  </w:style>
  <w:style w:type="paragraph" w:styleId="BodyTextIndent3">
    <w:name w:val="Body Text Indent 3"/>
    <w:basedOn w:val="Normal"/>
    <w:semiHidden/>
    <w:pPr>
      <w:spacing w:after="120"/>
      <w:ind w:left="360"/>
    </w:pPr>
    <w:rPr>
      <w:sz w:val="16"/>
      <w:szCs w:val="16"/>
    </w:rPr>
  </w:style>
  <w:style w:type="paragraph" w:styleId="PlainText">
    <w:name w:val="Plain Text"/>
    <w:basedOn w:val="Normal"/>
    <w:semiHidden/>
    <w:rPr>
      <w:rFonts w:ascii="Courier New" w:hAnsi="Courier New" w:cs="Courier New"/>
      <w:sz w:val="20"/>
    </w:rPr>
  </w:style>
  <w:style w:type="table" w:styleId="Table3Deffects1">
    <w:name w:val="Table 3D effects 1"/>
    <w:basedOn w:val="TableNormal"/>
    <w:semiHidden/>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eading1Char1">
    <w:name w:val="Heading 1 Char1"/>
    <w:aliases w:val="Para (1) Char,Heading 1 Char Char,Heading 1 Char3 Char Char,Heading 1 Char Char1 Char Char,Heading 1 Char1 Char Char1 Char Char,Heading 1 Char Char Char Char1 Char1 Char,Para (1) Char Char Char Char1 Char Char,Heading 1 Char3 Char1"/>
    <w:basedOn w:val="DefaultParagraphFont"/>
    <w:link w:val="Heading1"/>
    <w:rPr>
      <w:sz w:val="22"/>
      <w:szCs w:val="22"/>
      <w:lang w:val="en-GB"/>
    </w:rPr>
  </w:style>
  <w:style w:type="paragraph" w:customStyle="1" w:styleId="Header4">
    <w:name w:val="Header4"/>
    <w:aliases w:val="Para 4"/>
    <w:basedOn w:val="Normal"/>
    <w:next w:val="Normal"/>
    <w:pPr>
      <w:widowControl w:val="0"/>
      <w:numPr>
        <w:numId w:val="19"/>
      </w:numPr>
      <w:tabs>
        <w:tab w:val="left" w:pos="2880"/>
        <w:tab w:val="left" w:pos="5760"/>
      </w:tabs>
      <w:spacing w:after="240"/>
      <w:ind w:left="2880" w:hanging="720"/>
    </w:pPr>
  </w:style>
  <w:style w:type="character" w:styleId="CommentReference">
    <w:name w:val="annotation reference"/>
    <w:basedOn w:val="DefaultParagraphFont"/>
    <w:uiPriority w:val="99"/>
    <w:semiHidden/>
    <w:unhideWhenUsed/>
    <w:rPr>
      <w:sz w:val="16"/>
      <w:szCs w:val="16"/>
    </w:rPr>
  </w:style>
  <w:style w:type="paragraph" w:styleId="Subtitle">
    <w:name w:val="Subtitle"/>
    <w:basedOn w:val="Normal"/>
    <w:qFormat/>
    <w:pPr>
      <w:spacing w:after="60"/>
      <w:jc w:val="center"/>
      <w:outlineLvl w:val="1"/>
    </w:pPr>
    <w:rPr>
      <w:rFonts w:ascii="Arial" w:hAnsi="Arial" w:cs="Arial"/>
    </w:rPr>
  </w:style>
  <w:style w:type="paragraph" w:styleId="Title">
    <w:name w:val="Title"/>
    <w:basedOn w:val="Normal"/>
    <w:qFormat/>
    <w:pPr>
      <w:spacing w:before="240" w:after="60"/>
      <w:jc w:val="center"/>
      <w:outlineLvl w:val="0"/>
    </w:pPr>
    <w:rPr>
      <w:rFonts w:ascii="Arial" w:hAnsi="Arial" w:cs="Arial"/>
      <w:b/>
      <w:bCs/>
      <w:kern w:val="28"/>
    </w:rPr>
  </w:style>
  <w:style w:type="paragraph" w:styleId="Date">
    <w:name w:val="Date"/>
    <w:basedOn w:val="Normal"/>
    <w:next w:val="Normal"/>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lang w:val="en-GB"/>
    </w:rPr>
  </w:style>
  <w:style w:type="paragraph" w:customStyle="1" w:styleId="StyleHeader4Para4Left0Firstline0">
    <w:name w:val="Style Header4Para 4 + Left:  0&quot; First line:  0&quot;"/>
    <w:basedOn w:val="Header4"/>
    <w:pPr>
      <w:ind w:left="0" w:firstLine="0"/>
    </w:pPr>
    <w:rPr>
      <w:sz w:val="20"/>
    </w:rPr>
  </w:style>
  <w:style w:type="paragraph" w:customStyle="1" w:styleId="StyleHeading1Para1Heading1CharHeading1Char3CharHeadin">
    <w:name w:val="Style Heading 1Para (1)Heading 1 CharHeading 1 Char3 CharHeadin..."/>
    <w:basedOn w:val="Heading1"/>
    <w:pPr>
      <w:numPr>
        <w:numId w:val="0"/>
      </w:numPr>
      <w:tabs>
        <w:tab w:val="left" w:pos="720"/>
      </w:tabs>
    </w:pPr>
    <w:rPr>
      <w:szCs w:val="20"/>
    </w:rPr>
  </w:style>
  <w:style w:type="character" w:customStyle="1" w:styleId="FooterChar">
    <w:name w:val="Footer Char"/>
    <w:basedOn w:val="DefaultParagraphFont"/>
    <w:link w:val="Footer"/>
    <w:uiPriority w:val="99"/>
    <w:rPr>
      <w:sz w:val="22"/>
      <w:szCs w:val="22"/>
      <w:lang w:val="en-GB"/>
    </w:rPr>
  </w:style>
  <w:style w:type="paragraph" w:styleId="ListParagraph">
    <w:name w:val="List Paragraph"/>
    <w:basedOn w:val="Normal"/>
    <w:uiPriority w:val="34"/>
    <w:qFormat/>
    <w:rsid w:val="00CA11B3"/>
    <w:pPr>
      <w:ind w:left="720"/>
      <w:contextualSpacing/>
    </w:pPr>
  </w:style>
  <w:style w:type="paragraph" w:styleId="FootnoteText">
    <w:name w:val="footnote text"/>
    <w:basedOn w:val="Normal"/>
    <w:link w:val="FootnoteTextChar"/>
    <w:uiPriority w:val="99"/>
    <w:semiHidden/>
    <w:unhideWhenUsed/>
    <w:rsid w:val="00921101"/>
    <w:rPr>
      <w:sz w:val="20"/>
      <w:szCs w:val="20"/>
    </w:rPr>
  </w:style>
  <w:style w:type="character" w:customStyle="1" w:styleId="FootnoteTextChar">
    <w:name w:val="Footnote Text Char"/>
    <w:basedOn w:val="DefaultParagraphFont"/>
    <w:link w:val="FootnoteText"/>
    <w:uiPriority w:val="99"/>
    <w:semiHidden/>
    <w:rsid w:val="00921101"/>
    <w:rPr>
      <w:lang w:val="en-GB"/>
    </w:rPr>
  </w:style>
  <w:style w:type="character" w:styleId="FootnoteReference">
    <w:name w:val="footnote reference"/>
    <w:basedOn w:val="DefaultParagraphFont"/>
    <w:uiPriority w:val="99"/>
    <w:semiHidden/>
    <w:unhideWhenUsed/>
    <w:rsid w:val="00921101"/>
    <w:rPr>
      <w:vertAlign w:val="superscript"/>
    </w:rPr>
  </w:style>
  <w:style w:type="character" w:customStyle="1" w:styleId="Heading2Char">
    <w:name w:val="Heading 2 Char"/>
    <w:aliases w:val="SubPara (a) Char,Heading 2 Char3 Char,Heading 2 Char Char2 Char,Heading 2 Char1 Char Char1 Char,SubPara (a) Char Char Char1 Char,Heading 2 Char Char Char Char1 Char,Heading 2 Char1 Char Char Char Char1 Char,Heading 2 Char2 Char"/>
    <w:basedOn w:val="DefaultParagraphFont"/>
    <w:link w:val="Heading2"/>
    <w:rsid w:val="00921101"/>
    <w:rPr>
      <w:sz w:val="22"/>
      <w:szCs w:val="22"/>
      <w:lang w:val="en-GB"/>
    </w:rPr>
  </w:style>
  <w:style w:type="paragraph" w:styleId="Revision">
    <w:name w:val="Revision"/>
    <w:hidden/>
    <w:uiPriority w:val="99"/>
    <w:semiHidden/>
    <w:rsid w:val="00EC53CE"/>
    <w:rPr>
      <w:sz w:val="22"/>
      <w:szCs w:val="22"/>
      <w:lang w:val="en-GB"/>
    </w:rPr>
  </w:style>
  <w:style w:type="table" w:customStyle="1" w:styleId="TableGrid10">
    <w:name w:val="Table Grid1"/>
    <w:basedOn w:val="TableNormal"/>
    <w:next w:val="TableGrid"/>
    <w:uiPriority w:val="59"/>
    <w:rsid w:val="00EC53CE"/>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C53CE"/>
    <w:pPr>
      <w:widowControl w:val="0"/>
      <w:autoSpaceDE w:val="0"/>
      <w:autoSpaceDN w:val="0"/>
      <w:adjustRightInd w:val="0"/>
    </w:pPr>
    <w:rPr>
      <w:color w:val="000000"/>
      <w:sz w:val="24"/>
      <w:szCs w:val="24"/>
    </w:rPr>
  </w:style>
  <w:style w:type="character" w:customStyle="1" w:styleId="HeaderChar">
    <w:name w:val="Header Char"/>
    <w:link w:val="Header"/>
    <w:uiPriority w:val="99"/>
    <w:rsid w:val="00EC53CE"/>
    <w:rPr>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225738">
      <w:bodyDiv w:val="1"/>
      <w:marLeft w:val="0"/>
      <w:marRight w:val="0"/>
      <w:marTop w:val="0"/>
      <w:marBottom w:val="0"/>
      <w:divBdr>
        <w:top w:val="none" w:sz="0" w:space="0" w:color="auto"/>
        <w:left w:val="none" w:sz="0" w:space="0" w:color="auto"/>
        <w:bottom w:val="none" w:sz="0" w:space="0" w:color="auto"/>
        <w:right w:val="none" w:sz="0" w:space="0" w:color="auto"/>
      </w:divBdr>
      <w:divsChild>
        <w:div w:id="547837370">
          <w:marLeft w:val="0"/>
          <w:marRight w:val="0"/>
          <w:marTop w:val="0"/>
          <w:marBottom w:val="6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customXml" Target="../customXml/item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09683CADC4F284EA5F0B82357B5BF3A" ma:contentTypeVersion="2" ma:contentTypeDescription="Create a new document." ma:contentTypeScope="" ma:versionID="068ecf6b82cce04dbb15b641d5edd95a">
  <xsd:schema xmlns:xsd="http://www.w3.org/2001/XMLSchema" xmlns:p="http://schemas.microsoft.com/office/2006/metadata/properties" xmlns:ns2="8662b4aa-cf42-4f00-a3f0-9d3b4acad230" xmlns:ns3="310e179b-1379-4e79-9b74-d5a32b1812d3" targetNamespace="http://schemas.microsoft.com/office/2006/metadata/properties" ma:root="true" ma:fieldsID="ec3297cc96d292a79aedb3c4ee5cf4fc" ns2:_="" ns3:_="">
    <xsd:import namespace="8662b4aa-cf42-4f00-a3f0-9d3b4acad230"/>
    <xsd:import namespace="310e179b-1379-4e79-9b74-d5a32b1812d3"/>
    <xsd:element name="properties">
      <xsd:complexType>
        <xsd:sequence>
          <xsd:element name="documentManagement">
            <xsd:complexType>
              <xsd:all>
                <xsd:element ref="ns2:Document_x0020_Number" minOccurs="0"/>
                <xsd:element ref="ns3:DocumentType" minOccurs="0"/>
              </xsd:all>
            </xsd:complexType>
          </xsd:element>
        </xsd:sequence>
      </xsd:complexType>
    </xsd:element>
  </xsd:schema>
  <xsd:schema xmlns:xsd="http://www.w3.org/2001/XMLSchema" xmlns:dms="http://schemas.microsoft.com/office/2006/documentManagement/types" targetNamespace="8662b4aa-cf42-4f00-a3f0-9d3b4acad230" elementFormDefault="qualified">
    <xsd:import namespace="http://schemas.microsoft.com/office/2006/documentManagement/types"/>
    <xsd:element name="Document_x0020_Number" ma:index="8" nillable="true" ma:displayName="Document Number" ma:default="UNEP/OzL.Pro/ExCom/84/" ma:internalName="Document_x0020_Number">
      <xsd:simpleType>
        <xsd:restriction base="dms:Text">
          <xsd:maxLength value="255"/>
        </xsd:restriction>
      </xsd:simpleType>
    </xsd:element>
  </xsd:schema>
  <xsd:schema xmlns:xsd="http://www.w3.org/2001/XMLSchema" xmlns:dms="http://schemas.microsoft.com/office/2006/documentManagement/types" targetNamespace="310e179b-1379-4e79-9b74-d5a32b1812d3" elementFormDefault="qualified">
    <xsd:import namespace="http://schemas.microsoft.com/office/2006/documentManagement/types"/>
    <xsd:element name="DocumentType" ma:index="9" nillable="true" ma:displayName="DocumentType" ma:default="Pre-session" ma:format="Dropdown" ma:internalName="DocumentType">
      <xsd:simpleType>
        <xsd:restriction base="dms:Choice">
          <xsd:enumeration value="Pre-session"/>
          <xsd:enumeration value="In-session"/>
          <xsd:enumeration value="Final report"/>
          <xsd:enumeration value="Information Note"/>
          <xsd:enumeration value="Information Documen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DocumentType xmlns="310e179b-1379-4e79-9b74-d5a32b1812d3">Pre-session</DocumentType>
    <Document_x0020_Number xmlns="8662b4aa-cf42-4f00-a3f0-9d3b4acad230">UNEP/OzL.Pro/ExCom/84/60</Document_x0020_Number>
  </documentManagement>
</p:properties>
</file>

<file path=customXml/itemProps1.xml><?xml version="1.0" encoding="utf-8"?>
<ds:datastoreItem xmlns:ds="http://schemas.openxmlformats.org/officeDocument/2006/customXml" ds:itemID="{B6EF757E-7994-4926-8610-31B3B548B5C6}"/>
</file>

<file path=customXml/itemProps2.xml><?xml version="1.0" encoding="utf-8"?>
<ds:datastoreItem xmlns:ds="http://schemas.openxmlformats.org/officeDocument/2006/customXml" ds:itemID="{5FD22018-7DA5-4445-92AE-9C13201B1E1D}"/>
</file>

<file path=customXml/itemProps3.xml><?xml version="1.0" encoding="utf-8"?>
<ds:datastoreItem xmlns:ds="http://schemas.openxmlformats.org/officeDocument/2006/customXml" ds:itemID="{8B6D1EAE-E5FC-488D-B083-217C5628586D}"/>
</file>

<file path=customXml/itemProps4.xml><?xml version="1.0" encoding="utf-8"?>
<ds:datastoreItem xmlns:ds="http://schemas.openxmlformats.org/officeDocument/2006/customXml" ds:itemID="{40A7BBE2-962A-45F9-8682-79F5E25A77C6}"/>
</file>

<file path=docProps/app.xml><?xml version="1.0" encoding="utf-8"?>
<Properties xmlns="http://schemas.openxmlformats.org/officeDocument/2006/extended-properties" xmlns:vt="http://schemas.openxmlformats.org/officeDocument/2006/docPropsVTypes">
  <Template>normal</Template>
  <TotalTime>57</TotalTime>
  <Pages>28</Pages>
  <Words>12435</Words>
  <Characters>63243</Characters>
  <Application>Microsoft Office Word</Application>
  <DocSecurity>0</DocSecurity>
  <Lines>527</Lines>
  <Paragraphs>151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Propositions de projet : Tunisie</vt:lpstr>
      <vt:lpstr/>
    </vt:vector>
  </TitlesOfParts>
  <Company>UNMFS</Company>
  <LinksUpToDate>false</LinksUpToDate>
  <CharactersWithSpaces>75527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Propositions de projet : Tunisie</dc:title>
  <dc:subject/>
  <dc:creator>Stephanie Muteba</dc:creator>
  <cp:keywords/>
  <dc:description/>
  <cp:lastModifiedBy>HBE</cp:lastModifiedBy>
  <cp:revision>25</cp:revision>
  <cp:lastPrinted>2019-11-27T15:53:00Z</cp:lastPrinted>
  <dcterms:created xsi:type="dcterms:W3CDTF">2019-12-09T16:37:00Z</dcterms:created>
  <dcterms:modified xsi:type="dcterms:W3CDTF">2019-12-09T22:08:00Z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UNEP/OzL.Pro/ExCom/84/60</vt:lpwstr>
  </property>
  <property fmtid="{D5CDD505-2E9C-101B-9397-08002B2CF9AE}" pid="3" name="Revision date">
    <vt:lpwstr>11/21/2019</vt:lpwstr>
  </property>
  <property fmtid="{D5CDD505-2E9C-101B-9397-08002B2CF9AE}" pid="4" name="ContentTypeId">
    <vt:lpwstr>0x010100109683CADC4F284EA5F0B82357B5BF3A</vt:lpwstr>
  </property>
</Properties>
</file>